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FF98" w14:textId="77777777" w:rsidR="00257631" w:rsidRPr="007B6295" w:rsidRDefault="00257631" w:rsidP="00257631">
      <w:pPr>
        <w:autoSpaceDE w:val="0"/>
        <w:autoSpaceDN w:val="0"/>
        <w:adjustRightInd w:val="0"/>
        <w:jc w:val="right"/>
        <w:rPr>
          <w:rFonts w:ascii="Times New Roman" w:hAnsi="Times New Roman"/>
          <w:szCs w:val="22"/>
        </w:rPr>
      </w:pPr>
    </w:p>
    <w:p w14:paraId="2B805D89" w14:textId="77777777" w:rsidR="00997CEA" w:rsidRPr="002335EE" w:rsidRDefault="00997CEA" w:rsidP="00997CEA">
      <w:pPr>
        <w:tabs>
          <w:tab w:val="right" w:pos="8640"/>
        </w:tabs>
        <w:jc w:val="both"/>
        <w:rPr>
          <w:sz w:val="20"/>
          <w:szCs w:val="20"/>
        </w:rPr>
      </w:pPr>
      <w:r w:rsidRPr="002335EE">
        <w:rPr>
          <w:sz w:val="20"/>
          <w:szCs w:val="20"/>
        </w:rPr>
        <w:t xml:space="preserve">FOR IMMEDIATE RELEASE </w:t>
      </w:r>
      <w:r w:rsidRPr="002335EE">
        <w:rPr>
          <w:sz w:val="20"/>
          <w:szCs w:val="20"/>
        </w:rPr>
        <w:tab/>
        <w:t>CWV: TSX.V</w:t>
      </w:r>
    </w:p>
    <w:p w14:paraId="76911926" w14:textId="77777777" w:rsidR="00997CEA" w:rsidRPr="002335EE" w:rsidRDefault="004F3C63" w:rsidP="00997CEA">
      <w:pPr>
        <w:rPr>
          <w:sz w:val="20"/>
          <w:szCs w:val="20"/>
        </w:rPr>
      </w:pPr>
      <w:r>
        <w:rPr>
          <w:sz w:val="20"/>
          <w:szCs w:val="20"/>
        </w:rPr>
        <w:t>February 25</w:t>
      </w:r>
      <w:r w:rsidR="00087241" w:rsidRPr="002335EE">
        <w:rPr>
          <w:sz w:val="20"/>
          <w:szCs w:val="20"/>
        </w:rPr>
        <w:t xml:space="preserve">, </w:t>
      </w:r>
      <w:r w:rsidRPr="002335EE">
        <w:rPr>
          <w:sz w:val="20"/>
          <w:szCs w:val="20"/>
        </w:rPr>
        <w:t>202</w:t>
      </w:r>
      <w:r>
        <w:rPr>
          <w:sz w:val="20"/>
          <w:szCs w:val="20"/>
        </w:rPr>
        <w:t>2</w:t>
      </w:r>
    </w:p>
    <w:p w14:paraId="377EB27A" w14:textId="77777777" w:rsidR="00997CEA" w:rsidRPr="002335EE" w:rsidRDefault="00997CEA" w:rsidP="00997CEA">
      <w:pPr>
        <w:rPr>
          <w:b/>
          <w:sz w:val="20"/>
          <w:szCs w:val="20"/>
        </w:rPr>
      </w:pPr>
    </w:p>
    <w:p w14:paraId="1291CCE9" w14:textId="77777777" w:rsidR="00F26419" w:rsidRPr="002335EE" w:rsidRDefault="00E5435D" w:rsidP="00E5435D">
      <w:pPr>
        <w:ind w:left="720"/>
        <w:jc w:val="center"/>
        <w:outlineLvl w:val="0"/>
        <w:rPr>
          <w:b/>
          <w:sz w:val="20"/>
          <w:szCs w:val="20"/>
        </w:rPr>
      </w:pPr>
      <w:r w:rsidRPr="002335EE">
        <w:rPr>
          <w:b/>
          <w:sz w:val="20"/>
          <w:szCs w:val="20"/>
        </w:rPr>
        <w:t xml:space="preserve">Crown Point </w:t>
      </w:r>
      <w:r w:rsidR="00AF42C9" w:rsidRPr="002335EE">
        <w:rPr>
          <w:b/>
          <w:sz w:val="20"/>
          <w:szCs w:val="20"/>
        </w:rPr>
        <w:t xml:space="preserve">Announces </w:t>
      </w:r>
    </w:p>
    <w:p w14:paraId="7E6ED145" w14:textId="77777777" w:rsidR="00E66412" w:rsidRPr="002335EE" w:rsidRDefault="00F11C6C" w:rsidP="00E5435D">
      <w:pPr>
        <w:ind w:left="720"/>
        <w:jc w:val="center"/>
        <w:outlineLvl w:val="0"/>
        <w:rPr>
          <w:b/>
          <w:sz w:val="20"/>
          <w:szCs w:val="20"/>
        </w:rPr>
      </w:pPr>
      <w:r w:rsidRPr="002335EE">
        <w:rPr>
          <w:b/>
          <w:sz w:val="20"/>
          <w:szCs w:val="20"/>
        </w:rPr>
        <w:t>Reserve Information for the Year</w:t>
      </w:r>
      <w:r w:rsidR="00AF42C9" w:rsidRPr="002335EE">
        <w:rPr>
          <w:b/>
          <w:sz w:val="20"/>
          <w:szCs w:val="20"/>
        </w:rPr>
        <w:t xml:space="preserve"> Ended </w:t>
      </w:r>
      <w:r w:rsidRPr="002335EE">
        <w:rPr>
          <w:b/>
          <w:sz w:val="20"/>
          <w:szCs w:val="20"/>
        </w:rPr>
        <w:t>December 31</w:t>
      </w:r>
      <w:r w:rsidR="00AF42C9" w:rsidRPr="002335EE">
        <w:rPr>
          <w:b/>
          <w:sz w:val="20"/>
          <w:szCs w:val="20"/>
        </w:rPr>
        <w:t xml:space="preserve">, </w:t>
      </w:r>
      <w:r w:rsidR="00E03127" w:rsidRPr="002335EE">
        <w:rPr>
          <w:b/>
          <w:sz w:val="20"/>
          <w:szCs w:val="20"/>
        </w:rPr>
        <w:t>20</w:t>
      </w:r>
      <w:r w:rsidR="002F1371" w:rsidRPr="002335EE">
        <w:rPr>
          <w:b/>
          <w:sz w:val="20"/>
          <w:szCs w:val="20"/>
        </w:rPr>
        <w:t>2</w:t>
      </w:r>
      <w:r w:rsidR="00B46621" w:rsidRPr="002335EE">
        <w:rPr>
          <w:b/>
          <w:sz w:val="20"/>
          <w:szCs w:val="20"/>
        </w:rPr>
        <w:t>1</w:t>
      </w:r>
    </w:p>
    <w:p w14:paraId="7C5F40F8" w14:textId="77777777" w:rsidR="00997CEA" w:rsidRPr="002335EE" w:rsidRDefault="00997CEA" w:rsidP="00997CEA">
      <w:pPr>
        <w:outlineLvl w:val="0"/>
        <w:rPr>
          <w:b/>
          <w:sz w:val="20"/>
          <w:szCs w:val="20"/>
        </w:rPr>
      </w:pPr>
    </w:p>
    <w:p w14:paraId="6D4C6280" w14:textId="77777777" w:rsidR="00335EAB" w:rsidRPr="002335EE" w:rsidRDefault="00997CEA" w:rsidP="00AF42C9">
      <w:pPr>
        <w:tabs>
          <w:tab w:val="left" w:pos="1440"/>
        </w:tabs>
        <w:jc w:val="both"/>
        <w:rPr>
          <w:sz w:val="20"/>
          <w:szCs w:val="20"/>
        </w:rPr>
      </w:pPr>
      <w:r w:rsidRPr="002335EE">
        <w:rPr>
          <w:b/>
          <w:sz w:val="20"/>
          <w:szCs w:val="20"/>
        </w:rPr>
        <w:t xml:space="preserve">TSX-V:  CWV: Crown Point </w:t>
      </w:r>
      <w:r w:rsidR="001A4EF4" w:rsidRPr="002335EE">
        <w:rPr>
          <w:b/>
          <w:sz w:val="20"/>
          <w:szCs w:val="20"/>
        </w:rPr>
        <w:t>Energy Inc</w:t>
      </w:r>
      <w:r w:rsidRPr="002335EE">
        <w:rPr>
          <w:b/>
          <w:sz w:val="20"/>
          <w:szCs w:val="20"/>
        </w:rPr>
        <w:t>. (</w:t>
      </w:r>
      <w:r w:rsidR="008E16E3" w:rsidRPr="002335EE">
        <w:rPr>
          <w:b/>
          <w:sz w:val="20"/>
          <w:szCs w:val="20"/>
        </w:rPr>
        <w:t>“</w:t>
      </w:r>
      <w:r w:rsidRPr="002335EE">
        <w:rPr>
          <w:b/>
          <w:sz w:val="20"/>
          <w:szCs w:val="20"/>
        </w:rPr>
        <w:t>Crown Point</w:t>
      </w:r>
      <w:r w:rsidR="008E16E3" w:rsidRPr="002335EE">
        <w:rPr>
          <w:b/>
          <w:sz w:val="20"/>
          <w:szCs w:val="20"/>
        </w:rPr>
        <w:t>”</w:t>
      </w:r>
      <w:r w:rsidR="00A12697" w:rsidRPr="002335EE">
        <w:rPr>
          <w:b/>
          <w:sz w:val="20"/>
          <w:szCs w:val="20"/>
        </w:rPr>
        <w:t xml:space="preserve">, </w:t>
      </w:r>
      <w:r w:rsidRPr="002335EE">
        <w:rPr>
          <w:sz w:val="20"/>
          <w:szCs w:val="20"/>
        </w:rPr>
        <w:t>the</w:t>
      </w:r>
      <w:r w:rsidRPr="002335EE">
        <w:rPr>
          <w:b/>
          <w:sz w:val="20"/>
          <w:szCs w:val="20"/>
        </w:rPr>
        <w:t xml:space="preserve"> </w:t>
      </w:r>
      <w:r w:rsidR="008E16E3" w:rsidRPr="002335EE">
        <w:rPr>
          <w:b/>
          <w:sz w:val="20"/>
          <w:szCs w:val="20"/>
        </w:rPr>
        <w:t>“</w:t>
      </w:r>
      <w:r w:rsidRPr="002335EE">
        <w:rPr>
          <w:b/>
          <w:sz w:val="20"/>
          <w:szCs w:val="20"/>
        </w:rPr>
        <w:t>Company</w:t>
      </w:r>
      <w:r w:rsidR="008E16E3" w:rsidRPr="002335EE">
        <w:rPr>
          <w:b/>
          <w:sz w:val="20"/>
          <w:szCs w:val="20"/>
        </w:rPr>
        <w:t>”</w:t>
      </w:r>
      <w:r w:rsidR="00640983" w:rsidRPr="002335EE">
        <w:rPr>
          <w:b/>
          <w:sz w:val="20"/>
          <w:szCs w:val="20"/>
        </w:rPr>
        <w:t xml:space="preserve">, </w:t>
      </w:r>
      <w:r w:rsidR="00A12697" w:rsidRPr="002335EE">
        <w:rPr>
          <w:sz w:val="20"/>
          <w:szCs w:val="20"/>
        </w:rPr>
        <w:t>"</w:t>
      </w:r>
      <w:r w:rsidR="00A12697" w:rsidRPr="002335EE">
        <w:rPr>
          <w:b/>
          <w:sz w:val="20"/>
          <w:szCs w:val="20"/>
        </w:rPr>
        <w:t>we</w:t>
      </w:r>
      <w:r w:rsidR="00A12697" w:rsidRPr="002335EE">
        <w:rPr>
          <w:sz w:val="20"/>
          <w:szCs w:val="20"/>
        </w:rPr>
        <w:t>"</w:t>
      </w:r>
      <w:r w:rsidR="00640983" w:rsidRPr="002335EE">
        <w:rPr>
          <w:sz w:val="20"/>
          <w:szCs w:val="20"/>
        </w:rPr>
        <w:t xml:space="preserve"> or "</w:t>
      </w:r>
      <w:r w:rsidR="00640983" w:rsidRPr="002335EE">
        <w:rPr>
          <w:b/>
          <w:sz w:val="20"/>
          <w:szCs w:val="20"/>
        </w:rPr>
        <w:t>our</w:t>
      </w:r>
      <w:r w:rsidR="00640983" w:rsidRPr="002335EE">
        <w:rPr>
          <w:sz w:val="20"/>
          <w:szCs w:val="20"/>
        </w:rPr>
        <w:t>"</w:t>
      </w:r>
      <w:r w:rsidRPr="002335EE">
        <w:rPr>
          <w:b/>
          <w:sz w:val="20"/>
          <w:szCs w:val="20"/>
        </w:rPr>
        <w:t>)</w:t>
      </w:r>
      <w:r w:rsidRPr="002335EE">
        <w:rPr>
          <w:sz w:val="20"/>
          <w:szCs w:val="20"/>
        </w:rPr>
        <w:t xml:space="preserve"> </w:t>
      </w:r>
      <w:r w:rsidR="00AF42C9" w:rsidRPr="002335EE">
        <w:rPr>
          <w:sz w:val="20"/>
          <w:szCs w:val="20"/>
        </w:rPr>
        <w:t xml:space="preserve">today announced </w:t>
      </w:r>
      <w:r w:rsidR="00F11C6C" w:rsidRPr="002335EE">
        <w:rPr>
          <w:sz w:val="20"/>
          <w:szCs w:val="20"/>
        </w:rPr>
        <w:t xml:space="preserve">certain reserve information </w:t>
      </w:r>
      <w:r w:rsidR="00AF42C9" w:rsidRPr="002335EE">
        <w:rPr>
          <w:sz w:val="20"/>
          <w:szCs w:val="20"/>
        </w:rPr>
        <w:t xml:space="preserve">for the </w:t>
      </w:r>
      <w:r w:rsidR="00F11C6C" w:rsidRPr="002335EE">
        <w:rPr>
          <w:sz w:val="20"/>
          <w:szCs w:val="20"/>
        </w:rPr>
        <w:t>year e</w:t>
      </w:r>
      <w:r w:rsidR="00AF42C9" w:rsidRPr="002335EE">
        <w:rPr>
          <w:sz w:val="20"/>
          <w:szCs w:val="20"/>
        </w:rPr>
        <w:t xml:space="preserve">nded </w:t>
      </w:r>
      <w:r w:rsidR="00F11C6C" w:rsidRPr="002335EE">
        <w:rPr>
          <w:sz w:val="20"/>
          <w:szCs w:val="20"/>
        </w:rPr>
        <w:t>December 31</w:t>
      </w:r>
      <w:r w:rsidR="00AF42C9" w:rsidRPr="002335EE">
        <w:rPr>
          <w:sz w:val="20"/>
          <w:szCs w:val="20"/>
        </w:rPr>
        <w:t xml:space="preserve">, </w:t>
      </w:r>
      <w:r w:rsidR="00E03127" w:rsidRPr="002335EE">
        <w:rPr>
          <w:sz w:val="20"/>
          <w:szCs w:val="20"/>
        </w:rPr>
        <w:t>20</w:t>
      </w:r>
      <w:r w:rsidR="002F1371" w:rsidRPr="002335EE">
        <w:rPr>
          <w:sz w:val="20"/>
          <w:szCs w:val="20"/>
        </w:rPr>
        <w:t>2</w:t>
      </w:r>
      <w:r w:rsidR="007B6295" w:rsidRPr="002335EE">
        <w:rPr>
          <w:sz w:val="20"/>
          <w:szCs w:val="20"/>
        </w:rPr>
        <w:t>1</w:t>
      </w:r>
      <w:r w:rsidR="007E0FF7" w:rsidRPr="002335EE">
        <w:rPr>
          <w:sz w:val="20"/>
          <w:szCs w:val="20"/>
        </w:rPr>
        <w:t>.</w:t>
      </w:r>
      <w:r w:rsidR="00C201FA" w:rsidRPr="002335EE">
        <w:rPr>
          <w:sz w:val="20"/>
          <w:szCs w:val="20"/>
        </w:rPr>
        <w:t xml:space="preserve">  </w:t>
      </w:r>
      <w:r w:rsidR="00AF42C9" w:rsidRPr="002335EE">
        <w:rPr>
          <w:sz w:val="20"/>
          <w:szCs w:val="20"/>
        </w:rPr>
        <w:t>All dollar figures are expressed in United States dollars ("</w:t>
      </w:r>
      <w:r w:rsidR="00AF42C9" w:rsidRPr="002335EE">
        <w:rPr>
          <w:b/>
          <w:sz w:val="20"/>
          <w:szCs w:val="20"/>
        </w:rPr>
        <w:t>USD</w:t>
      </w:r>
      <w:r w:rsidR="00AF42C9" w:rsidRPr="002335EE">
        <w:rPr>
          <w:sz w:val="20"/>
          <w:szCs w:val="20"/>
        </w:rPr>
        <w:t>"</w:t>
      </w:r>
      <w:r w:rsidR="00021BB6" w:rsidRPr="002335EE">
        <w:rPr>
          <w:sz w:val="20"/>
          <w:szCs w:val="20"/>
        </w:rPr>
        <w:t xml:space="preserve"> or "</w:t>
      </w:r>
      <w:r w:rsidR="00021BB6" w:rsidRPr="002335EE">
        <w:rPr>
          <w:b/>
          <w:sz w:val="20"/>
          <w:szCs w:val="20"/>
        </w:rPr>
        <w:t>US$</w:t>
      </w:r>
      <w:r w:rsidR="00021BB6" w:rsidRPr="002335EE">
        <w:rPr>
          <w:sz w:val="20"/>
          <w:szCs w:val="20"/>
        </w:rPr>
        <w:t>"</w:t>
      </w:r>
      <w:r w:rsidR="00AF42C9" w:rsidRPr="002335EE">
        <w:rPr>
          <w:sz w:val="20"/>
          <w:szCs w:val="20"/>
        </w:rPr>
        <w:t>) unless otherwise stated</w:t>
      </w:r>
      <w:r w:rsidR="00F04F95" w:rsidRPr="002335EE">
        <w:rPr>
          <w:sz w:val="20"/>
          <w:szCs w:val="20"/>
        </w:rPr>
        <w:t>, and "</w:t>
      </w:r>
      <w:r w:rsidR="00F04F95" w:rsidRPr="002335EE">
        <w:rPr>
          <w:b/>
          <w:sz w:val="20"/>
          <w:szCs w:val="20"/>
        </w:rPr>
        <w:t>M</w:t>
      </w:r>
      <w:r w:rsidR="0031193A" w:rsidRPr="002335EE">
        <w:rPr>
          <w:b/>
          <w:sz w:val="20"/>
          <w:szCs w:val="20"/>
        </w:rPr>
        <w:t>M</w:t>
      </w:r>
      <w:r w:rsidR="00F04F95" w:rsidRPr="002335EE">
        <w:rPr>
          <w:b/>
          <w:sz w:val="20"/>
          <w:szCs w:val="20"/>
        </w:rPr>
        <w:t>US$</w:t>
      </w:r>
      <w:r w:rsidR="00F04F95" w:rsidRPr="002335EE">
        <w:rPr>
          <w:sz w:val="20"/>
          <w:szCs w:val="20"/>
        </w:rPr>
        <w:t xml:space="preserve">" means </w:t>
      </w:r>
      <w:r w:rsidR="0031193A" w:rsidRPr="002335EE">
        <w:rPr>
          <w:sz w:val="20"/>
          <w:szCs w:val="20"/>
        </w:rPr>
        <w:t>millions</w:t>
      </w:r>
      <w:r w:rsidR="00F04F95" w:rsidRPr="002335EE">
        <w:rPr>
          <w:sz w:val="20"/>
          <w:szCs w:val="20"/>
        </w:rPr>
        <w:t xml:space="preserve"> of USD</w:t>
      </w:r>
      <w:r w:rsidR="00AF42C9" w:rsidRPr="002335EE">
        <w:rPr>
          <w:sz w:val="20"/>
          <w:szCs w:val="20"/>
        </w:rPr>
        <w:t xml:space="preserve">. </w:t>
      </w:r>
    </w:p>
    <w:p w14:paraId="266BC4CF" w14:textId="77777777" w:rsidR="006E2E70" w:rsidRPr="002335EE" w:rsidRDefault="002F1371" w:rsidP="00C35452">
      <w:pPr>
        <w:tabs>
          <w:tab w:val="left" w:pos="1440"/>
        </w:tabs>
        <w:spacing w:before="120" w:line="240" w:lineRule="atLeast"/>
        <w:jc w:val="both"/>
        <w:rPr>
          <w:sz w:val="20"/>
          <w:szCs w:val="20"/>
        </w:rPr>
      </w:pPr>
      <w:r w:rsidRPr="002335EE">
        <w:rPr>
          <w:sz w:val="20"/>
          <w:szCs w:val="20"/>
        </w:rPr>
        <w:t>McDaniel</w:t>
      </w:r>
      <w:r w:rsidR="006E2E70" w:rsidRPr="002335EE">
        <w:rPr>
          <w:sz w:val="20"/>
          <w:szCs w:val="20"/>
        </w:rPr>
        <w:t xml:space="preserve"> </w:t>
      </w:r>
      <w:r w:rsidRPr="002335EE">
        <w:rPr>
          <w:sz w:val="20"/>
          <w:szCs w:val="20"/>
        </w:rPr>
        <w:t xml:space="preserve">&amp; </w:t>
      </w:r>
      <w:r w:rsidR="006E2E70" w:rsidRPr="002335EE">
        <w:rPr>
          <w:sz w:val="20"/>
          <w:szCs w:val="20"/>
        </w:rPr>
        <w:t xml:space="preserve">Associates </w:t>
      </w:r>
      <w:r w:rsidR="00715B39" w:rsidRPr="002335EE">
        <w:rPr>
          <w:sz w:val="20"/>
          <w:szCs w:val="20"/>
        </w:rPr>
        <w:t xml:space="preserve">Consultants Ltd. </w:t>
      </w:r>
      <w:r w:rsidR="006E2E70" w:rsidRPr="002335EE">
        <w:rPr>
          <w:sz w:val="20"/>
          <w:szCs w:val="20"/>
        </w:rPr>
        <w:t>(“</w:t>
      </w:r>
      <w:r w:rsidRPr="002335EE">
        <w:rPr>
          <w:b/>
          <w:sz w:val="20"/>
          <w:szCs w:val="20"/>
        </w:rPr>
        <w:t>McDaniel</w:t>
      </w:r>
      <w:r w:rsidR="006E2E70" w:rsidRPr="002335EE">
        <w:rPr>
          <w:sz w:val="20"/>
          <w:szCs w:val="20"/>
        </w:rPr>
        <w:t xml:space="preserve">”), an independent qualified reserves </w:t>
      </w:r>
      <w:r w:rsidR="00715B39" w:rsidRPr="002335EE">
        <w:rPr>
          <w:sz w:val="20"/>
          <w:szCs w:val="20"/>
        </w:rPr>
        <w:t>evaluator</w:t>
      </w:r>
      <w:r w:rsidR="006E2E70" w:rsidRPr="002335EE">
        <w:rPr>
          <w:sz w:val="20"/>
          <w:szCs w:val="20"/>
        </w:rPr>
        <w:t xml:space="preserve">, </w:t>
      </w:r>
      <w:r w:rsidRPr="002335EE">
        <w:rPr>
          <w:sz w:val="20"/>
          <w:szCs w:val="20"/>
        </w:rPr>
        <w:t xml:space="preserve">evaluated </w:t>
      </w:r>
      <w:r w:rsidR="006E2E70" w:rsidRPr="002335EE">
        <w:rPr>
          <w:sz w:val="20"/>
          <w:szCs w:val="20"/>
        </w:rPr>
        <w:t xml:space="preserve">the oil and natural gas reserves attributable to all of Crown Point’s properties as at December 31, </w:t>
      </w:r>
      <w:r w:rsidRPr="002335EE">
        <w:rPr>
          <w:sz w:val="20"/>
          <w:szCs w:val="20"/>
        </w:rPr>
        <w:t>202</w:t>
      </w:r>
      <w:r w:rsidR="007B6295" w:rsidRPr="002335EE">
        <w:rPr>
          <w:sz w:val="20"/>
          <w:szCs w:val="20"/>
        </w:rPr>
        <w:t>1</w:t>
      </w:r>
      <w:r w:rsidRPr="002335EE">
        <w:rPr>
          <w:sz w:val="20"/>
          <w:szCs w:val="20"/>
        </w:rPr>
        <w:t xml:space="preserve"> </w:t>
      </w:r>
      <w:r w:rsidR="006E2E70" w:rsidRPr="002335EE">
        <w:rPr>
          <w:sz w:val="20"/>
          <w:szCs w:val="20"/>
        </w:rPr>
        <w:t xml:space="preserve">based on forecast prices and costs and in accordance with </w:t>
      </w:r>
      <w:r w:rsidR="00715152" w:rsidRPr="002335EE">
        <w:rPr>
          <w:sz w:val="20"/>
          <w:szCs w:val="20"/>
        </w:rPr>
        <w:t xml:space="preserve">National Instrument </w:t>
      </w:r>
      <w:r w:rsidR="006E2E70" w:rsidRPr="002335EE">
        <w:rPr>
          <w:sz w:val="20"/>
          <w:szCs w:val="20"/>
        </w:rPr>
        <w:t xml:space="preserve">51-101 </w:t>
      </w:r>
      <w:r w:rsidR="00715152" w:rsidRPr="002335EE">
        <w:rPr>
          <w:sz w:val="20"/>
          <w:szCs w:val="20"/>
        </w:rPr>
        <w:t>("</w:t>
      </w:r>
      <w:r w:rsidR="00715152" w:rsidRPr="002335EE">
        <w:rPr>
          <w:b/>
          <w:sz w:val="20"/>
          <w:szCs w:val="20"/>
        </w:rPr>
        <w:t>NI 51-101</w:t>
      </w:r>
      <w:r w:rsidR="00715152" w:rsidRPr="002335EE">
        <w:rPr>
          <w:sz w:val="20"/>
          <w:szCs w:val="20"/>
        </w:rPr>
        <w:t xml:space="preserve">") </w:t>
      </w:r>
      <w:r w:rsidR="006E2E70" w:rsidRPr="002335EE">
        <w:rPr>
          <w:sz w:val="20"/>
          <w:szCs w:val="20"/>
        </w:rPr>
        <w:t>and the Canadian Oil and Gas Evaluation Handbook</w:t>
      </w:r>
      <w:r w:rsidR="00DB3F3C" w:rsidRPr="002335EE">
        <w:rPr>
          <w:sz w:val="20"/>
          <w:szCs w:val="20"/>
        </w:rPr>
        <w:t xml:space="preserve"> (the "</w:t>
      </w:r>
      <w:r w:rsidR="00DB3F3C" w:rsidRPr="002335EE">
        <w:rPr>
          <w:b/>
          <w:sz w:val="20"/>
          <w:szCs w:val="20"/>
        </w:rPr>
        <w:t>COGE Handbook</w:t>
      </w:r>
      <w:r w:rsidR="00DB3F3C" w:rsidRPr="002335EE">
        <w:rPr>
          <w:sz w:val="20"/>
          <w:szCs w:val="20"/>
        </w:rPr>
        <w:t>")</w:t>
      </w:r>
      <w:r w:rsidR="006E2E70" w:rsidRPr="002335EE">
        <w:rPr>
          <w:sz w:val="20"/>
          <w:szCs w:val="20"/>
        </w:rPr>
        <w:t xml:space="preserve">. </w:t>
      </w:r>
      <w:r w:rsidRPr="002335EE">
        <w:rPr>
          <w:sz w:val="20"/>
          <w:szCs w:val="20"/>
        </w:rPr>
        <w:t xml:space="preserve">McDaniel’s evaluation </w:t>
      </w:r>
      <w:r w:rsidR="002926E3" w:rsidRPr="002335EE">
        <w:rPr>
          <w:sz w:val="20"/>
          <w:szCs w:val="20"/>
        </w:rPr>
        <w:t>report (the "</w:t>
      </w:r>
      <w:r w:rsidRPr="002335EE">
        <w:rPr>
          <w:b/>
          <w:sz w:val="20"/>
          <w:szCs w:val="20"/>
        </w:rPr>
        <w:t xml:space="preserve">McDaniel </w:t>
      </w:r>
      <w:r w:rsidR="002926E3" w:rsidRPr="002335EE">
        <w:rPr>
          <w:b/>
          <w:sz w:val="20"/>
          <w:szCs w:val="20"/>
        </w:rPr>
        <w:t>Report</w:t>
      </w:r>
      <w:r w:rsidR="002926E3" w:rsidRPr="002335EE">
        <w:rPr>
          <w:sz w:val="20"/>
          <w:szCs w:val="20"/>
        </w:rPr>
        <w:t xml:space="preserve">") </w:t>
      </w:r>
      <w:r w:rsidR="006E2E70" w:rsidRPr="002335EE">
        <w:rPr>
          <w:sz w:val="20"/>
          <w:szCs w:val="20"/>
        </w:rPr>
        <w:t xml:space="preserve">also presents the estimated net present value of future net revenue associated with Crown Point's reserves. A summary of Crown Point’s crude oil, natural gas and natural gas liquids reserves, as </w:t>
      </w:r>
      <w:r w:rsidRPr="002335EE">
        <w:rPr>
          <w:sz w:val="20"/>
          <w:szCs w:val="20"/>
        </w:rPr>
        <w:t xml:space="preserve">evaluated </w:t>
      </w:r>
      <w:r w:rsidR="006E2E70" w:rsidRPr="002335EE">
        <w:rPr>
          <w:sz w:val="20"/>
          <w:szCs w:val="20"/>
        </w:rPr>
        <w:t xml:space="preserve">by </w:t>
      </w:r>
      <w:r w:rsidRPr="002335EE">
        <w:rPr>
          <w:sz w:val="20"/>
          <w:szCs w:val="20"/>
        </w:rPr>
        <w:t>McDaniel</w:t>
      </w:r>
      <w:r w:rsidR="006E2E70" w:rsidRPr="002335EE">
        <w:rPr>
          <w:sz w:val="20"/>
          <w:szCs w:val="20"/>
        </w:rPr>
        <w:t xml:space="preserve">, and the associated net present value of future net revenue associated therewith as at December 31, </w:t>
      </w:r>
      <w:r w:rsidRPr="002335EE">
        <w:rPr>
          <w:sz w:val="20"/>
          <w:szCs w:val="20"/>
        </w:rPr>
        <w:t>202</w:t>
      </w:r>
      <w:r w:rsidR="007B6295" w:rsidRPr="002335EE">
        <w:rPr>
          <w:sz w:val="20"/>
          <w:szCs w:val="20"/>
        </w:rPr>
        <w:t>1</w:t>
      </w:r>
      <w:r w:rsidRPr="002335EE">
        <w:rPr>
          <w:sz w:val="20"/>
          <w:szCs w:val="20"/>
        </w:rPr>
        <w:t xml:space="preserve"> </w:t>
      </w:r>
      <w:r w:rsidR="006E2E70" w:rsidRPr="002335EE">
        <w:rPr>
          <w:sz w:val="20"/>
          <w:szCs w:val="20"/>
        </w:rPr>
        <w:t xml:space="preserve">is </w:t>
      </w:r>
      <w:r w:rsidR="00715152" w:rsidRPr="002335EE">
        <w:rPr>
          <w:sz w:val="20"/>
          <w:szCs w:val="20"/>
        </w:rPr>
        <w:t>presented</w:t>
      </w:r>
      <w:r w:rsidR="006E2E70" w:rsidRPr="002335EE">
        <w:rPr>
          <w:sz w:val="20"/>
          <w:szCs w:val="20"/>
        </w:rPr>
        <w:t xml:space="preserve"> below. </w:t>
      </w:r>
    </w:p>
    <w:p w14:paraId="0F69F9DE" w14:textId="77777777" w:rsidR="00767618" w:rsidRPr="002335EE" w:rsidRDefault="00767618" w:rsidP="00767618">
      <w:pPr>
        <w:keepNext/>
        <w:tabs>
          <w:tab w:val="left" w:pos="1440"/>
        </w:tabs>
        <w:spacing w:before="120" w:line="240" w:lineRule="atLeast"/>
        <w:jc w:val="both"/>
        <w:rPr>
          <w:sz w:val="20"/>
          <w:szCs w:val="20"/>
        </w:rPr>
      </w:pPr>
      <w:r w:rsidRPr="002335EE">
        <w:rPr>
          <w:sz w:val="20"/>
          <w:szCs w:val="20"/>
        </w:rPr>
        <w:t xml:space="preserve">The following table </w:t>
      </w:r>
      <w:r w:rsidR="00E1716A" w:rsidRPr="002335EE">
        <w:rPr>
          <w:sz w:val="20"/>
          <w:szCs w:val="20"/>
        </w:rPr>
        <w:t>present</w:t>
      </w:r>
      <w:r w:rsidR="00382199" w:rsidRPr="002335EE">
        <w:rPr>
          <w:sz w:val="20"/>
          <w:szCs w:val="20"/>
        </w:rPr>
        <w:t>s</w:t>
      </w:r>
      <w:r w:rsidRPr="002335EE">
        <w:rPr>
          <w:sz w:val="20"/>
          <w:szCs w:val="20"/>
        </w:rPr>
        <w:t xml:space="preserve">, in the aggregate, the Company's gross </w:t>
      </w:r>
      <w:r w:rsidR="00382199" w:rsidRPr="002335EE">
        <w:rPr>
          <w:sz w:val="20"/>
          <w:szCs w:val="20"/>
        </w:rPr>
        <w:t xml:space="preserve">and net </w:t>
      </w:r>
      <w:r w:rsidRPr="002335EE">
        <w:rPr>
          <w:sz w:val="20"/>
          <w:szCs w:val="20"/>
        </w:rPr>
        <w:t>proved</w:t>
      </w:r>
      <w:r w:rsidR="00E53B93" w:rsidRPr="002335EE">
        <w:rPr>
          <w:sz w:val="20"/>
          <w:szCs w:val="20"/>
        </w:rPr>
        <w:t xml:space="preserve"> and</w:t>
      </w:r>
      <w:r w:rsidRPr="002335EE">
        <w:rPr>
          <w:sz w:val="20"/>
          <w:szCs w:val="20"/>
        </w:rPr>
        <w:t xml:space="preserve"> probable reserves, estimated using forecast prices and costs, by product type</w:t>
      </w:r>
      <w:r w:rsidR="00E1716A" w:rsidRPr="002335EE">
        <w:rPr>
          <w:sz w:val="20"/>
          <w:szCs w:val="20"/>
        </w:rPr>
        <w:t xml:space="preserve"> and by barrel of oil equivalent</w:t>
      </w:r>
      <w:r w:rsidR="00E53B93" w:rsidRPr="002335EE">
        <w:rPr>
          <w:sz w:val="20"/>
          <w:szCs w:val="20"/>
        </w:rPr>
        <w:t>,</w:t>
      </w:r>
      <w:r w:rsidR="00E1716A" w:rsidRPr="002335EE">
        <w:rPr>
          <w:sz w:val="20"/>
          <w:szCs w:val="20"/>
        </w:rPr>
        <w:t xml:space="preserve"> as of December 31</w:t>
      </w:r>
      <w:r w:rsidR="001257B2" w:rsidRPr="002335EE">
        <w:rPr>
          <w:sz w:val="20"/>
          <w:szCs w:val="20"/>
        </w:rPr>
        <w:t>,</w:t>
      </w:r>
      <w:r w:rsidR="00E1716A" w:rsidRPr="002335EE">
        <w:rPr>
          <w:sz w:val="20"/>
          <w:szCs w:val="20"/>
        </w:rPr>
        <w:t xml:space="preserve"> </w:t>
      </w:r>
      <w:r w:rsidR="00E03127" w:rsidRPr="002335EE">
        <w:rPr>
          <w:sz w:val="20"/>
          <w:szCs w:val="20"/>
        </w:rPr>
        <w:t>20</w:t>
      </w:r>
      <w:r w:rsidR="008867EC" w:rsidRPr="002335EE">
        <w:rPr>
          <w:sz w:val="20"/>
          <w:szCs w:val="20"/>
        </w:rPr>
        <w:t>2</w:t>
      </w:r>
      <w:r w:rsidR="007B6295" w:rsidRPr="002335EE">
        <w:rPr>
          <w:sz w:val="20"/>
          <w:szCs w:val="20"/>
        </w:rPr>
        <w:t>1</w:t>
      </w:r>
      <w:r w:rsidRPr="002335EE">
        <w:rPr>
          <w:sz w:val="20"/>
          <w:szCs w:val="20"/>
        </w:rPr>
        <w:t xml:space="preserve">.  </w:t>
      </w:r>
    </w:p>
    <w:p w14:paraId="6FA363C1" w14:textId="77777777" w:rsidR="00767618" w:rsidRPr="007B6295" w:rsidRDefault="00767618" w:rsidP="00767618">
      <w:pPr>
        <w:keepNext/>
        <w:jc w:val="center"/>
        <w:rPr>
          <w:rFonts w:ascii="Times New Roman" w:hAnsi="Times New Roman"/>
          <w:b/>
          <w:szCs w:val="22"/>
          <w:lang w:val="en-CA"/>
        </w:rPr>
      </w:pPr>
    </w:p>
    <w:p w14:paraId="6A36E676" w14:textId="77777777" w:rsidR="00767618" w:rsidRPr="007B6295" w:rsidRDefault="00767618" w:rsidP="001A6102">
      <w:pPr>
        <w:keepNext/>
        <w:jc w:val="center"/>
        <w:rPr>
          <w:rFonts w:ascii="Times New Roman" w:hAnsi="Times New Roman"/>
          <w:b/>
          <w:szCs w:val="22"/>
          <w:lang w:val="en-CA"/>
        </w:rPr>
      </w:pPr>
      <w:bookmarkStart w:id="0" w:name="OLE_LINK1"/>
      <w:r w:rsidRPr="007B6295">
        <w:rPr>
          <w:rFonts w:ascii="Times New Roman" w:hAnsi="Times New Roman"/>
          <w:b/>
          <w:szCs w:val="22"/>
          <w:lang w:val="en-CA"/>
        </w:rPr>
        <w:t>SUMMARY OF RESERVES</w:t>
      </w:r>
      <w:r w:rsidR="001A6102" w:rsidRPr="007B6295">
        <w:rPr>
          <w:rFonts w:ascii="Times New Roman" w:hAnsi="Times New Roman"/>
          <w:b/>
          <w:szCs w:val="22"/>
          <w:lang w:val="en-CA"/>
        </w:rPr>
        <w:t xml:space="preserve"> </w:t>
      </w:r>
      <w:r w:rsidRPr="007B6295">
        <w:rPr>
          <w:rFonts w:ascii="Times New Roman" w:hAnsi="Times New Roman"/>
          <w:b/>
          <w:szCs w:val="22"/>
          <w:lang w:val="en-CA"/>
        </w:rPr>
        <w:t xml:space="preserve">AS OF DECEMBER 31, </w:t>
      </w:r>
      <w:r w:rsidR="002F1371" w:rsidRPr="007B6295">
        <w:rPr>
          <w:rFonts w:ascii="Times New Roman" w:hAnsi="Times New Roman"/>
          <w:b/>
          <w:szCs w:val="22"/>
          <w:lang w:val="en-CA"/>
        </w:rPr>
        <w:t>202</w:t>
      </w:r>
      <w:r w:rsidR="007B6295">
        <w:rPr>
          <w:rFonts w:ascii="Times New Roman" w:hAnsi="Times New Roman"/>
          <w:b/>
          <w:szCs w:val="22"/>
          <w:lang w:val="en-CA"/>
        </w:rPr>
        <w:t>1</w:t>
      </w:r>
    </w:p>
    <w:p w14:paraId="573426BD" w14:textId="77777777" w:rsidR="0092574E" w:rsidRPr="007B6295" w:rsidRDefault="00767618" w:rsidP="00C93607">
      <w:pPr>
        <w:keepNext/>
        <w:spacing w:after="120" w:line="276" w:lineRule="auto"/>
        <w:jc w:val="center"/>
        <w:rPr>
          <w:rFonts w:ascii="Times New Roman" w:eastAsia="Calibri" w:hAnsi="Times New Roman"/>
          <w:sz w:val="20"/>
          <w:szCs w:val="20"/>
        </w:rPr>
      </w:pPr>
      <w:r w:rsidRPr="007B6295">
        <w:rPr>
          <w:rFonts w:ascii="Times New Roman" w:hAnsi="Times New Roman"/>
          <w:b/>
          <w:szCs w:val="22"/>
          <w:lang w:val="en-CA"/>
        </w:rPr>
        <w:t>(Forecast Prices &amp; Costs)</w:t>
      </w:r>
      <w:bookmarkEnd w:id="0"/>
      <w:r w:rsidR="0092574E" w:rsidRPr="007B6295">
        <w:rPr>
          <w:rFonts w:ascii="Times New Roman" w:hAnsi="Times New Roman"/>
          <w:lang w:val="en-CA"/>
        </w:rPr>
        <w:fldChar w:fldCharType="begin"/>
      </w:r>
      <w:r w:rsidR="0092574E" w:rsidRPr="007B6295">
        <w:rPr>
          <w:rFonts w:ascii="Times New Roman" w:hAnsi="Times New Roman"/>
          <w:lang w:val="en-CA"/>
        </w:rPr>
        <w:instrText xml:space="preserve"> LINK </w:instrText>
      </w:r>
      <w:r w:rsidR="002F1371" w:rsidRPr="007B6295">
        <w:rPr>
          <w:rFonts w:ascii="Times New Roman" w:hAnsi="Times New Roman"/>
          <w:lang w:val="en-CA"/>
        </w:rPr>
        <w:instrText xml:space="preserve">Excel.Sheet.12 "C:\\Users\\bmoss\\Dropbox\\Reserve Tables Dec 2019 Mar 20.xlsx" "PR Tables!R8C4:R18C16" </w:instrText>
      </w:r>
      <w:r w:rsidR="0092574E" w:rsidRPr="007B6295">
        <w:rPr>
          <w:rFonts w:ascii="Times New Roman" w:hAnsi="Times New Roman"/>
          <w:lang w:val="en-CA"/>
        </w:rPr>
        <w:instrText xml:space="preserve">\a \f 4 \h </w:instrText>
      </w:r>
      <w:r w:rsidR="007B6295" w:rsidRPr="007B6295">
        <w:rPr>
          <w:rFonts w:ascii="Times New Roman" w:hAnsi="Times New Roman"/>
          <w:lang w:val="en-CA"/>
        </w:rPr>
        <w:instrText xml:space="preserve"> \* MERGEFORMAT </w:instrText>
      </w:r>
      <w:r w:rsidR="0092574E" w:rsidRPr="007B6295">
        <w:rPr>
          <w:rFonts w:ascii="Times New Roman" w:hAnsi="Times New Roman"/>
          <w:lang w:val="en-CA"/>
        </w:rPr>
        <w:fldChar w:fldCharType="separate"/>
      </w:r>
    </w:p>
    <w:p w14:paraId="06BF13C1" w14:textId="77777777" w:rsidR="00394A3E" w:rsidRPr="007B6295" w:rsidRDefault="0092574E" w:rsidP="0092574E">
      <w:pPr>
        <w:tabs>
          <w:tab w:val="left" w:pos="1440"/>
        </w:tabs>
        <w:spacing w:before="120" w:line="240" w:lineRule="atLeast"/>
        <w:jc w:val="both"/>
        <w:rPr>
          <w:rFonts w:ascii="Times New Roman" w:hAnsi="Times New Roman"/>
          <w:szCs w:val="22"/>
          <w:lang w:val="en-CA"/>
        </w:rPr>
      </w:pPr>
      <w:r w:rsidRPr="007B6295">
        <w:rPr>
          <w:rFonts w:ascii="Times New Roman" w:hAnsi="Times New Roman"/>
          <w:szCs w:val="22"/>
          <w:lang w:val="en-CA"/>
        </w:rPr>
        <w:fldChar w:fldCharType="end"/>
      </w:r>
    </w:p>
    <w:tbl>
      <w:tblPr>
        <w:tblW w:w="10730" w:type="dxa"/>
        <w:tblInd w:w="-417" w:type="dxa"/>
        <w:tblCellMar>
          <w:left w:w="70" w:type="dxa"/>
          <w:right w:w="70" w:type="dxa"/>
        </w:tblCellMar>
        <w:tblLook w:val="04A0" w:firstRow="1" w:lastRow="0" w:firstColumn="1" w:lastColumn="0" w:noHBand="0" w:noVBand="1"/>
      </w:tblPr>
      <w:tblGrid>
        <w:gridCol w:w="2610"/>
        <w:gridCol w:w="1280"/>
        <w:gridCol w:w="960"/>
        <w:gridCol w:w="960"/>
        <w:gridCol w:w="960"/>
        <w:gridCol w:w="960"/>
        <w:gridCol w:w="960"/>
        <w:gridCol w:w="1040"/>
        <w:gridCol w:w="1000"/>
      </w:tblGrid>
      <w:tr w:rsidR="00394A3E" w:rsidRPr="007B6295" w14:paraId="3170D2F2" w14:textId="77777777" w:rsidTr="00394A3E">
        <w:trPr>
          <w:trHeight w:val="645"/>
        </w:trPr>
        <w:tc>
          <w:tcPr>
            <w:tcW w:w="2610" w:type="dxa"/>
            <w:vMerge w:val="restart"/>
            <w:tcBorders>
              <w:top w:val="nil"/>
              <w:left w:val="nil"/>
              <w:bottom w:val="nil"/>
              <w:right w:val="nil"/>
            </w:tcBorders>
            <w:shd w:val="clear" w:color="auto" w:fill="auto"/>
            <w:vAlign w:val="center"/>
            <w:hideMark/>
          </w:tcPr>
          <w:p w14:paraId="6B658696" w14:textId="77777777" w:rsidR="00394A3E" w:rsidRPr="007B6295" w:rsidRDefault="00394A3E" w:rsidP="00394A3E">
            <w:pPr>
              <w:rPr>
                <w:rFonts w:ascii="Times New Roman" w:hAnsi="Times New Roman"/>
                <w:sz w:val="20"/>
                <w:szCs w:val="20"/>
                <w:lang w:val="es-AR" w:eastAsia="es-AR"/>
              </w:rPr>
            </w:pPr>
          </w:p>
        </w:tc>
        <w:tc>
          <w:tcPr>
            <w:tcW w:w="2240" w:type="dxa"/>
            <w:gridSpan w:val="2"/>
            <w:tcBorders>
              <w:top w:val="nil"/>
              <w:left w:val="nil"/>
              <w:bottom w:val="nil"/>
              <w:right w:val="nil"/>
            </w:tcBorders>
            <w:shd w:val="clear" w:color="auto" w:fill="auto"/>
            <w:vAlign w:val="center"/>
            <w:hideMark/>
          </w:tcPr>
          <w:p w14:paraId="30E92087" w14:textId="77777777" w:rsidR="00394A3E" w:rsidRPr="007B6295" w:rsidRDefault="00394A3E" w:rsidP="00394A3E">
            <w:pPr>
              <w:jc w:val="center"/>
              <w:rPr>
                <w:rFonts w:ascii="Times New Roman" w:hAnsi="Times New Roman"/>
                <w:b/>
                <w:bCs/>
                <w:color w:val="000000"/>
                <w:sz w:val="18"/>
                <w:szCs w:val="18"/>
                <w:lang w:eastAsia="es-AR"/>
              </w:rPr>
            </w:pPr>
            <w:r w:rsidRPr="007B6295">
              <w:rPr>
                <w:rFonts w:ascii="Times New Roman" w:hAnsi="Times New Roman"/>
                <w:b/>
                <w:bCs/>
                <w:color w:val="000000"/>
                <w:sz w:val="18"/>
                <w:szCs w:val="18"/>
                <w:lang w:eastAsia="es-AR"/>
              </w:rPr>
              <w:t>Light and Medium Crude Oil</w:t>
            </w:r>
          </w:p>
        </w:tc>
        <w:tc>
          <w:tcPr>
            <w:tcW w:w="1920" w:type="dxa"/>
            <w:gridSpan w:val="2"/>
            <w:tcBorders>
              <w:top w:val="nil"/>
              <w:left w:val="nil"/>
              <w:bottom w:val="nil"/>
              <w:right w:val="nil"/>
            </w:tcBorders>
            <w:shd w:val="clear" w:color="auto" w:fill="auto"/>
            <w:vAlign w:val="center"/>
            <w:hideMark/>
          </w:tcPr>
          <w:p w14:paraId="7A91B494"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Conventional Natural Gas</w:t>
            </w:r>
          </w:p>
        </w:tc>
        <w:tc>
          <w:tcPr>
            <w:tcW w:w="1920" w:type="dxa"/>
            <w:gridSpan w:val="2"/>
            <w:tcBorders>
              <w:top w:val="nil"/>
              <w:left w:val="nil"/>
              <w:bottom w:val="nil"/>
              <w:right w:val="nil"/>
            </w:tcBorders>
            <w:shd w:val="clear" w:color="auto" w:fill="auto"/>
            <w:vAlign w:val="center"/>
            <w:hideMark/>
          </w:tcPr>
          <w:p w14:paraId="42C9944A"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Natural Gas Liquids</w:t>
            </w:r>
          </w:p>
        </w:tc>
        <w:tc>
          <w:tcPr>
            <w:tcW w:w="2040" w:type="dxa"/>
            <w:gridSpan w:val="2"/>
            <w:tcBorders>
              <w:top w:val="nil"/>
              <w:left w:val="nil"/>
              <w:bottom w:val="nil"/>
              <w:right w:val="nil"/>
            </w:tcBorders>
            <w:shd w:val="clear" w:color="auto" w:fill="auto"/>
            <w:vAlign w:val="center"/>
            <w:hideMark/>
          </w:tcPr>
          <w:p w14:paraId="4A4AC4E8" w14:textId="77777777" w:rsidR="00394A3E" w:rsidRPr="007B6295" w:rsidRDefault="00394A3E" w:rsidP="00394A3E">
            <w:pPr>
              <w:jc w:val="center"/>
              <w:rPr>
                <w:rFonts w:ascii="Times New Roman" w:hAnsi="Times New Roman"/>
                <w:b/>
                <w:bCs/>
                <w:color w:val="000000"/>
                <w:szCs w:val="22"/>
                <w:lang w:val="es-AR" w:eastAsia="es-AR"/>
              </w:rPr>
            </w:pPr>
            <w:r w:rsidRPr="007B6295">
              <w:rPr>
                <w:rFonts w:ascii="Times New Roman" w:hAnsi="Times New Roman"/>
                <w:b/>
                <w:bCs/>
                <w:color w:val="000000"/>
                <w:szCs w:val="22"/>
                <w:lang w:val="es-AR" w:eastAsia="es-AR"/>
              </w:rPr>
              <w:t>Total Reserves</w:t>
            </w:r>
          </w:p>
        </w:tc>
      </w:tr>
      <w:tr w:rsidR="00394A3E" w:rsidRPr="007B6295" w14:paraId="528FFEF9" w14:textId="77777777" w:rsidTr="00394A3E">
        <w:trPr>
          <w:trHeight w:val="315"/>
        </w:trPr>
        <w:tc>
          <w:tcPr>
            <w:tcW w:w="2610" w:type="dxa"/>
            <w:vMerge/>
            <w:tcBorders>
              <w:top w:val="nil"/>
              <w:left w:val="nil"/>
              <w:bottom w:val="nil"/>
              <w:right w:val="nil"/>
            </w:tcBorders>
            <w:vAlign w:val="center"/>
            <w:hideMark/>
          </w:tcPr>
          <w:p w14:paraId="50595F83" w14:textId="77777777" w:rsidR="00394A3E" w:rsidRPr="007B6295" w:rsidRDefault="00394A3E" w:rsidP="00394A3E">
            <w:pPr>
              <w:rPr>
                <w:rFonts w:ascii="Times New Roman" w:hAnsi="Times New Roman"/>
                <w:sz w:val="20"/>
                <w:szCs w:val="20"/>
                <w:lang w:val="es-AR" w:eastAsia="es-AR"/>
              </w:rPr>
            </w:pPr>
          </w:p>
        </w:tc>
        <w:tc>
          <w:tcPr>
            <w:tcW w:w="2240" w:type="dxa"/>
            <w:gridSpan w:val="2"/>
            <w:tcBorders>
              <w:top w:val="nil"/>
              <w:left w:val="nil"/>
              <w:bottom w:val="single" w:sz="8" w:space="0" w:color="auto"/>
              <w:right w:val="nil"/>
            </w:tcBorders>
            <w:shd w:val="clear" w:color="auto" w:fill="auto"/>
            <w:vAlign w:val="center"/>
            <w:hideMark/>
          </w:tcPr>
          <w:p w14:paraId="0FB1F704"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(Mbbl)</w:t>
            </w:r>
          </w:p>
        </w:tc>
        <w:tc>
          <w:tcPr>
            <w:tcW w:w="1920" w:type="dxa"/>
            <w:gridSpan w:val="2"/>
            <w:tcBorders>
              <w:top w:val="nil"/>
              <w:left w:val="nil"/>
              <w:bottom w:val="single" w:sz="8" w:space="0" w:color="auto"/>
              <w:right w:val="nil"/>
            </w:tcBorders>
            <w:shd w:val="clear" w:color="auto" w:fill="auto"/>
            <w:vAlign w:val="center"/>
            <w:hideMark/>
          </w:tcPr>
          <w:p w14:paraId="395E0070"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(MMcf)</w:t>
            </w:r>
          </w:p>
        </w:tc>
        <w:tc>
          <w:tcPr>
            <w:tcW w:w="1920" w:type="dxa"/>
            <w:gridSpan w:val="2"/>
            <w:tcBorders>
              <w:top w:val="nil"/>
              <w:left w:val="nil"/>
              <w:bottom w:val="single" w:sz="8" w:space="0" w:color="auto"/>
              <w:right w:val="nil"/>
            </w:tcBorders>
            <w:shd w:val="clear" w:color="auto" w:fill="auto"/>
            <w:vAlign w:val="center"/>
            <w:hideMark/>
          </w:tcPr>
          <w:p w14:paraId="66439410"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(Mbbl)</w:t>
            </w:r>
          </w:p>
        </w:tc>
        <w:tc>
          <w:tcPr>
            <w:tcW w:w="2040" w:type="dxa"/>
            <w:gridSpan w:val="2"/>
            <w:tcBorders>
              <w:top w:val="nil"/>
              <w:left w:val="nil"/>
              <w:bottom w:val="single" w:sz="8" w:space="0" w:color="auto"/>
              <w:right w:val="nil"/>
            </w:tcBorders>
            <w:shd w:val="clear" w:color="auto" w:fill="auto"/>
            <w:noWrap/>
            <w:vAlign w:val="bottom"/>
            <w:hideMark/>
          </w:tcPr>
          <w:p w14:paraId="49941FAD" w14:textId="77777777" w:rsidR="00394A3E" w:rsidRPr="007B6295" w:rsidRDefault="00394A3E" w:rsidP="00394A3E">
            <w:pPr>
              <w:jc w:val="center"/>
              <w:rPr>
                <w:rFonts w:ascii="Times New Roman" w:hAnsi="Times New Roman"/>
                <w:b/>
                <w:bCs/>
                <w:color w:val="000000"/>
                <w:szCs w:val="22"/>
                <w:lang w:val="es-AR" w:eastAsia="es-AR"/>
              </w:rPr>
            </w:pPr>
            <w:r w:rsidRPr="007B6295">
              <w:rPr>
                <w:rFonts w:ascii="Times New Roman" w:hAnsi="Times New Roman"/>
                <w:b/>
                <w:bCs/>
                <w:color w:val="000000"/>
                <w:szCs w:val="22"/>
                <w:lang w:val="es-AR" w:eastAsia="es-AR"/>
              </w:rPr>
              <w:t>MBOE</w:t>
            </w:r>
          </w:p>
        </w:tc>
      </w:tr>
      <w:tr w:rsidR="00394A3E" w:rsidRPr="007B6295" w14:paraId="33D9F5FE" w14:textId="77777777" w:rsidTr="00394A3E">
        <w:trPr>
          <w:trHeight w:val="300"/>
        </w:trPr>
        <w:tc>
          <w:tcPr>
            <w:tcW w:w="2610" w:type="dxa"/>
            <w:tcBorders>
              <w:top w:val="nil"/>
              <w:left w:val="nil"/>
              <w:bottom w:val="nil"/>
              <w:right w:val="nil"/>
            </w:tcBorders>
            <w:shd w:val="clear" w:color="auto" w:fill="auto"/>
            <w:vAlign w:val="center"/>
            <w:hideMark/>
          </w:tcPr>
          <w:p w14:paraId="7935691A" w14:textId="77777777" w:rsidR="00394A3E" w:rsidRPr="007B6295" w:rsidRDefault="00394A3E" w:rsidP="00394A3E">
            <w:pPr>
              <w:rPr>
                <w:rFonts w:ascii="Times New Roman" w:hAnsi="Times New Roman"/>
                <w:b/>
                <w:bCs/>
                <w:color w:val="000000"/>
                <w:sz w:val="18"/>
                <w:szCs w:val="18"/>
                <w:vertAlign w:val="superscript"/>
                <w:lang w:val="es-AR" w:eastAsia="es-AR"/>
              </w:rPr>
            </w:pPr>
            <w:r w:rsidRPr="007B6295">
              <w:rPr>
                <w:rFonts w:ascii="Times New Roman" w:hAnsi="Times New Roman"/>
                <w:b/>
                <w:bCs/>
                <w:color w:val="000000"/>
                <w:sz w:val="18"/>
                <w:szCs w:val="18"/>
                <w:lang w:val="es-AR" w:eastAsia="es-AR"/>
              </w:rPr>
              <w:t>Reserves Category</w:t>
            </w:r>
            <w:r w:rsidR="00E35476" w:rsidRPr="007B6295">
              <w:rPr>
                <w:rFonts w:ascii="Times New Roman" w:hAnsi="Times New Roman"/>
                <w:b/>
                <w:bCs/>
                <w:color w:val="000000"/>
                <w:sz w:val="18"/>
                <w:szCs w:val="18"/>
                <w:vertAlign w:val="superscript"/>
                <w:lang w:val="es-AR" w:eastAsia="es-AR"/>
              </w:rPr>
              <w:t>(2)</w:t>
            </w:r>
          </w:p>
        </w:tc>
        <w:tc>
          <w:tcPr>
            <w:tcW w:w="1280" w:type="dxa"/>
            <w:tcBorders>
              <w:top w:val="nil"/>
              <w:left w:val="nil"/>
              <w:bottom w:val="nil"/>
              <w:right w:val="nil"/>
            </w:tcBorders>
            <w:shd w:val="clear" w:color="auto" w:fill="auto"/>
            <w:vAlign w:val="center"/>
            <w:hideMark/>
          </w:tcPr>
          <w:p w14:paraId="110DF1B3"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Gross</w:t>
            </w:r>
          </w:p>
        </w:tc>
        <w:tc>
          <w:tcPr>
            <w:tcW w:w="960" w:type="dxa"/>
            <w:tcBorders>
              <w:top w:val="nil"/>
              <w:left w:val="nil"/>
              <w:bottom w:val="nil"/>
              <w:right w:val="nil"/>
            </w:tcBorders>
            <w:shd w:val="clear" w:color="auto" w:fill="auto"/>
            <w:vAlign w:val="center"/>
            <w:hideMark/>
          </w:tcPr>
          <w:p w14:paraId="5EFE1F31"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Net</w:t>
            </w:r>
          </w:p>
        </w:tc>
        <w:tc>
          <w:tcPr>
            <w:tcW w:w="960" w:type="dxa"/>
            <w:tcBorders>
              <w:top w:val="nil"/>
              <w:left w:val="nil"/>
              <w:bottom w:val="nil"/>
              <w:right w:val="nil"/>
            </w:tcBorders>
            <w:shd w:val="clear" w:color="auto" w:fill="auto"/>
            <w:vAlign w:val="center"/>
            <w:hideMark/>
          </w:tcPr>
          <w:p w14:paraId="55FF795C"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Gross</w:t>
            </w:r>
          </w:p>
        </w:tc>
        <w:tc>
          <w:tcPr>
            <w:tcW w:w="960" w:type="dxa"/>
            <w:tcBorders>
              <w:top w:val="nil"/>
              <w:left w:val="nil"/>
              <w:bottom w:val="nil"/>
              <w:right w:val="nil"/>
            </w:tcBorders>
            <w:shd w:val="clear" w:color="auto" w:fill="auto"/>
            <w:vAlign w:val="center"/>
            <w:hideMark/>
          </w:tcPr>
          <w:p w14:paraId="44DFA11A"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Net</w:t>
            </w:r>
          </w:p>
        </w:tc>
        <w:tc>
          <w:tcPr>
            <w:tcW w:w="960" w:type="dxa"/>
            <w:tcBorders>
              <w:top w:val="nil"/>
              <w:left w:val="nil"/>
              <w:bottom w:val="nil"/>
              <w:right w:val="nil"/>
            </w:tcBorders>
            <w:shd w:val="clear" w:color="auto" w:fill="auto"/>
            <w:vAlign w:val="center"/>
            <w:hideMark/>
          </w:tcPr>
          <w:p w14:paraId="523444C0"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Gross</w:t>
            </w:r>
          </w:p>
        </w:tc>
        <w:tc>
          <w:tcPr>
            <w:tcW w:w="960" w:type="dxa"/>
            <w:tcBorders>
              <w:top w:val="nil"/>
              <w:left w:val="nil"/>
              <w:bottom w:val="nil"/>
              <w:right w:val="nil"/>
            </w:tcBorders>
            <w:shd w:val="clear" w:color="auto" w:fill="auto"/>
            <w:vAlign w:val="center"/>
            <w:hideMark/>
          </w:tcPr>
          <w:p w14:paraId="3A3E5F94"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Net</w:t>
            </w:r>
          </w:p>
        </w:tc>
        <w:tc>
          <w:tcPr>
            <w:tcW w:w="1040" w:type="dxa"/>
            <w:tcBorders>
              <w:top w:val="nil"/>
              <w:left w:val="nil"/>
              <w:bottom w:val="nil"/>
              <w:right w:val="nil"/>
            </w:tcBorders>
            <w:shd w:val="clear" w:color="auto" w:fill="auto"/>
            <w:vAlign w:val="center"/>
            <w:hideMark/>
          </w:tcPr>
          <w:p w14:paraId="05E584D7"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Gross</w:t>
            </w:r>
          </w:p>
        </w:tc>
        <w:tc>
          <w:tcPr>
            <w:tcW w:w="1000" w:type="dxa"/>
            <w:tcBorders>
              <w:top w:val="single" w:sz="8" w:space="0" w:color="auto"/>
              <w:left w:val="nil"/>
              <w:bottom w:val="nil"/>
              <w:right w:val="nil"/>
            </w:tcBorders>
            <w:shd w:val="clear" w:color="auto" w:fill="auto"/>
            <w:vAlign w:val="center"/>
            <w:hideMark/>
          </w:tcPr>
          <w:p w14:paraId="5125D7F0" w14:textId="77777777" w:rsidR="00394A3E" w:rsidRPr="007B6295" w:rsidRDefault="00394A3E" w:rsidP="00394A3E">
            <w:pPr>
              <w:jc w:val="center"/>
              <w:rPr>
                <w:rFonts w:ascii="Times New Roman" w:hAnsi="Times New Roman"/>
                <w:b/>
                <w:bCs/>
                <w:color w:val="000000"/>
                <w:sz w:val="18"/>
                <w:szCs w:val="18"/>
                <w:lang w:val="es-AR" w:eastAsia="es-AR"/>
              </w:rPr>
            </w:pPr>
            <w:r w:rsidRPr="007B6295">
              <w:rPr>
                <w:rFonts w:ascii="Times New Roman" w:hAnsi="Times New Roman"/>
                <w:b/>
                <w:bCs/>
                <w:color w:val="000000"/>
                <w:sz w:val="18"/>
                <w:szCs w:val="18"/>
                <w:lang w:val="es-AR" w:eastAsia="es-AR"/>
              </w:rPr>
              <w:t>Net</w:t>
            </w:r>
          </w:p>
        </w:tc>
      </w:tr>
      <w:tr w:rsidR="00394A3E" w:rsidRPr="007B6295" w14:paraId="79FC9C9F" w14:textId="77777777" w:rsidTr="00394A3E">
        <w:trPr>
          <w:trHeight w:val="300"/>
        </w:trPr>
        <w:tc>
          <w:tcPr>
            <w:tcW w:w="2610" w:type="dxa"/>
            <w:tcBorders>
              <w:top w:val="nil"/>
              <w:left w:val="nil"/>
              <w:bottom w:val="nil"/>
              <w:right w:val="nil"/>
            </w:tcBorders>
            <w:shd w:val="clear" w:color="auto" w:fill="auto"/>
            <w:vAlign w:val="center"/>
            <w:hideMark/>
          </w:tcPr>
          <w:p w14:paraId="4BBEE904" w14:textId="77777777" w:rsidR="00394A3E" w:rsidRPr="007B6295" w:rsidRDefault="00394A3E" w:rsidP="00394A3E">
            <w:pPr>
              <w:rPr>
                <w:rFonts w:ascii="Times New Roman" w:hAnsi="Times New Roman"/>
                <w:color w:val="000000"/>
                <w:sz w:val="18"/>
                <w:szCs w:val="18"/>
                <w:lang w:val="es-AR" w:eastAsia="es-AR"/>
              </w:rPr>
            </w:pPr>
            <w:r w:rsidRPr="007B6295">
              <w:rPr>
                <w:rFonts w:ascii="Times New Roman" w:hAnsi="Times New Roman"/>
                <w:color w:val="000000"/>
                <w:sz w:val="18"/>
                <w:szCs w:val="18"/>
                <w:lang w:val="es-AR" w:eastAsia="es-AR"/>
              </w:rPr>
              <w:t>Proved:</w:t>
            </w:r>
          </w:p>
        </w:tc>
        <w:tc>
          <w:tcPr>
            <w:tcW w:w="1280" w:type="dxa"/>
            <w:tcBorders>
              <w:top w:val="nil"/>
              <w:left w:val="nil"/>
              <w:bottom w:val="nil"/>
              <w:right w:val="nil"/>
            </w:tcBorders>
            <w:shd w:val="clear" w:color="auto" w:fill="auto"/>
            <w:vAlign w:val="center"/>
            <w:hideMark/>
          </w:tcPr>
          <w:p w14:paraId="75FE0CD3" w14:textId="77777777" w:rsidR="00394A3E" w:rsidRPr="007B6295" w:rsidRDefault="00394A3E" w:rsidP="00394A3E">
            <w:pPr>
              <w:rPr>
                <w:rFonts w:ascii="Times New Roman" w:hAnsi="Times New Roman"/>
                <w:color w:val="000000"/>
                <w:sz w:val="18"/>
                <w:szCs w:val="18"/>
                <w:lang w:val="es-AR" w:eastAsia="es-AR"/>
              </w:rPr>
            </w:pPr>
          </w:p>
        </w:tc>
        <w:tc>
          <w:tcPr>
            <w:tcW w:w="960" w:type="dxa"/>
            <w:tcBorders>
              <w:top w:val="nil"/>
              <w:left w:val="nil"/>
              <w:bottom w:val="nil"/>
              <w:right w:val="nil"/>
            </w:tcBorders>
            <w:shd w:val="clear" w:color="auto" w:fill="auto"/>
            <w:vAlign w:val="center"/>
            <w:hideMark/>
          </w:tcPr>
          <w:p w14:paraId="2E3EFAB5" w14:textId="77777777" w:rsidR="00394A3E" w:rsidRPr="007B6295" w:rsidRDefault="00394A3E" w:rsidP="00394A3E">
            <w:pPr>
              <w:jc w:val="both"/>
              <w:rPr>
                <w:rFonts w:ascii="Times New Roman" w:hAnsi="Times New Roman"/>
                <w:sz w:val="20"/>
                <w:szCs w:val="20"/>
                <w:lang w:val="es-AR" w:eastAsia="es-AR"/>
              </w:rPr>
            </w:pPr>
          </w:p>
        </w:tc>
        <w:tc>
          <w:tcPr>
            <w:tcW w:w="960" w:type="dxa"/>
            <w:tcBorders>
              <w:top w:val="nil"/>
              <w:left w:val="nil"/>
              <w:bottom w:val="nil"/>
              <w:right w:val="nil"/>
            </w:tcBorders>
            <w:shd w:val="clear" w:color="auto" w:fill="auto"/>
            <w:vAlign w:val="center"/>
            <w:hideMark/>
          </w:tcPr>
          <w:p w14:paraId="4124B590" w14:textId="77777777" w:rsidR="00394A3E" w:rsidRPr="007B6295" w:rsidRDefault="00394A3E" w:rsidP="00394A3E">
            <w:pPr>
              <w:jc w:val="both"/>
              <w:rPr>
                <w:rFonts w:ascii="Times New Roman" w:hAnsi="Times New Roman"/>
                <w:sz w:val="20"/>
                <w:szCs w:val="20"/>
                <w:lang w:val="es-AR" w:eastAsia="es-AR"/>
              </w:rPr>
            </w:pPr>
          </w:p>
        </w:tc>
        <w:tc>
          <w:tcPr>
            <w:tcW w:w="960" w:type="dxa"/>
            <w:tcBorders>
              <w:top w:val="nil"/>
              <w:left w:val="nil"/>
              <w:bottom w:val="nil"/>
              <w:right w:val="nil"/>
            </w:tcBorders>
            <w:shd w:val="clear" w:color="auto" w:fill="auto"/>
            <w:vAlign w:val="center"/>
            <w:hideMark/>
          </w:tcPr>
          <w:p w14:paraId="38563DEA" w14:textId="77777777" w:rsidR="00394A3E" w:rsidRPr="007B6295" w:rsidRDefault="00394A3E" w:rsidP="00394A3E">
            <w:pPr>
              <w:jc w:val="both"/>
              <w:rPr>
                <w:rFonts w:ascii="Times New Roman" w:hAnsi="Times New Roman"/>
                <w:sz w:val="20"/>
                <w:szCs w:val="20"/>
                <w:lang w:val="es-AR" w:eastAsia="es-AR"/>
              </w:rPr>
            </w:pPr>
          </w:p>
        </w:tc>
        <w:tc>
          <w:tcPr>
            <w:tcW w:w="960" w:type="dxa"/>
            <w:tcBorders>
              <w:top w:val="nil"/>
              <w:left w:val="nil"/>
              <w:bottom w:val="nil"/>
              <w:right w:val="nil"/>
            </w:tcBorders>
            <w:shd w:val="clear" w:color="auto" w:fill="auto"/>
            <w:vAlign w:val="center"/>
            <w:hideMark/>
          </w:tcPr>
          <w:p w14:paraId="5F92035C" w14:textId="77777777" w:rsidR="00394A3E" w:rsidRPr="007B6295" w:rsidRDefault="00394A3E" w:rsidP="00394A3E">
            <w:pPr>
              <w:jc w:val="both"/>
              <w:rPr>
                <w:rFonts w:ascii="Times New Roman" w:hAnsi="Times New Roman"/>
                <w:sz w:val="20"/>
                <w:szCs w:val="20"/>
                <w:lang w:val="es-AR" w:eastAsia="es-AR"/>
              </w:rPr>
            </w:pPr>
          </w:p>
        </w:tc>
        <w:tc>
          <w:tcPr>
            <w:tcW w:w="960" w:type="dxa"/>
            <w:tcBorders>
              <w:top w:val="nil"/>
              <w:left w:val="nil"/>
              <w:bottom w:val="nil"/>
              <w:right w:val="nil"/>
            </w:tcBorders>
            <w:shd w:val="clear" w:color="auto" w:fill="auto"/>
            <w:vAlign w:val="center"/>
            <w:hideMark/>
          </w:tcPr>
          <w:p w14:paraId="7F97D9F4" w14:textId="77777777" w:rsidR="00394A3E" w:rsidRPr="007B6295" w:rsidRDefault="00394A3E" w:rsidP="00394A3E">
            <w:pPr>
              <w:jc w:val="both"/>
              <w:rPr>
                <w:rFonts w:ascii="Times New Roman" w:hAnsi="Times New Roman"/>
                <w:sz w:val="20"/>
                <w:szCs w:val="20"/>
                <w:lang w:val="es-AR" w:eastAsia="es-AR"/>
              </w:rPr>
            </w:pPr>
          </w:p>
        </w:tc>
        <w:tc>
          <w:tcPr>
            <w:tcW w:w="1040" w:type="dxa"/>
            <w:tcBorders>
              <w:top w:val="nil"/>
              <w:left w:val="nil"/>
              <w:bottom w:val="nil"/>
              <w:right w:val="nil"/>
            </w:tcBorders>
            <w:shd w:val="clear" w:color="auto" w:fill="auto"/>
            <w:noWrap/>
            <w:vAlign w:val="bottom"/>
            <w:hideMark/>
          </w:tcPr>
          <w:p w14:paraId="7F91574E" w14:textId="77777777" w:rsidR="00394A3E" w:rsidRPr="007B6295" w:rsidRDefault="00394A3E" w:rsidP="00394A3E">
            <w:pPr>
              <w:jc w:val="both"/>
              <w:rPr>
                <w:rFonts w:ascii="Times New Roman" w:hAnsi="Times New Roman"/>
                <w:sz w:val="20"/>
                <w:szCs w:val="20"/>
                <w:lang w:val="es-AR" w:eastAsia="es-AR"/>
              </w:rPr>
            </w:pPr>
          </w:p>
        </w:tc>
        <w:tc>
          <w:tcPr>
            <w:tcW w:w="1000" w:type="dxa"/>
            <w:tcBorders>
              <w:top w:val="nil"/>
              <w:left w:val="nil"/>
              <w:bottom w:val="nil"/>
              <w:right w:val="nil"/>
            </w:tcBorders>
            <w:shd w:val="clear" w:color="auto" w:fill="auto"/>
            <w:noWrap/>
            <w:vAlign w:val="bottom"/>
            <w:hideMark/>
          </w:tcPr>
          <w:p w14:paraId="05CF3A4F" w14:textId="77777777" w:rsidR="00394A3E" w:rsidRPr="007B6295" w:rsidRDefault="00394A3E" w:rsidP="00394A3E">
            <w:pPr>
              <w:rPr>
                <w:rFonts w:ascii="Times New Roman" w:hAnsi="Times New Roman"/>
                <w:sz w:val="20"/>
                <w:szCs w:val="20"/>
                <w:lang w:val="es-AR" w:eastAsia="es-AR"/>
              </w:rPr>
            </w:pPr>
          </w:p>
        </w:tc>
      </w:tr>
      <w:tr w:rsidR="007B6295" w:rsidRPr="007B6295" w14:paraId="18B75581" w14:textId="77777777" w:rsidTr="00BD6877">
        <w:trPr>
          <w:trHeight w:val="300"/>
        </w:trPr>
        <w:tc>
          <w:tcPr>
            <w:tcW w:w="2610" w:type="dxa"/>
            <w:tcBorders>
              <w:top w:val="nil"/>
              <w:left w:val="nil"/>
              <w:bottom w:val="nil"/>
              <w:right w:val="nil"/>
            </w:tcBorders>
            <w:shd w:val="clear" w:color="auto" w:fill="auto"/>
            <w:vAlign w:val="center"/>
            <w:hideMark/>
          </w:tcPr>
          <w:p w14:paraId="6B117B3E" w14:textId="77777777" w:rsidR="007B6295" w:rsidRPr="002335EE" w:rsidRDefault="007B6295" w:rsidP="007B6295">
            <w:pPr>
              <w:rPr>
                <w:rFonts w:ascii="Times New Roman" w:hAnsi="Times New Roman"/>
                <w:b/>
                <w:color w:val="000000"/>
                <w:sz w:val="18"/>
                <w:szCs w:val="18"/>
                <w:lang w:val="es-AR" w:eastAsia="es-AR"/>
              </w:rPr>
            </w:pPr>
            <w:r w:rsidRPr="007B6295">
              <w:rPr>
                <w:rFonts w:ascii="Times New Roman" w:hAnsi="Times New Roman"/>
                <w:color w:val="000000"/>
                <w:sz w:val="18"/>
                <w:szCs w:val="18"/>
                <w:lang w:val="es-AR" w:eastAsia="es-AR"/>
              </w:rPr>
              <w:t xml:space="preserve"> </w:t>
            </w:r>
            <w:r w:rsidRPr="002335EE">
              <w:rPr>
                <w:rFonts w:ascii="Times New Roman" w:hAnsi="Times New Roman"/>
                <w:b/>
                <w:color w:val="000000"/>
                <w:sz w:val="18"/>
                <w:szCs w:val="18"/>
                <w:lang w:val="es-AR" w:eastAsia="es-AR"/>
              </w:rPr>
              <w:t xml:space="preserve"> Developed Producing</w:t>
            </w:r>
          </w:p>
        </w:tc>
        <w:tc>
          <w:tcPr>
            <w:tcW w:w="1280" w:type="dxa"/>
            <w:tcBorders>
              <w:top w:val="nil"/>
              <w:left w:val="nil"/>
              <w:bottom w:val="nil"/>
              <w:right w:val="nil"/>
            </w:tcBorders>
            <w:shd w:val="clear" w:color="auto" w:fill="auto"/>
            <w:hideMark/>
          </w:tcPr>
          <w:p w14:paraId="18B1E08D"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2,303 </w:t>
            </w:r>
          </w:p>
        </w:tc>
        <w:tc>
          <w:tcPr>
            <w:tcW w:w="960" w:type="dxa"/>
            <w:tcBorders>
              <w:top w:val="nil"/>
              <w:left w:val="nil"/>
              <w:bottom w:val="nil"/>
              <w:right w:val="nil"/>
            </w:tcBorders>
            <w:shd w:val="clear" w:color="auto" w:fill="auto"/>
            <w:hideMark/>
          </w:tcPr>
          <w:p w14:paraId="7B0051C4"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1,991 </w:t>
            </w:r>
          </w:p>
        </w:tc>
        <w:tc>
          <w:tcPr>
            <w:tcW w:w="960" w:type="dxa"/>
            <w:tcBorders>
              <w:top w:val="nil"/>
              <w:left w:val="nil"/>
              <w:bottom w:val="nil"/>
              <w:right w:val="nil"/>
            </w:tcBorders>
            <w:shd w:val="clear" w:color="auto" w:fill="auto"/>
            <w:hideMark/>
          </w:tcPr>
          <w:p w14:paraId="564DD685"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4,847 </w:t>
            </w:r>
          </w:p>
        </w:tc>
        <w:tc>
          <w:tcPr>
            <w:tcW w:w="960" w:type="dxa"/>
            <w:tcBorders>
              <w:top w:val="nil"/>
              <w:left w:val="nil"/>
              <w:bottom w:val="nil"/>
              <w:right w:val="nil"/>
            </w:tcBorders>
            <w:shd w:val="clear" w:color="auto" w:fill="auto"/>
            <w:hideMark/>
          </w:tcPr>
          <w:p w14:paraId="032B9226"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4,061 </w:t>
            </w:r>
          </w:p>
        </w:tc>
        <w:tc>
          <w:tcPr>
            <w:tcW w:w="960" w:type="dxa"/>
            <w:tcBorders>
              <w:top w:val="nil"/>
              <w:left w:val="nil"/>
              <w:bottom w:val="nil"/>
              <w:right w:val="nil"/>
            </w:tcBorders>
            <w:shd w:val="clear" w:color="auto" w:fill="auto"/>
            <w:hideMark/>
          </w:tcPr>
          <w:p w14:paraId="39926983"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5 </w:t>
            </w:r>
          </w:p>
        </w:tc>
        <w:tc>
          <w:tcPr>
            <w:tcW w:w="960" w:type="dxa"/>
            <w:tcBorders>
              <w:top w:val="nil"/>
              <w:left w:val="nil"/>
              <w:bottom w:val="nil"/>
              <w:right w:val="nil"/>
            </w:tcBorders>
            <w:shd w:val="clear" w:color="auto" w:fill="auto"/>
            <w:hideMark/>
          </w:tcPr>
          <w:p w14:paraId="40E698CA"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4 </w:t>
            </w:r>
          </w:p>
        </w:tc>
        <w:tc>
          <w:tcPr>
            <w:tcW w:w="1040" w:type="dxa"/>
            <w:tcBorders>
              <w:top w:val="nil"/>
              <w:left w:val="nil"/>
              <w:bottom w:val="nil"/>
              <w:right w:val="nil"/>
            </w:tcBorders>
            <w:shd w:val="clear" w:color="auto" w:fill="auto"/>
            <w:noWrap/>
            <w:hideMark/>
          </w:tcPr>
          <w:p w14:paraId="698051D3" w14:textId="77777777" w:rsidR="007B6295" w:rsidRPr="007B6295" w:rsidRDefault="007B6295" w:rsidP="007B6295">
            <w:pPr>
              <w:jc w:val="center"/>
              <w:rPr>
                <w:rFonts w:ascii="Times New Roman" w:hAnsi="Times New Roman"/>
                <w:color w:val="000000"/>
                <w:sz w:val="18"/>
                <w:szCs w:val="18"/>
                <w:lang w:val="es-AR" w:eastAsia="es-AR"/>
              </w:rPr>
            </w:pPr>
            <w:r>
              <w:rPr>
                <w:b/>
                <w:bCs/>
                <w:sz w:val="16"/>
                <w:szCs w:val="16"/>
              </w:rPr>
              <w:t xml:space="preserve">3,116 </w:t>
            </w:r>
          </w:p>
        </w:tc>
        <w:tc>
          <w:tcPr>
            <w:tcW w:w="1000" w:type="dxa"/>
            <w:tcBorders>
              <w:top w:val="nil"/>
              <w:left w:val="nil"/>
              <w:bottom w:val="nil"/>
              <w:right w:val="nil"/>
            </w:tcBorders>
            <w:shd w:val="clear" w:color="auto" w:fill="auto"/>
            <w:noWrap/>
            <w:hideMark/>
          </w:tcPr>
          <w:p w14:paraId="7AD000B0" w14:textId="77777777" w:rsidR="007B6295" w:rsidRPr="007B6295" w:rsidRDefault="007B6295" w:rsidP="007B6295">
            <w:pPr>
              <w:jc w:val="center"/>
              <w:rPr>
                <w:rFonts w:ascii="Times New Roman" w:hAnsi="Times New Roman"/>
                <w:color w:val="000000"/>
                <w:sz w:val="18"/>
                <w:szCs w:val="18"/>
                <w:lang w:val="es-AR" w:eastAsia="es-AR"/>
              </w:rPr>
            </w:pPr>
            <w:r>
              <w:rPr>
                <w:b/>
                <w:bCs/>
                <w:sz w:val="16"/>
                <w:szCs w:val="16"/>
              </w:rPr>
              <w:t xml:space="preserve">2,672 </w:t>
            </w:r>
          </w:p>
        </w:tc>
      </w:tr>
      <w:tr w:rsidR="007B6295" w:rsidRPr="007B6295" w14:paraId="46DC5335" w14:textId="77777777" w:rsidTr="00BD6877">
        <w:trPr>
          <w:trHeight w:val="300"/>
        </w:trPr>
        <w:tc>
          <w:tcPr>
            <w:tcW w:w="2610" w:type="dxa"/>
            <w:tcBorders>
              <w:top w:val="nil"/>
              <w:left w:val="nil"/>
              <w:bottom w:val="nil"/>
              <w:right w:val="nil"/>
            </w:tcBorders>
            <w:shd w:val="clear" w:color="auto" w:fill="auto"/>
            <w:vAlign w:val="center"/>
            <w:hideMark/>
          </w:tcPr>
          <w:p w14:paraId="4C57E930" w14:textId="77777777" w:rsidR="007B6295" w:rsidRPr="007B6295" w:rsidRDefault="007B6295" w:rsidP="007B6295">
            <w:pPr>
              <w:rPr>
                <w:rFonts w:ascii="Times New Roman" w:hAnsi="Times New Roman"/>
                <w:color w:val="000000"/>
                <w:sz w:val="18"/>
                <w:szCs w:val="18"/>
                <w:lang w:val="es-AR" w:eastAsia="es-AR"/>
              </w:rPr>
            </w:pPr>
            <w:r w:rsidRPr="007B6295">
              <w:rPr>
                <w:rFonts w:ascii="Times New Roman" w:hAnsi="Times New Roman"/>
                <w:color w:val="000000"/>
                <w:sz w:val="18"/>
                <w:szCs w:val="18"/>
                <w:lang w:val="es-AR" w:eastAsia="es-AR"/>
              </w:rPr>
              <w:t xml:space="preserve">  Developed Non-Producing</w:t>
            </w:r>
          </w:p>
        </w:tc>
        <w:tc>
          <w:tcPr>
            <w:tcW w:w="1280" w:type="dxa"/>
            <w:tcBorders>
              <w:top w:val="nil"/>
              <w:left w:val="nil"/>
              <w:bottom w:val="nil"/>
              <w:right w:val="nil"/>
            </w:tcBorders>
            <w:shd w:val="clear" w:color="auto" w:fill="auto"/>
            <w:hideMark/>
          </w:tcPr>
          <w:p w14:paraId="6399C089"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1,018 </w:t>
            </w:r>
          </w:p>
        </w:tc>
        <w:tc>
          <w:tcPr>
            <w:tcW w:w="960" w:type="dxa"/>
            <w:tcBorders>
              <w:top w:val="nil"/>
              <w:left w:val="nil"/>
              <w:bottom w:val="nil"/>
              <w:right w:val="nil"/>
            </w:tcBorders>
            <w:shd w:val="clear" w:color="auto" w:fill="auto"/>
            <w:hideMark/>
          </w:tcPr>
          <w:p w14:paraId="1C7C2967"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885 </w:t>
            </w:r>
          </w:p>
        </w:tc>
        <w:tc>
          <w:tcPr>
            <w:tcW w:w="960" w:type="dxa"/>
            <w:tcBorders>
              <w:top w:val="nil"/>
              <w:left w:val="nil"/>
              <w:bottom w:val="nil"/>
              <w:right w:val="nil"/>
            </w:tcBorders>
            <w:shd w:val="clear" w:color="auto" w:fill="auto"/>
            <w:hideMark/>
          </w:tcPr>
          <w:p w14:paraId="624D21E4"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303 </w:t>
            </w:r>
          </w:p>
        </w:tc>
        <w:tc>
          <w:tcPr>
            <w:tcW w:w="960" w:type="dxa"/>
            <w:tcBorders>
              <w:top w:val="nil"/>
              <w:left w:val="nil"/>
              <w:bottom w:val="nil"/>
              <w:right w:val="nil"/>
            </w:tcBorders>
            <w:shd w:val="clear" w:color="auto" w:fill="auto"/>
            <w:hideMark/>
          </w:tcPr>
          <w:p w14:paraId="441A20FD"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254 </w:t>
            </w:r>
          </w:p>
        </w:tc>
        <w:tc>
          <w:tcPr>
            <w:tcW w:w="960" w:type="dxa"/>
            <w:tcBorders>
              <w:top w:val="nil"/>
              <w:left w:val="nil"/>
              <w:bottom w:val="nil"/>
              <w:right w:val="nil"/>
            </w:tcBorders>
            <w:shd w:val="clear" w:color="auto" w:fill="auto"/>
            <w:hideMark/>
          </w:tcPr>
          <w:p w14:paraId="397058BC"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0.3 </w:t>
            </w:r>
          </w:p>
        </w:tc>
        <w:tc>
          <w:tcPr>
            <w:tcW w:w="960" w:type="dxa"/>
            <w:tcBorders>
              <w:top w:val="nil"/>
              <w:left w:val="nil"/>
              <w:bottom w:val="nil"/>
              <w:right w:val="nil"/>
            </w:tcBorders>
            <w:shd w:val="clear" w:color="auto" w:fill="auto"/>
            <w:hideMark/>
          </w:tcPr>
          <w:p w14:paraId="2609016F"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0.3 </w:t>
            </w:r>
          </w:p>
        </w:tc>
        <w:tc>
          <w:tcPr>
            <w:tcW w:w="1040" w:type="dxa"/>
            <w:tcBorders>
              <w:top w:val="nil"/>
              <w:left w:val="nil"/>
              <w:bottom w:val="nil"/>
              <w:right w:val="nil"/>
            </w:tcBorders>
            <w:shd w:val="clear" w:color="auto" w:fill="auto"/>
            <w:noWrap/>
            <w:hideMark/>
          </w:tcPr>
          <w:p w14:paraId="4288D0B2" w14:textId="77777777" w:rsidR="007B6295" w:rsidRPr="007B6295" w:rsidRDefault="007B6295" w:rsidP="007B6295">
            <w:pPr>
              <w:jc w:val="center"/>
              <w:rPr>
                <w:rFonts w:ascii="Times New Roman" w:hAnsi="Times New Roman"/>
                <w:color w:val="000000"/>
                <w:sz w:val="18"/>
                <w:szCs w:val="18"/>
                <w:lang w:val="es-AR" w:eastAsia="es-AR"/>
              </w:rPr>
            </w:pPr>
            <w:r>
              <w:rPr>
                <w:sz w:val="16"/>
                <w:szCs w:val="16"/>
              </w:rPr>
              <w:t xml:space="preserve">1,069 </w:t>
            </w:r>
          </w:p>
        </w:tc>
        <w:tc>
          <w:tcPr>
            <w:tcW w:w="1000" w:type="dxa"/>
            <w:tcBorders>
              <w:top w:val="nil"/>
              <w:left w:val="nil"/>
              <w:bottom w:val="nil"/>
              <w:right w:val="nil"/>
            </w:tcBorders>
            <w:shd w:val="clear" w:color="auto" w:fill="auto"/>
            <w:noWrap/>
            <w:hideMark/>
          </w:tcPr>
          <w:p w14:paraId="15BB208C" w14:textId="77777777" w:rsidR="007B6295" w:rsidRPr="007B6295" w:rsidRDefault="007B6295" w:rsidP="007B6295">
            <w:pPr>
              <w:jc w:val="center"/>
              <w:rPr>
                <w:rFonts w:ascii="Times New Roman" w:hAnsi="Times New Roman"/>
                <w:color w:val="000000"/>
                <w:sz w:val="18"/>
                <w:szCs w:val="18"/>
                <w:lang w:val="es-AR" w:eastAsia="es-AR"/>
              </w:rPr>
            </w:pPr>
            <w:r>
              <w:rPr>
                <w:sz w:val="16"/>
                <w:szCs w:val="16"/>
              </w:rPr>
              <w:t xml:space="preserve">928 </w:t>
            </w:r>
          </w:p>
        </w:tc>
      </w:tr>
      <w:tr w:rsidR="007B6295" w:rsidRPr="007B6295" w14:paraId="7C74A781" w14:textId="77777777" w:rsidTr="00BD6877">
        <w:trPr>
          <w:trHeight w:val="300"/>
        </w:trPr>
        <w:tc>
          <w:tcPr>
            <w:tcW w:w="2610" w:type="dxa"/>
            <w:tcBorders>
              <w:top w:val="nil"/>
              <w:left w:val="nil"/>
              <w:bottom w:val="nil"/>
              <w:right w:val="nil"/>
            </w:tcBorders>
            <w:shd w:val="clear" w:color="auto" w:fill="auto"/>
            <w:vAlign w:val="center"/>
            <w:hideMark/>
          </w:tcPr>
          <w:p w14:paraId="0D70E283" w14:textId="77777777" w:rsidR="007B6295" w:rsidRPr="007B6295" w:rsidRDefault="007B6295" w:rsidP="007B6295">
            <w:pPr>
              <w:rPr>
                <w:rFonts w:ascii="Times New Roman" w:hAnsi="Times New Roman"/>
                <w:color w:val="000000"/>
                <w:sz w:val="18"/>
                <w:szCs w:val="18"/>
                <w:lang w:val="es-AR" w:eastAsia="es-AR"/>
              </w:rPr>
            </w:pPr>
            <w:r w:rsidRPr="007B6295">
              <w:rPr>
                <w:rFonts w:ascii="Times New Roman" w:hAnsi="Times New Roman"/>
                <w:color w:val="000000"/>
                <w:sz w:val="18"/>
                <w:szCs w:val="18"/>
                <w:lang w:val="es-AR" w:eastAsia="es-AR"/>
              </w:rPr>
              <w:t xml:space="preserve">  Undeveloped</w:t>
            </w:r>
          </w:p>
        </w:tc>
        <w:tc>
          <w:tcPr>
            <w:tcW w:w="1280" w:type="dxa"/>
            <w:tcBorders>
              <w:top w:val="nil"/>
              <w:left w:val="nil"/>
              <w:bottom w:val="nil"/>
              <w:right w:val="nil"/>
            </w:tcBorders>
            <w:shd w:val="clear" w:color="auto" w:fill="auto"/>
            <w:hideMark/>
          </w:tcPr>
          <w:p w14:paraId="3EAE6F4A"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600 </w:t>
            </w:r>
          </w:p>
        </w:tc>
        <w:tc>
          <w:tcPr>
            <w:tcW w:w="960" w:type="dxa"/>
            <w:tcBorders>
              <w:top w:val="nil"/>
              <w:left w:val="nil"/>
              <w:bottom w:val="nil"/>
              <w:right w:val="nil"/>
            </w:tcBorders>
            <w:shd w:val="clear" w:color="auto" w:fill="auto"/>
            <w:hideMark/>
          </w:tcPr>
          <w:p w14:paraId="44F05076"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522 </w:t>
            </w:r>
          </w:p>
        </w:tc>
        <w:tc>
          <w:tcPr>
            <w:tcW w:w="960" w:type="dxa"/>
            <w:tcBorders>
              <w:top w:val="nil"/>
              <w:left w:val="nil"/>
              <w:bottom w:val="nil"/>
              <w:right w:val="nil"/>
            </w:tcBorders>
            <w:shd w:val="clear" w:color="auto" w:fill="auto"/>
            <w:hideMark/>
          </w:tcPr>
          <w:p w14:paraId="524B8BE5"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   </w:t>
            </w:r>
          </w:p>
        </w:tc>
        <w:tc>
          <w:tcPr>
            <w:tcW w:w="960" w:type="dxa"/>
            <w:tcBorders>
              <w:top w:val="nil"/>
              <w:left w:val="nil"/>
              <w:bottom w:val="nil"/>
              <w:right w:val="nil"/>
            </w:tcBorders>
            <w:shd w:val="clear" w:color="auto" w:fill="auto"/>
            <w:hideMark/>
          </w:tcPr>
          <w:p w14:paraId="37429F8B"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   </w:t>
            </w:r>
          </w:p>
        </w:tc>
        <w:tc>
          <w:tcPr>
            <w:tcW w:w="960" w:type="dxa"/>
            <w:tcBorders>
              <w:top w:val="nil"/>
              <w:left w:val="nil"/>
              <w:bottom w:val="nil"/>
              <w:right w:val="nil"/>
            </w:tcBorders>
            <w:shd w:val="clear" w:color="auto" w:fill="auto"/>
            <w:hideMark/>
          </w:tcPr>
          <w:p w14:paraId="11EF58B0"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   </w:t>
            </w:r>
          </w:p>
        </w:tc>
        <w:tc>
          <w:tcPr>
            <w:tcW w:w="960" w:type="dxa"/>
            <w:tcBorders>
              <w:top w:val="nil"/>
              <w:left w:val="nil"/>
              <w:bottom w:val="nil"/>
              <w:right w:val="nil"/>
            </w:tcBorders>
            <w:shd w:val="clear" w:color="auto" w:fill="auto"/>
            <w:hideMark/>
          </w:tcPr>
          <w:p w14:paraId="262A0C77"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   </w:t>
            </w:r>
          </w:p>
        </w:tc>
        <w:tc>
          <w:tcPr>
            <w:tcW w:w="1040" w:type="dxa"/>
            <w:tcBorders>
              <w:top w:val="nil"/>
              <w:left w:val="nil"/>
              <w:bottom w:val="nil"/>
              <w:right w:val="nil"/>
            </w:tcBorders>
            <w:shd w:val="clear" w:color="auto" w:fill="auto"/>
            <w:noWrap/>
            <w:hideMark/>
          </w:tcPr>
          <w:p w14:paraId="362CF15F" w14:textId="77777777" w:rsidR="007B6295" w:rsidRPr="007B6295" w:rsidRDefault="007B6295" w:rsidP="007B6295">
            <w:pPr>
              <w:jc w:val="center"/>
              <w:rPr>
                <w:rFonts w:ascii="Times New Roman" w:hAnsi="Times New Roman"/>
                <w:color w:val="000000"/>
                <w:sz w:val="18"/>
                <w:szCs w:val="18"/>
                <w:lang w:val="es-AR" w:eastAsia="es-AR"/>
              </w:rPr>
            </w:pPr>
            <w:r>
              <w:rPr>
                <w:sz w:val="16"/>
                <w:szCs w:val="16"/>
              </w:rPr>
              <w:t xml:space="preserve">600 </w:t>
            </w:r>
          </w:p>
        </w:tc>
        <w:tc>
          <w:tcPr>
            <w:tcW w:w="1000" w:type="dxa"/>
            <w:tcBorders>
              <w:top w:val="nil"/>
              <w:left w:val="nil"/>
              <w:bottom w:val="nil"/>
              <w:right w:val="nil"/>
            </w:tcBorders>
            <w:shd w:val="clear" w:color="auto" w:fill="auto"/>
            <w:noWrap/>
            <w:hideMark/>
          </w:tcPr>
          <w:p w14:paraId="75348F91" w14:textId="77777777" w:rsidR="007B6295" w:rsidRPr="007B6295" w:rsidRDefault="007B6295" w:rsidP="007B6295">
            <w:pPr>
              <w:jc w:val="center"/>
              <w:rPr>
                <w:rFonts w:ascii="Times New Roman" w:hAnsi="Times New Roman"/>
                <w:color w:val="000000"/>
                <w:sz w:val="18"/>
                <w:szCs w:val="18"/>
                <w:lang w:val="es-AR" w:eastAsia="es-AR"/>
              </w:rPr>
            </w:pPr>
            <w:r>
              <w:rPr>
                <w:sz w:val="16"/>
                <w:szCs w:val="16"/>
              </w:rPr>
              <w:t xml:space="preserve">522 </w:t>
            </w:r>
          </w:p>
        </w:tc>
      </w:tr>
      <w:tr w:rsidR="007B6295" w:rsidRPr="007B6295" w14:paraId="76B7F420" w14:textId="77777777" w:rsidTr="00BD6877">
        <w:trPr>
          <w:trHeight w:val="300"/>
        </w:trPr>
        <w:tc>
          <w:tcPr>
            <w:tcW w:w="2610" w:type="dxa"/>
            <w:tcBorders>
              <w:top w:val="nil"/>
              <w:left w:val="nil"/>
              <w:bottom w:val="nil"/>
              <w:right w:val="nil"/>
            </w:tcBorders>
            <w:shd w:val="clear" w:color="auto" w:fill="auto"/>
            <w:vAlign w:val="center"/>
            <w:hideMark/>
          </w:tcPr>
          <w:p w14:paraId="224B0D8E" w14:textId="77777777" w:rsidR="007B6295" w:rsidRPr="002335EE" w:rsidRDefault="007B6295" w:rsidP="007B6295">
            <w:pPr>
              <w:rPr>
                <w:rFonts w:ascii="Times New Roman" w:hAnsi="Times New Roman"/>
                <w:b/>
                <w:color w:val="000000"/>
                <w:sz w:val="18"/>
                <w:szCs w:val="18"/>
                <w:lang w:val="es-AR" w:eastAsia="es-AR"/>
              </w:rPr>
            </w:pPr>
            <w:r w:rsidRPr="002335EE">
              <w:rPr>
                <w:rFonts w:ascii="Times New Roman" w:hAnsi="Times New Roman"/>
                <w:b/>
                <w:color w:val="000000"/>
                <w:sz w:val="18"/>
                <w:szCs w:val="18"/>
                <w:lang w:val="es-AR" w:eastAsia="es-AR"/>
              </w:rPr>
              <w:t>Total Proved</w:t>
            </w:r>
          </w:p>
        </w:tc>
        <w:tc>
          <w:tcPr>
            <w:tcW w:w="1280" w:type="dxa"/>
            <w:tcBorders>
              <w:top w:val="single" w:sz="4" w:space="0" w:color="auto"/>
              <w:left w:val="nil"/>
              <w:bottom w:val="nil"/>
              <w:right w:val="nil"/>
            </w:tcBorders>
            <w:shd w:val="clear" w:color="auto" w:fill="auto"/>
            <w:hideMark/>
          </w:tcPr>
          <w:p w14:paraId="3453C6A5"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3,921 </w:t>
            </w:r>
          </w:p>
        </w:tc>
        <w:tc>
          <w:tcPr>
            <w:tcW w:w="960" w:type="dxa"/>
            <w:tcBorders>
              <w:top w:val="single" w:sz="4" w:space="0" w:color="auto"/>
              <w:left w:val="nil"/>
              <w:bottom w:val="nil"/>
              <w:right w:val="nil"/>
            </w:tcBorders>
            <w:shd w:val="clear" w:color="auto" w:fill="auto"/>
            <w:hideMark/>
          </w:tcPr>
          <w:p w14:paraId="0CF87B6A"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3,399 </w:t>
            </w:r>
          </w:p>
        </w:tc>
        <w:tc>
          <w:tcPr>
            <w:tcW w:w="960" w:type="dxa"/>
            <w:tcBorders>
              <w:top w:val="single" w:sz="4" w:space="0" w:color="auto"/>
              <w:left w:val="nil"/>
              <w:bottom w:val="nil"/>
              <w:right w:val="nil"/>
            </w:tcBorders>
            <w:shd w:val="clear" w:color="auto" w:fill="auto"/>
            <w:hideMark/>
          </w:tcPr>
          <w:p w14:paraId="33A35252"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5,151 </w:t>
            </w:r>
          </w:p>
        </w:tc>
        <w:tc>
          <w:tcPr>
            <w:tcW w:w="960" w:type="dxa"/>
            <w:tcBorders>
              <w:top w:val="single" w:sz="4" w:space="0" w:color="auto"/>
              <w:left w:val="nil"/>
              <w:bottom w:val="nil"/>
              <w:right w:val="nil"/>
            </w:tcBorders>
            <w:shd w:val="clear" w:color="auto" w:fill="auto"/>
            <w:hideMark/>
          </w:tcPr>
          <w:p w14:paraId="1B99F234"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4,314 </w:t>
            </w:r>
          </w:p>
        </w:tc>
        <w:tc>
          <w:tcPr>
            <w:tcW w:w="960" w:type="dxa"/>
            <w:tcBorders>
              <w:top w:val="single" w:sz="4" w:space="0" w:color="auto"/>
              <w:left w:val="nil"/>
              <w:bottom w:val="nil"/>
              <w:right w:val="nil"/>
            </w:tcBorders>
            <w:shd w:val="clear" w:color="auto" w:fill="auto"/>
            <w:hideMark/>
          </w:tcPr>
          <w:p w14:paraId="7BED6345"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5 </w:t>
            </w:r>
          </w:p>
        </w:tc>
        <w:tc>
          <w:tcPr>
            <w:tcW w:w="960" w:type="dxa"/>
            <w:tcBorders>
              <w:top w:val="single" w:sz="4" w:space="0" w:color="auto"/>
              <w:left w:val="nil"/>
              <w:bottom w:val="nil"/>
              <w:right w:val="nil"/>
            </w:tcBorders>
            <w:shd w:val="clear" w:color="auto" w:fill="auto"/>
            <w:hideMark/>
          </w:tcPr>
          <w:p w14:paraId="5D06389D"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4 </w:t>
            </w:r>
          </w:p>
        </w:tc>
        <w:tc>
          <w:tcPr>
            <w:tcW w:w="1040" w:type="dxa"/>
            <w:tcBorders>
              <w:top w:val="single" w:sz="4" w:space="0" w:color="auto"/>
              <w:left w:val="nil"/>
              <w:bottom w:val="nil"/>
              <w:right w:val="nil"/>
            </w:tcBorders>
            <w:shd w:val="clear" w:color="auto" w:fill="auto"/>
            <w:noWrap/>
            <w:hideMark/>
          </w:tcPr>
          <w:p w14:paraId="52B6C443" w14:textId="77777777" w:rsidR="007B6295" w:rsidRPr="007B6295" w:rsidRDefault="007B6295" w:rsidP="007B6295">
            <w:pPr>
              <w:jc w:val="center"/>
              <w:rPr>
                <w:rFonts w:ascii="Times New Roman" w:hAnsi="Times New Roman"/>
                <w:color w:val="000000"/>
                <w:sz w:val="18"/>
                <w:szCs w:val="18"/>
                <w:lang w:val="es-AR" w:eastAsia="es-AR"/>
              </w:rPr>
            </w:pPr>
            <w:r>
              <w:rPr>
                <w:b/>
                <w:bCs/>
                <w:sz w:val="16"/>
                <w:szCs w:val="16"/>
              </w:rPr>
              <w:t xml:space="preserve">4,785 </w:t>
            </w:r>
          </w:p>
        </w:tc>
        <w:tc>
          <w:tcPr>
            <w:tcW w:w="1000" w:type="dxa"/>
            <w:tcBorders>
              <w:top w:val="single" w:sz="4" w:space="0" w:color="auto"/>
              <w:left w:val="nil"/>
              <w:bottom w:val="nil"/>
              <w:right w:val="nil"/>
            </w:tcBorders>
            <w:shd w:val="clear" w:color="auto" w:fill="auto"/>
            <w:noWrap/>
            <w:hideMark/>
          </w:tcPr>
          <w:p w14:paraId="48942764" w14:textId="77777777" w:rsidR="007B6295" w:rsidRPr="007B6295" w:rsidRDefault="007B6295" w:rsidP="007B6295">
            <w:pPr>
              <w:jc w:val="center"/>
              <w:rPr>
                <w:rFonts w:ascii="Times New Roman" w:hAnsi="Times New Roman"/>
                <w:color w:val="000000"/>
                <w:sz w:val="18"/>
                <w:szCs w:val="18"/>
                <w:lang w:val="es-AR" w:eastAsia="es-AR"/>
              </w:rPr>
            </w:pPr>
            <w:r>
              <w:rPr>
                <w:b/>
                <w:bCs/>
                <w:sz w:val="16"/>
                <w:szCs w:val="16"/>
              </w:rPr>
              <w:t xml:space="preserve">4,122 </w:t>
            </w:r>
          </w:p>
        </w:tc>
      </w:tr>
      <w:tr w:rsidR="007B6295" w:rsidRPr="007B6295" w14:paraId="5D65EB2F" w14:textId="77777777" w:rsidTr="00BD6877">
        <w:trPr>
          <w:trHeight w:val="300"/>
        </w:trPr>
        <w:tc>
          <w:tcPr>
            <w:tcW w:w="2610" w:type="dxa"/>
            <w:tcBorders>
              <w:top w:val="nil"/>
              <w:left w:val="nil"/>
              <w:bottom w:val="nil"/>
              <w:right w:val="nil"/>
            </w:tcBorders>
            <w:shd w:val="clear" w:color="auto" w:fill="auto"/>
            <w:vAlign w:val="center"/>
            <w:hideMark/>
          </w:tcPr>
          <w:p w14:paraId="0A1D76CD" w14:textId="77777777" w:rsidR="007B6295" w:rsidRPr="007B6295" w:rsidRDefault="007B6295" w:rsidP="007B6295">
            <w:pPr>
              <w:rPr>
                <w:rFonts w:ascii="Times New Roman" w:hAnsi="Times New Roman"/>
                <w:color w:val="000000"/>
                <w:sz w:val="18"/>
                <w:szCs w:val="18"/>
                <w:lang w:val="es-AR" w:eastAsia="es-AR"/>
              </w:rPr>
            </w:pPr>
            <w:r w:rsidRPr="007B6295">
              <w:rPr>
                <w:rFonts w:ascii="Times New Roman" w:hAnsi="Times New Roman"/>
                <w:color w:val="000000"/>
                <w:sz w:val="18"/>
                <w:szCs w:val="18"/>
                <w:lang w:val="es-AR" w:eastAsia="es-AR"/>
              </w:rPr>
              <w:t>Total Probable</w:t>
            </w:r>
          </w:p>
        </w:tc>
        <w:tc>
          <w:tcPr>
            <w:tcW w:w="1280" w:type="dxa"/>
            <w:tcBorders>
              <w:top w:val="nil"/>
              <w:left w:val="nil"/>
              <w:bottom w:val="nil"/>
              <w:right w:val="nil"/>
            </w:tcBorders>
            <w:shd w:val="clear" w:color="auto" w:fill="auto"/>
            <w:hideMark/>
          </w:tcPr>
          <w:p w14:paraId="27633DA9"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2,017 </w:t>
            </w:r>
          </w:p>
        </w:tc>
        <w:tc>
          <w:tcPr>
            <w:tcW w:w="960" w:type="dxa"/>
            <w:tcBorders>
              <w:top w:val="nil"/>
              <w:left w:val="nil"/>
              <w:bottom w:val="nil"/>
              <w:right w:val="nil"/>
            </w:tcBorders>
            <w:shd w:val="clear" w:color="auto" w:fill="auto"/>
            <w:hideMark/>
          </w:tcPr>
          <w:p w14:paraId="25415629"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1,746 </w:t>
            </w:r>
          </w:p>
        </w:tc>
        <w:tc>
          <w:tcPr>
            <w:tcW w:w="960" w:type="dxa"/>
            <w:tcBorders>
              <w:top w:val="nil"/>
              <w:left w:val="nil"/>
              <w:bottom w:val="nil"/>
              <w:right w:val="nil"/>
            </w:tcBorders>
            <w:shd w:val="clear" w:color="auto" w:fill="auto"/>
            <w:hideMark/>
          </w:tcPr>
          <w:p w14:paraId="56932D99"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718 </w:t>
            </w:r>
          </w:p>
        </w:tc>
        <w:tc>
          <w:tcPr>
            <w:tcW w:w="960" w:type="dxa"/>
            <w:tcBorders>
              <w:top w:val="nil"/>
              <w:left w:val="nil"/>
              <w:bottom w:val="nil"/>
              <w:right w:val="nil"/>
            </w:tcBorders>
            <w:shd w:val="clear" w:color="auto" w:fill="auto"/>
            <w:hideMark/>
          </w:tcPr>
          <w:p w14:paraId="67492417"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607 </w:t>
            </w:r>
          </w:p>
        </w:tc>
        <w:tc>
          <w:tcPr>
            <w:tcW w:w="960" w:type="dxa"/>
            <w:tcBorders>
              <w:top w:val="nil"/>
              <w:left w:val="nil"/>
              <w:bottom w:val="nil"/>
              <w:right w:val="nil"/>
            </w:tcBorders>
            <w:shd w:val="clear" w:color="auto" w:fill="auto"/>
            <w:hideMark/>
          </w:tcPr>
          <w:p w14:paraId="7BFA7A91"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1 </w:t>
            </w:r>
          </w:p>
        </w:tc>
        <w:tc>
          <w:tcPr>
            <w:tcW w:w="960" w:type="dxa"/>
            <w:tcBorders>
              <w:top w:val="nil"/>
              <w:left w:val="nil"/>
              <w:bottom w:val="nil"/>
              <w:right w:val="nil"/>
            </w:tcBorders>
            <w:shd w:val="clear" w:color="auto" w:fill="auto"/>
            <w:hideMark/>
          </w:tcPr>
          <w:p w14:paraId="533D0250" w14:textId="77777777" w:rsidR="007B6295" w:rsidRPr="007B6295" w:rsidRDefault="007B6295" w:rsidP="007B6295">
            <w:pPr>
              <w:jc w:val="center"/>
              <w:rPr>
                <w:rFonts w:ascii="Times New Roman" w:hAnsi="Times New Roman"/>
                <w:sz w:val="18"/>
                <w:szCs w:val="18"/>
                <w:lang w:val="es-AR" w:eastAsia="es-AR"/>
              </w:rPr>
            </w:pPr>
            <w:r>
              <w:rPr>
                <w:sz w:val="16"/>
                <w:szCs w:val="16"/>
              </w:rPr>
              <w:t xml:space="preserve">1 </w:t>
            </w:r>
          </w:p>
        </w:tc>
        <w:tc>
          <w:tcPr>
            <w:tcW w:w="1040" w:type="dxa"/>
            <w:tcBorders>
              <w:top w:val="nil"/>
              <w:left w:val="nil"/>
              <w:bottom w:val="nil"/>
              <w:right w:val="nil"/>
            </w:tcBorders>
            <w:shd w:val="clear" w:color="auto" w:fill="auto"/>
            <w:noWrap/>
            <w:hideMark/>
          </w:tcPr>
          <w:p w14:paraId="668E97CB" w14:textId="77777777" w:rsidR="007B6295" w:rsidRPr="007B6295" w:rsidRDefault="007B6295" w:rsidP="007B6295">
            <w:pPr>
              <w:jc w:val="center"/>
              <w:rPr>
                <w:rFonts w:ascii="Times New Roman" w:hAnsi="Times New Roman"/>
                <w:color w:val="000000"/>
                <w:sz w:val="18"/>
                <w:szCs w:val="18"/>
                <w:lang w:val="es-AR" w:eastAsia="es-AR"/>
              </w:rPr>
            </w:pPr>
            <w:r>
              <w:rPr>
                <w:sz w:val="16"/>
                <w:szCs w:val="16"/>
              </w:rPr>
              <w:t xml:space="preserve">2,138 </w:t>
            </w:r>
          </w:p>
        </w:tc>
        <w:tc>
          <w:tcPr>
            <w:tcW w:w="1000" w:type="dxa"/>
            <w:tcBorders>
              <w:top w:val="nil"/>
              <w:left w:val="nil"/>
              <w:bottom w:val="nil"/>
              <w:right w:val="nil"/>
            </w:tcBorders>
            <w:shd w:val="clear" w:color="auto" w:fill="auto"/>
            <w:noWrap/>
            <w:hideMark/>
          </w:tcPr>
          <w:p w14:paraId="076233B2" w14:textId="77777777" w:rsidR="007B6295" w:rsidRPr="007B6295" w:rsidRDefault="007B6295" w:rsidP="007B6295">
            <w:pPr>
              <w:jc w:val="center"/>
              <w:rPr>
                <w:rFonts w:ascii="Times New Roman" w:hAnsi="Times New Roman"/>
                <w:color w:val="000000"/>
                <w:sz w:val="18"/>
                <w:szCs w:val="18"/>
                <w:lang w:val="es-AR" w:eastAsia="es-AR"/>
              </w:rPr>
            </w:pPr>
            <w:r>
              <w:rPr>
                <w:sz w:val="16"/>
                <w:szCs w:val="16"/>
              </w:rPr>
              <w:t xml:space="preserve">1,848 </w:t>
            </w:r>
          </w:p>
        </w:tc>
      </w:tr>
      <w:tr w:rsidR="007B6295" w:rsidRPr="007B6295" w14:paraId="240B0AF0" w14:textId="77777777" w:rsidTr="00BD6877">
        <w:trPr>
          <w:trHeight w:val="300"/>
        </w:trPr>
        <w:tc>
          <w:tcPr>
            <w:tcW w:w="2610" w:type="dxa"/>
            <w:tcBorders>
              <w:top w:val="nil"/>
              <w:left w:val="nil"/>
              <w:bottom w:val="nil"/>
              <w:right w:val="nil"/>
            </w:tcBorders>
            <w:shd w:val="clear" w:color="auto" w:fill="auto"/>
            <w:vAlign w:val="center"/>
            <w:hideMark/>
          </w:tcPr>
          <w:p w14:paraId="29FC5AC5" w14:textId="77777777" w:rsidR="007B6295" w:rsidRPr="002335EE" w:rsidRDefault="007B6295" w:rsidP="007B6295">
            <w:pPr>
              <w:rPr>
                <w:rFonts w:ascii="Times New Roman" w:hAnsi="Times New Roman"/>
                <w:b/>
                <w:color w:val="000000"/>
                <w:sz w:val="18"/>
                <w:szCs w:val="18"/>
                <w:lang w:val="es-AR" w:eastAsia="es-AR"/>
              </w:rPr>
            </w:pPr>
            <w:r w:rsidRPr="002335EE">
              <w:rPr>
                <w:rFonts w:ascii="Times New Roman" w:hAnsi="Times New Roman"/>
                <w:b/>
                <w:color w:val="000000"/>
                <w:sz w:val="18"/>
                <w:szCs w:val="18"/>
                <w:lang w:val="es-AR" w:eastAsia="es-AR"/>
              </w:rPr>
              <w:t>Total Proved plus Probable</w:t>
            </w:r>
          </w:p>
        </w:tc>
        <w:tc>
          <w:tcPr>
            <w:tcW w:w="1280" w:type="dxa"/>
            <w:tcBorders>
              <w:top w:val="single" w:sz="4" w:space="0" w:color="auto"/>
              <w:left w:val="nil"/>
              <w:bottom w:val="nil"/>
              <w:right w:val="nil"/>
            </w:tcBorders>
            <w:shd w:val="clear" w:color="auto" w:fill="auto"/>
            <w:hideMark/>
          </w:tcPr>
          <w:p w14:paraId="5132F23C"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5,938 </w:t>
            </w:r>
          </w:p>
        </w:tc>
        <w:tc>
          <w:tcPr>
            <w:tcW w:w="960" w:type="dxa"/>
            <w:tcBorders>
              <w:top w:val="single" w:sz="4" w:space="0" w:color="auto"/>
              <w:left w:val="nil"/>
              <w:bottom w:val="nil"/>
              <w:right w:val="nil"/>
            </w:tcBorders>
            <w:shd w:val="clear" w:color="auto" w:fill="auto"/>
            <w:hideMark/>
          </w:tcPr>
          <w:p w14:paraId="2A83CA41"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5,144 </w:t>
            </w:r>
          </w:p>
        </w:tc>
        <w:tc>
          <w:tcPr>
            <w:tcW w:w="960" w:type="dxa"/>
            <w:tcBorders>
              <w:top w:val="single" w:sz="4" w:space="0" w:color="auto"/>
              <w:left w:val="nil"/>
              <w:bottom w:val="nil"/>
              <w:right w:val="nil"/>
            </w:tcBorders>
            <w:shd w:val="clear" w:color="auto" w:fill="auto"/>
            <w:hideMark/>
          </w:tcPr>
          <w:p w14:paraId="1CF2ED04"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5,869 </w:t>
            </w:r>
          </w:p>
        </w:tc>
        <w:tc>
          <w:tcPr>
            <w:tcW w:w="960" w:type="dxa"/>
            <w:tcBorders>
              <w:top w:val="single" w:sz="4" w:space="0" w:color="auto"/>
              <w:left w:val="nil"/>
              <w:bottom w:val="nil"/>
              <w:right w:val="nil"/>
            </w:tcBorders>
            <w:shd w:val="clear" w:color="auto" w:fill="auto"/>
            <w:hideMark/>
          </w:tcPr>
          <w:p w14:paraId="2E7B7E48"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4,921 </w:t>
            </w:r>
          </w:p>
        </w:tc>
        <w:tc>
          <w:tcPr>
            <w:tcW w:w="960" w:type="dxa"/>
            <w:tcBorders>
              <w:top w:val="single" w:sz="4" w:space="0" w:color="auto"/>
              <w:left w:val="nil"/>
              <w:bottom w:val="nil"/>
              <w:right w:val="nil"/>
            </w:tcBorders>
            <w:shd w:val="clear" w:color="auto" w:fill="auto"/>
            <w:hideMark/>
          </w:tcPr>
          <w:p w14:paraId="52A8631A"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6 </w:t>
            </w:r>
          </w:p>
        </w:tc>
        <w:tc>
          <w:tcPr>
            <w:tcW w:w="960" w:type="dxa"/>
            <w:tcBorders>
              <w:top w:val="single" w:sz="4" w:space="0" w:color="auto"/>
              <w:left w:val="nil"/>
              <w:bottom w:val="nil"/>
              <w:right w:val="nil"/>
            </w:tcBorders>
            <w:shd w:val="clear" w:color="auto" w:fill="auto"/>
            <w:hideMark/>
          </w:tcPr>
          <w:p w14:paraId="20EEB935" w14:textId="77777777" w:rsidR="007B6295" w:rsidRPr="007B6295" w:rsidRDefault="007B6295" w:rsidP="007B6295">
            <w:pPr>
              <w:jc w:val="center"/>
              <w:rPr>
                <w:rFonts w:ascii="Times New Roman" w:hAnsi="Times New Roman"/>
                <w:sz w:val="18"/>
                <w:szCs w:val="18"/>
                <w:lang w:val="es-AR" w:eastAsia="es-AR"/>
              </w:rPr>
            </w:pPr>
            <w:r>
              <w:rPr>
                <w:b/>
                <w:bCs/>
                <w:sz w:val="16"/>
                <w:szCs w:val="16"/>
              </w:rPr>
              <w:t xml:space="preserve">5 </w:t>
            </w:r>
          </w:p>
        </w:tc>
        <w:tc>
          <w:tcPr>
            <w:tcW w:w="1040" w:type="dxa"/>
            <w:tcBorders>
              <w:top w:val="single" w:sz="4" w:space="0" w:color="auto"/>
              <w:left w:val="nil"/>
              <w:bottom w:val="nil"/>
              <w:right w:val="nil"/>
            </w:tcBorders>
            <w:shd w:val="clear" w:color="auto" w:fill="auto"/>
            <w:noWrap/>
            <w:hideMark/>
          </w:tcPr>
          <w:p w14:paraId="0143FB27" w14:textId="77777777" w:rsidR="007B6295" w:rsidRPr="007B6295" w:rsidRDefault="007B6295" w:rsidP="007B6295">
            <w:pPr>
              <w:jc w:val="center"/>
              <w:rPr>
                <w:rFonts w:ascii="Times New Roman" w:hAnsi="Times New Roman"/>
                <w:color w:val="000000"/>
                <w:sz w:val="18"/>
                <w:szCs w:val="18"/>
                <w:lang w:val="es-AR" w:eastAsia="es-AR"/>
              </w:rPr>
            </w:pPr>
            <w:r>
              <w:rPr>
                <w:b/>
                <w:bCs/>
                <w:sz w:val="16"/>
                <w:szCs w:val="16"/>
              </w:rPr>
              <w:t xml:space="preserve">6,922 </w:t>
            </w:r>
          </w:p>
        </w:tc>
        <w:tc>
          <w:tcPr>
            <w:tcW w:w="1000" w:type="dxa"/>
            <w:tcBorders>
              <w:top w:val="single" w:sz="4" w:space="0" w:color="auto"/>
              <w:left w:val="nil"/>
              <w:bottom w:val="nil"/>
              <w:right w:val="nil"/>
            </w:tcBorders>
            <w:shd w:val="clear" w:color="auto" w:fill="auto"/>
            <w:noWrap/>
            <w:hideMark/>
          </w:tcPr>
          <w:p w14:paraId="2806B2EE" w14:textId="77777777" w:rsidR="007B6295" w:rsidRPr="007B6295" w:rsidRDefault="007B6295" w:rsidP="007B6295">
            <w:pPr>
              <w:jc w:val="center"/>
              <w:rPr>
                <w:rFonts w:ascii="Times New Roman" w:hAnsi="Times New Roman"/>
                <w:color w:val="000000"/>
                <w:sz w:val="18"/>
                <w:szCs w:val="18"/>
                <w:lang w:val="es-AR" w:eastAsia="es-AR"/>
              </w:rPr>
            </w:pPr>
            <w:r>
              <w:rPr>
                <w:b/>
                <w:bCs/>
                <w:sz w:val="16"/>
                <w:szCs w:val="16"/>
              </w:rPr>
              <w:t xml:space="preserve">5,969 </w:t>
            </w:r>
          </w:p>
        </w:tc>
      </w:tr>
    </w:tbl>
    <w:p w14:paraId="56AF5A30" w14:textId="77777777" w:rsidR="001A6102" w:rsidRPr="007B6295" w:rsidRDefault="001A6102" w:rsidP="0092574E">
      <w:pPr>
        <w:tabs>
          <w:tab w:val="left" w:pos="1440"/>
        </w:tabs>
        <w:spacing w:before="120" w:line="240" w:lineRule="atLeast"/>
        <w:jc w:val="both"/>
        <w:rPr>
          <w:rFonts w:ascii="Times New Roman" w:hAnsi="Times New Roman"/>
          <w:szCs w:val="22"/>
          <w:lang w:val="en-CA"/>
        </w:rPr>
      </w:pPr>
    </w:p>
    <w:p w14:paraId="2023C017" w14:textId="77777777" w:rsidR="004E7D42" w:rsidRPr="002335EE" w:rsidRDefault="004E7D42" w:rsidP="00394A3E">
      <w:pPr>
        <w:tabs>
          <w:tab w:val="left" w:pos="1440"/>
        </w:tabs>
        <w:spacing w:before="120" w:line="240" w:lineRule="atLeast"/>
        <w:jc w:val="both"/>
        <w:rPr>
          <w:sz w:val="20"/>
          <w:szCs w:val="20"/>
        </w:rPr>
      </w:pPr>
      <w:r w:rsidRPr="002335EE">
        <w:rPr>
          <w:sz w:val="20"/>
          <w:szCs w:val="20"/>
        </w:rPr>
        <w:t>The following table discloses, in the aggregate, the net present value of the Company's future net revenue attributable to the reserves categories in the table</w:t>
      </w:r>
      <w:r w:rsidR="00196F60" w:rsidRPr="002335EE">
        <w:rPr>
          <w:sz w:val="20"/>
          <w:szCs w:val="20"/>
        </w:rPr>
        <w:t xml:space="preserve"> above</w:t>
      </w:r>
      <w:r w:rsidRPr="002335EE">
        <w:rPr>
          <w:sz w:val="20"/>
          <w:szCs w:val="20"/>
        </w:rPr>
        <w:t>, estimated using forecast prices and costs, before deducting future income tax expenses, and calculated without discount and using discount rates of 5%, 10%, 15% and 20%.</w:t>
      </w:r>
    </w:p>
    <w:p w14:paraId="168CE9A8" w14:textId="77777777" w:rsidR="004A2E5D" w:rsidRPr="002335EE" w:rsidRDefault="004E7D42" w:rsidP="004A2E5D">
      <w:pPr>
        <w:pStyle w:val="BodyText"/>
        <w:keepNext/>
        <w:keepLines/>
        <w:spacing w:before="240" w:after="120"/>
        <w:ind w:left="1080"/>
        <w:jc w:val="center"/>
        <w:rPr>
          <w:rFonts w:ascii="Verdana" w:hAnsi="Verdana"/>
          <w:b/>
          <w:sz w:val="16"/>
          <w:szCs w:val="16"/>
        </w:rPr>
      </w:pPr>
      <w:r w:rsidRPr="002335EE">
        <w:rPr>
          <w:rFonts w:ascii="Verdana" w:hAnsi="Verdana"/>
          <w:b/>
          <w:sz w:val="16"/>
          <w:szCs w:val="16"/>
        </w:rPr>
        <w:lastRenderedPageBreak/>
        <w:t>SUMMARY OF NET PRESENT VALUE OF FUTURE NET REVENUE</w:t>
      </w:r>
      <w:r w:rsidRPr="002335EE">
        <w:rPr>
          <w:rFonts w:ascii="Verdana" w:hAnsi="Verdana"/>
          <w:b/>
          <w:sz w:val="16"/>
          <w:szCs w:val="16"/>
        </w:rPr>
        <w:br/>
        <w:t xml:space="preserve">AS OF DECEMBER 31, </w:t>
      </w:r>
      <w:r w:rsidR="002F1371" w:rsidRPr="002335EE">
        <w:rPr>
          <w:rFonts w:ascii="Verdana" w:hAnsi="Verdana"/>
          <w:b/>
          <w:sz w:val="16"/>
          <w:szCs w:val="16"/>
        </w:rPr>
        <w:t>202</w:t>
      </w:r>
      <w:r w:rsidR="002335EE">
        <w:rPr>
          <w:rFonts w:ascii="Verdana" w:hAnsi="Verdana"/>
          <w:b/>
          <w:sz w:val="16"/>
          <w:szCs w:val="16"/>
        </w:rPr>
        <w:t>1</w:t>
      </w:r>
      <w:r w:rsidRPr="002335EE">
        <w:rPr>
          <w:rFonts w:ascii="Verdana" w:hAnsi="Verdana"/>
          <w:b/>
          <w:sz w:val="16"/>
          <w:szCs w:val="16"/>
        </w:rPr>
        <w:br/>
        <w:t>(Forecast Prices &amp; Costs)</w:t>
      </w:r>
      <w:r w:rsidR="004A2E5D" w:rsidRPr="002335EE">
        <w:rPr>
          <w:rFonts w:ascii="Verdana" w:hAnsi="Verdana"/>
          <w:sz w:val="16"/>
          <w:szCs w:val="16"/>
        </w:rPr>
        <w:fldChar w:fldCharType="begin"/>
      </w:r>
      <w:r w:rsidR="004A2E5D" w:rsidRPr="002335EE">
        <w:rPr>
          <w:rFonts w:ascii="Verdana" w:hAnsi="Verdana"/>
          <w:sz w:val="16"/>
          <w:szCs w:val="16"/>
        </w:rPr>
        <w:instrText xml:space="preserve"> LINK </w:instrText>
      </w:r>
      <w:r w:rsidR="002F1371" w:rsidRPr="002335EE">
        <w:rPr>
          <w:rFonts w:ascii="Verdana" w:hAnsi="Verdana"/>
          <w:sz w:val="16"/>
          <w:szCs w:val="16"/>
        </w:rPr>
        <w:instrText xml:space="preserve">Excel.Sheet.12 "C:\\Users\\bmoss\\Dropbox\\Reserve Tables Dec 2019 Mar 20.xlsx" "PR Tables!R36C18:R46C23" </w:instrText>
      </w:r>
      <w:r w:rsidR="004A2E5D" w:rsidRPr="002335EE">
        <w:rPr>
          <w:rFonts w:ascii="Verdana" w:hAnsi="Verdana"/>
          <w:sz w:val="16"/>
          <w:szCs w:val="16"/>
        </w:rPr>
        <w:instrText xml:space="preserve">\a \f 4 \h </w:instrText>
      </w:r>
      <w:r w:rsidR="00BA6193" w:rsidRPr="002335EE">
        <w:rPr>
          <w:rFonts w:ascii="Verdana" w:hAnsi="Verdana"/>
          <w:sz w:val="16"/>
          <w:szCs w:val="16"/>
        </w:rPr>
        <w:instrText xml:space="preserve"> \* MERGEFORMAT </w:instrText>
      </w:r>
      <w:r w:rsidR="004A2E5D" w:rsidRPr="002335EE">
        <w:rPr>
          <w:rFonts w:ascii="Verdana" w:hAnsi="Verdana"/>
          <w:sz w:val="16"/>
          <w:szCs w:val="16"/>
        </w:rPr>
        <w:fldChar w:fldCharType="separate"/>
      </w:r>
    </w:p>
    <w:tbl>
      <w:tblPr>
        <w:tblW w:w="6591" w:type="dxa"/>
        <w:tblInd w:w="1620" w:type="dxa"/>
        <w:tblCellMar>
          <w:left w:w="70" w:type="dxa"/>
          <w:right w:w="70" w:type="dxa"/>
        </w:tblCellMar>
        <w:tblLook w:val="04A0" w:firstRow="1" w:lastRow="0" w:firstColumn="1" w:lastColumn="0" w:noHBand="0" w:noVBand="1"/>
      </w:tblPr>
      <w:tblGrid>
        <w:gridCol w:w="2473"/>
        <w:gridCol w:w="801"/>
        <w:gridCol w:w="801"/>
        <w:gridCol w:w="858"/>
        <w:gridCol w:w="819"/>
        <w:gridCol w:w="839"/>
      </w:tblGrid>
      <w:tr w:rsidR="004A2E5D" w:rsidRPr="002335EE" w14:paraId="6D3F1B19" w14:textId="77777777" w:rsidTr="002335EE">
        <w:trPr>
          <w:trHeight w:val="495"/>
        </w:trPr>
        <w:tc>
          <w:tcPr>
            <w:tcW w:w="2475" w:type="dxa"/>
            <w:vMerge w:val="restart"/>
            <w:tcBorders>
              <w:top w:val="nil"/>
              <w:left w:val="nil"/>
              <w:bottom w:val="nil"/>
              <w:right w:val="nil"/>
            </w:tcBorders>
            <w:shd w:val="clear" w:color="auto" w:fill="FFFFFF" w:themeFill="background1"/>
            <w:vAlign w:val="center"/>
            <w:hideMark/>
          </w:tcPr>
          <w:p w14:paraId="36EC8775" w14:textId="77777777" w:rsidR="004A2E5D" w:rsidRPr="002335EE" w:rsidRDefault="004A2E5D" w:rsidP="004A2E5D">
            <w:pPr>
              <w:rPr>
                <w:sz w:val="16"/>
                <w:szCs w:val="16"/>
                <w:lang w:eastAsia="es-AR"/>
              </w:rPr>
            </w:pPr>
          </w:p>
        </w:tc>
        <w:tc>
          <w:tcPr>
            <w:tcW w:w="4116" w:type="dxa"/>
            <w:gridSpan w:val="5"/>
            <w:tcBorders>
              <w:top w:val="nil"/>
              <w:left w:val="nil"/>
              <w:bottom w:val="nil"/>
              <w:right w:val="nil"/>
            </w:tcBorders>
            <w:shd w:val="clear" w:color="auto" w:fill="FFFFFF" w:themeFill="background1"/>
            <w:vAlign w:val="center"/>
            <w:hideMark/>
          </w:tcPr>
          <w:p w14:paraId="2B155A8A" w14:textId="77777777" w:rsidR="004A2E5D" w:rsidRPr="002335EE" w:rsidRDefault="004A2E5D" w:rsidP="004A2E5D">
            <w:pPr>
              <w:jc w:val="center"/>
              <w:rPr>
                <w:b/>
                <w:bCs/>
                <w:color w:val="000000"/>
                <w:sz w:val="16"/>
                <w:szCs w:val="16"/>
                <w:lang w:eastAsia="es-AR"/>
              </w:rPr>
            </w:pPr>
            <w:r w:rsidRPr="002335EE">
              <w:rPr>
                <w:b/>
                <w:bCs/>
                <w:color w:val="000000"/>
                <w:sz w:val="16"/>
                <w:szCs w:val="16"/>
                <w:lang w:eastAsia="es-AR"/>
              </w:rPr>
              <w:t>Net Present Values of Future Net Revenue Before Income Taxes</w:t>
            </w:r>
            <w:r w:rsidRPr="002335EE">
              <w:rPr>
                <w:b/>
                <w:bCs/>
                <w:color w:val="000000"/>
                <w:sz w:val="16"/>
                <w:szCs w:val="16"/>
                <w:vertAlign w:val="superscript"/>
                <w:lang w:eastAsia="es-AR"/>
              </w:rPr>
              <w:t>(1)</w:t>
            </w:r>
          </w:p>
        </w:tc>
      </w:tr>
      <w:tr w:rsidR="004A2E5D" w:rsidRPr="002335EE" w14:paraId="032391AB" w14:textId="77777777" w:rsidTr="002335EE">
        <w:trPr>
          <w:trHeight w:val="300"/>
        </w:trPr>
        <w:tc>
          <w:tcPr>
            <w:tcW w:w="2475" w:type="dxa"/>
            <w:vMerge/>
            <w:tcBorders>
              <w:top w:val="nil"/>
              <w:left w:val="nil"/>
              <w:bottom w:val="nil"/>
              <w:right w:val="nil"/>
            </w:tcBorders>
            <w:shd w:val="clear" w:color="auto" w:fill="FFFFFF" w:themeFill="background1"/>
            <w:vAlign w:val="center"/>
            <w:hideMark/>
          </w:tcPr>
          <w:p w14:paraId="28FF8C6A" w14:textId="77777777" w:rsidR="004A2E5D" w:rsidRPr="002335EE" w:rsidRDefault="004A2E5D" w:rsidP="004A2E5D">
            <w:pPr>
              <w:rPr>
                <w:sz w:val="16"/>
                <w:szCs w:val="16"/>
                <w:lang w:eastAsia="es-AR"/>
              </w:rPr>
            </w:pPr>
          </w:p>
        </w:tc>
        <w:tc>
          <w:tcPr>
            <w:tcW w:w="4116" w:type="dxa"/>
            <w:gridSpan w:val="5"/>
            <w:tcBorders>
              <w:top w:val="nil"/>
              <w:left w:val="nil"/>
              <w:bottom w:val="nil"/>
              <w:right w:val="nil"/>
            </w:tcBorders>
            <w:shd w:val="clear" w:color="auto" w:fill="FFFFFF" w:themeFill="background1"/>
            <w:vAlign w:val="center"/>
            <w:hideMark/>
          </w:tcPr>
          <w:p w14:paraId="6EBA7B92"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Discounted at (%/year)</w:t>
            </w:r>
          </w:p>
        </w:tc>
      </w:tr>
      <w:tr w:rsidR="004A2E5D" w:rsidRPr="002335EE" w14:paraId="0D2D7F89" w14:textId="77777777" w:rsidTr="002335EE">
        <w:trPr>
          <w:trHeight w:val="435"/>
        </w:trPr>
        <w:tc>
          <w:tcPr>
            <w:tcW w:w="2475" w:type="dxa"/>
            <w:vMerge w:val="restart"/>
            <w:tcBorders>
              <w:top w:val="nil"/>
              <w:left w:val="nil"/>
              <w:bottom w:val="nil"/>
              <w:right w:val="nil"/>
            </w:tcBorders>
            <w:shd w:val="clear" w:color="auto" w:fill="FFFFFF" w:themeFill="background1"/>
            <w:vAlign w:val="center"/>
            <w:hideMark/>
          </w:tcPr>
          <w:p w14:paraId="069809E4" w14:textId="77777777" w:rsidR="004A2E5D" w:rsidRPr="002335EE" w:rsidRDefault="004A2E5D" w:rsidP="004A2E5D">
            <w:pPr>
              <w:rPr>
                <w:b/>
                <w:bCs/>
                <w:color w:val="000000"/>
                <w:sz w:val="16"/>
                <w:szCs w:val="16"/>
                <w:lang w:val="es-AR" w:eastAsia="es-AR"/>
              </w:rPr>
            </w:pPr>
            <w:r w:rsidRPr="002335EE">
              <w:rPr>
                <w:b/>
                <w:bCs/>
                <w:color w:val="000000"/>
                <w:sz w:val="16"/>
                <w:szCs w:val="16"/>
                <w:lang w:val="es-AR" w:eastAsia="es-AR"/>
              </w:rPr>
              <w:t>Reserves Category</w:t>
            </w:r>
            <w:r w:rsidRPr="002335EE">
              <w:rPr>
                <w:b/>
                <w:bCs/>
                <w:color w:val="000000"/>
                <w:sz w:val="16"/>
                <w:szCs w:val="16"/>
                <w:vertAlign w:val="superscript"/>
                <w:lang w:val="es-AR" w:eastAsia="es-AR"/>
              </w:rPr>
              <w:t>(2)</w:t>
            </w:r>
          </w:p>
        </w:tc>
        <w:tc>
          <w:tcPr>
            <w:tcW w:w="800" w:type="dxa"/>
            <w:tcBorders>
              <w:top w:val="nil"/>
              <w:left w:val="nil"/>
              <w:bottom w:val="nil"/>
              <w:right w:val="nil"/>
            </w:tcBorders>
            <w:shd w:val="clear" w:color="auto" w:fill="FFFFFF" w:themeFill="background1"/>
            <w:vAlign w:val="center"/>
            <w:hideMark/>
          </w:tcPr>
          <w:p w14:paraId="11C02F39"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0%</w:t>
            </w:r>
          </w:p>
        </w:tc>
        <w:tc>
          <w:tcPr>
            <w:tcW w:w="800" w:type="dxa"/>
            <w:tcBorders>
              <w:top w:val="nil"/>
              <w:left w:val="nil"/>
              <w:bottom w:val="nil"/>
              <w:right w:val="nil"/>
            </w:tcBorders>
            <w:shd w:val="clear" w:color="auto" w:fill="FFFFFF" w:themeFill="background1"/>
            <w:vAlign w:val="center"/>
            <w:hideMark/>
          </w:tcPr>
          <w:p w14:paraId="14E05B71"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5%</w:t>
            </w:r>
          </w:p>
        </w:tc>
        <w:tc>
          <w:tcPr>
            <w:tcW w:w="858" w:type="dxa"/>
            <w:tcBorders>
              <w:top w:val="nil"/>
              <w:left w:val="nil"/>
              <w:bottom w:val="nil"/>
              <w:right w:val="nil"/>
            </w:tcBorders>
            <w:shd w:val="clear" w:color="auto" w:fill="FFFFFF" w:themeFill="background1"/>
            <w:vAlign w:val="center"/>
            <w:hideMark/>
          </w:tcPr>
          <w:p w14:paraId="7E20BC0D"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10%</w:t>
            </w:r>
          </w:p>
        </w:tc>
        <w:tc>
          <w:tcPr>
            <w:tcW w:w="819" w:type="dxa"/>
            <w:tcBorders>
              <w:top w:val="nil"/>
              <w:left w:val="nil"/>
              <w:bottom w:val="nil"/>
              <w:right w:val="nil"/>
            </w:tcBorders>
            <w:shd w:val="clear" w:color="auto" w:fill="FFFFFF" w:themeFill="background1"/>
            <w:vAlign w:val="center"/>
            <w:hideMark/>
          </w:tcPr>
          <w:p w14:paraId="48DB378B"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15%</w:t>
            </w:r>
          </w:p>
        </w:tc>
        <w:tc>
          <w:tcPr>
            <w:tcW w:w="839" w:type="dxa"/>
            <w:tcBorders>
              <w:top w:val="nil"/>
              <w:left w:val="nil"/>
              <w:bottom w:val="nil"/>
              <w:right w:val="nil"/>
            </w:tcBorders>
            <w:shd w:val="clear" w:color="auto" w:fill="FFFFFF" w:themeFill="background1"/>
            <w:vAlign w:val="center"/>
            <w:hideMark/>
          </w:tcPr>
          <w:p w14:paraId="1CEEB89F"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20%</w:t>
            </w:r>
          </w:p>
        </w:tc>
      </w:tr>
      <w:tr w:rsidR="004A2E5D" w:rsidRPr="002335EE" w14:paraId="0E7DC634" w14:textId="77777777" w:rsidTr="002335EE">
        <w:trPr>
          <w:trHeight w:val="315"/>
        </w:trPr>
        <w:tc>
          <w:tcPr>
            <w:tcW w:w="2475" w:type="dxa"/>
            <w:vMerge/>
            <w:tcBorders>
              <w:top w:val="nil"/>
              <w:left w:val="nil"/>
              <w:bottom w:val="nil"/>
              <w:right w:val="nil"/>
            </w:tcBorders>
            <w:shd w:val="clear" w:color="auto" w:fill="FFFFFF" w:themeFill="background1"/>
            <w:vAlign w:val="center"/>
            <w:hideMark/>
          </w:tcPr>
          <w:p w14:paraId="25826118" w14:textId="77777777" w:rsidR="004A2E5D" w:rsidRPr="002335EE" w:rsidRDefault="004A2E5D" w:rsidP="004A2E5D">
            <w:pPr>
              <w:rPr>
                <w:b/>
                <w:bCs/>
                <w:color w:val="000000"/>
                <w:sz w:val="16"/>
                <w:szCs w:val="16"/>
                <w:lang w:val="es-AR" w:eastAsia="es-AR"/>
              </w:rPr>
            </w:pPr>
          </w:p>
        </w:tc>
        <w:tc>
          <w:tcPr>
            <w:tcW w:w="800" w:type="dxa"/>
            <w:tcBorders>
              <w:top w:val="nil"/>
              <w:left w:val="nil"/>
              <w:bottom w:val="nil"/>
              <w:right w:val="nil"/>
            </w:tcBorders>
            <w:shd w:val="clear" w:color="auto" w:fill="FFFFFF" w:themeFill="background1"/>
            <w:vAlign w:val="center"/>
            <w:hideMark/>
          </w:tcPr>
          <w:p w14:paraId="15D3A3A6"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MMUS$</w:t>
            </w:r>
          </w:p>
        </w:tc>
        <w:tc>
          <w:tcPr>
            <w:tcW w:w="800" w:type="dxa"/>
            <w:tcBorders>
              <w:top w:val="nil"/>
              <w:left w:val="nil"/>
              <w:bottom w:val="nil"/>
              <w:right w:val="nil"/>
            </w:tcBorders>
            <w:shd w:val="clear" w:color="auto" w:fill="FFFFFF" w:themeFill="background1"/>
            <w:vAlign w:val="center"/>
            <w:hideMark/>
          </w:tcPr>
          <w:p w14:paraId="7339C72E"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MMUS$</w:t>
            </w:r>
          </w:p>
        </w:tc>
        <w:tc>
          <w:tcPr>
            <w:tcW w:w="858" w:type="dxa"/>
            <w:tcBorders>
              <w:top w:val="nil"/>
              <w:left w:val="nil"/>
              <w:bottom w:val="nil"/>
              <w:right w:val="nil"/>
            </w:tcBorders>
            <w:shd w:val="clear" w:color="auto" w:fill="FFFFFF" w:themeFill="background1"/>
            <w:vAlign w:val="center"/>
            <w:hideMark/>
          </w:tcPr>
          <w:p w14:paraId="0A9B328A"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MMUS$</w:t>
            </w:r>
          </w:p>
        </w:tc>
        <w:tc>
          <w:tcPr>
            <w:tcW w:w="819" w:type="dxa"/>
            <w:tcBorders>
              <w:top w:val="nil"/>
              <w:left w:val="nil"/>
              <w:bottom w:val="nil"/>
              <w:right w:val="nil"/>
            </w:tcBorders>
            <w:shd w:val="clear" w:color="auto" w:fill="FFFFFF" w:themeFill="background1"/>
            <w:vAlign w:val="center"/>
            <w:hideMark/>
          </w:tcPr>
          <w:p w14:paraId="7EEE914D"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MMUS$</w:t>
            </w:r>
          </w:p>
        </w:tc>
        <w:tc>
          <w:tcPr>
            <w:tcW w:w="839" w:type="dxa"/>
            <w:tcBorders>
              <w:top w:val="nil"/>
              <w:left w:val="nil"/>
              <w:bottom w:val="nil"/>
              <w:right w:val="nil"/>
            </w:tcBorders>
            <w:shd w:val="clear" w:color="auto" w:fill="FFFFFF" w:themeFill="background1"/>
            <w:vAlign w:val="center"/>
            <w:hideMark/>
          </w:tcPr>
          <w:p w14:paraId="21492784" w14:textId="77777777" w:rsidR="004A2E5D" w:rsidRPr="002335EE" w:rsidRDefault="004A2E5D" w:rsidP="004A2E5D">
            <w:pPr>
              <w:jc w:val="center"/>
              <w:rPr>
                <w:b/>
                <w:bCs/>
                <w:color w:val="000000"/>
                <w:sz w:val="16"/>
                <w:szCs w:val="16"/>
                <w:lang w:val="es-AR" w:eastAsia="es-AR"/>
              </w:rPr>
            </w:pPr>
            <w:r w:rsidRPr="002335EE">
              <w:rPr>
                <w:b/>
                <w:bCs/>
                <w:color w:val="000000"/>
                <w:sz w:val="16"/>
                <w:szCs w:val="16"/>
                <w:lang w:val="es-AR" w:eastAsia="es-AR"/>
              </w:rPr>
              <w:t>MMUS$</w:t>
            </w:r>
          </w:p>
        </w:tc>
      </w:tr>
      <w:tr w:rsidR="004A2E5D" w:rsidRPr="002335EE" w14:paraId="77912DD2" w14:textId="77777777" w:rsidTr="002335EE">
        <w:trPr>
          <w:trHeight w:val="300"/>
        </w:trPr>
        <w:tc>
          <w:tcPr>
            <w:tcW w:w="2475" w:type="dxa"/>
            <w:tcBorders>
              <w:top w:val="nil"/>
              <w:left w:val="nil"/>
              <w:bottom w:val="nil"/>
              <w:right w:val="nil"/>
            </w:tcBorders>
            <w:shd w:val="clear" w:color="auto" w:fill="FFFFFF" w:themeFill="background1"/>
            <w:vAlign w:val="center"/>
            <w:hideMark/>
          </w:tcPr>
          <w:p w14:paraId="0A2964CD" w14:textId="77777777" w:rsidR="004A2E5D" w:rsidRPr="002335EE" w:rsidRDefault="004A2E5D" w:rsidP="004A2E5D">
            <w:pPr>
              <w:rPr>
                <w:color w:val="000000"/>
                <w:sz w:val="16"/>
                <w:szCs w:val="16"/>
                <w:lang w:val="es-AR" w:eastAsia="es-AR"/>
              </w:rPr>
            </w:pPr>
            <w:r w:rsidRPr="002335EE">
              <w:rPr>
                <w:color w:val="000000"/>
                <w:sz w:val="16"/>
                <w:szCs w:val="16"/>
                <w:lang w:val="es-AR" w:eastAsia="es-AR"/>
              </w:rPr>
              <w:t>Proved:</w:t>
            </w:r>
          </w:p>
        </w:tc>
        <w:tc>
          <w:tcPr>
            <w:tcW w:w="800" w:type="dxa"/>
            <w:tcBorders>
              <w:top w:val="single" w:sz="4" w:space="0" w:color="auto"/>
              <w:left w:val="nil"/>
              <w:bottom w:val="nil"/>
              <w:right w:val="nil"/>
            </w:tcBorders>
            <w:shd w:val="clear" w:color="auto" w:fill="FFFFFF" w:themeFill="background1"/>
            <w:vAlign w:val="center"/>
            <w:hideMark/>
          </w:tcPr>
          <w:p w14:paraId="710CD0E1" w14:textId="77777777" w:rsidR="004A2E5D" w:rsidRPr="002335EE" w:rsidRDefault="004A2E5D" w:rsidP="004A2E5D">
            <w:pPr>
              <w:jc w:val="both"/>
              <w:rPr>
                <w:color w:val="000000"/>
                <w:sz w:val="16"/>
                <w:szCs w:val="16"/>
                <w:lang w:val="es-AR" w:eastAsia="es-AR"/>
              </w:rPr>
            </w:pPr>
            <w:r w:rsidRPr="002335EE">
              <w:rPr>
                <w:color w:val="000000"/>
                <w:sz w:val="16"/>
                <w:szCs w:val="16"/>
                <w:lang w:val="es-AR" w:eastAsia="es-AR"/>
              </w:rPr>
              <w:t> </w:t>
            </w:r>
          </w:p>
        </w:tc>
        <w:tc>
          <w:tcPr>
            <w:tcW w:w="800" w:type="dxa"/>
            <w:tcBorders>
              <w:top w:val="single" w:sz="4" w:space="0" w:color="auto"/>
              <w:left w:val="nil"/>
              <w:bottom w:val="nil"/>
              <w:right w:val="nil"/>
            </w:tcBorders>
            <w:shd w:val="clear" w:color="auto" w:fill="FFFFFF" w:themeFill="background1"/>
            <w:vAlign w:val="center"/>
            <w:hideMark/>
          </w:tcPr>
          <w:p w14:paraId="13B641B9" w14:textId="77777777" w:rsidR="004A2E5D" w:rsidRPr="002335EE" w:rsidRDefault="004A2E5D" w:rsidP="004A2E5D">
            <w:pPr>
              <w:jc w:val="both"/>
              <w:rPr>
                <w:color w:val="000000"/>
                <w:sz w:val="16"/>
                <w:szCs w:val="16"/>
                <w:lang w:val="es-AR" w:eastAsia="es-AR"/>
              </w:rPr>
            </w:pPr>
            <w:r w:rsidRPr="002335EE">
              <w:rPr>
                <w:color w:val="000000"/>
                <w:sz w:val="16"/>
                <w:szCs w:val="16"/>
                <w:lang w:val="es-AR" w:eastAsia="es-AR"/>
              </w:rPr>
              <w:t> </w:t>
            </w:r>
          </w:p>
        </w:tc>
        <w:tc>
          <w:tcPr>
            <w:tcW w:w="858" w:type="dxa"/>
            <w:tcBorders>
              <w:top w:val="single" w:sz="4" w:space="0" w:color="auto"/>
              <w:left w:val="nil"/>
              <w:bottom w:val="nil"/>
              <w:right w:val="nil"/>
            </w:tcBorders>
            <w:shd w:val="clear" w:color="auto" w:fill="FFFFFF" w:themeFill="background1"/>
            <w:vAlign w:val="center"/>
            <w:hideMark/>
          </w:tcPr>
          <w:p w14:paraId="520424F5" w14:textId="77777777" w:rsidR="004A2E5D" w:rsidRPr="002335EE" w:rsidRDefault="004A2E5D" w:rsidP="004A2E5D">
            <w:pPr>
              <w:jc w:val="both"/>
              <w:rPr>
                <w:color w:val="000000"/>
                <w:sz w:val="16"/>
                <w:szCs w:val="16"/>
                <w:lang w:val="es-AR" w:eastAsia="es-AR"/>
              </w:rPr>
            </w:pPr>
            <w:r w:rsidRPr="002335EE">
              <w:rPr>
                <w:color w:val="000000"/>
                <w:sz w:val="16"/>
                <w:szCs w:val="16"/>
                <w:lang w:val="es-AR" w:eastAsia="es-AR"/>
              </w:rPr>
              <w:t> </w:t>
            </w:r>
          </w:p>
        </w:tc>
        <w:tc>
          <w:tcPr>
            <w:tcW w:w="819" w:type="dxa"/>
            <w:tcBorders>
              <w:top w:val="single" w:sz="4" w:space="0" w:color="auto"/>
              <w:left w:val="nil"/>
              <w:bottom w:val="nil"/>
              <w:right w:val="nil"/>
            </w:tcBorders>
            <w:shd w:val="clear" w:color="auto" w:fill="FFFFFF" w:themeFill="background1"/>
            <w:vAlign w:val="center"/>
            <w:hideMark/>
          </w:tcPr>
          <w:p w14:paraId="040AA12D" w14:textId="77777777" w:rsidR="004A2E5D" w:rsidRPr="002335EE" w:rsidRDefault="004A2E5D" w:rsidP="004A2E5D">
            <w:pPr>
              <w:jc w:val="both"/>
              <w:rPr>
                <w:color w:val="000000"/>
                <w:sz w:val="16"/>
                <w:szCs w:val="16"/>
                <w:lang w:val="es-AR" w:eastAsia="es-AR"/>
              </w:rPr>
            </w:pPr>
            <w:r w:rsidRPr="002335EE">
              <w:rPr>
                <w:color w:val="000000"/>
                <w:sz w:val="16"/>
                <w:szCs w:val="16"/>
                <w:lang w:val="es-AR" w:eastAsia="es-AR"/>
              </w:rPr>
              <w:t> </w:t>
            </w:r>
          </w:p>
        </w:tc>
        <w:tc>
          <w:tcPr>
            <w:tcW w:w="839" w:type="dxa"/>
            <w:tcBorders>
              <w:top w:val="single" w:sz="4" w:space="0" w:color="auto"/>
              <w:left w:val="nil"/>
              <w:bottom w:val="nil"/>
              <w:right w:val="nil"/>
            </w:tcBorders>
            <w:shd w:val="clear" w:color="auto" w:fill="FFFFFF" w:themeFill="background1"/>
            <w:vAlign w:val="center"/>
            <w:hideMark/>
          </w:tcPr>
          <w:p w14:paraId="26D5EA7B" w14:textId="77777777" w:rsidR="004A2E5D" w:rsidRPr="002335EE" w:rsidRDefault="004A2E5D" w:rsidP="004A2E5D">
            <w:pPr>
              <w:jc w:val="both"/>
              <w:rPr>
                <w:color w:val="000000"/>
                <w:sz w:val="16"/>
                <w:szCs w:val="16"/>
                <w:lang w:val="es-AR" w:eastAsia="es-AR"/>
              </w:rPr>
            </w:pPr>
            <w:r w:rsidRPr="002335EE">
              <w:rPr>
                <w:color w:val="000000"/>
                <w:sz w:val="16"/>
                <w:szCs w:val="16"/>
                <w:lang w:val="es-AR" w:eastAsia="es-AR"/>
              </w:rPr>
              <w:t> </w:t>
            </w:r>
          </w:p>
        </w:tc>
      </w:tr>
      <w:tr w:rsidR="002335EE" w:rsidRPr="002335EE" w14:paraId="22139BA6" w14:textId="77777777" w:rsidTr="002335EE">
        <w:trPr>
          <w:trHeight w:val="315"/>
        </w:trPr>
        <w:tc>
          <w:tcPr>
            <w:tcW w:w="2475" w:type="dxa"/>
            <w:tcBorders>
              <w:top w:val="nil"/>
              <w:left w:val="nil"/>
              <w:bottom w:val="nil"/>
              <w:right w:val="nil"/>
            </w:tcBorders>
            <w:shd w:val="clear" w:color="auto" w:fill="FFFFFF" w:themeFill="background1"/>
            <w:hideMark/>
          </w:tcPr>
          <w:p w14:paraId="1797D9E3" w14:textId="77777777" w:rsidR="002335EE" w:rsidRPr="002335EE" w:rsidRDefault="002335EE" w:rsidP="002335EE">
            <w:pPr>
              <w:rPr>
                <w:color w:val="000000"/>
                <w:sz w:val="16"/>
                <w:szCs w:val="16"/>
                <w:lang w:val="es-AR" w:eastAsia="es-AR"/>
              </w:rPr>
            </w:pPr>
            <w:r w:rsidRPr="002335EE">
              <w:rPr>
                <w:color w:val="000000"/>
                <w:sz w:val="16"/>
                <w:szCs w:val="16"/>
                <w:lang w:val="es-AR" w:eastAsia="es-AR"/>
              </w:rPr>
              <w:t>Developed Producing</w:t>
            </w:r>
          </w:p>
        </w:tc>
        <w:tc>
          <w:tcPr>
            <w:tcW w:w="800" w:type="dxa"/>
            <w:tcBorders>
              <w:top w:val="nil"/>
              <w:left w:val="nil"/>
              <w:bottom w:val="nil"/>
              <w:right w:val="nil"/>
            </w:tcBorders>
            <w:shd w:val="clear" w:color="auto" w:fill="FFFFFF" w:themeFill="background1"/>
            <w:hideMark/>
          </w:tcPr>
          <w:p w14:paraId="378E9209" w14:textId="77777777" w:rsidR="002335EE" w:rsidRPr="002335EE" w:rsidRDefault="002335EE" w:rsidP="002335EE">
            <w:pPr>
              <w:jc w:val="center"/>
              <w:rPr>
                <w:color w:val="000000"/>
                <w:sz w:val="16"/>
                <w:szCs w:val="16"/>
                <w:lang w:val="es-AR" w:eastAsia="es-AR"/>
              </w:rPr>
            </w:pPr>
            <w:r w:rsidRPr="002335EE">
              <w:rPr>
                <w:b/>
                <w:bCs/>
                <w:sz w:val="16"/>
                <w:szCs w:val="16"/>
              </w:rPr>
              <w:t xml:space="preserve">17.8 </w:t>
            </w:r>
          </w:p>
        </w:tc>
        <w:tc>
          <w:tcPr>
            <w:tcW w:w="800" w:type="dxa"/>
            <w:tcBorders>
              <w:top w:val="nil"/>
              <w:left w:val="nil"/>
              <w:bottom w:val="nil"/>
              <w:right w:val="nil"/>
            </w:tcBorders>
            <w:shd w:val="clear" w:color="auto" w:fill="FFFFFF" w:themeFill="background1"/>
            <w:hideMark/>
          </w:tcPr>
          <w:p w14:paraId="7385426D" w14:textId="77777777" w:rsidR="002335EE" w:rsidRPr="002335EE" w:rsidRDefault="002335EE" w:rsidP="002335EE">
            <w:pPr>
              <w:jc w:val="center"/>
              <w:rPr>
                <w:color w:val="000000"/>
                <w:sz w:val="16"/>
                <w:szCs w:val="16"/>
                <w:lang w:val="es-AR" w:eastAsia="es-AR"/>
              </w:rPr>
            </w:pPr>
            <w:r w:rsidRPr="002335EE">
              <w:rPr>
                <w:b/>
                <w:bCs/>
                <w:sz w:val="16"/>
                <w:szCs w:val="16"/>
              </w:rPr>
              <w:t xml:space="preserve">17.0 </w:t>
            </w:r>
          </w:p>
        </w:tc>
        <w:tc>
          <w:tcPr>
            <w:tcW w:w="858" w:type="dxa"/>
            <w:tcBorders>
              <w:top w:val="nil"/>
              <w:left w:val="nil"/>
              <w:bottom w:val="nil"/>
              <w:right w:val="nil"/>
            </w:tcBorders>
            <w:shd w:val="clear" w:color="auto" w:fill="FFFFFF" w:themeFill="background1"/>
            <w:hideMark/>
          </w:tcPr>
          <w:p w14:paraId="5A5243A9" w14:textId="77777777" w:rsidR="002335EE" w:rsidRPr="002335EE" w:rsidRDefault="002335EE" w:rsidP="002335EE">
            <w:pPr>
              <w:jc w:val="center"/>
              <w:rPr>
                <w:color w:val="000000"/>
                <w:sz w:val="16"/>
                <w:szCs w:val="16"/>
                <w:lang w:val="es-AR" w:eastAsia="es-AR"/>
              </w:rPr>
            </w:pPr>
            <w:r w:rsidRPr="002335EE">
              <w:rPr>
                <w:b/>
                <w:bCs/>
                <w:sz w:val="16"/>
                <w:szCs w:val="16"/>
              </w:rPr>
              <w:t xml:space="preserve">15.9 </w:t>
            </w:r>
          </w:p>
        </w:tc>
        <w:tc>
          <w:tcPr>
            <w:tcW w:w="819" w:type="dxa"/>
            <w:tcBorders>
              <w:top w:val="nil"/>
              <w:left w:val="nil"/>
              <w:bottom w:val="nil"/>
              <w:right w:val="nil"/>
            </w:tcBorders>
            <w:shd w:val="clear" w:color="auto" w:fill="FFFFFF" w:themeFill="background1"/>
            <w:hideMark/>
          </w:tcPr>
          <w:p w14:paraId="20FA922C" w14:textId="77777777" w:rsidR="002335EE" w:rsidRPr="002335EE" w:rsidRDefault="002335EE" w:rsidP="002335EE">
            <w:pPr>
              <w:jc w:val="center"/>
              <w:rPr>
                <w:color w:val="000000"/>
                <w:sz w:val="16"/>
                <w:szCs w:val="16"/>
                <w:lang w:val="es-AR" w:eastAsia="es-AR"/>
              </w:rPr>
            </w:pPr>
            <w:r w:rsidRPr="002335EE">
              <w:rPr>
                <w:b/>
                <w:bCs/>
                <w:sz w:val="16"/>
                <w:szCs w:val="16"/>
              </w:rPr>
              <w:t xml:space="preserve">14.8 </w:t>
            </w:r>
          </w:p>
        </w:tc>
        <w:tc>
          <w:tcPr>
            <w:tcW w:w="839" w:type="dxa"/>
            <w:tcBorders>
              <w:top w:val="nil"/>
              <w:left w:val="nil"/>
              <w:bottom w:val="nil"/>
              <w:right w:val="nil"/>
            </w:tcBorders>
            <w:shd w:val="clear" w:color="auto" w:fill="FFFFFF" w:themeFill="background1"/>
            <w:hideMark/>
          </w:tcPr>
          <w:p w14:paraId="47C66B6A" w14:textId="77777777" w:rsidR="002335EE" w:rsidRPr="002335EE" w:rsidRDefault="002335EE" w:rsidP="002335EE">
            <w:pPr>
              <w:jc w:val="center"/>
              <w:rPr>
                <w:color w:val="000000"/>
                <w:sz w:val="16"/>
                <w:szCs w:val="16"/>
                <w:lang w:val="es-AR" w:eastAsia="es-AR"/>
              </w:rPr>
            </w:pPr>
            <w:r w:rsidRPr="002335EE">
              <w:rPr>
                <w:b/>
                <w:bCs/>
                <w:sz w:val="16"/>
                <w:szCs w:val="16"/>
              </w:rPr>
              <w:t xml:space="preserve">13.8 </w:t>
            </w:r>
          </w:p>
        </w:tc>
      </w:tr>
      <w:tr w:rsidR="002335EE" w:rsidRPr="002335EE" w14:paraId="4C3B1666" w14:textId="77777777" w:rsidTr="002335EE">
        <w:trPr>
          <w:trHeight w:val="315"/>
        </w:trPr>
        <w:tc>
          <w:tcPr>
            <w:tcW w:w="2475" w:type="dxa"/>
            <w:tcBorders>
              <w:top w:val="nil"/>
              <w:left w:val="nil"/>
              <w:bottom w:val="nil"/>
              <w:right w:val="nil"/>
            </w:tcBorders>
            <w:shd w:val="clear" w:color="auto" w:fill="FFFFFF" w:themeFill="background1"/>
            <w:hideMark/>
          </w:tcPr>
          <w:p w14:paraId="6546F67C" w14:textId="77777777" w:rsidR="002335EE" w:rsidRPr="002335EE" w:rsidRDefault="002335EE" w:rsidP="002335EE">
            <w:pPr>
              <w:rPr>
                <w:color w:val="000000"/>
                <w:sz w:val="16"/>
                <w:szCs w:val="16"/>
                <w:lang w:val="es-AR" w:eastAsia="es-AR"/>
              </w:rPr>
            </w:pPr>
            <w:r w:rsidRPr="002335EE">
              <w:rPr>
                <w:color w:val="000000"/>
                <w:sz w:val="16"/>
                <w:szCs w:val="16"/>
                <w:lang w:val="es-AR" w:eastAsia="es-AR"/>
              </w:rPr>
              <w:t>Developed Non-Producing</w:t>
            </w:r>
          </w:p>
        </w:tc>
        <w:tc>
          <w:tcPr>
            <w:tcW w:w="800" w:type="dxa"/>
            <w:tcBorders>
              <w:top w:val="nil"/>
              <w:left w:val="nil"/>
              <w:bottom w:val="nil"/>
              <w:right w:val="nil"/>
            </w:tcBorders>
            <w:shd w:val="clear" w:color="auto" w:fill="FFFFFF" w:themeFill="background1"/>
            <w:hideMark/>
          </w:tcPr>
          <w:p w14:paraId="6E6AE250" w14:textId="77777777" w:rsidR="002335EE" w:rsidRPr="002335EE" w:rsidRDefault="002335EE" w:rsidP="002335EE">
            <w:pPr>
              <w:jc w:val="center"/>
              <w:rPr>
                <w:color w:val="000000"/>
                <w:sz w:val="16"/>
                <w:szCs w:val="16"/>
                <w:lang w:val="es-AR" w:eastAsia="es-AR"/>
              </w:rPr>
            </w:pPr>
            <w:r w:rsidRPr="002335EE">
              <w:rPr>
                <w:sz w:val="16"/>
                <w:szCs w:val="16"/>
              </w:rPr>
              <w:t xml:space="preserve">25.9 </w:t>
            </w:r>
          </w:p>
        </w:tc>
        <w:tc>
          <w:tcPr>
            <w:tcW w:w="800" w:type="dxa"/>
            <w:tcBorders>
              <w:top w:val="nil"/>
              <w:left w:val="nil"/>
              <w:bottom w:val="nil"/>
              <w:right w:val="nil"/>
            </w:tcBorders>
            <w:shd w:val="clear" w:color="auto" w:fill="FFFFFF" w:themeFill="background1"/>
            <w:hideMark/>
          </w:tcPr>
          <w:p w14:paraId="15790D27" w14:textId="77777777" w:rsidR="002335EE" w:rsidRPr="002335EE" w:rsidRDefault="002335EE" w:rsidP="002335EE">
            <w:pPr>
              <w:jc w:val="center"/>
              <w:rPr>
                <w:color w:val="000000"/>
                <w:sz w:val="16"/>
                <w:szCs w:val="16"/>
                <w:lang w:val="es-AR" w:eastAsia="es-AR"/>
              </w:rPr>
            </w:pPr>
            <w:r w:rsidRPr="002335EE">
              <w:rPr>
                <w:sz w:val="16"/>
                <w:szCs w:val="16"/>
              </w:rPr>
              <w:t xml:space="preserve">17.7 </w:t>
            </w:r>
          </w:p>
        </w:tc>
        <w:tc>
          <w:tcPr>
            <w:tcW w:w="858" w:type="dxa"/>
            <w:tcBorders>
              <w:top w:val="nil"/>
              <w:left w:val="nil"/>
              <w:bottom w:val="nil"/>
              <w:right w:val="nil"/>
            </w:tcBorders>
            <w:shd w:val="clear" w:color="auto" w:fill="FFFFFF" w:themeFill="background1"/>
            <w:hideMark/>
          </w:tcPr>
          <w:p w14:paraId="5FFA4ED5" w14:textId="77777777" w:rsidR="002335EE" w:rsidRPr="002335EE" w:rsidRDefault="002335EE" w:rsidP="002335EE">
            <w:pPr>
              <w:jc w:val="center"/>
              <w:rPr>
                <w:color w:val="000000"/>
                <w:sz w:val="16"/>
                <w:szCs w:val="16"/>
                <w:lang w:val="es-AR" w:eastAsia="es-AR"/>
              </w:rPr>
            </w:pPr>
            <w:r w:rsidRPr="002335EE">
              <w:rPr>
                <w:sz w:val="16"/>
                <w:szCs w:val="16"/>
              </w:rPr>
              <w:t xml:space="preserve">12.1 </w:t>
            </w:r>
          </w:p>
        </w:tc>
        <w:tc>
          <w:tcPr>
            <w:tcW w:w="819" w:type="dxa"/>
            <w:tcBorders>
              <w:top w:val="nil"/>
              <w:left w:val="nil"/>
              <w:bottom w:val="nil"/>
              <w:right w:val="nil"/>
            </w:tcBorders>
            <w:shd w:val="clear" w:color="auto" w:fill="FFFFFF" w:themeFill="background1"/>
            <w:hideMark/>
          </w:tcPr>
          <w:p w14:paraId="20AF2E07" w14:textId="77777777" w:rsidR="002335EE" w:rsidRPr="002335EE" w:rsidRDefault="002335EE" w:rsidP="002335EE">
            <w:pPr>
              <w:jc w:val="center"/>
              <w:rPr>
                <w:color w:val="000000"/>
                <w:sz w:val="16"/>
                <w:szCs w:val="16"/>
                <w:lang w:val="es-AR" w:eastAsia="es-AR"/>
              </w:rPr>
            </w:pPr>
            <w:r w:rsidRPr="002335EE">
              <w:rPr>
                <w:sz w:val="16"/>
                <w:szCs w:val="16"/>
              </w:rPr>
              <w:t xml:space="preserve">8.4 </w:t>
            </w:r>
          </w:p>
        </w:tc>
        <w:tc>
          <w:tcPr>
            <w:tcW w:w="839" w:type="dxa"/>
            <w:tcBorders>
              <w:top w:val="nil"/>
              <w:left w:val="nil"/>
              <w:bottom w:val="nil"/>
              <w:right w:val="nil"/>
            </w:tcBorders>
            <w:shd w:val="clear" w:color="auto" w:fill="FFFFFF" w:themeFill="background1"/>
            <w:hideMark/>
          </w:tcPr>
          <w:p w14:paraId="7B85848D" w14:textId="77777777" w:rsidR="002335EE" w:rsidRPr="002335EE" w:rsidRDefault="002335EE" w:rsidP="002335EE">
            <w:pPr>
              <w:jc w:val="center"/>
              <w:rPr>
                <w:color w:val="000000"/>
                <w:sz w:val="16"/>
                <w:szCs w:val="16"/>
                <w:lang w:val="es-AR" w:eastAsia="es-AR"/>
              </w:rPr>
            </w:pPr>
            <w:r w:rsidRPr="002335EE">
              <w:rPr>
                <w:sz w:val="16"/>
                <w:szCs w:val="16"/>
              </w:rPr>
              <w:t xml:space="preserve">5.9 </w:t>
            </w:r>
          </w:p>
        </w:tc>
      </w:tr>
      <w:tr w:rsidR="002335EE" w:rsidRPr="002335EE" w14:paraId="51B15A59" w14:textId="77777777" w:rsidTr="002335EE">
        <w:trPr>
          <w:trHeight w:val="315"/>
        </w:trPr>
        <w:tc>
          <w:tcPr>
            <w:tcW w:w="2475" w:type="dxa"/>
            <w:tcBorders>
              <w:top w:val="nil"/>
              <w:left w:val="nil"/>
              <w:bottom w:val="nil"/>
              <w:right w:val="nil"/>
            </w:tcBorders>
            <w:shd w:val="clear" w:color="auto" w:fill="FFFFFF" w:themeFill="background1"/>
            <w:hideMark/>
          </w:tcPr>
          <w:p w14:paraId="11D72697" w14:textId="77777777" w:rsidR="002335EE" w:rsidRPr="002335EE" w:rsidRDefault="002335EE" w:rsidP="002335EE">
            <w:pPr>
              <w:rPr>
                <w:color w:val="000000"/>
                <w:sz w:val="16"/>
                <w:szCs w:val="16"/>
                <w:lang w:val="es-AR" w:eastAsia="es-AR"/>
              </w:rPr>
            </w:pPr>
            <w:r w:rsidRPr="002335EE">
              <w:rPr>
                <w:color w:val="000000"/>
                <w:sz w:val="16"/>
                <w:szCs w:val="16"/>
                <w:lang w:val="es-AR" w:eastAsia="es-AR"/>
              </w:rPr>
              <w:t>Undeveloped</w:t>
            </w:r>
          </w:p>
        </w:tc>
        <w:tc>
          <w:tcPr>
            <w:tcW w:w="800" w:type="dxa"/>
            <w:tcBorders>
              <w:top w:val="nil"/>
              <w:left w:val="nil"/>
              <w:bottom w:val="nil"/>
              <w:right w:val="nil"/>
            </w:tcBorders>
            <w:shd w:val="clear" w:color="auto" w:fill="FFFFFF" w:themeFill="background1"/>
            <w:hideMark/>
          </w:tcPr>
          <w:p w14:paraId="05F0390A" w14:textId="77777777" w:rsidR="002335EE" w:rsidRPr="002335EE" w:rsidRDefault="002335EE" w:rsidP="002335EE">
            <w:pPr>
              <w:jc w:val="center"/>
              <w:rPr>
                <w:color w:val="000000"/>
                <w:sz w:val="16"/>
                <w:szCs w:val="16"/>
                <w:lang w:val="es-AR" w:eastAsia="es-AR"/>
              </w:rPr>
            </w:pPr>
            <w:r w:rsidRPr="002335EE">
              <w:rPr>
                <w:sz w:val="16"/>
                <w:szCs w:val="16"/>
              </w:rPr>
              <w:t xml:space="preserve">18.3 </w:t>
            </w:r>
          </w:p>
        </w:tc>
        <w:tc>
          <w:tcPr>
            <w:tcW w:w="800" w:type="dxa"/>
            <w:tcBorders>
              <w:top w:val="nil"/>
              <w:left w:val="nil"/>
              <w:bottom w:val="nil"/>
              <w:right w:val="nil"/>
            </w:tcBorders>
            <w:shd w:val="clear" w:color="auto" w:fill="FFFFFF" w:themeFill="background1"/>
            <w:hideMark/>
          </w:tcPr>
          <w:p w14:paraId="6BC8E15D" w14:textId="77777777" w:rsidR="002335EE" w:rsidRPr="002335EE" w:rsidRDefault="002335EE" w:rsidP="002335EE">
            <w:pPr>
              <w:jc w:val="center"/>
              <w:rPr>
                <w:color w:val="000000"/>
                <w:sz w:val="16"/>
                <w:szCs w:val="16"/>
                <w:lang w:val="es-AR" w:eastAsia="es-AR"/>
              </w:rPr>
            </w:pPr>
            <w:r w:rsidRPr="002335EE">
              <w:rPr>
                <w:sz w:val="16"/>
                <w:szCs w:val="16"/>
              </w:rPr>
              <w:t xml:space="preserve">12.3 </w:t>
            </w:r>
          </w:p>
        </w:tc>
        <w:tc>
          <w:tcPr>
            <w:tcW w:w="858" w:type="dxa"/>
            <w:tcBorders>
              <w:top w:val="nil"/>
              <w:left w:val="nil"/>
              <w:bottom w:val="nil"/>
              <w:right w:val="nil"/>
            </w:tcBorders>
            <w:shd w:val="clear" w:color="auto" w:fill="FFFFFF" w:themeFill="background1"/>
            <w:hideMark/>
          </w:tcPr>
          <w:p w14:paraId="147A977C" w14:textId="77777777" w:rsidR="002335EE" w:rsidRPr="002335EE" w:rsidRDefault="002335EE" w:rsidP="002335EE">
            <w:pPr>
              <w:jc w:val="center"/>
              <w:rPr>
                <w:color w:val="000000"/>
                <w:sz w:val="16"/>
                <w:szCs w:val="16"/>
                <w:lang w:val="es-AR" w:eastAsia="es-AR"/>
              </w:rPr>
            </w:pPr>
            <w:r w:rsidRPr="002335EE">
              <w:rPr>
                <w:sz w:val="16"/>
                <w:szCs w:val="16"/>
              </w:rPr>
              <w:t xml:space="preserve">8.5 </w:t>
            </w:r>
          </w:p>
        </w:tc>
        <w:tc>
          <w:tcPr>
            <w:tcW w:w="819" w:type="dxa"/>
            <w:tcBorders>
              <w:top w:val="nil"/>
              <w:left w:val="nil"/>
              <w:bottom w:val="nil"/>
              <w:right w:val="nil"/>
            </w:tcBorders>
            <w:shd w:val="clear" w:color="auto" w:fill="FFFFFF" w:themeFill="background1"/>
            <w:hideMark/>
          </w:tcPr>
          <w:p w14:paraId="3E123CB3" w14:textId="77777777" w:rsidR="002335EE" w:rsidRPr="002335EE" w:rsidRDefault="002335EE" w:rsidP="002335EE">
            <w:pPr>
              <w:jc w:val="center"/>
              <w:rPr>
                <w:color w:val="000000"/>
                <w:sz w:val="16"/>
                <w:szCs w:val="16"/>
                <w:lang w:val="es-AR" w:eastAsia="es-AR"/>
              </w:rPr>
            </w:pPr>
            <w:r w:rsidRPr="002335EE">
              <w:rPr>
                <w:sz w:val="16"/>
                <w:szCs w:val="16"/>
              </w:rPr>
              <w:t xml:space="preserve">5.9 </w:t>
            </w:r>
          </w:p>
        </w:tc>
        <w:tc>
          <w:tcPr>
            <w:tcW w:w="839" w:type="dxa"/>
            <w:tcBorders>
              <w:top w:val="nil"/>
              <w:left w:val="nil"/>
              <w:bottom w:val="nil"/>
              <w:right w:val="nil"/>
            </w:tcBorders>
            <w:shd w:val="clear" w:color="auto" w:fill="FFFFFF" w:themeFill="background1"/>
            <w:hideMark/>
          </w:tcPr>
          <w:p w14:paraId="5CAF71E6" w14:textId="77777777" w:rsidR="002335EE" w:rsidRPr="002335EE" w:rsidRDefault="002335EE" w:rsidP="002335EE">
            <w:pPr>
              <w:jc w:val="center"/>
              <w:rPr>
                <w:color w:val="000000"/>
                <w:sz w:val="16"/>
                <w:szCs w:val="16"/>
                <w:lang w:val="es-AR" w:eastAsia="es-AR"/>
              </w:rPr>
            </w:pPr>
            <w:r w:rsidRPr="002335EE">
              <w:rPr>
                <w:sz w:val="16"/>
                <w:szCs w:val="16"/>
              </w:rPr>
              <w:t xml:space="preserve">4.1 </w:t>
            </w:r>
          </w:p>
        </w:tc>
      </w:tr>
      <w:tr w:rsidR="002335EE" w:rsidRPr="002335EE" w14:paraId="53CF9CD8" w14:textId="77777777" w:rsidTr="002335EE">
        <w:trPr>
          <w:trHeight w:val="315"/>
        </w:trPr>
        <w:tc>
          <w:tcPr>
            <w:tcW w:w="2475" w:type="dxa"/>
            <w:tcBorders>
              <w:top w:val="nil"/>
              <w:left w:val="nil"/>
              <w:bottom w:val="nil"/>
              <w:right w:val="nil"/>
            </w:tcBorders>
            <w:shd w:val="clear" w:color="auto" w:fill="FFFFFF" w:themeFill="background1"/>
            <w:hideMark/>
          </w:tcPr>
          <w:p w14:paraId="1BE3E159" w14:textId="77777777" w:rsidR="002335EE" w:rsidRPr="002335EE" w:rsidRDefault="002335EE" w:rsidP="002335EE">
            <w:pPr>
              <w:rPr>
                <w:color w:val="000000"/>
                <w:sz w:val="16"/>
                <w:szCs w:val="16"/>
                <w:lang w:val="es-AR" w:eastAsia="es-AR"/>
              </w:rPr>
            </w:pPr>
            <w:r w:rsidRPr="002335EE">
              <w:rPr>
                <w:color w:val="000000"/>
                <w:sz w:val="16"/>
                <w:szCs w:val="16"/>
                <w:lang w:val="es-AR" w:eastAsia="es-AR"/>
              </w:rPr>
              <w:t>Total Proved</w:t>
            </w:r>
          </w:p>
        </w:tc>
        <w:tc>
          <w:tcPr>
            <w:tcW w:w="800" w:type="dxa"/>
            <w:tcBorders>
              <w:top w:val="single" w:sz="4" w:space="0" w:color="auto"/>
              <w:left w:val="nil"/>
              <w:bottom w:val="nil"/>
              <w:right w:val="nil"/>
            </w:tcBorders>
            <w:shd w:val="clear" w:color="auto" w:fill="FFFFFF" w:themeFill="background1"/>
            <w:hideMark/>
          </w:tcPr>
          <w:p w14:paraId="1048E515" w14:textId="77777777" w:rsidR="002335EE" w:rsidRPr="002335EE" w:rsidRDefault="002335EE" w:rsidP="002335EE">
            <w:pPr>
              <w:jc w:val="center"/>
              <w:rPr>
                <w:b/>
                <w:bCs/>
                <w:color w:val="000000"/>
                <w:sz w:val="16"/>
                <w:szCs w:val="16"/>
                <w:lang w:val="es-AR" w:eastAsia="es-AR"/>
              </w:rPr>
            </w:pPr>
            <w:r w:rsidRPr="002335EE">
              <w:rPr>
                <w:b/>
                <w:bCs/>
                <w:sz w:val="16"/>
                <w:szCs w:val="16"/>
              </w:rPr>
              <w:t xml:space="preserve">62.0 </w:t>
            </w:r>
          </w:p>
        </w:tc>
        <w:tc>
          <w:tcPr>
            <w:tcW w:w="800" w:type="dxa"/>
            <w:tcBorders>
              <w:top w:val="single" w:sz="4" w:space="0" w:color="auto"/>
              <w:left w:val="nil"/>
              <w:bottom w:val="nil"/>
              <w:right w:val="nil"/>
            </w:tcBorders>
            <w:shd w:val="clear" w:color="auto" w:fill="FFFFFF" w:themeFill="background1"/>
            <w:hideMark/>
          </w:tcPr>
          <w:p w14:paraId="5789109F" w14:textId="77777777" w:rsidR="002335EE" w:rsidRPr="002335EE" w:rsidRDefault="002335EE" w:rsidP="002335EE">
            <w:pPr>
              <w:jc w:val="center"/>
              <w:rPr>
                <w:b/>
                <w:bCs/>
                <w:color w:val="000000"/>
                <w:sz w:val="16"/>
                <w:szCs w:val="16"/>
                <w:lang w:val="es-AR" w:eastAsia="es-AR"/>
              </w:rPr>
            </w:pPr>
            <w:r w:rsidRPr="002335EE">
              <w:rPr>
                <w:b/>
                <w:bCs/>
                <w:sz w:val="16"/>
                <w:szCs w:val="16"/>
              </w:rPr>
              <w:t xml:space="preserve">47.0 </w:t>
            </w:r>
          </w:p>
        </w:tc>
        <w:tc>
          <w:tcPr>
            <w:tcW w:w="858" w:type="dxa"/>
            <w:tcBorders>
              <w:top w:val="single" w:sz="4" w:space="0" w:color="auto"/>
              <w:left w:val="nil"/>
              <w:bottom w:val="nil"/>
              <w:right w:val="nil"/>
            </w:tcBorders>
            <w:shd w:val="clear" w:color="auto" w:fill="FFFFFF" w:themeFill="background1"/>
            <w:hideMark/>
          </w:tcPr>
          <w:p w14:paraId="404F943B" w14:textId="77777777" w:rsidR="002335EE" w:rsidRPr="002335EE" w:rsidRDefault="002335EE" w:rsidP="002335EE">
            <w:pPr>
              <w:jc w:val="center"/>
              <w:rPr>
                <w:b/>
                <w:bCs/>
                <w:color w:val="000000"/>
                <w:sz w:val="16"/>
                <w:szCs w:val="16"/>
                <w:lang w:val="es-AR" w:eastAsia="es-AR"/>
              </w:rPr>
            </w:pPr>
            <w:r w:rsidRPr="002335EE">
              <w:rPr>
                <w:b/>
                <w:bCs/>
                <w:sz w:val="16"/>
                <w:szCs w:val="16"/>
              </w:rPr>
              <w:t xml:space="preserve">36.5 </w:t>
            </w:r>
          </w:p>
        </w:tc>
        <w:tc>
          <w:tcPr>
            <w:tcW w:w="819" w:type="dxa"/>
            <w:tcBorders>
              <w:top w:val="single" w:sz="4" w:space="0" w:color="auto"/>
              <w:left w:val="nil"/>
              <w:bottom w:val="nil"/>
              <w:right w:val="nil"/>
            </w:tcBorders>
            <w:shd w:val="clear" w:color="auto" w:fill="FFFFFF" w:themeFill="background1"/>
            <w:hideMark/>
          </w:tcPr>
          <w:p w14:paraId="47F66790" w14:textId="77777777" w:rsidR="002335EE" w:rsidRPr="002335EE" w:rsidRDefault="002335EE" w:rsidP="002335EE">
            <w:pPr>
              <w:jc w:val="center"/>
              <w:rPr>
                <w:b/>
                <w:bCs/>
                <w:color w:val="000000"/>
                <w:sz w:val="16"/>
                <w:szCs w:val="16"/>
                <w:lang w:val="es-AR" w:eastAsia="es-AR"/>
              </w:rPr>
            </w:pPr>
            <w:r w:rsidRPr="002335EE">
              <w:rPr>
                <w:b/>
                <w:bCs/>
                <w:sz w:val="16"/>
                <w:szCs w:val="16"/>
              </w:rPr>
              <w:t xml:space="preserve">29.1 </w:t>
            </w:r>
          </w:p>
        </w:tc>
        <w:tc>
          <w:tcPr>
            <w:tcW w:w="839" w:type="dxa"/>
            <w:tcBorders>
              <w:top w:val="single" w:sz="4" w:space="0" w:color="auto"/>
              <w:left w:val="nil"/>
              <w:bottom w:val="nil"/>
              <w:right w:val="nil"/>
            </w:tcBorders>
            <w:shd w:val="clear" w:color="auto" w:fill="FFFFFF" w:themeFill="background1"/>
            <w:hideMark/>
          </w:tcPr>
          <w:p w14:paraId="52EFC7C4" w14:textId="77777777" w:rsidR="002335EE" w:rsidRPr="002335EE" w:rsidRDefault="002335EE" w:rsidP="002335EE">
            <w:pPr>
              <w:jc w:val="center"/>
              <w:rPr>
                <w:b/>
                <w:bCs/>
                <w:color w:val="000000"/>
                <w:sz w:val="16"/>
                <w:szCs w:val="16"/>
                <w:lang w:val="es-AR" w:eastAsia="es-AR"/>
              </w:rPr>
            </w:pPr>
            <w:r w:rsidRPr="002335EE">
              <w:rPr>
                <w:b/>
                <w:bCs/>
                <w:sz w:val="16"/>
                <w:szCs w:val="16"/>
              </w:rPr>
              <w:t xml:space="preserve">23.9 </w:t>
            </w:r>
          </w:p>
        </w:tc>
      </w:tr>
      <w:tr w:rsidR="002335EE" w:rsidRPr="002335EE" w14:paraId="1979FCDC" w14:textId="77777777" w:rsidTr="002335EE">
        <w:trPr>
          <w:trHeight w:val="300"/>
        </w:trPr>
        <w:tc>
          <w:tcPr>
            <w:tcW w:w="2475" w:type="dxa"/>
            <w:tcBorders>
              <w:top w:val="nil"/>
              <w:left w:val="nil"/>
              <w:bottom w:val="nil"/>
              <w:right w:val="nil"/>
            </w:tcBorders>
            <w:shd w:val="clear" w:color="auto" w:fill="FFFFFF" w:themeFill="background1"/>
            <w:hideMark/>
          </w:tcPr>
          <w:p w14:paraId="5EC0E0DC" w14:textId="77777777" w:rsidR="002335EE" w:rsidRPr="002335EE" w:rsidRDefault="002335EE" w:rsidP="002335EE">
            <w:pPr>
              <w:rPr>
                <w:color w:val="000000"/>
                <w:sz w:val="16"/>
                <w:szCs w:val="16"/>
                <w:lang w:val="es-AR" w:eastAsia="es-AR"/>
              </w:rPr>
            </w:pPr>
            <w:r w:rsidRPr="002335EE">
              <w:rPr>
                <w:color w:val="000000"/>
                <w:sz w:val="16"/>
                <w:szCs w:val="16"/>
                <w:lang w:val="es-AR" w:eastAsia="es-AR"/>
              </w:rPr>
              <w:t>Total Probable</w:t>
            </w:r>
          </w:p>
        </w:tc>
        <w:tc>
          <w:tcPr>
            <w:tcW w:w="800" w:type="dxa"/>
            <w:tcBorders>
              <w:top w:val="nil"/>
              <w:left w:val="nil"/>
              <w:bottom w:val="nil"/>
              <w:right w:val="nil"/>
            </w:tcBorders>
            <w:shd w:val="clear" w:color="auto" w:fill="FFFFFF" w:themeFill="background1"/>
            <w:hideMark/>
          </w:tcPr>
          <w:p w14:paraId="287F4252" w14:textId="77777777" w:rsidR="002335EE" w:rsidRPr="002335EE" w:rsidRDefault="002335EE" w:rsidP="002335EE">
            <w:pPr>
              <w:jc w:val="center"/>
              <w:rPr>
                <w:color w:val="000000"/>
                <w:sz w:val="16"/>
                <w:szCs w:val="16"/>
                <w:lang w:val="es-AR" w:eastAsia="es-AR"/>
              </w:rPr>
            </w:pPr>
            <w:r w:rsidRPr="002335EE">
              <w:rPr>
                <w:sz w:val="16"/>
                <w:szCs w:val="16"/>
              </w:rPr>
              <w:t xml:space="preserve">61.1 </w:t>
            </w:r>
          </w:p>
        </w:tc>
        <w:tc>
          <w:tcPr>
            <w:tcW w:w="800" w:type="dxa"/>
            <w:tcBorders>
              <w:top w:val="nil"/>
              <w:left w:val="nil"/>
              <w:bottom w:val="nil"/>
              <w:right w:val="nil"/>
            </w:tcBorders>
            <w:shd w:val="clear" w:color="auto" w:fill="FFFFFF" w:themeFill="background1"/>
            <w:hideMark/>
          </w:tcPr>
          <w:p w14:paraId="35201AEF" w14:textId="77777777" w:rsidR="002335EE" w:rsidRPr="002335EE" w:rsidRDefault="002335EE" w:rsidP="002335EE">
            <w:pPr>
              <w:jc w:val="center"/>
              <w:rPr>
                <w:color w:val="000000"/>
                <w:sz w:val="16"/>
                <w:szCs w:val="16"/>
                <w:lang w:val="es-AR" w:eastAsia="es-AR"/>
              </w:rPr>
            </w:pPr>
            <w:r w:rsidRPr="002335EE">
              <w:rPr>
                <w:sz w:val="16"/>
                <w:szCs w:val="16"/>
              </w:rPr>
              <w:t xml:space="preserve">35.0 </w:t>
            </w:r>
          </w:p>
        </w:tc>
        <w:tc>
          <w:tcPr>
            <w:tcW w:w="858" w:type="dxa"/>
            <w:tcBorders>
              <w:top w:val="nil"/>
              <w:left w:val="nil"/>
              <w:bottom w:val="nil"/>
              <w:right w:val="nil"/>
            </w:tcBorders>
            <w:shd w:val="clear" w:color="auto" w:fill="FFFFFF" w:themeFill="background1"/>
            <w:hideMark/>
          </w:tcPr>
          <w:p w14:paraId="2BB5FFD1" w14:textId="77777777" w:rsidR="002335EE" w:rsidRPr="002335EE" w:rsidRDefault="002335EE" w:rsidP="002335EE">
            <w:pPr>
              <w:jc w:val="center"/>
              <w:rPr>
                <w:color w:val="000000"/>
                <w:sz w:val="16"/>
                <w:szCs w:val="16"/>
                <w:lang w:val="es-AR" w:eastAsia="es-AR"/>
              </w:rPr>
            </w:pPr>
            <w:r w:rsidRPr="002335EE">
              <w:rPr>
                <w:sz w:val="16"/>
                <w:szCs w:val="16"/>
              </w:rPr>
              <w:t xml:space="preserve">21.9 </w:t>
            </w:r>
          </w:p>
        </w:tc>
        <w:tc>
          <w:tcPr>
            <w:tcW w:w="819" w:type="dxa"/>
            <w:tcBorders>
              <w:top w:val="nil"/>
              <w:left w:val="nil"/>
              <w:bottom w:val="nil"/>
              <w:right w:val="nil"/>
            </w:tcBorders>
            <w:shd w:val="clear" w:color="auto" w:fill="FFFFFF" w:themeFill="background1"/>
            <w:hideMark/>
          </w:tcPr>
          <w:p w14:paraId="0023C939" w14:textId="77777777" w:rsidR="002335EE" w:rsidRPr="002335EE" w:rsidRDefault="002335EE" w:rsidP="002335EE">
            <w:pPr>
              <w:jc w:val="center"/>
              <w:rPr>
                <w:color w:val="000000"/>
                <w:sz w:val="16"/>
                <w:szCs w:val="16"/>
                <w:lang w:val="es-AR" w:eastAsia="es-AR"/>
              </w:rPr>
            </w:pPr>
            <w:r w:rsidRPr="002335EE">
              <w:rPr>
                <w:sz w:val="16"/>
                <w:szCs w:val="16"/>
              </w:rPr>
              <w:t xml:space="preserve">14.9 </w:t>
            </w:r>
          </w:p>
        </w:tc>
        <w:tc>
          <w:tcPr>
            <w:tcW w:w="839" w:type="dxa"/>
            <w:tcBorders>
              <w:top w:val="nil"/>
              <w:left w:val="nil"/>
              <w:bottom w:val="nil"/>
              <w:right w:val="nil"/>
            </w:tcBorders>
            <w:shd w:val="clear" w:color="auto" w:fill="FFFFFF" w:themeFill="background1"/>
            <w:hideMark/>
          </w:tcPr>
          <w:p w14:paraId="77EB5071" w14:textId="77777777" w:rsidR="002335EE" w:rsidRPr="002335EE" w:rsidRDefault="002335EE" w:rsidP="002335EE">
            <w:pPr>
              <w:jc w:val="center"/>
              <w:rPr>
                <w:color w:val="000000"/>
                <w:sz w:val="16"/>
                <w:szCs w:val="16"/>
                <w:lang w:val="es-AR" w:eastAsia="es-AR"/>
              </w:rPr>
            </w:pPr>
            <w:r w:rsidRPr="002335EE">
              <w:rPr>
                <w:sz w:val="16"/>
                <w:szCs w:val="16"/>
              </w:rPr>
              <w:t xml:space="preserve">10.9 </w:t>
            </w:r>
          </w:p>
        </w:tc>
      </w:tr>
      <w:tr w:rsidR="002335EE" w:rsidRPr="002335EE" w14:paraId="16281BC0" w14:textId="77777777" w:rsidTr="002335EE">
        <w:trPr>
          <w:trHeight w:val="315"/>
        </w:trPr>
        <w:tc>
          <w:tcPr>
            <w:tcW w:w="2475" w:type="dxa"/>
            <w:tcBorders>
              <w:top w:val="nil"/>
              <w:left w:val="nil"/>
              <w:bottom w:val="nil"/>
              <w:right w:val="nil"/>
            </w:tcBorders>
            <w:shd w:val="clear" w:color="auto" w:fill="FFFFFF" w:themeFill="background1"/>
            <w:hideMark/>
          </w:tcPr>
          <w:p w14:paraId="77E644E2" w14:textId="77777777" w:rsidR="002335EE" w:rsidRPr="002335EE" w:rsidRDefault="002335EE" w:rsidP="002335EE">
            <w:pPr>
              <w:rPr>
                <w:color w:val="000000"/>
                <w:sz w:val="16"/>
                <w:szCs w:val="16"/>
                <w:lang w:val="es-AR" w:eastAsia="es-AR"/>
              </w:rPr>
            </w:pPr>
            <w:r w:rsidRPr="002335EE">
              <w:rPr>
                <w:color w:val="000000"/>
                <w:sz w:val="16"/>
                <w:szCs w:val="16"/>
                <w:lang w:val="es-AR" w:eastAsia="es-AR"/>
              </w:rPr>
              <w:t>Total Proved plus Probable</w:t>
            </w:r>
          </w:p>
        </w:tc>
        <w:tc>
          <w:tcPr>
            <w:tcW w:w="800" w:type="dxa"/>
            <w:tcBorders>
              <w:top w:val="single" w:sz="4" w:space="0" w:color="auto"/>
              <w:left w:val="nil"/>
              <w:bottom w:val="nil"/>
              <w:right w:val="nil"/>
            </w:tcBorders>
            <w:shd w:val="clear" w:color="auto" w:fill="FFFFFF" w:themeFill="background1"/>
            <w:hideMark/>
          </w:tcPr>
          <w:p w14:paraId="57ED7E72" w14:textId="77777777" w:rsidR="002335EE" w:rsidRPr="002335EE" w:rsidRDefault="002335EE" w:rsidP="002335EE">
            <w:pPr>
              <w:jc w:val="center"/>
              <w:rPr>
                <w:b/>
                <w:bCs/>
                <w:color w:val="000000"/>
                <w:sz w:val="16"/>
                <w:szCs w:val="16"/>
                <w:lang w:eastAsia="es-AR"/>
              </w:rPr>
            </w:pPr>
            <w:r w:rsidRPr="002335EE">
              <w:rPr>
                <w:b/>
                <w:bCs/>
                <w:sz w:val="16"/>
                <w:szCs w:val="16"/>
              </w:rPr>
              <w:t xml:space="preserve">123.1 </w:t>
            </w:r>
          </w:p>
        </w:tc>
        <w:tc>
          <w:tcPr>
            <w:tcW w:w="800" w:type="dxa"/>
            <w:tcBorders>
              <w:top w:val="single" w:sz="4" w:space="0" w:color="auto"/>
              <w:left w:val="nil"/>
              <w:bottom w:val="nil"/>
              <w:right w:val="nil"/>
            </w:tcBorders>
            <w:shd w:val="clear" w:color="auto" w:fill="FFFFFF" w:themeFill="background1"/>
            <w:hideMark/>
          </w:tcPr>
          <w:p w14:paraId="4D18CE6E" w14:textId="77777777" w:rsidR="002335EE" w:rsidRPr="002335EE" w:rsidRDefault="002335EE" w:rsidP="002335EE">
            <w:pPr>
              <w:jc w:val="center"/>
              <w:rPr>
                <w:b/>
                <w:bCs/>
                <w:color w:val="000000"/>
                <w:sz w:val="16"/>
                <w:szCs w:val="16"/>
                <w:lang w:eastAsia="es-AR"/>
              </w:rPr>
            </w:pPr>
            <w:r w:rsidRPr="002335EE">
              <w:rPr>
                <w:b/>
                <w:bCs/>
                <w:sz w:val="16"/>
                <w:szCs w:val="16"/>
              </w:rPr>
              <w:t xml:space="preserve">82.0 </w:t>
            </w:r>
          </w:p>
        </w:tc>
        <w:tc>
          <w:tcPr>
            <w:tcW w:w="858" w:type="dxa"/>
            <w:tcBorders>
              <w:top w:val="single" w:sz="4" w:space="0" w:color="auto"/>
              <w:left w:val="nil"/>
              <w:bottom w:val="nil"/>
              <w:right w:val="nil"/>
            </w:tcBorders>
            <w:shd w:val="clear" w:color="auto" w:fill="FFFFFF" w:themeFill="background1"/>
            <w:hideMark/>
          </w:tcPr>
          <w:p w14:paraId="4BB424D5" w14:textId="77777777" w:rsidR="002335EE" w:rsidRPr="002335EE" w:rsidRDefault="002335EE" w:rsidP="002335EE">
            <w:pPr>
              <w:jc w:val="center"/>
              <w:rPr>
                <w:b/>
                <w:bCs/>
                <w:color w:val="000000"/>
                <w:sz w:val="16"/>
                <w:szCs w:val="16"/>
                <w:lang w:eastAsia="es-AR"/>
              </w:rPr>
            </w:pPr>
            <w:r w:rsidRPr="002335EE">
              <w:rPr>
                <w:b/>
                <w:bCs/>
                <w:sz w:val="16"/>
                <w:szCs w:val="16"/>
              </w:rPr>
              <w:t xml:space="preserve">58.4 </w:t>
            </w:r>
          </w:p>
        </w:tc>
        <w:tc>
          <w:tcPr>
            <w:tcW w:w="819" w:type="dxa"/>
            <w:tcBorders>
              <w:top w:val="single" w:sz="4" w:space="0" w:color="auto"/>
              <w:left w:val="nil"/>
              <w:bottom w:val="nil"/>
              <w:right w:val="nil"/>
            </w:tcBorders>
            <w:shd w:val="clear" w:color="auto" w:fill="FFFFFF" w:themeFill="background1"/>
            <w:hideMark/>
          </w:tcPr>
          <w:p w14:paraId="58F5D52C" w14:textId="77777777" w:rsidR="002335EE" w:rsidRPr="002335EE" w:rsidRDefault="002335EE" w:rsidP="002335EE">
            <w:pPr>
              <w:jc w:val="center"/>
              <w:rPr>
                <w:b/>
                <w:bCs/>
                <w:color w:val="000000"/>
                <w:sz w:val="16"/>
                <w:szCs w:val="16"/>
                <w:lang w:eastAsia="es-AR"/>
              </w:rPr>
            </w:pPr>
            <w:r w:rsidRPr="002335EE">
              <w:rPr>
                <w:b/>
                <w:bCs/>
                <w:sz w:val="16"/>
                <w:szCs w:val="16"/>
              </w:rPr>
              <w:t xml:space="preserve">44.0 </w:t>
            </w:r>
          </w:p>
        </w:tc>
        <w:tc>
          <w:tcPr>
            <w:tcW w:w="839" w:type="dxa"/>
            <w:tcBorders>
              <w:top w:val="single" w:sz="4" w:space="0" w:color="auto"/>
              <w:left w:val="nil"/>
              <w:bottom w:val="nil"/>
              <w:right w:val="nil"/>
            </w:tcBorders>
            <w:shd w:val="clear" w:color="auto" w:fill="FFFFFF" w:themeFill="background1"/>
            <w:hideMark/>
          </w:tcPr>
          <w:p w14:paraId="69FFD1FF" w14:textId="77777777" w:rsidR="002335EE" w:rsidRPr="002335EE" w:rsidRDefault="002335EE" w:rsidP="002335EE">
            <w:pPr>
              <w:jc w:val="center"/>
              <w:rPr>
                <w:b/>
                <w:bCs/>
                <w:color w:val="000000"/>
                <w:sz w:val="16"/>
                <w:szCs w:val="16"/>
                <w:lang w:eastAsia="es-AR"/>
              </w:rPr>
            </w:pPr>
            <w:r w:rsidRPr="002335EE">
              <w:rPr>
                <w:b/>
                <w:bCs/>
                <w:sz w:val="16"/>
                <w:szCs w:val="16"/>
              </w:rPr>
              <w:t xml:space="preserve">34.8 </w:t>
            </w:r>
          </w:p>
        </w:tc>
      </w:tr>
    </w:tbl>
    <w:p w14:paraId="1BBD4EBF" w14:textId="77777777" w:rsidR="004A2E5D" w:rsidRPr="007B6295" w:rsidRDefault="004A2E5D" w:rsidP="004A2E5D">
      <w:pPr>
        <w:numPr>
          <w:ilvl w:val="0"/>
          <w:numId w:val="1"/>
        </w:numPr>
        <w:spacing w:before="60"/>
        <w:ind w:left="425" w:hanging="425"/>
        <w:jc w:val="both"/>
        <w:rPr>
          <w:rFonts w:ascii="Times New Roman" w:hAnsi="Times New Roman"/>
          <w:sz w:val="18"/>
          <w:szCs w:val="16"/>
          <w:lang w:val="en-CA"/>
        </w:rPr>
      </w:pPr>
      <w:r w:rsidRPr="002335EE">
        <w:rPr>
          <w:b/>
          <w:sz w:val="16"/>
          <w:szCs w:val="16"/>
        </w:rPr>
        <w:fldChar w:fldCharType="end"/>
      </w:r>
      <w:r w:rsidRPr="007B6295">
        <w:rPr>
          <w:rFonts w:ascii="Times New Roman" w:hAnsi="Times New Roman"/>
          <w:sz w:val="18"/>
          <w:szCs w:val="16"/>
          <w:lang w:val="en-CA"/>
        </w:rPr>
        <w:t>The estimated net present values of future net revenues disclosed do not represent fair market value.</w:t>
      </w:r>
    </w:p>
    <w:p w14:paraId="4882BF7E" w14:textId="77777777" w:rsidR="004A2E5D" w:rsidRPr="007B6295" w:rsidRDefault="004A2E5D" w:rsidP="004A2E5D">
      <w:pPr>
        <w:numPr>
          <w:ilvl w:val="0"/>
          <w:numId w:val="1"/>
        </w:numPr>
        <w:spacing w:before="60"/>
        <w:ind w:left="425" w:hanging="425"/>
        <w:jc w:val="both"/>
        <w:rPr>
          <w:rFonts w:ascii="Times New Roman" w:hAnsi="Times New Roman"/>
          <w:sz w:val="18"/>
          <w:szCs w:val="16"/>
          <w:lang w:val="en-CA"/>
        </w:rPr>
      </w:pPr>
      <w:r w:rsidRPr="007B6295">
        <w:rPr>
          <w:rFonts w:ascii="Times New Roman" w:hAnsi="Times New Roman"/>
          <w:sz w:val="18"/>
          <w:szCs w:val="16"/>
          <w:lang w:val="en-CA"/>
        </w:rPr>
        <w:t xml:space="preserve">The </w:t>
      </w:r>
      <w:r w:rsidR="00E35476" w:rsidRPr="007B6295">
        <w:rPr>
          <w:rFonts w:ascii="Times New Roman" w:hAnsi="Times New Roman"/>
          <w:sz w:val="18"/>
          <w:szCs w:val="16"/>
          <w:lang w:val="en-CA"/>
        </w:rPr>
        <w:t>definitions of the various categories of reserves are those set out in NI 51-101 and the COGE Handbook</w:t>
      </w:r>
      <w:r w:rsidRPr="007B6295">
        <w:rPr>
          <w:rFonts w:ascii="Times New Roman" w:hAnsi="Times New Roman"/>
          <w:sz w:val="18"/>
          <w:szCs w:val="16"/>
          <w:lang w:val="en-CA"/>
        </w:rPr>
        <w:t>.</w:t>
      </w:r>
    </w:p>
    <w:p w14:paraId="5AF910E6" w14:textId="77777777" w:rsidR="001A6102" w:rsidRPr="007B6295" w:rsidRDefault="001A6102" w:rsidP="003A2F45">
      <w:pPr>
        <w:tabs>
          <w:tab w:val="left" w:pos="1440"/>
        </w:tabs>
        <w:spacing w:before="120" w:line="240" w:lineRule="atLeast"/>
        <w:jc w:val="both"/>
        <w:rPr>
          <w:rFonts w:ascii="Times New Roman" w:hAnsi="Times New Roman"/>
          <w:szCs w:val="22"/>
        </w:rPr>
      </w:pPr>
    </w:p>
    <w:p w14:paraId="200A3660" w14:textId="77777777" w:rsidR="00EE79E4" w:rsidRPr="002335EE" w:rsidRDefault="003A2F45" w:rsidP="003A2F45">
      <w:pPr>
        <w:tabs>
          <w:tab w:val="left" w:pos="1440"/>
        </w:tabs>
        <w:spacing w:before="120" w:line="240" w:lineRule="atLeast"/>
        <w:jc w:val="both"/>
        <w:rPr>
          <w:sz w:val="20"/>
          <w:szCs w:val="20"/>
        </w:rPr>
      </w:pPr>
      <w:r w:rsidRPr="002335EE">
        <w:rPr>
          <w:sz w:val="20"/>
          <w:szCs w:val="20"/>
        </w:rPr>
        <w:t xml:space="preserve">The Company's </w:t>
      </w:r>
      <w:r w:rsidR="001C3302" w:rsidRPr="002335EE">
        <w:rPr>
          <w:sz w:val="20"/>
          <w:szCs w:val="20"/>
        </w:rPr>
        <w:t>p</w:t>
      </w:r>
      <w:r w:rsidRPr="002335EE">
        <w:rPr>
          <w:sz w:val="20"/>
          <w:szCs w:val="20"/>
        </w:rPr>
        <w:t xml:space="preserve">roved plus </w:t>
      </w:r>
      <w:r w:rsidR="001C3302" w:rsidRPr="002335EE">
        <w:rPr>
          <w:sz w:val="20"/>
          <w:szCs w:val="20"/>
        </w:rPr>
        <w:t>p</w:t>
      </w:r>
      <w:r w:rsidRPr="002335EE">
        <w:rPr>
          <w:sz w:val="20"/>
          <w:szCs w:val="20"/>
        </w:rPr>
        <w:t>robable ("</w:t>
      </w:r>
      <w:r w:rsidRPr="002335EE">
        <w:rPr>
          <w:b/>
          <w:sz w:val="20"/>
          <w:szCs w:val="20"/>
        </w:rPr>
        <w:t>2P</w:t>
      </w:r>
      <w:r w:rsidRPr="002335EE">
        <w:rPr>
          <w:sz w:val="20"/>
          <w:szCs w:val="20"/>
        </w:rPr>
        <w:t xml:space="preserve">") reserves (gross) as at December 31, </w:t>
      </w:r>
      <w:r w:rsidR="002F1371" w:rsidRPr="002335EE">
        <w:rPr>
          <w:sz w:val="20"/>
          <w:szCs w:val="20"/>
        </w:rPr>
        <w:t>202</w:t>
      </w:r>
      <w:r w:rsidR="00BE044F">
        <w:rPr>
          <w:sz w:val="20"/>
          <w:szCs w:val="20"/>
        </w:rPr>
        <w:t>1</w:t>
      </w:r>
      <w:r w:rsidRPr="002335EE">
        <w:rPr>
          <w:sz w:val="20"/>
          <w:szCs w:val="20"/>
        </w:rPr>
        <w:t xml:space="preserve">, as </w:t>
      </w:r>
      <w:r w:rsidR="002F1371" w:rsidRPr="002335EE">
        <w:rPr>
          <w:sz w:val="20"/>
          <w:szCs w:val="20"/>
        </w:rPr>
        <w:t>evaluated by McDaniel</w:t>
      </w:r>
      <w:r w:rsidRPr="002335EE">
        <w:rPr>
          <w:sz w:val="20"/>
          <w:szCs w:val="20"/>
        </w:rPr>
        <w:t xml:space="preserve">, were </w:t>
      </w:r>
      <w:r w:rsidR="00355AA9">
        <w:rPr>
          <w:sz w:val="20"/>
          <w:szCs w:val="20"/>
        </w:rPr>
        <w:t>6,922</w:t>
      </w:r>
      <w:r w:rsidR="00C932FF" w:rsidRPr="002335EE">
        <w:rPr>
          <w:sz w:val="20"/>
          <w:szCs w:val="20"/>
        </w:rPr>
        <w:t xml:space="preserve"> </w:t>
      </w:r>
      <w:r w:rsidRPr="002335EE">
        <w:rPr>
          <w:sz w:val="20"/>
          <w:szCs w:val="20"/>
        </w:rPr>
        <w:t>MB</w:t>
      </w:r>
      <w:r w:rsidR="001C3302" w:rsidRPr="002335EE">
        <w:rPr>
          <w:sz w:val="20"/>
          <w:szCs w:val="20"/>
        </w:rPr>
        <w:t>OE</w:t>
      </w:r>
      <w:r w:rsidRPr="002335EE">
        <w:rPr>
          <w:sz w:val="20"/>
          <w:szCs w:val="20"/>
        </w:rPr>
        <w:t xml:space="preserve"> compared to </w:t>
      </w:r>
      <w:r w:rsidR="00BE044F">
        <w:rPr>
          <w:sz w:val="20"/>
          <w:szCs w:val="20"/>
        </w:rPr>
        <w:t>2,247</w:t>
      </w:r>
      <w:r w:rsidRPr="002335EE">
        <w:rPr>
          <w:sz w:val="20"/>
          <w:szCs w:val="20"/>
        </w:rPr>
        <w:t xml:space="preserve"> MB</w:t>
      </w:r>
      <w:r w:rsidR="001C3302" w:rsidRPr="002335EE">
        <w:rPr>
          <w:sz w:val="20"/>
          <w:szCs w:val="20"/>
        </w:rPr>
        <w:t>OE</w:t>
      </w:r>
      <w:r w:rsidRPr="002335EE">
        <w:rPr>
          <w:sz w:val="20"/>
          <w:szCs w:val="20"/>
        </w:rPr>
        <w:t xml:space="preserve"> as at December 31, </w:t>
      </w:r>
      <w:r w:rsidR="002D4B6B" w:rsidRPr="002335EE">
        <w:rPr>
          <w:sz w:val="20"/>
          <w:szCs w:val="20"/>
        </w:rPr>
        <w:t>20</w:t>
      </w:r>
      <w:r w:rsidR="00BE044F">
        <w:rPr>
          <w:sz w:val="20"/>
          <w:szCs w:val="20"/>
        </w:rPr>
        <w:t>20</w:t>
      </w:r>
      <w:r w:rsidR="00355AA9">
        <w:rPr>
          <w:sz w:val="20"/>
          <w:szCs w:val="20"/>
        </w:rPr>
        <w:t>.</w:t>
      </w:r>
      <w:r w:rsidR="007A4E95" w:rsidRPr="002335EE">
        <w:rPr>
          <w:sz w:val="20"/>
          <w:szCs w:val="20"/>
        </w:rPr>
        <w:t xml:space="preserve">  </w:t>
      </w:r>
      <w:r w:rsidR="00FD58EA" w:rsidRPr="002335EE">
        <w:rPr>
          <w:sz w:val="20"/>
          <w:szCs w:val="20"/>
        </w:rPr>
        <w:t>Th</w:t>
      </w:r>
      <w:r w:rsidR="00902D65" w:rsidRPr="002335EE">
        <w:rPr>
          <w:sz w:val="20"/>
          <w:szCs w:val="20"/>
        </w:rPr>
        <w:t xml:space="preserve">e </w:t>
      </w:r>
      <w:r w:rsidR="00621433">
        <w:rPr>
          <w:sz w:val="20"/>
          <w:szCs w:val="20"/>
        </w:rPr>
        <w:t xml:space="preserve">more than </w:t>
      </w:r>
      <w:r w:rsidR="00355AA9">
        <w:rPr>
          <w:sz w:val="20"/>
          <w:szCs w:val="20"/>
        </w:rPr>
        <w:t xml:space="preserve">threefold </w:t>
      </w:r>
      <w:r w:rsidR="00BE044F">
        <w:rPr>
          <w:sz w:val="20"/>
          <w:szCs w:val="20"/>
        </w:rPr>
        <w:t>in</w:t>
      </w:r>
      <w:r w:rsidR="007A4E95" w:rsidRPr="002335EE">
        <w:rPr>
          <w:sz w:val="20"/>
          <w:szCs w:val="20"/>
        </w:rPr>
        <w:t>crease</w:t>
      </w:r>
      <w:r w:rsidR="00FD58EA" w:rsidRPr="002335EE">
        <w:rPr>
          <w:sz w:val="20"/>
          <w:szCs w:val="20"/>
        </w:rPr>
        <w:t xml:space="preserve"> is</w:t>
      </w:r>
      <w:r w:rsidR="009C0586" w:rsidRPr="002335EE">
        <w:rPr>
          <w:sz w:val="20"/>
          <w:szCs w:val="20"/>
        </w:rPr>
        <w:t xml:space="preserve"> </w:t>
      </w:r>
      <w:r w:rsidRPr="002335EE">
        <w:rPr>
          <w:sz w:val="20"/>
          <w:szCs w:val="20"/>
        </w:rPr>
        <w:t>attributable to</w:t>
      </w:r>
      <w:r w:rsidR="00D734E1" w:rsidRPr="002335EE">
        <w:rPr>
          <w:sz w:val="20"/>
          <w:szCs w:val="20"/>
        </w:rPr>
        <w:t>:</w:t>
      </w:r>
      <w:r w:rsidRPr="002335EE">
        <w:rPr>
          <w:sz w:val="20"/>
          <w:szCs w:val="20"/>
        </w:rPr>
        <w:t xml:space="preserve"> </w:t>
      </w:r>
      <w:r w:rsidR="00BE044F">
        <w:rPr>
          <w:sz w:val="20"/>
          <w:szCs w:val="20"/>
        </w:rPr>
        <w:t>the acquisition in March 202</w:t>
      </w:r>
      <w:r w:rsidR="000B492D">
        <w:rPr>
          <w:sz w:val="20"/>
          <w:szCs w:val="20"/>
        </w:rPr>
        <w:t>1</w:t>
      </w:r>
      <w:r w:rsidR="00BE044F">
        <w:rPr>
          <w:sz w:val="20"/>
          <w:szCs w:val="20"/>
        </w:rPr>
        <w:t xml:space="preserve"> of a 50% working interest in the oil producing Chañares Herrados concession in Mendoza Province</w:t>
      </w:r>
      <w:r w:rsidR="0037205E">
        <w:rPr>
          <w:sz w:val="20"/>
          <w:szCs w:val="20"/>
        </w:rPr>
        <w:t xml:space="preserve"> and</w:t>
      </w:r>
      <w:r w:rsidR="00BE044F">
        <w:rPr>
          <w:sz w:val="20"/>
          <w:szCs w:val="20"/>
        </w:rPr>
        <w:t xml:space="preserve"> </w:t>
      </w:r>
      <w:r w:rsidR="00D070DD">
        <w:rPr>
          <w:sz w:val="20"/>
          <w:szCs w:val="20"/>
        </w:rPr>
        <w:t>better than anticipated</w:t>
      </w:r>
      <w:r w:rsidR="0043296F">
        <w:rPr>
          <w:sz w:val="20"/>
          <w:szCs w:val="20"/>
        </w:rPr>
        <w:t xml:space="preserve"> </w:t>
      </w:r>
      <w:r w:rsidR="007A4E95" w:rsidRPr="002335EE">
        <w:rPr>
          <w:sz w:val="20"/>
          <w:szCs w:val="20"/>
        </w:rPr>
        <w:t xml:space="preserve">gas </w:t>
      </w:r>
      <w:r w:rsidR="0043296F">
        <w:rPr>
          <w:sz w:val="20"/>
          <w:szCs w:val="20"/>
        </w:rPr>
        <w:t>production from the Tierra del Fuego concessions</w:t>
      </w:r>
      <w:r w:rsidR="0037205E">
        <w:rPr>
          <w:sz w:val="20"/>
          <w:szCs w:val="20"/>
        </w:rPr>
        <w:t>, which was</w:t>
      </w:r>
      <w:r w:rsidR="0074582F" w:rsidRPr="002335EE">
        <w:rPr>
          <w:sz w:val="20"/>
          <w:szCs w:val="20"/>
        </w:rPr>
        <w:t xml:space="preserve"> </w:t>
      </w:r>
      <w:r w:rsidR="00355AA9">
        <w:rPr>
          <w:sz w:val="20"/>
          <w:szCs w:val="20"/>
        </w:rPr>
        <w:t xml:space="preserve">partially offset by </w:t>
      </w:r>
      <w:r w:rsidR="00B46407" w:rsidRPr="002335EE">
        <w:rPr>
          <w:sz w:val="20"/>
          <w:szCs w:val="20"/>
        </w:rPr>
        <w:t>a downward revision of San Martin oil reserves</w:t>
      </w:r>
      <w:r w:rsidR="001133C0">
        <w:rPr>
          <w:sz w:val="20"/>
          <w:szCs w:val="20"/>
        </w:rPr>
        <w:t xml:space="preserve"> (</w:t>
      </w:r>
      <w:r w:rsidR="000B492D">
        <w:rPr>
          <w:sz w:val="20"/>
          <w:szCs w:val="20"/>
        </w:rPr>
        <w:t xml:space="preserve">2P: </w:t>
      </w:r>
      <w:r w:rsidR="001133C0">
        <w:rPr>
          <w:sz w:val="20"/>
          <w:szCs w:val="20"/>
        </w:rPr>
        <w:t>96,000 barrels of oil)</w:t>
      </w:r>
      <w:r w:rsidR="00B46407" w:rsidRPr="002335EE">
        <w:rPr>
          <w:sz w:val="20"/>
          <w:szCs w:val="20"/>
        </w:rPr>
        <w:t xml:space="preserve"> due to</w:t>
      </w:r>
      <w:r w:rsidR="00E137FE" w:rsidRPr="002335EE">
        <w:rPr>
          <w:sz w:val="20"/>
          <w:szCs w:val="20"/>
        </w:rPr>
        <w:t xml:space="preserve"> the </w:t>
      </w:r>
      <w:r w:rsidR="00396201">
        <w:rPr>
          <w:sz w:val="20"/>
          <w:szCs w:val="20"/>
        </w:rPr>
        <w:t xml:space="preserve">November 2021 </w:t>
      </w:r>
      <w:r w:rsidR="00E137FE" w:rsidRPr="002335EE">
        <w:rPr>
          <w:sz w:val="20"/>
          <w:szCs w:val="20"/>
        </w:rPr>
        <w:t>onset of water production</w:t>
      </w:r>
      <w:r w:rsidR="00355AA9">
        <w:rPr>
          <w:sz w:val="20"/>
          <w:szCs w:val="20"/>
        </w:rPr>
        <w:t xml:space="preserve"> </w:t>
      </w:r>
      <w:r w:rsidR="00E137FE" w:rsidRPr="002335EE">
        <w:rPr>
          <w:sz w:val="20"/>
          <w:szCs w:val="20"/>
        </w:rPr>
        <w:t xml:space="preserve">in the San Martin </w:t>
      </w:r>
      <w:r w:rsidR="00355AA9">
        <w:rPr>
          <w:sz w:val="20"/>
          <w:szCs w:val="20"/>
        </w:rPr>
        <w:t>a</w:t>
      </w:r>
      <w:r w:rsidR="00E137FE" w:rsidRPr="002335EE">
        <w:rPr>
          <w:sz w:val="20"/>
          <w:szCs w:val="20"/>
        </w:rPr>
        <w:t>-100</w:t>
      </w:r>
      <w:r w:rsidR="00355AA9">
        <w:rPr>
          <w:sz w:val="20"/>
          <w:szCs w:val="20"/>
        </w:rPr>
        <w:t>2</w:t>
      </w:r>
      <w:r w:rsidR="00FE326A" w:rsidRPr="002335EE">
        <w:rPr>
          <w:sz w:val="20"/>
          <w:szCs w:val="20"/>
        </w:rPr>
        <w:t xml:space="preserve"> </w:t>
      </w:r>
      <w:r w:rsidR="00396201">
        <w:rPr>
          <w:sz w:val="20"/>
          <w:szCs w:val="20"/>
        </w:rPr>
        <w:t xml:space="preserve">oil well </w:t>
      </w:r>
      <w:r w:rsidR="007A4E95" w:rsidRPr="002335EE">
        <w:rPr>
          <w:sz w:val="20"/>
          <w:szCs w:val="20"/>
        </w:rPr>
        <w:t xml:space="preserve">and the absence of a drilling campaign to replace </w:t>
      </w:r>
      <w:r w:rsidR="002F1371" w:rsidRPr="002335EE">
        <w:rPr>
          <w:sz w:val="20"/>
          <w:szCs w:val="20"/>
        </w:rPr>
        <w:t>202</w:t>
      </w:r>
      <w:r w:rsidR="00BE044F">
        <w:rPr>
          <w:sz w:val="20"/>
          <w:szCs w:val="20"/>
        </w:rPr>
        <w:t>1</w:t>
      </w:r>
      <w:r w:rsidR="002F1371" w:rsidRPr="002335EE">
        <w:rPr>
          <w:sz w:val="20"/>
          <w:szCs w:val="20"/>
        </w:rPr>
        <w:t xml:space="preserve"> </w:t>
      </w:r>
      <w:r w:rsidR="007A4E95" w:rsidRPr="002335EE">
        <w:rPr>
          <w:sz w:val="20"/>
          <w:szCs w:val="20"/>
        </w:rPr>
        <w:t>oil and gas production.</w:t>
      </w:r>
    </w:p>
    <w:p w14:paraId="42D4CD27" w14:textId="77777777" w:rsidR="003A2F45" w:rsidRPr="002335EE" w:rsidRDefault="003A2F45" w:rsidP="003A2F45">
      <w:pPr>
        <w:tabs>
          <w:tab w:val="left" w:pos="1440"/>
        </w:tabs>
        <w:spacing w:before="120" w:line="240" w:lineRule="atLeast"/>
        <w:jc w:val="both"/>
        <w:rPr>
          <w:sz w:val="20"/>
          <w:szCs w:val="20"/>
        </w:rPr>
      </w:pPr>
      <w:r w:rsidRPr="002335EE">
        <w:rPr>
          <w:sz w:val="20"/>
          <w:szCs w:val="20"/>
        </w:rPr>
        <w:t xml:space="preserve">The estimated before tax net present value of the Company's 2P reserves as at December 31, </w:t>
      </w:r>
      <w:r w:rsidR="002F1371" w:rsidRPr="002335EE">
        <w:rPr>
          <w:sz w:val="20"/>
          <w:szCs w:val="20"/>
        </w:rPr>
        <w:t>202</w:t>
      </w:r>
      <w:r w:rsidR="00355AA9">
        <w:rPr>
          <w:sz w:val="20"/>
          <w:szCs w:val="20"/>
        </w:rPr>
        <w:t>1</w:t>
      </w:r>
      <w:r w:rsidR="002F1371" w:rsidRPr="002335EE">
        <w:rPr>
          <w:sz w:val="20"/>
          <w:szCs w:val="20"/>
        </w:rPr>
        <w:t xml:space="preserve"> </w:t>
      </w:r>
      <w:r w:rsidRPr="002335EE">
        <w:rPr>
          <w:sz w:val="20"/>
          <w:szCs w:val="20"/>
        </w:rPr>
        <w:t xml:space="preserve">(discounted at 10%) was </w:t>
      </w:r>
      <w:r w:rsidR="00C40942" w:rsidRPr="002335EE">
        <w:rPr>
          <w:sz w:val="20"/>
          <w:szCs w:val="20"/>
        </w:rPr>
        <w:t>$</w:t>
      </w:r>
      <w:r w:rsidR="00355AA9">
        <w:rPr>
          <w:sz w:val="20"/>
          <w:szCs w:val="20"/>
        </w:rPr>
        <w:t>58.4</w:t>
      </w:r>
      <w:r w:rsidR="00C40942" w:rsidRPr="002335EE">
        <w:rPr>
          <w:sz w:val="20"/>
          <w:szCs w:val="20"/>
        </w:rPr>
        <w:t xml:space="preserve"> </w:t>
      </w:r>
      <w:r w:rsidRPr="002335EE">
        <w:rPr>
          <w:sz w:val="20"/>
          <w:szCs w:val="20"/>
        </w:rPr>
        <w:t>million, compared with $</w:t>
      </w:r>
      <w:r w:rsidR="00355AA9">
        <w:rPr>
          <w:sz w:val="20"/>
          <w:szCs w:val="20"/>
        </w:rPr>
        <w:t>13.9</w:t>
      </w:r>
      <w:r w:rsidRPr="002335EE">
        <w:rPr>
          <w:sz w:val="20"/>
          <w:szCs w:val="20"/>
        </w:rPr>
        <w:t xml:space="preserve"> million as at December 31, </w:t>
      </w:r>
      <w:r w:rsidR="001B1ED2" w:rsidRPr="002335EE">
        <w:rPr>
          <w:sz w:val="20"/>
          <w:szCs w:val="20"/>
        </w:rPr>
        <w:t>20</w:t>
      </w:r>
      <w:r w:rsidR="00355AA9">
        <w:rPr>
          <w:sz w:val="20"/>
          <w:szCs w:val="20"/>
        </w:rPr>
        <w:t>20</w:t>
      </w:r>
      <w:r w:rsidRPr="002335EE">
        <w:rPr>
          <w:sz w:val="20"/>
          <w:szCs w:val="20"/>
        </w:rPr>
        <w:t>. Th</w:t>
      </w:r>
      <w:r w:rsidR="005148FD" w:rsidRPr="002335EE">
        <w:rPr>
          <w:sz w:val="20"/>
          <w:szCs w:val="20"/>
        </w:rPr>
        <w:t>e</w:t>
      </w:r>
      <w:r w:rsidRPr="002335EE">
        <w:rPr>
          <w:sz w:val="20"/>
          <w:szCs w:val="20"/>
        </w:rPr>
        <w:t xml:space="preserve"> </w:t>
      </w:r>
      <w:r w:rsidR="00902D65" w:rsidRPr="002335EE">
        <w:rPr>
          <w:sz w:val="20"/>
          <w:szCs w:val="20"/>
        </w:rPr>
        <w:t xml:space="preserve">significant </w:t>
      </w:r>
      <w:r w:rsidR="00355AA9">
        <w:rPr>
          <w:sz w:val="20"/>
          <w:szCs w:val="20"/>
        </w:rPr>
        <w:t>in</w:t>
      </w:r>
      <w:r w:rsidR="00C40942" w:rsidRPr="002335EE">
        <w:rPr>
          <w:sz w:val="20"/>
          <w:szCs w:val="20"/>
        </w:rPr>
        <w:t xml:space="preserve">crease </w:t>
      </w:r>
      <w:r w:rsidRPr="002335EE">
        <w:rPr>
          <w:sz w:val="20"/>
          <w:szCs w:val="20"/>
        </w:rPr>
        <w:t>in the before tax net present value is attributable to</w:t>
      </w:r>
      <w:r w:rsidR="00B42312" w:rsidRPr="002335EE">
        <w:rPr>
          <w:sz w:val="20"/>
          <w:szCs w:val="20"/>
        </w:rPr>
        <w:t>:</w:t>
      </w:r>
      <w:r w:rsidR="00355AA9">
        <w:rPr>
          <w:sz w:val="20"/>
          <w:szCs w:val="20"/>
        </w:rPr>
        <w:t xml:space="preserve"> the aforementioned</w:t>
      </w:r>
      <w:r w:rsidR="0091593A">
        <w:rPr>
          <w:sz w:val="20"/>
          <w:szCs w:val="20"/>
        </w:rPr>
        <w:t xml:space="preserve"> acquisition of the Chañares H</w:t>
      </w:r>
      <w:r w:rsidR="00355AA9">
        <w:rPr>
          <w:sz w:val="20"/>
          <w:szCs w:val="20"/>
        </w:rPr>
        <w:t xml:space="preserve">errados property, </w:t>
      </w:r>
      <w:r w:rsidR="0043296F">
        <w:rPr>
          <w:sz w:val="20"/>
          <w:szCs w:val="20"/>
        </w:rPr>
        <w:t xml:space="preserve">improved </w:t>
      </w:r>
      <w:r w:rsidR="0091593A">
        <w:rPr>
          <w:sz w:val="20"/>
          <w:szCs w:val="20"/>
        </w:rPr>
        <w:t>international oil prices</w:t>
      </w:r>
      <w:r w:rsidR="00905C1B">
        <w:rPr>
          <w:sz w:val="20"/>
          <w:szCs w:val="20"/>
        </w:rPr>
        <w:t xml:space="preserve"> and</w:t>
      </w:r>
      <w:r w:rsidR="0091593A">
        <w:rPr>
          <w:sz w:val="20"/>
          <w:szCs w:val="20"/>
        </w:rPr>
        <w:t xml:space="preserve"> improved</w:t>
      </w:r>
      <w:r w:rsidR="00B42312" w:rsidRPr="002335EE">
        <w:rPr>
          <w:sz w:val="20"/>
          <w:szCs w:val="20"/>
        </w:rPr>
        <w:t xml:space="preserve"> </w:t>
      </w:r>
      <w:r w:rsidR="00BB18A0" w:rsidRPr="002335EE">
        <w:rPr>
          <w:sz w:val="20"/>
          <w:szCs w:val="20"/>
        </w:rPr>
        <w:t xml:space="preserve">gas prices in the </w:t>
      </w:r>
      <w:r w:rsidR="00B42312" w:rsidRPr="002335EE">
        <w:rPr>
          <w:sz w:val="20"/>
          <w:szCs w:val="20"/>
        </w:rPr>
        <w:t>domestic market</w:t>
      </w:r>
      <w:r w:rsidR="008E764C" w:rsidRPr="002335EE">
        <w:rPr>
          <w:sz w:val="20"/>
          <w:szCs w:val="20"/>
        </w:rPr>
        <w:t xml:space="preserve"> </w:t>
      </w:r>
      <w:r w:rsidR="00BB18A0" w:rsidRPr="002335EE">
        <w:rPr>
          <w:sz w:val="20"/>
          <w:szCs w:val="20"/>
        </w:rPr>
        <w:t>in Argentina</w:t>
      </w:r>
      <w:r w:rsidR="00905C1B">
        <w:rPr>
          <w:sz w:val="20"/>
          <w:szCs w:val="20"/>
        </w:rPr>
        <w:t>, which were</w:t>
      </w:r>
      <w:r w:rsidR="0074582F" w:rsidRPr="002335EE">
        <w:rPr>
          <w:sz w:val="20"/>
          <w:szCs w:val="20"/>
        </w:rPr>
        <w:t xml:space="preserve"> </w:t>
      </w:r>
      <w:r w:rsidR="0091593A">
        <w:rPr>
          <w:sz w:val="20"/>
          <w:szCs w:val="20"/>
        </w:rPr>
        <w:t>partially offset</w:t>
      </w:r>
      <w:r w:rsidR="001133C0">
        <w:rPr>
          <w:sz w:val="20"/>
          <w:szCs w:val="20"/>
        </w:rPr>
        <w:t xml:space="preserve"> </w:t>
      </w:r>
      <w:r w:rsidR="0091593A">
        <w:rPr>
          <w:sz w:val="20"/>
          <w:szCs w:val="20"/>
        </w:rPr>
        <w:t>by</w:t>
      </w:r>
      <w:r w:rsidR="00B42312" w:rsidRPr="002335EE">
        <w:rPr>
          <w:sz w:val="20"/>
          <w:szCs w:val="20"/>
        </w:rPr>
        <w:t xml:space="preserve"> the </w:t>
      </w:r>
      <w:r w:rsidR="00C40942" w:rsidRPr="002335EE">
        <w:rPr>
          <w:sz w:val="20"/>
          <w:szCs w:val="20"/>
        </w:rPr>
        <w:t xml:space="preserve">depletion of </w:t>
      </w:r>
      <w:r w:rsidR="00B42312" w:rsidRPr="002335EE">
        <w:rPr>
          <w:sz w:val="20"/>
          <w:szCs w:val="20"/>
        </w:rPr>
        <w:t xml:space="preserve">the Company's </w:t>
      </w:r>
      <w:r w:rsidR="00C40942" w:rsidRPr="002335EE">
        <w:rPr>
          <w:sz w:val="20"/>
          <w:szCs w:val="20"/>
        </w:rPr>
        <w:t>reserves due to production</w:t>
      </w:r>
      <w:r w:rsidR="00E92930" w:rsidRPr="002335EE">
        <w:rPr>
          <w:sz w:val="20"/>
          <w:szCs w:val="20"/>
        </w:rPr>
        <w:t xml:space="preserve">, </w:t>
      </w:r>
      <w:r w:rsidR="001133C0">
        <w:rPr>
          <w:sz w:val="20"/>
          <w:szCs w:val="20"/>
        </w:rPr>
        <w:t>the</w:t>
      </w:r>
      <w:r w:rsidR="00E92930" w:rsidRPr="002335EE">
        <w:rPr>
          <w:sz w:val="20"/>
          <w:szCs w:val="20"/>
        </w:rPr>
        <w:t xml:space="preserve"> </w:t>
      </w:r>
      <w:r w:rsidR="00BB18A0" w:rsidRPr="002335EE">
        <w:rPr>
          <w:sz w:val="20"/>
          <w:szCs w:val="20"/>
        </w:rPr>
        <w:t xml:space="preserve">downward revision of the </w:t>
      </w:r>
      <w:r w:rsidR="00E92930" w:rsidRPr="002335EE">
        <w:rPr>
          <w:sz w:val="20"/>
          <w:szCs w:val="20"/>
        </w:rPr>
        <w:t xml:space="preserve">San Martin </w:t>
      </w:r>
      <w:r w:rsidR="00BB18A0" w:rsidRPr="002335EE">
        <w:rPr>
          <w:sz w:val="20"/>
          <w:szCs w:val="20"/>
        </w:rPr>
        <w:t xml:space="preserve">oil </w:t>
      </w:r>
      <w:r w:rsidR="00E92930" w:rsidRPr="002335EE">
        <w:rPr>
          <w:sz w:val="20"/>
          <w:szCs w:val="20"/>
        </w:rPr>
        <w:t>reserve</w:t>
      </w:r>
      <w:r w:rsidR="00BB18A0" w:rsidRPr="002335EE">
        <w:rPr>
          <w:sz w:val="20"/>
          <w:szCs w:val="20"/>
        </w:rPr>
        <w:t>s</w:t>
      </w:r>
      <w:r w:rsidR="000B492D">
        <w:rPr>
          <w:sz w:val="20"/>
          <w:szCs w:val="20"/>
        </w:rPr>
        <w:t xml:space="preserve"> and no reserves replacement </w:t>
      </w:r>
      <w:r w:rsidR="004C6404">
        <w:rPr>
          <w:sz w:val="20"/>
          <w:szCs w:val="20"/>
        </w:rPr>
        <w:t>due to the absence of a drilling program in 2021</w:t>
      </w:r>
      <w:r w:rsidR="000B492D">
        <w:rPr>
          <w:sz w:val="20"/>
          <w:szCs w:val="20"/>
        </w:rPr>
        <w:t>.</w:t>
      </w:r>
    </w:p>
    <w:p w14:paraId="78CF278F" w14:textId="77777777" w:rsidR="006E2E70" w:rsidRPr="002335EE" w:rsidRDefault="006E2E70" w:rsidP="00C35452">
      <w:pPr>
        <w:tabs>
          <w:tab w:val="left" w:pos="1440"/>
        </w:tabs>
        <w:spacing w:before="120" w:line="240" w:lineRule="atLeast"/>
        <w:jc w:val="both"/>
        <w:rPr>
          <w:sz w:val="20"/>
          <w:szCs w:val="20"/>
        </w:rPr>
      </w:pPr>
      <w:r w:rsidRPr="002335EE">
        <w:rPr>
          <w:sz w:val="20"/>
          <w:szCs w:val="20"/>
        </w:rPr>
        <w:t xml:space="preserve">Approximately </w:t>
      </w:r>
      <w:r w:rsidR="000B492D">
        <w:rPr>
          <w:sz w:val="20"/>
          <w:szCs w:val="20"/>
        </w:rPr>
        <w:t>27</w:t>
      </w:r>
      <w:r w:rsidR="00B43C6B" w:rsidRPr="002335EE">
        <w:rPr>
          <w:sz w:val="20"/>
          <w:szCs w:val="20"/>
        </w:rPr>
        <w:t xml:space="preserve">% </w:t>
      </w:r>
      <w:r w:rsidRPr="002335EE">
        <w:rPr>
          <w:sz w:val="20"/>
          <w:szCs w:val="20"/>
        </w:rPr>
        <w:t xml:space="preserve">of the Company's before tax net present value of 2P reserves (discounted at 10%) is categorized as </w:t>
      </w:r>
      <w:r w:rsidR="00024990" w:rsidRPr="002335EE">
        <w:rPr>
          <w:sz w:val="20"/>
          <w:szCs w:val="20"/>
        </w:rPr>
        <w:t>"d</w:t>
      </w:r>
      <w:r w:rsidRPr="002335EE">
        <w:rPr>
          <w:sz w:val="20"/>
          <w:szCs w:val="20"/>
        </w:rPr>
        <w:t xml:space="preserve">eveloped </w:t>
      </w:r>
      <w:r w:rsidR="00024990" w:rsidRPr="002335EE">
        <w:rPr>
          <w:sz w:val="20"/>
          <w:szCs w:val="20"/>
        </w:rPr>
        <w:t>p</w:t>
      </w:r>
      <w:r w:rsidRPr="002335EE">
        <w:rPr>
          <w:sz w:val="20"/>
          <w:szCs w:val="20"/>
        </w:rPr>
        <w:t>roducing</w:t>
      </w:r>
      <w:r w:rsidR="00024990" w:rsidRPr="002335EE">
        <w:rPr>
          <w:sz w:val="20"/>
          <w:szCs w:val="20"/>
        </w:rPr>
        <w:t>"</w:t>
      </w:r>
      <w:r w:rsidRPr="002335EE">
        <w:rPr>
          <w:sz w:val="20"/>
          <w:szCs w:val="20"/>
        </w:rPr>
        <w:t xml:space="preserve"> and the before tax net present value of future net revenues associated with the Company's </w:t>
      </w:r>
      <w:r w:rsidR="00D33471" w:rsidRPr="002335EE">
        <w:rPr>
          <w:sz w:val="20"/>
          <w:szCs w:val="20"/>
        </w:rPr>
        <w:t xml:space="preserve">total </w:t>
      </w:r>
      <w:r w:rsidRPr="002335EE">
        <w:rPr>
          <w:sz w:val="20"/>
          <w:szCs w:val="20"/>
        </w:rPr>
        <w:t xml:space="preserve">proved reserves (discounted at 10%) represents approximately </w:t>
      </w:r>
      <w:r w:rsidR="000B492D">
        <w:rPr>
          <w:sz w:val="20"/>
          <w:szCs w:val="20"/>
        </w:rPr>
        <w:t>63</w:t>
      </w:r>
      <w:r w:rsidR="00B43C6B" w:rsidRPr="002335EE">
        <w:rPr>
          <w:sz w:val="20"/>
          <w:szCs w:val="20"/>
        </w:rPr>
        <w:t xml:space="preserve">% </w:t>
      </w:r>
      <w:r w:rsidRPr="002335EE">
        <w:rPr>
          <w:sz w:val="20"/>
          <w:szCs w:val="20"/>
        </w:rPr>
        <w:t xml:space="preserve">of the Company's before tax net present value of future net revenues associated with all of the Company's 2P reserves. </w:t>
      </w:r>
      <w:r w:rsidR="001E33A6" w:rsidRPr="002335EE">
        <w:rPr>
          <w:sz w:val="20"/>
          <w:szCs w:val="20"/>
        </w:rPr>
        <w:t xml:space="preserve">Crude oil accounts for approximately </w:t>
      </w:r>
      <w:r w:rsidR="00396201">
        <w:rPr>
          <w:sz w:val="20"/>
          <w:szCs w:val="20"/>
        </w:rPr>
        <w:t>86</w:t>
      </w:r>
      <w:r w:rsidR="00B43C6B" w:rsidRPr="002335EE">
        <w:rPr>
          <w:sz w:val="20"/>
          <w:szCs w:val="20"/>
        </w:rPr>
        <w:t xml:space="preserve">% </w:t>
      </w:r>
      <w:r w:rsidR="001E33A6" w:rsidRPr="002335EE">
        <w:rPr>
          <w:sz w:val="20"/>
          <w:szCs w:val="20"/>
        </w:rPr>
        <w:t xml:space="preserve">of the Company's 2P reserves (gross) as at December 31, </w:t>
      </w:r>
      <w:r w:rsidR="00D86B45" w:rsidRPr="002335EE">
        <w:rPr>
          <w:sz w:val="20"/>
          <w:szCs w:val="20"/>
        </w:rPr>
        <w:t>202</w:t>
      </w:r>
      <w:r w:rsidR="00396201">
        <w:rPr>
          <w:sz w:val="20"/>
          <w:szCs w:val="20"/>
        </w:rPr>
        <w:t>1</w:t>
      </w:r>
      <w:r w:rsidR="00D86B45" w:rsidRPr="002335EE">
        <w:rPr>
          <w:sz w:val="20"/>
          <w:szCs w:val="20"/>
        </w:rPr>
        <w:t xml:space="preserve"> </w:t>
      </w:r>
      <w:r w:rsidR="001E33A6" w:rsidRPr="002335EE">
        <w:rPr>
          <w:sz w:val="20"/>
          <w:szCs w:val="20"/>
        </w:rPr>
        <w:t xml:space="preserve">compared with </w:t>
      </w:r>
      <w:r w:rsidR="002A65CC" w:rsidRPr="002335EE">
        <w:rPr>
          <w:sz w:val="20"/>
          <w:szCs w:val="20"/>
        </w:rPr>
        <w:t xml:space="preserve">approximately </w:t>
      </w:r>
      <w:r w:rsidR="00396201">
        <w:rPr>
          <w:sz w:val="20"/>
          <w:szCs w:val="20"/>
        </w:rPr>
        <w:t>46</w:t>
      </w:r>
      <w:r w:rsidR="001E33A6" w:rsidRPr="002335EE">
        <w:rPr>
          <w:sz w:val="20"/>
          <w:szCs w:val="20"/>
        </w:rPr>
        <w:t xml:space="preserve">% as at December 31, </w:t>
      </w:r>
      <w:r w:rsidR="001B1ED2" w:rsidRPr="002335EE">
        <w:rPr>
          <w:sz w:val="20"/>
          <w:szCs w:val="20"/>
        </w:rPr>
        <w:t>20</w:t>
      </w:r>
      <w:r w:rsidR="00396201">
        <w:rPr>
          <w:sz w:val="20"/>
          <w:szCs w:val="20"/>
        </w:rPr>
        <w:t>20</w:t>
      </w:r>
      <w:r w:rsidR="001E33A6" w:rsidRPr="002335EE">
        <w:rPr>
          <w:sz w:val="20"/>
          <w:szCs w:val="20"/>
        </w:rPr>
        <w:t>, whereas n</w:t>
      </w:r>
      <w:r w:rsidRPr="002335EE">
        <w:rPr>
          <w:sz w:val="20"/>
          <w:szCs w:val="20"/>
        </w:rPr>
        <w:t xml:space="preserve">atural </w:t>
      </w:r>
      <w:r w:rsidR="00875D8F" w:rsidRPr="002335EE">
        <w:rPr>
          <w:sz w:val="20"/>
          <w:szCs w:val="20"/>
        </w:rPr>
        <w:t>g</w:t>
      </w:r>
      <w:r w:rsidRPr="002335EE">
        <w:rPr>
          <w:sz w:val="20"/>
          <w:szCs w:val="20"/>
        </w:rPr>
        <w:t xml:space="preserve">as accounts for approximately </w:t>
      </w:r>
      <w:r w:rsidR="00396201">
        <w:rPr>
          <w:sz w:val="20"/>
          <w:szCs w:val="20"/>
        </w:rPr>
        <w:t>14</w:t>
      </w:r>
      <w:r w:rsidR="00B43C6B" w:rsidRPr="002335EE">
        <w:rPr>
          <w:sz w:val="20"/>
          <w:szCs w:val="20"/>
        </w:rPr>
        <w:t xml:space="preserve">% </w:t>
      </w:r>
      <w:r w:rsidRPr="002335EE">
        <w:rPr>
          <w:sz w:val="20"/>
          <w:szCs w:val="20"/>
        </w:rPr>
        <w:t xml:space="preserve">of the Company's 2P reserves (gross) as at December 31, </w:t>
      </w:r>
      <w:r w:rsidR="001B1ED2" w:rsidRPr="002335EE">
        <w:rPr>
          <w:sz w:val="20"/>
          <w:szCs w:val="20"/>
        </w:rPr>
        <w:t>20</w:t>
      </w:r>
      <w:r w:rsidR="00D86B45" w:rsidRPr="002335EE">
        <w:rPr>
          <w:sz w:val="20"/>
          <w:szCs w:val="20"/>
        </w:rPr>
        <w:t>2</w:t>
      </w:r>
      <w:r w:rsidR="00396201">
        <w:rPr>
          <w:sz w:val="20"/>
          <w:szCs w:val="20"/>
        </w:rPr>
        <w:t>1</w:t>
      </w:r>
      <w:r w:rsidR="001B1ED2" w:rsidRPr="002335EE">
        <w:rPr>
          <w:sz w:val="20"/>
          <w:szCs w:val="20"/>
        </w:rPr>
        <w:t xml:space="preserve"> </w:t>
      </w:r>
      <w:r w:rsidRPr="002335EE">
        <w:rPr>
          <w:sz w:val="20"/>
          <w:szCs w:val="20"/>
        </w:rPr>
        <w:t xml:space="preserve">compared with </w:t>
      </w:r>
      <w:r w:rsidR="00396201">
        <w:rPr>
          <w:sz w:val="20"/>
          <w:szCs w:val="20"/>
        </w:rPr>
        <w:t>54</w:t>
      </w:r>
      <w:r w:rsidRPr="002335EE">
        <w:rPr>
          <w:sz w:val="20"/>
          <w:szCs w:val="20"/>
        </w:rPr>
        <w:t xml:space="preserve">% as at December 31, </w:t>
      </w:r>
      <w:r w:rsidR="001B1ED2" w:rsidRPr="002335EE">
        <w:rPr>
          <w:sz w:val="20"/>
          <w:szCs w:val="20"/>
        </w:rPr>
        <w:t>20</w:t>
      </w:r>
      <w:r w:rsidR="00396201">
        <w:rPr>
          <w:sz w:val="20"/>
          <w:szCs w:val="20"/>
        </w:rPr>
        <w:t>20</w:t>
      </w:r>
      <w:r w:rsidRPr="002335EE">
        <w:rPr>
          <w:sz w:val="20"/>
          <w:szCs w:val="20"/>
        </w:rPr>
        <w:t>.</w:t>
      </w:r>
    </w:p>
    <w:p w14:paraId="3E2D8359" w14:textId="77777777" w:rsidR="00D57427" w:rsidRPr="002335EE" w:rsidRDefault="00D57427" w:rsidP="004E3226">
      <w:pPr>
        <w:tabs>
          <w:tab w:val="left" w:pos="1440"/>
        </w:tabs>
        <w:spacing w:before="120" w:line="240" w:lineRule="atLeast"/>
        <w:jc w:val="both"/>
        <w:rPr>
          <w:sz w:val="20"/>
          <w:szCs w:val="20"/>
        </w:rPr>
      </w:pPr>
    </w:p>
    <w:p w14:paraId="7314C479" w14:textId="77777777" w:rsidR="00CD4697" w:rsidRPr="002335EE" w:rsidRDefault="00CD4697" w:rsidP="00CD4697">
      <w:pPr>
        <w:pStyle w:val="BodyText"/>
        <w:keepNext/>
        <w:keepLines/>
        <w:rPr>
          <w:rFonts w:ascii="Verdana" w:hAnsi="Verdana"/>
          <w:sz w:val="20"/>
          <w:szCs w:val="20"/>
        </w:rPr>
      </w:pPr>
      <w:r w:rsidRPr="002335EE">
        <w:rPr>
          <w:rFonts w:ascii="Verdana" w:hAnsi="Verdana"/>
          <w:sz w:val="20"/>
          <w:szCs w:val="20"/>
        </w:rPr>
        <w:lastRenderedPageBreak/>
        <w:t xml:space="preserve">The following table sets forth, for each product type, the pricing assumptions used by </w:t>
      </w:r>
      <w:r w:rsidR="00D86B45" w:rsidRPr="002335EE">
        <w:rPr>
          <w:rFonts w:ascii="Verdana" w:hAnsi="Verdana"/>
          <w:sz w:val="20"/>
          <w:szCs w:val="20"/>
        </w:rPr>
        <w:t xml:space="preserve">McDaniel </w:t>
      </w:r>
      <w:r w:rsidRPr="002335EE">
        <w:rPr>
          <w:rFonts w:ascii="Verdana" w:hAnsi="Verdana"/>
          <w:sz w:val="20"/>
          <w:szCs w:val="20"/>
        </w:rPr>
        <w:t xml:space="preserve">in estimating the reserves data disclosed herein as at December 31, </w:t>
      </w:r>
      <w:r w:rsidR="001E2298" w:rsidRPr="002335EE">
        <w:rPr>
          <w:rFonts w:ascii="Verdana" w:hAnsi="Verdana"/>
          <w:sz w:val="20"/>
          <w:szCs w:val="20"/>
        </w:rPr>
        <w:t>20</w:t>
      </w:r>
      <w:r w:rsidR="00D86B45" w:rsidRPr="002335EE">
        <w:rPr>
          <w:rFonts w:ascii="Verdana" w:hAnsi="Verdana"/>
          <w:sz w:val="20"/>
          <w:szCs w:val="20"/>
        </w:rPr>
        <w:t>2</w:t>
      </w:r>
      <w:r w:rsidR="002335EE" w:rsidRPr="002335EE">
        <w:rPr>
          <w:rFonts w:ascii="Verdana" w:hAnsi="Verdana"/>
          <w:sz w:val="20"/>
          <w:szCs w:val="20"/>
        </w:rPr>
        <w:t>1</w:t>
      </w:r>
      <w:r w:rsidRPr="002335EE">
        <w:rPr>
          <w:rFonts w:ascii="Verdana" w:hAnsi="Verdana"/>
          <w:sz w:val="20"/>
          <w:szCs w:val="20"/>
        </w:rPr>
        <w:t xml:space="preserve">. </w:t>
      </w:r>
    </w:p>
    <w:p w14:paraId="7EC2394F" w14:textId="77777777" w:rsidR="007E75DC" w:rsidRPr="00B1057A" w:rsidRDefault="007E75DC" w:rsidP="007E75DC">
      <w:pPr>
        <w:pStyle w:val="SecurityCont2"/>
        <w:keepNext/>
        <w:spacing w:after="0"/>
        <w:jc w:val="center"/>
        <w:rPr>
          <w:rFonts w:ascii="Verdana" w:hAnsi="Verdana" w:cs="Arial"/>
          <w:b/>
          <w:sz w:val="18"/>
          <w:szCs w:val="18"/>
        </w:rPr>
      </w:pPr>
      <w:r w:rsidRPr="00B1057A">
        <w:rPr>
          <w:rFonts w:ascii="Verdana" w:hAnsi="Verdana" w:cs="Arial"/>
          <w:b/>
          <w:sz w:val="18"/>
          <w:szCs w:val="18"/>
        </w:rPr>
        <w:t>SUMMARY OF PRICING AND INFLATION RATE ASSUMPTIONS</w:t>
      </w:r>
    </w:p>
    <w:p w14:paraId="7C1D8681" w14:textId="77777777" w:rsidR="007E75DC" w:rsidRPr="00B1057A" w:rsidRDefault="007E75DC" w:rsidP="007E75DC">
      <w:pPr>
        <w:pStyle w:val="SecurityCont2"/>
        <w:keepNext/>
        <w:jc w:val="center"/>
        <w:rPr>
          <w:rFonts w:ascii="Verdana" w:hAnsi="Verdana" w:cs="Arial"/>
          <w:b/>
          <w:sz w:val="18"/>
          <w:szCs w:val="18"/>
        </w:rPr>
      </w:pPr>
      <w:r w:rsidRPr="00B1057A">
        <w:rPr>
          <w:rFonts w:ascii="Verdana" w:hAnsi="Verdana" w:cs="Arial"/>
          <w:b/>
          <w:sz w:val="18"/>
          <w:szCs w:val="18"/>
        </w:rPr>
        <w:t>AS OF DECEMBER 31, 2021 (Forecast Prices &amp; Costs)</w:t>
      </w:r>
    </w:p>
    <w:tbl>
      <w:tblPr>
        <w:tblW w:w="5000" w:type="pct"/>
        <w:tblLayout w:type="fixed"/>
        <w:tblLook w:val="0000" w:firstRow="0" w:lastRow="0" w:firstColumn="0" w:lastColumn="0" w:noHBand="0" w:noVBand="0"/>
      </w:tblPr>
      <w:tblGrid>
        <w:gridCol w:w="1339"/>
        <w:gridCol w:w="1339"/>
        <w:gridCol w:w="1338"/>
        <w:gridCol w:w="1337"/>
        <w:gridCol w:w="1337"/>
        <w:gridCol w:w="1335"/>
        <w:gridCol w:w="1335"/>
      </w:tblGrid>
      <w:tr w:rsidR="007E75DC" w:rsidRPr="00B1057A" w14:paraId="626DC94E" w14:textId="77777777" w:rsidTr="007E75DC">
        <w:tc>
          <w:tcPr>
            <w:tcW w:w="715" w:type="pct"/>
            <w:tcBorders>
              <w:top w:val="nil"/>
              <w:left w:val="nil"/>
              <w:bottom w:val="nil"/>
              <w:right w:val="nil"/>
            </w:tcBorders>
            <w:vAlign w:val="bottom"/>
          </w:tcPr>
          <w:p w14:paraId="13BDF7FB"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Year</w:t>
            </w:r>
          </w:p>
        </w:tc>
        <w:tc>
          <w:tcPr>
            <w:tcW w:w="715" w:type="pct"/>
            <w:tcBorders>
              <w:top w:val="nil"/>
              <w:left w:val="nil"/>
              <w:bottom w:val="nil"/>
              <w:right w:val="nil"/>
            </w:tcBorders>
            <w:vAlign w:val="bottom"/>
          </w:tcPr>
          <w:p w14:paraId="79DF080F"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vertAlign w:val="superscript"/>
              </w:rPr>
            </w:pPr>
            <w:r w:rsidRPr="00B1057A">
              <w:rPr>
                <w:rFonts w:ascii="Verdana" w:hAnsi="Verdana" w:cs="Arial"/>
                <w:b/>
                <w:sz w:val="18"/>
                <w:szCs w:val="18"/>
              </w:rPr>
              <w:t>Brent Crude Oil Price</w:t>
            </w:r>
            <w:r w:rsidRPr="00B1057A">
              <w:rPr>
                <w:rFonts w:ascii="Verdana" w:hAnsi="Verdana" w:cs="Arial"/>
                <w:b/>
                <w:sz w:val="18"/>
                <w:szCs w:val="18"/>
                <w:vertAlign w:val="superscript"/>
              </w:rPr>
              <w:t>(1)</w:t>
            </w:r>
          </w:p>
          <w:p w14:paraId="7C452A45"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US$/bbl</w:t>
            </w:r>
          </w:p>
        </w:tc>
        <w:tc>
          <w:tcPr>
            <w:tcW w:w="715" w:type="pct"/>
            <w:tcBorders>
              <w:top w:val="nil"/>
              <w:left w:val="nil"/>
              <w:bottom w:val="nil"/>
              <w:right w:val="nil"/>
            </w:tcBorders>
            <w:vAlign w:val="bottom"/>
          </w:tcPr>
          <w:p w14:paraId="04739EF8"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TDF Crude Oil Price</w:t>
            </w:r>
            <w:r w:rsidRPr="00B1057A">
              <w:rPr>
                <w:rFonts w:ascii="Verdana" w:hAnsi="Verdana" w:cs="Arial"/>
                <w:b/>
                <w:sz w:val="18"/>
                <w:szCs w:val="18"/>
                <w:vertAlign w:val="superscript"/>
              </w:rPr>
              <w:t>(1)</w:t>
            </w:r>
          </w:p>
          <w:p w14:paraId="62A633FC"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US$/bbl</w:t>
            </w:r>
          </w:p>
        </w:tc>
        <w:tc>
          <w:tcPr>
            <w:tcW w:w="714" w:type="pct"/>
            <w:tcBorders>
              <w:top w:val="nil"/>
              <w:left w:val="nil"/>
              <w:bottom w:val="nil"/>
              <w:right w:val="nil"/>
            </w:tcBorders>
            <w:vAlign w:val="bottom"/>
          </w:tcPr>
          <w:p w14:paraId="1D25249D"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TDF NGL</w:t>
            </w:r>
          </w:p>
          <w:p w14:paraId="34FA5B40"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 xml:space="preserve"> Price</w:t>
            </w:r>
          </w:p>
          <w:p w14:paraId="038B7348"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US$/bbl</w:t>
            </w:r>
          </w:p>
        </w:tc>
        <w:tc>
          <w:tcPr>
            <w:tcW w:w="714" w:type="pct"/>
            <w:tcBorders>
              <w:top w:val="nil"/>
              <w:left w:val="nil"/>
              <w:bottom w:val="nil"/>
              <w:right w:val="nil"/>
            </w:tcBorders>
            <w:vAlign w:val="bottom"/>
          </w:tcPr>
          <w:p w14:paraId="17D23A25"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TDF</w:t>
            </w:r>
            <w:r w:rsidRPr="00B1057A">
              <w:rPr>
                <w:rFonts w:ascii="Verdana" w:hAnsi="Verdana" w:cs="Arial"/>
                <w:b/>
                <w:sz w:val="18"/>
                <w:szCs w:val="18"/>
                <w:vertAlign w:val="superscript"/>
              </w:rPr>
              <w:t xml:space="preserve">(2) </w:t>
            </w:r>
            <w:r w:rsidRPr="00B1057A">
              <w:rPr>
                <w:rFonts w:ascii="Verdana" w:hAnsi="Verdana" w:cs="Arial"/>
                <w:b/>
                <w:sz w:val="18"/>
                <w:szCs w:val="18"/>
              </w:rPr>
              <w:t xml:space="preserve">Natural </w:t>
            </w:r>
          </w:p>
          <w:p w14:paraId="770D5EA0"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Gas Price</w:t>
            </w:r>
          </w:p>
          <w:p w14:paraId="56F42160"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US$/Mcf</w:t>
            </w:r>
          </w:p>
        </w:tc>
        <w:tc>
          <w:tcPr>
            <w:tcW w:w="713" w:type="pct"/>
            <w:tcBorders>
              <w:top w:val="nil"/>
              <w:left w:val="nil"/>
              <w:bottom w:val="nil"/>
              <w:right w:val="nil"/>
            </w:tcBorders>
            <w:vAlign w:val="bottom"/>
          </w:tcPr>
          <w:p w14:paraId="6EB14673"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Chañares</w:t>
            </w:r>
          </w:p>
          <w:p w14:paraId="21E89D2B"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Herrados</w:t>
            </w:r>
          </w:p>
          <w:p w14:paraId="73E249F8" w14:textId="77777777" w:rsidR="007E75DC" w:rsidRPr="00CA3FA0" w:rsidRDefault="007E75DC" w:rsidP="001133C0">
            <w:pPr>
              <w:pStyle w:val="SecurityCont2"/>
              <w:keepNext/>
              <w:pBdr>
                <w:bottom w:val="single" w:sz="4" w:space="1" w:color="auto"/>
              </w:pBdr>
              <w:spacing w:after="0"/>
              <w:jc w:val="center"/>
              <w:rPr>
                <w:rFonts w:ascii="Verdana" w:hAnsi="Verdana" w:cs="Arial"/>
                <w:b/>
                <w:sz w:val="18"/>
                <w:szCs w:val="18"/>
                <w:vertAlign w:val="superscript"/>
              </w:rPr>
            </w:pPr>
            <w:r w:rsidRPr="00B1057A">
              <w:rPr>
                <w:rFonts w:ascii="Verdana" w:hAnsi="Verdana" w:cs="Arial"/>
                <w:b/>
                <w:sz w:val="18"/>
                <w:szCs w:val="18"/>
              </w:rPr>
              <w:t>Oil Price</w:t>
            </w:r>
            <w:r w:rsidR="00CA3FA0">
              <w:rPr>
                <w:rFonts w:ascii="Verdana" w:hAnsi="Verdana" w:cs="Arial"/>
                <w:b/>
                <w:sz w:val="18"/>
                <w:szCs w:val="18"/>
                <w:vertAlign w:val="superscript"/>
              </w:rPr>
              <w:t>(5)</w:t>
            </w:r>
          </w:p>
          <w:p w14:paraId="4B3C96A5" w14:textId="77777777" w:rsidR="007E75DC" w:rsidRPr="00B1057A" w:rsidRDefault="007E75DC" w:rsidP="001133C0">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US$/bbl</w:t>
            </w:r>
          </w:p>
        </w:tc>
        <w:tc>
          <w:tcPr>
            <w:tcW w:w="713" w:type="pct"/>
            <w:tcBorders>
              <w:top w:val="nil"/>
              <w:left w:val="nil"/>
              <w:bottom w:val="nil"/>
              <w:right w:val="nil"/>
            </w:tcBorders>
            <w:vAlign w:val="bottom"/>
          </w:tcPr>
          <w:p w14:paraId="6E6C12FA" w14:textId="77777777" w:rsidR="007E75DC" w:rsidRPr="00B1057A" w:rsidRDefault="007E75DC" w:rsidP="007E75DC">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Inflation Rate</w:t>
            </w:r>
            <w:r w:rsidRPr="00B1057A">
              <w:rPr>
                <w:rFonts w:ascii="Verdana" w:hAnsi="Verdana" w:cs="Arial"/>
                <w:b/>
                <w:sz w:val="18"/>
                <w:szCs w:val="18"/>
                <w:vertAlign w:val="superscript"/>
              </w:rPr>
              <w:t>(3)</w:t>
            </w:r>
          </w:p>
          <w:p w14:paraId="4320F542" w14:textId="77777777" w:rsidR="007E75DC" w:rsidRPr="00B1057A" w:rsidRDefault="007E75DC" w:rsidP="007E75DC">
            <w:pPr>
              <w:pStyle w:val="SecurityCont2"/>
              <w:keepNext/>
              <w:pBdr>
                <w:bottom w:val="single" w:sz="4" w:space="1" w:color="auto"/>
              </w:pBdr>
              <w:spacing w:after="0"/>
              <w:jc w:val="center"/>
              <w:rPr>
                <w:rFonts w:ascii="Verdana" w:hAnsi="Verdana" w:cs="Arial"/>
                <w:b/>
                <w:sz w:val="18"/>
                <w:szCs w:val="18"/>
              </w:rPr>
            </w:pPr>
            <w:r w:rsidRPr="00B1057A">
              <w:rPr>
                <w:rFonts w:ascii="Verdana" w:hAnsi="Verdana" w:cs="Arial"/>
                <w:b/>
                <w:sz w:val="18"/>
                <w:szCs w:val="18"/>
              </w:rPr>
              <w:t>% / Year</w:t>
            </w:r>
          </w:p>
        </w:tc>
      </w:tr>
      <w:tr w:rsidR="007E75DC" w:rsidRPr="00B1057A" w14:paraId="6689A981" w14:textId="77777777" w:rsidTr="007E75DC">
        <w:tc>
          <w:tcPr>
            <w:tcW w:w="715" w:type="pct"/>
            <w:tcBorders>
              <w:top w:val="nil"/>
              <w:left w:val="nil"/>
              <w:bottom w:val="nil"/>
              <w:right w:val="nil"/>
            </w:tcBorders>
          </w:tcPr>
          <w:p w14:paraId="28D0977E" w14:textId="77777777" w:rsidR="007E75DC" w:rsidRPr="00B1057A" w:rsidRDefault="007E75DC" w:rsidP="001133C0">
            <w:pPr>
              <w:pStyle w:val="SecurityCont2"/>
              <w:keepNext/>
              <w:spacing w:after="0"/>
              <w:jc w:val="center"/>
              <w:rPr>
                <w:rFonts w:ascii="Verdana" w:hAnsi="Verdana" w:cs="Arial"/>
                <w:sz w:val="18"/>
                <w:szCs w:val="18"/>
              </w:rPr>
            </w:pPr>
            <w:r w:rsidRPr="00B1057A">
              <w:rPr>
                <w:rFonts w:ascii="Verdana" w:hAnsi="Verdana" w:cs="Arial"/>
                <w:sz w:val="18"/>
                <w:szCs w:val="18"/>
              </w:rPr>
              <w:t>2022</w:t>
            </w:r>
          </w:p>
        </w:tc>
        <w:tc>
          <w:tcPr>
            <w:tcW w:w="715" w:type="pct"/>
            <w:tcBorders>
              <w:top w:val="nil"/>
              <w:left w:val="nil"/>
              <w:bottom w:val="nil"/>
              <w:right w:val="nil"/>
            </w:tcBorders>
          </w:tcPr>
          <w:p w14:paraId="655094AA"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75.0</w:t>
            </w:r>
          </w:p>
        </w:tc>
        <w:tc>
          <w:tcPr>
            <w:tcW w:w="715" w:type="pct"/>
            <w:tcBorders>
              <w:top w:val="nil"/>
              <w:left w:val="nil"/>
              <w:bottom w:val="nil"/>
              <w:right w:val="nil"/>
            </w:tcBorders>
          </w:tcPr>
          <w:p w14:paraId="5F641A11"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66.0</w:t>
            </w:r>
          </w:p>
        </w:tc>
        <w:tc>
          <w:tcPr>
            <w:tcW w:w="714" w:type="pct"/>
            <w:tcBorders>
              <w:top w:val="nil"/>
              <w:left w:val="nil"/>
              <w:bottom w:val="nil"/>
              <w:right w:val="nil"/>
            </w:tcBorders>
          </w:tcPr>
          <w:p w14:paraId="1E48F5FD"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38.0</w:t>
            </w:r>
          </w:p>
        </w:tc>
        <w:tc>
          <w:tcPr>
            <w:tcW w:w="714" w:type="pct"/>
            <w:tcBorders>
              <w:top w:val="nil"/>
              <w:left w:val="nil"/>
              <w:bottom w:val="nil"/>
              <w:right w:val="nil"/>
            </w:tcBorders>
          </w:tcPr>
          <w:p w14:paraId="7011AF64" w14:textId="77777777" w:rsidR="007E75DC" w:rsidRPr="00B1057A" w:rsidRDefault="00B1057A" w:rsidP="001133C0">
            <w:pPr>
              <w:pStyle w:val="SecurityCont2"/>
              <w:keepNext/>
              <w:numPr>
                <w:ilvl w:val="2"/>
                <w:numId w:val="40"/>
              </w:numPr>
              <w:autoSpaceDE w:val="0"/>
              <w:autoSpaceDN w:val="0"/>
              <w:adjustRightInd w:val="0"/>
              <w:spacing w:after="0"/>
              <w:jc w:val="center"/>
              <w:outlineLvl w:val="2"/>
              <w:rPr>
                <w:rFonts w:ascii="Verdana" w:hAnsi="Verdana" w:cs="Arial"/>
                <w:color w:val="D9D9D9" w:themeColor="background1" w:themeShade="D9"/>
                <w:sz w:val="18"/>
                <w:szCs w:val="18"/>
              </w:rPr>
            </w:pPr>
            <w:r>
              <w:rPr>
                <w:rFonts w:ascii="Verdana" w:hAnsi="Verdana" w:cs="Arial"/>
                <w:sz w:val="18"/>
                <w:szCs w:val="18"/>
              </w:rPr>
              <w:t>2.93</w:t>
            </w:r>
            <w:r w:rsidR="007E75DC" w:rsidRPr="00B1057A">
              <w:rPr>
                <w:rFonts w:ascii="Verdana" w:hAnsi="Verdana" w:cs="Arial"/>
                <w:sz w:val="18"/>
                <w:szCs w:val="18"/>
              </w:rPr>
              <w:t xml:space="preserve"> </w:t>
            </w:r>
          </w:p>
        </w:tc>
        <w:tc>
          <w:tcPr>
            <w:tcW w:w="713" w:type="pct"/>
            <w:tcBorders>
              <w:top w:val="nil"/>
              <w:left w:val="nil"/>
              <w:bottom w:val="nil"/>
              <w:right w:val="nil"/>
            </w:tcBorders>
            <w:vAlign w:val="bottom"/>
          </w:tcPr>
          <w:p w14:paraId="71829047"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lang w:val="en-US"/>
              </w:rPr>
              <w:t>55.9</w:t>
            </w:r>
          </w:p>
        </w:tc>
        <w:tc>
          <w:tcPr>
            <w:tcW w:w="713" w:type="pct"/>
            <w:tcBorders>
              <w:top w:val="nil"/>
              <w:left w:val="nil"/>
              <w:bottom w:val="nil"/>
              <w:right w:val="nil"/>
            </w:tcBorders>
          </w:tcPr>
          <w:p w14:paraId="38E5E4DC" w14:textId="77777777" w:rsidR="007E75DC" w:rsidRPr="00B1057A" w:rsidRDefault="00B1057A" w:rsidP="001133C0">
            <w:pPr>
              <w:pStyle w:val="SecurityCont2"/>
              <w:keepNext/>
              <w:spacing w:after="0"/>
              <w:jc w:val="center"/>
              <w:rPr>
                <w:rFonts w:ascii="Verdana" w:hAnsi="Verdana" w:cs="Arial"/>
                <w:sz w:val="18"/>
                <w:szCs w:val="18"/>
                <w:lang w:val="en-US"/>
              </w:rPr>
            </w:pPr>
            <w:r w:rsidRPr="00B1057A">
              <w:rPr>
                <w:rFonts w:ascii="Verdana" w:hAnsi="Verdana" w:cs="Arial"/>
                <w:sz w:val="18"/>
                <w:szCs w:val="18"/>
                <w:lang w:val="en-US"/>
              </w:rPr>
              <w:t>2</w:t>
            </w:r>
          </w:p>
        </w:tc>
      </w:tr>
      <w:tr w:rsidR="007E75DC" w:rsidRPr="00B1057A" w14:paraId="1BAA1CB1" w14:textId="77777777" w:rsidTr="007E75DC">
        <w:tc>
          <w:tcPr>
            <w:tcW w:w="715" w:type="pct"/>
            <w:tcBorders>
              <w:top w:val="nil"/>
              <w:left w:val="nil"/>
              <w:bottom w:val="nil"/>
              <w:right w:val="nil"/>
            </w:tcBorders>
          </w:tcPr>
          <w:p w14:paraId="4A38B50C" w14:textId="77777777" w:rsidR="007E75DC" w:rsidRPr="00B1057A" w:rsidRDefault="007E75DC" w:rsidP="001133C0">
            <w:pPr>
              <w:pStyle w:val="SecurityCont2"/>
              <w:keepNext/>
              <w:spacing w:after="0"/>
              <w:jc w:val="center"/>
              <w:rPr>
                <w:rFonts w:ascii="Verdana" w:hAnsi="Verdana" w:cs="Arial"/>
                <w:sz w:val="18"/>
                <w:szCs w:val="18"/>
              </w:rPr>
            </w:pPr>
            <w:r w:rsidRPr="00B1057A">
              <w:rPr>
                <w:rFonts w:ascii="Verdana" w:hAnsi="Verdana" w:cs="Arial"/>
                <w:sz w:val="18"/>
                <w:szCs w:val="18"/>
              </w:rPr>
              <w:t>2023</w:t>
            </w:r>
          </w:p>
        </w:tc>
        <w:tc>
          <w:tcPr>
            <w:tcW w:w="715" w:type="pct"/>
            <w:tcBorders>
              <w:top w:val="nil"/>
              <w:left w:val="nil"/>
              <w:bottom w:val="nil"/>
              <w:right w:val="nil"/>
            </w:tcBorders>
          </w:tcPr>
          <w:p w14:paraId="7C865882"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69.9</w:t>
            </w:r>
          </w:p>
        </w:tc>
        <w:tc>
          <w:tcPr>
            <w:tcW w:w="715" w:type="pct"/>
            <w:tcBorders>
              <w:top w:val="nil"/>
              <w:left w:val="nil"/>
              <w:bottom w:val="nil"/>
              <w:right w:val="nil"/>
            </w:tcBorders>
          </w:tcPr>
          <w:p w14:paraId="48FE7A8C"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60.9</w:t>
            </w:r>
          </w:p>
        </w:tc>
        <w:tc>
          <w:tcPr>
            <w:tcW w:w="714" w:type="pct"/>
            <w:tcBorders>
              <w:top w:val="nil"/>
              <w:left w:val="nil"/>
              <w:bottom w:val="nil"/>
              <w:right w:val="nil"/>
            </w:tcBorders>
          </w:tcPr>
          <w:p w14:paraId="65B0287F"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38.8</w:t>
            </w:r>
          </w:p>
        </w:tc>
        <w:tc>
          <w:tcPr>
            <w:tcW w:w="714" w:type="pct"/>
            <w:tcBorders>
              <w:top w:val="nil"/>
              <w:left w:val="nil"/>
              <w:bottom w:val="nil"/>
              <w:right w:val="nil"/>
            </w:tcBorders>
          </w:tcPr>
          <w:p w14:paraId="320E6F99" w14:textId="77777777" w:rsidR="007E75DC" w:rsidRPr="00B1057A" w:rsidRDefault="00B1057A" w:rsidP="001133C0">
            <w:pPr>
              <w:pStyle w:val="SecurityCont2"/>
              <w:keepNext/>
              <w:numPr>
                <w:ilvl w:val="2"/>
                <w:numId w:val="40"/>
              </w:numPr>
              <w:autoSpaceDE w:val="0"/>
              <w:autoSpaceDN w:val="0"/>
              <w:adjustRightInd w:val="0"/>
              <w:spacing w:after="0"/>
              <w:jc w:val="center"/>
              <w:outlineLvl w:val="2"/>
              <w:rPr>
                <w:rFonts w:ascii="Verdana" w:hAnsi="Verdana" w:cs="Arial"/>
                <w:color w:val="D9D9D9" w:themeColor="background1" w:themeShade="D9"/>
                <w:sz w:val="18"/>
                <w:szCs w:val="18"/>
              </w:rPr>
            </w:pPr>
            <w:r>
              <w:rPr>
                <w:rFonts w:ascii="Verdana" w:hAnsi="Verdana" w:cs="Arial"/>
                <w:sz w:val="18"/>
                <w:szCs w:val="18"/>
              </w:rPr>
              <w:t>2.99</w:t>
            </w:r>
          </w:p>
        </w:tc>
        <w:tc>
          <w:tcPr>
            <w:tcW w:w="713" w:type="pct"/>
            <w:tcBorders>
              <w:top w:val="nil"/>
              <w:left w:val="nil"/>
              <w:bottom w:val="nil"/>
              <w:right w:val="nil"/>
            </w:tcBorders>
            <w:vAlign w:val="bottom"/>
          </w:tcPr>
          <w:p w14:paraId="6EDC03CA"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lang w:val="en-US"/>
              </w:rPr>
              <w:t>57.1</w:t>
            </w:r>
          </w:p>
        </w:tc>
        <w:tc>
          <w:tcPr>
            <w:tcW w:w="713" w:type="pct"/>
            <w:tcBorders>
              <w:top w:val="nil"/>
              <w:left w:val="nil"/>
              <w:bottom w:val="nil"/>
              <w:right w:val="nil"/>
            </w:tcBorders>
          </w:tcPr>
          <w:p w14:paraId="098A59F7" w14:textId="77777777" w:rsidR="007E75DC" w:rsidRPr="00B1057A" w:rsidRDefault="00B1057A" w:rsidP="001133C0">
            <w:pPr>
              <w:pStyle w:val="SecurityCont2"/>
              <w:keepNext/>
              <w:spacing w:after="0"/>
              <w:jc w:val="center"/>
              <w:rPr>
                <w:rFonts w:ascii="Verdana" w:hAnsi="Verdana" w:cs="Arial"/>
                <w:sz w:val="18"/>
                <w:szCs w:val="18"/>
                <w:lang w:val="en-US"/>
              </w:rPr>
            </w:pPr>
            <w:r w:rsidRPr="00B1057A">
              <w:rPr>
                <w:rFonts w:ascii="Verdana" w:hAnsi="Verdana" w:cs="Arial"/>
                <w:sz w:val="18"/>
                <w:szCs w:val="18"/>
                <w:lang w:val="en-US"/>
              </w:rPr>
              <w:t>2</w:t>
            </w:r>
          </w:p>
        </w:tc>
      </w:tr>
      <w:tr w:rsidR="007E75DC" w:rsidRPr="00B1057A" w14:paraId="4A563D6B" w14:textId="77777777" w:rsidTr="007E75DC">
        <w:tc>
          <w:tcPr>
            <w:tcW w:w="715" w:type="pct"/>
            <w:tcBorders>
              <w:top w:val="nil"/>
              <w:left w:val="nil"/>
              <w:bottom w:val="nil"/>
              <w:right w:val="nil"/>
            </w:tcBorders>
          </w:tcPr>
          <w:p w14:paraId="681B8279" w14:textId="77777777" w:rsidR="007E75DC" w:rsidRPr="00B1057A" w:rsidRDefault="007E75DC" w:rsidP="001133C0">
            <w:pPr>
              <w:pStyle w:val="SecurityCont2"/>
              <w:keepNext/>
              <w:spacing w:after="0"/>
              <w:jc w:val="center"/>
              <w:rPr>
                <w:rFonts w:ascii="Verdana" w:hAnsi="Verdana" w:cs="Arial"/>
                <w:sz w:val="18"/>
                <w:szCs w:val="18"/>
              </w:rPr>
            </w:pPr>
            <w:r w:rsidRPr="00B1057A">
              <w:rPr>
                <w:rFonts w:ascii="Verdana" w:hAnsi="Verdana" w:cs="Arial"/>
                <w:sz w:val="18"/>
                <w:szCs w:val="18"/>
              </w:rPr>
              <w:t>2024</w:t>
            </w:r>
          </w:p>
        </w:tc>
        <w:tc>
          <w:tcPr>
            <w:tcW w:w="715" w:type="pct"/>
            <w:tcBorders>
              <w:top w:val="nil"/>
              <w:left w:val="nil"/>
              <w:bottom w:val="nil"/>
              <w:right w:val="nil"/>
            </w:tcBorders>
          </w:tcPr>
          <w:p w14:paraId="02694370"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67.6</w:t>
            </w:r>
          </w:p>
        </w:tc>
        <w:tc>
          <w:tcPr>
            <w:tcW w:w="715" w:type="pct"/>
            <w:tcBorders>
              <w:top w:val="nil"/>
              <w:left w:val="nil"/>
              <w:bottom w:val="nil"/>
              <w:right w:val="nil"/>
            </w:tcBorders>
          </w:tcPr>
          <w:p w14:paraId="1B4CCD3F"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58.6</w:t>
            </w:r>
          </w:p>
        </w:tc>
        <w:tc>
          <w:tcPr>
            <w:tcW w:w="714" w:type="pct"/>
            <w:tcBorders>
              <w:top w:val="nil"/>
              <w:left w:val="nil"/>
              <w:bottom w:val="nil"/>
              <w:right w:val="nil"/>
            </w:tcBorders>
          </w:tcPr>
          <w:p w14:paraId="6C6AAE25"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39.5</w:t>
            </w:r>
          </w:p>
        </w:tc>
        <w:tc>
          <w:tcPr>
            <w:tcW w:w="714" w:type="pct"/>
            <w:tcBorders>
              <w:top w:val="nil"/>
              <w:left w:val="nil"/>
              <w:bottom w:val="nil"/>
              <w:right w:val="nil"/>
            </w:tcBorders>
          </w:tcPr>
          <w:p w14:paraId="53A7C47D" w14:textId="77777777" w:rsidR="007E75DC" w:rsidRPr="00B1057A" w:rsidRDefault="00B1057A" w:rsidP="001133C0">
            <w:pPr>
              <w:pStyle w:val="SecurityCont2"/>
              <w:keepNext/>
              <w:numPr>
                <w:ilvl w:val="2"/>
                <w:numId w:val="40"/>
              </w:numPr>
              <w:autoSpaceDE w:val="0"/>
              <w:autoSpaceDN w:val="0"/>
              <w:adjustRightInd w:val="0"/>
              <w:spacing w:after="0"/>
              <w:jc w:val="center"/>
              <w:outlineLvl w:val="2"/>
              <w:rPr>
                <w:rFonts w:ascii="Verdana" w:hAnsi="Verdana" w:cs="Arial"/>
                <w:color w:val="D9D9D9" w:themeColor="background1" w:themeShade="D9"/>
                <w:sz w:val="18"/>
                <w:szCs w:val="18"/>
              </w:rPr>
            </w:pPr>
            <w:r>
              <w:rPr>
                <w:rFonts w:ascii="Verdana" w:hAnsi="Verdana" w:cs="Arial"/>
                <w:sz w:val="18"/>
                <w:szCs w:val="18"/>
              </w:rPr>
              <w:t>3.05</w:t>
            </w:r>
          </w:p>
        </w:tc>
        <w:tc>
          <w:tcPr>
            <w:tcW w:w="713" w:type="pct"/>
            <w:tcBorders>
              <w:top w:val="nil"/>
              <w:left w:val="nil"/>
              <w:bottom w:val="nil"/>
              <w:right w:val="nil"/>
            </w:tcBorders>
            <w:vAlign w:val="bottom"/>
          </w:tcPr>
          <w:p w14:paraId="6629E3C6"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lang w:val="en-US"/>
              </w:rPr>
              <w:t>58.2</w:t>
            </w:r>
          </w:p>
        </w:tc>
        <w:tc>
          <w:tcPr>
            <w:tcW w:w="713" w:type="pct"/>
            <w:tcBorders>
              <w:top w:val="nil"/>
              <w:left w:val="nil"/>
              <w:bottom w:val="nil"/>
              <w:right w:val="nil"/>
            </w:tcBorders>
          </w:tcPr>
          <w:p w14:paraId="70140023" w14:textId="77777777" w:rsidR="007E75DC" w:rsidRPr="00B1057A" w:rsidRDefault="00B1057A" w:rsidP="001133C0">
            <w:pPr>
              <w:pStyle w:val="SecurityCont2"/>
              <w:keepNext/>
              <w:spacing w:after="0"/>
              <w:jc w:val="center"/>
              <w:rPr>
                <w:rFonts w:ascii="Verdana" w:hAnsi="Verdana" w:cs="Arial"/>
                <w:sz w:val="18"/>
                <w:szCs w:val="18"/>
                <w:lang w:val="en-US"/>
              </w:rPr>
            </w:pPr>
            <w:r w:rsidRPr="00B1057A">
              <w:rPr>
                <w:rFonts w:ascii="Verdana" w:hAnsi="Verdana" w:cs="Arial"/>
                <w:sz w:val="18"/>
                <w:szCs w:val="18"/>
                <w:lang w:val="en-US"/>
              </w:rPr>
              <w:t>2</w:t>
            </w:r>
          </w:p>
        </w:tc>
      </w:tr>
      <w:tr w:rsidR="007E75DC" w:rsidRPr="00B1057A" w14:paraId="2BDF572F" w14:textId="77777777" w:rsidTr="007E75DC">
        <w:tc>
          <w:tcPr>
            <w:tcW w:w="715" w:type="pct"/>
            <w:tcBorders>
              <w:top w:val="nil"/>
              <w:left w:val="nil"/>
              <w:bottom w:val="nil"/>
              <w:right w:val="nil"/>
            </w:tcBorders>
          </w:tcPr>
          <w:p w14:paraId="697F11B4" w14:textId="77777777" w:rsidR="007E75DC" w:rsidRPr="00B1057A" w:rsidRDefault="007E75DC" w:rsidP="001133C0">
            <w:pPr>
              <w:pStyle w:val="SecurityCont2"/>
              <w:keepNext/>
              <w:spacing w:after="0"/>
              <w:jc w:val="center"/>
              <w:rPr>
                <w:rFonts w:ascii="Verdana" w:hAnsi="Verdana" w:cs="Arial"/>
                <w:sz w:val="18"/>
                <w:szCs w:val="18"/>
              </w:rPr>
            </w:pPr>
            <w:r w:rsidRPr="00B1057A">
              <w:rPr>
                <w:rFonts w:ascii="Verdana" w:hAnsi="Verdana" w:cs="Arial"/>
                <w:sz w:val="18"/>
                <w:szCs w:val="18"/>
              </w:rPr>
              <w:t>2025</w:t>
            </w:r>
          </w:p>
        </w:tc>
        <w:tc>
          <w:tcPr>
            <w:tcW w:w="715" w:type="pct"/>
            <w:tcBorders>
              <w:top w:val="nil"/>
              <w:left w:val="nil"/>
              <w:bottom w:val="nil"/>
              <w:right w:val="nil"/>
            </w:tcBorders>
          </w:tcPr>
          <w:p w14:paraId="4AD70C71"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69.0</w:t>
            </w:r>
          </w:p>
        </w:tc>
        <w:tc>
          <w:tcPr>
            <w:tcW w:w="715" w:type="pct"/>
            <w:tcBorders>
              <w:top w:val="nil"/>
              <w:left w:val="nil"/>
              <w:bottom w:val="nil"/>
              <w:right w:val="nil"/>
            </w:tcBorders>
          </w:tcPr>
          <w:p w14:paraId="37053407"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60.0</w:t>
            </w:r>
          </w:p>
        </w:tc>
        <w:tc>
          <w:tcPr>
            <w:tcW w:w="714" w:type="pct"/>
            <w:tcBorders>
              <w:top w:val="nil"/>
              <w:left w:val="nil"/>
              <w:bottom w:val="nil"/>
              <w:right w:val="nil"/>
            </w:tcBorders>
          </w:tcPr>
          <w:p w14:paraId="5DA9B660"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40.3</w:t>
            </w:r>
          </w:p>
        </w:tc>
        <w:tc>
          <w:tcPr>
            <w:tcW w:w="714" w:type="pct"/>
            <w:tcBorders>
              <w:top w:val="nil"/>
              <w:left w:val="nil"/>
              <w:bottom w:val="nil"/>
              <w:right w:val="nil"/>
            </w:tcBorders>
          </w:tcPr>
          <w:p w14:paraId="52C665CD" w14:textId="77777777" w:rsidR="007E75DC" w:rsidRPr="00B1057A" w:rsidRDefault="00B1057A" w:rsidP="001133C0">
            <w:pPr>
              <w:pStyle w:val="SecurityCont2"/>
              <w:keepNext/>
              <w:numPr>
                <w:ilvl w:val="2"/>
                <w:numId w:val="40"/>
              </w:numPr>
              <w:autoSpaceDE w:val="0"/>
              <w:autoSpaceDN w:val="0"/>
              <w:adjustRightInd w:val="0"/>
              <w:spacing w:after="0"/>
              <w:jc w:val="center"/>
              <w:outlineLvl w:val="2"/>
              <w:rPr>
                <w:rFonts w:ascii="Verdana" w:hAnsi="Verdana" w:cs="Arial"/>
                <w:color w:val="D9D9D9" w:themeColor="background1" w:themeShade="D9"/>
                <w:sz w:val="18"/>
                <w:szCs w:val="18"/>
              </w:rPr>
            </w:pPr>
            <w:r>
              <w:rPr>
                <w:rFonts w:ascii="Verdana" w:hAnsi="Verdana" w:cs="Arial"/>
                <w:sz w:val="18"/>
                <w:szCs w:val="18"/>
              </w:rPr>
              <w:t>3.11</w:t>
            </w:r>
          </w:p>
        </w:tc>
        <w:tc>
          <w:tcPr>
            <w:tcW w:w="713" w:type="pct"/>
            <w:tcBorders>
              <w:top w:val="nil"/>
              <w:left w:val="nil"/>
              <w:bottom w:val="nil"/>
              <w:right w:val="nil"/>
            </w:tcBorders>
            <w:vAlign w:val="bottom"/>
          </w:tcPr>
          <w:p w14:paraId="203C5D04"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lang w:val="en-US"/>
              </w:rPr>
              <w:t>59.4</w:t>
            </w:r>
          </w:p>
        </w:tc>
        <w:tc>
          <w:tcPr>
            <w:tcW w:w="713" w:type="pct"/>
            <w:tcBorders>
              <w:top w:val="nil"/>
              <w:left w:val="nil"/>
              <w:bottom w:val="nil"/>
              <w:right w:val="nil"/>
            </w:tcBorders>
          </w:tcPr>
          <w:p w14:paraId="46C91960" w14:textId="77777777" w:rsidR="007E75DC" w:rsidRPr="00B1057A" w:rsidRDefault="00B1057A" w:rsidP="001133C0">
            <w:pPr>
              <w:pStyle w:val="SecurityCont2"/>
              <w:keepNext/>
              <w:spacing w:after="0"/>
              <w:jc w:val="center"/>
              <w:rPr>
                <w:rFonts w:ascii="Verdana" w:hAnsi="Verdana" w:cs="Arial"/>
                <w:sz w:val="18"/>
                <w:szCs w:val="18"/>
                <w:lang w:val="en-US"/>
              </w:rPr>
            </w:pPr>
            <w:r w:rsidRPr="00B1057A">
              <w:rPr>
                <w:rFonts w:ascii="Verdana" w:hAnsi="Verdana" w:cs="Arial"/>
                <w:sz w:val="18"/>
                <w:szCs w:val="18"/>
                <w:lang w:val="en-US"/>
              </w:rPr>
              <w:t>2</w:t>
            </w:r>
          </w:p>
        </w:tc>
      </w:tr>
      <w:tr w:rsidR="007E75DC" w:rsidRPr="00B1057A" w14:paraId="768C17C1" w14:textId="77777777" w:rsidTr="007E75DC">
        <w:tc>
          <w:tcPr>
            <w:tcW w:w="715" w:type="pct"/>
            <w:tcBorders>
              <w:top w:val="nil"/>
              <w:left w:val="nil"/>
              <w:bottom w:val="nil"/>
              <w:right w:val="nil"/>
            </w:tcBorders>
          </w:tcPr>
          <w:p w14:paraId="322081B6" w14:textId="77777777" w:rsidR="007E75DC" w:rsidRPr="00B1057A" w:rsidRDefault="007E75DC" w:rsidP="001133C0">
            <w:pPr>
              <w:pStyle w:val="SecurityCont2"/>
              <w:keepNext/>
              <w:spacing w:after="0"/>
              <w:jc w:val="center"/>
              <w:rPr>
                <w:rFonts w:ascii="Verdana" w:hAnsi="Verdana" w:cs="Arial"/>
                <w:sz w:val="18"/>
                <w:szCs w:val="18"/>
              </w:rPr>
            </w:pPr>
            <w:r w:rsidRPr="00B1057A">
              <w:rPr>
                <w:rFonts w:ascii="Verdana" w:hAnsi="Verdana" w:cs="Arial"/>
                <w:sz w:val="18"/>
                <w:szCs w:val="18"/>
              </w:rPr>
              <w:t xml:space="preserve">   2026</w:t>
            </w:r>
            <w:r w:rsidRPr="00B1057A">
              <w:rPr>
                <w:rFonts w:ascii="Verdana" w:hAnsi="Verdana" w:cs="Arial"/>
                <w:b/>
                <w:sz w:val="18"/>
                <w:szCs w:val="18"/>
                <w:vertAlign w:val="superscript"/>
              </w:rPr>
              <w:t>(4)</w:t>
            </w:r>
          </w:p>
        </w:tc>
        <w:tc>
          <w:tcPr>
            <w:tcW w:w="715" w:type="pct"/>
            <w:tcBorders>
              <w:top w:val="nil"/>
              <w:left w:val="nil"/>
              <w:bottom w:val="nil"/>
              <w:right w:val="nil"/>
            </w:tcBorders>
          </w:tcPr>
          <w:p w14:paraId="241D0294"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70.4</w:t>
            </w:r>
          </w:p>
        </w:tc>
        <w:tc>
          <w:tcPr>
            <w:tcW w:w="715" w:type="pct"/>
            <w:tcBorders>
              <w:top w:val="nil"/>
              <w:left w:val="nil"/>
              <w:bottom w:val="nil"/>
              <w:right w:val="nil"/>
            </w:tcBorders>
          </w:tcPr>
          <w:p w14:paraId="07F8AAFB"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61.4</w:t>
            </w:r>
          </w:p>
        </w:tc>
        <w:tc>
          <w:tcPr>
            <w:tcW w:w="714" w:type="pct"/>
            <w:tcBorders>
              <w:top w:val="nil"/>
              <w:left w:val="nil"/>
              <w:bottom w:val="nil"/>
              <w:right w:val="nil"/>
            </w:tcBorders>
          </w:tcPr>
          <w:p w14:paraId="69C41009"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rPr>
              <w:t>41.1</w:t>
            </w:r>
          </w:p>
        </w:tc>
        <w:tc>
          <w:tcPr>
            <w:tcW w:w="714" w:type="pct"/>
            <w:tcBorders>
              <w:top w:val="nil"/>
              <w:left w:val="nil"/>
              <w:bottom w:val="nil"/>
              <w:right w:val="nil"/>
            </w:tcBorders>
          </w:tcPr>
          <w:p w14:paraId="21A81398" w14:textId="77777777" w:rsidR="007E75DC" w:rsidRPr="00B1057A" w:rsidRDefault="00B1057A" w:rsidP="001133C0">
            <w:pPr>
              <w:pStyle w:val="SecurityCont2"/>
              <w:keepNext/>
              <w:numPr>
                <w:ilvl w:val="2"/>
                <w:numId w:val="40"/>
              </w:numPr>
              <w:autoSpaceDE w:val="0"/>
              <w:autoSpaceDN w:val="0"/>
              <w:adjustRightInd w:val="0"/>
              <w:spacing w:after="0"/>
              <w:jc w:val="center"/>
              <w:outlineLvl w:val="2"/>
              <w:rPr>
                <w:rFonts w:ascii="Verdana" w:hAnsi="Verdana" w:cs="Arial"/>
                <w:color w:val="D9D9D9" w:themeColor="background1" w:themeShade="D9"/>
                <w:sz w:val="18"/>
                <w:szCs w:val="18"/>
              </w:rPr>
            </w:pPr>
            <w:r>
              <w:rPr>
                <w:rFonts w:ascii="Verdana" w:hAnsi="Verdana" w:cs="Arial"/>
                <w:sz w:val="18"/>
                <w:szCs w:val="18"/>
              </w:rPr>
              <w:t>3.17</w:t>
            </w:r>
          </w:p>
        </w:tc>
        <w:tc>
          <w:tcPr>
            <w:tcW w:w="713" w:type="pct"/>
            <w:tcBorders>
              <w:top w:val="nil"/>
              <w:left w:val="nil"/>
              <w:bottom w:val="nil"/>
              <w:right w:val="nil"/>
            </w:tcBorders>
            <w:vAlign w:val="bottom"/>
          </w:tcPr>
          <w:p w14:paraId="48047E64" w14:textId="77777777" w:rsidR="007E75DC" w:rsidRPr="00B1057A" w:rsidRDefault="00B1057A" w:rsidP="001133C0">
            <w:pPr>
              <w:pStyle w:val="SecurityCont2"/>
              <w:keepNext/>
              <w:spacing w:after="0"/>
              <w:jc w:val="center"/>
              <w:rPr>
                <w:rFonts w:ascii="Verdana" w:hAnsi="Verdana" w:cs="Arial"/>
                <w:color w:val="D9D9D9" w:themeColor="background1" w:themeShade="D9"/>
                <w:sz w:val="18"/>
                <w:szCs w:val="18"/>
                <w:lang w:val="en-US"/>
              </w:rPr>
            </w:pPr>
            <w:r>
              <w:rPr>
                <w:rFonts w:ascii="Verdana" w:hAnsi="Verdana" w:cs="Arial"/>
                <w:sz w:val="18"/>
                <w:szCs w:val="18"/>
                <w:lang w:val="en-US"/>
              </w:rPr>
              <w:t>60.5</w:t>
            </w:r>
          </w:p>
        </w:tc>
        <w:tc>
          <w:tcPr>
            <w:tcW w:w="713" w:type="pct"/>
            <w:tcBorders>
              <w:top w:val="nil"/>
              <w:left w:val="nil"/>
              <w:bottom w:val="nil"/>
              <w:right w:val="nil"/>
            </w:tcBorders>
          </w:tcPr>
          <w:p w14:paraId="6F71A9CD" w14:textId="77777777" w:rsidR="007E75DC" w:rsidRPr="00B1057A" w:rsidRDefault="00B1057A" w:rsidP="001133C0">
            <w:pPr>
              <w:pStyle w:val="SecurityCont2"/>
              <w:keepNext/>
              <w:spacing w:after="0"/>
              <w:jc w:val="center"/>
              <w:rPr>
                <w:rFonts w:ascii="Verdana" w:hAnsi="Verdana" w:cs="Arial"/>
                <w:sz w:val="18"/>
                <w:szCs w:val="18"/>
                <w:lang w:val="en-US"/>
              </w:rPr>
            </w:pPr>
            <w:r w:rsidRPr="00B1057A">
              <w:rPr>
                <w:rFonts w:ascii="Verdana" w:hAnsi="Verdana" w:cs="Arial"/>
                <w:sz w:val="18"/>
                <w:szCs w:val="18"/>
                <w:lang w:val="en-US"/>
              </w:rPr>
              <w:t>2</w:t>
            </w:r>
          </w:p>
        </w:tc>
      </w:tr>
      <w:tr w:rsidR="00B1057A" w:rsidRPr="00B1057A" w14:paraId="266EE926" w14:textId="77777777" w:rsidTr="007E75DC">
        <w:tc>
          <w:tcPr>
            <w:tcW w:w="715" w:type="pct"/>
            <w:tcBorders>
              <w:top w:val="nil"/>
              <w:left w:val="nil"/>
              <w:bottom w:val="nil"/>
              <w:right w:val="nil"/>
            </w:tcBorders>
          </w:tcPr>
          <w:p w14:paraId="777831BC" w14:textId="77777777" w:rsidR="00B1057A" w:rsidRPr="00B1057A" w:rsidRDefault="00B1057A" w:rsidP="001133C0">
            <w:pPr>
              <w:pStyle w:val="SecurityCont2"/>
              <w:keepNext/>
              <w:spacing w:after="0"/>
              <w:jc w:val="center"/>
              <w:rPr>
                <w:rFonts w:ascii="Verdana" w:hAnsi="Verdana" w:cs="Arial"/>
                <w:sz w:val="18"/>
                <w:szCs w:val="18"/>
              </w:rPr>
            </w:pPr>
            <w:r w:rsidRPr="00B1057A">
              <w:rPr>
                <w:rFonts w:ascii="Verdana" w:hAnsi="Verdana" w:cs="Arial"/>
                <w:sz w:val="18"/>
                <w:szCs w:val="18"/>
              </w:rPr>
              <w:t>2027</w:t>
            </w:r>
          </w:p>
        </w:tc>
        <w:tc>
          <w:tcPr>
            <w:tcW w:w="715" w:type="pct"/>
            <w:tcBorders>
              <w:top w:val="nil"/>
              <w:left w:val="nil"/>
              <w:bottom w:val="nil"/>
              <w:right w:val="nil"/>
            </w:tcBorders>
          </w:tcPr>
          <w:p w14:paraId="5918E56B" w14:textId="77777777" w:rsidR="00B1057A" w:rsidRPr="00B1057A" w:rsidRDefault="00B1057A" w:rsidP="001133C0">
            <w:pPr>
              <w:pStyle w:val="SecurityCont2"/>
              <w:keepNext/>
              <w:spacing w:after="0"/>
              <w:jc w:val="center"/>
              <w:rPr>
                <w:rFonts w:ascii="Verdana" w:hAnsi="Verdana" w:cs="Arial"/>
                <w:sz w:val="18"/>
                <w:szCs w:val="18"/>
              </w:rPr>
            </w:pPr>
            <w:r>
              <w:rPr>
                <w:rFonts w:ascii="Verdana" w:hAnsi="Verdana" w:cs="Arial"/>
                <w:sz w:val="18"/>
                <w:szCs w:val="18"/>
              </w:rPr>
              <w:t>71.8</w:t>
            </w:r>
          </w:p>
        </w:tc>
        <w:tc>
          <w:tcPr>
            <w:tcW w:w="715" w:type="pct"/>
            <w:tcBorders>
              <w:top w:val="nil"/>
              <w:left w:val="nil"/>
              <w:bottom w:val="nil"/>
              <w:right w:val="nil"/>
            </w:tcBorders>
          </w:tcPr>
          <w:p w14:paraId="2B2617E8" w14:textId="77777777" w:rsidR="00B1057A" w:rsidRPr="00B1057A" w:rsidRDefault="00B1057A" w:rsidP="001133C0">
            <w:pPr>
              <w:pStyle w:val="SecurityCont2"/>
              <w:keepNext/>
              <w:spacing w:after="0"/>
              <w:jc w:val="center"/>
              <w:rPr>
                <w:rFonts w:ascii="Verdana" w:hAnsi="Verdana" w:cs="Arial"/>
                <w:sz w:val="18"/>
                <w:szCs w:val="18"/>
              </w:rPr>
            </w:pPr>
            <w:r>
              <w:rPr>
                <w:rFonts w:ascii="Verdana" w:hAnsi="Verdana" w:cs="Arial"/>
                <w:sz w:val="18"/>
                <w:szCs w:val="18"/>
              </w:rPr>
              <w:t>62.8</w:t>
            </w:r>
          </w:p>
        </w:tc>
        <w:tc>
          <w:tcPr>
            <w:tcW w:w="714" w:type="pct"/>
            <w:tcBorders>
              <w:top w:val="nil"/>
              <w:left w:val="nil"/>
              <w:bottom w:val="nil"/>
              <w:right w:val="nil"/>
            </w:tcBorders>
          </w:tcPr>
          <w:p w14:paraId="6F6FF78B" w14:textId="77777777" w:rsidR="00B1057A" w:rsidRPr="00B1057A" w:rsidRDefault="00B1057A" w:rsidP="001133C0">
            <w:pPr>
              <w:pStyle w:val="SecurityCont2"/>
              <w:keepNext/>
              <w:spacing w:after="0"/>
              <w:jc w:val="center"/>
              <w:rPr>
                <w:rFonts w:ascii="Verdana" w:hAnsi="Verdana" w:cs="Arial"/>
                <w:sz w:val="18"/>
                <w:szCs w:val="18"/>
              </w:rPr>
            </w:pPr>
            <w:r>
              <w:rPr>
                <w:rFonts w:ascii="Verdana" w:hAnsi="Verdana" w:cs="Arial"/>
                <w:sz w:val="18"/>
                <w:szCs w:val="18"/>
              </w:rPr>
              <w:t>42.0</w:t>
            </w:r>
          </w:p>
        </w:tc>
        <w:tc>
          <w:tcPr>
            <w:tcW w:w="714" w:type="pct"/>
            <w:tcBorders>
              <w:top w:val="nil"/>
              <w:left w:val="nil"/>
              <w:bottom w:val="nil"/>
              <w:right w:val="nil"/>
            </w:tcBorders>
          </w:tcPr>
          <w:p w14:paraId="35788EA6" w14:textId="77777777" w:rsidR="00B1057A" w:rsidRPr="00B1057A" w:rsidRDefault="00B1057A"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3.23</w:t>
            </w:r>
          </w:p>
        </w:tc>
        <w:tc>
          <w:tcPr>
            <w:tcW w:w="713" w:type="pct"/>
            <w:tcBorders>
              <w:top w:val="nil"/>
              <w:left w:val="nil"/>
              <w:bottom w:val="nil"/>
              <w:right w:val="nil"/>
            </w:tcBorders>
            <w:vAlign w:val="bottom"/>
          </w:tcPr>
          <w:p w14:paraId="6D055995" w14:textId="77777777" w:rsidR="00B1057A" w:rsidRPr="00B1057A" w:rsidRDefault="00B1057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61.8</w:t>
            </w:r>
          </w:p>
        </w:tc>
        <w:tc>
          <w:tcPr>
            <w:tcW w:w="713" w:type="pct"/>
            <w:tcBorders>
              <w:top w:val="nil"/>
              <w:left w:val="nil"/>
              <w:bottom w:val="nil"/>
              <w:right w:val="nil"/>
            </w:tcBorders>
          </w:tcPr>
          <w:p w14:paraId="014A9CD3" w14:textId="77777777" w:rsidR="00B1057A" w:rsidRPr="00B1057A" w:rsidRDefault="00B1057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r w:rsidR="00B1057A" w:rsidRPr="00B1057A" w14:paraId="77368470" w14:textId="77777777" w:rsidTr="007E75DC">
        <w:tc>
          <w:tcPr>
            <w:tcW w:w="715" w:type="pct"/>
            <w:tcBorders>
              <w:top w:val="nil"/>
              <w:left w:val="nil"/>
              <w:bottom w:val="nil"/>
              <w:right w:val="nil"/>
            </w:tcBorders>
          </w:tcPr>
          <w:p w14:paraId="07F32DE0" w14:textId="77777777" w:rsidR="00B1057A" w:rsidRPr="00B1057A" w:rsidRDefault="00B1057A" w:rsidP="001133C0">
            <w:pPr>
              <w:pStyle w:val="SecurityCont2"/>
              <w:keepNext/>
              <w:spacing w:after="0"/>
              <w:jc w:val="center"/>
              <w:rPr>
                <w:rFonts w:ascii="Verdana" w:hAnsi="Verdana" w:cs="Arial"/>
                <w:sz w:val="18"/>
                <w:szCs w:val="18"/>
              </w:rPr>
            </w:pPr>
            <w:r>
              <w:rPr>
                <w:rFonts w:ascii="Verdana" w:hAnsi="Verdana" w:cs="Arial"/>
                <w:sz w:val="18"/>
                <w:szCs w:val="18"/>
              </w:rPr>
              <w:t>2028</w:t>
            </w:r>
          </w:p>
        </w:tc>
        <w:tc>
          <w:tcPr>
            <w:tcW w:w="715" w:type="pct"/>
            <w:tcBorders>
              <w:top w:val="nil"/>
              <w:left w:val="nil"/>
              <w:bottom w:val="nil"/>
              <w:right w:val="nil"/>
            </w:tcBorders>
          </w:tcPr>
          <w:p w14:paraId="1733ABE7" w14:textId="77777777" w:rsidR="00B1057A" w:rsidRDefault="00B1057A" w:rsidP="001133C0">
            <w:pPr>
              <w:pStyle w:val="SecurityCont2"/>
              <w:keepNext/>
              <w:spacing w:after="0"/>
              <w:jc w:val="center"/>
              <w:rPr>
                <w:rFonts w:ascii="Verdana" w:hAnsi="Verdana" w:cs="Arial"/>
                <w:sz w:val="18"/>
                <w:szCs w:val="18"/>
              </w:rPr>
            </w:pPr>
            <w:r>
              <w:rPr>
                <w:rFonts w:ascii="Verdana" w:hAnsi="Verdana" w:cs="Arial"/>
                <w:sz w:val="18"/>
                <w:szCs w:val="18"/>
              </w:rPr>
              <w:t>73.2</w:t>
            </w:r>
          </w:p>
        </w:tc>
        <w:tc>
          <w:tcPr>
            <w:tcW w:w="715" w:type="pct"/>
            <w:tcBorders>
              <w:top w:val="nil"/>
              <w:left w:val="nil"/>
              <w:bottom w:val="nil"/>
              <w:right w:val="nil"/>
            </w:tcBorders>
          </w:tcPr>
          <w:p w14:paraId="34567D9F" w14:textId="77777777" w:rsidR="00B1057A" w:rsidRDefault="00B1057A" w:rsidP="001133C0">
            <w:pPr>
              <w:pStyle w:val="SecurityCont2"/>
              <w:keepNext/>
              <w:spacing w:after="0"/>
              <w:jc w:val="center"/>
              <w:rPr>
                <w:rFonts w:ascii="Verdana" w:hAnsi="Verdana" w:cs="Arial"/>
                <w:sz w:val="18"/>
                <w:szCs w:val="18"/>
              </w:rPr>
            </w:pPr>
            <w:r>
              <w:rPr>
                <w:rFonts w:ascii="Verdana" w:hAnsi="Verdana" w:cs="Arial"/>
                <w:sz w:val="18"/>
                <w:szCs w:val="18"/>
              </w:rPr>
              <w:t>64.2</w:t>
            </w:r>
          </w:p>
        </w:tc>
        <w:tc>
          <w:tcPr>
            <w:tcW w:w="714" w:type="pct"/>
            <w:tcBorders>
              <w:top w:val="nil"/>
              <w:left w:val="nil"/>
              <w:bottom w:val="nil"/>
              <w:right w:val="nil"/>
            </w:tcBorders>
          </w:tcPr>
          <w:p w14:paraId="751DFD89" w14:textId="77777777" w:rsidR="00B1057A" w:rsidRDefault="00B1057A" w:rsidP="001133C0">
            <w:pPr>
              <w:pStyle w:val="SecurityCont2"/>
              <w:keepNext/>
              <w:spacing w:after="0"/>
              <w:jc w:val="center"/>
              <w:rPr>
                <w:rFonts w:ascii="Verdana" w:hAnsi="Verdana" w:cs="Arial"/>
                <w:sz w:val="18"/>
                <w:szCs w:val="18"/>
              </w:rPr>
            </w:pPr>
            <w:r>
              <w:rPr>
                <w:rFonts w:ascii="Verdana" w:hAnsi="Verdana" w:cs="Arial"/>
                <w:sz w:val="18"/>
                <w:szCs w:val="18"/>
              </w:rPr>
              <w:t>42.8</w:t>
            </w:r>
          </w:p>
        </w:tc>
        <w:tc>
          <w:tcPr>
            <w:tcW w:w="714" w:type="pct"/>
            <w:tcBorders>
              <w:top w:val="nil"/>
              <w:left w:val="nil"/>
              <w:bottom w:val="nil"/>
              <w:right w:val="nil"/>
            </w:tcBorders>
          </w:tcPr>
          <w:p w14:paraId="1A945EE1" w14:textId="77777777" w:rsidR="00B1057A" w:rsidRDefault="00B1057A"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3.30</w:t>
            </w:r>
          </w:p>
        </w:tc>
        <w:tc>
          <w:tcPr>
            <w:tcW w:w="713" w:type="pct"/>
            <w:tcBorders>
              <w:top w:val="nil"/>
              <w:left w:val="nil"/>
              <w:bottom w:val="nil"/>
              <w:right w:val="nil"/>
            </w:tcBorders>
            <w:vAlign w:val="bottom"/>
          </w:tcPr>
          <w:p w14:paraId="4908A166" w14:textId="77777777" w:rsidR="00B1057A" w:rsidRDefault="00B1057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63.0</w:t>
            </w:r>
          </w:p>
        </w:tc>
        <w:tc>
          <w:tcPr>
            <w:tcW w:w="713" w:type="pct"/>
            <w:tcBorders>
              <w:top w:val="nil"/>
              <w:left w:val="nil"/>
              <w:bottom w:val="nil"/>
              <w:right w:val="nil"/>
            </w:tcBorders>
          </w:tcPr>
          <w:p w14:paraId="6B24A0B7" w14:textId="77777777" w:rsidR="00B1057A" w:rsidRDefault="00B1057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r w:rsidR="00B1057A" w:rsidRPr="00B1057A" w14:paraId="1481313F" w14:textId="77777777" w:rsidTr="007E75DC">
        <w:tc>
          <w:tcPr>
            <w:tcW w:w="715" w:type="pct"/>
            <w:tcBorders>
              <w:top w:val="nil"/>
              <w:left w:val="nil"/>
              <w:bottom w:val="nil"/>
              <w:right w:val="nil"/>
            </w:tcBorders>
          </w:tcPr>
          <w:p w14:paraId="0183B58D" w14:textId="77777777" w:rsidR="00B1057A" w:rsidRDefault="00B1057A" w:rsidP="001133C0">
            <w:pPr>
              <w:pStyle w:val="SecurityCont2"/>
              <w:keepNext/>
              <w:spacing w:after="0"/>
              <w:jc w:val="center"/>
              <w:rPr>
                <w:rFonts w:ascii="Verdana" w:hAnsi="Verdana" w:cs="Arial"/>
                <w:sz w:val="18"/>
                <w:szCs w:val="18"/>
              </w:rPr>
            </w:pPr>
            <w:r>
              <w:rPr>
                <w:rFonts w:ascii="Verdana" w:hAnsi="Verdana" w:cs="Arial"/>
                <w:sz w:val="18"/>
                <w:szCs w:val="18"/>
              </w:rPr>
              <w:t>2029</w:t>
            </w:r>
          </w:p>
        </w:tc>
        <w:tc>
          <w:tcPr>
            <w:tcW w:w="715" w:type="pct"/>
            <w:tcBorders>
              <w:top w:val="nil"/>
              <w:left w:val="nil"/>
              <w:bottom w:val="nil"/>
              <w:right w:val="nil"/>
            </w:tcBorders>
          </w:tcPr>
          <w:p w14:paraId="34D89540" w14:textId="77777777" w:rsidR="00B1057A" w:rsidRDefault="00BD7B62" w:rsidP="001133C0">
            <w:pPr>
              <w:pStyle w:val="SecurityCont2"/>
              <w:keepNext/>
              <w:spacing w:after="0"/>
              <w:jc w:val="center"/>
              <w:rPr>
                <w:rFonts w:ascii="Verdana" w:hAnsi="Verdana" w:cs="Arial"/>
                <w:sz w:val="18"/>
                <w:szCs w:val="18"/>
              </w:rPr>
            </w:pPr>
            <w:r>
              <w:rPr>
                <w:rFonts w:ascii="Verdana" w:hAnsi="Verdana" w:cs="Arial"/>
                <w:sz w:val="18"/>
                <w:szCs w:val="18"/>
              </w:rPr>
              <w:t>74.7</w:t>
            </w:r>
          </w:p>
        </w:tc>
        <w:tc>
          <w:tcPr>
            <w:tcW w:w="715" w:type="pct"/>
            <w:tcBorders>
              <w:top w:val="nil"/>
              <w:left w:val="nil"/>
              <w:bottom w:val="nil"/>
              <w:right w:val="nil"/>
            </w:tcBorders>
          </w:tcPr>
          <w:p w14:paraId="73E28679" w14:textId="77777777" w:rsidR="00B1057A" w:rsidRDefault="00BD7B62" w:rsidP="001133C0">
            <w:pPr>
              <w:pStyle w:val="SecurityCont2"/>
              <w:keepNext/>
              <w:spacing w:after="0"/>
              <w:jc w:val="center"/>
              <w:rPr>
                <w:rFonts w:ascii="Verdana" w:hAnsi="Verdana" w:cs="Arial"/>
                <w:sz w:val="18"/>
                <w:szCs w:val="18"/>
              </w:rPr>
            </w:pPr>
            <w:r>
              <w:rPr>
                <w:rFonts w:ascii="Verdana" w:hAnsi="Verdana" w:cs="Arial"/>
                <w:sz w:val="18"/>
                <w:szCs w:val="18"/>
              </w:rPr>
              <w:t>65.7</w:t>
            </w:r>
          </w:p>
        </w:tc>
        <w:tc>
          <w:tcPr>
            <w:tcW w:w="714" w:type="pct"/>
            <w:tcBorders>
              <w:top w:val="nil"/>
              <w:left w:val="nil"/>
              <w:bottom w:val="nil"/>
              <w:right w:val="nil"/>
            </w:tcBorders>
          </w:tcPr>
          <w:p w14:paraId="544DCD93" w14:textId="77777777" w:rsidR="00B1057A" w:rsidRDefault="00BD7B62" w:rsidP="001133C0">
            <w:pPr>
              <w:pStyle w:val="SecurityCont2"/>
              <w:keepNext/>
              <w:spacing w:after="0"/>
              <w:jc w:val="center"/>
              <w:rPr>
                <w:rFonts w:ascii="Verdana" w:hAnsi="Verdana" w:cs="Arial"/>
                <w:sz w:val="18"/>
                <w:szCs w:val="18"/>
              </w:rPr>
            </w:pPr>
            <w:r>
              <w:rPr>
                <w:rFonts w:ascii="Verdana" w:hAnsi="Verdana" w:cs="Arial"/>
                <w:sz w:val="18"/>
                <w:szCs w:val="18"/>
              </w:rPr>
              <w:t>43.7</w:t>
            </w:r>
          </w:p>
        </w:tc>
        <w:tc>
          <w:tcPr>
            <w:tcW w:w="714" w:type="pct"/>
            <w:tcBorders>
              <w:top w:val="nil"/>
              <w:left w:val="nil"/>
              <w:bottom w:val="nil"/>
              <w:right w:val="nil"/>
            </w:tcBorders>
          </w:tcPr>
          <w:p w14:paraId="47D45B24" w14:textId="77777777" w:rsidR="00B1057A" w:rsidRDefault="00BD7B62"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3.37</w:t>
            </w:r>
          </w:p>
        </w:tc>
        <w:tc>
          <w:tcPr>
            <w:tcW w:w="713" w:type="pct"/>
            <w:tcBorders>
              <w:top w:val="nil"/>
              <w:left w:val="nil"/>
              <w:bottom w:val="nil"/>
              <w:right w:val="nil"/>
            </w:tcBorders>
            <w:vAlign w:val="bottom"/>
          </w:tcPr>
          <w:p w14:paraId="38B94CA5" w14:textId="77777777" w:rsidR="00B1057A" w:rsidRDefault="00BD7B62"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64.3</w:t>
            </w:r>
          </w:p>
        </w:tc>
        <w:tc>
          <w:tcPr>
            <w:tcW w:w="713" w:type="pct"/>
            <w:tcBorders>
              <w:top w:val="nil"/>
              <w:left w:val="nil"/>
              <w:bottom w:val="nil"/>
              <w:right w:val="nil"/>
            </w:tcBorders>
          </w:tcPr>
          <w:p w14:paraId="37BE243E" w14:textId="77777777" w:rsidR="00B1057A" w:rsidRDefault="00BD7B62"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r w:rsidR="00BD7B62" w:rsidRPr="00B1057A" w14:paraId="2BB9681F" w14:textId="77777777" w:rsidTr="007E75DC">
        <w:tc>
          <w:tcPr>
            <w:tcW w:w="715" w:type="pct"/>
            <w:tcBorders>
              <w:top w:val="nil"/>
              <w:left w:val="nil"/>
              <w:bottom w:val="nil"/>
              <w:right w:val="nil"/>
            </w:tcBorders>
          </w:tcPr>
          <w:p w14:paraId="3B4B05BE" w14:textId="77777777" w:rsidR="00BD7B62" w:rsidRDefault="00BD7B62" w:rsidP="001133C0">
            <w:pPr>
              <w:pStyle w:val="SecurityCont2"/>
              <w:keepNext/>
              <w:spacing w:after="0"/>
              <w:jc w:val="center"/>
              <w:rPr>
                <w:rFonts w:ascii="Verdana" w:hAnsi="Verdana" w:cs="Arial"/>
                <w:sz w:val="18"/>
                <w:szCs w:val="18"/>
              </w:rPr>
            </w:pPr>
            <w:r>
              <w:rPr>
                <w:rFonts w:ascii="Verdana" w:hAnsi="Verdana" w:cs="Arial"/>
                <w:sz w:val="18"/>
                <w:szCs w:val="18"/>
              </w:rPr>
              <w:t>2030</w:t>
            </w:r>
          </w:p>
        </w:tc>
        <w:tc>
          <w:tcPr>
            <w:tcW w:w="715" w:type="pct"/>
            <w:tcBorders>
              <w:top w:val="nil"/>
              <w:left w:val="nil"/>
              <w:bottom w:val="nil"/>
              <w:right w:val="nil"/>
            </w:tcBorders>
          </w:tcPr>
          <w:p w14:paraId="48282B48" w14:textId="77777777" w:rsidR="00BD7B62" w:rsidRDefault="00BD7B62" w:rsidP="001133C0">
            <w:pPr>
              <w:pStyle w:val="SecurityCont2"/>
              <w:keepNext/>
              <w:spacing w:after="0"/>
              <w:jc w:val="center"/>
              <w:rPr>
                <w:rFonts w:ascii="Verdana" w:hAnsi="Verdana" w:cs="Arial"/>
                <w:sz w:val="18"/>
                <w:szCs w:val="18"/>
              </w:rPr>
            </w:pPr>
            <w:r>
              <w:rPr>
                <w:rFonts w:ascii="Verdana" w:hAnsi="Verdana" w:cs="Arial"/>
                <w:sz w:val="18"/>
                <w:szCs w:val="18"/>
              </w:rPr>
              <w:t>76.2</w:t>
            </w:r>
          </w:p>
        </w:tc>
        <w:tc>
          <w:tcPr>
            <w:tcW w:w="715" w:type="pct"/>
            <w:tcBorders>
              <w:top w:val="nil"/>
              <w:left w:val="nil"/>
              <w:bottom w:val="nil"/>
              <w:right w:val="nil"/>
            </w:tcBorders>
          </w:tcPr>
          <w:p w14:paraId="48113A27" w14:textId="77777777" w:rsidR="00BD7B62" w:rsidRDefault="00BD7B62" w:rsidP="001133C0">
            <w:pPr>
              <w:pStyle w:val="SecurityCont2"/>
              <w:keepNext/>
              <w:spacing w:after="0"/>
              <w:jc w:val="center"/>
              <w:rPr>
                <w:rFonts w:ascii="Verdana" w:hAnsi="Verdana" w:cs="Arial"/>
                <w:sz w:val="18"/>
                <w:szCs w:val="18"/>
              </w:rPr>
            </w:pPr>
            <w:r>
              <w:rPr>
                <w:rFonts w:ascii="Verdana" w:hAnsi="Verdana" w:cs="Arial"/>
                <w:sz w:val="18"/>
                <w:szCs w:val="18"/>
              </w:rPr>
              <w:t>67.2</w:t>
            </w:r>
          </w:p>
        </w:tc>
        <w:tc>
          <w:tcPr>
            <w:tcW w:w="714" w:type="pct"/>
            <w:tcBorders>
              <w:top w:val="nil"/>
              <w:left w:val="nil"/>
              <w:bottom w:val="nil"/>
              <w:right w:val="nil"/>
            </w:tcBorders>
          </w:tcPr>
          <w:p w14:paraId="57F0D191" w14:textId="77777777" w:rsidR="00BD7B62" w:rsidRDefault="00CE1740" w:rsidP="001133C0">
            <w:pPr>
              <w:pStyle w:val="SecurityCont2"/>
              <w:keepNext/>
              <w:spacing w:after="0"/>
              <w:jc w:val="center"/>
              <w:rPr>
                <w:rFonts w:ascii="Verdana" w:hAnsi="Verdana" w:cs="Arial"/>
                <w:sz w:val="18"/>
                <w:szCs w:val="18"/>
              </w:rPr>
            </w:pPr>
            <w:r>
              <w:rPr>
                <w:rFonts w:ascii="Verdana" w:hAnsi="Verdana" w:cs="Arial"/>
                <w:sz w:val="18"/>
                <w:szCs w:val="18"/>
              </w:rPr>
              <w:t>44.5</w:t>
            </w:r>
          </w:p>
        </w:tc>
        <w:tc>
          <w:tcPr>
            <w:tcW w:w="714" w:type="pct"/>
            <w:tcBorders>
              <w:top w:val="nil"/>
              <w:left w:val="nil"/>
              <w:bottom w:val="nil"/>
              <w:right w:val="nil"/>
            </w:tcBorders>
          </w:tcPr>
          <w:p w14:paraId="4CA49AFD" w14:textId="77777777" w:rsidR="00BD7B62" w:rsidRDefault="00CE1740"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3.43</w:t>
            </w:r>
          </w:p>
        </w:tc>
        <w:tc>
          <w:tcPr>
            <w:tcW w:w="713" w:type="pct"/>
            <w:tcBorders>
              <w:top w:val="nil"/>
              <w:left w:val="nil"/>
              <w:bottom w:val="nil"/>
              <w:right w:val="nil"/>
            </w:tcBorders>
            <w:vAlign w:val="bottom"/>
          </w:tcPr>
          <w:p w14:paraId="61DACAA7" w14:textId="77777777" w:rsidR="00BD7B62" w:rsidRDefault="00CE1740"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65.5</w:t>
            </w:r>
          </w:p>
        </w:tc>
        <w:tc>
          <w:tcPr>
            <w:tcW w:w="713" w:type="pct"/>
            <w:tcBorders>
              <w:top w:val="nil"/>
              <w:left w:val="nil"/>
              <w:bottom w:val="nil"/>
              <w:right w:val="nil"/>
            </w:tcBorders>
          </w:tcPr>
          <w:p w14:paraId="219D5458" w14:textId="77777777" w:rsidR="00BD7B62" w:rsidRDefault="00CE1740"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r w:rsidR="00CE1740" w:rsidRPr="00B1057A" w14:paraId="4C42315D" w14:textId="77777777" w:rsidTr="007E75DC">
        <w:tc>
          <w:tcPr>
            <w:tcW w:w="715" w:type="pct"/>
            <w:tcBorders>
              <w:top w:val="nil"/>
              <w:left w:val="nil"/>
              <w:bottom w:val="nil"/>
              <w:right w:val="nil"/>
            </w:tcBorders>
          </w:tcPr>
          <w:p w14:paraId="02DC30ED" w14:textId="77777777" w:rsidR="00CE1740" w:rsidRDefault="00CE1740" w:rsidP="001133C0">
            <w:pPr>
              <w:pStyle w:val="SecurityCont2"/>
              <w:keepNext/>
              <w:spacing w:after="0"/>
              <w:jc w:val="center"/>
              <w:rPr>
                <w:rFonts w:ascii="Verdana" w:hAnsi="Verdana" w:cs="Arial"/>
                <w:sz w:val="18"/>
                <w:szCs w:val="18"/>
              </w:rPr>
            </w:pPr>
            <w:r>
              <w:rPr>
                <w:rFonts w:ascii="Verdana" w:hAnsi="Verdana" w:cs="Arial"/>
                <w:sz w:val="18"/>
                <w:szCs w:val="18"/>
              </w:rPr>
              <w:t>2031</w:t>
            </w:r>
          </w:p>
        </w:tc>
        <w:tc>
          <w:tcPr>
            <w:tcW w:w="715" w:type="pct"/>
            <w:tcBorders>
              <w:top w:val="nil"/>
              <w:left w:val="nil"/>
              <w:bottom w:val="nil"/>
              <w:right w:val="nil"/>
            </w:tcBorders>
          </w:tcPr>
          <w:p w14:paraId="544DA866" w14:textId="77777777" w:rsidR="00CE1740" w:rsidRDefault="00CE1740" w:rsidP="001133C0">
            <w:pPr>
              <w:pStyle w:val="SecurityCont2"/>
              <w:keepNext/>
              <w:spacing w:after="0"/>
              <w:jc w:val="center"/>
              <w:rPr>
                <w:rFonts w:ascii="Verdana" w:hAnsi="Verdana" w:cs="Arial"/>
                <w:sz w:val="18"/>
                <w:szCs w:val="18"/>
              </w:rPr>
            </w:pPr>
            <w:r>
              <w:rPr>
                <w:rFonts w:ascii="Verdana" w:hAnsi="Verdana" w:cs="Arial"/>
                <w:sz w:val="18"/>
                <w:szCs w:val="18"/>
              </w:rPr>
              <w:t>77.7</w:t>
            </w:r>
          </w:p>
        </w:tc>
        <w:tc>
          <w:tcPr>
            <w:tcW w:w="715" w:type="pct"/>
            <w:tcBorders>
              <w:top w:val="nil"/>
              <w:left w:val="nil"/>
              <w:bottom w:val="nil"/>
              <w:right w:val="nil"/>
            </w:tcBorders>
          </w:tcPr>
          <w:p w14:paraId="424222A7" w14:textId="77777777" w:rsidR="00CE1740" w:rsidRDefault="00CE1740" w:rsidP="001133C0">
            <w:pPr>
              <w:pStyle w:val="SecurityCont2"/>
              <w:keepNext/>
              <w:spacing w:after="0"/>
              <w:jc w:val="center"/>
              <w:rPr>
                <w:rFonts w:ascii="Verdana" w:hAnsi="Verdana" w:cs="Arial"/>
                <w:sz w:val="18"/>
                <w:szCs w:val="18"/>
              </w:rPr>
            </w:pPr>
            <w:r>
              <w:rPr>
                <w:rFonts w:ascii="Verdana" w:hAnsi="Verdana" w:cs="Arial"/>
                <w:sz w:val="18"/>
                <w:szCs w:val="18"/>
              </w:rPr>
              <w:t>68.7</w:t>
            </w:r>
          </w:p>
        </w:tc>
        <w:tc>
          <w:tcPr>
            <w:tcW w:w="714" w:type="pct"/>
            <w:tcBorders>
              <w:top w:val="nil"/>
              <w:left w:val="nil"/>
              <w:bottom w:val="nil"/>
              <w:right w:val="nil"/>
            </w:tcBorders>
          </w:tcPr>
          <w:p w14:paraId="7E384A17" w14:textId="77777777" w:rsidR="00CE1740" w:rsidRDefault="00CE1740" w:rsidP="001133C0">
            <w:pPr>
              <w:pStyle w:val="SecurityCont2"/>
              <w:keepNext/>
              <w:spacing w:after="0"/>
              <w:jc w:val="center"/>
              <w:rPr>
                <w:rFonts w:ascii="Verdana" w:hAnsi="Verdana" w:cs="Arial"/>
                <w:sz w:val="18"/>
                <w:szCs w:val="18"/>
              </w:rPr>
            </w:pPr>
            <w:r>
              <w:rPr>
                <w:rFonts w:ascii="Verdana" w:hAnsi="Verdana" w:cs="Arial"/>
                <w:sz w:val="18"/>
                <w:szCs w:val="18"/>
              </w:rPr>
              <w:t>45.4</w:t>
            </w:r>
          </w:p>
        </w:tc>
        <w:tc>
          <w:tcPr>
            <w:tcW w:w="714" w:type="pct"/>
            <w:tcBorders>
              <w:top w:val="nil"/>
              <w:left w:val="nil"/>
              <w:bottom w:val="nil"/>
              <w:right w:val="nil"/>
            </w:tcBorders>
          </w:tcPr>
          <w:p w14:paraId="507F43FF" w14:textId="77777777" w:rsidR="00CE1740" w:rsidRDefault="00CE1740"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3.50</w:t>
            </w:r>
          </w:p>
        </w:tc>
        <w:tc>
          <w:tcPr>
            <w:tcW w:w="713" w:type="pct"/>
            <w:tcBorders>
              <w:top w:val="nil"/>
              <w:left w:val="nil"/>
              <w:bottom w:val="nil"/>
              <w:right w:val="nil"/>
            </w:tcBorders>
            <w:vAlign w:val="bottom"/>
          </w:tcPr>
          <w:p w14:paraId="3D60805A" w14:textId="77777777" w:rsidR="00CE1740" w:rsidRDefault="00CE1740"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66.8</w:t>
            </w:r>
          </w:p>
        </w:tc>
        <w:tc>
          <w:tcPr>
            <w:tcW w:w="713" w:type="pct"/>
            <w:tcBorders>
              <w:top w:val="nil"/>
              <w:left w:val="nil"/>
              <w:bottom w:val="nil"/>
              <w:right w:val="nil"/>
            </w:tcBorders>
          </w:tcPr>
          <w:p w14:paraId="3A28DA0F" w14:textId="77777777" w:rsidR="00CE1740" w:rsidRDefault="00CE1740"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r w:rsidR="00C439FA" w:rsidRPr="00B1057A" w14:paraId="086DF7EB" w14:textId="77777777" w:rsidTr="007E75DC">
        <w:tc>
          <w:tcPr>
            <w:tcW w:w="715" w:type="pct"/>
            <w:tcBorders>
              <w:top w:val="nil"/>
              <w:left w:val="nil"/>
              <w:bottom w:val="nil"/>
              <w:right w:val="nil"/>
            </w:tcBorders>
          </w:tcPr>
          <w:p w14:paraId="226C944E"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2032</w:t>
            </w:r>
          </w:p>
        </w:tc>
        <w:tc>
          <w:tcPr>
            <w:tcW w:w="715" w:type="pct"/>
            <w:tcBorders>
              <w:top w:val="nil"/>
              <w:left w:val="nil"/>
              <w:bottom w:val="nil"/>
              <w:right w:val="nil"/>
            </w:tcBorders>
          </w:tcPr>
          <w:p w14:paraId="3A822DCE"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79.2</w:t>
            </w:r>
          </w:p>
        </w:tc>
        <w:tc>
          <w:tcPr>
            <w:tcW w:w="715" w:type="pct"/>
            <w:tcBorders>
              <w:top w:val="nil"/>
              <w:left w:val="nil"/>
              <w:bottom w:val="nil"/>
              <w:right w:val="nil"/>
            </w:tcBorders>
          </w:tcPr>
          <w:p w14:paraId="2F241DE4"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70.2</w:t>
            </w:r>
          </w:p>
        </w:tc>
        <w:tc>
          <w:tcPr>
            <w:tcW w:w="714" w:type="pct"/>
            <w:tcBorders>
              <w:top w:val="nil"/>
              <w:left w:val="nil"/>
              <w:bottom w:val="nil"/>
              <w:right w:val="nil"/>
            </w:tcBorders>
          </w:tcPr>
          <w:p w14:paraId="179B7671"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46.3</w:t>
            </w:r>
          </w:p>
        </w:tc>
        <w:tc>
          <w:tcPr>
            <w:tcW w:w="714" w:type="pct"/>
            <w:tcBorders>
              <w:top w:val="nil"/>
              <w:left w:val="nil"/>
              <w:bottom w:val="nil"/>
              <w:right w:val="nil"/>
            </w:tcBorders>
          </w:tcPr>
          <w:p w14:paraId="421B92E2" w14:textId="77777777" w:rsidR="00C439FA" w:rsidRDefault="00C439FA"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3.57</w:t>
            </w:r>
          </w:p>
        </w:tc>
        <w:tc>
          <w:tcPr>
            <w:tcW w:w="713" w:type="pct"/>
            <w:tcBorders>
              <w:top w:val="nil"/>
              <w:left w:val="nil"/>
              <w:bottom w:val="nil"/>
              <w:right w:val="nil"/>
            </w:tcBorders>
            <w:vAlign w:val="bottom"/>
          </w:tcPr>
          <w:p w14:paraId="36DECD08"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68.2</w:t>
            </w:r>
          </w:p>
        </w:tc>
        <w:tc>
          <w:tcPr>
            <w:tcW w:w="713" w:type="pct"/>
            <w:tcBorders>
              <w:top w:val="nil"/>
              <w:left w:val="nil"/>
              <w:bottom w:val="nil"/>
              <w:right w:val="nil"/>
            </w:tcBorders>
          </w:tcPr>
          <w:p w14:paraId="1C6C7916"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r w:rsidR="00C439FA" w:rsidRPr="00B1057A" w14:paraId="1E8F9B43" w14:textId="77777777" w:rsidTr="007E75DC">
        <w:tc>
          <w:tcPr>
            <w:tcW w:w="715" w:type="pct"/>
            <w:tcBorders>
              <w:top w:val="nil"/>
              <w:left w:val="nil"/>
              <w:bottom w:val="nil"/>
              <w:right w:val="nil"/>
            </w:tcBorders>
          </w:tcPr>
          <w:p w14:paraId="7DCCAB50"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2033</w:t>
            </w:r>
          </w:p>
        </w:tc>
        <w:tc>
          <w:tcPr>
            <w:tcW w:w="715" w:type="pct"/>
            <w:tcBorders>
              <w:top w:val="nil"/>
              <w:left w:val="nil"/>
              <w:bottom w:val="nil"/>
              <w:right w:val="nil"/>
            </w:tcBorders>
          </w:tcPr>
          <w:p w14:paraId="2FD51E10"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80.8</w:t>
            </w:r>
          </w:p>
        </w:tc>
        <w:tc>
          <w:tcPr>
            <w:tcW w:w="715" w:type="pct"/>
            <w:tcBorders>
              <w:top w:val="nil"/>
              <w:left w:val="nil"/>
              <w:bottom w:val="nil"/>
              <w:right w:val="nil"/>
            </w:tcBorders>
          </w:tcPr>
          <w:p w14:paraId="1DEF2B59"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71.8</w:t>
            </w:r>
          </w:p>
        </w:tc>
        <w:tc>
          <w:tcPr>
            <w:tcW w:w="714" w:type="pct"/>
            <w:tcBorders>
              <w:top w:val="nil"/>
              <w:left w:val="nil"/>
              <w:bottom w:val="nil"/>
              <w:right w:val="nil"/>
            </w:tcBorders>
          </w:tcPr>
          <w:p w14:paraId="7B5EBF82"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47.3</w:t>
            </w:r>
          </w:p>
        </w:tc>
        <w:tc>
          <w:tcPr>
            <w:tcW w:w="714" w:type="pct"/>
            <w:tcBorders>
              <w:top w:val="nil"/>
              <w:left w:val="nil"/>
              <w:bottom w:val="nil"/>
              <w:right w:val="nil"/>
            </w:tcBorders>
          </w:tcPr>
          <w:p w14:paraId="7CE5D7AF" w14:textId="77777777" w:rsidR="00C439FA" w:rsidRDefault="00C439FA"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3.64</w:t>
            </w:r>
          </w:p>
        </w:tc>
        <w:tc>
          <w:tcPr>
            <w:tcW w:w="713" w:type="pct"/>
            <w:tcBorders>
              <w:top w:val="nil"/>
              <w:left w:val="nil"/>
              <w:bottom w:val="nil"/>
              <w:right w:val="nil"/>
            </w:tcBorders>
            <w:vAlign w:val="bottom"/>
          </w:tcPr>
          <w:p w14:paraId="18903F5A"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69.5</w:t>
            </w:r>
          </w:p>
        </w:tc>
        <w:tc>
          <w:tcPr>
            <w:tcW w:w="713" w:type="pct"/>
            <w:tcBorders>
              <w:top w:val="nil"/>
              <w:left w:val="nil"/>
              <w:bottom w:val="nil"/>
              <w:right w:val="nil"/>
            </w:tcBorders>
          </w:tcPr>
          <w:p w14:paraId="70DB0D06"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r w:rsidR="00C439FA" w:rsidRPr="00B1057A" w14:paraId="5931791B" w14:textId="77777777" w:rsidTr="007E75DC">
        <w:tc>
          <w:tcPr>
            <w:tcW w:w="715" w:type="pct"/>
            <w:tcBorders>
              <w:top w:val="nil"/>
              <w:left w:val="nil"/>
              <w:bottom w:val="nil"/>
              <w:right w:val="nil"/>
            </w:tcBorders>
          </w:tcPr>
          <w:p w14:paraId="06442B64"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2034</w:t>
            </w:r>
          </w:p>
        </w:tc>
        <w:tc>
          <w:tcPr>
            <w:tcW w:w="715" w:type="pct"/>
            <w:tcBorders>
              <w:top w:val="nil"/>
              <w:left w:val="nil"/>
              <w:bottom w:val="nil"/>
              <w:right w:val="nil"/>
            </w:tcBorders>
          </w:tcPr>
          <w:p w14:paraId="00414AD6"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82.4</w:t>
            </w:r>
          </w:p>
        </w:tc>
        <w:tc>
          <w:tcPr>
            <w:tcW w:w="715" w:type="pct"/>
            <w:tcBorders>
              <w:top w:val="nil"/>
              <w:left w:val="nil"/>
              <w:bottom w:val="nil"/>
              <w:right w:val="nil"/>
            </w:tcBorders>
          </w:tcPr>
          <w:p w14:paraId="63E0AD5C"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73.4</w:t>
            </w:r>
          </w:p>
        </w:tc>
        <w:tc>
          <w:tcPr>
            <w:tcW w:w="714" w:type="pct"/>
            <w:tcBorders>
              <w:top w:val="nil"/>
              <w:left w:val="nil"/>
              <w:bottom w:val="nil"/>
              <w:right w:val="nil"/>
            </w:tcBorders>
          </w:tcPr>
          <w:p w14:paraId="3D67966A"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48.2</w:t>
            </w:r>
          </w:p>
        </w:tc>
        <w:tc>
          <w:tcPr>
            <w:tcW w:w="714" w:type="pct"/>
            <w:tcBorders>
              <w:top w:val="nil"/>
              <w:left w:val="nil"/>
              <w:bottom w:val="nil"/>
              <w:right w:val="nil"/>
            </w:tcBorders>
          </w:tcPr>
          <w:p w14:paraId="4A022943" w14:textId="77777777" w:rsidR="00C439FA" w:rsidRDefault="00C439FA"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3.72</w:t>
            </w:r>
          </w:p>
        </w:tc>
        <w:tc>
          <w:tcPr>
            <w:tcW w:w="713" w:type="pct"/>
            <w:tcBorders>
              <w:top w:val="nil"/>
              <w:left w:val="nil"/>
              <w:bottom w:val="nil"/>
              <w:right w:val="nil"/>
            </w:tcBorders>
            <w:vAlign w:val="bottom"/>
          </w:tcPr>
          <w:p w14:paraId="4FF5D77D"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70.9</w:t>
            </w:r>
          </w:p>
        </w:tc>
        <w:tc>
          <w:tcPr>
            <w:tcW w:w="713" w:type="pct"/>
            <w:tcBorders>
              <w:top w:val="nil"/>
              <w:left w:val="nil"/>
              <w:bottom w:val="nil"/>
              <w:right w:val="nil"/>
            </w:tcBorders>
          </w:tcPr>
          <w:p w14:paraId="2558C2AF"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r w:rsidR="00C439FA" w:rsidRPr="00B1057A" w14:paraId="0B08E0E1" w14:textId="77777777" w:rsidTr="007E75DC">
        <w:tc>
          <w:tcPr>
            <w:tcW w:w="715" w:type="pct"/>
            <w:tcBorders>
              <w:top w:val="nil"/>
              <w:left w:val="nil"/>
              <w:bottom w:val="nil"/>
              <w:right w:val="nil"/>
            </w:tcBorders>
          </w:tcPr>
          <w:p w14:paraId="59FFF03A"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2035</w:t>
            </w:r>
          </w:p>
        </w:tc>
        <w:tc>
          <w:tcPr>
            <w:tcW w:w="715" w:type="pct"/>
            <w:tcBorders>
              <w:top w:val="nil"/>
              <w:left w:val="nil"/>
              <w:bottom w:val="nil"/>
              <w:right w:val="nil"/>
            </w:tcBorders>
          </w:tcPr>
          <w:p w14:paraId="4AAFBEBB"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84.1</w:t>
            </w:r>
          </w:p>
        </w:tc>
        <w:tc>
          <w:tcPr>
            <w:tcW w:w="715" w:type="pct"/>
            <w:tcBorders>
              <w:top w:val="nil"/>
              <w:left w:val="nil"/>
              <w:bottom w:val="nil"/>
              <w:right w:val="nil"/>
            </w:tcBorders>
          </w:tcPr>
          <w:p w14:paraId="5334E7B8"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75.1</w:t>
            </w:r>
          </w:p>
        </w:tc>
        <w:tc>
          <w:tcPr>
            <w:tcW w:w="714" w:type="pct"/>
            <w:tcBorders>
              <w:top w:val="nil"/>
              <w:left w:val="nil"/>
              <w:bottom w:val="nil"/>
              <w:right w:val="nil"/>
            </w:tcBorders>
          </w:tcPr>
          <w:p w14:paraId="2FAA6B3E"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49.2</w:t>
            </w:r>
          </w:p>
        </w:tc>
        <w:tc>
          <w:tcPr>
            <w:tcW w:w="714" w:type="pct"/>
            <w:tcBorders>
              <w:top w:val="nil"/>
              <w:left w:val="nil"/>
              <w:bottom w:val="nil"/>
              <w:right w:val="nil"/>
            </w:tcBorders>
          </w:tcPr>
          <w:p w14:paraId="37E0E47E" w14:textId="77777777" w:rsidR="00C439FA" w:rsidRDefault="00C439FA"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3.79</w:t>
            </w:r>
          </w:p>
        </w:tc>
        <w:tc>
          <w:tcPr>
            <w:tcW w:w="713" w:type="pct"/>
            <w:tcBorders>
              <w:top w:val="nil"/>
              <w:left w:val="nil"/>
              <w:bottom w:val="nil"/>
              <w:right w:val="nil"/>
            </w:tcBorders>
            <w:vAlign w:val="bottom"/>
          </w:tcPr>
          <w:p w14:paraId="49AA8DBD"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72.4</w:t>
            </w:r>
          </w:p>
        </w:tc>
        <w:tc>
          <w:tcPr>
            <w:tcW w:w="713" w:type="pct"/>
            <w:tcBorders>
              <w:top w:val="nil"/>
              <w:left w:val="nil"/>
              <w:bottom w:val="nil"/>
              <w:right w:val="nil"/>
            </w:tcBorders>
          </w:tcPr>
          <w:p w14:paraId="2F0C6EF1"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r w:rsidR="00C439FA" w:rsidRPr="00B1057A" w14:paraId="36EB24E5" w14:textId="77777777" w:rsidTr="007E75DC">
        <w:tc>
          <w:tcPr>
            <w:tcW w:w="715" w:type="pct"/>
            <w:tcBorders>
              <w:top w:val="nil"/>
              <w:left w:val="nil"/>
              <w:bottom w:val="nil"/>
              <w:right w:val="nil"/>
            </w:tcBorders>
          </w:tcPr>
          <w:p w14:paraId="6EA7DC98"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2036</w:t>
            </w:r>
          </w:p>
        </w:tc>
        <w:tc>
          <w:tcPr>
            <w:tcW w:w="715" w:type="pct"/>
            <w:tcBorders>
              <w:top w:val="nil"/>
              <w:left w:val="nil"/>
              <w:bottom w:val="nil"/>
              <w:right w:val="nil"/>
            </w:tcBorders>
          </w:tcPr>
          <w:p w14:paraId="38C6B0A6"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85.8</w:t>
            </w:r>
          </w:p>
        </w:tc>
        <w:tc>
          <w:tcPr>
            <w:tcW w:w="715" w:type="pct"/>
            <w:tcBorders>
              <w:top w:val="nil"/>
              <w:left w:val="nil"/>
              <w:bottom w:val="nil"/>
              <w:right w:val="nil"/>
            </w:tcBorders>
          </w:tcPr>
          <w:p w14:paraId="3973ACD8"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76.8</w:t>
            </w:r>
          </w:p>
        </w:tc>
        <w:tc>
          <w:tcPr>
            <w:tcW w:w="714" w:type="pct"/>
            <w:tcBorders>
              <w:top w:val="nil"/>
              <w:left w:val="nil"/>
              <w:bottom w:val="nil"/>
              <w:right w:val="nil"/>
            </w:tcBorders>
          </w:tcPr>
          <w:p w14:paraId="25BA9A76" w14:textId="77777777" w:rsidR="00C439FA" w:rsidRDefault="00C439FA" w:rsidP="001133C0">
            <w:pPr>
              <w:pStyle w:val="SecurityCont2"/>
              <w:keepNext/>
              <w:spacing w:after="0"/>
              <w:jc w:val="center"/>
              <w:rPr>
                <w:rFonts w:ascii="Verdana" w:hAnsi="Verdana" w:cs="Arial"/>
                <w:sz w:val="18"/>
                <w:szCs w:val="18"/>
              </w:rPr>
            </w:pPr>
            <w:r>
              <w:rPr>
                <w:rFonts w:ascii="Verdana" w:hAnsi="Verdana" w:cs="Arial"/>
                <w:sz w:val="18"/>
                <w:szCs w:val="18"/>
              </w:rPr>
              <w:t>50.1</w:t>
            </w:r>
          </w:p>
        </w:tc>
        <w:tc>
          <w:tcPr>
            <w:tcW w:w="714" w:type="pct"/>
            <w:tcBorders>
              <w:top w:val="nil"/>
              <w:left w:val="nil"/>
              <w:bottom w:val="nil"/>
              <w:right w:val="nil"/>
            </w:tcBorders>
          </w:tcPr>
          <w:p w14:paraId="02C458FE" w14:textId="77777777" w:rsidR="00C439FA" w:rsidRDefault="00C439FA" w:rsidP="001133C0">
            <w:pPr>
              <w:pStyle w:val="SecurityCont2"/>
              <w:keepNext/>
              <w:numPr>
                <w:ilvl w:val="2"/>
                <w:numId w:val="40"/>
              </w:numPr>
              <w:autoSpaceDE w:val="0"/>
              <w:autoSpaceDN w:val="0"/>
              <w:adjustRightInd w:val="0"/>
              <w:spacing w:after="0"/>
              <w:jc w:val="center"/>
              <w:outlineLvl w:val="2"/>
              <w:rPr>
                <w:rFonts w:ascii="Verdana" w:hAnsi="Verdana" w:cs="Arial"/>
                <w:sz w:val="18"/>
                <w:szCs w:val="18"/>
              </w:rPr>
            </w:pPr>
            <w:r>
              <w:rPr>
                <w:rFonts w:ascii="Verdana" w:hAnsi="Verdana" w:cs="Arial"/>
                <w:sz w:val="18"/>
                <w:szCs w:val="18"/>
              </w:rPr>
              <w:t>3.87</w:t>
            </w:r>
          </w:p>
        </w:tc>
        <w:tc>
          <w:tcPr>
            <w:tcW w:w="713" w:type="pct"/>
            <w:tcBorders>
              <w:top w:val="nil"/>
              <w:left w:val="nil"/>
              <w:bottom w:val="nil"/>
              <w:right w:val="nil"/>
            </w:tcBorders>
            <w:vAlign w:val="bottom"/>
          </w:tcPr>
          <w:p w14:paraId="4196BD9F"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73.8</w:t>
            </w:r>
          </w:p>
        </w:tc>
        <w:tc>
          <w:tcPr>
            <w:tcW w:w="713" w:type="pct"/>
            <w:tcBorders>
              <w:top w:val="nil"/>
              <w:left w:val="nil"/>
              <w:bottom w:val="nil"/>
              <w:right w:val="nil"/>
            </w:tcBorders>
          </w:tcPr>
          <w:p w14:paraId="4EF56331" w14:textId="77777777" w:rsidR="00C439FA" w:rsidRDefault="00C439FA" w:rsidP="001133C0">
            <w:pPr>
              <w:pStyle w:val="SecurityCont2"/>
              <w:keepNext/>
              <w:spacing w:after="0"/>
              <w:jc w:val="center"/>
              <w:rPr>
                <w:rFonts w:ascii="Verdana" w:hAnsi="Verdana" w:cs="Arial"/>
                <w:sz w:val="18"/>
                <w:szCs w:val="18"/>
                <w:lang w:val="en-US"/>
              </w:rPr>
            </w:pPr>
            <w:r>
              <w:rPr>
                <w:rFonts w:ascii="Verdana" w:hAnsi="Verdana" w:cs="Arial"/>
                <w:sz w:val="18"/>
                <w:szCs w:val="18"/>
                <w:lang w:val="en-US"/>
              </w:rPr>
              <w:t>2</w:t>
            </w:r>
          </w:p>
        </w:tc>
      </w:tr>
    </w:tbl>
    <w:p w14:paraId="75F333B7" w14:textId="77777777" w:rsidR="00C84F36" w:rsidRPr="007B6295" w:rsidRDefault="00C84F36" w:rsidP="00934BBA">
      <w:pPr>
        <w:pStyle w:val="BodyText"/>
        <w:keepNext/>
        <w:keepLines/>
        <w:rPr>
          <w:szCs w:val="22"/>
        </w:rPr>
      </w:pPr>
    </w:p>
    <w:p w14:paraId="0E13DB1C" w14:textId="77777777" w:rsidR="00CD4697" w:rsidRPr="007B6295" w:rsidRDefault="00CD4697" w:rsidP="008C4159">
      <w:pPr>
        <w:pStyle w:val="SecurityL8"/>
        <w:keepNext/>
        <w:numPr>
          <w:ilvl w:val="0"/>
          <w:numId w:val="0"/>
        </w:numPr>
        <w:autoSpaceDE w:val="0"/>
        <w:autoSpaceDN w:val="0"/>
        <w:adjustRightInd w:val="0"/>
        <w:spacing w:after="0"/>
        <w:rPr>
          <w:sz w:val="16"/>
          <w:szCs w:val="16"/>
        </w:rPr>
      </w:pPr>
    </w:p>
    <w:p w14:paraId="2AC97CBE" w14:textId="77777777" w:rsidR="00CD4697" w:rsidRPr="00AE4BF0" w:rsidRDefault="00CD4697" w:rsidP="00CC65A8">
      <w:pPr>
        <w:pStyle w:val="SecurityL9"/>
        <w:numPr>
          <w:ilvl w:val="8"/>
          <w:numId w:val="40"/>
        </w:numPr>
        <w:autoSpaceDE w:val="0"/>
        <w:autoSpaceDN w:val="0"/>
        <w:adjustRightInd w:val="0"/>
        <w:spacing w:after="0"/>
        <w:rPr>
          <w:rFonts w:ascii="Verdana" w:hAnsi="Verdana"/>
          <w:i w:val="0"/>
          <w:sz w:val="16"/>
          <w:szCs w:val="16"/>
        </w:rPr>
      </w:pPr>
      <w:r w:rsidRPr="00AE4BF0">
        <w:rPr>
          <w:rFonts w:ascii="Verdana" w:hAnsi="Verdana"/>
          <w:i w:val="0"/>
          <w:sz w:val="16"/>
          <w:szCs w:val="16"/>
        </w:rPr>
        <w:t xml:space="preserve">Forecast pricing for </w:t>
      </w:r>
      <w:r w:rsidR="00021BB6" w:rsidRPr="00AE4BF0">
        <w:rPr>
          <w:rFonts w:ascii="Verdana" w:hAnsi="Verdana"/>
          <w:i w:val="0"/>
          <w:sz w:val="16"/>
          <w:szCs w:val="16"/>
        </w:rPr>
        <w:t>Tierra del Fuego ("</w:t>
      </w:r>
      <w:r w:rsidRPr="00AE4BF0">
        <w:rPr>
          <w:rFonts w:ascii="Verdana" w:hAnsi="Verdana"/>
          <w:b/>
          <w:i w:val="0"/>
          <w:sz w:val="16"/>
          <w:szCs w:val="16"/>
        </w:rPr>
        <w:t>TDF</w:t>
      </w:r>
      <w:r w:rsidR="00021BB6" w:rsidRPr="00AE4BF0">
        <w:rPr>
          <w:rFonts w:ascii="Verdana" w:hAnsi="Verdana"/>
          <w:i w:val="0"/>
          <w:sz w:val="16"/>
          <w:szCs w:val="16"/>
        </w:rPr>
        <w:t>")</w:t>
      </w:r>
      <w:r w:rsidRPr="00AE4BF0">
        <w:rPr>
          <w:rFonts w:ascii="Verdana" w:hAnsi="Verdana"/>
          <w:i w:val="0"/>
          <w:sz w:val="16"/>
          <w:szCs w:val="16"/>
        </w:rPr>
        <w:t xml:space="preserve"> crude oil is based on </w:t>
      </w:r>
      <w:r w:rsidR="00A5477B" w:rsidRPr="00AE4BF0">
        <w:rPr>
          <w:rFonts w:ascii="Verdana" w:hAnsi="Verdana"/>
          <w:i w:val="0"/>
          <w:sz w:val="16"/>
          <w:szCs w:val="16"/>
        </w:rPr>
        <w:t>the</w:t>
      </w:r>
      <w:r w:rsidRPr="00AE4BF0">
        <w:rPr>
          <w:rFonts w:ascii="Verdana" w:hAnsi="Verdana"/>
          <w:i w:val="0"/>
          <w:sz w:val="16"/>
          <w:szCs w:val="16"/>
        </w:rPr>
        <w:t xml:space="preserve"> forecast Brent crude oil ben</w:t>
      </w:r>
      <w:r w:rsidR="00CC65A8" w:rsidRPr="00AE4BF0">
        <w:rPr>
          <w:rFonts w:ascii="Verdana" w:hAnsi="Verdana"/>
          <w:i w:val="0"/>
          <w:sz w:val="16"/>
          <w:szCs w:val="16"/>
        </w:rPr>
        <w:t xml:space="preserve">chmark reference </w:t>
      </w:r>
      <w:r w:rsidR="00A5477B" w:rsidRPr="00AE4BF0">
        <w:rPr>
          <w:rFonts w:ascii="Verdana" w:hAnsi="Verdana"/>
          <w:i w:val="0"/>
          <w:sz w:val="16"/>
          <w:szCs w:val="16"/>
        </w:rPr>
        <w:t xml:space="preserve">pricing published by </w:t>
      </w:r>
      <w:r w:rsidR="00D86B45" w:rsidRPr="00AE4BF0">
        <w:rPr>
          <w:rFonts w:ascii="Verdana" w:hAnsi="Verdana"/>
          <w:i w:val="0"/>
          <w:sz w:val="16"/>
          <w:szCs w:val="16"/>
        </w:rPr>
        <w:t>McDaniel</w:t>
      </w:r>
      <w:r w:rsidR="00A5477B" w:rsidRPr="00AE4BF0">
        <w:rPr>
          <w:rFonts w:ascii="Verdana" w:hAnsi="Verdana"/>
          <w:i w:val="0"/>
          <w:sz w:val="16"/>
          <w:szCs w:val="16"/>
        </w:rPr>
        <w:t xml:space="preserve">, </w:t>
      </w:r>
      <w:r w:rsidR="00CC65A8" w:rsidRPr="00AE4BF0">
        <w:rPr>
          <w:rFonts w:ascii="Verdana" w:hAnsi="Verdana"/>
          <w:i w:val="0"/>
          <w:sz w:val="16"/>
          <w:szCs w:val="16"/>
        </w:rPr>
        <w:t>less a discount of US$</w:t>
      </w:r>
      <w:r w:rsidR="00AE4BF0">
        <w:rPr>
          <w:rFonts w:ascii="Verdana" w:hAnsi="Verdana"/>
          <w:i w:val="0"/>
          <w:sz w:val="16"/>
          <w:szCs w:val="16"/>
        </w:rPr>
        <w:t>9</w:t>
      </w:r>
      <w:r w:rsidR="00CC65A8" w:rsidRPr="00AE4BF0">
        <w:rPr>
          <w:rFonts w:ascii="Verdana" w:hAnsi="Verdana"/>
          <w:i w:val="0"/>
          <w:sz w:val="16"/>
          <w:szCs w:val="16"/>
        </w:rPr>
        <w:t>.0</w:t>
      </w:r>
      <w:r w:rsidR="00A500C5" w:rsidRPr="00AE4BF0">
        <w:rPr>
          <w:rFonts w:ascii="Verdana" w:hAnsi="Verdana"/>
          <w:i w:val="0"/>
          <w:sz w:val="16"/>
          <w:szCs w:val="16"/>
        </w:rPr>
        <w:t>0</w:t>
      </w:r>
      <w:r w:rsidR="00CC65A8" w:rsidRPr="00AE4BF0">
        <w:rPr>
          <w:rFonts w:ascii="Verdana" w:hAnsi="Verdana"/>
          <w:i w:val="0"/>
          <w:sz w:val="16"/>
          <w:szCs w:val="16"/>
        </w:rPr>
        <w:t xml:space="preserve"> per bbl.</w:t>
      </w:r>
      <w:r w:rsidR="00995269" w:rsidRPr="00AE4BF0">
        <w:rPr>
          <w:rFonts w:ascii="Verdana" w:hAnsi="Verdana"/>
          <w:i w:val="0"/>
          <w:sz w:val="16"/>
          <w:szCs w:val="16"/>
        </w:rPr>
        <w:t xml:space="preserve">  </w:t>
      </w:r>
    </w:p>
    <w:p w14:paraId="0EC34803" w14:textId="77777777" w:rsidR="00CD4697" w:rsidRPr="00AE4BF0" w:rsidRDefault="00CD4697" w:rsidP="00CD4697">
      <w:pPr>
        <w:pStyle w:val="SecurityL9"/>
        <w:numPr>
          <w:ilvl w:val="8"/>
          <w:numId w:val="40"/>
        </w:numPr>
        <w:tabs>
          <w:tab w:val="num" w:pos="720"/>
        </w:tabs>
        <w:autoSpaceDE w:val="0"/>
        <w:autoSpaceDN w:val="0"/>
        <w:adjustRightInd w:val="0"/>
        <w:spacing w:after="0"/>
        <w:rPr>
          <w:rFonts w:ascii="Verdana" w:hAnsi="Verdana"/>
          <w:i w:val="0"/>
          <w:sz w:val="16"/>
          <w:szCs w:val="16"/>
        </w:rPr>
      </w:pPr>
      <w:r w:rsidRPr="00AE4BF0">
        <w:rPr>
          <w:rFonts w:ascii="Verdana" w:hAnsi="Verdana"/>
          <w:i w:val="0"/>
          <w:sz w:val="16"/>
          <w:szCs w:val="16"/>
        </w:rPr>
        <w:t xml:space="preserve">Natural gas production from the TDF </w:t>
      </w:r>
      <w:r w:rsidR="00D9394E" w:rsidRPr="00AE4BF0">
        <w:rPr>
          <w:rFonts w:ascii="Verdana" w:hAnsi="Verdana"/>
          <w:i w:val="0"/>
          <w:sz w:val="16"/>
          <w:szCs w:val="16"/>
        </w:rPr>
        <w:t>c</w:t>
      </w:r>
      <w:r w:rsidRPr="00AE4BF0">
        <w:rPr>
          <w:rFonts w:ascii="Verdana" w:hAnsi="Verdana"/>
          <w:i w:val="0"/>
          <w:sz w:val="16"/>
          <w:szCs w:val="16"/>
        </w:rPr>
        <w:t>oncessions is sold to consumers in TDF as well as to mainland Argentina, all of which receive different prices as set by sales agreements from time to time. These forecast prices represent a blend of such prices.</w:t>
      </w:r>
    </w:p>
    <w:p w14:paraId="74AE5D66" w14:textId="77777777" w:rsidR="00CD4697" w:rsidRPr="00AE4BF0" w:rsidRDefault="00CD4697" w:rsidP="00CD4697">
      <w:pPr>
        <w:pStyle w:val="SecurityL9"/>
        <w:numPr>
          <w:ilvl w:val="8"/>
          <w:numId w:val="40"/>
        </w:numPr>
        <w:tabs>
          <w:tab w:val="num" w:pos="720"/>
        </w:tabs>
        <w:autoSpaceDE w:val="0"/>
        <w:autoSpaceDN w:val="0"/>
        <w:adjustRightInd w:val="0"/>
        <w:spacing w:after="0"/>
        <w:rPr>
          <w:rFonts w:ascii="Verdana" w:hAnsi="Verdana"/>
          <w:sz w:val="16"/>
          <w:szCs w:val="16"/>
        </w:rPr>
      </w:pPr>
      <w:r w:rsidRPr="00AE4BF0">
        <w:rPr>
          <w:rFonts w:ascii="Verdana" w:hAnsi="Verdana"/>
          <w:i w:val="0"/>
          <w:sz w:val="16"/>
          <w:szCs w:val="16"/>
        </w:rPr>
        <w:t>Inflation rates used for forecasting costs.</w:t>
      </w:r>
    </w:p>
    <w:p w14:paraId="604208BD" w14:textId="77777777" w:rsidR="00A12C92" w:rsidRPr="00AE4BF0" w:rsidRDefault="00A12C92" w:rsidP="00CD4697">
      <w:pPr>
        <w:pStyle w:val="SecurityL9"/>
        <w:numPr>
          <w:ilvl w:val="8"/>
          <w:numId w:val="40"/>
        </w:numPr>
        <w:tabs>
          <w:tab w:val="num" w:pos="720"/>
        </w:tabs>
        <w:autoSpaceDE w:val="0"/>
        <w:autoSpaceDN w:val="0"/>
        <w:adjustRightInd w:val="0"/>
        <w:spacing w:after="0"/>
        <w:rPr>
          <w:rFonts w:ascii="Verdana" w:hAnsi="Verdana"/>
          <w:sz w:val="16"/>
          <w:szCs w:val="16"/>
        </w:rPr>
      </w:pPr>
      <w:r w:rsidRPr="00AE4BF0">
        <w:rPr>
          <w:rFonts w:ascii="Verdana" w:hAnsi="Verdana"/>
          <w:i w:val="0"/>
          <w:sz w:val="16"/>
          <w:szCs w:val="16"/>
        </w:rPr>
        <w:t>The TDF concessions expire in August 2026 unless extended by agreement with the Province of Tierra del Fuego</w:t>
      </w:r>
      <w:r w:rsidR="00C70175" w:rsidRPr="00AE4BF0">
        <w:rPr>
          <w:rFonts w:ascii="Verdana" w:hAnsi="Verdana"/>
          <w:i w:val="0"/>
          <w:sz w:val="16"/>
          <w:szCs w:val="16"/>
        </w:rPr>
        <w:t>.</w:t>
      </w:r>
    </w:p>
    <w:p w14:paraId="60563012" w14:textId="77777777" w:rsidR="00AE4BF0" w:rsidRPr="00AE4BF0" w:rsidRDefault="00AE4BF0" w:rsidP="00CD4697">
      <w:pPr>
        <w:pStyle w:val="SecurityL9"/>
        <w:numPr>
          <w:ilvl w:val="8"/>
          <w:numId w:val="40"/>
        </w:numPr>
        <w:tabs>
          <w:tab w:val="num" w:pos="720"/>
        </w:tabs>
        <w:autoSpaceDE w:val="0"/>
        <w:autoSpaceDN w:val="0"/>
        <w:adjustRightInd w:val="0"/>
        <w:spacing w:after="0"/>
        <w:rPr>
          <w:rFonts w:ascii="Verdana" w:hAnsi="Verdana"/>
          <w:sz w:val="16"/>
          <w:szCs w:val="16"/>
        </w:rPr>
      </w:pPr>
      <w:r>
        <w:rPr>
          <w:rFonts w:ascii="Verdana" w:hAnsi="Verdana"/>
          <w:i w:val="0"/>
          <w:sz w:val="16"/>
          <w:szCs w:val="16"/>
        </w:rPr>
        <w:t>Forecast pricing for Chañares Herrados (“</w:t>
      </w:r>
      <w:r w:rsidRPr="00CA3FA0">
        <w:rPr>
          <w:rFonts w:ascii="Verdana" w:hAnsi="Verdana"/>
          <w:b/>
          <w:i w:val="0"/>
          <w:sz w:val="16"/>
          <w:szCs w:val="16"/>
        </w:rPr>
        <w:t>CH</w:t>
      </w:r>
      <w:r>
        <w:rPr>
          <w:rFonts w:ascii="Verdana" w:hAnsi="Verdana"/>
          <w:i w:val="0"/>
          <w:sz w:val="16"/>
          <w:szCs w:val="16"/>
        </w:rPr>
        <w:t xml:space="preserve">”) </w:t>
      </w:r>
      <w:r w:rsidR="00CA3FA0">
        <w:rPr>
          <w:rFonts w:ascii="Verdana" w:hAnsi="Verdana"/>
          <w:i w:val="0"/>
          <w:sz w:val="16"/>
          <w:szCs w:val="16"/>
        </w:rPr>
        <w:t xml:space="preserve">crude oil </w:t>
      </w:r>
      <w:r>
        <w:rPr>
          <w:rFonts w:ascii="Verdana" w:hAnsi="Verdana"/>
          <w:i w:val="0"/>
          <w:sz w:val="16"/>
          <w:szCs w:val="16"/>
        </w:rPr>
        <w:t xml:space="preserve">is based on the </w:t>
      </w:r>
      <w:r w:rsidR="00CA3FA0">
        <w:rPr>
          <w:rFonts w:ascii="Verdana" w:hAnsi="Verdana"/>
          <w:i w:val="0"/>
          <w:sz w:val="16"/>
          <w:szCs w:val="16"/>
        </w:rPr>
        <w:t xml:space="preserve">average realized </w:t>
      </w:r>
      <w:r>
        <w:rPr>
          <w:rFonts w:ascii="Verdana" w:hAnsi="Verdana"/>
          <w:i w:val="0"/>
          <w:sz w:val="16"/>
          <w:szCs w:val="16"/>
        </w:rPr>
        <w:t>domestic sales price in Q4 2021 escalated at 2% per year thereafter.</w:t>
      </w:r>
    </w:p>
    <w:p w14:paraId="657F1494" w14:textId="77777777" w:rsidR="00300A6A" w:rsidRPr="00120232" w:rsidRDefault="00300A6A" w:rsidP="00CC5A37">
      <w:pPr>
        <w:widowControl w:val="0"/>
        <w:spacing w:before="240"/>
        <w:jc w:val="both"/>
        <w:rPr>
          <w:sz w:val="20"/>
          <w:szCs w:val="20"/>
        </w:rPr>
      </w:pPr>
      <w:r w:rsidRPr="00120232">
        <w:rPr>
          <w:sz w:val="20"/>
          <w:szCs w:val="20"/>
          <w:lang w:val="en-CA"/>
        </w:rPr>
        <w:t xml:space="preserve">Further details of the </w:t>
      </w:r>
      <w:r w:rsidR="0074582F" w:rsidRPr="00120232">
        <w:rPr>
          <w:sz w:val="20"/>
          <w:szCs w:val="20"/>
          <w:lang w:val="en-CA"/>
        </w:rPr>
        <w:t xml:space="preserve">evaluation </w:t>
      </w:r>
      <w:r w:rsidRPr="00120232">
        <w:rPr>
          <w:sz w:val="20"/>
          <w:szCs w:val="20"/>
          <w:lang w:val="en-CA"/>
        </w:rPr>
        <w:t xml:space="preserve">of the Company’s reserves as at December 31, </w:t>
      </w:r>
      <w:r w:rsidR="0074582F" w:rsidRPr="00120232">
        <w:rPr>
          <w:sz w:val="20"/>
          <w:szCs w:val="20"/>
          <w:lang w:val="en-CA"/>
        </w:rPr>
        <w:t>202</w:t>
      </w:r>
      <w:r w:rsidR="00396201">
        <w:rPr>
          <w:sz w:val="20"/>
          <w:szCs w:val="20"/>
          <w:lang w:val="en-CA"/>
        </w:rPr>
        <w:t>1</w:t>
      </w:r>
      <w:r w:rsidR="0074582F" w:rsidRPr="00120232">
        <w:rPr>
          <w:sz w:val="20"/>
          <w:szCs w:val="20"/>
          <w:lang w:val="en-CA"/>
        </w:rPr>
        <w:t xml:space="preserve"> </w:t>
      </w:r>
      <w:r w:rsidR="005020B1" w:rsidRPr="00120232">
        <w:rPr>
          <w:sz w:val="20"/>
          <w:szCs w:val="20"/>
          <w:lang w:val="en-CA"/>
        </w:rPr>
        <w:t>will be</w:t>
      </w:r>
      <w:r w:rsidRPr="00120232">
        <w:rPr>
          <w:sz w:val="20"/>
          <w:szCs w:val="20"/>
          <w:lang w:val="en-CA"/>
        </w:rPr>
        <w:t xml:space="preserve"> contained in the Company’s NI 51-101 filings for the year ended December 31, </w:t>
      </w:r>
      <w:r w:rsidR="0074582F" w:rsidRPr="00120232">
        <w:rPr>
          <w:sz w:val="20"/>
          <w:szCs w:val="20"/>
          <w:lang w:val="en-CA"/>
        </w:rPr>
        <w:t>202</w:t>
      </w:r>
      <w:r w:rsidR="00396201">
        <w:rPr>
          <w:sz w:val="20"/>
          <w:szCs w:val="20"/>
          <w:lang w:val="en-CA"/>
        </w:rPr>
        <w:t>1</w:t>
      </w:r>
      <w:r w:rsidR="009C0E26" w:rsidRPr="00120232">
        <w:rPr>
          <w:sz w:val="20"/>
          <w:szCs w:val="20"/>
          <w:lang w:val="en-CA"/>
        </w:rPr>
        <w:t>,</w:t>
      </w:r>
      <w:r w:rsidR="005702A7" w:rsidRPr="00120232">
        <w:rPr>
          <w:sz w:val="20"/>
          <w:szCs w:val="20"/>
          <w:lang w:val="en-CA"/>
        </w:rPr>
        <w:t xml:space="preserve"> </w:t>
      </w:r>
      <w:r w:rsidRPr="00120232">
        <w:rPr>
          <w:sz w:val="20"/>
          <w:szCs w:val="20"/>
          <w:lang w:val="en-CA"/>
        </w:rPr>
        <w:t xml:space="preserve">which will be filed with Canadian securities regulatory authorities </w:t>
      </w:r>
      <w:r w:rsidR="00CB0739" w:rsidRPr="00120232">
        <w:rPr>
          <w:sz w:val="20"/>
          <w:szCs w:val="20"/>
          <w:lang w:val="en-CA"/>
        </w:rPr>
        <w:t xml:space="preserve">in due course </w:t>
      </w:r>
      <w:r w:rsidRPr="00120232">
        <w:rPr>
          <w:sz w:val="20"/>
          <w:szCs w:val="20"/>
          <w:lang w:val="en-CA"/>
        </w:rPr>
        <w:t>and will be made available under the Company’s profile at</w:t>
      </w:r>
      <w:r w:rsidRPr="00120232">
        <w:rPr>
          <w:color w:val="FF0000"/>
          <w:sz w:val="20"/>
          <w:szCs w:val="20"/>
          <w:lang w:val="en-CA"/>
        </w:rPr>
        <w:t xml:space="preserve"> </w:t>
      </w:r>
      <w:hyperlink r:id="rId11" w:history="1">
        <w:r w:rsidRPr="00120232">
          <w:rPr>
            <w:color w:val="0000FF"/>
            <w:sz w:val="20"/>
            <w:szCs w:val="20"/>
            <w:u w:val="single"/>
            <w:lang w:val="en-CA"/>
          </w:rPr>
          <w:t>www.sedar.com</w:t>
        </w:r>
      </w:hyperlink>
      <w:r w:rsidRPr="00120232">
        <w:rPr>
          <w:color w:val="FF0000"/>
          <w:sz w:val="20"/>
          <w:szCs w:val="20"/>
          <w:lang w:val="en-CA"/>
        </w:rPr>
        <w:t xml:space="preserve"> </w:t>
      </w:r>
      <w:r w:rsidRPr="00120232">
        <w:rPr>
          <w:sz w:val="20"/>
          <w:szCs w:val="20"/>
          <w:lang w:val="en-CA"/>
        </w:rPr>
        <w:t xml:space="preserve">and on the Company’s website at </w:t>
      </w:r>
      <w:hyperlink r:id="rId12" w:history="1">
        <w:r w:rsidRPr="00120232">
          <w:rPr>
            <w:color w:val="0000FF"/>
            <w:sz w:val="20"/>
            <w:szCs w:val="20"/>
            <w:u w:val="single"/>
          </w:rPr>
          <w:t>www.crownpointenergy.com</w:t>
        </w:r>
      </w:hyperlink>
      <w:r w:rsidR="00BF11EB" w:rsidRPr="00120232">
        <w:rPr>
          <w:sz w:val="20"/>
          <w:szCs w:val="20"/>
        </w:rPr>
        <w:t>.</w:t>
      </w:r>
    </w:p>
    <w:p w14:paraId="57455D23" w14:textId="77777777" w:rsidR="00300A6A" w:rsidRPr="00120232" w:rsidRDefault="00300A6A" w:rsidP="00C35452">
      <w:pPr>
        <w:tabs>
          <w:tab w:val="left" w:pos="1440"/>
        </w:tabs>
        <w:spacing w:before="120" w:line="240" w:lineRule="atLeast"/>
        <w:jc w:val="both"/>
        <w:rPr>
          <w:sz w:val="20"/>
          <w:szCs w:val="20"/>
        </w:rPr>
      </w:pPr>
    </w:p>
    <w:p w14:paraId="1B12ECB9" w14:textId="77777777" w:rsidR="00997CEA" w:rsidRPr="00120232" w:rsidRDefault="00997CEA" w:rsidP="00997CEA">
      <w:pPr>
        <w:rPr>
          <w:sz w:val="20"/>
          <w:szCs w:val="20"/>
        </w:rPr>
      </w:pPr>
      <w:r w:rsidRPr="00120232">
        <w:rPr>
          <w:sz w:val="20"/>
          <w:szCs w:val="20"/>
        </w:rPr>
        <w:t>For inquiries please contact</w:t>
      </w:r>
      <w:r w:rsidR="00F87807" w:rsidRPr="00120232">
        <w:rPr>
          <w:sz w:val="20"/>
          <w:szCs w:val="20"/>
        </w:rPr>
        <w:t>:</w:t>
      </w:r>
    </w:p>
    <w:p w14:paraId="401022FD" w14:textId="77777777" w:rsidR="00997CEA" w:rsidRPr="00120232" w:rsidRDefault="00997CEA" w:rsidP="00997CEA">
      <w:pPr>
        <w:rPr>
          <w:sz w:val="20"/>
          <w:szCs w:val="20"/>
        </w:rPr>
      </w:pPr>
    </w:p>
    <w:p w14:paraId="461B1D13" w14:textId="77777777" w:rsidR="00997CEA" w:rsidRPr="00120232" w:rsidRDefault="00CA3FA0" w:rsidP="00997CEA">
      <w:pPr>
        <w:outlineLvl w:val="0"/>
        <w:rPr>
          <w:sz w:val="20"/>
          <w:szCs w:val="20"/>
        </w:rPr>
      </w:pPr>
      <w:r>
        <w:rPr>
          <w:sz w:val="20"/>
          <w:szCs w:val="20"/>
        </w:rPr>
        <w:t>Brian Moss</w:t>
      </w:r>
      <w:r>
        <w:rPr>
          <w:sz w:val="20"/>
          <w:szCs w:val="20"/>
        </w:rPr>
        <w:tab/>
      </w:r>
      <w:r w:rsidR="000B260D" w:rsidRPr="00120232">
        <w:rPr>
          <w:sz w:val="20"/>
          <w:szCs w:val="20"/>
        </w:rPr>
        <w:tab/>
      </w:r>
      <w:r w:rsidR="00997CEA" w:rsidRPr="00120232">
        <w:rPr>
          <w:sz w:val="20"/>
          <w:szCs w:val="20"/>
        </w:rPr>
        <w:t xml:space="preserve"> </w:t>
      </w:r>
      <w:r w:rsidR="00997CEA" w:rsidRPr="00120232">
        <w:rPr>
          <w:sz w:val="20"/>
          <w:szCs w:val="20"/>
        </w:rPr>
        <w:tab/>
      </w:r>
      <w:r w:rsidR="00997CEA" w:rsidRPr="00120232">
        <w:rPr>
          <w:sz w:val="20"/>
          <w:szCs w:val="20"/>
        </w:rPr>
        <w:tab/>
      </w:r>
      <w:r w:rsidR="00997CEA" w:rsidRPr="00120232">
        <w:rPr>
          <w:sz w:val="20"/>
          <w:szCs w:val="20"/>
        </w:rPr>
        <w:tab/>
      </w:r>
      <w:r w:rsidR="00997CEA" w:rsidRPr="00120232">
        <w:rPr>
          <w:sz w:val="20"/>
          <w:szCs w:val="20"/>
        </w:rPr>
        <w:tab/>
      </w:r>
      <w:r w:rsidR="003E78A4" w:rsidRPr="00120232">
        <w:rPr>
          <w:sz w:val="20"/>
          <w:szCs w:val="20"/>
        </w:rPr>
        <w:t>Marisa Tormakh</w:t>
      </w:r>
    </w:p>
    <w:p w14:paraId="19374197" w14:textId="77777777" w:rsidR="00997CEA" w:rsidRPr="00120232" w:rsidRDefault="00997CEA" w:rsidP="00997CEA">
      <w:pPr>
        <w:outlineLvl w:val="0"/>
        <w:rPr>
          <w:sz w:val="20"/>
          <w:szCs w:val="20"/>
        </w:rPr>
      </w:pPr>
      <w:r w:rsidRPr="00120232">
        <w:rPr>
          <w:sz w:val="20"/>
          <w:szCs w:val="20"/>
        </w:rPr>
        <w:t>President &amp; CEO</w:t>
      </w:r>
      <w:r w:rsidRPr="00120232">
        <w:rPr>
          <w:sz w:val="20"/>
          <w:szCs w:val="20"/>
        </w:rPr>
        <w:tab/>
      </w:r>
      <w:r w:rsidRPr="00120232">
        <w:rPr>
          <w:sz w:val="20"/>
          <w:szCs w:val="20"/>
        </w:rPr>
        <w:tab/>
      </w:r>
      <w:r w:rsidRPr="00120232">
        <w:rPr>
          <w:sz w:val="20"/>
          <w:szCs w:val="20"/>
        </w:rPr>
        <w:tab/>
      </w:r>
      <w:r w:rsidRPr="00120232">
        <w:rPr>
          <w:sz w:val="20"/>
          <w:szCs w:val="20"/>
        </w:rPr>
        <w:tab/>
      </w:r>
      <w:r w:rsidR="00BD6877">
        <w:rPr>
          <w:sz w:val="20"/>
          <w:szCs w:val="20"/>
        </w:rPr>
        <w:t xml:space="preserve">          </w:t>
      </w:r>
      <w:r w:rsidRPr="00120232">
        <w:rPr>
          <w:sz w:val="20"/>
          <w:szCs w:val="20"/>
        </w:rPr>
        <w:t>Vice-President</w:t>
      </w:r>
      <w:r w:rsidR="000A1C47" w:rsidRPr="00120232">
        <w:rPr>
          <w:sz w:val="20"/>
          <w:szCs w:val="20"/>
        </w:rPr>
        <w:t>, Finance</w:t>
      </w:r>
      <w:r w:rsidRPr="00120232">
        <w:rPr>
          <w:sz w:val="20"/>
          <w:szCs w:val="20"/>
        </w:rPr>
        <w:t xml:space="preserve"> &amp; CFO</w:t>
      </w:r>
    </w:p>
    <w:p w14:paraId="77DBEF9B" w14:textId="77777777" w:rsidR="00997CEA" w:rsidRPr="00120232" w:rsidRDefault="00997CEA" w:rsidP="00997CEA">
      <w:pPr>
        <w:rPr>
          <w:sz w:val="20"/>
          <w:szCs w:val="20"/>
        </w:rPr>
      </w:pPr>
      <w:r w:rsidRPr="00120232">
        <w:rPr>
          <w:sz w:val="20"/>
          <w:szCs w:val="20"/>
        </w:rPr>
        <w:t>Ph: (403) 232-1150</w:t>
      </w:r>
      <w:r w:rsidRPr="00120232">
        <w:rPr>
          <w:sz w:val="20"/>
          <w:szCs w:val="20"/>
        </w:rPr>
        <w:tab/>
      </w:r>
      <w:r w:rsidRPr="00120232">
        <w:rPr>
          <w:sz w:val="20"/>
          <w:szCs w:val="20"/>
        </w:rPr>
        <w:tab/>
      </w:r>
      <w:r w:rsidRPr="00120232">
        <w:rPr>
          <w:sz w:val="20"/>
          <w:szCs w:val="20"/>
        </w:rPr>
        <w:tab/>
      </w:r>
      <w:r w:rsidRPr="00120232">
        <w:rPr>
          <w:sz w:val="20"/>
          <w:szCs w:val="20"/>
        </w:rPr>
        <w:tab/>
      </w:r>
      <w:r w:rsidR="00BD6877">
        <w:rPr>
          <w:sz w:val="20"/>
          <w:szCs w:val="20"/>
        </w:rPr>
        <w:t xml:space="preserve">          </w:t>
      </w:r>
      <w:r w:rsidRPr="00120232">
        <w:rPr>
          <w:sz w:val="20"/>
          <w:szCs w:val="20"/>
        </w:rPr>
        <w:t>Ph: (403) 232-1150</w:t>
      </w:r>
    </w:p>
    <w:p w14:paraId="4B83FE86" w14:textId="77777777" w:rsidR="00997CEA" w:rsidRPr="00120232" w:rsidRDefault="00997CEA" w:rsidP="00997CEA">
      <w:pPr>
        <w:rPr>
          <w:sz w:val="20"/>
          <w:szCs w:val="20"/>
        </w:rPr>
      </w:pPr>
      <w:r w:rsidRPr="00120232">
        <w:rPr>
          <w:sz w:val="20"/>
          <w:szCs w:val="20"/>
        </w:rPr>
        <w:t xml:space="preserve">Crown Point </w:t>
      </w:r>
      <w:r w:rsidR="001A4EF4" w:rsidRPr="00120232">
        <w:rPr>
          <w:sz w:val="20"/>
          <w:szCs w:val="20"/>
        </w:rPr>
        <w:t>Energy Inc</w:t>
      </w:r>
      <w:r w:rsidRPr="00120232">
        <w:rPr>
          <w:sz w:val="20"/>
          <w:szCs w:val="20"/>
        </w:rPr>
        <w:t>.</w:t>
      </w:r>
      <w:r w:rsidRPr="00120232">
        <w:rPr>
          <w:sz w:val="20"/>
          <w:szCs w:val="20"/>
        </w:rPr>
        <w:tab/>
      </w:r>
      <w:r w:rsidRPr="00120232">
        <w:rPr>
          <w:sz w:val="20"/>
          <w:szCs w:val="20"/>
        </w:rPr>
        <w:tab/>
      </w:r>
      <w:r w:rsidRPr="00120232">
        <w:rPr>
          <w:sz w:val="20"/>
          <w:szCs w:val="20"/>
        </w:rPr>
        <w:tab/>
      </w:r>
      <w:r w:rsidR="00EF06DB" w:rsidRPr="00120232">
        <w:rPr>
          <w:sz w:val="20"/>
          <w:szCs w:val="20"/>
        </w:rPr>
        <w:tab/>
      </w:r>
      <w:r w:rsidRPr="00120232">
        <w:rPr>
          <w:sz w:val="20"/>
          <w:szCs w:val="20"/>
        </w:rPr>
        <w:t xml:space="preserve">Crown Point </w:t>
      </w:r>
      <w:r w:rsidR="001A4EF4" w:rsidRPr="00120232">
        <w:rPr>
          <w:sz w:val="20"/>
          <w:szCs w:val="20"/>
        </w:rPr>
        <w:t>Energy Inc</w:t>
      </w:r>
      <w:r w:rsidRPr="00120232">
        <w:rPr>
          <w:sz w:val="20"/>
          <w:szCs w:val="20"/>
        </w:rPr>
        <w:t>.</w:t>
      </w:r>
    </w:p>
    <w:p w14:paraId="21C84634" w14:textId="77777777" w:rsidR="00997CEA" w:rsidRPr="00120232" w:rsidRDefault="006B4796" w:rsidP="00997CEA">
      <w:pPr>
        <w:rPr>
          <w:sz w:val="20"/>
          <w:szCs w:val="20"/>
        </w:rPr>
      </w:pPr>
      <w:hyperlink r:id="rId13" w:history="1">
        <w:r w:rsidR="00A0701B">
          <w:rPr>
            <w:rStyle w:val="Hyperlink"/>
            <w:sz w:val="20"/>
            <w:szCs w:val="20"/>
          </w:rPr>
          <w:t>bmoss</w:t>
        </w:r>
        <w:r w:rsidR="00A0701B" w:rsidRPr="00120232">
          <w:rPr>
            <w:rStyle w:val="Hyperlink"/>
            <w:sz w:val="20"/>
            <w:szCs w:val="20"/>
          </w:rPr>
          <w:t>@crownpointenergy.com</w:t>
        </w:r>
      </w:hyperlink>
      <w:r w:rsidR="00997CEA" w:rsidRPr="00120232">
        <w:rPr>
          <w:sz w:val="20"/>
          <w:szCs w:val="20"/>
        </w:rPr>
        <w:tab/>
      </w:r>
      <w:r w:rsidR="00997CEA" w:rsidRPr="00120232">
        <w:rPr>
          <w:sz w:val="20"/>
          <w:szCs w:val="20"/>
        </w:rPr>
        <w:tab/>
      </w:r>
      <w:r w:rsidR="000B260D" w:rsidRPr="00120232">
        <w:rPr>
          <w:sz w:val="20"/>
          <w:szCs w:val="20"/>
        </w:rPr>
        <w:tab/>
      </w:r>
      <w:hyperlink r:id="rId14" w:history="1">
        <w:r w:rsidR="003E78A4" w:rsidRPr="00120232">
          <w:rPr>
            <w:rStyle w:val="Hyperlink"/>
            <w:sz w:val="20"/>
            <w:szCs w:val="20"/>
          </w:rPr>
          <w:t>mtormakh@crownpointenergy.com</w:t>
        </w:r>
      </w:hyperlink>
      <w:r w:rsidR="00997CEA" w:rsidRPr="00120232">
        <w:rPr>
          <w:sz w:val="20"/>
          <w:szCs w:val="20"/>
        </w:rPr>
        <w:t xml:space="preserve"> </w:t>
      </w:r>
    </w:p>
    <w:p w14:paraId="1B3A0578" w14:textId="77777777" w:rsidR="00A36152" w:rsidRPr="007B6295" w:rsidRDefault="00A36152" w:rsidP="00997CEA">
      <w:pPr>
        <w:rPr>
          <w:rFonts w:ascii="Times New Roman" w:hAnsi="Times New Roman"/>
          <w:sz w:val="20"/>
          <w:szCs w:val="20"/>
        </w:rPr>
      </w:pPr>
    </w:p>
    <w:p w14:paraId="1BF09880" w14:textId="77777777" w:rsidR="00997CEA" w:rsidRPr="007B6295" w:rsidRDefault="00997CEA" w:rsidP="00997CEA">
      <w:pPr>
        <w:rPr>
          <w:rFonts w:ascii="Times New Roman" w:hAnsi="Times New Roman"/>
          <w:sz w:val="20"/>
          <w:szCs w:val="20"/>
        </w:rPr>
      </w:pPr>
    </w:p>
    <w:p w14:paraId="78171A0C" w14:textId="77777777" w:rsidR="00997CEA" w:rsidRPr="00120232" w:rsidRDefault="00193809" w:rsidP="00FF4E54">
      <w:pPr>
        <w:keepNext/>
        <w:keepLines/>
        <w:rPr>
          <w:b/>
          <w:i/>
          <w:sz w:val="20"/>
          <w:szCs w:val="20"/>
        </w:rPr>
      </w:pPr>
      <w:r w:rsidRPr="00120232">
        <w:rPr>
          <w:b/>
          <w:i/>
          <w:sz w:val="20"/>
          <w:szCs w:val="20"/>
        </w:rPr>
        <w:lastRenderedPageBreak/>
        <w:t>About Crown Point</w:t>
      </w:r>
    </w:p>
    <w:p w14:paraId="294F3D5D" w14:textId="77777777" w:rsidR="001757BE" w:rsidRPr="00120232" w:rsidRDefault="001757BE" w:rsidP="001757BE">
      <w:pPr>
        <w:rPr>
          <w:b/>
          <w:i/>
          <w:sz w:val="20"/>
          <w:szCs w:val="20"/>
        </w:rPr>
      </w:pPr>
    </w:p>
    <w:p w14:paraId="5FF1EE20" w14:textId="77777777" w:rsidR="00843B59" w:rsidRPr="00120232" w:rsidRDefault="00843B59" w:rsidP="00843B59">
      <w:pPr>
        <w:pStyle w:val="MICONHEADER1"/>
        <w:widowControl w:val="0"/>
        <w:spacing w:line="240" w:lineRule="atLeast"/>
        <w:ind w:left="0"/>
        <w:rPr>
          <w:rFonts w:ascii="Verdana" w:hAnsi="Verdana"/>
          <w:b w:val="0"/>
          <w:bCs/>
          <w:caps w:val="0"/>
          <w:sz w:val="20"/>
          <w:szCs w:val="20"/>
        </w:rPr>
      </w:pPr>
      <w:r w:rsidRPr="00120232">
        <w:rPr>
          <w:rFonts w:ascii="Verdana" w:hAnsi="Verdana"/>
          <w:b w:val="0"/>
          <w:bCs/>
          <w:caps w:val="0"/>
          <w:sz w:val="20"/>
          <w:szCs w:val="20"/>
        </w:rPr>
        <w:t xml:space="preserve">Crown Point Energy Inc. is an international oil and gas exploration and development company headquartered in Calgary, Canada, incorporated in Canada, trading on the TSX Venture Exchange and </w:t>
      </w:r>
      <w:r w:rsidR="00CE1D64" w:rsidRPr="00120232">
        <w:rPr>
          <w:rFonts w:ascii="Verdana" w:hAnsi="Verdana"/>
          <w:b w:val="0"/>
          <w:bCs/>
          <w:caps w:val="0"/>
          <w:sz w:val="20"/>
          <w:szCs w:val="20"/>
        </w:rPr>
        <w:t>with operations in Argentina</w:t>
      </w:r>
      <w:r w:rsidRPr="00120232">
        <w:rPr>
          <w:rFonts w:ascii="Verdana" w:hAnsi="Verdana"/>
          <w:b w:val="0"/>
          <w:bCs/>
          <w:caps w:val="0"/>
          <w:sz w:val="20"/>
          <w:szCs w:val="20"/>
        </w:rPr>
        <w:t>.</w:t>
      </w:r>
      <w:r w:rsidRPr="00A0701B">
        <w:rPr>
          <w:rFonts w:ascii="Verdana" w:hAnsi="Verdana"/>
          <w:b w:val="0"/>
          <w:bCs/>
          <w:caps w:val="0"/>
          <w:sz w:val="20"/>
          <w:szCs w:val="20"/>
        </w:rPr>
        <w:t xml:space="preserve"> </w:t>
      </w:r>
      <w:r w:rsidR="00A0701B" w:rsidRPr="00A0701B">
        <w:rPr>
          <w:rFonts w:ascii="Verdana" w:hAnsi="Verdana"/>
          <w:b w:val="0"/>
          <w:caps w:val="0"/>
          <w:sz w:val="20"/>
          <w:szCs w:val="20"/>
        </w:rPr>
        <w:t>Crown Point</w:t>
      </w:r>
      <w:r w:rsidR="00A0701B">
        <w:rPr>
          <w:rFonts w:ascii="Verdana" w:hAnsi="Verdana"/>
          <w:b w:val="0"/>
          <w:caps w:val="0"/>
          <w:sz w:val="20"/>
          <w:szCs w:val="20"/>
        </w:rPr>
        <w:t>'</w:t>
      </w:r>
      <w:r w:rsidR="00A0701B" w:rsidRPr="00A0701B">
        <w:rPr>
          <w:rFonts w:ascii="Verdana" w:hAnsi="Verdana"/>
          <w:b w:val="0"/>
          <w:caps w:val="0"/>
          <w:sz w:val="20"/>
          <w:szCs w:val="20"/>
        </w:rPr>
        <w:t>s exploration and development activities are focused in three producing basins in Argentina, the Austral basin in the province of Tierra del Fuego, and the Neuquén and Cuyo basins in the province of Mendoza.</w:t>
      </w:r>
      <w:r w:rsidR="00A0701B" w:rsidRPr="00A0701B">
        <w:rPr>
          <w:rFonts w:ascii="Verdana" w:hAnsi="Verdana"/>
          <w:b w:val="0"/>
          <w:sz w:val="20"/>
          <w:szCs w:val="20"/>
        </w:rPr>
        <w:t xml:space="preserve"> </w:t>
      </w:r>
      <w:r w:rsidRPr="00120232">
        <w:rPr>
          <w:rFonts w:ascii="Verdana" w:hAnsi="Verdana"/>
          <w:b w:val="0"/>
          <w:bCs/>
          <w:caps w:val="0"/>
          <w:sz w:val="20"/>
          <w:szCs w:val="20"/>
        </w:rPr>
        <w:t>Crown Point has a strategy that focuses on establishing a portfolio of producing properties, plus production enhancement and exploration opportunities to provide a basis for future growth.</w:t>
      </w:r>
    </w:p>
    <w:p w14:paraId="5F493D8E" w14:textId="77777777" w:rsidR="001757BE" w:rsidRPr="00120232" w:rsidRDefault="001757BE" w:rsidP="001757BE">
      <w:pPr>
        <w:pStyle w:val="MICONHEADER1"/>
        <w:widowControl w:val="0"/>
        <w:spacing w:line="240" w:lineRule="atLeast"/>
        <w:ind w:left="0"/>
        <w:rPr>
          <w:rFonts w:ascii="Verdana" w:hAnsi="Verdana"/>
          <w:b w:val="0"/>
          <w:bCs/>
          <w:caps w:val="0"/>
          <w:sz w:val="22"/>
          <w:szCs w:val="22"/>
        </w:rPr>
      </w:pPr>
    </w:p>
    <w:p w14:paraId="17CB5B10" w14:textId="77777777" w:rsidR="001757BE" w:rsidRPr="00120232" w:rsidRDefault="00CD3E93" w:rsidP="00CE1D64">
      <w:pPr>
        <w:keepNext/>
        <w:jc w:val="both"/>
        <w:rPr>
          <w:b/>
          <w:bCs/>
          <w:i/>
          <w:iCs/>
          <w:sz w:val="16"/>
          <w:szCs w:val="16"/>
        </w:rPr>
      </w:pPr>
      <w:r w:rsidRPr="00120232">
        <w:rPr>
          <w:b/>
          <w:bCs/>
          <w:i/>
          <w:iCs/>
          <w:sz w:val="16"/>
          <w:szCs w:val="16"/>
        </w:rPr>
        <w:t>Oil and Gas Advisories</w:t>
      </w:r>
    </w:p>
    <w:p w14:paraId="6F712C8E" w14:textId="77777777" w:rsidR="000601E1" w:rsidRPr="00120232" w:rsidRDefault="000601E1" w:rsidP="00CE1D64">
      <w:pPr>
        <w:keepNext/>
        <w:jc w:val="both"/>
        <w:rPr>
          <w:b/>
          <w:bCs/>
          <w:i/>
          <w:iCs/>
          <w:sz w:val="16"/>
          <w:szCs w:val="16"/>
        </w:rPr>
      </w:pPr>
    </w:p>
    <w:p w14:paraId="63C7492E" w14:textId="77777777" w:rsidR="006F436B" w:rsidRPr="00120232" w:rsidRDefault="00CA24A5" w:rsidP="00CE1D64">
      <w:pPr>
        <w:keepNext/>
        <w:widowControl w:val="0"/>
        <w:jc w:val="both"/>
        <w:rPr>
          <w:rFonts w:eastAsia="Calibri"/>
          <w:i/>
          <w:sz w:val="16"/>
          <w:szCs w:val="16"/>
        </w:rPr>
      </w:pPr>
      <w:r w:rsidRPr="00120232">
        <w:rPr>
          <w:rFonts w:eastAsia="Calibri"/>
          <w:i/>
          <w:sz w:val="16"/>
          <w:szCs w:val="16"/>
        </w:rPr>
        <w:t>Barrels of oil equivalent (</w:t>
      </w:r>
      <w:r w:rsidR="00CD3E93" w:rsidRPr="00120232">
        <w:rPr>
          <w:rFonts w:eastAsia="Calibri"/>
          <w:i/>
          <w:sz w:val="16"/>
          <w:szCs w:val="16"/>
        </w:rPr>
        <w:t>"</w:t>
      </w:r>
      <w:r w:rsidRPr="00120232">
        <w:rPr>
          <w:rFonts w:eastAsia="Calibri"/>
          <w:b/>
          <w:i/>
          <w:sz w:val="16"/>
          <w:szCs w:val="16"/>
        </w:rPr>
        <w:t>BOE</w:t>
      </w:r>
      <w:r w:rsidR="00CD3E93" w:rsidRPr="00120232">
        <w:rPr>
          <w:rFonts w:eastAsia="Calibri"/>
          <w:i/>
          <w:sz w:val="16"/>
          <w:szCs w:val="16"/>
        </w:rPr>
        <w:t>"</w:t>
      </w:r>
      <w:r w:rsidRPr="00120232">
        <w:rPr>
          <w:rFonts w:eastAsia="Calibri"/>
          <w:i/>
          <w:sz w:val="16"/>
          <w:szCs w:val="16"/>
        </w:rPr>
        <w:t xml:space="preserve">) may be misleading, particularly if used in isolation. A </w:t>
      </w:r>
      <w:r w:rsidR="00CD3E93" w:rsidRPr="00120232">
        <w:rPr>
          <w:rFonts w:eastAsia="Calibri"/>
          <w:i/>
          <w:sz w:val="16"/>
          <w:szCs w:val="16"/>
        </w:rPr>
        <w:t>BOE</w:t>
      </w:r>
      <w:r w:rsidRPr="00120232">
        <w:rPr>
          <w:rFonts w:eastAsia="Calibri"/>
          <w:i/>
          <w:sz w:val="16"/>
          <w:szCs w:val="16"/>
        </w:rPr>
        <w:t xml:space="preserve"> conversion ratio of six thousand cubic feet (6 Mcf) to one barrel (1 bbl) is based on an energy equivalency conversion method primarily applicable at the burner tip and does not represent a value equivalency at the wellhead. In addition, given that the value ratio based on the current price of crude oil in Argentina as compared to the current price of natural gas in Argentina is significantly different from the energy equivalency of 6:1, utilizing a conversion on a 6:1 basis may be misleading as an indication of value.</w:t>
      </w:r>
    </w:p>
    <w:p w14:paraId="6F4F64D1" w14:textId="77777777" w:rsidR="000601E1" w:rsidRPr="00120232" w:rsidRDefault="000601E1" w:rsidP="00BC282F">
      <w:pPr>
        <w:widowControl w:val="0"/>
        <w:jc w:val="both"/>
        <w:rPr>
          <w:rFonts w:eastAsia="Calibri"/>
          <w:i/>
          <w:sz w:val="16"/>
          <w:szCs w:val="16"/>
        </w:rPr>
      </w:pPr>
    </w:p>
    <w:p w14:paraId="53DB9079" w14:textId="77777777" w:rsidR="006F436B" w:rsidRPr="00120232" w:rsidRDefault="000E3366" w:rsidP="00BC282F">
      <w:pPr>
        <w:widowControl w:val="0"/>
        <w:jc w:val="both"/>
        <w:rPr>
          <w:rFonts w:eastAsia="Calibri"/>
          <w:i/>
          <w:sz w:val="16"/>
          <w:szCs w:val="16"/>
        </w:rPr>
      </w:pPr>
      <w:r w:rsidRPr="00120232">
        <w:rPr>
          <w:rFonts w:eastAsia="Calibri"/>
          <w:i/>
          <w:sz w:val="16"/>
          <w:szCs w:val="16"/>
        </w:rPr>
        <w:t xml:space="preserve">"MBOE" means thousands of barrels of oil equivalent.  </w:t>
      </w:r>
      <w:r w:rsidR="00CA24A5" w:rsidRPr="00120232">
        <w:rPr>
          <w:rFonts w:eastAsia="Calibri"/>
          <w:i/>
          <w:sz w:val="16"/>
          <w:szCs w:val="16"/>
        </w:rPr>
        <w:t>“Mcf” means thousand cubic feet.  “M</w:t>
      </w:r>
      <w:r w:rsidR="009F2D7A" w:rsidRPr="00120232">
        <w:rPr>
          <w:rFonts w:eastAsia="Calibri"/>
          <w:i/>
          <w:sz w:val="16"/>
          <w:szCs w:val="16"/>
        </w:rPr>
        <w:t>M</w:t>
      </w:r>
      <w:r w:rsidR="00CA24A5" w:rsidRPr="00120232">
        <w:rPr>
          <w:rFonts w:eastAsia="Calibri"/>
          <w:i/>
          <w:sz w:val="16"/>
          <w:szCs w:val="16"/>
        </w:rPr>
        <w:t xml:space="preserve">cf” </w:t>
      </w:r>
      <w:r w:rsidR="00220A43" w:rsidRPr="00120232">
        <w:rPr>
          <w:rFonts w:eastAsia="Calibri"/>
          <w:i/>
          <w:sz w:val="16"/>
          <w:szCs w:val="16"/>
        </w:rPr>
        <w:t>means million cubic feet.  "bbl</w:t>
      </w:r>
      <w:r w:rsidR="00CA24A5" w:rsidRPr="00120232">
        <w:rPr>
          <w:rFonts w:eastAsia="Calibri"/>
          <w:i/>
          <w:sz w:val="16"/>
          <w:szCs w:val="16"/>
        </w:rPr>
        <w:t xml:space="preserve">" means barrel.  </w:t>
      </w:r>
      <w:r w:rsidRPr="00120232">
        <w:rPr>
          <w:rFonts w:eastAsia="Calibri"/>
          <w:i/>
          <w:sz w:val="16"/>
          <w:szCs w:val="16"/>
        </w:rPr>
        <w:t xml:space="preserve">"Mbbl" means thousands of barrels.  </w:t>
      </w:r>
      <w:r w:rsidR="00245E11" w:rsidRPr="00120232">
        <w:rPr>
          <w:rFonts w:eastAsia="Calibri"/>
          <w:i/>
          <w:sz w:val="16"/>
          <w:szCs w:val="16"/>
        </w:rPr>
        <w:t>"NGL" means natural gas liquids.</w:t>
      </w:r>
      <w:r w:rsidR="00CA24A5" w:rsidRPr="00120232">
        <w:rPr>
          <w:rFonts w:eastAsia="Calibri"/>
          <w:i/>
          <w:sz w:val="16"/>
          <w:szCs w:val="16"/>
        </w:rPr>
        <w:t xml:space="preserve">  </w:t>
      </w:r>
      <w:r w:rsidR="00CA3FA0">
        <w:rPr>
          <w:rFonts w:eastAsia="Calibri"/>
          <w:i/>
          <w:sz w:val="16"/>
          <w:szCs w:val="16"/>
        </w:rPr>
        <w:t>"Q4" means the three month period ended December 31.</w:t>
      </w:r>
    </w:p>
    <w:p w14:paraId="29425730" w14:textId="77777777" w:rsidR="006F436B" w:rsidRPr="00120232" w:rsidRDefault="006F436B" w:rsidP="00BC282F">
      <w:pPr>
        <w:widowControl w:val="0"/>
        <w:jc w:val="both"/>
        <w:rPr>
          <w:rFonts w:eastAsia="Calibri"/>
          <w:i/>
          <w:sz w:val="16"/>
          <w:szCs w:val="16"/>
        </w:rPr>
      </w:pPr>
    </w:p>
    <w:p w14:paraId="71178F1F" w14:textId="77777777" w:rsidR="00606739" w:rsidRPr="00120232" w:rsidRDefault="006F436B" w:rsidP="00BC282F">
      <w:pPr>
        <w:autoSpaceDE w:val="0"/>
        <w:autoSpaceDN w:val="0"/>
        <w:adjustRightInd w:val="0"/>
        <w:jc w:val="both"/>
        <w:rPr>
          <w:rFonts w:eastAsia="Calibri"/>
          <w:i/>
          <w:sz w:val="16"/>
          <w:szCs w:val="16"/>
        </w:rPr>
      </w:pPr>
      <w:r w:rsidRPr="00120232">
        <w:rPr>
          <w:rFonts w:eastAsia="Calibri"/>
          <w:i/>
          <w:sz w:val="16"/>
          <w:szCs w:val="16"/>
        </w:rPr>
        <w:t xml:space="preserve">The reserves estimates contained in this news release represent our gross </w:t>
      </w:r>
      <w:r w:rsidR="004D6238" w:rsidRPr="00120232">
        <w:rPr>
          <w:rFonts w:eastAsia="Calibri"/>
          <w:i/>
          <w:sz w:val="16"/>
          <w:szCs w:val="16"/>
        </w:rPr>
        <w:t xml:space="preserve">and net </w:t>
      </w:r>
      <w:r w:rsidRPr="00120232">
        <w:rPr>
          <w:rFonts w:eastAsia="Calibri"/>
          <w:i/>
          <w:sz w:val="16"/>
          <w:szCs w:val="16"/>
        </w:rPr>
        <w:t xml:space="preserve">reserves as at December 31, </w:t>
      </w:r>
      <w:r w:rsidR="00745E50" w:rsidRPr="00120232">
        <w:rPr>
          <w:rFonts w:eastAsia="Calibri"/>
          <w:i/>
          <w:sz w:val="16"/>
          <w:szCs w:val="16"/>
        </w:rPr>
        <w:t>202</w:t>
      </w:r>
      <w:r w:rsidR="00745E50">
        <w:rPr>
          <w:rFonts w:eastAsia="Calibri"/>
          <w:i/>
          <w:sz w:val="16"/>
          <w:szCs w:val="16"/>
        </w:rPr>
        <w:t>1</w:t>
      </w:r>
      <w:r w:rsidR="004D6238" w:rsidRPr="00120232">
        <w:rPr>
          <w:rFonts w:eastAsia="Calibri"/>
          <w:i/>
          <w:sz w:val="16"/>
          <w:szCs w:val="16"/>
        </w:rPr>
        <w:t xml:space="preserve">.  Gross reserves </w:t>
      </w:r>
      <w:r w:rsidRPr="00120232">
        <w:rPr>
          <w:rFonts w:eastAsia="Calibri"/>
          <w:i/>
          <w:sz w:val="16"/>
          <w:szCs w:val="16"/>
        </w:rPr>
        <w:t xml:space="preserve">are defined under NI 51-101 as our </w:t>
      </w:r>
      <w:r w:rsidR="00DD2D22" w:rsidRPr="00120232">
        <w:rPr>
          <w:rFonts w:eastAsia="Calibri"/>
          <w:i/>
          <w:sz w:val="16"/>
          <w:szCs w:val="16"/>
        </w:rPr>
        <w:t xml:space="preserve">working </w:t>
      </w:r>
      <w:r w:rsidRPr="00120232">
        <w:rPr>
          <w:rFonts w:eastAsia="Calibri"/>
          <w:i/>
          <w:sz w:val="16"/>
          <w:szCs w:val="16"/>
        </w:rPr>
        <w:t xml:space="preserve">interest </w:t>
      </w:r>
      <w:r w:rsidR="00DD2D22" w:rsidRPr="00120232">
        <w:rPr>
          <w:rFonts w:eastAsia="Calibri"/>
          <w:i/>
          <w:sz w:val="16"/>
          <w:szCs w:val="16"/>
        </w:rPr>
        <w:t xml:space="preserve">(operating or non-operating) share </w:t>
      </w:r>
      <w:r w:rsidRPr="00120232">
        <w:rPr>
          <w:rFonts w:eastAsia="Calibri"/>
          <w:i/>
          <w:sz w:val="16"/>
          <w:szCs w:val="16"/>
        </w:rPr>
        <w:t xml:space="preserve">before deduction of royalties and without including any of our royalty interests. </w:t>
      </w:r>
      <w:r w:rsidR="004D6238" w:rsidRPr="00120232">
        <w:rPr>
          <w:rFonts w:eastAsia="Calibri"/>
          <w:i/>
          <w:sz w:val="16"/>
          <w:szCs w:val="16"/>
        </w:rPr>
        <w:t xml:space="preserve"> Net reserves are defined under NI 51-101 as our working interest (operating or non-operating) share after deduction of royalty obligations, plus our royalty interests in reserves. </w:t>
      </w:r>
      <w:r w:rsidR="00A90531" w:rsidRPr="00120232">
        <w:rPr>
          <w:rFonts w:eastAsia="Calibri"/>
          <w:i/>
          <w:sz w:val="16"/>
          <w:szCs w:val="16"/>
        </w:rPr>
        <w:t xml:space="preserve"> </w:t>
      </w:r>
      <w:r w:rsidRPr="00120232">
        <w:rPr>
          <w:rFonts w:eastAsia="Calibri"/>
          <w:i/>
          <w:sz w:val="16"/>
          <w:szCs w:val="16"/>
        </w:rPr>
        <w:t>It should not be assumed that the present worth of estimated future net revenues presented in the tables above represents the fair market value of the reserves. There is no assurance that the forecast price and cost assumptions will be attained and variances could be material. The recovery and reserves estimates of our crude oil, natural gas liquids and natural gas reserves provided herein are estimates only and there is no guarantee that the estimated reserves will be recovered. Actual crude oil, natural gas and natural gas liquids reserves may be greater than or less than the estimates provided herein.</w:t>
      </w:r>
    </w:p>
    <w:p w14:paraId="2FDA8B6E" w14:textId="77777777" w:rsidR="006F436B" w:rsidRPr="00120232" w:rsidRDefault="006F436B" w:rsidP="00BC282F">
      <w:pPr>
        <w:autoSpaceDE w:val="0"/>
        <w:autoSpaceDN w:val="0"/>
        <w:adjustRightInd w:val="0"/>
        <w:jc w:val="both"/>
        <w:rPr>
          <w:rFonts w:eastAsia="Calibri"/>
          <w:i/>
          <w:sz w:val="16"/>
          <w:szCs w:val="16"/>
        </w:rPr>
      </w:pPr>
    </w:p>
    <w:p w14:paraId="6E23B57A" w14:textId="77777777" w:rsidR="006F436B" w:rsidRPr="00120232" w:rsidRDefault="006F436B" w:rsidP="00BC282F">
      <w:pPr>
        <w:autoSpaceDE w:val="0"/>
        <w:autoSpaceDN w:val="0"/>
        <w:adjustRightInd w:val="0"/>
        <w:jc w:val="both"/>
        <w:rPr>
          <w:rFonts w:eastAsia="Calibri"/>
          <w:i/>
          <w:sz w:val="16"/>
          <w:szCs w:val="16"/>
        </w:rPr>
      </w:pPr>
      <w:r w:rsidRPr="00120232">
        <w:rPr>
          <w:rFonts w:eastAsia="Calibri"/>
          <w:i/>
          <w:sz w:val="16"/>
          <w:szCs w:val="16"/>
        </w:rPr>
        <w:t xml:space="preserve">All future net revenues are estimated using forecast prices arising from the anticipated development and production of our reserves, net of the associated royalties, operating costs, development costs, and abandonment and reclamation costs and are stated prior to provision for interest and general and administrative expenses. Future net revenues have been presented on a before tax basis.  </w:t>
      </w:r>
    </w:p>
    <w:p w14:paraId="6AF60433" w14:textId="77777777" w:rsidR="000601E1" w:rsidRPr="00120232" w:rsidRDefault="000601E1" w:rsidP="00BC282F">
      <w:pPr>
        <w:autoSpaceDE w:val="0"/>
        <w:autoSpaceDN w:val="0"/>
        <w:adjustRightInd w:val="0"/>
        <w:jc w:val="both"/>
        <w:rPr>
          <w:rFonts w:eastAsia="Calibri"/>
          <w:i/>
          <w:sz w:val="16"/>
          <w:szCs w:val="16"/>
        </w:rPr>
      </w:pPr>
    </w:p>
    <w:p w14:paraId="7B0C1488" w14:textId="77777777" w:rsidR="00AB6DBB" w:rsidRPr="00120232" w:rsidRDefault="00606739" w:rsidP="00BC282F">
      <w:pPr>
        <w:autoSpaceDE w:val="0"/>
        <w:autoSpaceDN w:val="0"/>
        <w:adjustRightInd w:val="0"/>
        <w:jc w:val="both"/>
        <w:rPr>
          <w:rFonts w:eastAsia="Calibri"/>
          <w:i/>
          <w:sz w:val="16"/>
          <w:szCs w:val="16"/>
        </w:rPr>
      </w:pPr>
      <w:r w:rsidRPr="00120232">
        <w:rPr>
          <w:rFonts w:eastAsia="Calibri"/>
          <w:i/>
          <w:sz w:val="16"/>
          <w:szCs w:val="16"/>
        </w:rPr>
        <w:t>The estimates of reserves and future net revenue for individual properties may not reflect the same confidence level as estimates of reserves and future net revenue for all properties, due to the effects of aggregation.</w:t>
      </w:r>
    </w:p>
    <w:p w14:paraId="197C96ED" w14:textId="77777777" w:rsidR="00BC282F" w:rsidRPr="00120232" w:rsidRDefault="00BC282F" w:rsidP="00BC282F">
      <w:pPr>
        <w:autoSpaceDE w:val="0"/>
        <w:autoSpaceDN w:val="0"/>
        <w:adjustRightInd w:val="0"/>
        <w:jc w:val="both"/>
        <w:rPr>
          <w:rFonts w:eastAsia="Calibri"/>
          <w:i/>
          <w:sz w:val="16"/>
          <w:szCs w:val="16"/>
        </w:rPr>
      </w:pPr>
    </w:p>
    <w:p w14:paraId="5BB6BCC4" w14:textId="77777777" w:rsidR="00E30FD5" w:rsidRPr="00120232" w:rsidRDefault="00CA24A5" w:rsidP="00BC282F">
      <w:pPr>
        <w:widowControl w:val="0"/>
        <w:jc w:val="both"/>
        <w:rPr>
          <w:rFonts w:eastAsia="Calibri"/>
          <w:b/>
          <w:i/>
          <w:sz w:val="16"/>
          <w:szCs w:val="16"/>
        </w:rPr>
      </w:pPr>
      <w:r w:rsidRPr="00120232">
        <w:rPr>
          <w:rFonts w:eastAsia="Calibri"/>
          <w:b/>
          <w:i/>
          <w:sz w:val="16"/>
          <w:szCs w:val="16"/>
        </w:rPr>
        <w:t xml:space="preserve">Forward </w:t>
      </w:r>
      <w:r w:rsidR="00E30FD5" w:rsidRPr="00120232">
        <w:rPr>
          <w:rFonts w:eastAsia="Calibri"/>
          <w:b/>
          <w:i/>
          <w:sz w:val="16"/>
          <w:szCs w:val="16"/>
        </w:rPr>
        <w:t>L</w:t>
      </w:r>
      <w:r w:rsidRPr="00120232">
        <w:rPr>
          <w:rFonts w:eastAsia="Calibri"/>
          <w:b/>
          <w:i/>
          <w:sz w:val="16"/>
          <w:szCs w:val="16"/>
        </w:rPr>
        <w:t xml:space="preserve">ooking </w:t>
      </w:r>
      <w:r w:rsidR="00E30FD5" w:rsidRPr="00120232">
        <w:rPr>
          <w:rFonts w:eastAsia="Calibri"/>
          <w:b/>
          <w:i/>
          <w:sz w:val="16"/>
          <w:szCs w:val="16"/>
        </w:rPr>
        <w:t>Statements</w:t>
      </w:r>
    </w:p>
    <w:p w14:paraId="0C748DAA" w14:textId="77777777" w:rsidR="00BC282F" w:rsidRPr="00120232" w:rsidRDefault="00BC282F" w:rsidP="00BC282F">
      <w:pPr>
        <w:widowControl w:val="0"/>
        <w:jc w:val="both"/>
        <w:rPr>
          <w:rFonts w:eastAsia="Calibri"/>
          <w:b/>
          <w:i/>
          <w:sz w:val="16"/>
          <w:szCs w:val="16"/>
        </w:rPr>
      </w:pPr>
    </w:p>
    <w:p w14:paraId="6E6B59CB" w14:textId="77777777" w:rsidR="00CA24A5" w:rsidRPr="00120232" w:rsidRDefault="00CA24A5" w:rsidP="00BC282F">
      <w:pPr>
        <w:widowControl w:val="0"/>
        <w:jc w:val="both"/>
        <w:rPr>
          <w:i/>
          <w:iCs/>
          <w:sz w:val="16"/>
          <w:szCs w:val="16"/>
        </w:rPr>
      </w:pPr>
      <w:r w:rsidRPr="00120232">
        <w:rPr>
          <w:rFonts w:eastAsia="Calibri"/>
          <w:i/>
          <w:sz w:val="16"/>
          <w:szCs w:val="16"/>
        </w:rPr>
        <w:t>Certain information set forth in this document</w:t>
      </w:r>
      <w:r w:rsidR="00016F54" w:rsidRPr="00120232">
        <w:rPr>
          <w:rFonts w:eastAsia="Calibri"/>
          <w:i/>
          <w:sz w:val="16"/>
          <w:szCs w:val="16"/>
        </w:rPr>
        <w:t xml:space="preserve"> is considered forward-looking information, and necessarily involves risks and uncertainties, certain of which are beyond Crown Point’s control</w:t>
      </w:r>
      <w:r w:rsidR="009E6B86" w:rsidRPr="00120232">
        <w:rPr>
          <w:i/>
          <w:iCs/>
          <w:sz w:val="16"/>
          <w:szCs w:val="16"/>
        </w:rPr>
        <w:t xml:space="preserve">.  </w:t>
      </w:r>
      <w:r w:rsidR="00033EA2" w:rsidRPr="00120232">
        <w:rPr>
          <w:rFonts w:eastAsia="Calibri"/>
          <w:i/>
          <w:sz w:val="16"/>
          <w:szCs w:val="16"/>
        </w:rPr>
        <w:t xml:space="preserve">In addition, information relating to reserves is deemed to be forward-looking information, as it involves the implied assessment, based on certain estimates and assumptions, that the reserves described can be economically produced in the future.  </w:t>
      </w:r>
      <w:r w:rsidRPr="00120232">
        <w:rPr>
          <w:rFonts w:eastAsia="Calibri"/>
          <w:i/>
          <w:sz w:val="16"/>
          <w:szCs w:val="16"/>
        </w:rPr>
        <w:t xml:space="preserve">Such risks include but are not limited to: </w:t>
      </w:r>
      <w:r w:rsidR="00017ACE" w:rsidRPr="00120232">
        <w:rPr>
          <w:rFonts w:eastAsia="Calibri"/>
          <w:i/>
          <w:sz w:val="16"/>
          <w:szCs w:val="16"/>
        </w:rPr>
        <w:t>the risks that COVID-19 poses to the oil and gas industry generally and our business in particular</w:t>
      </w:r>
      <w:r w:rsidR="00FA3D08" w:rsidRPr="00120232">
        <w:rPr>
          <w:rFonts w:eastAsia="Calibri"/>
          <w:i/>
          <w:sz w:val="16"/>
          <w:szCs w:val="16"/>
        </w:rPr>
        <w:t>;</w:t>
      </w:r>
      <w:r w:rsidR="00017ACE" w:rsidRPr="00120232">
        <w:rPr>
          <w:rFonts w:eastAsia="Calibri"/>
          <w:i/>
          <w:sz w:val="16"/>
          <w:szCs w:val="16"/>
        </w:rPr>
        <w:t xml:space="preserve"> </w:t>
      </w:r>
      <w:r w:rsidRPr="00120232">
        <w:rPr>
          <w:rFonts w:eastAsia="Calibri"/>
          <w:i/>
          <w:sz w:val="16"/>
          <w:szCs w:val="16"/>
        </w:rPr>
        <w:t>risks associated with oil and gas exploration, development, exploitation, production, marketing and transportation</w:t>
      </w:r>
      <w:r w:rsidR="00B122B0" w:rsidRPr="00120232">
        <w:rPr>
          <w:rFonts w:eastAsia="Calibri"/>
          <w:i/>
          <w:sz w:val="16"/>
          <w:szCs w:val="16"/>
        </w:rPr>
        <w:t xml:space="preserve">, including the risk that the infrastructure on which we rely to produce, transport and sell our products breaks down and requires parts that are not readily available or repairs that </w:t>
      </w:r>
      <w:r w:rsidR="00A00271" w:rsidRPr="00120232">
        <w:rPr>
          <w:rFonts w:eastAsia="Calibri"/>
          <w:i/>
          <w:sz w:val="16"/>
          <w:szCs w:val="16"/>
        </w:rPr>
        <w:t>cannot be made on a timely basis, and which impair our ability to operate and/or sell our products</w:t>
      </w:r>
      <w:r w:rsidRPr="00120232">
        <w:rPr>
          <w:rFonts w:eastAsia="Calibri"/>
          <w:i/>
          <w:sz w:val="16"/>
          <w:szCs w:val="16"/>
        </w:rPr>
        <w:t xml:space="preserve">; risks associated with operating in Argentina, including risks of changing government regulations (including the adoption of, amendments to, or the cancellation of government incentive programs or other laws and regulations relating to commodity prices, taxation, currency controls and export restrictions, in each case that may adversely impact Crown Point), risks that new government initiatives will not have the consequences the Company believes (including the benefits to be derived therefrom), expropriation/nationalization of assets, price controls on commodity prices, inability to enforce contracts in certain circumstances, the potential for a hyperinflationary economic environment, </w:t>
      </w:r>
      <w:r w:rsidR="00621C66" w:rsidRPr="00120232">
        <w:rPr>
          <w:rFonts w:eastAsia="Calibri"/>
          <w:i/>
          <w:sz w:val="16"/>
          <w:szCs w:val="16"/>
        </w:rPr>
        <w:t xml:space="preserve">the imposition of currency controls, risks associated with a default on Argentine government debt, </w:t>
      </w:r>
      <w:r w:rsidRPr="00120232">
        <w:rPr>
          <w:rFonts w:eastAsia="Calibri"/>
          <w:i/>
          <w:sz w:val="16"/>
          <w:szCs w:val="16"/>
        </w:rPr>
        <w:t xml:space="preserve">and other economic and political risks; volatility of </w:t>
      </w:r>
      <w:r w:rsidRPr="00120232">
        <w:rPr>
          <w:rFonts w:eastAsia="Calibri"/>
          <w:i/>
          <w:sz w:val="16"/>
          <w:szCs w:val="16"/>
        </w:rPr>
        <w:lastRenderedPageBreak/>
        <w:t>commodity prices; currency fluctuations; imprecision of reserve estimates; environmental risks; competition from other producers; inability to retain drilling services; incorrect assessment of value of acquisitions and failure to realize the benefits therefrom; delays resulting from or inability to obtain required regulatory approvals; the lack of availability</w:t>
      </w:r>
      <w:r w:rsidRPr="00120232">
        <w:rPr>
          <w:i/>
          <w:sz w:val="16"/>
          <w:szCs w:val="16"/>
        </w:rPr>
        <w:t xml:space="preserve"> of qualified personnel or management; stock market volatility</w:t>
      </w:r>
      <w:r w:rsidR="00621C66" w:rsidRPr="00120232">
        <w:rPr>
          <w:i/>
          <w:sz w:val="16"/>
          <w:szCs w:val="16"/>
        </w:rPr>
        <w:t>;</w:t>
      </w:r>
      <w:r w:rsidRPr="00120232">
        <w:rPr>
          <w:i/>
          <w:sz w:val="16"/>
          <w:szCs w:val="16"/>
        </w:rPr>
        <w:t xml:space="preserve"> </w:t>
      </w:r>
      <w:r w:rsidR="00621C66" w:rsidRPr="00120232">
        <w:rPr>
          <w:i/>
          <w:sz w:val="16"/>
          <w:szCs w:val="16"/>
        </w:rPr>
        <w:t>in</w:t>
      </w:r>
      <w:r w:rsidRPr="00120232">
        <w:rPr>
          <w:i/>
          <w:sz w:val="16"/>
          <w:szCs w:val="16"/>
        </w:rPr>
        <w:t xml:space="preserve">ability to access sufficient capital from internal and external sources; </w:t>
      </w:r>
      <w:r w:rsidR="00621C66" w:rsidRPr="00120232">
        <w:rPr>
          <w:i/>
          <w:sz w:val="16"/>
          <w:szCs w:val="16"/>
        </w:rPr>
        <w:t xml:space="preserve">the need to shut-in, flare and/or curtail production as a result of a lack of infrastructure and/or damage to existing infrastructure; </w:t>
      </w:r>
      <w:r w:rsidRPr="00120232">
        <w:rPr>
          <w:i/>
          <w:sz w:val="16"/>
          <w:szCs w:val="16"/>
        </w:rPr>
        <w:t xml:space="preserve">and economic or industry condition changes. Actual results, performance or achievements could differ materially from those expressed in, or implied by, the forward-looking information and, accordingly, no assurance can be given that any events anticipated by the forward-looking information will transpire or occur, or if any of them do so, what benefits that Crown Point will derive therefrom. With respect to forward-looking information contained herein, the Company has made assumptions regarding: </w:t>
      </w:r>
      <w:r w:rsidR="00A00271" w:rsidRPr="00120232">
        <w:rPr>
          <w:i/>
          <w:sz w:val="16"/>
          <w:szCs w:val="16"/>
        </w:rPr>
        <w:t xml:space="preserve">the impact that COVID-19 will have on our operations and the length of time that such impact will persist; </w:t>
      </w:r>
      <w:r w:rsidRPr="00120232">
        <w:rPr>
          <w:i/>
          <w:sz w:val="16"/>
          <w:szCs w:val="16"/>
        </w:rPr>
        <w:t xml:space="preserve">the impact of increasing competition; the general stability of the economic and political environment in Argentina; the timely receipt of any required regulatory approvals; the ability of the Company to obtain qualified staff, equipment and services in a timely and cost efficient manner; drilling results; the costs of obtaining equipment and personnel to complete the Company’s capital expenditure program; the ability of the operator of the projects which the Company has an interest in to operate the field in a safe, efficient and effective manner; the ability of the Company to obtain financing on acceptable terms when and if needed; </w:t>
      </w:r>
      <w:r w:rsidR="0071743C" w:rsidRPr="00120232">
        <w:rPr>
          <w:i/>
          <w:sz w:val="16"/>
          <w:szCs w:val="16"/>
        </w:rPr>
        <w:t xml:space="preserve">the ability of the Company to service its debt repayments when required; </w:t>
      </w:r>
      <w:r w:rsidRPr="00120232">
        <w:rPr>
          <w:i/>
          <w:sz w:val="16"/>
          <w:szCs w:val="16"/>
        </w:rPr>
        <w:t>field production rates and decline rates; the ability to replace and expand oil and natural gas reserves through acquisition, development and exploration activities; the timing and costs of pipeline, storage</w:t>
      </w:r>
      <w:r w:rsidR="00A00271" w:rsidRPr="00120232">
        <w:rPr>
          <w:i/>
          <w:sz w:val="16"/>
          <w:szCs w:val="16"/>
        </w:rPr>
        <w:t>, transportation</w:t>
      </w:r>
      <w:r w:rsidRPr="00120232">
        <w:rPr>
          <w:i/>
          <w:sz w:val="16"/>
          <w:szCs w:val="16"/>
        </w:rPr>
        <w:t xml:space="preserve"> and facility </w:t>
      </w:r>
      <w:r w:rsidR="00FB7261" w:rsidRPr="00120232">
        <w:rPr>
          <w:i/>
          <w:sz w:val="16"/>
          <w:szCs w:val="16"/>
        </w:rPr>
        <w:t xml:space="preserve">repair, </w:t>
      </w:r>
      <w:r w:rsidRPr="00120232">
        <w:rPr>
          <w:i/>
          <w:sz w:val="16"/>
          <w:szCs w:val="16"/>
        </w:rPr>
        <w:t>construction</w:t>
      </w:r>
      <w:r w:rsidR="00A00271" w:rsidRPr="00120232">
        <w:rPr>
          <w:i/>
          <w:sz w:val="16"/>
          <w:szCs w:val="16"/>
        </w:rPr>
        <w:t xml:space="preserve"> and</w:t>
      </w:r>
      <w:r w:rsidR="00FB7261" w:rsidRPr="00120232">
        <w:rPr>
          <w:i/>
          <w:sz w:val="16"/>
          <w:szCs w:val="16"/>
        </w:rPr>
        <w:t xml:space="preserve"> </w:t>
      </w:r>
      <w:r w:rsidRPr="00120232">
        <w:rPr>
          <w:i/>
          <w:sz w:val="16"/>
          <w:szCs w:val="16"/>
        </w:rPr>
        <w:t xml:space="preserve">expansion and the ability of the Company to secure adequate product transportation; future oil and natural gas prices; costs of operational activities in Argentina; currency, exchange and interest rates; the regulatory framework regarding royalties, commodity price controls, </w:t>
      </w:r>
      <w:r w:rsidR="00FB7261" w:rsidRPr="00120232">
        <w:rPr>
          <w:i/>
          <w:sz w:val="16"/>
          <w:szCs w:val="16"/>
        </w:rPr>
        <w:t xml:space="preserve">currency controls, </w:t>
      </w:r>
      <w:r w:rsidRPr="00120232">
        <w:rPr>
          <w:i/>
          <w:sz w:val="16"/>
          <w:szCs w:val="16"/>
        </w:rPr>
        <w:t>import/export matters, taxes and environmental matters in Argentina; and the ability of the Company to successfully market its oil and natural gas products.  Additional information on these and other factors that could affect Crown Point are included in reports on file with Canadian securities regulatory authorities, including under the heading “Risk Factors” in the Company’s most recent annual information form, and may be accessed through the SEDAR website (www.sedar.com). Furthermore, the forward-looking information contained in this document are made as of the date of this document, and Crown Point does not undertake any obligation to update publicly or to revise any of the included forward looking information, whether as a result of new information, future events or otherwise, except as may be expressly required by applicable securities law.</w:t>
      </w:r>
      <w:r w:rsidRPr="00120232">
        <w:rPr>
          <w:i/>
          <w:iCs/>
          <w:sz w:val="16"/>
          <w:szCs w:val="16"/>
        </w:rPr>
        <w:t> </w:t>
      </w:r>
    </w:p>
    <w:p w14:paraId="2760B2F0" w14:textId="77777777" w:rsidR="00BC282F" w:rsidRPr="00120232" w:rsidRDefault="00BC282F" w:rsidP="00BC282F">
      <w:pPr>
        <w:widowControl w:val="0"/>
        <w:jc w:val="both"/>
        <w:rPr>
          <w:sz w:val="16"/>
          <w:szCs w:val="16"/>
        </w:rPr>
      </w:pPr>
    </w:p>
    <w:p w14:paraId="43BD7422" w14:textId="77777777" w:rsidR="00CA24A5" w:rsidRPr="00120232" w:rsidRDefault="00CA24A5" w:rsidP="00BC282F">
      <w:pPr>
        <w:jc w:val="both"/>
        <w:rPr>
          <w:b/>
          <w:bCs/>
          <w:i/>
          <w:iCs/>
          <w:szCs w:val="22"/>
        </w:rPr>
      </w:pPr>
      <w:r w:rsidRPr="00120232">
        <w:rPr>
          <w:b/>
          <w:bCs/>
          <w:i/>
          <w:iCs/>
          <w:sz w:val="16"/>
          <w:szCs w:val="16"/>
        </w:rPr>
        <w:t>Neither TSX Venture Exchange nor its Regulation Services Provider (as that term is defined in the policies of the TSX Venture Exchange) accepts responsibility for the adequacy or accuracy of this news release.</w:t>
      </w:r>
    </w:p>
    <w:sectPr w:rsidR="00CA24A5" w:rsidRPr="00120232" w:rsidSect="000D0E50">
      <w:headerReference w:type="default" r:id="rId15"/>
      <w:footerReference w:type="default" r:id="rId16"/>
      <w:pgSz w:w="12240" w:h="15840"/>
      <w:pgMar w:top="1440" w:right="1440" w:bottom="1260" w:left="1440" w:header="36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18F0" w14:textId="77777777" w:rsidR="006B4796" w:rsidRDefault="006B4796" w:rsidP="00451CF4">
      <w:r>
        <w:separator/>
      </w:r>
    </w:p>
  </w:endnote>
  <w:endnote w:type="continuationSeparator" w:id="0">
    <w:p w14:paraId="34806813" w14:textId="77777777" w:rsidR="006B4796" w:rsidRDefault="006B4796" w:rsidP="0045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A832" w14:textId="77777777" w:rsidR="001133C0" w:rsidRDefault="001133C0" w:rsidP="00F768A1">
    <w:pPr>
      <w:pStyle w:val="Footer"/>
      <w:jc w:val="center"/>
      <w:rPr>
        <w:rFonts w:ascii="Arial Narrow" w:hAnsi="Arial Narrow"/>
        <w:color w:val="002060"/>
        <w:sz w:val="20"/>
        <w:szCs w:val="20"/>
        <w:lang w:val="fr-CA"/>
      </w:rPr>
    </w:pPr>
    <w:r>
      <w:rPr>
        <w:rFonts w:ascii="Arial Narrow" w:hAnsi="Arial Narrow"/>
        <w:color w:val="002060"/>
        <w:sz w:val="20"/>
        <w:szCs w:val="20"/>
        <w:lang w:val="fr-CA"/>
      </w:rPr>
      <w:t>PO Box 1562 Station M</w:t>
    </w:r>
    <w:r w:rsidRPr="005E10D3">
      <w:rPr>
        <w:rFonts w:ascii="Arial Narrow" w:hAnsi="Arial Narrow"/>
        <w:color w:val="002060"/>
        <w:sz w:val="20"/>
        <w:szCs w:val="20"/>
        <w:lang w:val="fr-CA"/>
      </w:rPr>
      <w:t xml:space="preserve">., Calgary, Alberta, Canada T2P </w:t>
    </w:r>
    <w:r w:rsidRPr="00F11C6C">
      <w:rPr>
        <w:rFonts w:ascii="Arial Narrow" w:hAnsi="Arial Narrow"/>
        <w:color w:val="002060"/>
        <w:sz w:val="20"/>
        <w:szCs w:val="20"/>
        <w:lang w:val="fr-CA"/>
      </w:rPr>
      <w:t xml:space="preserve">3B9  </w:t>
    </w:r>
    <w:r w:rsidRPr="00F11C6C">
      <w:rPr>
        <w:rFonts w:ascii="Arial Narrow" w:hAnsi="Arial Narrow"/>
        <w:b/>
        <w:color w:val="002060"/>
        <w:sz w:val="20"/>
        <w:szCs w:val="20"/>
        <w:lang w:val="fr-CA"/>
      </w:rPr>
      <w:t>T</w:t>
    </w:r>
    <w:r w:rsidRPr="00F11C6C">
      <w:rPr>
        <w:rFonts w:ascii="Arial Narrow" w:hAnsi="Arial Narrow"/>
        <w:color w:val="002060"/>
        <w:sz w:val="20"/>
        <w:szCs w:val="20"/>
        <w:lang w:val="fr-CA"/>
      </w:rPr>
      <w:t xml:space="preserve"> 403.232.1150  </w:t>
    </w:r>
    <w:r w:rsidRPr="00F11C6C">
      <w:rPr>
        <w:rFonts w:ascii="Arial Narrow" w:hAnsi="Arial Narrow"/>
        <w:b/>
        <w:color w:val="002060"/>
        <w:sz w:val="20"/>
        <w:szCs w:val="20"/>
        <w:lang w:val="fr-CA"/>
      </w:rPr>
      <w:t>F</w:t>
    </w:r>
    <w:r w:rsidRPr="00F11C6C">
      <w:rPr>
        <w:rFonts w:ascii="Arial Narrow" w:hAnsi="Arial Narrow"/>
        <w:color w:val="002060"/>
        <w:sz w:val="20"/>
        <w:szCs w:val="20"/>
        <w:lang w:val="fr-CA"/>
      </w:rPr>
      <w:t xml:space="preserve">  403.232.1158</w:t>
    </w:r>
  </w:p>
  <w:p w14:paraId="5C8F67A5" w14:textId="77777777" w:rsidR="001133C0" w:rsidRDefault="001133C0" w:rsidP="00F768A1">
    <w:pPr>
      <w:pStyle w:val="Footer"/>
      <w:jc w:val="center"/>
      <w:rPr>
        <w:rFonts w:ascii="Arial Narrow" w:hAnsi="Arial Narrow"/>
        <w:b/>
        <w:color w:val="002060"/>
        <w:sz w:val="20"/>
        <w:szCs w:val="20"/>
        <w:lang w:val="fr-CA"/>
      </w:rPr>
    </w:pPr>
    <w:r w:rsidRPr="005E10D3">
      <w:rPr>
        <w:rFonts w:ascii="Arial Narrow" w:hAnsi="Arial Narrow"/>
        <w:b/>
        <w:color w:val="002060"/>
        <w:sz w:val="20"/>
        <w:szCs w:val="20"/>
        <w:lang w:val="fr-CA"/>
      </w:rPr>
      <w:t>www.crownpointenergy.com</w:t>
    </w:r>
  </w:p>
  <w:p w14:paraId="04880AD9" w14:textId="77777777" w:rsidR="001133C0" w:rsidRPr="005E10D3" w:rsidRDefault="001133C0" w:rsidP="00FD5D14">
    <w:pPr>
      <w:pStyle w:val="Footer"/>
      <w:spacing w:line="200" w:lineRule="exact"/>
      <w:rPr>
        <w:rFonts w:ascii="Arial Narrow" w:hAnsi="Arial Narrow"/>
        <w:b/>
        <w:color w:val="002060"/>
        <w:sz w:val="20"/>
        <w:szCs w:val="2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5CD2" w14:textId="77777777" w:rsidR="006B4796" w:rsidRDefault="006B4796" w:rsidP="00451CF4">
      <w:r>
        <w:separator/>
      </w:r>
    </w:p>
  </w:footnote>
  <w:footnote w:type="continuationSeparator" w:id="0">
    <w:p w14:paraId="5B8F1D85" w14:textId="77777777" w:rsidR="006B4796" w:rsidRDefault="006B4796" w:rsidP="00451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A540" w14:textId="77777777" w:rsidR="001133C0" w:rsidRDefault="001133C0" w:rsidP="00451CF4">
    <w:pPr>
      <w:pStyle w:val="Header"/>
      <w:ind w:left="540" w:hanging="540"/>
      <w:jc w:val="right"/>
    </w:pPr>
    <w:r>
      <w:rPr>
        <w:noProof/>
        <w:lang w:val="es-AR" w:eastAsia="es-AR"/>
      </w:rPr>
      <w:drawing>
        <wp:inline distT="0" distB="0" distL="0" distR="0" wp14:anchorId="1DB7E64E" wp14:editId="330AFA21">
          <wp:extent cx="1697355" cy="1038860"/>
          <wp:effectExtent l="19050" t="0" r="0" b="0"/>
          <wp:docPr id="1" name="Picture 0" descr="CWV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WV_new logo.jpg"/>
                  <pic:cNvPicPr>
                    <a:picLocks noChangeAspect="1" noChangeArrowheads="1"/>
                  </pic:cNvPicPr>
                </pic:nvPicPr>
                <pic:blipFill>
                  <a:blip r:embed="rId1"/>
                  <a:srcRect t="6818"/>
                  <a:stretch>
                    <a:fillRect/>
                  </a:stretch>
                </pic:blipFill>
                <pic:spPr bwMode="auto">
                  <a:xfrm>
                    <a:off x="0" y="0"/>
                    <a:ext cx="1697355" cy="1038860"/>
                  </a:xfrm>
                  <a:prstGeom prst="rect">
                    <a:avLst/>
                  </a:prstGeom>
                  <a:noFill/>
                  <a:ln w="9525">
                    <a:noFill/>
                    <a:miter lim="800000"/>
                    <a:headEnd/>
                    <a:tailEnd/>
                  </a:ln>
                </pic:spPr>
              </pic:pic>
            </a:graphicData>
          </a:graphic>
        </wp:inline>
      </w:drawing>
    </w:r>
  </w:p>
  <w:p w14:paraId="16C38575" w14:textId="77777777" w:rsidR="001133C0" w:rsidRDefault="001133C0" w:rsidP="00451CF4">
    <w:pPr>
      <w:pStyle w:val="Header"/>
      <w:ind w:left="540" w:hanging="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85686D40"/>
    <w:lvl w:ilvl="0">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1">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2">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3">
      <w:start w:val="1"/>
      <w:numFmt w:val="none"/>
      <w:lvlRestart w:val="0"/>
      <w:suff w:val="nothing"/>
      <w:lvlText w:val=""/>
      <w:lvlJc w:val="left"/>
      <w:pPr>
        <w:tabs>
          <w:tab w:val="num" w:pos="1440"/>
        </w:tabs>
        <w:ind w:left="720"/>
      </w:pPr>
      <w:rPr>
        <w:rFonts w:ascii="Times New Roman" w:hAnsi="Times New Roman" w:cs="Times New Roman"/>
        <w:b w:val="0"/>
        <w:i w:val="0"/>
        <w:caps w:val="0"/>
        <w:color w:val="auto"/>
        <w:sz w:val="22"/>
        <w:u w:val="none"/>
      </w:rPr>
    </w:lvl>
    <w:lvl w:ilvl="4">
      <w:start w:val="1"/>
      <w:numFmt w:val="decimal"/>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suff w:val="nothing"/>
      <w:lvlText w:val=""/>
      <w:lvlJc w:val="left"/>
      <w:pPr>
        <w:tabs>
          <w:tab w:val="num" w:pos="720"/>
        </w:tabs>
      </w:pPr>
      <w:rPr>
        <w:rFonts w:ascii="Times New Roman" w:hAnsi="Times New Roman" w:cs="Times New Roman"/>
        <w:b w:val="0"/>
        <w:i w:val="0"/>
        <w:caps w:val="0"/>
        <w:color w:val="auto"/>
        <w:sz w:val="18"/>
        <w:u w:val="none"/>
      </w:rPr>
    </w:lvl>
    <w:lvl w:ilvl="8">
      <w:start w:val="1"/>
      <w:numFmt w:val="decimal"/>
      <w:lvlText w:val="(%9)"/>
      <w:lvlJc w:val="left"/>
      <w:pPr>
        <w:tabs>
          <w:tab w:val="num" w:pos="900"/>
        </w:tabs>
        <w:ind w:left="720" w:hanging="720"/>
      </w:pPr>
      <w:rPr>
        <w:rFonts w:ascii="Arial" w:eastAsia="Times New Roman" w:hAnsi="Arial" w:cs="Arial"/>
        <w:b w:val="0"/>
        <w:i w:val="0"/>
        <w:caps w:val="0"/>
        <w:color w:val="auto"/>
        <w:sz w:val="16"/>
        <w:szCs w:val="16"/>
        <w:u w:val="none"/>
      </w:rPr>
    </w:lvl>
  </w:abstractNum>
  <w:abstractNum w:abstractNumId="1" w15:restartNumberingAfterBreak="0">
    <w:nsid w:val="05067914"/>
    <w:multiLevelType w:val="hybridMultilevel"/>
    <w:tmpl w:val="87764B36"/>
    <w:lvl w:ilvl="0" w:tplc="E16C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5863"/>
    <w:multiLevelType w:val="hybridMultilevel"/>
    <w:tmpl w:val="11B0C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E5D24"/>
    <w:multiLevelType w:val="hybridMultilevel"/>
    <w:tmpl w:val="7E7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B3237"/>
    <w:multiLevelType w:val="multilevel"/>
    <w:tmpl w:val="E2B49FE0"/>
    <w:name w:val="zzmpSecurity||Security|2|3|0|0|0|41||0|0|33||0|0|35||0|0|34||1|0|32||1|0|32||1|0|32||0|0|32||1|0|34||"/>
    <w:lvl w:ilvl="0">
      <w:start w:val="1"/>
      <w:numFmt w:val="none"/>
      <w:lvlRestart w:val="0"/>
      <w:pStyle w:val="SecurityL1"/>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1">
      <w:start w:val="1"/>
      <w:numFmt w:val="none"/>
      <w:lvlRestart w:val="0"/>
      <w:pStyle w:val="SecurityL2"/>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2">
      <w:start w:val="1"/>
      <w:numFmt w:val="none"/>
      <w:lvlRestart w:val="0"/>
      <w:pStyle w:val="SecurityL3"/>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3">
      <w:start w:val="1"/>
      <w:numFmt w:val="none"/>
      <w:lvlRestart w:val="0"/>
      <w:pStyle w:val="SecurityL4"/>
      <w:suff w:val="nothing"/>
      <w:lvlText w:val=""/>
      <w:lvlJc w:val="left"/>
      <w:pPr>
        <w:tabs>
          <w:tab w:val="num" w:pos="1440"/>
        </w:tabs>
        <w:ind w:left="720" w:firstLine="0"/>
      </w:pPr>
      <w:rPr>
        <w:rFonts w:ascii="Times New Roman" w:hAnsi="Times New Roman" w:cs="Times New Roman"/>
        <w:b w:val="0"/>
        <w:i w:val="0"/>
        <w:caps w:val="0"/>
        <w:color w:val="auto"/>
        <w:sz w:val="22"/>
        <w:u w:val="none"/>
      </w:rPr>
    </w:lvl>
    <w:lvl w:ilvl="4">
      <w:start w:val="1"/>
      <w:numFmt w:val="decimal"/>
      <w:pStyle w:val="SecurityL5"/>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pStyle w:val="SecurityL6"/>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pStyle w:val="SecurityL7"/>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pStyle w:val="SecurityL8"/>
      <w:suff w:val="nothing"/>
      <w:lvlText w:val=""/>
      <w:lvlJc w:val="left"/>
      <w:pPr>
        <w:tabs>
          <w:tab w:val="num" w:pos="720"/>
        </w:tabs>
        <w:ind w:left="0" w:firstLine="0"/>
      </w:pPr>
      <w:rPr>
        <w:rFonts w:ascii="Times New Roman" w:hAnsi="Times New Roman" w:cs="Times New Roman"/>
        <w:b w:val="0"/>
        <w:i w:val="0"/>
        <w:caps w:val="0"/>
        <w:color w:val="auto"/>
        <w:sz w:val="18"/>
        <w:u w:val="none"/>
      </w:rPr>
    </w:lvl>
    <w:lvl w:ilvl="8">
      <w:start w:val="1"/>
      <w:numFmt w:val="decimal"/>
      <w:pStyle w:val="SecurityL9"/>
      <w:lvlText w:val="(%9)"/>
      <w:lvlJc w:val="left"/>
      <w:pPr>
        <w:tabs>
          <w:tab w:val="num" w:pos="720"/>
        </w:tabs>
        <w:ind w:left="720" w:hanging="720"/>
      </w:pPr>
      <w:rPr>
        <w:rFonts w:ascii="Times New Roman" w:hAnsi="Times New Roman" w:cs="Times New Roman"/>
        <w:b w:val="0"/>
        <w:i/>
        <w:caps w:val="0"/>
        <w:color w:val="auto"/>
        <w:sz w:val="18"/>
        <w:u w:val="none"/>
      </w:rPr>
    </w:lvl>
  </w:abstractNum>
  <w:abstractNum w:abstractNumId="5" w15:restartNumberingAfterBreak="0">
    <w:nsid w:val="12B556C4"/>
    <w:multiLevelType w:val="hybridMultilevel"/>
    <w:tmpl w:val="B09863D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14577A96"/>
    <w:multiLevelType w:val="hybridMultilevel"/>
    <w:tmpl w:val="8D3A53C0"/>
    <w:lvl w:ilvl="0" w:tplc="10090001">
      <w:start w:val="1"/>
      <w:numFmt w:val="bullet"/>
      <w:lvlText w:val=""/>
      <w:lvlJc w:val="left"/>
      <w:pPr>
        <w:ind w:left="720" w:hanging="360"/>
      </w:pPr>
      <w:rPr>
        <w:rFonts w:ascii="Symbol" w:hAnsi="Symbol" w:hint="default"/>
      </w:rPr>
    </w:lvl>
    <w:lvl w:ilvl="1" w:tplc="5F8258F0">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A46E63"/>
    <w:multiLevelType w:val="hybridMultilevel"/>
    <w:tmpl w:val="10BA3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B902948"/>
    <w:multiLevelType w:val="hybridMultilevel"/>
    <w:tmpl w:val="CD7C8C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D617EC"/>
    <w:multiLevelType w:val="hybridMultilevel"/>
    <w:tmpl w:val="EC2E31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4B04C5"/>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E10E4"/>
    <w:multiLevelType w:val="hybridMultilevel"/>
    <w:tmpl w:val="680288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0980EAD"/>
    <w:multiLevelType w:val="hybridMultilevel"/>
    <w:tmpl w:val="84C04322"/>
    <w:lvl w:ilvl="0" w:tplc="5F8258F0">
      <w:numFmt w:val="bullet"/>
      <w:lvlText w:val="-"/>
      <w:lvlJc w:val="left"/>
      <w:pPr>
        <w:ind w:left="1004" w:hanging="360"/>
      </w:pPr>
      <w:rPr>
        <w:rFonts w:ascii="Arial" w:eastAsia="Times New Roman" w:hAnsi="Arial" w:cs="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23510409"/>
    <w:multiLevelType w:val="hybridMultilevel"/>
    <w:tmpl w:val="0BD099FA"/>
    <w:lvl w:ilvl="0" w:tplc="10090005">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3DD71138"/>
    <w:multiLevelType w:val="hybridMultilevel"/>
    <w:tmpl w:val="7EF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77F0F"/>
    <w:multiLevelType w:val="hybridMultilevel"/>
    <w:tmpl w:val="8F368B92"/>
    <w:lvl w:ilvl="0" w:tplc="10090003">
      <w:start w:val="1"/>
      <w:numFmt w:val="bullet"/>
      <w:lvlText w:val="o"/>
      <w:lvlJc w:val="left"/>
      <w:pPr>
        <w:ind w:left="1004" w:hanging="360"/>
      </w:pPr>
      <w:rPr>
        <w:rFonts w:ascii="Courier New" w:hAnsi="Courier New" w:cs="Courier New"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43060989"/>
    <w:multiLevelType w:val="hybridMultilevel"/>
    <w:tmpl w:val="E890588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15:restartNumberingAfterBreak="0">
    <w:nsid w:val="45CF493B"/>
    <w:multiLevelType w:val="hybridMultilevel"/>
    <w:tmpl w:val="4E3CE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A0421F"/>
    <w:multiLevelType w:val="hybridMultilevel"/>
    <w:tmpl w:val="B7F49D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A27161"/>
    <w:multiLevelType w:val="hybridMultilevel"/>
    <w:tmpl w:val="CFF8D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5A0A38"/>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FC6DD3"/>
    <w:multiLevelType w:val="hybridMultilevel"/>
    <w:tmpl w:val="F4E0B8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624EAB"/>
    <w:multiLevelType w:val="hybridMultilevel"/>
    <w:tmpl w:val="545A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D6472"/>
    <w:multiLevelType w:val="hybridMultilevel"/>
    <w:tmpl w:val="4FC6D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C6162F"/>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9E7C79"/>
    <w:multiLevelType w:val="hybridMultilevel"/>
    <w:tmpl w:val="257A3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81771C"/>
    <w:multiLevelType w:val="hybridMultilevel"/>
    <w:tmpl w:val="5F44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2D5D06"/>
    <w:multiLevelType w:val="hybridMultilevel"/>
    <w:tmpl w:val="E9924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A87E83"/>
    <w:multiLevelType w:val="hybridMultilevel"/>
    <w:tmpl w:val="70EA4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EA5528"/>
    <w:multiLevelType w:val="hybridMultilevel"/>
    <w:tmpl w:val="D5E2E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B9618F"/>
    <w:multiLevelType w:val="hybridMultilevel"/>
    <w:tmpl w:val="0052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4733F0"/>
    <w:multiLevelType w:val="hybridMultilevel"/>
    <w:tmpl w:val="9C722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AB15B3"/>
    <w:multiLevelType w:val="multilevel"/>
    <w:tmpl w:val="8D80E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EAD222E"/>
    <w:multiLevelType w:val="hybridMultilevel"/>
    <w:tmpl w:val="148CA5C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39E44B9"/>
    <w:multiLevelType w:val="hybridMultilevel"/>
    <w:tmpl w:val="3D401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B819FB"/>
    <w:multiLevelType w:val="hybridMultilevel"/>
    <w:tmpl w:val="BB3A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5025C1"/>
    <w:multiLevelType w:val="hybridMultilevel"/>
    <w:tmpl w:val="4F143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B4464E"/>
    <w:multiLevelType w:val="hybridMultilevel"/>
    <w:tmpl w:val="9EE2C1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F2D22EE"/>
    <w:multiLevelType w:val="hybridMultilevel"/>
    <w:tmpl w:val="8D80E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4"/>
  </w:num>
  <w:num w:numId="2">
    <w:abstractNumId w:val="30"/>
  </w:num>
  <w:num w:numId="3">
    <w:abstractNumId w:val="11"/>
  </w:num>
  <w:num w:numId="4">
    <w:abstractNumId w:val="6"/>
  </w:num>
  <w:num w:numId="5">
    <w:abstractNumId w:val="21"/>
  </w:num>
  <w:num w:numId="6">
    <w:abstractNumId w:val="3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31"/>
  </w:num>
  <w:num w:numId="12">
    <w:abstractNumId w:val="14"/>
  </w:num>
  <w:num w:numId="13">
    <w:abstractNumId w:val="1"/>
  </w:num>
  <w:num w:numId="14">
    <w:abstractNumId w:val="22"/>
  </w:num>
  <w:num w:numId="15">
    <w:abstractNumId w:val="18"/>
  </w:num>
  <w:num w:numId="16">
    <w:abstractNumId w:val="34"/>
  </w:num>
  <w:num w:numId="17">
    <w:abstractNumId w:val="3"/>
  </w:num>
  <w:num w:numId="18">
    <w:abstractNumId w:val="25"/>
  </w:num>
  <w:num w:numId="19">
    <w:abstractNumId w:val="7"/>
  </w:num>
  <w:num w:numId="20">
    <w:abstractNumId w:val="28"/>
  </w:num>
  <w:num w:numId="21">
    <w:abstractNumId w:val="5"/>
  </w:num>
  <w:num w:numId="22">
    <w:abstractNumId w:val="12"/>
  </w:num>
  <w:num w:numId="23">
    <w:abstractNumId w:val="13"/>
  </w:num>
  <w:num w:numId="24">
    <w:abstractNumId w:val="15"/>
  </w:num>
  <w:num w:numId="25">
    <w:abstractNumId w:val="26"/>
  </w:num>
  <w:num w:numId="26">
    <w:abstractNumId w:val="23"/>
  </w:num>
  <w:num w:numId="27">
    <w:abstractNumId w:val="8"/>
  </w:num>
  <w:num w:numId="28">
    <w:abstractNumId w:val="29"/>
  </w:num>
  <w:num w:numId="29">
    <w:abstractNumId w:val="17"/>
  </w:num>
  <w:num w:numId="30">
    <w:abstractNumId w:val="9"/>
  </w:num>
  <w:num w:numId="31">
    <w:abstractNumId w:val="37"/>
  </w:num>
  <w:num w:numId="32">
    <w:abstractNumId w:val="33"/>
  </w:num>
  <w:num w:numId="33">
    <w:abstractNumId w:val="38"/>
  </w:num>
  <w:num w:numId="34">
    <w:abstractNumId w:val="35"/>
  </w:num>
  <w:num w:numId="35">
    <w:abstractNumId w:val="20"/>
  </w:num>
  <w:num w:numId="36">
    <w:abstractNumId w:val="10"/>
  </w:num>
  <w:num w:numId="37">
    <w:abstractNumId w:val="32"/>
  </w:num>
  <w:num w:numId="38">
    <w:abstractNumId w:val="27"/>
  </w:num>
  <w:num w:numId="39">
    <w:abstractNumId w:val="1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trackRevisions/>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Óa"/>
    <w:docVar w:name="85TrailerDateField" w:val="~}œÓh"/>
    <w:docVar w:name="85TrailerDraft" w:val="~}˜Ól"/>
    <w:docVar w:name="85TrailerTime" w:val="~}˜Ól"/>
    <w:docVar w:name="85TrailerType" w:val="~}œÓiil"/>
    <w:docVar w:name="DocStamp_1_OptionalControlValues" w:val="~}•Ó"/>
    <w:docVar w:name="MPDocID" w:val="~}—Ónosqumsqnn"/>
    <w:docVar w:name="MPDocIDTemplate" w:val="~}•Ó"/>
    <w:docVar w:name="MPDocIDTemplateDefault" w:val="~}‘Óh²sk¸"/>
    <w:docVar w:name="NewDocStampType" w:val="~}žÓm"/>
  </w:docVars>
  <w:rsids>
    <w:rsidRoot w:val="00451CF4"/>
    <w:rsid w:val="00002052"/>
    <w:rsid w:val="000025E2"/>
    <w:rsid w:val="00003873"/>
    <w:rsid w:val="00004044"/>
    <w:rsid w:val="00010F36"/>
    <w:rsid w:val="00013941"/>
    <w:rsid w:val="00016F54"/>
    <w:rsid w:val="00017090"/>
    <w:rsid w:val="00017ACE"/>
    <w:rsid w:val="0002124D"/>
    <w:rsid w:val="00021BB6"/>
    <w:rsid w:val="00023706"/>
    <w:rsid w:val="00023BC5"/>
    <w:rsid w:val="00024990"/>
    <w:rsid w:val="00025614"/>
    <w:rsid w:val="00025949"/>
    <w:rsid w:val="0002742B"/>
    <w:rsid w:val="000328AA"/>
    <w:rsid w:val="00033EA2"/>
    <w:rsid w:val="000359CC"/>
    <w:rsid w:val="00036D51"/>
    <w:rsid w:val="0004206D"/>
    <w:rsid w:val="00042B65"/>
    <w:rsid w:val="00043586"/>
    <w:rsid w:val="00043C17"/>
    <w:rsid w:val="0004484E"/>
    <w:rsid w:val="0004588D"/>
    <w:rsid w:val="00050A9F"/>
    <w:rsid w:val="00050DBD"/>
    <w:rsid w:val="0005109A"/>
    <w:rsid w:val="000535A7"/>
    <w:rsid w:val="00057387"/>
    <w:rsid w:val="000601E1"/>
    <w:rsid w:val="00061671"/>
    <w:rsid w:val="00061FDB"/>
    <w:rsid w:val="000627A5"/>
    <w:rsid w:val="00064773"/>
    <w:rsid w:val="000716D5"/>
    <w:rsid w:val="00076237"/>
    <w:rsid w:val="00077A03"/>
    <w:rsid w:val="00087241"/>
    <w:rsid w:val="000927E7"/>
    <w:rsid w:val="000932B1"/>
    <w:rsid w:val="00097F5E"/>
    <w:rsid w:val="000A1C47"/>
    <w:rsid w:val="000A218D"/>
    <w:rsid w:val="000A677E"/>
    <w:rsid w:val="000A7CE8"/>
    <w:rsid w:val="000B18A4"/>
    <w:rsid w:val="000B2104"/>
    <w:rsid w:val="000B226F"/>
    <w:rsid w:val="000B260D"/>
    <w:rsid w:val="000B4702"/>
    <w:rsid w:val="000B492D"/>
    <w:rsid w:val="000B6726"/>
    <w:rsid w:val="000C124D"/>
    <w:rsid w:val="000C3157"/>
    <w:rsid w:val="000C5953"/>
    <w:rsid w:val="000C7807"/>
    <w:rsid w:val="000D0E50"/>
    <w:rsid w:val="000D3E93"/>
    <w:rsid w:val="000D45D4"/>
    <w:rsid w:val="000D74F7"/>
    <w:rsid w:val="000D7DDC"/>
    <w:rsid w:val="000E1597"/>
    <w:rsid w:val="000E3366"/>
    <w:rsid w:val="000E565B"/>
    <w:rsid w:val="000F076D"/>
    <w:rsid w:val="000F2EBB"/>
    <w:rsid w:val="000F4F65"/>
    <w:rsid w:val="000F5DC2"/>
    <w:rsid w:val="00100490"/>
    <w:rsid w:val="0010536B"/>
    <w:rsid w:val="00105738"/>
    <w:rsid w:val="00105A4A"/>
    <w:rsid w:val="00106A1F"/>
    <w:rsid w:val="00111924"/>
    <w:rsid w:val="00111F93"/>
    <w:rsid w:val="001133C0"/>
    <w:rsid w:val="00120232"/>
    <w:rsid w:val="001221DA"/>
    <w:rsid w:val="00122D06"/>
    <w:rsid w:val="00124B40"/>
    <w:rsid w:val="001257B2"/>
    <w:rsid w:val="0012698E"/>
    <w:rsid w:val="00130191"/>
    <w:rsid w:val="00130CE8"/>
    <w:rsid w:val="00133EFB"/>
    <w:rsid w:val="001340CF"/>
    <w:rsid w:val="001350B6"/>
    <w:rsid w:val="001448D4"/>
    <w:rsid w:val="00144A36"/>
    <w:rsid w:val="00150D8D"/>
    <w:rsid w:val="001511F9"/>
    <w:rsid w:val="00151262"/>
    <w:rsid w:val="00152632"/>
    <w:rsid w:val="001548FF"/>
    <w:rsid w:val="0015763C"/>
    <w:rsid w:val="0016148F"/>
    <w:rsid w:val="00163CC7"/>
    <w:rsid w:val="00163F57"/>
    <w:rsid w:val="00165DB6"/>
    <w:rsid w:val="00165FD0"/>
    <w:rsid w:val="0016764C"/>
    <w:rsid w:val="001720C2"/>
    <w:rsid w:val="00174365"/>
    <w:rsid w:val="001757BE"/>
    <w:rsid w:val="00177A20"/>
    <w:rsid w:val="00180591"/>
    <w:rsid w:val="0018209F"/>
    <w:rsid w:val="00183B25"/>
    <w:rsid w:val="0018437C"/>
    <w:rsid w:val="0019349D"/>
    <w:rsid w:val="00193809"/>
    <w:rsid w:val="0019396D"/>
    <w:rsid w:val="001959BF"/>
    <w:rsid w:val="001967AF"/>
    <w:rsid w:val="00196924"/>
    <w:rsid w:val="00196F60"/>
    <w:rsid w:val="00197745"/>
    <w:rsid w:val="001A0FBE"/>
    <w:rsid w:val="001A2143"/>
    <w:rsid w:val="001A4EF4"/>
    <w:rsid w:val="001A6102"/>
    <w:rsid w:val="001A750D"/>
    <w:rsid w:val="001B1E7F"/>
    <w:rsid w:val="001B1ED2"/>
    <w:rsid w:val="001B3527"/>
    <w:rsid w:val="001B3DD2"/>
    <w:rsid w:val="001B5749"/>
    <w:rsid w:val="001C3302"/>
    <w:rsid w:val="001C57CC"/>
    <w:rsid w:val="001D2046"/>
    <w:rsid w:val="001D3C6E"/>
    <w:rsid w:val="001D4E4B"/>
    <w:rsid w:val="001D50E7"/>
    <w:rsid w:val="001E04EC"/>
    <w:rsid w:val="001E2298"/>
    <w:rsid w:val="001E33A6"/>
    <w:rsid w:val="001E4463"/>
    <w:rsid w:val="001E52F0"/>
    <w:rsid w:val="001E7429"/>
    <w:rsid w:val="001F70CE"/>
    <w:rsid w:val="001F719A"/>
    <w:rsid w:val="00201A1C"/>
    <w:rsid w:val="0020498C"/>
    <w:rsid w:val="00205E97"/>
    <w:rsid w:val="0021022C"/>
    <w:rsid w:val="0021127D"/>
    <w:rsid w:val="00214319"/>
    <w:rsid w:val="00214E4D"/>
    <w:rsid w:val="002155C3"/>
    <w:rsid w:val="00216E19"/>
    <w:rsid w:val="00220A43"/>
    <w:rsid w:val="002215DE"/>
    <w:rsid w:val="00221DD0"/>
    <w:rsid w:val="00224562"/>
    <w:rsid w:val="00224989"/>
    <w:rsid w:val="00226AF8"/>
    <w:rsid w:val="00227D59"/>
    <w:rsid w:val="002300CD"/>
    <w:rsid w:val="002335EE"/>
    <w:rsid w:val="00237BD0"/>
    <w:rsid w:val="0024282E"/>
    <w:rsid w:val="00242953"/>
    <w:rsid w:val="00243DE1"/>
    <w:rsid w:val="00244EDD"/>
    <w:rsid w:val="00245E11"/>
    <w:rsid w:val="00251D5C"/>
    <w:rsid w:val="0025538B"/>
    <w:rsid w:val="00255FB2"/>
    <w:rsid w:val="00256865"/>
    <w:rsid w:val="00257531"/>
    <w:rsid w:val="00257631"/>
    <w:rsid w:val="00261E3B"/>
    <w:rsid w:val="0026227D"/>
    <w:rsid w:val="002646A4"/>
    <w:rsid w:val="002649E7"/>
    <w:rsid w:val="00265833"/>
    <w:rsid w:val="00270E00"/>
    <w:rsid w:val="00271987"/>
    <w:rsid w:val="00271DD1"/>
    <w:rsid w:val="002729B8"/>
    <w:rsid w:val="002755B9"/>
    <w:rsid w:val="002763BB"/>
    <w:rsid w:val="00276834"/>
    <w:rsid w:val="00276D5A"/>
    <w:rsid w:val="00282271"/>
    <w:rsid w:val="00282EE9"/>
    <w:rsid w:val="00290BF2"/>
    <w:rsid w:val="00291F01"/>
    <w:rsid w:val="002926E3"/>
    <w:rsid w:val="00292BEA"/>
    <w:rsid w:val="002939E6"/>
    <w:rsid w:val="00294A5A"/>
    <w:rsid w:val="002955AA"/>
    <w:rsid w:val="002A1C6F"/>
    <w:rsid w:val="002A1F7D"/>
    <w:rsid w:val="002A2079"/>
    <w:rsid w:val="002A49FB"/>
    <w:rsid w:val="002A5742"/>
    <w:rsid w:val="002A65CC"/>
    <w:rsid w:val="002A6EF0"/>
    <w:rsid w:val="002A7212"/>
    <w:rsid w:val="002A7277"/>
    <w:rsid w:val="002B0AA5"/>
    <w:rsid w:val="002B3F93"/>
    <w:rsid w:val="002C35DF"/>
    <w:rsid w:val="002C476A"/>
    <w:rsid w:val="002C5375"/>
    <w:rsid w:val="002D12FD"/>
    <w:rsid w:val="002D2464"/>
    <w:rsid w:val="002D2B1A"/>
    <w:rsid w:val="002D2CA8"/>
    <w:rsid w:val="002D437E"/>
    <w:rsid w:val="002D4B6B"/>
    <w:rsid w:val="002D7E84"/>
    <w:rsid w:val="002E0780"/>
    <w:rsid w:val="002E10DF"/>
    <w:rsid w:val="002E1BE1"/>
    <w:rsid w:val="002E28A9"/>
    <w:rsid w:val="002E3BD6"/>
    <w:rsid w:val="002E696C"/>
    <w:rsid w:val="002F1211"/>
    <w:rsid w:val="002F1371"/>
    <w:rsid w:val="002F58C1"/>
    <w:rsid w:val="00300A6A"/>
    <w:rsid w:val="00302DB2"/>
    <w:rsid w:val="00306C05"/>
    <w:rsid w:val="00311088"/>
    <w:rsid w:val="003111C0"/>
    <w:rsid w:val="0031193A"/>
    <w:rsid w:val="0031322E"/>
    <w:rsid w:val="0031396D"/>
    <w:rsid w:val="00314734"/>
    <w:rsid w:val="00315C11"/>
    <w:rsid w:val="00317357"/>
    <w:rsid w:val="003223CF"/>
    <w:rsid w:val="003300CB"/>
    <w:rsid w:val="00330EAF"/>
    <w:rsid w:val="00331A4F"/>
    <w:rsid w:val="00331B5F"/>
    <w:rsid w:val="00331FEE"/>
    <w:rsid w:val="00331FFF"/>
    <w:rsid w:val="003349FE"/>
    <w:rsid w:val="00335EAB"/>
    <w:rsid w:val="0033680E"/>
    <w:rsid w:val="0034165A"/>
    <w:rsid w:val="0034194B"/>
    <w:rsid w:val="00344314"/>
    <w:rsid w:val="00347778"/>
    <w:rsid w:val="00347D43"/>
    <w:rsid w:val="00352472"/>
    <w:rsid w:val="003535B4"/>
    <w:rsid w:val="00355AA9"/>
    <w:rsid w:val="00356261"/>
    <w:rsid w:val="00360903"/>
    <w:rsid w:val="00360B79"/>
    <w:rsid w:val="00361D69"/>
    <w:rsid w:val="00363E05"/>
    <w:rsid w:val="0036598D"/>
    <w:rsid w:val="00366F03"/>
    <w:rsid w:val="003713CB"/>
    <w:rsid w:val="0037205E"/>
    <w:rsid w:val="00373A5A"/>
    <w:rsid w:val="00375815"/>
    <w:rsid w:val="00376229"/>
    <w:rsid w:val="0038118E"/>
    <w:rsid w:val="00381F7A"/>
    <w:rsid w:val="00382199"/>
    <w:rsid w:val="003828A1"/>
    <w:rsid w:val="00382FD1"/>
    <w:rsid w:val="003871F4"/>
    <w:rsid w:val="0039117D"/>
    <w:rsid w:val="003911F5"/>
    <w:rsid w:val="00394A3E"/>
    <w:rsid w:val="00395319"/>
    <w:rsid w:val="00396201"/>
    <w:rsid w:val="003A153C"/>
    <w:rsid w:val="003A2584"/>
    <w:rsid w:val="003A2F45"/>
    <w:rsid w:val="003A3F09"/>
    <w:rsid w:val="003A53F2"/>
    <w:rsid w:val="003A6999"/>
    <w:rsid w:val="003A6B2A"/>
    <w:rsid w:val="003A7F98"/>
    <w:rsid w:val="003B10AC"/>
    <w:rsid w:val="003B161A"/>
    <w:rsid w:val="003B3C41"/>
    <w:rsid w:val="003B3C88"/>
    <w:rsid w:val="003B51FA"/>
    <w:rsid w:val="003B6B71"/>
    <w:rsid w:val="003C03F5"/>
    <w:rsid w:val="003C3E89"/>
    <w:rsid w:val="003D0414"/>
    <w:rsid w:val="003D3CB8"/>
    <w:rsid w:val="003D46D7"/>
    <w:rsid w:val="003D6FD4"/>
    <w:rsid w:val="003E1653"/>
    <w:rsid w:val="003E2504"/>
    <w:rsid w:val="003E749F"/>
    <w:rsid w:val="003E7896"/>
    <w:rsid w:val="003E78A4"/>
    <w:rsid w:val="003F11B9"/>
    <w:rsid w:val="003F2629"/>
    <w:rsid w:val="003F390F"/>
    <w:rsid w:val="003F6225"/>
    <w:rsid w:val="003F6502"/>
    <w:rsid w:val="0040122E"/>
    <w:rsid w:val="00410349"/>
    <w:rsid w:val="00411ECA"/>
    <w:rsid w:val="004162E7"/>
    <w:rsid w:val="0042016C"/>
    <w:rsid w:val="0042130F"/>
    <w:rsid w:val="0042133D"/>
    <w:rsid w:val="00421439"/>
    <w:rsid w:val="004226A6"/>
    <w:rsid w:val="00424546"/>
    <w:rsid w:val="00424A32"/>
    <w:rsid w:val="004251A2"/>
    <w:rsid w:val="00425CF4"/>
    <w:rsid w:val="00427A41"/>
    <w:rsid w:val="00431AE5"/>
    <w:rsid w:val="0043296F"/>
    <w:rsid w:val="00433408"/>
    <w:rsid w:val="004365FF"/>
    <w:rsid w:val="00440BB5"/>
    <w:rsid w:val="00442A8E"/>
    <w:rsid w:val="0044467D"/>
    <w:rsid w:val="00444BB3"/>
    <w:rsid w:val="00451504"/>
    <w:rsid w:val="00451CF4"/>
    <w:rsid w:val="004524AF"/>
    <w:rsid w:val="004561FE"/>
    <w:rsid w:val="00456BA5"/>
    <w:rsid w:val="004601F2"/>
    <w:rsid w:val="004607BF"/>
    <w:rsid w:val="0046307D"/>
    <w:rsid w:val="004660B5"/>
    <w:rsid w:val="00467343"/>
    <w:rsid w:val="00472F63"/>
    <w:rsid w:val="00473983"/>
    <w:rsid w:val="004765E0"/>
    <w:rsid w:val="00481185"/>
    <w:rsid w:val="0048294A"/>
    <w:rsid w:val="004835F9"/>
    <w:rsid w:val="004837E0"/>
    <w:rsid w:val="00490DA2"/>
    <w:rsid w:val="00491207"/>
    <w:rsid w:val="004915EA"/>
    <w:rsid w:val="004940F9"/>
    <w:rsid w:val="004946E4"/>
    <w:rsid w:val="004951CB"/>
    <w:rsid w:val="004A125B"/>
    <w:rsid w:val="004A2E5D"/>
    <w:rsid w:val="004A4911"/>
    <w:rsid w:val="004A56D3"/>
    <w:rsid w:val="004A5E44"/>
    <w:rsid w:val="004A72E9"/>
    <w:rsid w:val="004B227C"/>
    <w:rsid w:val="004B2F96"/>
    <w:rsid w:val="004B3239"/>
    <w:rsid w:val="004B3350"/>
    <w:rsid w:val="004C1BB0"/>
    <w:rsid w:val="004C41BA"/>
    <w:rsid w:val="004C6404"/>
    <w:rsid w:val="004C7547"/>
    <w:rsid w:val="004D007F"/>
    <w:rsid w:val="004D1773"/>
    <w:rsid w:val="004D53DC"/>
    <w:rsid w:val="004D5DBD"/>
    <w:rsid w:val="004D6238"/>
    <w:rsid w:val="004E275F"/>
    <w:rsid w:val="004E3226"/>
    <w:rsid w:val="004E7D42"/>
    <w:rsid w:val="004F14A0"/>
    <w:rsid w:val="004F3AF4"/>
    <w:rsid w:val="004F3C63"/>
    <w:rsid w:val="004F5C6B"/>
    <w:rsid w:val="005020B1"/>
    <w:rsid w:val="00502794"/>
    <w:rsid w:val="005031C4"/>
    <w:rsid w:val="00503790"/>
    <w:rsid w:val="00505026"/>
    <w:rsid w:val="00505674"/>
    <w:rsid w:val="00510753"/>
    <w:rsid w:val="00511BFC"/>
    <w:rsid w:val="005125B4"/>
    <w:rsid w:val="00512967"/>
    <w:rsid w:val="005148FD"/>
    <w:rsid w:val="00521406"/>
    <w:rsid w:val="00525A77"/>
    <w:rsid w:val="00526C37"/>
    <w:rsid w:val="00527E54"/>
    <w:rsid w:val="00534994"/>
    <w:rsid w:val="005439D0"/>
    <w:rsid w:val="00554BA3"/>
    <w:rsid w:val="00555BC4"/>
    <w:rsid w:val="00557B5A"/>
    <w:rsid w:val="00557EF1"/>
    <w:rsid w:val="00560BF7"/>
    <w:rsid w:val="005635F2"/>
    <w:rsid w:val="00564F26"/>
    <w:rsid w:val="005677EF"/>
    <w:rsid w:val="005702A7"/>
    <w:rsid w:val="00575CCA"/>
    <w:rsid w:val="00576FAF"/>
    <w:rsid w:val="00580163"/>
    <w:rsid w:val="005808F2"/>
    <w:rsid w:val="00585291"/>
    <w:rsid w:val="00585A15"/>
    <w:rsid w:val="00586159"/>
    <w:rsid w:val="005902F6"/>
    <w:rsid w:val="00590381"/>
    <w:rsid w:val="00592C42"/>
    <w:rsid w:val="0059524E"/>
    <w:rsid w:val="00595CFF"/>
    <w:rsid w:val="005A3BED"/>
    <w:rsid w:val="005A60CE"/>
    <w:rsid w:val="005A6A62"/>
    <w:rsid w:val="005B0CA0"/>
    <w:rsid w:val="005B0EFE"/>
    <w:rsid w:val="005B3A0F"/>
    <w:rsid w:val="005B3B95"/>
    <w:rsid w:val="005B3FE8"/>
    <w:rsid w:val="005B5DEC"/>
    <w:rsid w:val="005B66FF"/>
    <w:rsid w:val="005B6E81"/>
    <w:rsid w:val="005C2CAA"/>
    <w:rsid w:val="005C51FA"/>
    <w:rsid w:val="005C5F09"/>
    <w:rsid w:val="005D0998"/>
    <w:rsid w:val="005D4AE2"/>
    <w:rsid w:val="005D577A"/>
    <w:rsid w:val="005D661B"/>
    <w:rsid w:val="005D6CDC"/>
    <w:rsid w:val="005D7A7F"/>
    <w:rsid w:val="005E10D3"/>
    <w:rsid w:val="005E150A"/>
    <w:rsid w:val="005E47B1"/>
    <w:rsid w:val="005E5C39"/>
    <w:rsid w:val="005E6FD2"/>
    <w:rsid w:val="005F2B3F"/>
    <w:rsid w:val="005F3BD4"/>
    <w:rsid w:val="00600E2C"/>
    <w:rsid w:val="00606739"/>
    <w:rsid w:val="00614D39"/>
    <w:rsid w:val="00615ABC"/>
    <w:rsid w:val="00615EEE"/>
    <w:rsid w:val="00620130"/>
    <w:rsid w:val="00620320"/>
    <w:rsid w:val="006205E9"/>
    <w:rsid w:val="00621433"/>
    <w:rsid w:val="00621BDE"/>
    <w:rsid w:val="00621C66"/>
    <w:rsid w:val="00622E1F"/>
    <w:rsid w:val="0062427C"/>
    <w:rsid w:val="00631EE4"/>
    <w:rsid w:val="00634146"/>
    <w:rsid w:val="00640983"/>
    <w:rsid w:val="00643A42"/>
    <w:rsid w:val="006440C6"/>
    <w:rsid w:val="00650B31"/>
    <w:rsid w:val="00651667"/>
    <w:rsid w:val="00651DB8"/>
    <w:rsid w:val="00652FDE"/>
    <w:rsid w:val="00657FED"/>
    <w:rsid w:val="00662E9C"/>
    <w:rsid w:val="00665CD8"/>
    <w:rsid w:val="00673AE9"/>
    <w:rsid w:val="00674C25"/>
    <w:rsid w:val="006765D3"/>
    <w:rsid w:val="00680B0F"/>
    <w:rsid w:val="0068141D"/>
    <w:rsid w:val="0068268A"/>
    <w:rsid w:val="00687575"/>
    <w:rsid w:val="0069094C"/>
    <w:rsid w:val="00691764"/>
    <w:rsid w:val="00691ED6"/>
    <w:rsid w:val="006969D6"/>
    <w:rsid w:val="006B19DD"/>
    <w:rsid w:val="006B4796"/>
    <w:rsid w:val="006B76F6"/>
    <w:rsid w:val="006C31C2"/>
    <w:rsid w:val="006C5430"/>
    <w:rsid w:val="006C5BF7"/>
    <w:rsid w:val="006D2446"/>
    <w:rsid w:val="006D58DE"/>
    <w:rsid w:val="006E01EA"/>
    <w:rsid w:val="006E2E70"/>
    <w:rsid w:val="006E3DAB"/>
    <w:rsid w:val="006F436B"/>
    <w:rsid w:val="006F49B6"/>
    <w:rsid w:val="006F574E"/>
    <w:rsid w:val="007017C7"/>
    <w:rsid w:val="007035D8"/>
    <w:rsid w:val="00704C4B"/>
    <w:rsid w:val="00705876"/>
    <w:rsid w:val="007068A8"/>
    <w:rsid w:val="00710E87"/>
    <w:rsid w:val="00711DB1"/>
    <w:rsid w:val="00713E06"/>
    <w:rsid w:val="00714855"/>
    <w:rsid w:val="00715152"/>
    <w:rsid w:val="00715B39"/>
    <w:rsid w:val="0071743C"/>
    <w:rsid w:val="007176BE"/>
    <w:rsid w:val="00723A6C"/>
    <w:rsid w:val="00730692"/>
    <w:rsid w:val="00731862"/>
    <w:rsid w:val="0073215F"/>
    <w:rsid w:val="00732D37"/>
    <w:rsid w:val="00733B9A"/>
    <w:rsid w:val="007359BD"/>
    <w:rsid w:val="0073723B"/>
    <w:rsid w:val="00737588"/>
    <w:rsid w:val="00742571"/>
    <w:rsid w:val="0074582F"/>
    <w:rsid w:val="00745E50"/>
    <w:rsid w:val="007476F4"/>
    <w:rsid w:val="00760643"/>
    <w:rsid w:val="007623D2"/>
    <w:rsid w:val="00764D43"/>
    <w:rsid w:val="00767618"/>
    <w:rsid w:val="007706BB"/>
    <w:rsid w:val="007718C9"/>
    <w:rsid w:val="00772EDD"/>
    <w:rsid w:val="00774F93"/>
    <w:rsid w:val="00780C91"/>
    <w:rsid w:val="00782B0E"/>
    <w:rsid w:val="00784275"/>
    <w:rsid w:val="00786A50"/>
    <w:rsid w:val="0079101C"/>
    <w:rsid w:val="00792DE7"/>
    <w:rsid w:val="007943B5"/>
    <w:rsid w:val="007965EC"/>
    <w:rsid w:val="00796733"/>
    <w:rsid w:val="00796FBE"/>
    <w:rsid w:val="007A0BC2"/>
    <w:rsid w:val="007A237B"/>
    <w:rsid w:val="007A2C0E"/>
    <w:rsid w:val="007A4E95"/>
    <w:rsid w:val="007B1463"/>
    <w:rsid w:val="007B278E"/>
    <w:rsid w:val="007B2A35"/>
    <w:rsid w:val="007B3434"/>
    <w:rsid w:val="007B3EA0"/>
    <w:rsid w:val="007B6295"/>
    <w:rsid w:val="007C0668"/>
    <w:rsid w:val="007C0984"/>
    <w:rsid w:val="007C2985"/>
    <w:rsid w:val="007C5641"/>
    <w:rsid w:val="007C77D3"/>
    <w:rsid w:val="007D2C63"/>
    <w:rsid w:val="007D3FA8"/>
    <w:rsid w:val="007D4AFB"/>
    <w:rsid w:val="007D4BB5"/>
    <w:rsid w:val="007D55DC"/>
    <w:rsid w:val="007D5944"/>
    <w:rsid w:val="007E0FF7"/>
    <w:rsid w:val="007E51B9"/>
    <w:rsid w:val="007E627B"/>
    <w:rsid w:val="007E75DC"/>
    <w:rsid w:val="007E7C6B"/>
    <w:rsid w:val="007F60DD"/>
    <w:rsid w:val="007F7102"/>
    <w:rsid w:val="007F7668"/>
    <w:rsid w:val="008021B5"/>
    <w:rsid w:val="00810613"/>
    <w:rsid w:val="00810E7B"/>
    <w:rsid w:val="008120DC"/>
    <w:rsid w:val="0081326E"/>
    <w:rsid w:val="00813ACB"/>
    <w:rsid w:val="008152FC"/>
    <w:rsid w:val="00815A2C"/>
    <w:rsid w:val="00816866"/>
    <w:rsid w:val="008202A6"/>
    <w:rsid w:val="00820C86"/>
    <w:rsid w:val="00821524"/>
    <w:rsid w:val="0082234E"/>
    <w:rsid w:val="00824B0A"/>
    <w:rsid w:val="00825BA2"/>
    <w:rsid w:val="00826004"/>
    <w:rsid w:val="008275CC"/>
    <w:rsid w:val="00833C86"/>
    <w:rsid w:val="00834882"/>
    <w:rsid w:val="0083503B"/>
    <w:rsid w:val="00835906"/>
    <w:rsid w:val="00836849"/>
    <w:rsid w:val="0083782D"/>
    <w:rsid w:val="008438D6"/>
    <w:rsid w:val="00843B59"/>
    <w:rsid w:val="00846F58"/>
    <w:rsid w:val="008509D7"/>
    <w:rsid w:val="0085380D"/>
    <w:rsid w:val="008562E0"/>
    <w:rsid w:val="008573AF"/>
    <w:rsid w:val="00857CD0"/>
    <w:rsid w:val="00860011"/>
    <w:rsid w:val="00860260"/>
    <w:rsid w:val="00861EBD"/>
    <w:rsid w:val="008624FE"/>
    <w:rsid w:val="00862703"/>
    <w:rsid w:val="00875D8F"/>
    <w:rsid w:val="00880816"/>
    <w:rsid w:val="008809C0"/>
    <w:rsid w:val="00882412"/>
    <w:rsid w:val="008867EC"/>
    <w:rsid w:val="008872D7"/>
    <w:rsid w:val="00887B03"/>
    <w:rsid w:val="00890D71"/>
    <w:rsid w:val="0089545E"/>
    <w:rsid w:val="00895F23"/>
    <w:rsid w:val="008A1CC1"/>
    <w:rsid w:val="008A2CA1"/>
    <w:rsid w:val="008A4513"/>
    <w:rsid w:val="008A49FA"/>
    <w:rsid w:val="008A56D8"/>
    <w:rsid w:val="008A624E"/>
    <w:rsid w:val="008A75ED"/>
    <w:rsid w:val="008B69C7"/>
    <w:rsid w:val="008C0F33"/>
    <w:rsid w:val="008C1295"/>
    <w:rsid w:val="008C20EC"/>
    <w:rsid w:val="008C25F7"/>
    <w:rsid w:val="008C2B4E"/>
    <w:rsid w:val="008C4159"/>
    <w:rsid w:val="008D091D"/>
    <w:rsid w:val="008D1042"/>
    <w:rsid w:val="008D2C84"/>
    <w:rsid w:val="008D350A"/>
    <w:rsid w:val="008D78E5"/>
    <w:rsid w:val="008E0951"/>
    <w:rsid w:val="008E16E3"/>
    <w:rsid w:val="008E35B6"/>
    <w:rsid w:val="008E49CD"/>
    <w:rsid w:val="008E764C"/>
    <w:rsid w:val="008F120E"/>
    <w:rsid w:val="008F51EB"/>
    <w:rsid w:val="00900F80"/>
    <w:rsid w:val="00902D65"/>
    <w:rsid w:val="00905C1B"/>
    <w:rsid w:val="00913021"/>
    <w:rsid w:val="0091593A"/>
    <w:rsid w:val="00916488"/>
    <w:rsid w:val="009202BA"/>
    <w:rsid w:val="00920EEF"/>
    <w:rsid w:val="009238DC"/>
    <w:rsid w:val="0092574E"/>
    <w:rsid w:val="00925A81"/>
    <w:rsid w:val="00930A9B"/>
    <w:rsid w:val="00930BAD"/>
    <w:rsid w:val="00934BBA"/>
    <w:rsid w:val="00934D3A"/>
    <w:rsid w:val="00937CED"/>
    <w:rsid w:val="00944821"/>
    <w:rsid w:val="00947E38"/>
    <w:rsid w:val="0095091C"/>
    <w:rsid w:val="00950AA0"/>
    <w:rsid w:val="00951EC6"/>
    <w:rsid w:val="00953B3F"/>
    <w:rsid w:val="00954D47"/>
    <w:rsid w:val="00955565"/>
    <w:rsid w:val="00957300"/>
    <w:rsid w:val="00961051"/>
    <w:rsid w:val="00963AA7"/>
    <w:rsid w:val="0096680F"/>
    <w:rsid w:val="0096744F"/>
    <w:rsid w:val="0097313E"/>
    <w:rsid w:val="00975DCF"/>
    <w:rsid w:val="009802D9"/>
    <w:rsid w:val="00980614"/>
    <w:rsid w:val="00982DAA"/>
    <w:rsid w:val="00982DAE"/>
    <w:rsid w:val="009839F3"/>
    <w:rsid w:val="0098509E"/>
    <w:rsid w:val="009857AA"/>
    <w:rsid w:val="00987041"/>
    <w:rsid w:val="00990C4D"/>
    <w:rsid w:val="00995198"/>
    <w:rsid w:val="00995269"/>
    <w:rsid w:val="009963AA"/>
    <w:rsid w:val="00997C3F"/>
    <w:rsid w:val="00997CEA"/>
    <w:rsid w:val="009A1FA6"/>
    <w:rsid w:val="009A6AD7"/>
    <w:rsid w:val="009A6CC7"/>
    <w:rsid w:val="009A6E28"/>
    <w:rsid w:val="009B2468"/>
    <w:rsid w:val="009B2F2C"/>
    <w:rsid w:val="009B438D"/>
    <w:rsid w:val="009B45DF"/>
    <w:rsid w:val="009C0586"/>
    <w:rsid w:val="009C0C7C"/>
    <w:rsid w:val="009C0E26"/>
    <w:rsid w:val="009C3391"/>
    <w:rsid w:val="009C60DE"/>
    <w:rsid w:val="009C61D9"/>
    <w:rsid w:val="009C7150"/>
    <w:rsid w:val="009D0A2C"/>
    <w:rsid w:val="009D2DAF"/>
    <w:rsid w:val="009D7168"/>
    <w:rsid w:val="009E0261"/>
    <w:rsid w:val="009E3C33"/>
    <w:rsid w:val="009E3CE6"/>
    <w:rsid w:val="009E4841"/>
    <w:rsid w:val="009E59C4"/>
    <w:rsid w:val="009E6B86"/>
    <w:rsid w:val="009F0147"/>
    <w:rsid w:val="009F2D7A"/>
    <w:rsid w:val="009F2F45"/>
    <w:rsid w:val="009F4905"/>
    <w:rsid w:val="009F4DF7"/>
    <w:rsid w:val="009F4FE5"/>
    <w:rsid w:val="00A00271"/>
    <w:rsid w:val="00A00681"/>
    <w:rsid w:val="00A016C1"/>
    <w:rsid w:val="00A0323B"/>
    <w:rsid w:val="00A0701B"/>
    <w:rsid w:val="00A07EAA"/>
    <w:rsid w:val="00A12697"/>
    <w:rsid w:val="00A12C92"/>
    <w:rsid w:val="00A12CF6"/>
    <w:rsid w:val="00A147FA"/>
    <w:rsid w:val="00A212BB"/>
    <w:rsid w:val="00A213E0"/>
    <w:rsid w:val="00A21573"/>
    <w:rsid w:val="00A218C5"/>
    <w:rsid w:val="00A21C71"/>
    <w:rsid w:val="00A22450"/>
    <w:rsid w:val="00A2445B"/>
    <w:rsid w:val="00A24966"/>
    <w:rsid w:val="00A2750B"/>
    <w:rsid w:val="00A31745"/>
    <w:rsid w:val="00A326BF"/>
    <w:rsid w:val="00A344A6"/>
    <w:rsid w:val="00A36152"/>
    <w:rsid w:val="00A36368"/>
    <w:rsid w:val="00A4393E"/>
    <w:rsid w:val="00A43EDF"/>
    <w:rsid w:val="00A46D20"/>
    <w:rsid w:val="00A47572"/>
    <w:rsid w:val="00A476CC"/>
    <w:rsid w:val="00A500C5"/>
    <w:rsid w:val="00A52F91"/>
    <w:rsid w:val="00A53AD2"/>
    <w:rsid w:val="00A5477B"/>
    <w:rsid w:val="00A54FD7"/>
    <w:rsid w:val="00A72D81"/>
    <w:rsid w:val="00A73130"/>
    <w:rsid w:val="00A734A8"/>
    <w:rsid w:val="00A75E12"/>
    <w:rsid w:val="00A762A3"/>
    <w:rsid w:val="00A77C94"/>
    <w:rsid w:val="00A82B43"/>
    <w:rsid w:val="00A8504D"/>
    <w:rsid w:val="00A85457"/>
    <w:rsid w:val="00A90531"/>
    <w:rsid w:val="00A9353F"/>
    <w:rsid w:val="00AA4346"/>
    <w:rsid w:val="00AB3CC8"/>
    <w:rsid w:val="00AB6DBB"/>
    <w:rsid w:val="00AB7895"/>
    <w:rsid w:val="00AC4EEE"/>
    <w:rsid w:val="00AC53DA"/>
    <w:rsid w:val="00AC59F9"/>
    <w:rsid w:val="00AD38C1"/>
    <w:rsid w:val="00AE2331"/>
    <w:rsid w:val="00AE4BF0"/>
    <w:rsid w:val="00AE5142"/>
    <w:rsid w:val="00AF1090"/>
    <w:rsid w:val="00AF1A68"/>
    <w:rsid w:val="00AF23D5"/>
    <w:rsid w:val="00AF42C9"/>
    <w:rsid w:val="00AF66E4"/>
    <w:rsid w:val="00B0030C"/>
    <w:rsid w:val="00B00BA3"/>
    <w:rsid w:val="00B02E3F"/>
    <w:rsid w:val="00B03885"/>
    <w:rsid w:val="00B045FB"/>
    <w:rsid w:val="00B10579"/>
    <w:rsid w:val="00B1057A"/>
    <w:rsid w:val="00B122B0"/>
    <w:rsid w:val="00B1286D"/>
    <w:rsid w:val="00B129BD"/>
    <w:rsid w:val="00B145D2"/>
    <w:rsid w:val="00B14E53"/>
    <w:rsid w:val="00B2026E"/>
    <w:rsid w:val="00B208CB"/>
    <w:rsid w:val="00B20A89"/>
    <w:rsid w:val="00B20E9D"/>
    <w:rsid w:val="00B21FD1"/>
    <w:rsid w:val="00B30EEA"/>
    <w:rsid w:val="00B32A34"/>
    <w:rsid w:val="00B378F2"/>
    <w:rsid w:val="00B37CCC"/>
    <w:rsid w:val="00B42312"/>
    <w:rsid w:val="00B43900"/>
    <w:rsid w:val="00B43C6B"/>
    <w:rsid w:val="00B44F03"/>
    <w:rsid w:val="00B46407"/>
    <w:rsid w:val="00B46621"/>
    <w:rsid w:val="00B47767"/>
    <w:rsid w:val="00B56B58"/>
    <w:rsid w:val="00B604C4"/>
    <w:rsid w:val="00B6188C"/>
    <w:rsid w:val="00B62AB6"/>
    <w:rsid w:val="00B62CEA"/>
    <w:rsid w:val="00B6459F"/>
    <w:rsid w:val="00B65117"/>
    <w:rsid w:val="00B66255"/>
    <w:rsid w:val="00B67EB4"/>
    <w:rsid w:val="00B7416F"/>
    <w:rsid w:val="00B744E9"/>
    <w:rsid w:val="00B7529F"/>
    <w:rsid w:val="00B755ED"/>
    <w:rsid w:val="00B75759"/>
    <w:rsid w:val="00B75916"/>
    <w:rsid w:val="00B75A8F"/>
    <w:rsid w:val="00B809DF"/>
    <w:rsid w:val="00B80FBF"/>
    <w:rsid w:val="00B820F8"/>
    <w:rsid w:val="00B8398E"/>
    <w:rsid w:val="00B83F6A"/>
    <w:rsid w:val="00B84147"/>
    <w:rsid w:val="00B85175"/>
    <w:rsid w:val="00B9156C"/>
    <w:rsid w:val="00B91B60"/>
    <w:rsid w:val="00B939F8"/>
    <w:rsid w:val="00BA13A7"/>
    <w:rsid w:val="00BA2BD6"/>
    <w:rsid w:val="00BA6193"/>
    <w:rsid w:val="00BA6974"/>
    <w:rsid w:val="00BA6EB7"/>
    <w:rsid w:val="00BA74B6"/>
    <w:rsid w:val="00BB0385"/>
    <w:rsid w:val="00BB068F"/>
    <w:rsid w:val="00BB18A0"/>
    <w:rsid w:val="00BB2CFE"/>
    <w:rsid w:val="00BB2EDC"/>
    <w:rsid w:val="00BB411D"/>
    <w:rsid w:val="00BB5EFE"/>
    <w:rsid w:val="00BB6649"/>
    <w:rsid w:val="00BB733D"/>
    <w:rsid w:val="00BB73D8"/>
    <w:rsid w:val="00BC1CE6"/>
    <w:rsid w:val="00BC282F"/>
    <w:rsid w:val="00BC2840"/>
    <w:rsid w:val="00BC4A4C"/>
    <w:rsid w:val="00BD48C2"/>
    <w:rsid w:val="00BD6877"/>
    <w:rsid w:val="00BD7B62"/>
    <w:rsid w:val="00BE044F"/>
    <w:rsid w:val="00BE3F49"/>
    <w:rsid w:val="00BF11EB"/>
    <w:rsid w:val="00BF16F1"/>
    <w:rsid w:val="00BF301E"/>
    <w:rsid w:val="00BF5175"/>
    <w:rsid w:val="00BF685C"/>
    <w:rsid w:val="00C001D5"/>
    <w:rsid w:val="00C024AD"/>
    <w:rsid w:val="00C0284D"/>
    <w:rsid w:val="00C03807"/>
    <w:rsid w:val="00C05133"/>
    <w:rsid w:val="00C051EA"/>
    <w:rsid w:val="00C1193D"/>
    <w:rsid w:val="00C11D3E"/>
    <w:rsid w:val="00C125DE"/>
    <w:rsid w:val="00C1690E"/>
    <w:rsid w:val="00C17CB1"/>
    <w:rsid w:val="00C201FA"/>
    <w:rsid w:val="00C23FE6"/>
    <w:rsid w:val="00C2478F"/>
    <w:rsid w:val="00C25EC1"/>
    <w:rsid w:val="00C27448"/>
    <w:rsid w:val="00C31778"/>
    <w:rsid w:val="00C31CFF"/>
    <w:rsid w:val="00C337AE"/>
    <w:rsid w:val="00C35452"/>
    <w:rsid w:val="00C36EF0"/>
    <w:rsid w:val="00C3730E"/>
    <w:rsid w:val="00C40849"/>
    <w:rsid w:val="00C40942"/>
    <w:rsid w:val="00C439FA"/>
    <w:rsid w:val="00C46FF0"/>
    <w:rsid w:val="00C4796D"/>
    <w:rsid w:val="00C508C1"/>
    <w:rsid w:val="00C522C0"/>
    <w:rsid w:val="00C551D6"/>
    <w:rsid w:val="00C60DD9"/>
    <w:rsid w:val="00C6135D"/>
    <w:rsid w:val="00C6173E"/>
    <w:rsid w:val="00C61838"/>
    <w:rsid w:val="00C64F6E"/>
    <w:rsid w:val="00C65BCB"/>
    <w:rsid w:val="00C65F29"/>
    <w:rsid w:val="00C67CBE"/>
    <w:rsid w:val="00C70175"/>
    <w:rsid w:val="00C70AC2"/>
    <w:rsid w:val="00C70EF5"/>
    <w:rsid w:val="00C71323"/>
    <w:rsid w:val="00C7270D"/>
    <w:rsid w:val="00C728EF"/>
    <w:rsid w:val="00C73157"/>
    <w:rsid w:val="00C75AAF"/>
    <w:rsid w:val="00C76DC8"/>
    <w:rsid w:val="00C809F7"/>
    <w:rsid w:val="00C84483"/>
    <w:rsid w:val="00C84F36"/>
    <w:rsid w:val="00C85965"/>
    <w:rsid w:val="00C86E04"/>
    <w:rsid w:val="00C90410"/>
    <w:rsid w:val="00C90D58"/>
    <w:rsid w:val="00C91C19"/>
    <w:rsid w:val="00C932FF"/>
    <w:rsid w:val="00C9330E"/>
    <w:rsid w:val="00C93607"/>
    <w:rsid w:val="00C93AFF"/>
    <w:rsid w:val="00C94C17"/>
    <w:rsid w:val="00C95348"/>
    <w:rsid w:val="00C95640"/>
    <w:rsid w:val="00CA15D4"/>
    <w:rsid w:val="00CA243A"/>
    <w:rsid w:val="00CA24A5"/>
    <w:rsid w:val="00CA3FA0"/>
    <w:rsid w:val="00CA63BD"/>
    <w:rsid w:val="00CA79AF"/>
    <w:rsid w:val="00CB0739"/>
    <w:rsid w:val="00CB0FB8"/>
    <w:rsid w:val="00CB19B4"/>
    <w:rsid w:val="00CB3577"/>
    <w:rsid w:val="00CB4013"/>
    <w:rsid w:val="00CB635A"/>
    <w:rsid w:val="00CC5A37"/>
    <w:rsid w:val="00CC64F1"/>
    <w:rsid w:val="00CC65A8"/>
    <w:rsid w:val="00CC6AE6"/>
    <w:rsid w:val="00CC7F6D"/>
    <w:rsid w:val="00CD148F"/>
    <w:rsid w:val="00CD177E"/>
    <w:rsid w:val="00CD19BB"/>
    <w:rsid w:val="00CD2E31"/>
    <w:rsid w:val="00CD3E93"/>
    <w:rsid w:val="00CD4697"/>
    <w:rsid w:val="00CD57B9"/>
    <w:rsid w:val="00CD5EA2"/>
    <w:rsid w:val="00CE1740"/>
    <w:rsid w:val="00CE1D64"/>
    <w:rsid w:val="00CE510F"/>
    <w:rsid w:val="00CF2A04"/>
    <w:rsid w:val="00CF2DFE"/>
    <w:rsid w:val="00CF672F"/>
    <w:rsid w:val="00D00130"/>
    <w:rsid w:val="00D01F85"/>
    <w:rsid w:val="00D03CF0"/>
    <w:rsid w:val="00D070DD"/>
    <w:rsid w:val="00D07811"/>
    <w:rsid w:val="00D10D0B"/>
    <w:rsid w:val="00D10FF0"/>
    <w:rsid w:val="00D11851"/>
    <w:rsid w:val="00D15F09"/>
    <w:rsid w:val="00D178B9"/>
    <w:rsid w:val="00D25E5A"/>
    <w:rsid w:val="00D30079"/>
    <w:rsid w:val="00D33471"/>
    <w:rsid w:val="00D33C6D"/>
    <w:rsid w:val="00D347E1"/>
    <w:rsid w:val="00D3561F"/>
    <w:rsid w:val="00D36880"/>
    <w:rsid w:val="00D40B65"/>
    <w:rsid w:val="00D4741F"/>
    <w:rsid w:val="00D52DA9"/>
    <w:rsid w:val="00D53638"/>
    <w:rsid w:val="00D54876"/>
    <w:rsid w:val="00D54F6A"/>
    <w:rsid w:val="00D555B3"/>
    <w:rsid w:val="00D5656C"/>
    <w:rsid w:val="00D57427"/>
    <w:rsid w:val="00D57F52"/>
    <w:rsid w:val="00D602DD"/>
    <w:rsid w:val="00D645DA"/>
    <w:rsid w:val="00D6512F"/>
    <w:rsid w:val="00D65626"/>
    <w:rsid w:val="00D67B09"/>
    <w:rsid w:val="00D734E1"/>
    <w:rsid w:val="00D73D44"/>
    <w:rsid w:val="00D747D0"/>
    <w:rsid w:val="00D75DB3"/>
    <w:rsid w:val="00D80268"/>
    <w:rsid w:val="00D80B98"/>
    <w:rsid w:val="00D821DD"/>
    <w:rsid w:val="00D83897"/>
    <w:rsid w:val="00D858FC"/>
    <w:rsid w:val="00D86B45"/>
    <w:rsid w:val="00D86F16"/>
    <w:rsid w:val="00D87A46"/>
    <w:rsid w:val="00D91438"/>
    <w:rsid w:val="00D9394E"/>
    <w:rsid w:val="00D93D9F"/>
    <w:rsid w:val="00D94005"/>
    <w:rsid w:val="00D9493A"/>
    <w:rsid w:val="00D96670"/>
    <w:rsid w:val="00D97909"/>
    <w:rsid w:val="00DA3925"/>
    <w:rsid w:val="00DA5A04"/>
    <w:rsid w:val="00DA73C5"/>
    <w:rsid w:val="00DA7925"/>
    <w:rsid w:val="00DA79E0"/>
    <w:rsid w:val="00DB083B"/>
    <w:rsid w:val="00DB0BA4"/>
    <w:rsid w:val="00DB282D"/>
    <w:rsid w:val="00DB2CEE"/>
    <w:rsid w:val="00DB36C0"/>
    <w:rsid w:val="00DB3F3C"/>
    <w:rsid w:val="00DB4F42"/>
    <w:rsid w:val="00DB6774"/>
    <w:rsid w:val="00DB755B"/>
    <w:rsid w:val="00DC14CF"/>
    <w:rsid w:val="00DC2AB3"/>
    <w:rsid w:val="00DC2F69"/>
    <w:rsid w:val="00DC4A9C"/>
    <w:rsid w:val="00DC6A43"/>
    <w:rsid w:val="00DC72CD"/>
    <w:rsid w:val="00DC7778"/>
    <w:rsid w:val="00DC7989"/>
    <w:rsid w:val="00DD076F"/>
    <w:rsid w:val="00DD28F7"/>
    <w:rsid w:val="00DD2D22"/>
    <w:rsid w:val="00DD351A"/>
    <w:rsid w:val="00DD4275"/>
    <w:rsid w:val="00DD4691"/>
    <w:rsid w:val="00DD4A67"/>
    <w:rsid w:val="00DD6D6E"/>
    <w:rsid w:val="00DD7324"/>
    <w:rsid w:val="00DD7381"/>
    <w:rsid w:val="00DD7A06"/>
    <w:rsid w:val="00DE02A2"/>
    <w:rsid w:val="00DE05E3"/>
    <w:rsid w:val="00DE7180"/>
    <w:rsid w:val="00DE7D9E"/>
    <w:rsid w:val="00DF27B2"/>
    <w:rsid w:val="00DF6F5C"/>
    <w:rsid w:val="00E01E2D"/>
    <w:rsid w:val="00E03127"/>
    <w:rsid w:val="00E0378D"/>
    <w:rsid w:val="00E03B91"/>
    <w:rsid w:val="00E03CB6"/>
    <w:rsid w:val="00E057B5"/>
    <w:rsid w:val="00E06B73"/>
    <w:rsid w:val="00E11249"/>
    <w:rsid w:val="00E12977"/>
    <w:rsid w:val="00E137FE"/>
    <w:rsid w:val="00E15BD1"/>
    <w:rsid w:val="00E16611"/>
    <w:rsid w:val="00E1716A"/>
    <w:rsid w:val="00E17544"/>
    <w:rsid w:val="00E21B53"/>
    <w:rsid w:val="00E2266C"/>
    <w:rsid w:val="00E25E23"/>
    <w:rsid w:val="00E26C31"/>
    <w:rsid w:val="00E27E41"/>
    <w:rsid w:val="00E30FD5"/>
    <w:rsid w:val="00E31AF3"/>
    <w:rsid w:val="00E32976"/>
    <w:rsid w:val="00E35476"/>
    <w:rsid w:val="00E372D8"/>
    <w:rsid w:val="00E40952"/>
    <w:rsid w:val="00E41E6D"/>
    <w:rsid w:val="00E42633"/>
    <w:rsid w:val="00E47784"/>
    <w:rsid w:val="00E479EC"/>
    <w:rsid w:val="00E53B93"/>
    <w:rsid w:val="00E53CE7"/>
    <w:rsid w:val="00E5435D"/>
    <w:rsid w:val="00E55168"/>
    <w:rsid w:val="00E55499"/>
    <w:rsid w:val="00E56F01"/>
    <w:rsid w:val="00E60ECE"/>
    <w:rsid w:val="00E63BC0"/>
    <w:rsid w:val="00E65E38"/>
    <w:rsid w:val="00E66412"/>
    <w:rsid w:val="00E66532"/>
    <w:rsid w:val="00E66B43"/>
    <w:rsid w:val="00E71D2F"/>
    <w:rsid w:val="00E724F0"/>
    <w:rsid w:val="00E72AFE"/>
    <w:rsid w:val="00E777A0"/>
    <w:rsid w:val="00E81BD7"/>
    <w:rsid w:val="00E842E7"/>
    <w:rsid w:val="00E84A4C"/>
    <w:rsid w:val="00E90E87"/>
    <w:rsid w:val="00E91FCF"/>
    <w:rsid w:val="00E92930"/>
    <w:rsid w:val="00E95796"/>
    <w:rsid w:val="00EA0222"/>
    <w:rsid w:val="00EA5589"/>
    <w:rsid w:val="00EA7716"/>
    <w:rsid w:val="00EB1650"/>
    <w:rsid w:val="00EB3B30"/>
    <w:rsid w:val="00EB5BB2"/>
    <w:rsid w:val="00EB6E8D"/>
    <w:rsid w:val="00EC1D34"/>
    <w:rsid w:val="00EC2F77"/>
    <w:rsid w:val="00EC57AF"/>
    <w:rsid w:val="00EC5899"/>
    <w:rsid w:val="00EC714A"/>
    <w:rsid w:val="00ED13DE"/>
    <w:rsid w:val="00ED1647"/>
    <w:rsid w:val="00ED1955"/>
    <w:rsid w:val="00ED3AE5"/>
    <w:rsid w:val="00ED5D29"/>
    <w:rsid w:val="00EE4B85"/>
    <w:rsid w:val="00EE4E4F"/>
    <w:rsid w:val="00EE79E4"/>
    <w:rsid w:val="00EE7F3B"/>
    <w:rsid w:val="00EF06DB"/>
    <w:rsid w:val="00EF19D3"/>
    <w:rsid w:val="00EF1A5C"/>
    <w:rsid w:val="00EF35F1"/>
    <w:rsid w:val="00F00375"/>
    <w:rsid w:val="00F01240"/>
    <w:rsid w:val="00F04F95"/>
    <w:rsid w:val="00F0556D"/>
    <w:rsid w:val="00F05EE7"/>
    <w:rsid w:val="00F05FDE"/>
    <w:rsid w:val="00F067EE"/>
    <w:rsid w:val="00F11C6C"/>
    <w:rsid w:val="00F14E87"/>
    <w:rsid w:val="00F1501D"/>
    <w:rsid w:val="00F154FC"/>
    <w:rsid w:val="00F21838"/>
    <w:rsid w:val="00F223FF"/>
    <w:rsid w:val="00F22961"/>
    <w:rsid w:val="00F26419"/>
    <w:rsid w:val="00F26B93"/>
    <w:rsid w:val="00F276B7"/>
    <w:rsid w:val="00F35EC7"/>
    <w:rsid w:val="00F36937"/>
    <w:rsid w:val="00F402CE"/>
    <w:rsid w:val="00F434A0"/>
    <w:rsid w:val="00F47FE6"/>
    <w:rsid w:val="00F5214C"/>
    <w:rsid w:val="00F55596"/>
    <w:rsid w:val="00F734E1"/>
    <w:rsid w:val="00F7624C"/>
    <w:rsid w:val="00F768A1"/>
    <w:rsid w:val="00F77CE9"/>
    <w:rsid w:val="00F82408"/>
    <w:rsid w:val="00F839F3"/>
    <w:rsid w:val="00F87807"/>
    <w:rsid w:val="00F90B7A"/>
    <w:rsid w:val="00F9338B"/>
    <w:rsid w:val="00F94487"/>
    <w:rsid w:val="00F94B48"/>
    <w:rsid w:val="00F96519"/>
    <w:rsid w:val="00F96B4A"/>
    <w:rsid w:val="00F971C6"/>
    <w:rsid w:val="00FA0458"/>
    <w:rsid w:val="00FA3D08"/>
    <w:rsid w:val="00FA5421"/>
    <w:rsid w:val="00FA6F10"/>
    <w:rsid w:val="00FA741E"/>
    <w:rsid w:val="00FA748C"/>
    <w:rsid w:val="00FB09DF"/>
    <w:rsid w:val="00FB2509"/>
    <w:rsid w:val="00FB3AC9"/>
    <w:rsid w:val="00FB51AD"/>
    <w:rsid w:val="00FB53E6"/>
    <w:rsid w:val="00FB723C"/>
    <w:rsid w:val="00FB7261"/>
    <w:rsid w:val="00FC0E13"/>
    <w:rsid w:val="00FC5597"/>
    <w:rsid w:val="00FD14C2"/>
    <w:rsid w:val="00FD1D01"/>
    <w:rsid w:val="00FD5180"/>
    <w:rsid w:val="00FD58EA"/>
    <w:rsid w:val="00FD5D14"/>
    <w:rsid w:val="00FD5F91"/>
    <w:rsid w:val="00FD7B68"/>
    <w:rsid w:val="00FE125B"/>
    <w:rsid w:val="00FE197F"/>
    <w:rsid w:val="00FE2CD4"/>
    <w:rsid w:val="00FE326A"/>
    <w:rsid w:val="00FE3BCC"/>
    <w:rsid w:val="00FE73FC"/>
    <w:rsid w:val="00FF08CA"/>
    <w:rsid w:val="00FF14CF"/>
    <w:rsid w:val="00FF36F5"/>
    <w:rsid w:val="00FF4E54"/>
    <w:rsid w:val="00FF509E"/>
    <w:rsid w:val="00FF5428"/>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AE30D"/>
  <w15:docId w15:val="{DC4ADFE8-CF9E-44F1-BA99-3109BAAB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631"/>
    <w:rPr>
      <w:rFonts w:ascii="Verdana" w:eastAsia="Times New Roman" w:hAnsi="Verdana"/>
      <w:sz w:val="22"/>
      <w:szCs w:val="24"/>
    </w:rPr>
  </w:style>
  <w:style w:type="paragraph" w:styleId="Heading8">
    <w:name w:val="heading 8"/>
    <w:basedOn w:val="Normal"/>
    <w:next w:val="Normal"/>
    <w:link w:val="Heading8Char"/>
    <w:qFormat/>
    <w:rsid w:val="004951CB"/>
    <w:pPr>
      <w:keepNext/>
      <w:jc w:val="both"/>
      <w:outlineLvl w:val="7"/>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CF4"/>
    <w:pPr>
      <w:tabs>
        <w:tab w:val="center" w:pos="4680"/>
        <w:tab w:val="right" w:pos="9360"/>
      </w:tabs>
    </w:pPr>
    <w:rPr>
      <w:rFonts w:ascii="Calibri" w:eastAsia="Calibri" w:hAnsi="Calibri"/>
      <w:szCs w:val="22"/>
    </w:rPr>
  </w:style>
  <w:style w:type="character" w:customStyle="1" w:styleId="HeaderChar">
    <w:name w:val="Header Char"/>
    <w:basedOn w:val="DefaultParagraphFont"/>
    <w:link w:val="Header"/>
    <w:uiPriority w:val="99"/>
    <w:rsid w:val="00451CF4"/>
  </w:style>
  <w:style w:type="paragraph" w:styleId="Footer">
    <w:name w:val="footer"/>
    <w:basedOn w:val="Normal"/>
    <w:link w:val="FooterChar"/>
    <w:uiPriority w:val="99"/>
    <w:unhideWhenUsed/>
    <w:rsid w:val="00451CF4"/>
    <w:pPr>
      <w:tabs>
        <w:tab w:val="center" w:pos="4680"/>
        <w:tab w:val="right" w:pos="9360"/>
      </w:tabs>
    </w:pPr>
    <w:rPr>
      <w:rFonts w:ascii="Calibri" w:eastAsia="Calibri" w:hAnsi="Calibri"/>
      <w:szCs w:val="22"/>
    </w:rPr>
  </w:style>
  <w:style w:type="character" w:customStyle="1" w:styleId="FooterChar">
    <w:name w:val="Footer Char"/>
    <w:basedOn w:val="DefaultParagraphFont"/>
    <w:link w:val="Footer"/>
    <w:uiPriority w:val="99"/>
    <w:rsid w:val="00451CF4"/>
  </w:style>
  <w:style w:type="paragraph" w:styleId="BalloonText">
    <w:name w:val="Balloon Text"/>
    <w:basedOn w:val="Normal"/>
    <w:link w:val="BalloonTextChar"/>
    <w:unhideWhenUsed/>
    <w:rsid w:val="00451CF4"/>
    <w:rPr>
      <w:rFonts w:ascii="Tahoma" w:eastAsia="Calibri" w:hAnsi="Tahoma" w:cs="Tahoma"/>
      <w:sz w:val="16"/>
      <w:szCs w:val="16"/>
    </w:rPr>
  </w:style>
  <w:style w:type="character" w:customStyle="1" w:styleId="BalloonTextChar">
    <w:name w:val="Balloon Text Char"/>
    <w:basedOn w:val="DefaultParagraphFont"/>
    <w:link w:val="BalloonText"/>
    <w:rsid w:val="00451CF4"/>
    <w:rPr>
      <w:rFonts w:ascii="Tahoma" w:hAnsi="Tahoma" w:cs="Tahoma"/>
      <w:sz w:val="16"/>
      <w:szCs w:val="16"/>
    </w:rPr>
  </w:style>
  <w:style w:type="character" w:styleId="Hyperlink">
    <w:name w:val="Hyperlink"/>
    <w:rsid w:val="00997CEA"/>
    <w:rPr>
      <w:color w:val="0000FF"/>
      <w:u w:val="single"/>
    </w:rPr>
  </w:style>
  <w:style w:type="paragraph" w:customStyle="1" w:styleId="MICONHEADER1">
    <w:name w:val="MICON HEADER1"/>
    <w:basedOn w:val="Normal"/>
    <w:rsid w:val="00997CEA"/>
    <w:pPr>
      <w:tabs>
        <w:tab w:val="left" w:pos="720"/>
      </w:tabs>
      <w:ind w:left="1080"/>
      <w:jc w:val="both"/>
    </w:pPr>
    <w:rPr>
      <w:rFonts w:ascii="Times New Roman" w:eastAsia="Calibri" w:hAnsi="Times New Roman"/>
      <w:b/>
      <w:caps/>
      <w:sz w:val="24"/>
    </w:rPr>
  </w:style>
  <w:style w:type="paragraph" w:styleId="ListParagraph">
    <w:name w:val="List Paragraph"/>
    <w:basedOn w:val="Normal"/>
    <w:qFormat/>
    <w:rsid w:val="00997CEA"/>
    <w:pPr>
      <w:ind w:left="720"/>
      <w:contextualSpacing/>
    </w:pPr>
    <w:rPr>
      <w:rFonts w:ascii="Times New Roman" w:hAnsi="Times New Roman"/>
      <w:sz w:val="24"/>
    </w:rPr>
  </w:style>
  <w:style w:type="character" w:customStyle="1" w:styleId="zzmpTrailerItem">
    <w:name w:val="zzmpTrailerItem"/>
    <w:rsid w:val="009F0147"/>
    <w:rPr>
      <w:rFonts w:ascii="Verdana" w:hAnsi="Verdana" w:cs="Times New Roman"/>
      <w:dstrike w:val="0"/>
      <w:noProof/>
      <w:color w:val="auto"/>
      <w:spacing w:val="0"/>
      <w:position w:val="0"/>
      <w:sz w:val="16"/>
      <w:szCs w:val="16"/>
      <w:u w:val="none"/>
      <w:effect w:val="none"/>
      <w:vertAlign w:val="baseline"/>
    </w:rPr>
  </w:style>
  <w:style w:type="paragraph" w:styleId="PlainText">
    <w:name w:val="Plain Text"/>
    <w:basedOn w:val="Normal"/>
    <w:link w:val="PlainTextChar"/>
    <w:uiPriority w:val="99"/>
    <w:unhideWhenUsed/>
    <w:rsid w:val="00431AE5"/>
    <w:rPr>
      <w:rFonts w:ascii="Consolas" w:eastAsia="Calibri" w:hAnsi="Consolas" w:cs="Consolas"/>
      <w:sz w:val="21"/>
      <w:szCs w:val="21"/>
      <w:lang w:val="en-CA"/>
    </w:rPr>
  </w:style>
  <w:style w:type="character" w:customStyle="1" w:styleId="PlainTextChar">
    <w:name w:val="Plain Text Char"/>
    <w:basedOn w:val="DefaultParagraphFont"/>
    <w:link w:val="PlainText"/>
    <w:uiPriority w:val="99"/>
    <w:rsid w:val="00431AE5"/>
    <w:rPr>
      <w:rFonts w:ascii="Consolas" w:hAnsi="Consolas" w:cs="Consolas"/>
      <w:sz w:val="21"/>
      <w:szCs w:val="21"/>
      <w:lang w:val="en-CA"/>
    </w:rPr>
  </w:style>
  <w:style w:type="paragraph" w:customStyle="1" w:styleId="Default">
    <w:name w:val="Default"/>
    <w:rsid w:val="00B62AB6"/>
    <w:pPr>
      <w:widowControl w:val="0"/>
      <w:autoSpaceDE w:val="0"/>
      <w:autoSpaceDN w:val="0"/>
      <w:adjustRightInd w:val="0"/>
      <w:jc w:val="both"/>
    </w:pPr>
    <w:rPr>
      <w:rFonts w:ascii="Arial" w:eastAsia="Times New Roman" w:hAnsi="Arial" w:cs="Arial"/>
      <w:color w:val="000000"/>
      <w:sz w:val="24"/>
      <w:szCs w:val="24"/>
    </w:rPr>
  </w:style>
  <w:style w:type="paragraph" w:customStyle="1" w:styleId="tabletext">
    <w:name w:val="table text"/>
    <w:aliases w:val="tt,Table Text,table tex"/>
    <w:basedOn w:val="Normal"/>
    <w:link w:val="TableTextChar"/>
    <w:qFormat/>
    <w:rsid w:val="00B62AB6"/>
    <w:pPr>
      <w:keepNext/>
      <w:jc w:val="both"/>
    </w:pPr>
    <w:rPr>
      <w:rFonts w:ascii="Times New Roman" w:hAnsi="Times New Roman"/>
      <w:sz w:val="20"/>
      <w:lang w:val="en-CA"/>
    </w:rPr>
  </w:style>
  <w:style w:type="paragraph" w:customStyle="1" w:styleId="SecurityL1">
    <w:name w:val="Security_L1"/>
    <w:basedOn w:val="Normal"/>
    <w:next w:val="Normal"/>
    <w:rsid w:val="00B62AB6"/>
    <w:pPr>
      <w:keepNext/>
      <w:numPr>
        <w:numId w:val="7"/>
      </w:numPr>
      <w:spacing w:after="240"/>
      <w:jc w:val="center"/>
      <w:outlineLvl w:val="0"/>
    </w:pPr>
    <w:rPr>
      <w:rFonts w:ascii="Times New Roman" w:hAnsi="Times New Roman"/>
      <w:b/>
      <w:caps/>
      <w:szCs w:val="20"/>
      <w:lang w:val="en-CA"/>
    </w:rPr>
  </w:style>
  <w:style w:type="paragraph" w:customStyle="1" w:styleId="SecurityL2">
    <w:name w:val="Security_L2"/>
    <w:basedOn w:val="SecurityL1"/>
    <w:next w:val="Normal"/>
    <w:rsid w:val="00B62AB6"/>
    <w:pPr>
      <w:numPr>
        <w:ilvl w:val="1"/>
      </w:numPr>
      <w:tabs>
        <w:tab w:val="left" w:pos="1440"/>
      </w:tabs>
      <w:jc w:val="both"/>
      <w:outlineLvl w:val="1"/>
    </w:pPr>
    <w:rPr>
      <w:caps w:val="0"/>
    </w:rPr>
  </w:style>
  <w:style w:type="paragraph" w:customStyle="1" w:styleId="SecurityL3">
    <w:name w:val="Security_L3"/>
    <w:basedOn w:val="SecurityL2"/>
    <w:next w:val="Normal"/>
    <w:rsid w:val="00B62AB6"/>
    <w:pPr>
      <w:numPr>
        <w:ilvl w:val="2"/>
      </w:numPr>
      <w:outlineLvl w:val="2"/>
    </w:pPr>
    <w:rPr>
      <w:i/>
    </w:rPr>
  </w:style>
  <w:style w:type="paragraph" w:customStyle="1" w:styleId="SecurityL4">
    <w:name w:val="Security_L4"/>
    <w:basedOn w:val="SecurityL3"/>
    <w:next w:val="Normal"/>
    <w:rsid w:val="00B62AB6"/>
    <w:pPr>
      <w:numPr>
        <w:ilvl w:val="3"/>
      </w:numPr>
      <w:outlineLvl w:val="3"/>
    </w:pPr>
    <w:rPr>
      <w:b w:val="0"/>
    </w:rPr>
  </w:style>
  <w:style w:type="paragraph" w:customStyle="1" w:styleId="SecurityL5">
    <w:name w:val="Security_L5"/>
    <w:basedOn w:val="SecurityL4"/>
    <w:rsid w:val="00B62AB6"/>
    <w:pPr>
      <w:keepNext w:val="0"/>
      <w:numPr>
        <w:ilvl w:val="4"/>
      </w:numPr>
      <w:outlineLvl w:val="4"/>
    </w:pPr>
    <w:rPr>
      <w:i w:val="0"/>
      <w:sz w:val="20"/>
    </w:rPr>
  </w:style>
  <w:style w:type="paragraph" w:customStyle="1" w:styleId="SecurityL6">
    <w:name w:val="Security_L6"/>
    <w:basedOn w:val="SecurityL5"/>
    <w:rsid w:val="00B62AB6"/>
    <w:pPr>
      <w:numPr>
        <w:ilvl w:val="5"/>
      </w:numPr>
      <w:outlineLvl w:val="5"/>
    </w:pPr>
  </w:style>
  <w:style w:type="paragraph" w:customStyle="1" w:styleId="SecurityL7">
    <w:name w:val="Security_L7"/>
    <w:basedOn w:val="SecurityL6"/>
    <w:rsid w:val="00B62AB6"/>
    <w:pPr>
      <w:numPr>
        <w:ilvl w:val="6"/>
      </w:numPr>
      <w:outlineLvl w:val="6"/>
    </w:pPr>
  </w:style>
  <w:style w:type="paragraph" w:customStyle="1" w:styleId="SecurityL8">
    <w:name w:val="Security_L8"/>
    <w:basedOn w:val="SecurityL7"/>
    <w:next w:val="Normal"/>
    <w:link w:val="SecurityL8Char"/>
    <w:rsid w:val="00B62AB6"/>
    <w:pPr>
      <w:numPr>
        <w:ilvl w:val="7"/>
      </w:numPr>
      <w:spacing w:before="120" w:after="120"/>
      <w:outlineLvl w:val="7"/>
    </w:pPr>
    <w:rPr>
      <w:sz w:val="18"/>
    </w:rPr>
  </w:style>
  <w:style w:type="paragraph" w:customStyle="1" w:styleId="SecurityL9">
    <w:name w:val="Security_L9"/>
    <w:basedOn w:val="SecurityL8"/>
    <w:link w:val="SecurityL9Char"/>
    <w:rsid w:val="00B62AB6"/>
    <w:pPr>
      <w:numPr>
        <w:ilvl w:val="8"/>
      </w:numPr>
      <w:spacing w:before="0" w:after="60"/>
      <w:outlineLvl w:val="8"/>
    </w:pPr>
    <w:rPr>
      <w:i/>
    </w:rPr>
  </w:style>
  <w:style w:type="paragraph" w:styleId="BodyText">
    <w:name w:val="Body Text"/>
    <w:aliases w:val="bt"/>
    <w:basedOn w:val="Normal"/>
    <w:link w:val="BodyTextChar"/>
    <w:rsid w:val="00B62AB6"/>
    <w:pPr>
      <w:spacing w:after="240" w:line="240" w:lineRule="atLeast"/>
      <w:jc w:val="both"/>
    </w:pPr>
    <w:rPr>
      <w:rFonts w:ascii="Times New Roman" w:hAnsi="Times New Roman"/>
      <w:lang w:val="en-CA"/>
    </w:rPr>
  </w:style>
  <w:style w:type="character" w:customStyle="1" w:styleId="BodyTextChar">
    <w:name w:val="Body Text Char"/>
    <w:aliases w:val="bt Char"/>
    <w:basedOn w:val="DefaultParagraphFont"/>
    <w:link w:val="BodyText"/>
    <w:rsid w:val="00B62AB6"/>
    <w:rPr>
      <w:rFonts w:ascii="Times New Roman" w:eastAsia="Times New Roman" w:hAnsi="Times New Roman" w:cs="Times New Roman"/>
      <w:szCs w:val="24"/>
      <w:lang w:val="en-CA"/>
    </w:rPr>
  </w:style>
  <w:style w:type="character" w:customStyle="1" w:styleId="TableTextChar">
    <w:name w:val="Table Text Char"/>
    <w:aliases w:val="tt Char"/>
    <w:basedOn w:val="DefaultParagraphFont"/>
    <w:link w:val="tabletext"/>
    <w:rsid w:val="00B62AB6"/>
    <w:rPr>
      <w:rFonts w:ascii="Times New Roman" w:eastAsia="Times New Roman" w:hAnsi="Times New Roman" w:cs="Times New Roman"/>
      <w:sz w:val="20"/>
      <w:szCs w:val="24"/>
      <w:lang w:val="en-CA"/>
    </w:rPr>
  </w:style>
  <w:style w:type="character" w:customStyle="1" w:styleId="Heading8Char">
    <w:name w:val="Heading 8 Char"/>
    <w:basedOn w:val="DefaultParagraphFont"/>
    <w:link w:val="Heading8"/>
    <w:rsid w:val="004951CB"/>
    <w:rPr>
      <w:rFonts w:ascii="Arial" w:eastAsia="Times New Roman" w:hAnsi="Arial" w:cs="Times New Roman"/>
      <w:b/>
      <w:bCs/>
      <w:sz w:val="20"/>
      <w:szCs w:val="20"/>
    </w:rPr>
  </w:style>
  <w:style w:type="character" w:styleId="CommentReference">
    <w:name w:val="annotation reference"/>
    <w:unhideWhenUsed/>
    <w:rsid w:val="004951CB"/>
    <w:rPr>
      <w:sz w:val="16"/>
      <w:szCs w:val="16"/>
    </w:rPr>
  </w:style>
  <w:style w:type="paragraph" w:styleId="CommentText">
    <w:name w:val="annotation text"/>
    <w:basedOn w:val="Normal"/>
    <w:link w:val="CommentTextChar"/>
    <w:uiPriority w:val="99"/>
    <w:semiHidden/>
    <w:unhideWhenUsed/>
    <w:rsid w:val="004951CB"/>
    <w:rPr>
      <w:rFonts w:ascii="Arial" w:hAnsi="Arial"/>
      <w:sz w:val="20"/>
      <w:szCs w:val="20"/>
    </w:rPr>
  </w:style>
  <w:style w:type="character" w:customStyle="1" w:styleId="CommentTextChar">
    <w:name w:val="Comment Text Char"/>
    <w:basedOn w:val="DefaultParagraphFont"/>
    <w:link w:val="CommentText"/>
    <w:uiPriority w:val="99"/>
    <w:semiHidden/>
    <w:rsid w:val="004951CB"/>
    <w:rPr>
      <w:rFonts w:ascii="Arial" w:eastAsia="Times New Roman" w:hAnsi="Arial" w:cs="Times New Roman"/>
      <w:sz w:val="20"/>
      <w:szCs w:val="20"/>
    </w:rPr>
  </w:style>
  <w:style w:type="paragraph" w:styleId="BodyText2">
    <w:name w:val="Body Text 2"/>
    <w:basedOn w:val="Normal"/>
    <w:link w:val="BodyText2Char"/>
    <w:unhideWhenUsed/>
    <w:rsid w:val="003E2504"/>
    <w:pPr>
      <w:spacing w:after="120" w:line="480" w:lineRule="auto"/>
    </w:pPr>
  </w:style>
  <w:style w:type="character" w:customStyle="1" w:styleId="BodyText2Char">
    <w:name w:val="Body Text 2 Char"/>
    <w:basedOn w:val="DefaultParagraphFont"/>
    <w:link w:val="BodyText2"/>
    <w:rsid w:val="003E2504"/>
    <w:rPr>
      <w:rFonts w:ascii="Verdana" w:eastAsia="Times New Roman" w:hAnsi="Verdana" w:cs="Times New Roman"/>
      <w:szCs w:val="24"/>
    </w:rPr>
  </w:style>
  <w:style w:type="paragraph" w:styleId="BodyTextIndent">
    <w:name w:val="Body Text Indent"/>
    <w:basedOn w:val="Normal"/>
    <w:link w:val="BodyTextIndentChar"/>
    <w:uiPriority w:val="99"/>
    <w:semiHidden/>
    <w:unhideWhenUsed/>
    <w:rsid w:val="002A7212"/>
    <w:pPr>
      <w:spacing w:after="120"/>
      <w:ind w:left="283"/>
    </w:pPr>
  </w:style>
  <w:style w:type="character" w:customStyle="1" w:styleId="BodyTextIndentChar">
    <w:name w:val="Body Text Indent Char"/>
    <w:basedOn w:val="DefaultParagraphFont"/>
    <w:link w:val="BodyTextIndent"/>
    <w:uiPriority w:val="99"/>
    <w:semiHidden/>
    <w:rsid w:val="002A7212"/>
    <w:rPr>
      <w:rFonts w:ascii="Verdana" w:eastAsia="Times New Roman" w:hAnsi="Verdana"/>
      <w:sz w:val="22"/>
      <w:szCs w:val="24"/>
    </w:rPr>
  </w:style>
  <w:style w:type="paragraph" w:styleId="CommentSubject">
    <w:name w:val="annotation subject"/>
    <w:basedOn w:val="CommentText"/>
    <w:next w:val="CommentText"/>
    <w:link w:val="CommentSubjectChar"/>
    <w:uiPriority w:val="99"/>
    <w:semiHidden/>
    <w:unhideWhenUsed/>
    <w:rsid w:val="008A56D8"/>
    <w:rPr>
      <w:rFonts w:ascii="Verdana" w:hAnsi="Verdana"/>
      <w:b/>
      <w:bCs/>
    </w:rPr>
  </w:style>
  <w:style w:type="character" w:customStyle="1" w:styleId="CommentSubjectChar">
    <w:name w:val="Comment Subject Char"/>
    <w:basedOn w:val="CommentTextChar"/>
    <w:link w:val="CommentSubject"/>
    <w:uiPriority w:val="99"/>
    <w:semiHidden/>
    <w:rsid w:val="008A56D8"/>
    <w:rPr>
      <w:rFonts w:ascii="Verdana" w:eastAsia="Times New Roman" w:hAnsi="Verdana" w:cs="Times New Roman"/>
      <w:b/>
      <w:bCs/>
      <w:sz w:val="20"/>
      <w:szCs w:val="20"/>
    </w:rPr>
  </w:style>
  <w:style w:type="paragraph" w:styleId="Revision">
    <w:name w:val="Revision"/>
    <w:hidden/>
    <w:uiPriority w:val="99"/>
    <w:semiHidden/>
    <w:rsid w:val="008A56D8"/>
    <w:rPr>
      <w:rFonts w:ascii="Verdana" w:eastAsia="Times New Roman" w:hAnsi="Verdana"/>
      <w:sz w:val="22"/>
      <w:szCs w:val="24"/>
    </w:rPr>
  </w:style>
  <w:style w:type="paragraph" w:customStyle="1" w:styleId="AuditBody">
    <w:name w:val="AuditBody"/>
    <w:aliases w:val="ab,Audit Body"/>
    <w:basedOn w:val="Normal"/>
    <w:rsid w:val="002B0AA5"/>
    <w:pPr>
      <w:overflowPunct w:val="0"/>
      <w:autoSpaceDE w:val="0"/>
      <w:autoSpaceDN w:val="0"/>
      <w:adjustRightInd w:val="0"/>
      <w:spacing w:before="120" w:line="280" w:lineRule="atLeast"/>
      <w:jc w:val="both"/>
      <w:textAlignment w:val="baseline"/>
    </w:pPr>
    <w:rPr>
      <w:rFonts w:ascii="Arial" w:hAnsi="Arial"/>
      <w:sz w:val="20"/>
      <w:szCs w:val="20"/>
    </w:rPr>
  </w:style>
  <w:style w:type="paragraph" w:customStyle="1" w:styleId="FS2">
    <w:name w:val="FS2"/>
    <w:basedOn w:val="Normal"/>
    <w:link w:val="FS2Char"/>
    <w:rsid w:val="00810E7B"/>
    <w:pPr>
      <w:tabs>
        <w:tab w:val="decimal" w:pos="7280"/>
        <w:tab w:val="decimal" w:pos="9000"/>
      </w:tabs>
      <w:overflowPunct w:val="0"/>
      <w:autoSpaceDE w:val="0"/>
      <w:autoSpaceDN w:val="0"/>
      <w:adjustRightInd w:val="0"/>
      <w:ind w:left="540" w:hanging="180"/>
      <w:textAlignment w:val="baseline"/>
    </w:pPr>
    <w:rPr>
      <w:rFonts w:ascii="Arial" w:hAnsi="Arial"/>
      <w:sz w:val="20"/>
      <w:szCs w:val="20"/>
    </w:rPr>
  </w:style>
  <w:style w:type="character" w:customStyle="1" w:styleId="FS2Char">
    <w:name w:val="FS2 Char"/>
    <w:link w:val="FS2"/>
    <w:rsid w:val="00810E7B"/>
    <w:rPr>
      <w:rFonts w:ascii="Arial" w:eastAsia="Times New Roman" w:hAnsi="Arial"/>
    </w:rPr>
  </w:style>
  <w:style w:type="paragraph" w:customStyle="1" w:styleId="SecurityCont2">
    <w:name w:val="Security Cont 2"/>
    <w:aliases w:val="s2"/>
    <w:basedOn w:val="Normal"/>
    <w:link w:val="SecurityCont2Char"/>
    <w:rsid w:val="00810E7B"/>
    <w:pPr>
      <w:spacing w:after="240"/>
      <w:jc w:val="both"/>
    </w:pPr>
    <w:rPr>
      <w:rFonts w:ascii="Times New Roman" w:hAnsi="Times New Roman"/>
      <w:sz w:val="20"/>
      <w:szCs w:val="20"/>
      <w:lang w:val="en-CA"/>
    </w:rPr>
  </w:style>
  <w:style w:type="paragraph" w:styleId="NormalWeb">
    <w:name w:val="Normal (Web)"/>
    <w:basedOn w:val="Normal"/>
    <w:uiPriority w:val="99"/>
    <w:semiHidden/>
    <w:unhideWhenUsed/>
    <w:rsid w:val="0098509E"/>
    <w:pPr>
      <w:spacing w:before="100" w:beforeAutospacing="1" w:after="100" w:afterAutospacing="1"/>
    </w:pPr>
    <w:rPr>
      <w:rFonts w:ascii="Times New Roman" w:eastAsiaTheme="minorHAnsi" w:hAnsi="Times New Roman"/>
      <w:sz w:val="24"/>
      <w:lang w:val="es-AR" w:eastAsia="es-AR"/>
    </w:rPr>
  </w:style>
  <w:style w:type="paragraph" w:customStyle="1" w:styleId="SecurityCont3">
    <w:name w:val="Security Cont 3"/>
    <w:aliases w:val="s3"/>
    <w:basedOn w:val="SecurityCont2"/>
    <w:link w:val="SecurityCont3Char"/>
    <w:uiPriority w:val="99"/>
    <w:rsid w:val="00427A41"/>
  </w:style>
  <w:style w:type="character" w:customStyle="1" w:styleId="SecurityCont3Char">
    <w:name w:val="Security Cont 3 Char"/>
    <w:aliases w:val="s3 Char"/>
    <w:link w:val="SecurityCont3"/>
    <w:uiPriority w:val="99"/>
    <w:locked/>
    <w:rsid w:val="00427A41"/>
    <w:rPr>
      <w:rFonts w:ascii="Times New Roman" w:eastAsia="Times New Roman" w:hAnsi="Times New Roman"/>
      <w:lang w:val="en-CA"/>
    </w:rPr>
  </w:style>
  <w:style w:type="character" w:customStyle="1" w:styleId="SecurityCont2Char">
    <w:name w:val="Security Cont 2 Char"/>
    <w:aliases w:val="s2 Char"/>
    <w:basedOn w:val="DefaultParagraphFont"/>
    <w:link w:val="SecurityCont2"/>
    <w:rsid w:val="00CD4697"/>
    <w:rPr>
      <w:rFonts w:ascii="Times New Roman" w:eastAsia="Times New Roman" w:hAnsi="Times New Roman"/>
      <w:lang w:val="en-CA"/>
    </w:rPr>
  </w:style>
  <w:style w:type="character" w:customStyle="1" w:styleId="SecurityL8Char">
    <w:name w:val="Security_L8 Char"/>
    <w:basedOn w:val="DefaultParagraphFont"/>
    <w:link w:val="SecurityL8"/>
    <w:rsid w:val="00CD4697"/>
    <w:rPr>
      <w:rFonts w:ascii="Times New Roman" w:eastAsia="Times New Roman" w:hAnsi="Times New Roman"/>
      <w:sz w:val="18"/>
      <w:lang w:val="en-CA"/>
    </w:rPr>
  </w:style>
  <w:style w:type="character" w:customStyle="1" w:styleId="SecurityL9Char">
    <w:name w:val="Security_L9 Char"/>
    <w:basedOn w:val="DefaultParagraphFont"/>
    <w:link w:val="SecurityL9"/>
    <w:rsid w:val="00CD4697"/>
    <w:rPr>
      <w:rFonts w:ascii="Times New Roman" w:eastAsia="Times New Roman" w:hAnsi="Times New Roman"/>
      <w:i/>
      <w:sz w:val="18"/>
      <w:lang w:val="en-CA"/>
    </w:rPr>
  </w:style>
  <w:style w:type="character" w:customStyle="1" w:styleId="UnresolvedMention1">
    <w:name w:val="Unresolved Mention1"/>
    <w:basedOn w:val="DefaultParagraphFont"/>
    <w:uiPriority w:val="99"/>
    <w:semiHidden/>
    <w:unhideWhenUsed/>
    <w:rsid w:val="002D4B6B"/>
    <w:rPr>
      <w:color w:val="605E5C"/>
      <w:shd w:val="clear" w:color="auto" w:fill="E1DFDD"/>
    </w:rPr>
  </w:style>
  <w:style w:type="paragraph" w:styleId="FootnoteText">
    <w:name w:val="footnote text"/>
    <w:basedOn w:val="Normal"/>
    <w:link w:val="FootnoteTextChar"/>
    <w:uiPriority w:val="99"/>
    <w:unhideWhenUsed/>
    <w:rsid w:val="00EE79E4"/>
    <w:rPr>
      <w:sz w:val="20"/>
      <w:szCs w:val="20"/>
    </w:rPr>
  </w:style>
  <w:style w:type="character" w:customStyle="1" w:styleId="FootnoteTextChar">
    <w:name w:val="Footnote Text Char"/>
    <w:basedOn w:val="DefaultParagraphFont"/>
    <w:link w:val="FootnoteText"/>
    <w:uiPriority w:val="99"/>
    <w:rsid w:val="00EE79E4"/>
    <w:rPr>
      <w:rFonts w:ascii="Verdana" w:eastAsia="Times New Roman" w:hAnsi="Verdana"/>
    </w:rPr>
  </w:style>
  <w:style w:type="character" w:styleId="FootnoteReference">
    <w:name w:val="footnote reference"/>
    <w:basedOn w:val="DefaultParagraphFont"/>
    <w:uiPriority w:val="99"/>
    <w:semiHidden/>
    <w:unhideWhenUsed/>
    <w:rsid w:val="00EE79E4"/>
    <w:rPr>
      <w:vertAlign w:val="superscript"/>
    </w:rPr>
  </w:style>
  <w:style w:type="table" w:styleId="GridTable1Light">
    <w:name w:val="Grid Table 1 Light"/>
    <w:basedOn w:val="TableNormal"/>
    <w:uiPriority w:val="46"/>
    <w:rsid w:val="00631E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31EE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31E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cimalAligned">
    <w:name w:val="Decimal Aligned"/>
    <w:basedOn w:val="Normal"/>
    <w:uiPriority w:val="40"/>
    <w:qFormat/>
    <w:rsid w:val="00631EE4"/>
    <w:pPr>
      <w:tabs>
        <w:tab w:val="decimal" w:pos="360"/>
      </w:tabs>
      <w:spacing w:after="200" w:line="276" w:lineRule="auto"/>
    </w:pPr>
    <w:rPr>
      <w:rFonts w:asciiTheme="minorHAnsi" w:eastAsiaTheme="minorEastAsia" w:hAnsiTheme="minorHAnsi"/>
      <w:szCs w:val="22"/>
    </w:rPr>
  </w:style>
  <w:style w:type="character" w:styleId="SubtleEmphasis">
    <w:name w:val="Subtle Emphasis"/>
    <w:basedOn w:val="DefaultParagraphFont"/>
    <w:uiPriority w:val="19"/>
    <w:qFormat/>
    <w:rsid w:val="00631EE4"/>
    <w:rPr>
      <w:i/>
      <w:iCs/>
    </w:rPr>
  </w:style>
  <w:style w:type="table" w:styleId="MediumShading2-Accent5">
    <w:name w:val="Medium Shading 2 Accent 5"/>
    <w:basedOn w:val="TableNormal"/>
    <w:uiPriority w:val="64"/>
    <w:rsid w:val="00631EE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15">
      <w:bodyDiv w:val="1"/>
      <w:marLeft w:val="0"/>
      <w:marRight w:val="0"/>
      <w:marTop w:val="0"/>
      <w:marBottom w:val="0"/>
      <w:divBdr>
        <w:top w:val="none" w:sz="0" w:space="0" w:color="auto"/>
        <w:left w:val="none" w:sz="0" w:space="0" w:color="auto"/>
        <w:bottom w:val="none" w:sz="0" w:space="0" w:color="auto"/>
        <w:right w:val="none" w:sz="0" w:space="0" w:color="auto"/>
      </w:divBdr>
    </w:div>
    <w:div w:id="470825882">
      <w:bodyDiv w:val="1"/>
      <w:marLeft w:val="0"/>
      <w:marRight w:val="0"/>
      <w:marTop w:val="0"/>
      <w:marBottom w:val="0"/>
      <w:divBdr>
        <w:top w:val="none" w:sz="0" w:space="0" w:color="auto"/>
        <w:left w:val="none" w:sz="0" w:space="0" w:color="auto"/>
        <w:bottom w:val="none" w:sz="0" w:space="0" w:color="auto"/>
        <w:right w:val="none" w:sz="0" w:space="0" w:color="auto"/>
      </w:divBdr>
    </w:div>
    <w:div w:id="693533190">
      <w:bodyDiv w:val="1"/>
      <w:marLeft w:val="0"/>
      <w:marRight w:val="0"/>
      <w:marTop w:val="0"/>
      <w:marBottom w:val="0"/>
      <w:divBdr>
        <w:top w:val="none" w:sz="0" w:space="0" w:color="auto"/>
        <w:left w:val="none" w:sz="0" w:space="0" w:color="auto"/>
        <w:bottom w:val="none" w:sz="0" w:space="0" w:color="auto"/>
        <w:right w:val="none" w:sz="0" w:space="0" w:color="auto"/>
      </w:divBdr>
    </w:div>
    <w:div w:id="842625594">
      <w:bodyDiv w:val="1"/>
      <w:marLeft w:val="0"/>
      <w:marRight w:val="0"/>
      <w:marTop w:val="0"/>
      <w:marBottom w:val="0"/>
      <w:divBdr>
        <w:top w:val="none" w:sz="0" w:space="0" w:color="auto"/>
        <w:left w:val="none" w:sz="0" w:space="0" w:color="auto"/>
        <w:bottom w:val="none" w:sz="0" w:space="0" w:color="auto"/>
        <w:right w:val="none" w:sz="0" w:space="0" w:color="auto"/>
      </w:divBdr>
    </w:div>
    <w:div w:id="848372547">
      <w:bodyDiv w:val="1"/>
      <w:marLeft w:val="0"/>
      <w:marRight w:val="0"/>
      <w:marTop w:val="0"/>
      <w:marBottom w:val="0"/>
      <w:divBdr>
        <w:top w:val="none" w:sz="0" w:space="0" w:color="auto"/>
        <w:left w:val="none" w:sz="0" w:space="0" w:color="auto"/>
        <w:bottom w:val="none" w:sz="0" w:space="0" w:color="auto"/>
        <w:right w:val="none" w:sz="0" w:space="0" w:color="auto"/>
      </w:divBdr>
    </w:div>
    <w:div w:id="944459396">
      <w:bodyDiv w:val="1"/>
      <w:marLeft w:val="0"/>
      <w:marRight w:val="0"/>
      <w:marTop w:val="0"/>
      <w:marBottom w:val="0"/>
      <w:divBdr>
        <w:top w:val="none" w:sz="0" w:space="0" w:color="auto"/>
        <w:left w:val="none" w:sz="0" w:space="0" w:color="auto"/>
        <w:bottom w:val="none" w:sz="0" w:space="0" w:color="auto"/>
        <w:right w:val="none" w:sz="0" w:space="0" w:color="auto"/>
      </w:divBdr>
    </w:div>
    <w:div w:id="1073091310">
      <w:bodyDiv w:val="1"/>
      <w:marLeft w:val="0"/>
      <w:marRight w:val="0"/>
      <w:marTop w:val="0"/>
      <w:marBottom w:val="0"/>
      <w:divBdr>
        <w:top w:val="none" w:sz="0" w:space="0" w:color="auto"/>
        <w:left w:val="none" w:sz="0" w:space="0" w:color="auto"/>
        <w:bottom w:val="none" w:sz="0" w:space="0" w:color="auto"/>
        <w:right w:val="none" w:sz="0" w:space="0" w:color="auto"/>
      </w:divBdr>
    </w:div>
    <w:div w:id="1239635053">
      <w:bodyDiv w:val="1"/>
      <w:marLeft w:val="0"/>
      <w:marRight w:val="0"/>
      <w:marTop w:val="0"/>
      <w:marBottom w:val="0"/>
      <w:divBdr>
        <w:top w:val="none" w:sz="0" w:space="0" w:color="auto"/>
        <w:left w:val="none" w:sz="0" w:space="0" w:color="auto"/>
        <w:bottom w:val="none" w:sz="0" w:space="0" w:color="auto"/>
        <w:right w:val="none" w:sz="0" w:space="0" w:color="auto"/>
      </w:divBdr>
    </w:div>
    <w:div w:id="1378121507">
      <w:bodyDiv w:val="1"/>
      <w:marLeft w:val="0"/>
      <w:marRight w:val="0"/>
      <w:marTop w:val="0"/>
      <w:marBottom w:val="0"/>
      <w:divBdr>
        <w:top w:val="none" w:sz="0" w:space="0" w:color="auto"/>
        <w:left w:val="none" w:sz="0" w:space="0" w:color="auto"/>
        <w:bottom w:val="none" w:sz="0" w:space="0" w:color="auto"/>
        <w:right w:val="none" w:sz="0" w:space="0" w:color="auto"/>
      </w:divBdr>
    </w:div>
    <w:div w:id="1459641473">
      <w:bodyDiv w:val="1"/>
      <w:marLeft w:val="0"/>
      <w:marRight w:val="0"/>
      <w:marTop w:val="0"/>
      <w:marBottom w:val="0"/>
      <w:divBdr>
        <w:top w:val="none" w:sz="0" w:space="0" w:color="auto"/>
        <w:left w:val="none" w:sz="0" w:space="0" w:color="auto"/>
        <w:bottom w:val="none" w:sz="0" w:space="0" w:color="auto"/>
        <w:right w:val="none" w:sz="0" w:space="0" w:color="auto"/>
      </w:divBdr>
    </w:div>
    <w:div w:id="1577931113">
      <w:bodyDiv w:val="1"/>
      <w:marLeft w:val="0"/>
      <w:marRight w:val="0"/>
      <w:marTop w:val="0"/>
      <w:marBottom w:val="0"/>
      <w:divBdr>
        <w:top w:val="none" w:sz="0" w:space="0" w:color="auto"/>
        <w:left w:val="none" w:sz="0" w:space="0" w:color="auto"/>
        <w:bottom w:val="none" w:sz="0" w:space="0" w:color="auto"/>
        <w:right w:val="none" w:sz="0" w:space="0" w:color="auto"/>
      </w:divBdr>
    </w:div>
    <w:div w:id="2005009590">
      <w:bodyDiv w:val="1"/>
      <w:marLeft w:val="0"/>
      <w:marRight w:val="0"/>
      <w:marTop w:val="0"/>
      <w:marBottom w:val="0"/>
      <w:divBdr>
        <w:top w:val="none" w:sz="0" w:space="0" w:color="auto"/>
        <w:left w:val="none" w:sz="0" w:space="0" w:color="auto"/>
        <w:bottom w:val="none" w:sz="0" w:space="0" w:color="auto"/>
        <w:right w:val="none" w:sz="0" w:space="0" w:color="auto"/>
      </w:divBdr>
    </w:div>
    <w:div w:id="21363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moss@crownpointenerg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ownpointenerg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dden@crownpointener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5CBE-20E3-49CC-AAE0-E000EE446791}">
  <ds:schemaRefs>
    <ds:schemaRef ds:uri="http://schemas.openxmlformats.org/officeDocument/2006/bibliography"/>
  </ds:schemaRefs>
</ds:datastoreItem>
</file>

<file path=customXml/itemProps2.xml><?xml version="1.0" encoding="utf-8"?>
<ds:datastoreItem xmlns:ds="http://schemas.openxmlformats.org/officeDocument/2006/customXml" ds:itemID="{83DB7D83-07D0-4E65-BE6F-5904896BF849}">
  <ds:schemaRefs>
    <ds:schemaRef ds:uri="http://schemas.openxmlformats.org/officeDocument/2006/bibliography"/>
  </ds:schemaRefs>
</ds:datastoreItem>
</file>

<file path=customXml/itemProps3.xml><?xml version="1.0" encoding="utf-8"?>
<ds:datastoreItem xmlns:ds="http://schemas.openxmlformats.org/officeDocument/2006/customXml" ds:itemID="{3CF55117-8FF3-495F-8BEB-F8D582A87578}">
  <ds:schemaRefs>
    <ds:schemaRef ds:uri="http://schemas.openxmlformats.org/officeDocument/2006/bibliography"/>
  </ds:schemaRefs>
</ds:datastoreItem>
</file>

<file path=customXml/itemProps4.xml><?xml version="1.0" encoding="utf-8"?>
<ds:datastoreItem xmlns:ds="http://schemas.openxmlformats.org/officeDocument/2006/customXml" ds:itemID="{D676ABC1-0024-4A08-A515-D0978B43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2520</Words>
  <Characters>14369</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Company>
  <LinksUpToDate>false</LinksUpToDate>
  <CharactersWithSpaces>16856</CharactersWithSpaces>
  <SharedDoc>false</SharedDoc>
  <HLinks>
    <vt:vector size="48" baseType="variant">
      <vt:variant>
        <vt:i4>4259923</vt:i4>
      </vt:variant>
      <vt:variant>
        <vt:i4>21</vt:i4>
      </vt:variant>
      <vt:variant>
        <vt:i4>0</vt:i4>
      </vt:variant>
      <vt:variant>
        <vt:i4>5</vt:i4>
      </vt:variant>
      <vt:variant>
        <vt:lpwstr>http://www.crownpointenergy.com/</vt:lpwstr>
      </vt:variant>
      <vt:variant>
        <vt:lpwstr/>
      </vt:variant>
      <vt:variant>
        <vt:i4>2949128</vt:i4>
      </vt:variant>
      <vt:variant>
        <vt:i4>18</vt:i4>
      </vt:variant>
      <vt:variant>
        <vt:i4>0</vt:i4>
      </vt:variant>
      <vt:variant>
        <vt:i4>5</vt:i4>
      </vt:variant>
      <vt:variant>
        <vt:lpwstr>mailto:amadden@crownpointenergy.com</vt:lpwstr>
      </vt:variant>
      <vt:variant>
        <vt:lpwstr/>
      </vt:variant>
      <vt:variant>
        <vt:i4>2162777</vt:i4>
      </vt:variant>
      <vt:variant>
        <vt:i4>15</vt:i4>
      </vt:variant>
      <vt:variant>
        <vt:i4>0</vt:i4>
      </vt:variant>
      <vt:variant>
        <vt:i4>5</vt:i4>
      </vt:variant>
      <vt:variant>
        <vt:lpwstr>mailto:m.mccartney@crownpointenergy.com</vt:lpwstr>
      </vt:variant>
      <vt:variant>
        <vt:lpwstr/>
      </vt:variant>
      <vt:variant>
        <vt:i4>4259923</vt:i4>
      </vt:variant>
      <vt:variant>
        <vt:i4>12</vt:i4>
      </vt:variant>
      <vt:variant>
        <vt:i4>0</vt:i4>
      </vt:variant>
      <vt:variant>
        <vt:i4>5</vt:i4>
      </vt:variant>
      <vt:variant>
        <vt:lpwstr>http://www.crownpointenergy.com/</vt:lpwstr>
      </vt:variant>
      <vt:variant>
        <vt:lpwstr/>
      </vt:variant>
      <vt:variant>
        <vt:i4>4194325</vt:i4>
      </vt:variant>
      <vt:variant>
        <vt:i4>9</vt:i4>
      </vt:variant>
      <vt:variant>
        <vt:i4>0</vt:i4>
      </vt:variant>
      <vt:variant>
        <vt:i4>5</vt:i4>
      </vt:variant>
      <vt:variant>
        <vt:lpwstr>http://www.sedar.com/</vt:lpwstr>
      </vt:variant>
      <vt:variant>
        <vt:lpwstr/>
      </vt:variant>
      <vt:variant>
        <vt:i4>4259923</vt:i4>
      </vt:variant>
      <vt:variant>
        <vt:i4>6</vt:i4>
      </vt:variant>
      <vt:variant>
        <vt:i4>0</vt:i4>
      </vt:variant>
      <vt:variant>
        <vt:i4>5</vt:i4>
      </vt:variant>
      <vt:variant>
        <vt:lpwstr>http://www.crownpointenergy.com/</vt:lpwstr>
      </vt:variant>
      <vt:variant>
        <vt:lpwstr/>
      </vt:variant>
      <vt:variant>
        <vt:i4>4194325</vt:i4>
      </vt:variant>
      <vt:variant>
        <vt:i4>3</vt:i4>
      </vt:variant>
      <vt:variant>
        <vt:i4>0</vt:i4>
      </vt:variant>
      <vt:variant>
        <vt:i4>5</vt:i4>
      </vt:variant>
      <vt:variant>
        <vt:lpwstr>http://www.sedar.com/</vt:lpwstr>
      </vt:variant>
      <vt:variant>
        <vt:lpwstr/>
      </vt:variant>
      <vt:variant>
        <vt:i4>4259923</vt:i4>
      </vt:variant>
      <vt:variant>
        <vt:i4>0</vt:i4>
      </vt:variant>
      <vt:variant>
        <vt:i4>0</vt:i4>
      </vt:variant>
      <vt:variant>
        <vt:i4>5</vt:i4>
      </vt:variant>
      <vt:variant>
        <vt:lpwstr>http://www.crownpointenergy.com/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Seifert</dc:creator>
  <cp:keywords/>
  <dc:description/>
  <cp:lastModifiedBy>Chloé Letellier</cp:lastModifiedBy>
  <cp:revision>2</cp:revision>
  <cp:lastPrinted>2016-08-08T17:54:00Z</cp:lastPrinted>
  <dcterms:created xsi:type="dcterms:W3CDTF">2022-02-25T23:30:00Z</dcterms:created>
  <dcterms:modified xsi:type="dcterms:W3CDTF">2022-02-25T23:30:00Z</dcterms:modified>
</cp:coreProperties>
</file>