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5B7B0" w14:textId="77777777" w:rsidR="00A76D43" w:rsidRDefault="00A76D43" w:rsidP="0070547D">
      <w:pPr>
        <w:widowControl w:val="0"/>
        <w:tabs>
          <w:tab w:val="right" w:pos="9360"/>
        </w:tabs>
        <w:jc w:val="both"/>
        <w:rPr>
          <w:rFonts w:ascii="Arial" w:hAnsi="Arial" w:cs="Arial"/>
          <w:sz w:val="24"/>
        </w:rPr>
      </w:pPr>
    </w:p>
    <w:p w14:paraId="655362D0" w14:textId="63E96C89" w:rsidR="00997CEA" w:rsidRPr="00902562" w:rsidRDefault="00997CEA" w:rsidP="0070547D">
      <w:pPr>
        <w:widowControl w:val="0"/>
        <w:tabs>
          <w:tab w:val="right" w:pos="9360"/>
        </w:tabs>
        <w:jc w:val="both"/>
        <w:rPr>
          <w:rFonts w:ascii="Arial" w:hAnsi="Arial" w:cs="Arial"/>
          <w:sz w:val="24"/>
        </w:rPr>
      </w:pPr>
      <w:r>
        <w:rPr>
          <w:rFonts w:ascii="Arial" w:hAnsi="Arial" w:cs="Arial"/>
          <w:sz w:val="24"/>
        </w:rPr>
        <w:t xml:space="preserve">FOR IMMEDIATE RELEASE </w:t>
      </w:r>
      <w:r>
        <w:rPr>
          <w:rFonts w:ascii="Arial" w:hAnsi="Arial" w:cs="Arial"/>
          <w:sz w:val="24"/>
        </w:rPr>
        <w:tab/>
        <w:t>CWV: TSX.V</w:t>
      </w:r>
    </w:p>
    <w:p w14:paraId="4B02A0D3" w14:textId="5E88E5BD" w:rsidR="00997CEA" w:rsidRPr="00902562" w:rsidRDefault="00F808FD" w:rsidP="00D17181">
      <w:pPr>
        <w:widowControl w:val="0"/>
        <w:rPr>
          <w:rFonts w:ascii="Arial" w:hAnsi="Arial" w:cs="Arial"/>
          <w:sz w:val="24"/>
        </w:rPr>
      </w:pPr>
      <w:r>
        <w:rPr>
          <w:rFonts w:ascii="Arial" w:hAnsi="Arial" w:cs="Arial"/>
          <w:sz w:val="24"/>
        </w:rPr>
        <w:t>August 11</w:t>
      </w:r>
      <w:r w:rsidR="00E46032">
        <w:rPr>
          <w:rFonts w:ascii="Arial" w:hAnsi="Arial" w:cs="Arial"/>
          <w:sz w:val="24"/>
        </w:rPr>
        <w:t xml:space="preserve">, </w:t>
      </w:r>
      <w:r w:rsidR="00131320">
        <w:rPr>
          <w:rFonts w:ascii="Arial" w:hAnsi="Arial" w:cs="Arial"/>
          <w:sz w:val="24"/>
        </w:rPr>
        <w:t>202</w:t>
      </w:r>
      <w:r w:rsidR="0053049E">
        <w:rPr>
          <w:rFonts w:ascii="Arial" w:hAnsi="Arial" w:cs="Arial"/>
          <w:sz w:val="24"/>
        </w:rPr>
        <w:t>6</w:t>
      </w:r>
    </w:p>
    <w:p w14:paraId="3EE0A1A2" w14:textId="77777777" w:rsidR="00043229" w:rsidRPr="00902562" w:rsidRDefault="00043229" w:rsidP="00D17181">
      <w:pPr>
        <w:widowControl w:val="0"/>
        <w:rPr>
          <w:rFonts w:ascii="Arial" w:hAnsi="Arial" w:cs="Arial"/>
          <w:b/>
          <w:sz w:val="24"/>
        </w:rPr>
      </w:pPr>
    </w:p>
    <w:p w14:paraId="10096D0A" w14:textId="6B8B55C1" w:rsidR="00741769" w:rsidRDefault="00CD751F" w:rsidP="00741769">
      <w:pPr>
        <w:widowControl w:val="0"/>
        <w:ind w:left="720"/>
        <w:jc w:val="center"/>
        <w:outlineLvl w:val="0"/>
        <w:rPr>
          <w:rFonts w:ascii="Arial" w:hAnsi="Arial" w:cs="Arial"/>
          <w:b/>
          <w:sz w:val="24"/>
        </w:rPr>
      </w:pPr>
      <w:r>
        <w:rPr>
          <w:rFonts w:ascii="Arial" w:hAnsi="Arial" w:cs="Arial"/>
          <w:b/>
          <w:sz w:val="24"/>
        </w:rPr>
        <w:t>Crown Point Announces Operating and Financial Results</w:t>
      </w:r>
      <w:r w:rsidR="00741769">
        <w:rPr>
          <w:rFonts w:ascii="Arial" w:hAnsi="Arial" w:cs="Arial"/>
          <w:b/>
          <w:sz w:val="24"/>
        </w:rPr>
        <w:t xml:space="preserve"> </w:t>
      </w:r>
      <w:r w:rsidR="00F808FD" w:rsidRPr="00F808FD">
        <w:rPr>
          <w:rFonts w:ascii="Arial" w:hAnsi="Arial" w:cs="Arial"/>
          <w:b/>
          <w:sz w:val="24"/>
        </w:rPr>
        <w:t>for the Three and Six Months Ended June 30, 202</w:t>
      </w:r>
      <w:r w:rsidR="00F808FD">
        <w:rPr>
          <w:rFonts w:ascii="Arial" w:hAnsi="Arial" w:cs="Arial"/>
          <w:b/>
          <w:sz w:val="24"/>
        </w:rPr>
        <w:t>6</w:t>
      </w:r>
      <w:r w:rsidR="00F808FD" w:rsidRPr="00F808FD">
        <w:rPr>
          <w:rFonts w:ascii="Arial" w:hAnsi="Arial" w:cs="Arial"/>
          <w:b/>
          <w:sz w:val="24"/>
        </w:rPr>
        <w:t xml:space="preserve"> </w:t>
      </w:r>
    </w:p>
    <w:p w14:paraId="1A722296" w14:textId="4560076B" w:rsidR="00953B3F" w:rsidRPr="00575C18" w:rsidRDefault="00997CEA" w:rsidP="001C13CF">
      <w:pPr>
        <w:widowControl w:val="0"/>
        <w:tabs>
          <w:tab w:val="left" w:pos="1440"/>
        </w:tabs>
        <w:spacing w:before="120" w:line="240" w:lineRule="atLeast"/>
        <w:jc w:val="both"/>
        <w:rPr>
          <w:rFonts w:ascii="Arial" w:hAnsi="Arial" w:cs="Arial"/>
          <w:sz w:val="20"/>
          <w:szCs w:val="20"/>
        </w:rPr>
      </w:pPr>
      <w:r>
        <w:rPr>
          <w:rFonts w:ascii="Arial" w:hAnsi="Arial" w:cs="Arial"/>
          <w:b/>
          <w:sz w:val="20"/>
          <w:szCs w:val="20"/>
        </w:rPr>
        <w:t xml:space="preserve">TSX-V:  CWV: Crown Point Energy Inc. (“Crown Point”, </w:t>
      </w:r>
      <w:r>
        <w:rPr>
          <w:rFonts w:ascii="Arial" w:hAnsi="Arial" w:cs="Arial"/>
          <w:sz w:val="20"/>
          <w:szCs w:val="20"/>
        </w:rPr>
        <w:t>the</w:t>
      </w:r>
      <w:r>
        <w:rPr>
          <w:rFonts w:ascii="Arial" w:hAnsi="Arial" w:cs="Arial"/>
          <w:b/>
          <w:sz w:val="20"/>
          <w:szCs w:val="20"/>
        </w:rPr>
        <w:t xml:space="preserve"> “Company”</w:t>
      </w:r>
      <w:r w:rsidR="009D775B">
        <w:rPr>
          <w:rFonts w:ascii="Arial" w:hAnsi="Arial" w:cs="Arial"/>
          <w:b/>
          <w:sz w:val="20"/>
          <w:szCs w:val="20"/>
        </w:rPr>
        <w:t xml:space="preserve">, </w:t>
      </w:r>
      <w:r w:rsidR="009D775B" w:rsidRPr="009D775B">
        <w:rPr>
          <w:rFonts w:ascii="Arial" w:hAnsi="Arial" w:cs="Arial"/>
          <w:bCs/>
          <w:sz w:val="20"/>
          <w:szCs w:val="20"/>
        </w:rPr>
        <w:t>"</w:t>
      </w:r>
      <w:r w:rsidR="009D775B">
        <w:rPr>
          <w:rFonts w:ascii="Arial" w:hAnsi="Arial" w:cs="Arial"/>
          <w:b/>
          <w:sz w:val="20"/>
          <w:szCs w:val="20"/>
        </w:rPr>
        <w:t>our</w:t>
      </w:r>
      <w:r w:rsidR="009D775B" w:rsidRPr="009D775B">
        <w:rPr>
          <w:rFonts w:ascii="Arial" w:hAnsi="Arial" w:cs="Arial"/>
          <w:bCs/>
          <w:sz w:val="20"/>
          <w:szCs w:val="20"/>
        </w:rPr>
        <w:t>"</w:t>
      </w:r>
      <w:r>
        <w:rPr>
          <w:rFonts w:ascii="Arial" w:hAnsi="Arial" w:cs="Arial"/>
          <w:b/>
          <w:sz w:val="20"/>
          <w:szCs w:val="20"/>
        </w:rPr>
        <w:t xml:space="preserve"> </w:t>
      </w:r>
      <w:r>
        <w:rPr>
          <w:rFonts w:ascii="Arial" w:hAnsi="Arial" w:cs="Arial"/>
          <w:sz w:val="20"/>
          <w:szCs w:val="20"/>
        </w:rPr>
        <w:t>or</w:t>
      </w:r>
      <w:r>
        <w:rPr>
          <w:rFonts w:ascii="Arial" w:hAnsi="Arial" w:cs="Arial"/>
          <w:b/>
          <w:sz w:val="20"/>
          <w:szCs w:val="20"/>
        </w:rPr>
        <w:t xml:space="preserve"> </w:t>
      </w:r>
      <w:r>
        <w:rPr>
          <w:rFonts w:ascii="Arial" w:hAnsi="Arial" w:cs="Arial"/>
          <w:sz w:val="20"/>
          <w:szCs w:val="20"/>
        </w:rPr>
        <w:t>"</w:t>
      </w:r>
      <w:r>
        <w:rPr>
          <w:rFonts w:ascii="Arial" w:hAnsi="Arial" w:cs="Arial"/>
          <w:b/>
          <w:sz w:val="20"/>
          <w:szCs w:val="20"/>
        </w:rPr>
        <w:t>we</w:t>
      </w:r>
      <w:r>
        <w:rPr>
          <w:rFonts w:ascii="Arial" w:hAnsi="Arial" w:cs="Arial"/>
          <w:sz w:val="20"/>
          <w:szCs w:val="20"/>
        </w:rPr>
        <w:t>"</w:t>
      </w:r>
      <w:r>
        <w:rPr>
          <w:rFonts w:ascii="Arial" w:hAnsi="Arial" w:cs="Arial"/>
          <w:b/>
          <w:sz w:val="20"/>
          <w:szCs w:val="20"/>
        </w:rPr>
        <w:t>)</w:t>
      </w:r>
      <w:r>
        <w:rPr>
          <w:rFonts w:ascii="Arial" w:hAnsi="Arial" w:cs="Arial"/>
          <w:sz w:val="20"/>
          <w:szCs w:val="20"/>
        </w:rPr>
        <w:t xml:space="preserve"> today announced its financial </w:t>
      </w:r>
      <w:r w:rsidR="003A4BAA">
        <w:rPr>
          <w:rFonts w:ascii="Arial" w:hAnsi="Arial" w:cs="Arial"/>
          <w:sz w:val="20"/>
          <w:szCs w:val="20"/>
        </w:rPr>
        <w:t xml:space="preserve">and operating </w:t>
      </w:r>
      <w:r>
        <w:rPr>
          <w:rFonts w:ascii="Arial" w:hAnsi="Arial" w:cs="Arial"/>
          <w:sz w:val="20"/>
          <w:szCs w:val="20"/>
        </w:rPr>
        <w:t xml:space="preserve">results </w:t>
      </w:r>
      <w:r w:rsidR="00F808FD" w:rsidRPr="00F808FD">
        <w:rPr>
          <w:rFonts w:ascii="Arial" w:hAnsi="Arial" w:cs="Arial"/>
          <w:sz w:val="20"/>
          <w:szCs w:val="20"/>
        </w:rPr>
        <w:t>for the three and six months ended June 30, 202</w:t>
      </w:r>
      <w:r w:rsidR="00F808FD">
        <w:rPr>
          <w:rFonts w:ascii="Arial" w:hAnsi="Arial" w:cs="Arial"/>
          <w:sz w:val="20"/>
          <w:szCs w:val="20"/>
        </w:rPr>
        <w:t>6</w:t>
      </w:r>
      <w:r w:rsidR="009E0594">
        <w:rPr>
          <w:rFonts w:ascii="Arial" w:hAnsi="Arial" w:cs="Arial"/>
          <w:sz w:val="20"/>
          <w:szCs w:val="20"/>
        </w:rPr>
        <w:t>.</w:t>
      </w:r>
      <w:r w:rsidR="00575C18">
        <w:rPr>
          <w:rFonts w:ascii="Arial" w:hAnsi="Arial" w:cs="Arial"/>
          <w:sz w:val="20"/>
          <w:szCs w:val="20"/>
        </w:rPr>
        <w:t xml:space="preserve">  </w:t>
      </w:r>
      <w:r w:rsidR="00AF42C9">
        <w:rPr>
          <w:rFonts w:ascii="Arial" w:hAnsi="Arial" w:cs="Arial"/>
          <w:b/>
          <w:sz w:val="20"/>
          <w:szCs w:val="20"/>
        </w:rPr>
        <w:t>All dollar figures are expressed in United States dollars ("USD") unless otherwise stated.</w:t>
      </w:r>
    </w:p>
    <w:p w14:paraId="3F3F04C6" w14:textId="0F7EA027" w:rsidR="00F808FD" w:rsidRPr="00F808FD" w:rsidRDefault="00F808FD" w:rsidP="00F808FD">
      <w:pPr>
        <w:widowControl w:val="0"/>
        <w:spacing w:before="120"/>
        <w:jc w:val="both"/>
        <w:rPr>
          <w:rFonts w:ascii="Arial" w:hAnsi="Arial" w:cs="Arial"/>
          <w:sz w:val="20"/>
          <w:szCs w:val="20"/>
        </w:rPr>
      </w:pPr>
      <w:r w:rsidRPr="00F808FD">
        <w:rPr>
          <w:rFonts w:ascii="Arial" w:hAnsi="Arial" w:cs="Arial"/>
          <w:sz w:val="20"/>
          <w:szCs w:val="20"/>
        </w:rPr>
        <w:t>In the following discussion, the three months ended June 30, 202</w:t>
      </w:r>
      <w:r>
        <w:rPr>
          <w:rFonts w:ascii="Arial" w:hAnsi="Arial" w:cs="Arial"/>
          <w:sz w:val="20"/>
          <w:szCs w:val="20"/>
        </w:rPr>
        <w:t>6</w:t>
      </w:r>
      <w:r w:rsidRPr="00F808FD">
        <w:rPr>
          <w:rFonts w:ascii="Arial" w:hAnsi="Arial" w:cs="Arial"/>
          <w:sz w:val="20"/>
          <w:szCs w:val="20"/>
        </w:rPr>
        <w:t xml:space="preserve"> may be referred to as “Q2 202</w:t>
      </w:r>
      <w:r>
        <w:rPr>
          <w:rFonts w:ascii="Arial" w:hAnsi="Arial" w:cs="Arial"/>
          <w:sz w:val="20"/>
          <w:szCs w:val="20"/>
        </w:rPr>
        <w:t>6</w:t>
      </w:r>
      <w:r w:rsidRPr="00F808FD">
        <w:rPr>
          <w:rFonts w:ascii="Arial" w:hAnsi="Arial" w:cs="Arial"/>
          <w:sz w:val="20"/>
          <w:szCs w:val="20"/>
        </w:rPr>
        <w:t>”.  The comparative three months ended June 30, 202</w:t>
      </w:r>
      <w:r>
        <w:rPr>
          <w:rFonts w:ascii="Arial" w:hAnsi="Arial" w:cs="Arial"/>
          <w:sz w:val="20"/>
          <w:szCs w:val="20"/>
        </w:rPr>
        <w:t>5</w:t>
      </w:r>
      <w:r w:rsidRPr="00F808FD">
        <w:rPr>
          <w:rFonts w:ascii="Arial" w:hAnsi="Arial" w:cs="Arial"/>
          <w:sz w:val="20"/>
          <w:szCs w:val="20"/>
        </w:rPr>
        <w:t>, may be referred to as “Q2 202</w:t>
      </w:r>
      <w:r>
        <w:rPr>
          <w:rFonts w:ascii="Arial" w:hAnsi="Arial" w:cs="Arial"/>
          <w:sz w:val="20"/>
          <w:szCs w:val="20"/>
        </w:rPr>
        <w:t>5</w:t>
      </w:r>
      <w:r w:rsidRPr="00F808FD">
        <w:rPr>
          <w:rFonts w:ascii="Arial" w:hAnsi="Arial" w:cs="Arial"/>
          <w:sz w:val="20"/>
          <w:szCs w:val="20"/>
        </w:rPr>
        <w:t>”.</w:t>
      </w:r>
    </w:p>
    <w:p w14:paraId="0FC864BC" w14:textId="2343B681" w:rsidR="002D3101" w:rsidRPr="00902562" w:rsidRDefault="00F808FD" w:rsidP="002D3101">
      <w:pPr>
        <w:widowControl w:val="0"/>
        <w:spacing w:before="120"/>
        <w:jc w:val="both"/>
        <w:rPr>
          <w:rFonts w:ascii="Arial" w:hAnsi="Arial" w:cs="Arial"/>
          <w:b/>
          <w:bCs/>
          <w:caps/>
          <w:color w:val="000000"/>
          <w:sz w:val="20"/>
          <w:szCs w:val="20"/>
        </w:rPr>
      </w:pPr>
      <w:r>
        <w:rPr>
          <w:rFonts w:ascii="Arial" w:hAnsi="Arial" w:cs="Arial"/>
          <w:b/>
          <w:bCs/>
          <w:caps/>
          <w:color w:val="000000"/>
          <w:sz w:val="20"/>
          <w:szCs w:val="20"/>
        </w:rPr>
        <w:t xml:space="preserve">Q2 </w:t>
      </w:r>
      <w:r w:rsidR="00131320">
        <w:rPr>
          <w:rFonts w:ascii="Arial" w:hAnsi="Arial" w:cs="Arial"/>
          <w:b/>
          <w:bCs/>
          <w:caps/>
          <w:color w:val="000000"/>
          <w:sz w:val="20"/>
          <w:szCs w:val="20"/>
        </w:rPr>
        <w:t>202</w:t>
      </w:r>
      <w:r w:rsidR="007F1D70">
        <w:rPr>
          <w:rFonts w:ascii="Arial" w:hAnsi="Arial" w:cs="Arial"/>
          <w:b/>
          <w:bCs/>
          <w:caps/>
          <w:color w:val="000000"/>
          <w:sz w:val="20"/>
          <w:szCs w:val="20"/>
        </w:rPr>
        <w:t>6</w:t>
      </w:r>
      <w:r w:rsidR="00131320">
        <w:rPr>
          <w:rFonts w:ascii="Arial" w:hAnsi="Arial" w:cs="Arial"/>
          <w:b/>
          <w:bCs/>
          <w:caps/>
          <w:color w:val="000000"/>
          <w:sz w:val="20"/>
          <w:szCs w:val="20"/>
        </w:rPr>
        <w:t xml:space="preserve"> </w:t>
      </w:r>
      <w:r w:rsidR="002D3101">
        <w:rPr>
          <w:rFonts w:ascii="Arial" w:hAnsi="Arial" w:cs="Arial"/>
          <w:b/>
          <w:bCs/>
          <w:caps/>
          <w:color w:val="000000"/>
          <w:sz w:val="20"/>
          <w:szCs w:val="20"/>
        </w:rPr>
        <w:t>SUMMARY</w:t>
      </w:r>
    </w:p>
    <w:p w14:paraId="15CD3FC4" w14:textId="47E74E62" w:rsidR="002D3101" w:rsidRPr="00902562" w:rsidRDefault="002D3101" w:rsidP="002D3101">
      <w:pPr>
        <w:widowControl w:val="0"/>
        <w:autoSpaceDE w:val="0"/>
        <w:autoSpaceDN w:val="0"/>
        <w:adjustRightInd w:val="0"/>
        <w:spacing w:before="120" w:line="240" w:lineRule="atLeast"/>
        <w:jc w:val="both"/>
        <w:rPr>
          <w:rFonts w:ascii="Arial" w:hAnsi="Arial" w:cs="Arial"/>
          <w:sz w:val="20"/>
          <w:szCs w:val="20"/>
        </w:rPr>
      </w:pPr>
      <w:r>
        <w:rPr>
          <w:rFonts w:ascii="Arial" w:hAnsi="Arial" w:cs="Arial"/>
          <w:sz w:val="20"/>
          <w:szCs w:val="20"/>
        </w:rPr>
        <w:t xml:space="preserve">During </w:t>
      </w:r>
      <w:r w:rsidR="00F808FD">
        <w:rPr>
          <w:rFonts w:ascii="Arial" w:hAnsi="Arial" w:cs="Arial"/>
          <w:sz w:val="20"/>
          <w:szCs w:val="20"/>
        </w:rPr>
        <w:t xml:space="preserve">Q2 </w:t>
      </w:r>
      <w:r w:rsidR="00131320">
        <w:rPr>
          <w:rFonts w:ascii="Arial" w:hAnsi="Arial" w:cs="Arial"/>
          <w:sz w:val="20"/>
          <w:szCs w:val="20"/>
        </w:rPr>
        <w:t>202</w:t>
      </w:r>
      <w:r w:rsidR="007F1D70">
        <w:rPr>
          <w:rFonts w:ascii="Arial" w:hAnsi="Arial" w:cs="Arial"/>
          <w:sz w:val="20"/>
          <w:szCs w:val="20"/>
        </w:rPr>
        <w:t>6</w:t>
      </w:r>
      <w:r>
        <w:rPr>
          <w:rFonts w:ascii="Arial" w:hAnsi="Arial" w:cs="Arial"/>
          <w:sz w:val="20"/>
          <w:szCs w:val="20"/>
        </w:rPr>
        <w:t>, the Company:</w:t>
      </w:r>
    </w:p>
    <w:p w14:paraId="7E13EFE8" w14:textId="211DB7BD" w:rsidR="002D3101" w:rsidRPr="0038594F" w:rsidRDefault="002D3101" w:rsidP="00614DA0">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sidRPr="0038594F">
        <w:rPr>
          <w:rFonts w:ascii="Arial" w:hAnsi="Arial" w:cs="Arial"/>
          <w:sz w:val="20"/>
          <w:szCs w:val="20"/>
        </w:rPr>
        <w:t xml:space="preserve">Reported net cash </w:t>
      </w:r>
      <w:r w:rsidR="007F1D70">
        <w:rPr>
          <w:rFonts w:ascii="Arial" w:hAnsi="Arial" w:cs="Arial"/>
          <w:sz w:val="20"/>
          <w:szCs w:val="20"/>
        </w:rPr>
        <w:t xml:space="preserve">and funds </w:t>
      </w:r>
      <w:r w:rsidR="00DF7B38">
        <w:rPr>
          <w:rFonts w:ascii="Arial" w:hAnsi="Arial" w:cs="Arial"/>
          <w:sz w:val="20"/>
          <w:szCs w:val="20"/>
        </w:rPr>
        <w:t xml:space="preserve">flow </w:t>
      </w:r>
      <w:r w:rsidRPr="0038594F">
        <w:rPr>
          <w:rFonts w:ascii="Arial" w:hAnsi="Arial" w:cs="Arial"/>
          <w:sz w:val="20"/>
          <w:szCs w:val="20"/>
        </w:rPr>
        <w:t>provided by operating activities of $</w:t>
      </w:r>
      <w:r w:rsidR="00F808FD">
        <w:rPr>
          <w:rFonts w:ascii="Arial" w:hAnsi="Arial" w:cs="Arial"/>
          <w:sz w:val="20"/>
          <w:szCs w:val="20"/>
        </w:rPr>
        <w:t>22.5</w:t>
      </w:r>
      <w:r w:rsidR="00131320" w:rsidRPr="0038594F">
        <w:rPr>
          <w:rFonts w:ascii="Arial" w:hAnsi="Arial" w:cs="Arial"/>
          <w:sz w:val="20"/>
          <w:szCs w:val="20"/>
        </w:rPr>
        <w:t xml:space="preserve"> </w:t>
      </w:r>
      <w:r w:rsidRPr="0038594F">
        <w:rPr>
          <w:rFonts w:ascii="Arial" w:hAnsi="Arial" w:cs="Arial"/>
          <w:sz w:val="20"/>
          <w:szCs w:val="20"/>
        </w:rPr>
        <w:t>million</w:t>
      </w:r>
      <w:r w:rsidR="00715734" w:rsidRPr="0038594F">
        <w:rPr>
          <w:rFonts w:ascii="Arial" w:hAnsi="Arial" w:cs="Arial"/>
          <w:sz w:val="20"/>
          <w:szCs w:val="20"/>
        </w:rPr>
        <w:t xml:space="preserve"> and $</w:t>
      </w:r>
      <w:r w:rsidR="00F808FD">
        <w:rPr>
          <w:rFonts w:ascii="Arial" w:hAnsi="Arial" w:cs="Arial"/>
          <w:sz w:val="20"/>
          <w:szCs w:val="20"/>
        </w:rPr>
        <w:t>17.4</w:t>
      </w:r>
      <w:r w:rsidR="00715734" w:rsidRPr="0038594F">
        <w:rPr>
          <w:rFonts w:ascii="Arial" w:hAnsi="Arial" w:cs="Arial"/>
          <w:sz w:val="20"/>
          <w:szCs w:val="20"/>
        </w:rPr>
        <w:t xml:space="preserve"> million</w:t>
      </w:r>
      <w:r w:rsidR="007664BA" w:rsidRPr="0038594F">
        <w:rPr>
          <w:rFonts w:ascii="Arial" w:hAnsi="Arial" w:cs="Arial"/>
          <w:sz w:val="20"/>
          <w:szCs w:val="20"/>
        </w:rPr>
        <w:t>, respectively</w:t>
      </w:r>
      <w:r w:rsidR="0038594F">
        <w:rPr>
          <w:rFonts w:ascii="Arial" w:hAnsi="Arial" w:cs="Arial"/>
          <w:sz w:val="20"/>
          <w:szCs w:val="20"/>
        </w:rPr>
        <w:t>,</w:t>
      </w:r>
      <w:r w:rsidR="0038594F" w:rsidRPr="0038594F">
        <w:rPr>
          <w:rFonts w:ascii="Arial" w:hAnsi="Arial" w:cs="Arial"/>
          <w:sz w:val="20"/>
          <w:szCs w:val="20"/>
        </w:rPr>
        <w:t xml:space="preserve"> as compared to </w:t>
      </w:r>
      <w:r w:rsidR="00F808FD" w:rsidRPr="0038594F">
        <w:rPr>
          <w:rFonts w:ascii="Arial" w:hAnsi="Arial" w:cs="Arial"/>
          <w:sz w:val="20"/>
          <w:szCs w:val="20"/>
        </w:rPr>
        <w:t>Q</w:t>
      </w:r>
      <w:r w:rsidR="00F808FD">
        <w:rPr>
          <w:rFonts w:ascii="Arial" w:hAnsi="Arial" w:cs="Arial"/>
          <w:sz w:val="20"/>
          <w:szCs w:val="20"/>
        </w:rPr>
        <w:t>2</w:t>
      </w:r>
      <w:r w:rsidR="00F808FD" w:rsidRPr="0038594F">
        <w:rPr>
          <w:rFonts w:ascii="Arial" w:hAnsi="Arial" w:cs="Arial"/>
          <w:sz w:val="20"/>
          <w:szCs w:val="20"/>
        </w:rPr>
        <w:t xml:space="preserve"> </w:t>
      </w:r>
      <w:r w:rsidR="0038594F" w:rsidRPr="0038594F">
        <w:rPr>
          <w:rFonts w:ascii="Arial" w:hAnsi="Arial" w:cs="Arial"/>
          <w:sz w:val="20"/>
          <w:szCs w:val="20"/>
        </w:rPr>
        <w:t>202</w:t>
      </w:r>
      <w:r w:rsidR="00EC0979">
        <w:rPr>
          <w:rFonts w:ascii="Arial" w:hAnsi="Arial" w:cs="Arial"/>
          <w:sz w:val="20"/>
          <w:szCs w:val="20"/>
        </w:rPr>
        <w:t>5</w:t>
      </w:r>
      <w:r w:rsidR="0038594F" w:rsidRPr="0038594F">
        <w:rPr>
          <w:rFonts w:ascii="Arial" w:hAnsi="Arial" w:cs="Arial"/>
          <w:sz w:val="20"/>
          <w:szCs w:val="20"/>
        </w:rPr>
        <w:t xml:space="preserve"> when the Company </w:t>
      </w:r>
      <w:r w:rsidR="00EC0979">
        <w:rPr>
          <w:rFonts w:ascii="Arial" w:hAnsi="Arial" w:cs="Arial"/>
          <w:sz w:val="20"/>
          <w:szCs w:val="20"/>
        </w:rPr>
        <w:t>r</w:t>
      </w:r>
      <w:r w:rsidR="00EC0979" w:rsidRPr="0038594F">
        <w:rPr>
          <w:rFonts w:ascii="Arial" w:hAnsi="Arial" w:cs="Arial"/>
          <w:sz w:val="20"/>
          <w:szCs w:val="20"/>
        </w:rPr>
        <w:t>eported net cash provided by operating activities and funds flow used in operating activities of $</w:t>
      </w:r>
      <w:r w:rsidR="00F808FD">
        <w:rPr>
          <w:rFonts w:ascii="Arial" w:hAnsi="Arial" w:cs="Arial"/>
          <w:sz w:val="20"/>
          <w:szCs w:val="20"/>
        </w:rPr>
        <w:t>5.6</w:t>
      </w:r>
      <w:r w:rsidR="00EC0979" w:rsidRPr="0038594F">
        <w:rPr>
          <w:rFonts w:ascii="Arial" w:hAnsi="Arial" w:cs="Arial"/>
          <w:sz w:val="20"/>
          <w:szCs w:val="20"/>
        </w:rPr>
        <w:t xml:space="preserve"> million and $</w:t>
      </w:r>
      <w:r w:rsidR="00F808FD">
        <w:rPr>
          <w:rFonts w:ascii="Arial" w:hAnsi="Arial" w:cs="Arial"/>
          <w:sz w:val="20"/>
          <w:szCs w:val="20"/>
        </w:rPr>
        <w:t>5.0</w:t>
      </w:r>
      <w:r w:rsidR="006C40A5">
        <w:rPr>
          <w:rFonts w:ascii="Arial" w:hAnsi="Arial" w:cs="Arial"/>
          <w:sz w:val="20"/>
          <w:szCs w:val="20"/>
        </w:rPr>
        <w:t xml:space="preserve"> </w:t>
      </w:r>
      <w:r w:rsidR="00EC0979" w:rsidRPr="0038594F">
        <w:rPr>
          <w:rFonts w:ascii="Arial" w:hAnsi="Arial" w:cs="Arial"/>
          <w:sz w:val="20"/>
          <w:szCs w:val="20"/>
        </w:rPr>
        <w:t>million</w:t>
      </w:r>
      <w:r w:rsidR="0038594F">
        <w:rPr>
          <w:rFonts w:ascii="Arial" w:hAnsi="Arial" w:cs="Arial"/>
          <w:sz w:val="20"/>
          <w:szCs w:val="20"/>
        </w:rPr>
        <w:t>, respectively</w:t>
      </w:r>
      <w:r w:rsidR="0038594F" w:rsidRPr="0038594F">
        <w:rPr>
          <w:rFonts w:ascii="Arial" w:hAnsi="Arial" w:cs="Arial"/>
          <w:sz w:val="20"/>
          <w:szCs w:val="20"/>
        </w:rPr>
        <w:t>;</w:t>
      </w:r>
      <w:r w:rsidR="007E4CAF" w:rsidRPr="0038594F">
        <w:rPr>
          <w:rFonts w:ascii="Arial" w:hAnsi="Arial" w:cs="Arial"/>
          <w:sz w:val="20"/>
          <w:szCs w:val="20"/>
        </w:rPr>
        <w:tab/>
      </w:r>
    </w:p>
    <w:p w14:paraId="5DE78FD7" w14:textId="3413DE42" w:rsidR="002D3101"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Earned $</w:t>
      </w:r>
      <w:r w:rsidR="00F808FD">
        <w:rPr>
          <w:rFonts w:ascii="Arial" w:hAnsi="Arial" w:cs="Arial"/>
          <w:sz w:val="20"/>
          <w:szCs w:val="20"/>
        </w:rPr>
        <w:t>69.2</w:t>
      </w:r>
      <w:r w:rsidR="00131320">
        <w:rPr>
          <w:rFonts w:ascii="Arial" w:hAnsi="Arial" w:cs="Arial"/>
          <w:sz w:val="20"/>
          <w:szCs w:val="20"/>
        </w:rPr>
        <w:t xml:space="preserve"> </w:t>
      </w:r>
      <w:r>
        <w:rPr>
          <w:rFonts w:ascii="Arial" w:hAnsi="Arial" w:cs="Arial"/>
          <w:sz w:val="20"/>
          <w:szCs w:val="20"/>
        </w:rPr>
        <w:t xml:space="preserve">million of oil and natural gas sales revenue on total average daily sales volumes of </w:t>
      </w:r>
      <w:r w:rsidR="00F808FD">
        <w:rPr>
          <w:rFonts w:ascii="Arial" w:hAnsi="Arial" w:cs="Arial"/>
          <w:sz w:val="20"/>
          <w:szCs w:val="20"/>
        </w:rPr>
        <w:t>9,158</w:t>
      </w:r>
      <w:r w:rsidR="00131320">
        <w:rPr>
          <w:rFonts w:ascii="Arial" w:hAnsi="Arial" w:cs="Arial"/>
          <w:sz w:val="20"/>
          <w:szCs w:val="20"/>
        </w:rPr>
        <w:t xml:space="preserve"> </w:t>
      </w:r>
      <w:r>
        <w:rPr>
          <w:rFonts w:ascii="Arial" w:hAnsi="Arial" w:cs="Arial"/>
          <w:sz w:val="20"/>
          <w:szCs w:val="20"/>
        </w:rPr>
        <w:t>BOE per day</w:t>
      </w:r>
      <w:r w:rsidR="00BE51FA">
        <w:rPr>
          <w:rStyle w:val="FootnoteReference"/>
          <w:rFonts w:ascii="Arial" w:hAnsi="Arial" w:cs="Arial"/>
          <w:sz w:val="20"/>
          <w:szCs w:val="20"/>
        </w:rPr>
        <w:footnoteReference w:id="2"/>
      </w:r>
      <w:r w:rsidR="00FD7A6E">
        <w:rPr>
          <w:rFonts w:ascii="Arial" w:hAnsi="Arial" w:cs="Arial"/>
          <w:sz w:val="20"/>
          <w:szCs w:val="20"/>
        </w:rPr>
        <w:t>,</w:t>
      </w:r>
      <w:r w:rsidR="0038594F">
        <w:rPr>
          <w:rFonts w:ascii="Arial" w:hAnsi="Arial" w:cs="Arial"/>
          <w:sz w:val="20"/>
          <w:szCs w:val="20"/>
        </w:rPr>
        <w:t xml:space="preserve"> </w:t>
      </w:r>
      <w:r w:rsidR="0038594F" w:rsidRPr="0038594F">
        <w:rPr>
          <w:rFonts w:ascii="Arial" w:hAnsi="Arial" w:cs="Arial"/>
          <w:sz w:val="20"/>
          <w:szCs w:val="20"/>
        </w:rPr>
        <w:t xml:space="preserve">higher </w:t>
      </w:r>
      <w:r w:rsidR="0038594F">
        <w:rPr>
          <w:rFonts w:ascii="Arial" w:hAnsi="Arial" w:cs="Arial"/>
          <w:sz w:val="20"/>
          <w:szCs w:val="20"/>
        </w:rPr>
        <w:t>than $</w:t>
      </w:r>
      <w:r w:rsidR="00F808FD">
        <w:rPr>
          <w:rFonts w:ascii="Arial" w:hAnsi="Arial" w:cs="Arial"/>
          <w:sz w:val="20"/>
          <w:szCs w:val="20"/>
        </w:rPr>
        <w:t>22.2</w:t>
      </w:r>
      <w:r w:rsidR="0038594F">
        <w:rPr>
          <w:rFonts w:ascii="Arial" w:hAnsi="Arial" w:cs="Arial"/>
          <w:sz w:val="20"/>
          <w:szCs w:val="20"/>
        </w:rPr>
        <w:t xml:space="preserve"> million of oil and natural gas sales revenue on total average daily sales volumes of </w:t>
      </w:r>
      <w:r w:rsidR="00F808FD">
        <w:rPr>
          <w:rFonts w:ascii="Arial" w:hAnsi="Arial" w:cs="Arial"/>
          <w:sz w:val="20"/>
          <w:szCs w:val="20"/>
        </w:rPr>
        <w:t>4,083</w:t>
      </w:r>
      <w:r w:rsidR="0038594F" w:rsidRPr="0038594F">
        <w:rPr>
          <w:rFonts w:ascii="Arial" w:hAnsi="Arial" w:cs="Arial"/>
          <w:sz w:val="20"/>
          <w:szCs w:val="20"/>
        </w:rPr>
        <w:t xml:space="preserve"> BOE per day</w:t>
      </w:r>
      <w:r w:rsidR="00BE51FA">
        <w:rPr>
          <w:rStyle w:val="FootnoteReference"/>
          <w:rFonts w:ascii="Arial" w:hAnsi="Arial" w:cs="Arial"/>
          <w:sz w:val="20"/>
          <w:szCs w:val="20"/>
        </w:rPr>
        <w:footnoteReference w:id="3"/>
      </w:r>
      <w:r w:rsidR="0038594F" w:rsidRPr="0038594F">
        <w:rPr>
          <w:rFonts w:ascii="Arial" w:hAnsi="Arial" w:cs="Arial"/>
          <w:sz w:val="20"/>
          <w:szCs w:val="20"/>
        </w:rPr>
        <w:t xml:space="preserve"> in </w:t>
      </w:r>
      <w:r w:rsidR="00F808FD">
        <w:rPr>
          <w:rFonts w:ascii="Arial" w:hAnsi="Arial" w:cs="Arial"/>
          <w:sz w:val="20"/>
          <w:szCs w:val="20"/>
        </w:rPr>
        <w:t>Q2</w:t>
      </w:r>
      <w:r w:rsidR="00F808FD" w:rsidRPr="0038594F">
        <w:rPr>
          <w:rFonts w:ascii="Arial" w:hAnsi="Arial" w:cs="Arial"/>
          <w:sz w:val="20"/>
          <w:szCs w:val="20"/>
        </w:rPr>
        <w:t xml:space="preserve"> </w:t>
      </w:r>
      <w:r w:rsidR="0038594F" w:rsidRPr="0038594F">
        <w:rPr>
          <w:rFonts w:ascii="Arial" w:hAnsi="Arial" w:cs="Arial"/>
          <w:sz w:val="20"/>
          <w:szCs w:val="20"/>
        </w:rPr>
        <w:t>202</w:t>
      </w:r>
      <w:r w:rsidR="00160B5D">
        <w:rPr>
          <w:rFonts w:ascii="Arial" w:hAnsi="Arial" w:cs="Arial"/>
          <w:sz w:val="20"/>
          <w:szCs w:val="20"/>
        </w:rPr>
        <w:t>5</w:t>
      </w:r>
      <w:r w:rsidR="0038594F" w:rsidRPr="0038594F">
        <w:rPr>
          <w:rFonts w:ascii="Arial" w:hAnsi="Arial" w:cs="Arial"/>
          <w:sz w:val="20"/>
          <w:szCs w:val="20"/>
        </w:rPr>
        <w:t xml:space="preserve"> due to oil sales from the </w:t>
      </w:r>
      <w:r w:rsidR="00160B5D">
        <w:rPr>
          <w:rFonts w:ascii="Arial" w:hAnsi="Arial" w:cs="Arial"/>
          <w:sz w:val="20"/>
          <w:szCs w:val="20"/>
        </w:rPr>
        <w:t>Chubut concessions</w:t>
      </w:r>
      <w:r w:rsidR="00FD7A6E">
        <w:rPr>
          <w:rFonts w:ascii="Arial" w:hAnsi="Arial" w:cs="Arial"/>
          <w:sz w:val="20"/>
          <w:szCs w:val="20"/>
        </w:rPr>
        <w:t xml:space="preserve"> acquired in the fourth quarter of 2025</w:t>
      </w:r>
      <w:r w:rsidR="000E7F93">
        <w:rPr>
          <w:rFonts w:ascii="Arial" w:hAnsi="Arial" w:cs="Arial"/>
          <w:sz w:val="20"/>
          <w:szCs w:val="20"/>
        </w:rPr>
        <w:t>;</w:t>
      </w:r>
    </w:p>
    <w:p w14:paraId="17860EFD" w14:textId="563378BA" w:rsidR="002D3101"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Received an average of $</w:t>
      </w:r>
      <w:r w:rsidR="00F808FD">
        <w:rPr>
          <w:rFonts w:ascii="Arial" w:hAnsi="Arial" w:cs="Arial"/>
          <w:sz w:val="20"/>
          <w:szCs w:val="20"/>
        </w:rPr>
        <w:t>4.99</w:t>
      </w:r>
      <w:r w:rsidR="00BE4A40">
        <w:rPr>
          <w:rFonts w:ascii="Arial" w:hAnsi="Arial" w:cs="Arial"/>
          <w:sz w:val="20"/>
          <w:szCs w:val="20"/>
        </w:rPr>
        <w:t xml:space="preserve"> </w:t>
      </w:r>
      <w:r>
        <w:rPr>
          <w:rFonts w:ascii="Arial" w:hAnsi="Arial" w:cs="Arial"/>
          <w:sz w:val="20"/>
          <w:szCs w:val="20"/>
        </w:rPr>
        <w:t>per mcf for natural gas and $</w:t>
      </w:r>
      <w:r w:rsidR="00F808FD">
        <w:rPr>
          <w:rFonts w:ascii="Arial" w:hAnsi="Arial" w:cs="Arial"/>
          <w:sz w:val="20"/>
          <w:szCs w:val="20"/>
        </w:rPr>
        <w:t>90.24</w:t>
      </w:r>
      <w:r w:rsidR="00131320">
        <w:rPr>
          <w:rFonts w:ascii="Arial" w:hAnsi="Arial" w:cs="Arial"/>
          <w:sz w:val="20"/>
          <w:szCs w:val="20"/>
        </w:rPr>
        <w:t xml:space="preserve"> </w:t>
      </w:r>
      <w:r>
        <w:rPr>
          <w:rFonts w:ascii="Arial" w:hAnsi="Arial" w:cs="Arial"/>
          <w:sz w:val="20"/>
          <w:szCs w:val="20"/>
        </w:rPr>
        <w:t xml:space="preserve">per bbl for </w:t>
      </w:r>
      <w:r w:rsidR="00FD7A6E">
        <w:rPr>
          <w:rFonts w:ascii="Arial" w:hAnsi="Arial" w:cs="Arial"/>
          <w:sz w:val="20"/>
          <w:szCs w:val="20"/>
        </w:rPr>
        <w:t xml:space="preserve">crude </w:t>
      </w:r>
      <w:r>
        <w:rPr>
          <w:rFonts w:ascii="Arial" w:hAnsi="Arial" w:cs="Arial"/>
          <w:sz w:val="20"/>
          <w:szCs w:val="20"/>
        </w:rPr>
        <w:t>oil</w:t>
      </w:r>
      <w:r w:rsidR="0038594F">
        <w:rPr>
          <w:rFonts w:ascii="Arial" w:hAnsi="Arial" w:cs="Arial"/>
          <w:sz w:val="20"/>
          <w:szCs w:val="20"/>
        </w:rPr>
        <w:t xml:space="preserve"> </w:t>
      </w:r>
      <w:r w:rsidR="0038594F" w:rsidRPr="0038594F">
        <w:rPr>
          <w:rFonts w:ascii="Arial" w:hAnsi="Arial" w:cs="Arial"/>
          <w:sz w:val="20"/>
          <w:szCs w:val="20"/>
        </w:rPr>
        <w:t>compared to $</w:t>
      </w:r>
      <w:r w:rsidR="00F808FD">
        <w:rPr>
          <w:rFonts w:ascii="Arial" w:hAnsi="Arial" w:cs="Arial"/>
          <w:sz w:val="20"/>
          <w:szCs w:val="20"/>
        </w:rPr>
        <w:t>3.45</w:t>
      </w:r>
      <w:r w:rsidR="00160B5D">
        <w:rPr>
          <w:rFonts w:ascii="Arial" w:hAnsi="Arial" w:cs="Arial"/>
          <w:sz w:val="20"/>
          <w:szCs w:val="20"/>
        </w:rPr>
        <w:t xml:space="preserve"> </w:t>
      </w:r>
      <w:r w:rsidR="0038594F" w:rsidRPr="0038594F">
        <w:rPr>
          <w:rFonts w:ascii="Arial" w:hAnsi="Arial" w:cs="Arial"/>
          <w:sz w:val="20"/>
          <w:szCs w:val="20"/>
        </w:rPr>
        <w:t>per mcf for natural gas and $</w:t>
      </w:r>
      <w:r w:rsidR="00F808FD">
        <w:rPr>
          <w:rFonts w:ascii="Arial" w:hAnsi="Arial" w:cs="Arial"/>
          <w:sz w:val="20"/>
          <w:szCs w:val="20"/>
        </w:rPr>
        <w:t>67.26</w:t>
      </w:r>
      <w:r w:rsidR="00160B5D">
        <w:rPr>
          <w:rFonts w:ascii="Arial" w:hAnsi="Arial" w:cs="Arial"/>
          <w:sz w:val="20"/>
          <w:szCs w:val="20"/>
        </w:rPr>
        <w:t xml:space="preserve"> </w:t>
      </w:r>
      <w:r w:rsidR="0038594F" w:rsidRPr="0038594F">
        <w:rPr>
          <w:rFonts w:ascii="Arial" w:hAnsi="Arial" w:cs="Arial"/>
          <w:sz w:val="20"/>
          <w:szCs w:val="20"/>
        </w:rPr>
        <w:t xml:space="preserve">per bbl for oil received in </w:t>
      </w:r>
      <w:r w:rsidR="00F808FD" w:rsidRPr="0038594F">
        <w:rPr>
          <w:rFonts w:ascii="Arial" w:hAnsi="Arial" w:cs="Arial"/>
          <w:sz w:val="20"/>
          <w:szCs w:val="20"/>
        </w:rPr>
        <w:t>Q</w:t>
      </w:r>
      <w:r w:rsidR="00F808FD">
        <w:rPr>
          <w:rFonts w:ascii="Arial" w:hAnsi="Arial" w:cs="Arial"/>
          <w:sz w:val="20"/>
          <w:szCs w:val="20"/>
        </w:rPr>
        <w:t>2</w:t>
      </w:r>
      <w:r w:rsidR="00F808FD" w:rsidRPr="0038594F">
        <w:rPr>
          <w:rFonts w:ascii="Arial" w:hAnsi="Arial" w:cs="Arial"/>
          <w:sz w:val="20"/>
          <w:szCs w:val="20"/>
        </w:rPr>
        <w:t xml:space="preserve"> </w:t>
      </w:r>
      <w:r w:rsidR="0038594F" w:rsidRPr="0038594F">
        <w:rPr>
          <w:rFonts w:ascii="Arial" w:hAnsi="Arial" w:cs="Arial"/>
          <w:sz w:val="20"/>
          <w:szCs w:val="20"/>
        </w:rPr>
        <w:t>202</w:t>
      </w:r>
      <w:r w:rsidR="00160B5D">
        <w:rPr>
          <w:rFonts w:ascii="Arial" w:hAnsi="Arial" w:cs="Arial"/>
          <w:sz w:val="20"/>
          <w:szCs w:val="20"/>
        </w:rPr>
        <w:t>5</w:t>
      </w:r>
      <w:r w:rsidR="0038594F" w:rsidRPr="0038594F">
        <w:rPr>
          <w:rFonts w:ascii="Arial" w:hAnsi="Arial" w:cs="Arial"/>
          <w:sz w:val="20"/>
          <w:szCs w:val="20"/>
        </w:rPr>
        <w:t>;</w:t>
      </w:r>
    </w:p>
    <w:p w14:paraId="0CF9B842" w14:textId="66EAD40F" w:rsidR="002D3101"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Reported an operating netback of $</w:t>
      </w:r>
      <w:r w:rsidR="00F808FD">
        <w:rPr>
          <w:rFonts w:ascii="Arial" w:hAnsi="Arial" w:cs="Arial"/>
          <w:sz w:val="20"/>
          <w:szCs w:val="20"/>
        </w:rPr>
        <w:t>25.75</w:t>
      </w:r>
      <w:r>
        <w:rPr>
          <w:rFonts w:ascii="Arial" w:hAnsi="Arial" w:cs="Arial"/>
          <w:sz w:val="20"/>
          <w:szCs w:val="20"/>
        </w:rPr>
        <w:t xml:space="preserve"> per BOE </w:t>
      </w:r>
      <w:r>
        <w:rPr>
          <w:rStyle w:val="FootnoteReference"/>
          <w:rFonts w:ascii="Arial" w:hAnsi="Arial" w:cs="Arial"/>
          <w:sz w:val="20"/>
          <w:szCs w:val="20"/>
        </w:rPr>
        <w:footnoteReference w:id="4"/>
      </w:r>
      <w:r w:rsidR="0038594F">
        <w:rPr>
          <w:rFonts w:ascii="Arial" w:hAnsi="Arial" w:cs="Arial"/>
          <w:sz w:val="20"/>
          <w:szCs w:val="20"/>
        </w:rPr>
        <w:t xml:space="preserve"> </w:t>
      </w:r>
      <w:r w:rsidR="00160B5D">
        <w:rPr>
          <w:rFonts w:ascii="Arial" w:hAnsi="Arial" w:cs="Arial"/>
          <w:sz w:val="20"/>
          <w:szCs w:val="20"/>
        </w:rPr>
        <w:t>up</w:t>
      </w:r>
      <w:r w:rsidR="0038594F" w:rsidRPr="0038594F">
        <w:rPr>
          <w:rFonts w:ascii="Arial" w:hAnsi="Arial" w:cs="Arial"/>
          <w:sz w:val="20"/>
          <w:szCs w:val="20"/>
        </w:rPr>
        <w:t xml:space="preserve"> from </w:t>
      </w:r>
      <w:r w:rsidR="00F808FD" w:rsidRPr="00F808FD">
        <w:rPr>
          <w:rFonts w:ascii="Arial" w:hAnsi="Arial" w:cs="Arial"/>
          <w:sz w:val="20"/>
          <w:szCs w:val="20"/>
        </w:rPr>
        <w:t xml:space="preserve">$(7.50) per BOE </w:t>
      </w:r>
      <w:r w:rsidR="0038594F">
        <w:rPr>
          <w:rFonts w:ascii="Arial" w:hAnsi="Arial" w:cs="Arial"/>
          <w:sz w:val="20"/>
          <w:szCs w:val="20"/>
        </w:rPr>
        <w:t xml:space="preserve">in </w:t>
      </w:r>
      <w:r w:rsidR="00F808FD">
        <w:rPr>
          <w:rFonts w:ascii="Arial" w:hAnsi="Arial" w:cs="Arial"/>
          <w:sz w:val="20"/>
          <w:szCs w:val="20"/>
        </w:rPr>
        <w:t xml:space="preserve">Q2 </w:t>
      </w:r>
      <w:r w:rsidR="0038594F">
        <w:rPr>
          <w:rFonts w:ascii="Arial" w:hAnsi="Arial" w:cs="Arial"/>
          <w:sz w:val="20"/>
          <w:szCs w:val="20"/>
        </w:rPr>
        <w:t>202</w:t>
      </w:r>
      <w:r w:rsidR="00160B5D">
        <w:rPr>
          <w:rFonts w:ascii="Arial" w:hAnsi="Arial" w:cs="Arial"/>
          <w:sz w:val="20"/>
          <w:szCs w:val="20"/>
        </w:rPr>
        <w:t>5</w:t>
      </w:r>
      <w:r>
        <w:rPr>
          <w:rFonts w:ascii="Arial" w:hAnsi="Arial" w:cs="Arial"/>
          <w:sz w:val="20"/>
          <w:szCs w:val="20"/>
        </w:rPr>
        <w:t xml:space="preserve">; </w:t>
      </w:r>
    </w:p>
    <w:p w14:paraId="737C1EDC" w14:textId="738DD56C" w:rsidR="009D02A2" w:rsidRPr="006C40A5" w:rsidRDefault="0088193F" w:rsidP="006C40A5">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 xml:space="preserve">Issued </w:t>
      </w:r>
      <w:r w:rsidR="002D3101" w:rsidRPr="009D02A2">
        <w:rPr>
          <w:rFonts w:ascii="Arial" w:hAnsi="Arial" w:cs="Arial"/>
          <w:sz w:val="20"/>
          <w:szCs w:val="20"/>
        </w:rPr>
        <w:t>$</w:t>
      </w:r>
      <w:r w:rsidR="00F808FD">
        <w:rPr>
          <w:rFonts w:ascii="Arial" w:hAnsi="Arial" w:cs="Arial"/>
          <w:sz w:val="20"/>
          <w:szCs w:val="20"/>
        </w:rPr>
        <w:t>17.6</w:t>
      </w:r>
      <w:r w:rsidR="00BE4A40" w:rsidRPr="009D02A2">
        <w:rPr>
          <w:rFonts w:ascii="Arial" w:hAnsi="Arial" w:cs="Arial"/>
          <w:sz w:val="20"/>
          <w:szCs w:val="20"/>
        </w:rPr>
        <w:t xml:space="preserve"> </w:t>
      </w:r>
      <w:r w:rsidR="002D3101" w:rsidRPr="009D02A2">
        <w:rPr>
          <w:rFonts w:ascii="Arial" w:hAnsi="Arial" w:cs="Arial"/>
          <w:sz w:val="20"/>
          <w:szCs w:val="20"/>
        </w:rPr>
        <w:t>million</w:t>
      </w:r>
      <w:r w:rsidR="006C40A5">
        <w:rPr>
          <w:rFonts w:ascii="Arial" w:hAnsi="Arial" w:cs="Arial"/>
          <w:sz w:val="20"/>
          <w:szCs w:val="20"/>
        </w:rPr>
        <w:t xml:space="preserve"> of discounted </w:t>
      </w:r>
      <w:r w:rsidR="006C40A5" w:rsidRPr="00177C5A">
        <w:rPr>
          <w:rFonts w:ascii="Arial" w:hAnsi="Arial" w:cs="Arial"/>
          <w:sz w:val="20"/>
          <w:szCs w:val="20"/>
        </w:rPr>
        <w:t>promissory notes</w:t>
      </w:r>
      <w:r w:rsidR="007E4CAF" w:rsidRPr="006C40A5">
        <w:rPr>
          <w:rFonts w:ascii="Arial" w:hAnsi="Arial" w:cs="Arial"/>
          <w:sz w:val="20"/>
          <w:szCs w:val="20"/>
        </w:rPr>
        <w:t xml:space="preserve"> </w:t>
      </w:r>
      <w:r w:rsidR="00545595" w:rsidRPr="006C40A5">
        <w:rPr>
          <w:rFonts w:ascii="Arial" w:hAnsi="Arial" w:cs="Arial"/>
          <w:sz w:val="20"/>
          <w:szCs w:val="20"/>
        </w:rPr>
        <w:t xml:space="preserve">and </w:t>
      </w:r>
      <w:r w:rsidR="009D02A2" w:rsidRPr="006C40A5">
        <w:rPr>
          <w:rFonts w:ascii="Arial" w:hAnsi="Arial" w:cs="Arial"/>
          <w:sz w:val="20"/>
          <w:szCs w:val="20"/>
        </w:rPr>
        <w:t>repaid $</w:t>
      </w:r>
      <w:r w:rsidR="00F808FD" w:rsidRPr="006C40A5">
        <w:rPr>
          <w:rFonts w:ascii="Arial" w:hAnsi="Arial" w:cs="Arial"/>
          <w:sz w:val="20"/>
          <w:szCs w:val="20"/>
        </w:rPr>
        <w:t>32.4</w:t>
      </w:r>
      <w:r w:rsidR="009D02A2" w:rsidRPr="006C40A5">
        <w:rPr>
          <w:rFonts w:ascii="Arial" w:hAnsi="Arial" w:cs="Arial"/>
          <w:sz w:val="20"/>
          <w:szCs w:val="20"/>
        </w:rPr>
        <w:t xml:space="preserve"> million of working capital </w:t>
      </w:r>
      <w:r w:rsidR="00131320" w:rsidRPr="006C40A5">
        <w:rPr>
          <w:rFonts w:ascii="Arial" w:hAnsi="Arial" w:cs="Arial"/>
          <w:sz w:val="20"/>
          <w:szCs w:val="20"/>
        </w:rPr>
        <w:t>loans</w:t>
      </w:r>
      <w:r w:rsidR="00177C5A" w:rsidRPr="006C40A5">
        <w:rPr>
          <w:rFonts w:ascii="Arial" w:hAnsi="Arial" w:cs="Arial"/>
          <w:sz w:val="20"/>
          <w:szCs w:val="20"/>
        </w:rPr>
        <w:t xml:space="preserve"> and </w:t>
      </w:r>
      <w:r w:rsidR="00736E1F" w:rsidRPr="006C40A5">
        <w:rPr>
          <w:rFonts w:ascii="Arial" w:hAnsi="Arial" w:cs="Arial"/>
          <w:sz w:val="20"/>
          <w:szCs w:val="20"/>
        </w:rPr>
        <w:t xml:space="preserve">discounted </w:t>
      </w:r>
      <w:r w:rsidR="00177C5A" w:rsidRPr="006C40A5">
        <w:rPr>
          <w:rFonts w:ascii="Arial" w:hAnsi="Arial" w:cs="Arial"/>
          <w:sz w:val="20"/>
          <w:szCs w:val="20"/>
        </w:rPr>
        <w:t>promissory notes</w:t>
      </w:r>
      <w:r w:rsidR="00276378" w:rsidRPr="006C40A5">
        <w:rPr>
          <w:rFonts w:ascii="Arial" w:hAnsi="Arial" w:cs="Arial"/>
          <w:sz w:val="20"/>
          <w:szCs w:val="20"/>
        </w:rPr>
        <w:t>;</w:t>
      </w:r>
    </w:p>
    <w:p w14:paraId="25105F80" w14:textId="48D083FE" w:rsidR="002D3101" w:rsidRPr="009D02A2"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sidRPr="009D02A2">
        <w:rPr>
          <w:rFonts w:ascii="Arial" w:hAnsi="Arial" w:cs="Arial"/>
          <w:sz w:val="20"/>
          <w:szCs w:val="20"/>
        </w:rPr>
        <w:t xml:space="preserve">Reported </w:t>
      </w:r>
      <w:r w:rsidR="00131320">
        <w:rPr>
          <w:rFonts w:ascii="Arial" w:hAnsi="Arial" w:cs="Arial"/>
          <w:sz w:val="20"/>
          <w:szCs w:val="20"/>
        </w:rPr>
        <w:t xml:space="preserve">income </w:t>
      </w:r>
      <w:r w:rsidRPr="009D02A2">
        <w:rPr>
          <w:rFonts w:ascii="Arial" w:hAnsi="Arial" w:cs="Arial"/>
          <w:sz w:val="20"/>
          <w:szCs w:val="20"/>
        </w:rPr>
        <w:t>before taxes of $</w:t>
      </w:r>
      <w:r w:rsidR="00F808FD">
        <w:rPr>
          <w:rFonts w:ascii="Arial" w:hAnsi="Arial" w:cs="Arial"/>
          <w:sz w:val="20"/>
          <w:szCs w:val="20"/>
        </w:rPr>
        <w:t>9.3</w:t>
      </w:r>
      <w:r w:rsidR="00570628" w:rsidRPr="009D02A2">
        <w:rPr>
          <w:rFonts w:ascii="Arial" w:hAnsi="Arial" w:cs="Arial"/>
          <w:sz w:val="20"/>
          <w:szCs w:val="20"/>
        </w:rPr>
        <w:t xml:space="preserve"> </w:t>
      </w:r>
      <w:r w:rsidRPr="009D02A2">
        <w:rPr>
          <w:rFonts w:ascii="Arial" w:hAnsi="Arial" w:cs="Arial"/>
          <w:sz w:val="20"/>
          <w:szCs w:val="20"/>
        </w:rPr>
        <w:t>millio</w:t>
      </w:r>
      <w:r w:rsidR="009D02A2">
        <w:rPr>
          <w:rFonts w:ascii="Arial" w:hAnsi="Arial" w:cs="Arial"/>
          <w:sz w:val="20"/>
          <w:szCs w:val="20"/>
        </w:rPr>
        <w:t>n</w:t>
      </w:r>
      <w:r w:rsidR="002E3117">
        <w:rPr>
          <w:rFonts w:ascii="Arial" w:hAnsi="Arial" w:cs="Arial"/>
          <w:sz w:val="20"/>
          <w:szCs w:val="20"/>
        </w:rPr>
        <w:t xml:space="preserve">, </w:t>
      </w:r>
      <w:r w:rsidR="001F00CF">
        <w:rPr>
          <w:rFonts w:ascii="Arial" w:hAnsi="Arial" w:cs="Arial"/>
          <w:sz w:val="20"/>
          <w:szCs w:val="20"/>
        </w:rPr>
        <w:t xml:space="preserve">deferred </w:t>
      </w:r>
      <w:r w:rsidR="002E3117">
        <w:rPr>
          <w:rFonts w:ascii="Arial" w:hAnsi="Arial" w:cs="Arial"/>
          <w:sz w:val="20"/>
          <w:szCs w:val="20"/>
        </w:rPr>
        <w:t xml:space="preserve">tax </w:t>
      </w:r>
      <w:r w:rsidR="00F808FD">
        <w:rPr>
          <w:rFonts w:ascii="Arial" w:hAnsi="Arial" w:cs="Arial"/>
          <w:sz w:val="20"/>
          <w:szCs w:val="20"/>
        </w:rPr>
        <w:t xml:space="preserve">provision </w:t>
      </w:r>
      <w:r w:rsidR="002E3117">
        <w:rPr>
          <w:rFonts w:ascii="Arial" w:hAnsi="Arial" w:cs="Arial"/>
          <w:sz w:val="20"/>
          <w:szCs w:val="20"/>
        </w:rPr>
        <w:t>of $</w:t>
      </w:r>
      <w:r w:rsidR="00F808FD">
        <w:rPr>
          <w:rFonts w:ascii="Arial" w:hAnsi="Arial" w:cs="Arial"/>
          <w:sz w:val="20"/>
          <w:szCs w:val="20"/>
        </w:rPr>
        <w:t>0.1</w:t>
      </w:r>
      <w:r w:rsidR="002E3117">
        <w:rPr>
          <w:rFonts w:ascii="Arial" w:hAnsi="Arial" w:cs="Arial"/>
          <w:sz w:val="20"/>
          <w:szCs w:val="20"/>
        </w:rPr>
        <w:t xml:space="preserve"> million</w:t>
      </w:r>
      <w:r w:rsidR="009D02A2">
        <w:rPr>
          <w:rFonts w:ascii="Arial" w:hAnsi="Arial" w:cs="Arial"/>
          <w:sz w:val="20"/>
          <w:szCs w:val="20"/>
        </w:rPr>
        <w:t xml:space="preserve"> </w:t>
      </w:r>
      <w:r w:rsidRPr="009D02A2">
        <w:rPr>
          <w:rFonts w:ascii="Arial" w:hAnsi="Arial" w:cs="Arial"/>
          <w:sz w:val="20"/>
          <w:szCs w:val="20"/>
        </w:rPr>
        <w:t xml:space="preserve">and net </w:t>
      </w:r>
      <w:r w:rsidR="00131320">
        <w:rPr>
          <w:rFonts w:ascii="Arial" w:hAnsi="Arial" w:cs="Arial"/>
          <w:sz w:val="20"/>
          <w:szCs w:val="20"/>
        </w:rPr>
        <w:t>income</w:t>
      </w:r>
      <w:r w:rsidR="00131320" w:rsidRPr="009D02A2">
        <w:rPr>
          <w:rFonts w:ascii="Arial" w:hAnsi="Arial" w:cs="Arial"/>
          <w:sz w:val="20"/>
          <w:szCs w:val="20"/>
        </w:rPr>
        <w:t xml:space="preserve"> </w:t>
      </w:r>
      <w:r w:rsidRPr="009D02A2">
        <w:rPr>
          <w:rFonts w:ascii="Arial" w:hAnsi="Arial" w:cs="Arial"/>
          <w:sz w:val="20"/>
          <w:szCs w:val="20"/>
        </w:rPr>
        <w:t>of $</w:t>
      </w:r>
      <w:r w:rsidR="00F808FD">
        <w:rPr>
          <w:rFonts w:ascii="Arial" w:hAnsi="Arial" w:cs="Arial"/>
          <w:sz w:val="20"/>
          <w:szCs w:val="20"/>
        </w:rPr>
        <w:t>9.2</w:t>
      </w:r>
      <w:r w:rsidRPr="009D02A2">
        <w:rPr>
          <w:rFonts w:ascii="Arial" w:hAnsi="Arial" w:cs="Arial"/>
          <w:sz w:val="20"/>
          <w:szCs w:val="20"/>
        </w:rPr>
        <w:t xml:space="preserve"> million</w:t>
      </w:r>
      <w:r w:rsidR="001F00CF">
        <w:rPr>
          <w:rFonts w:ascii="Arial" w:hAnsi="Arial" w:cs="Arial"/>
          <w:sz w:val="20"/>
          <w:szCs w:val="20"/>
        </w:rPr>
        <w:t>,</w:t>
      </w:r>
      <w:r w:rsidR="0038594F">
        <w:rPr>
          <w:rFonts w:ascii="Arial" w:hAnsi="Arial" w:cs="Arial"/>
          <w:sz w:val="20"/>
          <w:szCs w:val="20"/>
        </w:rPr>
        <w:t xml:space="preserve"> </w:t>
      </w:r>
      <w:r w:rsidR="0038594F" w:rsidRPr="0038594F">
        <w:rPr>
          <w:rFonts w:ascii="Arial" w:hAnsi="Arial" w:cs="Arial"/>
          <w:sz w:val="20"/>
          <w:szCs w:val="20"/>
        </w:rPr>
        <w:t xml:space="preserve">as compared to </w:t>
      </w:r>
      <w:r w:rsidR="00F808FD" w:rsidRPr="0038594F">
        <w:rPr>
          <w:rFonts w:ascii="Arial" w:hAnsi="Arial" w:cs="Arial"/>
          <w:sz w:val="20"/>
          <w:szCs w:val="20"/>
        </w:rPr>
        <w:t>Q</w:t>
      </w:r>
      <w:r w:rsidR="00F808FD">
        <w:rPr>
          <w:rFonts w:ascii="Arial" w:hAnsi="Arial" w:cs="Arial"/>
          <w:sz w:val="20"/>
          <w:szCs w:val="20"/>
        </w:rPr>
        <w:t>2</w:t>
      </w:r>
      <w:r w:rsidR="00F808FD" w:rsidRPr="0038594F">
        <w:rPr>
          <w:rFonts w:ascii="Arial" w:hAnsi="Arial" w:cs="Arial"/>
          <w:sz w:val="20"/>
          <w:szCs w:val="20"/>
        </w:rPr>
        <w:t xml:space="preserve"> </w:t>
      </w:r>
      <w:r w:rsidR="0038594F" w:rsidRPr="0038594F">
        <w:rPr>
          <w:rFonts w:ascii="Arial" w:hAnsi="Arial" w:cs="Arial"/>
          <w:sz w:val="20"/>
          <w:szCs w:val="20"/>
        </w:rPr>
        <w:t>202</w:t>
      </w:r>
      <w:r w:rsidR="00377CC8">
        <w:rPr>
          <w:rFonts w:ascii="Arial" w:hAnsi="Arial" w:cs="Arial"/>
          <w:sz w:val="20"/>
          <w:szCs w:val="20"/>
        </w:rPr>
        <w:t>5</w:t>
      </w:r>
      <w:r w:rsidR="0038594F" w:rsidRPr="0038594F">
        <w:rPr>
          <w:rFonts w:ascii="Arial" w:hAnsi="Arial" w:cs="Arial"/>
          <w:sz w:val="20"/>
          <w:szCs w:val="20"/>
        </w:rPr>
        <w:t xml:space="preserve"> when the Company reported </w:t>
      </w:r>
      <w:r w:rsidR="00F808FD">
        <w:rPr>
          <w:rFonts w:ascii="Arial" w:hAnsi="Arial" w:cs="Arial"/>
          <w:sz w:val="20"/>
          <w:szCs w:val="20"/>
        </w:rPr>
        <w:t>loss</w:t>
      </w:r>
      <w:r w:rsidR="00F808FD" w:rsidRPr="0038594F">
        <w:rPr>
          <w:rFonts w:ascii="Arial" w:hAnsi="Arial" w:cs="Arial"/>
          <w:sz w:val="20"/>
          <w:szCs w:val="20"/>
        </w:rPr>
        <w:t xml:space="preserve"> </w:t>
      </w:r>
      <w:r w:rsidR="0038594F" w:rsidRPr="0038594F">
        <w:rPr>
          <w:rFonts w:ascii="Arial" w:hAnsi="Arial" w:cs="Arial"/>
          <w:sz w:val="20"/>
          <w:szCs w:val="20"/>
        </w:rPr>
        <w:t>before taxes of $</w:t>
      </w:r>
      <w:r w:rsidR="00F808FD">
        <w:rPr>
          <w:rFonts w:ascii="Arial" w:hAnsi="Arial" w:cs="Arial"/>
          <w:sz w:val="20"/>
          <w:szCs w:val="20"/>
        </w:rPr>
        <w:t>9.1</w:t>
      </w:r>
      <w:r w:rsidR="0038594F" w:rsidRPr="0038594F">
        <w:rPr>
          <w:rFonts w:ascii="Arial" w:hAnsi="Arial" w:cs="Arial"/>
          <w:sz w:val="20"/>
          <w:szCs w:val="20"/>
        </w:rPr>
        <w:t xml:space="preserve"> million</w:t>
      </w:r>
      <w:r w:rsidR="002E3117">
        <w:rPr>
          <w:rFonts w:ascii="Arial" w:hAnsi="Arial" w:cs="Arial"/>
          <w:sz w:val="20"/>
          <w:szCs w:val="20"/>
        </w:rPr>
        <w:t xml:space="preserve">, </w:t>
      </w:r>
      <w:r w:rsidR="001F00CF">
        <w:rPr>
          <w:rFonts w:ascii="Arial" w:hAnsi="Arial" w:cs="Arial"/>
          <w:sz w:val="20"/>
          <w:szCs w:val="20"/>
        </w:rPr>
        <w:t xml:space="preserve">deferred </w:t>
      </w:r>
      <w:r w:rsidR="002E3117">
        <w:rPr>
          <w:rFonts w:ascii="Arial" w:hAnsi="Arial" w:cs="Arial"/>
          <w:sz w:val="20"/>
          <w:szCs w:val="20"/>
        </w:rPr>
        <w:t>tax recovery</w:t>
      </w:r>
      <w:r w:rsidR="00BE51FA">
        <w:rPr>
          <w:rFonts w:ascii="Arial" w:hAnsi="Arial" w:cs="Arial"/>
          <w:sz w:val="20"/>
          <w:szCs w:val="20"/>
        </w:rPr>
        <w:t xml:space="preserve"> of</w:t>
      </w:r>
      <w:r w:rsidR="002E3117">
        <w:rPr>
          <w:rFonts w:ascii="Arial" w:hAnsi="Arial" w:cs="Arial"/>
          <w:sz w:val="20"/>
          <w:szCs w:val="20"/>
        </w:rPr>
        <w:t xml:space="preserve"> $</w:t>
      </w:r>
      <w:r w:rsidR="00F808FD">
        <w:rPr>
          <w:rFonts w:ascii="Arial" w:hAnsi="Arial" w:cs="Arial"/>
          <w:sz w:val="20"/>
          <w:szCs w:val="20"/>
        </w:rPr>
        <w:t>3.4</w:t>
      </w:r>
      <w:r w:rsidR="002E3117">
        <w:rPr>
          <w:rFonts w:ascii="Arial" w:hAnsi="Arial" w:cs="Arial"/>
          <w:sz w:val="20"/>
          <w:szCs w:val="20"/>
        </w:rPr>
        <w:t xml:space="preserve"> million</w:t>
      </w:r>
      <w:r w:rsidR="0038594F" w:rsidRPr="0038594F">
        <w:rPr>
          <w:rFonts w:ascii="Arial" w:hAnsi="Arial" w:cs="Arial"/>
          <w:sz w:val="20"/>
          <w:szCs w:val="20"/>
        </w:rPr>
        <w:t xml:space="preserve"> and net </w:t>
      </w:r>
      <w:r w:rsidR="00BB03CA">
        <w:rPr>
          <w:rFonts w:ascii="Arial" w:hAnsi="Arial" w:cs="Arial"/>
          <w:sz w:val="20"/>
          <w:szCs w:val="20"/>
        </w:rPr>
        <w:t xml:space="preserve">loss </w:t>
      </w:r>
      <w:r w:rsidR="0038594F" w:rsidRPr="0038594F">
        <w:rPr>
          <w:rFonts w:ascii="Arial" w:hAnsi="Arial" w:cs="Arial"/>
          <w:sz w:val="20"/>
          <w:szCs w:val="20"/>
        </w:rPr>
        <w:t>of $</w:t>
      </w:r>
      <w:r w:rsidR="007B388C">
        <w:rPr>
          <w:rFonts w:ascii="Arial" w:hAnsi="Arial" w:cs="Arial"/>
          <w:sz w:val="20"/>
          <w:szCs w:val="20"/>
        </w:rPr>
        <w:t>5.7</w:t>
      </w:r>
      <w:r w:rsidR="0038594F" w:rsidRPr="0038594F">
        <w:rPr>
          <w:rFonts w:ascii="Arial" w:hAnsi="Arial" w:cs="Arial"/>
          <w:sz w:val="20"/>
          <w:szCs w:val="20"/>
        </w:rPr>
        <w:t xml:space="preserve"> million</w:t>
      </w:r>
      <w:r w:rsidR="002E3117">
        <w:rPr>
          <w:rFonts w:ascii="Arial" w:hAnsi="Arial" w:cs="Arial"/>
          <w:sz w:val="20"/>
          <w:szCs w:val="20"/>
        </w:rPr>
        <w:t>;</w:t>
      </w:r>
    </w:p>
    <w:p w14:paraId="3E4A0F01" w14:textId="42044AF9" w:rsidR="00964D5E" w:rsidRDefault="002D3101" w:rsidP="00763017">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sz w:val="20"/>
          <w:szCs w:val="20"/>
        </w:rPr>
      </w:pPr>
      <w:r>
        <w:rPr>
          <w:rFonts w:ascii="Arial" w:hAnsi="Arial" w:cs="Arial"/>
          <w:sz w:val="20"/>
          <w:szCs w:val="20"/>
        </w:rPr>
        <w:t>Reported a working capital deficit</w:t>
      </w:r>
      <w:r>
        <w:rPr>
          <w:rStyle w:val="FootnoteReference"/>
          <w:rFonts w:ascii="Arial" w:hAnsi="Arial" w:cs="Arial"/>
          <w:sz w:val="20"/>
          <w:szCs w:val="20"/>
        </w:rPr>
        <w:footnoteReference w:id="5"/>
      </w:r>
      <w:r>
        <w:rPr>
          <w:rFonts w:ascii="Arial" w:hAnsi="Arial" w:cs="Arial"/>
          <w:sz w:val="20"/>
          <w:szCs w:val="20"/>
        </w:rPr>
        <w:t xml:space="preserve"> of $</w:t>
      </w:r>
      <w:r w:rsidR="007B388C">
        <w:rPr>
          <w:rFonts w:ascii="Arial" w:hAnsi="Arial" w:cs="Arial"/>
          <w:sz w:val="20"/>
          <w:szCs w:val="20"/>
        </w:rPr>
        <w:t>63.4</w:t>
      </w:r>
      <w:r w:rsidR="00715734">
        <w:rPr>
          <w:rFonts w:ascii="Arial" w:hAnsi="Arial" w:cs="Arial"/>
          <w:sz w:val="20"/>
          <w:szCs w:val="20"/>
        </w:rPr>
        <w:t xml:space="preserve"> </w:t>
      </w:r>
      <w:r w:rsidR="000E7F93">
        <w:rPr>
          <w:rFonts w:ascii="Arial" w:hAnsi="Arial" w:cs="Arial"/>
          <w:sz w:val="20"/>
          <w:szCs w:val="20"/>
        </w:rPr>
        <w:t>million</w:t>
      </w:r>
      <w:r w:rsidR="001F00CF">
        <w:rPr>
          <w:rFonts w:ascii="Arial" w:hAnsi="Arial" w:cs="Arial"/>
          <w:sz w:val="20"/>
          <w:szCs w:val="20"/>
        </w:rPr>
        <w:t xml:space="preserve"> at </w:t>
      </w:r>
      <w:r w:rsidR="007B388C">
        <w:rPr>
          <w:rFonts w:ascii="Arial" w:hAnsi="Arial" w:cs="Arial"/>
          <w:sz w:val="20"/>
          <w:szCs w:val="20"/>
        </w:rPr>
        <w:t>June 30</w:t>
      </w:r>
      <w:r w:rsidR="001F00CF">
        <w:rPr>
          <w:rFonts w:ascii="Arial" w:hAnsi="Arial" w:cs="Arial"/>
          <w:sz w:val="20"/>
          <w:szCs w:val="20"/>
        </w:rPr>
        <w:t>, 2026, as compared to a working capital deficit of $71.8 million at December 31, 2025</w:t>
      </w:r>
      <w:r w:rsidR="000E7F93">
        <w:rPr>
          <w:rFonts w:ascii="Arial" w:hAnsi="Arial" w:cs="Arial"/>
          <w:sz w:val="20"/>
          <w:szCs w:val="20"/>
        </w:rPr>
        <w:t>.</w:t>
      </w:r>
    </w:p>
    <w:p w14:paraId="53F3F99B" w14:textId="77777777" w:rsidR="00131320" w:rsidRPr="00902562" w:rsidRDefault="00131320" w:rsidP="002D3101">
      <w:pPr>
        <w:rPr>
          <w:rFonts w:ascii="Arial" w:hAnsi="Arial" w:cs="Arial"/>
          <w:b/>
          <w:bCs/>
          <w:caps/>
          <w:color w:val="000000"/>
          <w:sz w:val="20"/>
          <w:szCs w:val="20"/>
        </w:rPr>
      </w:pPr>
    </w:p>
    <w:p w14:paraId="3284B894" w14:textId="0B1E9189" w:rsidR="002D3101" w:rsidRPr="00370915" w:rsidRDefault="002D3101" w:rsidP="002D3101">
      <w:pPr>
        <w:widowControl w:val="0"/>
        <w:rPr>
          <w:rFonts w:ascii="Arial" w:hAnsi="Arial" w:cs="Arial"/>
          <w:b/>
          <w:bCs/>
          <w:caps/>
          <w:color w:val="000000"/>
          <w:sz w:val="20"/>
          <w:szCs w:val="20"/>
        </w:rPr>
      </w:pPr>
      <w:r w:rsidRPr="00370915">
        <w:rPr>
          <w:rFonts w:ascii="Arial" w:hAnsi="Arial" w:cs="Arial"/>
          <w:b/>
          <w:bCs/>
          <w:caps/>
          <w:color w:val="000000"/>
          <w:sz w:val="20"/>
          <w:szCs w:val="20"/>
        </w:rPr>
        <w:t>SUBSEQUENT EVENTS</w:t>
      </w:r>
    </w:p>
    <w:p w14:paraId="7323137B" w14:textId="22CFAA54" w:rsidR="007B388C" w:rsidRDefault="00E026DB" w:rsidP="007B388C">
      <w:pPr>
        <w:widowControl w:val="0"/>
        <w:autoSpaceDE w:val="0"/>
        <w:autoSpaceDN w:val="0"/>
        <w:adjustRightInd w:val="0"/>
        <w:spacing w:before="120" w:line="240" w:lineRule="atLeast"/>
        <w:jc w:val="both"/>
        <w:rPr>
          <w:rFonts w:ascii="Arial" w:hAnsi="Arial" w:cs="Arial"/>
          <w:sz w:val="20"/>
          <w:szCs w:val="20"/>
        </w:rPr>
      </w:pPr>
      <w:r>
        <w:rPr>
          <w:rFonts w:ascii="Arial" w:hAnsi="Arial" w:cs="Arial"/>
          <w:sz w:val="20"/>
          <w:szCs w:val="20"/>
        </w:rPr>
        <w:t>On July 16</w:t>
      </w:r>
      <w:r w:rsidR="007B388C">
        <w:rPr>
          <w:rFonts w:ascii="Arial" w:hAnsi="Arial" w:cs="Arial"/>
          <w:sz w:val="20"/>
          <w:szCs w:val="20"/>
        </w:rPr>
        <w:t>, 2026, t</w:t>
      </w:r>
      <w:r w:rsidR="007B388C" w:rsidRPr="007B388C">
        <w:rPr>
          <w:rFonts w:ascii="Arial" w:hAnsi="Arial" w:cs="Arial"/>
          <w:sz w:val="20"/>
          <w:szCs w:val="20"/>
        </w:rPr>
        <w:t xml:space="preserve">he Company completed </w:t>
      </w:r>
      <w:r w:rsidR="00BC37DF">
        <w:rPr>
          <w:rFonts w:ascii="Arial" w:hAnsi="Arial" w:cs="Arial"/>
          <w:sz w:val="20"/>
          <w:szCs w:val="20"/>
        </w:rPr>
        <w:t>a</w:t>
      </w:r>
      <w:r w:rsidR="00BC37DF" w:rsidRPr="007B388C">
        <w:rPr>
          <w:rFonts w:ascii="Arial" w:hAnsi="Arial" w:cs="Arial"/>
          <w:sz w:val="20"/>
          <w:szCs w:val="20"/>
        </w:rPr>
        <w:t xml:space="preserve"> </w:t>
      </w:r>
      <w:r w:rsidR="00BC37DF">
        <w:rPr>
          <w:rFonts w:ascii="Arial" w:hAnsi="Arial" w:cs="Arial"/>
          <w:sz w:val="20"/>
          <w:szCs w:val="20"/>
        </w:rPr>
        <w:t>r</w:t>
      </w:r>
      <w:r w:rsidR="00BC37DF" w:rsidRPr="007B388C">
        <w:rPr>
          <w:rFonts w:ascii="Arial" w:hAnsi="Arial" w:cs="Arial"/>
          <w:sz w:val="20"/>
          <w:szCs w:val="20"/>
        </w:rPr>
        <w:t xml:space="preserve">ights </w:t>
      </w:r>
      <w:r w:rsidR="00BC37DF">
        <w:rPr>
          <w:rFonts w:ascii="Arial" w:hAnsi="Arial" w:cs="Arial"/>
          <w:sz w:val="20"/>
          <w:szCs w:val="20"/>
        </w:rPr>
        <w:t>o</w:t>
      </w:r>
      <w:r w:rsidR="00BC37DF" w:rsidRPr="007B388C">
        <w:rPr>
          <w:rFonts w:ascii="Arial" w:hAnsi="Arial" w:cs="Arial"/>
          <w:sz w:val="20"/>
          <w:szCs w:val="20"/>
        </w:rPr>
        <w:t>ffering</w:t>
      </w:r>
      <w:r w:rsidR="00BC37DF">
        <w:rPr>
          <w:rFonts w:ascii="Arial" w:hAnsi="Arial" w:cs="Arial"/>
          <w:sz w:val="20"/>
          <w:szCs w:val="20"/>
        </w:rPr>
        <w:t xml:space="preserve"> </w:t>
      </w:r>
      <w:r w:rsidR="00480EA7">
        <w:rPr>
          <w:rFonts w:ascii="Arial" w:hAnsi="Arial" w:cs="Arial"/>
          <w:sz w:val="20"/>
          <w:szCs w:val="20"/>
        </w:rPr>
        <w:t>pursuant to which the Company</w:t>
      </w:r>
      <w:r w:rsidR="007B388C" w:rsidRPr="007B388C">
        <w:rPr>
          <w:rFonts w:ascii="Arial" w:hAnsi="Arial" w:cs="Arial"/>
          <w:sz w:val="20"/>
          <w:szCs w:val="20"/>
        </w:rPr>
        <w:t xml:space="preserve"> issued 240,000,000 common shares at a price of $0.125 per share for gross proceeds of $30 million</w:t>
      </w:r>
      <w:r w:rsidR="00480EA7">
        <w:rPr>
          <w:rFonts w:ascii="Arial" w:hAnsi="Arial" w:cs="Arial"/>
          <w:sz w:val="20"/>
          <w:szCs w:val="20"/>
        </w:rPr>
        <w:t xml:space="preserve"> (the "</w:t>
      </w:r>
      <w:r w:rsidR="00480EA7" w:rsidRPr="00480EA7">
        <w:rPr>
          <w:rFonts w:ascii="Arial" w:hAnsi="Arial" w:cs="Arial"/>
          <w:b/>
          <w:bCs/>
          <w:sz w:val="20"/>
          <w:szCs w:val="20"/>
        </w:rPr>
        <w:t>Rights Offering</w:t>
      </w:r>
      <w:r w:rsidR="00480EA7">
        <w:rPr>
          <w:rFonts w:ascii="Arial" w:hAnsi="Arial" w:cs="Arial"/>
          <w:sz w:val="20"/>
          <w:szCs w:val="20"/>
        </w:rPr>
        <w:t>")</w:t>
      </w:r>
      <w:r w:rsidR="007B388C" w:rsidRPr="007B388C">
        <w:rPr>
          <w:rFonts w:ascii="Arial" w:hAnsi="Arial" w:cs="Arial"/>
          <w:sz w:val="20"/>
          <w:szCs w:val="20"/>
        </w:rPr>
        <w:t>, of which 238,289,708 common shares were acquired by Liminar</w:t>
      </w:r>
      <w:r>
        <w:rPr>
          <w:rFonts w:ascii="Arial" w:hAnsi="Arial" w:cs="Arial"/>
          <w:sz w:val="20"/>
          <w:szCs w:val="20"/>
        </w:rPr>
        <w:t xml:space="preserve"> Energia S.A. ("</w:t>
      </w:r>
      <w:r w:rsidRPr="00E026DB">
        <w:rPr>
          <w:rFonts w:ascii="Arial" w:hAnsi="Arial" w:cs="Arial"/>
          <w:b/>
          <w:bCs/>
          <w:sz w:val="20"/>
          <w:szCs w:val="20"/>
        </w:rPr>
        <w:t>Liminar</w:t>
      </w:r>
      <w:r>
        <w:rPr>
          <w:rFonts w:ascii="Arial" w:hAnsi="Arial" w:cs="Arial"/>
          <w:sz w:val="20"/>
          <w:szCs w:val="20"/>
        </w:rPr>
        <w:t>")</w:t>
      </w:r>
      <w:r w:rsidR="007B388C" w:rsidRPr="007B388C">
        <w:rPr>
          <w:rFonts w:ascii="Arial" w:hAnsi="Arial" w:cs="Arial"/>
          <w:sz w:val="20"/>
          <w:szCs w:val="20"/>
        </w:rPr>
        <w:t>.</w:t>
      </w:r>
      <w:r w:rsidR="007B388C">
        <w:rPr>
          <w:rFonts w:ascii="Arial" w:hAnsi="Arial" w:cs="Arial"/>
          <w:sz w:val="20"/>
          <w:szCs w:val="20"/>
        </w:rPr>
        <w:t xml:space="preserve"> </w:t>
      </w:r>
      <w:r w:rsidR="007B388C" w:rsidRPr="007B388C">
        <w:rPr>
          <w:rFonts w:ascii="Arial" w:hAnsi="Arial" w:cs="Arial"/>
          <w:sz w:val="20"/>
          <w:szCs w:val="20"/>
        </w:rPr>
        <w:t xml:space="preserve">Following the closing of the Rights Offering, the Company has 312,903,038 common shares issued and outstanding, of which 284,876,536 (approximately 91%) are owned by Liminar.    </w:t>
      </w:r>
    </w:p>
    <w:p w14:paraId="1993A066" w14:textId="4F604218" w:rsidR="00E026DB" w:rsidRPr="00722921" w:rsidRDefault="00E026DB" w:rsidP="007B388C">
      <w:pPr>
        <w:widowControl w:val="0"/>
        <w:autoSpaceDE w:val="0"/>
        <w:autoSpaceDN w:val="0"/>
        <w:adjustRightInd w:val="0"/>
        <w:spacing w:before="120" w:line="240" w:lineRule="atLeast"/>
        <w:jc w:val="both"/>
        <w:rPr>
          <w:rFonts w:ascii="Arial" w:hAnsi="Arial" w:cs="Arial"/>
          <w:b/>
          <w:bCs/>
          <w:sz w:val="20"/>
          <w:szCs w:val="20"/>
        </w:rPr>
      </w:pPr>
      <w:r w:rsidRPr="00E026DB">
        <w:rPr>
          <w:rFonts w:ascii="Arial" w:hAnsi="Arial" w:cs="Arial"/>
          <w:sz w:val="20"/>
          <w:szCs w:val="20"/>
        </w:rPr>
        <w:t xml:space="preserve">On July 16, 2026, the Company repaid the $29.9 million loan plus </w:t>
      </w:r>
      <w:r w:rsidR="00DB07E1">
        <w:rPr>
          <w:rFonts w:ascii="Arial" w:hAnsi="Arial" w:cs="Arial"/>
          <w:sz w:val="20"/>
          <w:szCs w:val="20"/>
        </w:rPr>
        <w:t xml:space="preserve">$0.1 million </w:t>
      </w:r>
      <w:r w:rsidRPr="00E026DB">
        <w:rPr>
          <w:rFonts w:ascii="Arial" w:hAnsi="Arial" w:cs="Arial"/>
          <w:sz w:val="20"/>
          <w:szCs w:val="20"/>
        </w:rPr>
        <w:t>accrued interest owed to Liminar using the proceeds of the Rights Offering.</w:t>
      </w:r>
    </w:p>
    <w:p w14:paraId="632F13AD" w14:textId="29E404D6" w:rsidR="00177C5A" w:rsidRDefault="00E026DB" w:rsidP="00177C5A">
      <w:pPr>
        <w:widowControl w:val="0"/>
        <w:autoSpaceDE w:val="0"/>
        <w:autoSpaceDN w:val="0"/>
        <w:adjustRightInd w:val="0"/>
        <w:spacing w:before="120" w:line="240" w:lineRule="atLeast"/>
        <w:jc w:val="both"/>
        <w:rPr>
          <w:rFonts w:ascii="Arial" w:hAnsi="Arial" w:cs="Arial"/>
          <w:sz w:val="20"/>
          <w:szCs w:val="20"/>
        </w:rPr>
      </w:pPr>
      <w:r>
        <w:rPr>
          <w:rFonts w:ascii="Arial" w:hAnsi="Arial" w:cs="Arial"/>
          <w:sz w:val="20"/>
          <w:szCs w:val="20"/>
        </w:rPr>
        <w:t>Subsequent to June 30, 2026, t</w:t>
      </w:r>
      <w:r w:rsidR="002D3101">
        <w:rPr>
          <w:rFonts w:ascii="Arial" w:hAnsi="Arial" w:cs="Arial"/>
          <w:sz w:val="20"/>
          <w:szCs w:val="20"/>
        </w:rPr>
        <w:t>he Company</w:t>
      </w:r>
      <w:r w:rsidR="00177C5A">
        <w:rPr>
          <w:rFonts w:ascii="Arial" w:hAnsi="Arial" w:cs="Arial"/>
          <w:sz w:val="20"/>
          <w:szCs w:val="20"/>
        </w:rPr>
        <w:t xml:space="preserve"> r</w:t>
      </w:r>
      <w:r w:rsidR="000D51F0" w:rsidRPr="00177C5A">
        <w:rPr>
          <w:rFonts w:ascii="Arial" w:hAnsi="Arial" w:cs="Arial"/>
          <w:sz w:val="20"/>
          <w:szCs w:val="20"/>
        </w:rPr>
        <w:t xml:space="preserve">epaid </w:t>
      </w:r>
      <w:r w:rsidR="00177C5A" w:rsidRPr="00177C5A">
        <w:rPr>
          <w:rFonts w:ascii="Arial" w:hAnsi="Arial" w:cs="Arial"/>
          <w:sz w:val="20"/>
          <w:szCs w:val="20"/>
        </w:rPr>
        <w:t>$</w:t>
      </w:r>
      <w:r w:rsidR="007B388C">
        <w:rPr>
          <w:rFonts w:ascii="Arial" w:hAnsi="Arial" w:cs="Arial"/>
          <w:sz w:val="20"/>
          <w:szCs w:val="20"/>
        </w:rPr>
        <w:t>11.6</w:t>
      </w:r>
      <w:r w:rsidR="00177C5A" w:rsidRPr="00177C5A">
        <w:rPr>
          <w:rFonts w:ascii="Arial" w:hAnsi="Arial" w:cs="Arial"/>
          <w:sz w:val="20"/>
          <w:szCs w:val="20"/>
        </w:rPr>
        <w:t xml:space="preserve"> million and </w:t>
      </w:r>
      <w:r w:rsidR="00480EA7">
        <w:rPr>
          <w:rFonts w:ascii="Arial" w:hAnsi="Arial" w:cs="Arial"/>
          <w:sz w:val="20"/>
          <w:szCs w:val="20"/>
        </w:rPr>
        <w:t xml:space="preserve">issued </w:t>
      </w:r>
      <w:r w:rsidR="00177C5A" w:rsidRPr="00177C5A">
        <w:rPr>
          <w:rFonts w:ascii="Arial" w:hAnsi="Arial" w:cs="Arial"/>
          <w:sz w:val="20"/>
          <w:szCs w:val="20"/>
        </w:rPr>
        <w:t>$</w:t>
      </w:r>
      <w:r w:rsidR="007B388C">
        <w:rPr>
          <w:rFonts w:ascii="Arial" w:hAnsi="Arial" w:cs="Arial"/>
          <w:sz w:val="20"/>
          <w:szCs w:val="20"/>
        </w:rPr>
        <w:t>13.2</w:t>
      </w:r>
      <w:r w:rsidR="00177C5A" w:rsidRPr="00177C5A">
        <w:rPr>
          <w:rFonts w:ascii="Arial" w:hAnsi="Arial" w:cs="Arial"/>
          <w:sz w:val="20"/>
          <w:szCs w:val="20"/>
        </w:rPr>
        <w:t xml:space="preserve"> million of discounted promissory notes.</w:t>
      </w:r>
    </w:p>
    <w:p w14:paraId="10369A14" w14:textId="2B9A48CE" w:rsidR="007B388C" w:rsidRDefault="007B388C" w:rsidP="007B388C">
      <w:pPr>
        <w:widowControl w:val="0"/>
        <w:autoSpaceDE w:val="0"/>
        <w:autoSpaceDN w:val="0"/>
        <w:adjustRightInd w:val="0"/>
        <w:spacing w:before="120" w:line="240" w:lineRule="atLeast"/>
        <w:jc w:val="both"/>
        <w:rPr>
          <w:rFonts w:ascii="Arial" w:hAnsi="Arial" w:cs="Arial"/>
          <w:sz w:val="20"/>
          <w:szCs w:val="20"/>
        </w:rPr>
      </w:pPr>
      <w:r w:rsidRPr="007B388C">
        <w:rPr>
          <w:rFonts w:ascii="Arial" w:hAnsi="Arial" w:cs="Arial"/>
          <w:sz w:val="20"/>
          <w:szCs w:val="20"/>
        </w:rPr>
        <w:lastRenderedPageBreak/>
        <w:t>On July 30, 2026, the Company paid a consent fee equal to 1% of the principal amount of the Series IX</w:t>
      </w:r>
      <w:r w:rsidR="00480EA7">
        <w:rPr>
          <w:rFonts w:ascii="Arial" w:hAnsi="Arial" w:cs="Arial"/>
          <w:sz w:val="20"/>
          <w:szCs w:val="20"/>
        </w:rPr>
        <w:t xml:space="preserve"> Notes Payable</w:t>
      </w:r>
      <w:r w:rsidRPr="007B388C">
        <w:rPr>
          <w:rFonts w:ascii="Arial" w:hAnsi="Arial" w:cs="Arial"/>
          <w:sz w:val="20"/>
          <w:szCs w:val="20"/>
        </w:rPr>
        <w:t>, in the amount of $</w:t>
      </w:r>
      <w:r>
        <w:rPr>
          <w:rFonts w:ascii="Arial" w:hAnsi="Arial" w:cs="Arial"/>
          <w:sz w:val="20"/>
          <w:szCs w:val="20"/>
        </w:rPr>
        <w:t>0.3 million</w:t>
      </w:r>
      <w:r w:rsidRPr="007B388C">
        <w:rPr>
          <w:rFonts w:ascii="Arial" w:hAnsi="Arial" w:cs="Arial"/>
          <w:sz w:val="20"/>
          <w:szCs w:val="20"/>
        </w:rPr>
        <w:t>, in connection with obtaining the noteholders' consent to permit the Company to use the excess collateral represented by the pledge over crude oil sales collections from the Chubut Concessions to secure future issuances of Notes Payable up to an aggregate principal amount of $100 million.</w:t>
      </w:r>
    </w:p>
    <w:p w14:paraId="7BB725F0" w14:textId="77777777" w:rsidR="00E026DB" w:rsidRDefault="00E026DB" w:rsidP="001B40D9">
      <w:pPr>
        <w:widowControl w:val="0"/>
        <w:rPr>
          <w:rFonts w:ascii="Arial" w:hAnsi="Arial" w:cs="Arial"/>
          <w:b/>
          <w:bCs/>
          <w:caps/>
          <w:color w:val="000000"/>
          <w:sz w:val="20"/>
          <w:szCs w:val="20"/>
        </w:rPr>
      </w:pPr>
    </w:p>
    <w:p w14:paraId="25496980" w14:textId="6485CA84" w:rsidR="001B40D9" w:rsidRDefault="001B40D9" w:rsidP="001B40D9">
      <w:pPr>
        <w:widowControl w:val="0"/>
        <w:rPr>
          <w:rFonts w:ascii="Arial" w:hAnsi="Arial" w:cs="Arial"/>
          <w:b/>
          <w:bCs/>
          <w:caps/>
          <w:color w:val="000000"/>
          <w:sz w:val="20"/>
          <w:szCs w:val="20"/>
        </w:rPr>
      </w:pPr>
      <w:r w:rsidRPr="009E6871">
        <w:rPr>
          <w:rFonts w:ascii="Arial" w:hAnsi="Arial" w:cs="Arial"/>
          <w:b/>
          <w:bCs/>
          <w:caps/>
          <w:color w:val="000000"/>
          <w:sz w:val="20"/>
          <w:szCs w:val="20"/>
        </w:rPr>
        <w:t>Operational update</w:t>
      </w:r>
    </w:p>
    <w:p w14:paraId="7F5C503C" w14:textId="77777777" w:rsidR="00090190" w:rsidRDefault="00090190" w:rsidP="007B388C">
      <w:pPr>
        <w:widowControl w:val="0"/>
        <w:autoSpaceDE w:val="0"/>
        <w:autoSpaceDN w:val="0"/>
        <w:adjustRightInd w:val="0"/>
        <w:spacing w:before="60" w:line="240" w:lineRule="atLeast"/>
        <w:jc w:val="both"/>
        <w:rPr>
          <w:rFonts w:ascii="Arial" w:hAnsi="Arial" w:cs="Arial"/>
          <w:b/>
          <w:sz w:val="20"/>
          <w:szCs w:val="20"/>
          <w:lang w:val="it-IT"/>
        </w:rPr>
      </w:pPr>
    </w:p>
    <w:p w14:paraId="421AE534" w14:textId="588EF510" w:rsidR="007B388C" w:rsidRPr="007B388C" w:rsidRDefault="007B388C" w:rsidP="007B388C">
      <w:pPr>
        <w:widowControl w:val="0"/>
        <w:autoSpaceDE w:val="0"/>
        <w:autoSpaceDN w:val="0"/>
        <w:adjustRightInd w:val="0"/>
        <w:spacing w:before="60" w:line="240" w:lineRule="atLeast"/>
        <w:jc w:val="both"/>
        <w:rPr>
          <w:rFonts w:ascii="Arial" w:hAnsi="Arial" w:cs="Arial"/>
          <w:b/>
          <w:sz w:val="20"/>
          <w:szCs w:val="20"/>
          <w:lang w:val="it-IT"/>
        </w:rPr>
      </w:pPr>
      <w:r w:rsidRPr="007B388C">
        <w:rPr>
          <w:rFonts w:ascii="Arial" w:hAnsi="Arial" w:cs="Arial"/>
          <w:b/>
          <w:sz w:val="20"/>
          <w:szCs w:val="20"/>
          <w:lang w:val="it-IT"/>
        </w:rPr>
        <w:t>Chubut Concessions</w:t>
      </w:r>
    </w:p>
    <w:p w14:paraId="1CD7D7D5" w14:textId="77777777" w:rsidR="007B388C" w:rsidRPr="007B388C" w:rsidRDefault="007B388C" w:rsidP="007B388C">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lang w:val="en-CA"/>
        </w:rPr>
      </w:pPr>
      <w:r w:rsidRPr="007B388C">
        <w:rPr>
          <w:rFonts w:ascii="Arial" w:hAnsi="Arial" w:cs="Arial"/>
          <w:bCs/>
          <w:sz w:val="20"/>
          <w:szCs w:val="20"/>
          <w:lang w:val="en-CA"/>
        </w:rPr>
        <w:t>During Q2 2026, El Tordillo concession oil production averaged 4,213 (net 4,003) bbls of oil per day, La Tapera concession oil production averaged 28 (net 27) bbls of oil per day and Puesto Quiroga concession oil production averaged 155 (net 147) bbls of oil per day.  Natural gas production from the El Tordillo and Puesto Quiroga concessions averaged 3,250 (net 3,087) mcf per day. During Q2 2026, the Company performed workovers on eight oil producing wells in the Tordillo concession.</w:t>
      </w:r>
    </w:p>
    <w:p w14:paraId="1F7FB4FD" w14:textId="77777777" w:rsidR="007B388C" w:rsidRPr="007B388C" w:rsidRDefault="007B388C" w:rsidP="007B388C">
      <w:pPr>
        <w:widowControl w:val="0"/>
        <w:autoSpaceDE w:val="0"/>
        <w:autoSpaceDN w:val="0"/>
        <w:adjustRightInd w:val="0"/>
        <w:spacing w:before="60" w:line="240" w:lineRule="atLeast"/>
        <w:jc w:val="both"/>
        <w:rPr>
          <w:rFonts w:ascii="Arial" w:hAnsi="Arial" w:cs="Arial"/>
          <w:b/>
          <w:sz w:val="20"/>
          <w:szCs w:val="20"/>
          <w:lang w:val="it-IT"/>
        </w:rPr>
      </w:pPr>
      <w:r w:rsidRPr="007B388C">
        <w:rPr>
          <w:rFonts w:ascii="Arial" w:hAnsi="Arial" w:cs="Arial"/>
          <w:b/>
          <w:sz w:val="20"/>
          <w:szCs w:val="20"/>
          <w:lang w:val="it-IT"/>
        </w:rPr>
        <w:t>Santa Cruz Concessions</w:t>
      </w:r>
    </w:p>
    <w:p w14:paraId="014F00A4" w14:textId="77777777" w:rsidR="007B388C" w:rsidRPr="007B388C" w:rsidRDefault="007B388C" w:rsidP="007B388C">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rPr>
      </w:pPr>
      <w:r w:rsidRPr="007B388C">
        <w:rPr>
          <w:rFonts w:ascii="Arial" w:hAnsi="Arial" w:cs="Arial"/>
          <w:bCs/>
          <w:sz w:val="20"/>
          <w:szCs w:val="20"/>
          <w:lang w:val="en-CA"/>
        </w:rPr>
        <w:t xml:space="preserve">During Q2 2026, Piedra Clavada concession oil production averaged 1,675 bbls of oil per day and Koluel Kaike concession oil production averaged 891 bbls of oil per day. </w:t>
      </w:r>
      <w:r w:rsidRPr="007B388C">
        <w:rPr>
          <w:rFonts w:ascii="Arial" w:hAnsi="Arial" w:cs="Arial"/>
          <w:bCs/>
          <w:sz w:val="20"/>
          <w:szCs w:val="20"/>
        </w:rPr>
        <w:t>During Q2 2026, the Company completed several interventions on oil wells in both the Koluel Kaike and Piedra Clavada concessions.</w:t>
      </w:r>
    </w:p>
    <w:p w14:paraId="4ED845EE" w14:textId="77777777" w:rsidR="007B388C" w:rsidRPr="007B388C" w:rsidRDefault="007B388C" w:rsidP="007B388C">
      <w:pPr>
        <w:widowControl w:val="0"/>
        <w:autoSpaceDE w:val="0"/>
        <w:autoSpaceDN w:val="0"/>
        <w:adjustRightInd w:val="0"/>
        <w:spacing w:before="60" w:line="240" w:lineRule="atLeast"/>
        <w:jc w:val="both"/>
        <w:rPr>
          <w:rFonts w:ascii="Arial" w:hAnsi="Arial" w:cs="Arial"/>
          <w:b/>
          <w:sz w:val="20"/>
          <w:szCs w:val="20"/>
          <w:lang w:val="it-IT"/>
        </w:rPr>
      </w:pPr>
      <w:r w:rsidRPr="007B388C">
        <w:rPr>
          <w:rFonts w:ascii="Arial" w:hAnsi="Arial" w:cs="Arial"/>
          <w:b/>
          <w:sz w:val="20"/>
          <w:szCs w:val="20"/>
          <w:lang w:val="it-IT"/>
        </w:rPr>
        <w:t>Mendoza Concessions</w:t>
      </w:r>
      <w:r w:rsidRPr="007B388C">
        <w:rPr>
          <w:rFonts w:ascii="Arial" w:hAnsi="Arial" w:cs="Arial"/>
          <w:b/>
          <w:sz w:val="20"/>
          <w:szCs w:val="20"/>
          <w:lang w:val="it-IT"/>
        </w:rPr>
        <w:tab/>
      </w:r>
    </w:p>
    <w:p w14:paraId="59FF97B3" w14:textId="77777777" w:rsidR="007B388C" w:rsidRPr="007B388C" w:rsidRDefault="007B388C" w:rsidP="007B388C">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lang w:val="en-CA"/>
        </w:rPr>
      </w:pPr>
      <w:r w:rsidRPr="007B388C">
        <w:rPr>
          <w:rFonts w:ascii="Arial" w:hAnsi="Arial" w:cs="Arial"/>
          <w:bCs/>
          <w:sz w:val="20"/>
          <w:szCs w:val="20"/>
          <w:lang w:val="en-CA"/>
        </w:rPr>
        <w:t xml:space="preserve">Oil production for Q2 2026 averaged 728 (net 364) bbls of oil per day from the CH Concession and 162 (net 81) bbls of oil per day from the PPCO Concession. </w:t>
      </w:r>
    </w:p>
    <w:p w14:paraId="3D6B83F8" w14:textId="77777777" w:rsidR="007B388C" w:rsidRPr="007B388C" w:rsidRDefault="007B388C" w:rsidP="007B388C">
      <w:pPr>
        <w:widowControl w:val="0"/>
        <w:autoSpaceDE w:val="0"/>
        <w:autoSpaceDN w:val="0"/>
        <w:adjustRightInd w:val="0"/>
        <w:spacing w:before="60" w:line="240" w:lineRule="atLeast"/>
        <w:jc w:val="both"/>
        <w:rPr>
          <w:rFonts w:ascii="Arial" w:hAnsi="Arial" w:cs="Arial"/>
          <w:b/>
          <w:sz w:val="20"/>
          <w:szCs w:val="20"/>
          <w:lang w:val="it-IT"/>
        </w:rPr>
      </w:pPr>
      <w:r w:rsidRPr="007B388C">
        <w:rPr>
          <w:rFonts w:ascii="Arial" w:hAnsi="Arial" w:cs="Arial"/>
          <w:b/>
          <w:sz w:val="20"/>
          <w:szCs w:val="20"/>
          <w:lang w:val="it-IT"/>
        </w:rPr>
        <w:t>TDF Concessions</w:t>
      </w:r>
    </w:p>
    <w:p w14:paraId="327BBC54" w14:textId="77777777" w:rsidR="00722921" w:rsidRDefault="007B388C" w:rsidP="00722921">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rPr>
      </w:pPr>
      <w:r w:rsidRPr="007B388C">
        <w:rPr>
          <w:rFonts w:ascii="Arial" w:hAnsi="Arial" w:cs="Arial"/>
          <w:bCs/>
          <w:sz w:val="20"/>
          <w:szCs w:val="20"/>
          <w:lang w:val="en-CA"/>
        </w:rPr>
        <w:t xml:space="preserve">During Q2 2026, San Martin oil production averaged 432 (net 209) bbls of oil per day; Las Violetas concession natural gas production averaged 7,664 (net 3,704) </w:t>
      </w:r>
      <w:bookmarkStart w:id="0" w:name="_Hlk47529783"/>
      <w:r w:rsidRPr="007B388C">
        <w:rPr>
          <w:rFonts w:ascii="Arial" w:hAnsi="Arial" w:cs="Arial"/>
          <w:bCs/>
          <w:sz w:val="20"/>
          <w:szCs w:val="20"/>
        </w:rPr>
        <w:t>mcf per day and associated oil production averaged 166 (net 80) bbls of oil per day.</w:t>
      </w:r>
      <w:r w:rsidR="00E026DB">
        <w:rPr>
          <w:rFonts w:ascii="Arial" w:hAnsi="Arial" w:cs="Arial"/>
          <w:bCs/>
          <w:sz w:val="20"/>
          <w:szCs w:val="20"/>
        </w:rPr>
        <w:t xml:space="preserve"> </w:t>
      </w:r>
    </w:p>
    <w:p w14:paraId="098EF924" w14:textId="024CA79A" w:rsidR="00DB07E1" w:rsidRPr="00722921" w:rsidRDefault="00DB07E1" w:rsidP="00722921">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rPr>
      </w:pPr>
      <w:r w:rsidRPr="00722921">
        <w:rPr>
          <w:rFonts w:ascii="Arial" w:hAnsi="Arial" w:cs="Arial"/>
          <w:bCs/>
          <w:sz w:val="20"/>
          <w:szCs w:val="20"/>
        </w:rPr>
        <w:t xml:space="preserve">Las Violetas and Rio Cullen Concessions expire on August 17, 2026, and </w:t>
      </w:r>
      <w:r w:rsidR="00D43B83">
        <w:rPr>
          <w:rFonts w:ascii="Arial" w:hAnsi="Arial" w:cs="Arial"/>
          <w:bCs/>
          <w:sz w:val="20"/>
          <w:szCs w:val="20"/>
        </w:rPr>
        <w:t xml:space="preserve">the </w:t>
      </w:r>
      <w:r w:rsidRPr="00722921">
        <w:rPr>
          <w:rFonts w:ascii="Arial" w:hAnsi="Arial" w:cs="Arial"/>
          <w:bCs/>
          <w:sz w:val="20"/>
          <w:szCs w:val="20"/>
        </w:rPr>
        <w:t xml:space="preserve">Angostura </w:t>
      </w:r>
      <w:r w:rsidR="00D43B83">
        <w:rPr>
          <w:rFonts w:ascii="Arial" w:hAnsi="Arial" w:cs="Arial"/>
          <w:bCs/>
          <w:sz w:val="20"/>
          <w:szCs w:val="20"/>
        </w:rPr>
        <w:t>c</w:t>
      </w:r>
      <w:r w:rsidRPr="00722921">
        <w:rPr>
          <w:rFonts w:ascii="Arial" w:hAnsi="Arial" w:cs="Arial"/>
          <w:bCs/>
          <w:sz w:val="20"/>
          <w:szCs w:val="20"/>
        </w:rPr>
        <w:t>oncession expire</w:t>
      </w:r>
      <w:r w:rsidR="00D43B83">
        <w:rPr>
          <w:rFonts w:ascii="Arial" w:hAnsi="Arial" w:cs="Arial"/>
          <w:bCs/>
          <w:sz w:val="20"/>
          <w:szCs w:val="20"/>
        </w:rPr>
        <w:t>s</w:t>
      </w:r>
      <w:r w:rsidRPr="00722921">
        <w:rPr>
          <w:rFonts w:ascii="Arial" w:hAnsi="Arial" w:cs="Arial"/>
          <w:bCs/>
          <w:sz w:val="20"/>
          <w:szCs w:val="20"/>
        </w:rPr>
        <w:t xml:space="preserve"> on August 16, 2026. The Company is currently negotiating with the Province of Tierra del Fuego to determine the terms of the</w:t>
      </w:r>
      <w:r w:rsidR="00D43B83">
        <w:rPr>
          <w:rFonts w:ascii="Arial" w:hAnsi="Arial" w:cs="Arial"/>
          <w:bCs/>
          <w:sz w:val="20"/>
          <w:szCs w:val="20"/>
        </w:rPr>
        <w:t xml:space="preserve"> concession</w:t>
      </w:r>
      <w:r w:rsidRPr="00722921">
        <w:rPr>
          <w:rFonts w:ascii="Arial" w:hAnsi="Arial" w:cs="Arial"/>
          <w:bCs/>
          <w:sz w:val="20"/>
          <w:szCs w:val="20"/>
        </w:rPr>
        <w:t xml:space="preserve"> extension</w:t>
      </w:r>
      <w:r w:rsidR="00D43B83">
        <w:rPr>
          <w:rFonts w:ascii="Arial" w:hAnsi="Arial" w:cs="Arial"/>
          <w:bCs/>
          <w:sz w:val="20"/>
          <w:szCs w:val="20"/>
        </w:rPr>
        <w:t>s.</w:t>
      </w:r>
    </w:p>
    <w:p w14:paraId="40E59DDD" w14:textId="77777777" w:rsidR="007B388C" w:rsidRPr="007B388C" w:rsidRDefault="007B388C" w:rsidP="007B388C">
      <w:pPr>
        <w:widowControl w:val="0"/>
        <w:autoSpaceDE w:val="0"/>
        <w:autoSpaceDN w:val="0"/>
        <w:adjustRightInd w:val="0"/>
        <w:spacing w:before="60" w:line="240" w:lineRule="atLeast"/>
        <w:jc w:val="both"/>
        <w:rPr>
          <w:rFonts w:ascii="Arial" w:hAnsi="Arial" w:cs="Arial"/>
          <w:b/>
          <w:sz w:val="20"/>
          <w:szCs w:val="20"/>
          <w:lang w:val="it-IT"/>
        </w:rPr>
      </w:pPr>
      <w:r w:rsidRPr="007B388C">
        <w:rPr>
          <w:rFonts w:ascii="Arial" w:hAnsi="Arial" w:cs="Arial"/>
          <w:b/>
          <w:sz w:val="20"/>
          <w:szCs w:val="20"/>
          <w:lang w:val="it-IT"/>
        </w:rPr>
        <w:t>CLL Permit</w:t>
      </w:r>
    </w:p>
    <w:p w14:paraId="43E60864" w14:textId="77777777" w:rsidR="007B388C" w:rsidRPr="007B388C" w:rsidRDefault="007B388C" w:rsidP="007B388C">
      <w:pPr>
        <w:pStyle w:val="ListParagraph"/>
        <w:widowControl w:val="0"/>
        <w:numPr>
          <w:ilvl w:val="0"/>
          <w:numId w:val="2"/>
        </w:numPr>
        <w:autoSpaceDE w:val="0"/>
        <w:autoSpaceDN w:val="0"/>
        <w:adjustRightInd w:val="0"/>
        <w:spacing w:before="60" w:line="240" w:lineRule="atLeast"/>
        <w:ind w:left="548" w:hanging="274"/>
        <w:contextualSpacing w:val="0"/>
        <w:jc w:val="both"/>
        <w:rPr>
          <w:rFonts w:ascii="Arial" w:hAnsi="Arial" w:cs="Arial"/>
          <w:bCs/>
          <w:sz w:val="20"/>
          <w:szCs w:val="20"/>
          <w:lang w:val="en-CA"/>
        </w:rPr>
      </w:pPr>
      <w:bookmarkStart w:id="1" w:name="_heading=h.30j0zll"/>
      <w:bookmarkStart w:id="2" w:name="_Hlk129512454"/>
      <w:bookmarkEnd w:id="1"/>
      <w:r w:rsidRPr="007B388C">
        <w:rPr>
          <w:rFonts w:ascii="Arial" w:hAnsi="Arial" w:cs="Arial"/>
          <w:bCs/>
          <w:sz w:val="20"/>
          <w:szCs w:val="20"/>
          <w:lang w:val="en-CA"/>
        </w:rPr>
        <w:t xml:space="preserve">On May 18, 2026, the Ministry of Energy and Environment of the Province of Mendoza issued Resolution No. 86/2026, which granted the Company a one-year extension of the term of the CLL Permit until May 18, 2027.  </w:t>
      </w:r>
      <w:r w:rsidRPr="007B388C">
        <w:rPr>
          <w:rFonts w:ascii="Arial" w:hAnsi="Arial" w:cs="Arial"/>
          <w:bCs/>
          <w:sz w:val="20"/>
          <w:szCs w:val="20"/>
          <w:lang w:val="en-CA"/>
        </w:rPr>
        <w:tab/>
      </w:r>
      <w:bookmarkEnd w:id="0"/>
      <w:bookmarkEnd w:id="2"/>
    </w:p>
    <w:p w14:paraId="6D4BBB4B" w14:textId="77777777" w:rsidR="009825E3" w:rsidRDefault="009825E3" w:rsidP="009825E3">
      <w:pPr>
        <w:pStyle w:val="Ne4"/>
        <w:widowControl w:val="0"/>
        <w:spacing w:before="240" w:line="240" w:lineRule="atLeast"/>
        <w:ind w:left="0"/>
        <w:rPr>
          <w:rFonts w:cs="Arial"/>
          <w:b/>
        </w:rPr>
      </w:pPr>
      <w:r>
        <w:rPr>
          <w:rFonts w:cs="Arial"/>
          <w:b/>
        </w:rPr>
        <w:t>OUTLOOK</w:t>
      </w:r>
    </w:p>
    <w:p w14:paraId="5B0A7636" w14:textId="2D522406" w:rsidR="005A78E4" w:rsidRPr="00090190" w:rsidRDefault="005A78E4" w:rsidP="005A78E4">
      <w:pPr>
        <w:pStyle w:val="HTMLPreformatted"/>
        <w:widowControl w:val="0"/>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tLeast"/>
        <w:rPr>
          <w:rFonts w:ascii="Arial" w:hAnsi="Arial" w:cs="Arial"/>
          <w:bCs/>
          <w:szCs w:val="20"/>
        </w:rPr>
      </w:pPr>
      <w:r w:rsidRPr="00B76C56">
        <w:rPr>
          <w:rFonts w:ascii="Arial" w:hAnsi="Arial" w:cs="Arial"/>
          <w:bCs/>
          <w:szCs w:val="20"/>
        </w:rPr>
        <w:t>The Company’s capital spending for fiscal 202</w:t>
      </w:r>
      <w:r>
        <w:rPr>
          <w:rFonts w:ascii="Arial" w:hAnsi="Arial" w:cs="Arial"/>
          <w:bCs/>
          <w:szCs w:val="20"/>
        </w:rPr>
        <w:t>6</w:t>
      </w:r>
      <w:r w:rsidRPr="00B76C56">
        <w:rPr>
          <w:rFonts w:ascii="Arial" w:hAnsi="Arial" w:cs="Arial"/>
          <w:bCs/>
          <w:szCs w:val="20"/>
        </w:rPr>
        <w:t xml:space="preserve"> is budgeted at approximately $</w:t>
      </w:r>
      <w:r w:rsidR="007B388C">
        <w:rPr>
          <w:rFonts w:ascii="Arial" w:hAnsi="Arial" w:cs="Arial"/>
          <w:szCs w:val="20"/>
        </w:rPr>
        <w:t>54.3</w:t>
      </w:r>
      <w:r w:rsidRPr="00B76C56">
        <w:rPr>
          <w:rFonts w:ascii="Arial" w:hAnsi="Arial" w:cs="Arial"/>
          <w:szCs w:val="20"/>
        </w:rPr>
        <w:t xml:space="preserve"> </w:t>
      </w:r>
      <w:r w:rsidRPr="00B76C56">
        <w:rPr>
          <w:rFonts w:ascii="Arial" w:hAnsi="Arial" w:cs="Arial"/>
          <w:bCs/>
          <w:szCs w:val="20"/>
        </w:rPr>
        <w:t>million</w:t>
      </w:r>
      <w:r>
        <w:rPr>
          <w:rFonts w:ascii="Arial" w:hAnsi="Arial" w:cs="Arial"/>
          <w:bCs/>
          <w:szCs w:val="20"/>
        </w:rPr>
        <w:t>,</w:t>
      </w:r>
      <w:r w:rsidRPr="00B76C56">
        <w:rPr>
          <w:rFonts w:ascii="Arial" w:hAnsi="Arial" w:cs="Arial"/>
          <w:bCs/>
          <w:szCs w:val="20"/>
        </w:rPr>
        <w:t xml:space="preserve"> of which</w:t>
      </w:r>
      <w:r>
        <w:rPr>
          <w:rFonts w:ascii="Arial" w:hAnsi="Arial" w:cs="Arial"/>
          <w:bCs/>
          <w:szCs w:val="20"/>
        </w:rPr>
        <w:t>:</w:t>
      </w:r>
      <w:r w:rsidRPr="00B76C56">
        <w:rPr>
          <w:rFonts w:ascii="Arial" w:hAnsi="Arial" w:cs="Arial"/>
          <w:bCs/>
          <w:szCs w:val="20"/>
        </w:rPr>
        <w:t xml:space="preserve"> </w:t>
      </w:r>
      <w:r w:rsidRPr="00B76C56">
        <w:rPr>
          <w:rFonts w:ascii="Arial" w:hAnsi="Arial"/>
          <w:color w:val="000000" w:themeColor="text1"/>
        </w:rPr>
        <w:t>$</w:t>
      </w:r>
      <w:r w:rsidR="007B388C">
        <w:rPr>
          <w:rFonts w:ascii="Arial" w:hAnsi="Arial" w:cs="Arial"/>
          <w:szCs w:val="20"/>
        </w:rPr>
        <w:t>37.8</w:t>
      </w:r>
      <w:r>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 xml:space="preserve">Chubut Concessions for </w:t>
      </w:r>
      <w:r w:rsidRPr="000D310E">
        <w:rPr>
          <w:rFonts w:ascii="Arial" w:hAnsi="Arial"/>
          <w:color w:val="000000" w:themeColor="text1"/>
        </w:rPr>
        <w:t>well workovers</w:t>
      </w:r>
      <w:r>
        <w:rPr>
          <w:rFonts w:ascii="Arial" w:hAnsi="Arial"/>
          <w:color w:val="000000" w:themeColor="text1"/>
        </w:rPr>
        <w:t xml:space="preserve">, </w:t>
      </w:r>
      <w:r w:rsidRPr="000D310E">
        <w:rPr>
          <w:rFonts w:ascii="Arial" w:hAnsi="Arial"/>
          <w:color w:val="000000" w:themeColor="text1"/>
        </w:rPr>
        <w:t xml:space="preserve">facilities improvements </w:t>
      </w:r>
      <w:r>
        <w:rPr>
          <w:rFonts w:ascii="Arial" w:hAnsi="Arial"/>
          <w:color w:val="000000" w:themeColor="text1"/>
        </w:rPr>
        <w:t>and</w:t>
      </w:r>
      <w:r w:rsidRPr="000D310E">
        <w:rPr>
          <w:rFonts w:ascii="Arial" w:hAnsi="Arial"/>
          <w:color w:val="000000" w:themeColor="text1"/>
        </w:rPr>
        <w:t xml:space="preserve"> a drilling campaign comprised of </w:t>
      </w:r>
      <w:r w:rsidR="00570515">
        <w:rPr>
          <w:rFonts w:ascii="Arial" w:hAnsi="Arial"/>
          <w:color w:val="000000" w:themeColor="text1"/>
        </w:rPr>
        <w:t>5</w:t>
      </w:r>
      <w:r w:rsidRPr="000D310E">
        <w:rPr>
          <w:rFonts w:ascii="Arial" w:hAnsi="Arial"/>
          <w:color w:val="000000" w:themeColor="text1"/>
        </w:rPr>
        <w:t xml:space="preserve"> wells</w:t>
      </w:r>
      <w:r>
        <w:rPr>
          <w:rFonts w:ascii="Arial" w:hAnsi="Arial" w:cs="Arial"/>
          <w:szCs w:val="20"/>
        </w:rPr>
        <w:t xml:space="preserve">; </w:t>
      </w:r>
      <w:r w:rsidRPr="00B76C56">
        <w:rPr>
          <w:rFonts w:ascii="Arial" w:hAnsi="Arial"/>
          <w:color w:val="000000" w:themeColor="text1"/>
        </w:rPr>
        <w:t>$</w:t>
      </w:r>
      <w:r w:rsidR="007B388C">
        <w:rPr>
          <w:rFonts w:ascii="Arial" w:hAnsi="Arial" w:cs="Arial"/>
          <w:szCs w:val="20"/>
        </w:rPr>
        <w:t>13.7</w:t>
      </w:r>
      <w:r>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Santa Cruz Concessions for </w:t>
      </w:r>
      <w:r w:rsidRPr="000D310E">
        <w:rPr>
          <w:rFonts w:ascii="Arial" w:hAnsi="Arial"/>
          <w:color w:val="000000" w:themeColor="text1"/>
        </w:rPr>
        <w:t>well workovers</w:t>
      </w:r>
      <w:r>
        <w:rPr>
          <w:rFonts w:ascii="Arial" w:hAnsi="Arial"/>
          <w:color w:val="000000" w:themeColor="text1"/>
        </w:rPr>
        <w:t xml:space="preserve">, </w:t>
      </w:r>
      <w:r w:rsidRPr="000D310E">
        <w:rPr>
          <w:rFonts w:ascii="Arial" w:hAnsi="Arial"/>
          <w:color w:val="000000" w:themeColor="text1"/>
        </w:rPr>
        <w:t xml:space="preserve">facilities improvements </w:t>
      </w:r>
      <w:r>
        <w:rPr>
          <w:rFonts w:ascii="Arial" w:hAnsi="Arial"/>
          <w:color w:val="000000" w:themeColor="text1"/>
        </w:rPr>
        <w:t>and</w:t>
      </w:r>
      <w:r w:rsidRPr="000D310E">
        <w:rPr>
          <w:rFonts w:ascii="Arial" w:hAnsi="Arial"/>
          <w:color w:val="000000" w:themeColor="text1"/>
        </w:rPr>
        <w:t xml:space="preserve"> a drilling campaign comprised of </w:t>
      </w:r>
      <w:r w:rsidR="007B388C">
        <w:rPr>
          <w:rFonts w:ascii="Arial" w:hAnsi="Arial"/>
          <w:color w:val="000000" w:themeColor="text1"/>
        </w:rPr>
        <w:t>3</w:t>
      </w:r>
      <w:r w:rsidRPr="000D310E">
        <w:rPr>
          <w:rFonts w:ascii="Arial" w:hAnsi="Arial"/>
          <w:color w:val="000000" w:themeColor="text1"/>
        </w:rPr>
        <w:t xml:space="preserve"> wells</w:t>
      </w:r>
      <w:r>
        <w:rPr>
          <w:rFonts w:ascii="Arial" w:hAnsi="Arial" w:cs="Arial"/>
          <w:szCs w:val="20"/>
        </w:rPr>
        <w:t>;</w:t>
      </w:r>
      <w:r w:rsidRPr="00B76C56">
        <w:rPr>
          <w:rFonts w:ascii="Arial" w:hAnsi="Arial"/>
          <w:color w:val="000000" w:themeColor="text1"/>
        </w:rPr>
        <w:t xml:space="preserve"> $</w:t>
      </w:r>
      <w:r w:rsidR="00570515">
        <w:rPr>
          <w:rFonts w:ascii="Arial" w:hAnsi="Arial" w:cs="Arial"/>
          <w:szCs w:val="20"/>
        </w:rPr>
        <w:t>0.8</w:t>
      </w:r>
      <w:r w:rsidRPr="00B76C56">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Mendoza</w:t>
      </w:r>
      <w:r w:rsidRPr="00B76C56">
        <w:rPr>
          <w:rFonts w:ascii="Arial" w:hAnsi="Arial"/>
          <w:color w:val="000000" w:themeColor="text1"/>
        </w:rPr>
        <w:t xml:space="preserve"> Concessions for </w:t>
      </w:r>
      <w:r w:rsidRPr="000D310E">
        <w:rPr>
          <w:rFonts w:ascii="Arial" w:hAnsi="Arial"/>
          <w:color w:val="000000" w:themeColor="text1"/>
        </w:rPr>
        <w:t>well workovers</w:t>
      </w:r>
      <w:r>
        <w:rPr>
          <w:rFonts w:ascii="Arial" w:hAnsi="Arial"/>
          <w:color w:val="000000" w:themeColor="text1"/>
        </w:rPr>
        <w:t xml:space="preserve"> and </w:t>
      </w:r>
      <w:r w:rsidRPr="000D310E">
        <w:rPr>
          <w:rFonts w:ascii="Arial" w:hAnsi="Arial"/>
          <w:color w:val="000000" w:themeColor="text1"/>
        </w:rPr>
        <w:t>facilities improvements</w:t>
      </w:r>
      <w:r>
        <w:rPr>
          <w:rFonts w:ascii="Arial" w:hAnsi="Arial" w:cs="Arial"/>
          <w:bCs/>
          <w:szCs w:val="20"/>
        </w:rPr>
        <w:t>;</w:t>
      </w:r>
      <w:r w:rsidRPr="00B76C56">
        <w:rPr>
          <w:rFonts w:ascii="Arial" w:hAnsi="Arial" w:cs="Arial"/>
          <w:bCs/>
          <w:szCs w:val="20"/>
        </w:rPr>
        <w:t xml:space="preserve"> </w:t>
      </w:r>
      <w:r w:rsidRPr="00B76C56">
        <w:rPr>
          <w:rFonts w:ascii="Arial" w:hAnsi="Arial"/>
          <w:color w:val="000000" w:themeColor="text1"/>
        </w:rPr>
        <w:t>$</w:t>
      </w:r>
      <w:r>
        <w:rPr>
          <w:rFonts w:ascii="Arial" w:hAnsi="Arial"/>
          <w:color w:val="000000" w:themeColor="text1"/>
        </w:rPr>
        <w:t>1.2</w:t>
      </w:r>
      <w:r w:rsidRPr="00B76C56">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TDF</w:t>
      </w:r>
      <w:r w:rsidRPr="00B76C56">
        <w:rPr>
          <w:rFonts w:ascii="Arial" w:hAnsi="Arial"/>
          <w:color w:val="000000" w:themeColor="text1"/>
        </w:rPr>
        <w:t xml:space="preserve"> Concessions for </w:t>
      </w:r>
      <w:r>
        <w:rPr>
          <w:rFonts w:ascii="Arial" w:hAnsi="Arial" w:cs="Arial"/>
          <w:szCs w:val="20"/>
        </w:rPr>
        <w:t xml:space="preserve">the </w:t>
      </w:r>
      <w:r w:rsidR="00B40C29">
        <w:rPr>
          <w:rFonts w:ascii="Arial" w:hAnsi="Arial" w:cs="Arial"/>
          <w:szCs w:val="20"/>
        </w:rPr>
        <w:t xml:space="preserve">concessions </w:t>
      </w:r>
      <w:r>
        <w:rPr>
          <w:rFonts w:ascii="Arial" w:hAnsi="Arial" w:cs="Arial"/>
          <w:szCs w:val="20"/>
        </w:rPr>
        <w:t>extension fee</w:t>
      </w:r>
      <w:r>
        <w:rPr>
          <w:rFonts w:ascii="Arial" w:hAnsi="Arial" w:cs="Arial"/>
          <w:bCs/>
          <w:szCs w:val="20"/>
        </w:rPr>
        <w:t xml:space="preserve">; and </w:t>
      </w:r>
      <w:r w:rsidRPr="00B76C56">
        <w:rPr>
          <w:rFonts w:ascii="Arial" w:hAnsi="Arial"/>
          <w:color w:val="000000" w:themeColor="text1"/>
        </w:rPr>
        <w:t>$</w:t>
      </w:r>
      <w:r>
        <w:rPr>
          <w:rFonts w:ascii="Arial" w:hAnsi="Arial" w:cs="Arial"/>
          <w:szCs w:val="20"/>
        </w:rPr>
        <w:t>0.8</w:t>
      </w:r>
      <w:r w:rsidRPr="00B76C56">
        <w:rPr>
          <w:rFonts w:ascii="Arial" w:hAnsi="Arial" w:cs="Arial"/>
          <w:szCs w:val="20"/>
        </w:rPr>
        <w:t xml:space="preserve"> </w:t>
      </w:r>
      <w:r w:rsidRPr="00B76C56">
        <w:rPr>
          <w:rFonts w:ascii="Arial" w:hAnsi="Arial"/>
          <w:color w:val="000000" w:themeColor="text1"/>
        </w:rPr>
        <w:t xml:space="preserve">million </w:t>
      </w:r>
      <w:r>
        <w:rPr>
          <w:rFonts w:ascii="Arial" w:hAnsi="Arial"/>
          <w:color w:val="000000" w:themeColor="text1"/>
        </w:rPr>
        <w:t xml:space="preserve">is allocated to </w:t>
      </w:r>
      <w:r w:rsidRPr="00B76C56">
        <w:rPr>
          <w:rFonts w:ascii="Arial" w:hAnsi="Arial"/>
          <w:color w:val="000000" w:themeColor="text1"/>
        </w:rPr>
        <w:t xml:space="preserve">the </w:t>
      </w:r>
      <w:r>
        <w:rPr>
          <w:rFonts w:ascii="Arial" w:hAnsi="Arial"/>
          <w:color w:val="000000" w:themeColor="text1"/>
        </w:rPr>
        <w:t>Cerro de Los Leones Concession</w:t>
      </w:r>
      <w:r w:rsidRPr="00B76C56">
        <w:rPr>
          <w:rFonts w:ascii="Arial" w:hAnsi="Arial"/>
          <w:color w:val="000000" w:themeColor="text1"/>
        </w:rPr>
        <w:t xml:space="preserve"> for</w:t>
      </w:r>
      <w:r>
        <w:rPr>
          <w:rFonts w:ascii="Arial" w:hAnsi="Arial"/>
          <w:color w:val="000000" w:themeColor="text1"/>
        </w:rPr>
        <w:t xml:space="preserve"> </w:t>
      </w:r>
      <w:r w:rsidRPr="00720776">
        <w:rPr>
          <w:rFonts w:ascii="Arial" w:hAnsi="Arial"/>
          <w:color w:val="000000" w:themeColor="text1"/>
        </w:rPr>
        <w:t>testing of the gas bearing sandstone layers of the Neuquén Group</w:t>
      </w:r>
      <w:r w:rsidRPr="00B76C56">
        <w:rPr>
          <w:rFonts w:ascii="Arial" w:hAnsi="Arial" w:cs="Arial"/>
          <w:bCs/>
          <w:szCs w:val="20"/>
        </w:rPr>
        <w:t>.</w:t>
      </w:r>
      <w:r w:rsidRPr="00B76C56">
        <w:rPr>
          <w:rFonts w:ascii="Arial" w:hAnsi="Arial" w:cs="Arial"/>
          <w:color w:val="000000"/>
          <w:szCs w:val="20"/>
        </w:rPr>
        <w:t xml:space="preserve"> </w:t>
      </w:r>
      <w:r w:rsidRPr="00E50C7D">
        <w:rPr>
          <w:rFonts w:ascii="Arial" w:hAnsi="Arial" w:cs="Arial"/>
          <w:color w:val="000000"/>
          <w:szCs w:val="20"/>
        </w:rPr>
        <w:t>During</w:t>
      </w:r>
      <w:r w:rsidRPr="00763017">
        <w:rPr>
          <w:rFonts w:ascii="Arial" w:hAnsi="Arial" w:cs="Arial"/>
          <w:color w:val="000000"/>
          <w:szCs w:val="20"/>
        </w:rPr>
        <w:t xml:space="preserve"> </w:t>
      </w:r>
      <w:r w:rsidR="00570515">
        <w:rPr>
          <w:rFonts w:ascii="Arial" w:hAnsi="Arial" w:cs="Arial"/>
          <w:color w:val="000000"/>
          <w:szCs w:val="20"/>
        </w:rPr>
        <w:t>the six months ended June</w:t>
      </w:r>
      <w:r w:rsidRPr="00763017">
        <w:rPr>
          <w:rFonts w:ascii="Arial" w:hAnsi="Arial" w:cs="Arial"/>
          <w:color w:val="000000"/>
          <w:szCs w:val="20"/>
        </w:rPr>
        <w:t xml:space="preserve"> 202</w:t>
      </w:r>
      <w:r>
        <w:rPr>
          <w:rFonts w:ascii="Arial" w:hAnsi="Arial" w:cs="Arial"/>
          <w:color w:val="000000"/>
          <w:szCs w:val="20"/>
        </w:rPr>
        <w:t>6</w:t>
      </w:r>
      <w:r w:rsidRPr="00763017">
        <w:rPr>
          <w:rFonts w:ascii="Arial" w:hAnsi="Arial" w:cs="Arial"/>
          <w:color w:val="000000"/>
          <w:szCs w:val="20"/>
        </w:rPr>
        <w:t>, the Company incurred $</w:t>
      </w:r>
      <w:r w:rsidR="00570515">
        <w:rPr>
          <w:rFonts w:ascii="Arial" w:hAnsi="Arial" w:cs="Arial"/>
          <w:color w:val="000000"/>
          <w:szCs w:val="20"/>
        </w:rPr>
        <w:t>9.7</w:t>
      </w:r>
      <w:r w:rsidRPr="00763017">
        <w:rPr>
          <w:rFonts w:ascii="Arial" w:hAnsi="Arial" w:cs="Arial"/>
          <w:color w:val="000000"/>
          <w:szCs w:val="20"/>
        </w:rPr>
        <w:t xml:space="preserve"> million of capital expenditures in the </w:t>
      </w:r>
      <w:r>
        <w:rPr>
          <w:rFonts w:ascii="Arial" w:hAnsi="Arial" w:cs="Arial"/>
          <w:color w:val="000000"/>
          <w:szCs w:val="20"/>
        </w:rPr>
        <w:t xml:space="preserve">Chubut and </w:t>
      </w:r>
      <w:r w:rsidRPr="00763017">
        <w:rPr>
          <w:rFonts w:ascii="Arial" w:hAnsi="Arial" w:cs="Arial"/>
          <w:color w:val="000000"/>
          <w:szCs w:val="20"/>
        </w:rPr>
        <w:t>Santa Cruz Concessions.</w:t>
      </w:r>
    </w:p>
    <w:p w14:paraId="09CDA468" w14:textId="77777777" w:rsidR="00090190" w:rsidRDefault="00090190" w:rsidP="00090190">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tLeast"/>
        <w:rPr>
          <w:rFonts w:ascii="Arial" w:hAnsi="Arial" w:cs="Arial"/>
          <w:color w:val="000000"/>
          <w:szCs w:val="20"/>
        </w:rPr>
      </w:pPr>
    </w:p>
    <w:p w14:paraId="08441893" w14:textId="77777777" w:rsidR="00090190" w:rsidRPr="00B76C56" w:rsidRDefault="00090190" w:rsidP="00090190">
      <w:pPr>
        <w:pStyle w:val="HTMLPreformatted"/>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tLeast"/>
        <w:rPr>
          <w:rFonts w:ascii="Arial" w:hAnsi="Arial" w:cs="Arial"/>
          <w:bCs/>
          <w:szCs w:val="20"/>
        </w:rPr>
      </w:pPr>
    </w:p>
    <w:p w14:paraId="3AA226CD" w14:textId="562E1892" w:rsidR="006429BF" w:rsidRDefault="006429BF" w:rsidP="00FE41AD">
      <w:pPr>
        <w:spacing w:before="120" w:line="240" w:lineRule="atLeast"/>
        <w:jc w:val="both"/>
        <w:rPr>
          <w:rFonts w:ascii="Arial" w:hAnsi="Arial" w:cs="Arial"/>
          <w:b/>
          <w:bCs/>
          <w:caps/>
          <w:color w:val="000000"/>
          <w:szCs w:val="22"/>
          <w:lang w:val="en-CA"/>
        </w:rPr>
      </w:pPr>
      <w:r>
        <w:rPr>
          <w:rFonts w:ascii="Arial" w:hAnsi="Arial" w:cs="Arial"/>
          <w:b/>
          <w:bCs/>
          <w:caps/>
          <w:color w:val="000000"/>
          <w:sz w:val="20"/>
          <w:szCs w:val="20"/>
        </w:rPr>
        <w:lastRenderedPageBreak/>
        <w:t>SUMMARY OF FINANCIAL INFORMATION</w:t>
      </w:r>
      <w:r>
        <w:rPr>
          <w:rFonts w:ascii="Arial" w:hAnsi="Arial" w:cs="Arial"/>
          <w:b/>
          <w:bCs/>
          <w:caps/>
          <w:color w:val="000000"/>
          <w:szCs w:val="22"/>
          <w:lang w:val="en-CA"/>
        </w:rPr>
        <w:t xml:space="preserve"> </w:t>
      </w:r>
    </w:p>
    <w:tbl>
      <w:tblPr>
        <w:tblW w:w="8760" w:type="dxa"/>
        <w:tblLayout w:type="fixed"/>
        <w:tblLook w:val="04A0" w:firstRow="1" w:lastRow="0" w:firstColumn="1" w:lastColumn="0" w:noHBand="0" w:noVBand="1"/>
      </w:tblPr>
      <w:tblGrid>
        <w:gridCol w:w="5872"/>
        <w:gridCol w:w="1398"/>
        <w:gridCol w:w="1490"/>
      </w:tblGrid>
      <w:tr w:rsidR="005A78E4" w:rsidRPr="00002555" w14:paraId="5515A76E" w14:textId="77777777" w:rsidTr="005A78E4">
        <w:trPr>
          <w:trHeight w:val="404"/>
        </w:trPr>
        <w:tc>
          <w:tcPr>
            <w:tcW w:w="5872" w:type="dxa"/>
            <w:tcBorders>
              <w:top w:val="single" w:sz="12" w:space="0" w:color="auto"/>
              <w:bottom w:val="single" w:sz="4" w:space="0" w:color="auto"/>
            </w:tcBorders>
          </w:tcPr>
          <w:p w14:paraId="718B7173" w14:textId="77777777" w:rsidR="005A78E4" w:rsidRPr="00002555" w:rsidRDefault="005A78E4" w:rsidP="005A78E4">
            <w:pPr>
              <w:widowControl w:val="0"/>
              <w:jc w:val="both"/>
              <w:rPr>
                <w:rFonts w:ascii="Arial" w:hAnsi="Arial" w:cs="Arial"/>
                <w:bCs/>
                <w:sz w:val="18"/>
                <w:szCs w:val="18"/>
                <w:lang w:val="en-CA"/>
              </w:rPr>
            </w:pPr>
            <w:r w:rsidRPr="00002555">
              <w:rPr>
                <w:rFonts w:ascii="Arial" w:hAnsi="Arial" w:cs="Arial"/>
                <w:bCs/>
                <w:sz w:val="18"/>
                <w:szCs w:val="18"/>
                <w:lang w:val="en-CA"/>
              </w:rPr>
              <w:t>(expressed in $, except shares outstanding)</w:t>
            </w:r>
            <w:r>
              <w:rPr>
                <w:rFonts w:ascii="Arial" w:hAnsi="Arial" w:cs="Arial"/>
                <w:bCs/>
                <w:sz w:val="18"/>
                <w:szCs w:val="18"/>
                <w:lang w:val="en-CA"/>
              </w:rPr>
              <w:t xml:space="preserve"> </w:t>
            </w:r>
          </w:p>
        </w:tc>
        <w:tc>
          <w:tcPr>
            <w:tcW w:w="1398" w:type="dxa"/>
            <w:tcBorders>
              <w:top w:val="single" w:sz="12" w:space="0" w:color="auto"/>
              <w:bottom w:val="single" w:sz="4" w:space="0" w:color="auto"/>
            </w:tcBorders>
            <w:vAlign w:val="bottom"/>
          </w:tcPr>
          <w:p w14:paraId="0D8C2E3C" w14:textId="7B875075" w:rsidR="005A78E4" w:rsidRPr="00002555" w:rsidRDefault="00570515" w:rsidP="005A78E4">
            <w:pPr>
              <w:widowControl w:val="0"/>
              <w:jc w:val="right"/>
              <w:rPr>
                <w:rFonts w:ascii="Arial" w:hAnsi="Arial" w:cs="Arial"/>
                <w:b/>
                <w:bCs/>
                <w:sz w:val="18"/>
                <w:szCs w:val="18"/>
                <w:lang w:val="en-CA"/>
              </w:rPr>
            </w:pPr>
            <w:r>
              <w:rPr>
                <w:rFonts w:ascii="Arial" w:hAnsi="Arial" w:cs="Arial"/>
                <w:b/>
                <w:bCs/>
                <w:sz w:val="18"/>
                <w:szCs w:val="18"/>
                <w:lang w:val="en-CA"/>
              </w:rPr>
              <w:t>June</w:t>
            </w:r>
            <w:r w:rsidR="005A78E4" w:rsidRPr="00002555">
              <w:rPr>
                <w:rFonts w:ascii="Arial" w:hAnsi="Arial" w:cs="Arial"/>
                <w:b/>
                <w:bCs/>
                <w:sz w:val="18"/>
                <w:szCs w:val="18"/>
                <w:lang w:val="en-CA"/>
              </w:rPr>
              <w:t xml:space="preserve"> 3</w:t>
            </w:r>
            <w:r>
              <w:rPr>
                <w:rFonts w:ascii="Arial" w:hAnsi="Arial" w:cs="Arial"/>
                <w:b/>
                <w:bCs/>
                <w:sz w:val="18"/>
                <w:szCs w:val="18"/>
                <w:lang w:val="en-CA"/>
              </w:rPr>
              <w:t>0</w:t>
            </w:r>
          </w:p>
          <w:p w14:paraId="1CF43DBA" w14:textId="50893D2C" w:rsidR="005A78E4" w:rsidRPr="00F439AE" w:rsidRDefault="005A78E4" w:rsidP="005A78E4">
            <w:pPr>
              <w:widowControl w:val="0"/>
              <w:jc w:val="right"/>
              <w:rPr>
                <w:rFonts w:ascii="Arial" w:hAnsi="Arial" w:cs="Arial"/>
                <w:b/>
                <w:bCs/>
                <w:sz w:val="18"/>
                <w:szCs w:val="18"/>
                <w:lang w:val="en-CA"/>
              </w:rPr>
            </w:pPr>
            <w:r>
              <w:rPr>
                <w:rFonts w:ascii="Arial" w:hAnsi="Arial" w:cs="Arial"/>
                <w:b/>
                <w:bCs/>
                <w:sz w:val="18"/>
                <w:szCs w:val="18"/>
                <w:lang w:val="en-CA"/>
              </w:rPr>
              <w:t>2026</w:t>
            </w:r>
          </w:p>
        </w:tc>
        <w:tc>
          <w:tcPr>
            <w:tcW w:w="1490" w:type="dxa"/>
            <w:tcBorders>
              <w:top w:val="single" w:sz="12" w:space="0" w:color="auto"/>
              <w:bottom w:val="single" w:sz="4" w:space="0" w:color="auto"/>
            </w:tcBorders>
            <w:vAlign w:val="bottom"/>
          </w:tcPr>
          <w:p w14:paraId="34889781" w14:textId="77777777" w:rsidR="005A78E4" w:rsidRPr="00002555" w:rsidRDefault="005A78E4" w:rsidP="005A78E4">
            <w:pPr>
              <w:widowControl w:val="0"/>
              <w:jc w:val="right"/>
              <w:rPr>
                <w:rFonts w:ascii="Arial" w:hAnsi="Arial" w:cs="Arial"/>
                <w:b/>
                <w:bCs/>
                <w:sz w:val="18"/>
                <w:szCs w:val="18"/>
                <w:lang w:val="en-CA"/>
              </w:rPr>
            </w:pPr>
            <w:r>
              <w:rPr>
                <w:rFonts w:ascii="Arial" w:hAnsi="Arial" w:cs="Arial"/>
                <w:b/>
                <w:bCs/>
                <w:sz w:val="18"/>
                <w:szCs w:val="18"/>
                <w:lang w:val="en-CA"/>
              </w:rPr>
              <w:t>December</w:t>
            </w:r>
            <w:r w:rsidRPr="00002555">
              <w:rPr>
                <w:rFonts w:ascii="Arial" w:hAnsi="Arial" w:cs="Arial"/>
                <w:b/>
                <w:bCs/>
                <w:sz w:val="18"/>
                <w:szCs w:val="18"/>
                <w:lang w:val="en-CA"/>
              </w:rPr>
              <w:t xml:space="preserve"> 3</w:t>
            </w:r>
            <w:r>
              <w:rPr>
                <w:rFonts w:ascii="Arial" w:hAnsi="Arial" w:cs="Arial"/>
                <w:b/>
                <w:bCs/>
                <w:sz w:val="18"/>
                <w:szCs w:val="18"/>
                <w:lang w:val="en-CA"/>
              </w:rPr>
              <w:t>1</w:t>
            </w:r>
          </w:p>
          <w:p w14:paraId="5CA1FF61" w14:textId="5562FD8F" w:rsidR="005A78E4" w:rsidRPr="00002555" w:rsidRDefault="005A78E4" w:rsidP="005A78E4">
            <w:pPr>
              <w:widowControl w:val="0"/>
              <w:jc w:val="right"/>
              <w:rPr>
                <w:rFonts w:ascii="Arial" w:hAnsi="Arial" w:cs="Arial"/>
                <w:b/>
                <w:bCs/>
                <w:sz w:val="18"/>
                <w:szCs w:val="18"/>
                <w:lang w:val="en-CA"/>
              </w:rPr>
            </w:pPr>
            <w:r w:rsidRPr="00002555">
              <w:rPr>
                <w:rFonts w:ascii="Arial" w:hAnsi="Arial" w:cs="Arial"/>
                <w:b/>
                <w:bCs/>
                <w:sz w:val="18"/>
                <w:szCs w:val="18"/>
                <w:lang w:val="en-CA"/>
              </w:rPr>
              <w:t>202</w:t>
            </w:r>
            <w:r>
              <w:rPr>
                <w:rFonts w:ascii="Arial" w:hAnsi="Arial" w:cs="Arial"/>
                <w:b/>
                <w:bCs/>
                <w:sz w:val="18"/>
                <w:szCs w:val="18"/>
                <w:lang w:val="en-CA"/>
              </w:rPr>
              <w:t>5</w:t>
            </w:r>
          </w:p>
        </w:tc>
      </w:tr>
      <w:tr w:rsidR="00570515" w:rsidRPr="00002555" w14:paraId="7397F48B" w14:textId="77777777" w:rsidTr="005A78E4">
        <w:tblPrEx>
          <w:tblLook w:val="01E0" w:firstRow="1" w:lastRow="1" w:firstColumn="1" w:lastColumn="1" w:noHBand="0" w:noVBand="0"/>
        </w:tblPrEx>
        <w:trPr>
          <w:trHeight w:val="173"/>
        </w:trPr>
        <w:tc>
          <w:tcPr>
            <w:tcW w:w="5872" w:type="dxa"/>
            <w:tcBorders>
              <w:top w:val="single" w:sz="4" w:space="0" w:color="auto"/>
            </w:tcBorders>
          </w:tcPr>
          <w:p w14:paraId="3AC4F9C2"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Current assets</w:t>
            </w:r>
          </w:p>
        </w:tc>
        <w:tc>
          <w:tcPr>
            <w:tcW w:w="1398" w:type="dxa"/>
            <w:tcBorders>
              <w:top w:val="single" w:sz="4" w:space="0" w:color="auto"/>
            </w:tcBorders>
            <w:vAlign w:val="bottom"/>
          </w:tcPr>
          <w:p w14:paraId="31AE564D" w14:textId="50A297F4"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52,563,086</w:t>
            </w:r>
          </w:p>
        </w:tc>
        <w:tc>
          <w:tcPr>
            <w:tcW w:w="1490" w:type="dxa"/>
            <w:tcBorders>
              <w:top w:val="single" w:sz="4" w:space="0" w:color="auto"/>
            </w:tcBorders>
            <w:vAlign w:val="bottom"/>
          </w:tcPr>
          <w:p w14:paraId="197C86B3" w14:textId="43E4C4F7"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50,655,402</w:t>
            </w:r>
          </w:p>
        </w:tc>
      </w:tr>
      <w:tr w:rsidR="00570515" w:rsidRPr="00002555" w14:paraId="115D6C58" w14:textId="77777777" w:rsidTr="000455AE">
        <w:tblPrEx>
          <w:tblLook w:val="01E0" w:firstRow="1" w:lastRow="1" w:firstColumn="1" w:lastColumn="1" w:noHBand="0" w:noVBand="0"/>
        </w:tblPrEx>
        <w:trPr>
          <w:trHeight w:val="173"/>
        </w:trPr>
        <w:tc>
          <w:tcPr>
            <w:tcW w:w="5872" w:type="dxa"/>
            <w:tcBorders>
              <w:bottom w:val="single" w:sz="4" w:space="0" w:color="auto"/>
            </w:tcBorders>
          </w:tcPr>
          <w:p w14:paraId="278D5C61"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Current liabilities</w:t>
            </w:r>
          </w:p>
        </w:tc>
        <w:tc>
          <w:tcPr>
            <w:tcW w:w="1398" w:type="dxa"/>
            <w:tcBorders>
              <w:bottom w:val="single" w:sz="4" w:space="0" w:color="000000"/>
            </w:tcBorders>
          </w:tcPr>
          <w:p w14:paraId="751DADA8" w14:textId="542BCEC5"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(115,920,225)</w:t>
            </w:r>
          </w:p>
        </w:tc>
        <w:tc>
          <w:tcPr>
            <w:tcW w:w="1490" w:type="dxa"/>
            <w:tcBorders>
              <w:bottom w:val="single" w:sz="4" w:space="0" w:color="auto"/>
            </w:tcBorders>
            <w:vAlign w:val="bottom"/>
          </w:tcPr>
          <w:p w14:paraId="44912DD3" w14:textId="3A65062E"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(122,470,728)</w:t>
            </w:r>
          </w:p>
        </w:tc>
      </w:tr>
      <w:tr w:rsidR="00570515" w:rsidRPr="00002555" w14:paraId="6B39BC4F" w14:textId="77777777" w:rsidTr="000455AE">
        <w:tblPrEx>
          <w:tblLook w:val="01E0" w:firstRow="1" w:lastRow="1" w:firstColumn="1" w:lastColumn="1" w:noHBand="0" w:noVBand="0"/>
        </w:tblPrEx>
        <w:trPr>
          <w:trHeight w:val="173"/>
        </w:trPr>
        <w:tc>
          <w:tcPr>
            <w:tcW w:w="5872" w:type="dxa"/>
            <w:tcBorders>
              <w:top w:val="single" w:sz="4" w:space="0" w:color="auto"/>
              <w:bottom w:val="single" w:sz="4" w:space="0" w:color="auto"/>
            </w:tcBorders>
            <w:vAlign w:val="bottom"/>
          </w:tcPr>
          <w:p w14:paraId="48122C8F" w14:textId="573378C4"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 xml:space="preserve">Working capital </w:t>
            </w:r>
            <w:r>
              <w:rPr>
                <w:rFonts w:ascii="Arial" w:hAnsi="Arial" w:cs="Arial"/>
                <w:sz w:val="18"/>
                <w:szCs w:val="18"/>
                <w:lang w:val="en-CA"/>
              </w:rPr>
              <w:t xml:space="preserve">deficiency </w:t>
            </w:r>
            <w:r w:rsidRPr="00002555">
              <w:rPr>
                <w:rFonts w:ascii="Arial" w:hAnsi="Arial" w:cs="Arial"/>
                <w:sz w:val="18"/>
                <w:szCs w:val="18"/>
                <w:vertAlign w:val="superscript"/>
                <w:lang w:val="en-CA"/>
              </w:rPr>
              <w:t>(1)</w:t>
            </w:r>
          </w:p>
        </w:tc>
        <w:tc>
          <w:tcPr>
            <w:tcW w:w="1398" w:type="dxa"/>
            <w:tcBorders>
              <w:top w:val="single" w:sz="4" w:space="0" w:color="000000"/>
              <w:bottom w:val="single" w:sz="4" w:space="0" w:color="000000"/>
            </w:tcBorders>
          </w:tcPr>
          <w:p w14:paraId="7C443373" w14:textId="6229F30E"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(63,357,139)</w:t>
            </w:r>
          </w:p>
        </w:tc>
        <w:tc>
          <w:tcPr>
            <w:tcW w:w="1490" w:type="dxa"/>
            <w:tcBorders>
              <w:top w:val="single" w:sz="4" w:space="0" w:color="auto"/>
              <w:bottom w:val="single" w:sz="4" w:space="0" w:color="auto"/>
            </w:tcBorders>
            <w:vAlign w:val="bottom"/>
          </w:tcPr>
          <w:p w14:paraId="2C1B9723" w14:textId="50AAF35E"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(71,815,326)</w:t>
            </w:r>
          </w:p>
        </w:tc>
      </w:tr>
      <w:tr w:rsidR="00570515" w:rsidRPr="00002555" w14:paraId="0264F916" w14:textId="77777777" w:rsidTr="005A78E4">
        <w:tblPrEx>
          <w:tblLook w:val="01E0" w:firstRow="1" w:lastRow="1" w:firstColumn="1" w:lastColumn="1" w:noHBand="0" w:noVBand="0"/>
        </w:tblPrEx>
        <w:trPr>
          <w:trHeight w:val="221"/>
        </w:trPr>
        <w:tc>
          <w:tcPr>
            <w:tcW w:w="5872" w:type="dxa"/>
            <w:vAlign w:val="bottom"/>
          </w:tcPr>
          <w:p w14:paraId="20FA1258"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Exploration and evaluation assets</w:t>
            </w:r>
          </w:p>
        </w:tc>
        <w:tc>
          <w:tcPr>
            <w:tcW w:w="1398" w:type="dxa"/>
            <w:vAlign w:val="bottom"/>
          </w:tcPr>
          <w:p w14:paraId="349E8652" w14:textId="0475D602"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13,995,603</w:t>
            </w:r>
          </w:p>
        </w:tc>
        <w:tc>
          <w:tcPr>
            <w:tcW w:w="1490" w:type="dxa"/>
            <w:vAlign w:val="bottom"/>
          </w:tcPr>
          <w:p w14:paraId="451F51A9" w14:textId="49474320"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14,018,547</w:t>
            </w:r>
          </w:p>
        </w:tc>
      </w:tr>
      <w:tr w:rsidR="00570515" w:rsidRPr="00002555" w14:paraId="5ECE03F4" w14:textId="77777777" w:rsidTr="005A78E4">
        <w:tblPrEx>
          <w:tblLook w:val="01E0" w:firstRow="1" w:lastRow="1" w:firstColumn="1" w:lastColumn="1" w:noHBand="0" w:noVBand="0"/>
        </w:tblPrEx>
        <w:trPr>
          <w:trHeight w:val="221"/>
        </w:trPr>
        <w:tc>
          <w:tcPr>
            <w:tcW w:w="5872" w:type="dxa"/>
            <w:vAlign w:val="bottom"/>
          </w:tcPr>
          <w:p w14:paraId="76B47224"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Property and equipment</w:t>
            </w:r>
          </w:p>
        </w:tc>
        <w:tc>
          <w:tcPr>
            <w:tcW w:w="1398" w:type="dxa"/>
            <w:vAlign w:val="bottom"/>
          </w:tcPr>
          <w:p w14:paraId="038BD548" w14:textId="074217B4"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224,069,488</w:t>
            </w:r>
          </w:p>
        </w:tc>
        <w:tc>
          <w:tcPr>
            <w:tcW w:w="1490" w:type="dxa"/>
            <w:vAlign w:val="bottom"/>
          </w:tcPr>
          <w:p w14:paraId="76283FEA" w14:textId="4DE704A1"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226,293,865</w:t>
            </w:r>
          </w:p>
        </w:tc>
      </w:tr>
      <w:tr w:rsidR="00570515" w:rsidRPr="00002555" w14:paraId="766B0EE8" w14:textId="77777777" w:rsidTr="005A78E4">
        <w:tblPrEx>
          <w:tblLook w:val="01E0" w:firstRow="1" w:lastRow="1" w:firstColumn="1" w:lastColumn="1" w:noHBand="0" w:noVBand="0"/>
        </w:tblPrEx>
        <w:trPr>
          <w:trHeight w:val="232"/>
        </w:trPr>
        <w:tc>
          <w:tcPr>
            <w:tcW w:w="5872" w:type="dxa"/>
            <w:vAlign w:val="bottom"/>
          </w:tcPr>
          <w:p w14:paraId="207A94AA"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Total assets</w:t>
            </w:r>
          </w:p>
        </w:tc>
        <w:tc>
          <w:tcPr>
            <w:tcW w:w="1398" w:type="dxa"/>
            <w:vAlign w:val="bottom"/>
          </w:tcPr>
          <w:p w14:paraId="19A5FC40" w14:textId="02CAE3A7"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292,472,177</w:t>
            </w:r>
          </w:p>
        </w:tc>
        <w:tc>
          <w:tcPr>
            <w:tcW w:w="1490" w:type="dxa"/>
            <w:vAlign w:val="bottom"/>
          </w:tcPr>
          <w:p w14:paraId="1972E148" w14:textId="32A984CF"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293,165,032</w:t>
            </w:r>
          </w:p>
        </w:tc>
      </w:tr>
      <w:tr w:rsidR="00570515" w:rsidRPr="00002555" w14:paraId="406517B3" w14:textId="77777777" w:rsidTr="005A78E4">
        <w:tblPrEx>
          <w:tblLook w:val="01E0" w:firstRow="1" w:lastRow="1" w:firstColumn="1" w:lastColumn="1" w:noHBand="0" w:noVBand="0"/>
        </w:tblPrEx>
        <w:trPr>
          <w:trHeight w:val="221"/>
        </w:trPr>
        <w:tc>
          <w:tcPr>
            <w:tcW w:w="5872" w:type="dxa"/>
            <w:vAlign w:val="bottom"/>
          </w:tcPr>
          <w:p w14:paraId="0427DF95"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 xml:space="preserve">Non-current financial liabilities </w:t>
            </w:r>
            <w:r w:rsidRPr="00002555">
              <w:rPr>
                <w:rFonts w:ascii="Arial" w:hAnsi="Arial" w:cs="Arial"/>
                <w:sz w:val="18"/>
                <w:szCs w:val="18"/>
                <w:vertAlign w:val="superscript"/>
                <w:lang w:val="en-CA"/>
              </w:rPr>
              <w:t>(1)</w:t>
            </w:r>
          </w:p>
        </w:tc>
        <w:tc>
          <w:tcPr>
            <w:tcW w:w="1398" w:type="dxa"/>
            <w:vAlign w:val="bottom"/>
          </w:tcPr>
          <w:p w14:paraId="08B91001" w14:textId="68D32F49"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73,625,852</w:t>
            </w:r>
          </w:p>
        </w:tc>
        <w:tc>
          <w:tcPr>
            <w:tcW w:w="1490" w:type="dxa"/>
            <w:vAlign w:val="bottom"/>
          </w:tcPr>
          <w:p w14:paraId="1DA466D3" w14:textId="1ADCB0CB"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lang w:val="en-CA"/>
              </w:rPr>
              <w:t xml:space="preserve">73,009,452 </w:t>
            </w:r>
          </w:p>
        </w:tc>
      </w:tr>
      <w:tr w:rsidR="00570515" w:rsidRPr="00002555" w14:paraId="02E017F9" w14:textId="77777777" w:rsidTr="005A78E4">
        <w:tblPrEx>
          <w:tblLook w:val="01E0" w:firstRow="1" w:lastRow="1" w:firstColumn="1" w:lastColumn="1" w:noHBand="0" w:noVBand="0"/>
        </w:tblPrEx>
        <w:trPr>
          <w:trHeight w:val="221"/>
        </w:trPr>
        <w:tc>
          <w:tcPr>
            <w:tcW w:w="5872" w:type="dxa"/>
            <w:vAlign w:val="bottom"/>
          </w:tcPr>
          <w:p w14:paraId="014B173B"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Share capital</w:t>
            </w:r>
          </w:p>
        </w:tc>
        <w:tc>
          <w:tcPr>
            <w:tcW w:w="1398" w:type="dxa"/>
            <w:vAlign w:val="bottom"/>
          </w:tcPr>
          <w:p w14:paraId="38C6E6CF" w14:textId="48540982"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56,456,328</w:t>
            </w:r>
          </w:p>
        </w:tc>
        <w:tc>
          <w:tcPr>
            <w:tcW w:w="1490" w:type="dxa"/>
            <w:vAlign w:val="bottom"/>
          </w:tcPr>
          <w:p w14:paraId="4EA838ED" w14:textId="62804806"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rPr>
              <w:t>56,456,328</w:t>
            </w:r>
          </w:p>
        </w:tc>
      </w:tr>
      <w:tr w:rsidR="00570515" w:rsidRPr="00002555" w14:paraId="2EA5FD9C" w14:textId="77777777" w:rsidTr="000455AE">
        <w:tblPrEx>
          <w:tblLook w:val="01E0" w:firstRow="1" w:lastRow="1" w:firstColumn="1" w:lastColumn="1" w:noHBand="0" w:noVBand="0"/>
        </w:tblPrEx>
        <w:trPr>
          <w:trHeight w:val="221"/>
        </w:trPr>
        <w:tc>
          <w:tcPr>
            <w:tcW w:w="5872" w:type="dxa"/>
            <w:tcBorders>
              <w:bottom w:val="single" w:sz="12" w:space="0" w:color="auto"/>
            </w:tcBorders>
            <w:vAlign w:val="bottom"/>
          </w:tcPr>
          <w:p w14:paraId="6A044FCC" w14:textId="77777777" w:rsidR="00570515" w:rsidRPr="00002555" w:rsidRDefault="00570515" w:rsidP="00570515">
            <w:pPr>
              <w:widowControl w:val="0"/>
              <w:spacing w:line="240" w:lineRule="atLeast"/>
              <w:rPr>
                <w:rFonts w:ascii="Arial" w:hAnsi="Arial" w:cs="Arial"/>
                <w:sz w:val="18"/>
                <w:szCs w:val="18"/>
                <w:lang w:val="en-CA"/>
              </w:rPr>
            </w:pPr>
            <w:r w:rsidRPr="00002555">
              <w:rPr>
                <w:rFonts w:ascii="Arial" w:hAnsi="Arial" w:cs="Arial"/>
                <w:sz w:val="18"/>
                <w:szCs w:val="18"/>
                <w:lang w:val="en-CA"/>
              </w:rPr>
              <w:t xml:space="preserve">Total common shares outstanding </w:t>
            </w:r>
          </w:p>
        </w:tc>
        <w:tc>
          <w:tcPr>
            <w:tcW w:w="1398" w:type="dxa"/>
            <w:tcBorders>
              <w:bottom w:val="single" w:sz="12" w:space="0" w:color="auto"/>
            </w:tcBorders>
            <w:vAlign w:val="bottom"/>
          </w:tcPr>
          <w:p w14:paraId="4276229F" w14:textId="4FEC5A40" w:rsidR="00570515" w:rsidRPr="00257237" w:rsidRDefault="00570515" w:rsidP="00570515">
            <w:pPr>
              <w:widowControl w:val="0"/>
              <w:tabs>
                <w:tab w:val="decimal" w:pos="1062"/>
              </w:tabs>
              <w:spacing w:line="240" w:lineRule="atLeast"/>
              <w:ind w:right="-45"/>
              <w:rPr>
                <w:rFonts w:ascii="Arial" w:hAnsi="Arial" w:cs="Arial"/>
                <w:sz w:val="18"/>
                <w:szCs w:val="18"/>
                <w:lang w:val="en-CA"/>
              </w:rPr>
            </w:pPr>
            <w:r w:rsidRPr="00570515">
              <w:rPr>
                <w:rFonts w:ascii="Arial" w:hAnsi="Arial" w:cs="Arial"/>
                <w:sz w:val="18"/>
                <w:szCs w:val="18"/>
                <w:lang w:val="en-CA"/>
              </w:rPr>
              <w:t>72,903,038</w:t>
            </w:r>
          </w:p>
        </w:tc>
        <w:tc>
          <w:tcPr>
            <w:tcW w:w="1490" w:type="dxa"/>
            <w:tcBorders>
              <w:bottom w:val="single" w:sz="12" w:space="0" w:color="auto"/>
            </w:tcBorders>
            <w:vAlign w:val="center"/>
          </w:tcPr>
          <w:p w14:paraId="6566E513" w14:textId="6E580011" w:rsidR="00570515" w:rsidRDefault="00570515" w:rsidP="00570515">
            <w:pPr>
              <w:widowControl w:val="0"/>
              <w:tabs>
                <w:tab w:val="decimal" w:pos="1062"/>
              </w:tabs>
              <w:spacing w:line="240" w:lineRule="atLeast"/>
              <w:ind w:right="-45"/>
              <w:rPr>
                <w:rFonts w:ascii="Arial" w:hAnsi="Arial" w:cs="Arial"/>
                <w:sz w:val="18"/>
                <w:szCs w:val="18"/>
              </w:rPr>
            </w:pPr>
            <w:r>
              <w:rPr>
                <w:rFonts w:ascii="Arial" w:hAnsi="Arial" w:cs="Arial"/>
                <w:sz w:val="18"/>
                <w:szCs w:val="18"/>
              </w:rPr>
              <w:t>72,903,038</w:t>
            </w:r>
          </w:p>
        </w:tc>
      </w:tr>
    </w:tbl>
    <w:p w14:paraId="267F0FC8" w14:textId="0E5DC170" w:rsidR="00A11329" w:rsidRPr="007F073E" w:rsidRDefault="00747799" w:rsidP="000C1380">
      <w:pPr>
        <w:pStyle w:val="ListParagraph"/>
        <w:widowControl w:val="0"/>
        <w:numPr>
          <w:ilvl w:val="0"/>
          <w:numId w:val="5"/>
        </w:numPr>
        <w:spacing w:before="120"/>
        <w:ind w:left="533"/>
        <w:jc w:val="both"/>
        <w:rPr>
          <w:rFonts w:ascii="Arial" w:hAnsi="Arial" w:cs="Arial"/>
          <w:sz w:val="16"/>
          <w:szCs w:val="16"/>
          <w:lang w:val="en-CA"/>
        </w:rPr>
      </w:pPr>
      <w:r w:rsidRPr="007F073E">
        <w:rPr>
          <w:rFonts w:ascii="Arial" w:hAnsi="Arial" w:cs="Arial"/>
          <w:sz w:val="16"/>
          <w:szCs w:val="16"/>
        </w:rPr>
        <w:t>We adhere to International Financial Reporting Standards (“</w:t>
      </w:r>
      <w:r w:rsidRPr="007F073E">
        <w:rPr>
          <w:rFonts w:ascii="Arial" w:hAnsi="Arial" w:cs="Arial"/>
          <w:b/>
          <w:sz w:val="16"/>
          <w:szCs w:val="16"/>
        </w:rPr>
        <w:t>IFRS</w:t>
      </w:r>
      <w:r w:rsidRPr="007F073E">
        <w:rPr>
          <w:rFonts w:ascii="Arial" w:hAnsi="Arial" w:cs="Arial"/>
          <w:sz w:val="16"/>
          <w:szCs w:val="16"/>
        </w:rPr>
        <w:t xml:space="preserve">”), however the Company also employs certain non-IFRS measures to analyze financial performance, financial position, and cash flow.  Additionally, other financial measures are also used to analyze performance.  These non-IFRS and other financial measures do not have any standardized meaning prescribed by IFRS and therefore may not be comparable to similar measures provided by other issuers.  </w:t>
      </w:r>
      <w:r w:rsidR="00CE0655" w:rsidRPr="007F073E">
        <w:rPr>
          <w:rFonts w:ascii="Arial" w:hAnsi="Arial" w:cs="Arial"/>
          <w:sz w:val="16"/>
          <w:szCs w:val="16"/>
          <w:lang w:val="en-CA"/>
        </w:rPr>
        <w:t>“Working capital</w:t>
      </w:r>
      <w:r w:rsidR="000960C0">
        <w:rPr>
          <w:rFonts w:ascii="Arial" w:hAnsi="Arial" w:cs="Arial"/>
          <w:sz w:val="16"/>
          <w:szCs w:val="16"/>
          <w:lang w:val="en-CA"/>
        </w:rPr>
        <w:t xml:space="preserve"> deficiency</w:t>
      </w:r>
      <w:r w:rsidR="00CE0655" w:rsidRPr="007F073E">
        <w:rPr>
          <w:rFonts w:ascii="Arial" w:hAnsi="Arial" w:cs="Arial"/>
          <w:sz w:val="16"/>
          <w:szCs w:val="16"/>
          <w:lang w:val="en-CA"/>
        </w:rPr>
        <w:t>” is a capital management measure. “Non-current financial liabilities” is a supplemental financial measure. See "Non-IFRS and Other Financial Measures".</w:t>
      </w:r>
    </w:p>
    <w:p w14:paraId="1F378A12" w14:textId="77777777" w:rsidR="00042E43" w:rsidRDefault="00042E43" w:rsidP="00D02275">
      <w:pPr>
        <w:rPr>
          <w:rFonts w:ascii="Arial" w:hAnsi="Arial" w:cs="Arial"/>
          <w:b/>
          <w:sz w:val="20"/>
          <w:szCs w:val="20"/>
          <w:lang w:val="en-CA"/>
        </w:rPr>
      </w:pPr>
    </w:p>
    <w:p w14:paraId="4C610E44" w14:textId="77777777" w:rsidR="00307171" w:rsidRDefault="00307171" w:rsidP="00307171">
      <w:pPr>
        <w:rPr>
          <w:rFonts w:ascii="Arial" w:hAnsi="Arial" w:cs="Arial"/>
          <w:b/>
          <w:sz w:val="20"/>
          <w:szCs w:val="20"/>
          <w:lang w:val="en-CA"/>
        </w:rPr>
      </w:pPr>
      <w:r w:rsidRPr="00E01D56">
        <w:rPr>
          <w:rFonts w:ascii="Arial" w:hAnsi="Arial" w:cs="Arial"/>
          <w:b/>
          <w:bCs/>
          <w:caps/>
          <w:color w:val="000000"/>
          <w:sz w:val="20"/>
          <w:szCs w:val="20"/>
        </w:rPr>
        <w:t>RESULTS OF OPERATIONS</w:t>
      </w:r>
    </w:p>
    <w:p w14:paraId="426D2C4E" w14:textId="77777777" w:rsidR="00307171" w:rsidRDefault="00307171" w:rsidP="00307171">
      <w:pPr>
        <w:rPr>
          <w:rFonts w:ascii="Arial" w:hAnsi="Arial" w:cs="Arial"/>
          <w:b/>
          <w:sz w:val="20"/>
          <w:szCs w:val="20"/>
          <w:lang w:val="en-CA"/>
        </w:rPr>
      </w:pPr>
    </w:p>
    <w:p w14:paraId="18091057" w14:textId="02F4EC9F" w:rsidR="00570515" w:rsidRDefault="00307171" w:rsidP="00570515">
      <w:pPr>
        <w:rPr>
          <w:rFonts w:ascii="Arial" w:hAnsi="Arial" w:cs="Arial"/>
          <w:b/>
          <w:sz w:val="20"/>
          <w:szCs w:val="20"/>
          <w:lang w:val="en-CA"/>
        </w:rPr>
      </w:pPr>
      <w:r>
        <w:rPr>
          <w:rFonts w:ascii="Arial" w:hAnsi="Arial" w:cs="Arial"/>
          <w:b/>
          <w:sz w:val="20"/>
          <w:szCs w:val="20"/>
          <w:lang w:val="en-CA"/>
        </w:rPr>
        <w:t>Sales Volumes</w:t>
      </w:r>
    </w:p>
    <w:p w14:paraId="0EBA2DC5" w14:textId="77777777" w:rsidR="00307171" w:rsidRDefault="00307171" w:rsidP="00570515">
      <w:pPr>
        <w:rPr>
          <w:rFonts w:ascii="Arial" w:hAnsi="Arial" w:cs="Arial"/>
          <w:b/>
          <w:sz w:val="20"/>
          <w:szCs w:val="20"/>
          <w:lang w:val="en-CA"/>
        </w:rPr>
      </w:pPr>
    </w:p>
    <w:tbl>
      <w:tblPr>
        <w:tblW w:w="9355" w:type="dxa"/>
        <w:tblLayout w:type="fixed"/>
        <w:tblLook w:val="04A0" w:firstRow="1" w:lastRow="0" w:firstColumn="1" w:lastColumn="0" w:noHBand="0" w:noVBand="1"/>
      </w:tblPr>
      <w:tblGrid>
        <w:gridCol w:w="4765"/>
        <w:gridCol w:w="1170"/>
        <w:gridCol w:w="1080"/>
        <w:gridCol w:w="1170"/>
        <w:gridCol w:w="1170"/>
      </w:tblGrid>
      <w:tr w:rsidR="00307171" w:rsidRPr="004901D1" w14:paraId="03D9C563" w14:textId="77777777" w:rsidTr="00A45BAD">
        <w:tc>
          <w:tcPr>
            <w:tcW w:w="4765" w:type="dxa"/>
            <w:tcBorders>
              <w:top w:val="single" w:sz="12" w:space="0" w:color="auto"/>
              <w:left w:val="single" w:sz="4" w:space="0" w:color="auto"/>
              <w:right w:val="single" w:sz="4" w:space="0" w:color="auto"/>
            </w:tcBorders>
          </w:tcPr>
          <w:p w14:paraId="05617A8A" w14:textId="77777777" w:rsidR="00307171" w:rsidRPr="004901D1" w:rsidRDefault="00307171" w:rsidP="00A45BAD">
            <w:pPr>
              <w:rPr>
                <w:rFonts w:ascii="Arial" w:hAnsi="Arial" w:cs="Arial"/>
                <w:b/>
                <w:bCs/>
                <w:sz w:val="16"/>
                <w:szCs w:val="16"/>
                <w:lang w:val="en-CA"/>
              </w:rPr>
            </w:pPr>
          </w:p>
        </w:tc>
        <w:tc>
          <w:tcPr>
            <w:tcW w:w="2250" w:type="dxa"/>
            <w:gridSpan w:val="2"/>
            <w:tcBorders>
              <w:top w:val="single" w:sz="12" w:space="0" w:color="auto"/>
              <w:left w:val="single" w:sz="4" w:space="0" w:color="auto"/>
              <w:right w:val="single" w:sz="4" w:space="0" w:color="auto"/>
            </w:tcBorders>
            <w:vAlign w:val="bottom"/>
          </w:tcPr>
          <w:p w14:paraId="07A6A693" w14:textId="77777777" w:rsidR="00307171" w:rsidRPr="004901D1" w:rsidRDefault="00307171" w:rsidP="00A45BAD">
            <w:pPr>
              <w:widowControl w:val="0"/>
              <w:spacing w:before="60"/>
              <w:jc w:val="center"/>
              <w:rPr>
                <w:rFonts w:ascii="Arial" w:hAnsi="Arial" w:cs="Arial"/>
                <w:b/>
                <w:bCs/>
                <w:sz w:val="16"/>
                <w:szCs w:val="16"/>
                <w:lang w:val="en-CA"/>
              </w:rPr>
            </w:pPr>
            <w:r w:rsidRPr="004901D1">
              <w:rPr>
                <w:rFonts w:ascii="Arial" w:hAnsi="Arial" w:cs="Arial"/>
                <w:b/>
                <w:bCs/>
                <w:sz w:val="16"/>
                <w:szCs w:val="16"/>
                <w:lang w:val="en-CA"/>
              </w:rPr>
              <w:t>Three months ended</w:t>
            </w:r>
          </w:p>
        </w:tc>
        <w:tc>
          <w:tcPr>
            <w:tcW w:w="2340" w:type="dxa"/>
            <w:gridSpan w:val="2"/>
            <w:tcBorders>
              <w:top w:val="single" w:sz="12" w:space="0" w:color="auto"/>
              <w:left w:val="single" w:sz="4" w:space="0" w:color="auto"/>
              <w:right w:val="single" w:sz="4" w:space="0" w:color="auto"/>
            </w:tcBorders>
            <w:vAlign w:val="bottom"/>
          </w:tcPr>
          <w:p w14:paraId="1F510FD9" w14:textId="77777777" w:rsidR="00307171" w:rsidRPr="004901D1" w:rsidRDefault="00307171" w:rsidP="00A45BAD">
            <w:pPr>
              <w:widowControl w:val="0"/>
              <w:spacing w:before="60"/>
              <w:jc w:val="center"/>
              <w:rPr>
                <w:rFonts w:ascii="Arial" w:hAnsi="Arial" w:cs="Arial"/>
                <w:b/>
                <w:bCs/>
                <w:sz w:val="16"/>
                <w:szCs w:val="16"/>
                <w:lang w:val="en-CA"/>
              </w:rPr>
            </w:pPr>
            <w:r w:rsidRPr="004901D1">
              <w:rPr>
                <w:rFonts w:ascii="Arial" w:hAnsi="Arial" w:cs="Arial"/>
                <w:b/>
                <w:bCs/>
                <w:sz w:val="16"/>
                <w:szCs w:val="16"/>
                <w:lang w:val="en-CA"/>
              </w:rPr>
              <w:t>Six months ended</w:t>
            </w:r>
          </w:p>
        </w:tc>
      </w:tr>
      <w:tr w:rsidR="00307171" w:rsidRPr="004901D1" w14:paraId="54FAB79A" w14:textId="77777777" w:rsidTr="00A45BAD">
        <w:tc>
          <w:tcPr>
            <w:tcW w:w="4765" w:type="dxa"/>
            <w:tcBorders>
              <w:left w:val="single" w:sz="4" w:space="0" w:color="auto"/>
              <w:right w:val="single" w:sz="4" w:space="0" w:color="auto"/>
            </w:tcBorders>
          </w:tcPr>
          <w:p w14:paraId="54761A5D" w14:textId="77777777" w:rsidR="00307171" w:rsidRPr="004901D1" w:rsidRDefault="00307171" w:rsidP="00A45BAD">
            <w:pPr>
              <w:rPr>
                <w:rFonts w:ascii="Arial" w:hAnsi="Arial" w:cs="Arial"/>
                <w:b/>
                <w:sz w:val="16"/>
                <w:szCs w:val="16"/>
                <w:lang w:val="en-CA"/>
              </w:rPr>
            </w:pPr>
          </w:p>
        </w:tc>
        <w:tc>
          <w:tcPr>
            <w:tcW w:w="2250" w:type="dxa"/>
            <w:gridSpan w:val="2"/>
            <w:tcBorders>
              <w:left w:val="single" w:sz="4" w:space="0" w:color="auto"/>
              <w:bottom w:val="single" w:sz="4" w:space="0" w:color="auto"/>
              <w:right w:val="single" w:sz="4" w:space="0" w:color="auto"/>
            </w:tcBorders>
            <w:vAlign w:val="bottom"/>
          </w:tcPr>
          <w:p w14:paraId="51DE52DA" w14:textId="77777777" w:rsidR="00307171" w:rsidRPr="004901D1" w:rsidRDefault="00307171" w:rsidP="00A45BAD">
            <w:pPr>
              <w:widowControl w:val="0"/>
              <w:jc w:val="center"/>
              <w:rPr>
                <w:rFonts w:ascii="Arial" w:hAnsi="Arial" w:cs="Arial"/>
                <w:b/>
                <w:bCs/>
                <w:sz w:val="16"/>
                <w:szCs w:val="16"/>
                <w:lang w:val="en-CA"/>
              </w:rPr>
            </w:pPr>
            <w:r w:rsidRPr="004901D1">
              <w:rPr>
                <w:rFonts w:ascii="Arial" w:hAnsi="Arial" w:cs="Arial"/>
                <w:b/>
                <w:bCs/>
                <w:sz w:val="16"/>
                <w:szCs w:val="16"/>
                <w:lang w:val="en-CA"/>
              </w:rPr>
              <w:t>June 30</w:t>
            </w:r>
          </w:p>
        </w:tc>
        <w:tc>
          <w:tcPr>
            <w:tcW w:w="2340" w:type="dxa"/>
            <w:gridSpan w:val="2"/>
            <w:tcBorders>
              <w:left w:val="single" w:sz="4" w:space="0" w:color="auto"/>
              <w:bottom w:val="single" w:sz="4" w:space="0" w:color="auto"/>
              <w:right w:val="single" w:sz="4" w:space="0" w:color="auto"/>
            </w:tcBorders>
            <w:vAlign w:val="bottom"/>
          </w:tcPr>
          <w:p w14:paraId="591D52B4" w14:textId="77777777" w:rsidR="00307171" w:rsidRPr="004901D1" w:rsidRDefault="00307171" w:rsidP="00A45BAD">
            <w:pPr>
              <w:widowControl w:val="0"/>
              <w:jc w:val="center"/>
              <w:rPr>
                <w:rFonts w:ascii="Arial" w:hAnsi="Arial" w:cs="Arial"/>
                <w:b/>
                <w:bCs/>
                <w:sz w:val="16"/>
                <w:szCs w:val="16"/>
                <w:lang w:val="en-CA"/>
              </w:rPr>
            </w:pPr>
            <w:r w:rsidRPr="004901D1">
              <w:rPr>
                <w:rFonts w:ascii="Arial" w:hAnsi="Arial" w:cs="Arial"/>
                <w:b/>
                <w:bCs/>
                <w:sz w:val="16"/>
                <w:szCs w:val="16"/>
                <w:lang w:val="en-CA"/>
              </w:rPr>
              <w:t>June 30</w:t>
            </w:r>
          </w:p>
        </w:tc>
      </w:tr>
      <w:tr w:rsidR="00307171" w:rsidRPr="004901D1" w14:paraId="083B8961" w14:textId="77777777" w:rsidTr="00A45BAD">
        <w:tc>
          <w:tcPr>
            <w:tcW w:w="4765" w:type="dxa"/>
            <w:tcBorders>
              <w:left w:val="single" w:sz="4" w:space="0" w:color="auto"/>
              <w:bottom w:val="single" w:sz="4" w:space="0" w:color="auto"/>
              <w:right w:val="single" w:sz="4" w:space="0" w:color="auto"/>
            </w:tcBorders>
          </w:tcPr>
          <w:p w14:paraId="31628495" w14:textId="77777777" w:rsidR="00307171" w:rsidRPr="004901D1" w:rsidRDefault="00307171" w:rsidP="00A45BAD">
            <w:pPr>
              <w:rPr>
                <w:rFonts w:ascii="Arial" w:hAnsi="Arial" w:cs="Arial"/>
                <w:bCs/>
                <w:sz w:val="16"/>
                <w:szCs w:val="16"/>
                <w:lang w:val="en-CA"/>
              </w:rPr>
            </w:pPr>
          </w:p>
        </w:tc>
        <w:tc>
          <w:tcPr>
            <w:tcW w:w="1170" w:type="dxa"/>
            <w:tcBorders>
              <w:top w:val="single" w:sz="4" w:space="0" w:color="auto"/>
              <w:left w:val="single" w:sz="4" w:space="0" w:color="auto"/>
              <w:bottom w:val="single" w:sz="4" w:space="0" w:color="auto"/>
              <w:right w:val="single" w:sz="4" w:space="0" w:color="auto"/>
            </w:tcBorders>
            <w:vAlign w:val="bottom"/>
          </w:tcPr>
          <w:p w14:paraId="2B8528B7" w14:textId="2E0FDBB3" w:rsidR="00307171" w:rsidRPr="004901D1" w:rsidRDefault="00307171" w:rsidP="00A45BAD">
            <w:pPr>
              <w:widowControl w:val="0"/>
              <w:ind w:right="162"/>
              <w:jc w:val="center"/>
              <w:rPr>
                <w:rFonts w:ascii="Arial" w:hAnsi="Arial" w:cs="Arial"/>
                <w:b/>
                <w:bCs/>
                <w:sz w:val="16"/>
                <w:szCs w:val="16"/>
                <w:lang w:val="en-CA"/>
              </w:rPr>
            </w:pPr>
            <w:r w:rsidRPr="004901D1">
              <w:rPr>
                <w:rFonts w:ascii="Arial" w:hAnsi="Arial" w:cs="Arial"/>
                <w:b/>
                <w:color w:val="000000"/>
                <w:sz w:val="16"/>
                <w:szCs w:val="16"/>
              </w:rPr>
              <w:t>2026</w:t>
            </w:r>
          </w:p>
        </w:tc>
        <w:tc>
          <w:tcPr>
            <w:tcW w:w="1080" w:type="dxa"/>
            <w:tcBorders>
              <w:top w:val="single" w:sz="4" w:space="0" w:color="auto"/>
              <w:left w:val="single" w:sz="4" w:space="0" w:color="auto"/>
              <w:bottom w:val="single" w:sz="4" w:space="0" w:color="auto"/>
              <w:right w:val="single" w:sz="4" w:space="0" w:color="auto"/>
            </w:tcBorders>
            <w:vAlign w:val="bottom"/>
          </w:tcPr>
          <w:p w14:paraId="2E77AD21" w14:textId="489082D9" w:rsidR="00307171" w:rsidRPr="004901D1" w:rsidRDefault="00307171" w:rsidP="00A45BAD">
            <w:pPr>
              <w:widowControl w:val="0"/>
              <w:ind w:right="72"/>
              <w:jc w:val="center"/>
              <w:rPr>
                <w:rFonts w:ascii="Arial" w:hAnsi="Arial" w:cs="Arial"/>
                <w:b/>
                <w:bCs/>
                <w:sz w:val="16"/>
                <w:szCs w:val="16"/>
                <w:lang w:val="en-CA"/>
              </w:rPr>
            </w:pPr>
            <w:r w:rsidRPr="004901D1">
              <w:rPr>
                <w:rFonts w:ascii="Arial" w:hAnsi="Arial" w:cs="Arial"/>
                <w:b/>
                <w:color w:val="000000"/>
                <w:sz w:val="16"/>
                <w:szCs w:val="16"/>
              </w:rPr>
              <w:t>2025</w:t>
            </w:r>
          </w:p>
        </w:tc>
        <w:tc>
          <w:tcPr>
            <w:tcW w:w="1170" w:type="dxa"/>
            <w:tcBorders>
              <w:top w:val="single" w:sz="4" w:space="0" w:color="auto"/>
              <w:left w:val="single" w:sz="4" w:space="0" w:color="auto"/>
              <w:bottom w:val="single" w:sz="4" w:space="0" w:color="auto"/>
              <w:right w:val="single" w:sz="4" w:space="0" w:color="auto"/>
            </w:tcBorders>
            <w:vAlign w:val="bottom"/>
          </w:tcPr>
          <w:p w14:paraId="40398AC1" w14:textId="212A5000" w:rsidR="00307171" w:rsidRPr="004901D1" w:rsidRDefault="00307171" w:rsidP="00A45BAD">
            <w:pPr>
              <w:widowControl w:val="0"/>
              <w:ind w:right="162"/>
              <w:jc w:val="center"/>
              <w:rPr>
                <w:rFonts w:ascii="Arial" w:hAnsi="Arial" w:cs="Arial"/>
                <w:b/>
                <w:bCs/>
                <w:sz w:val="16"/>
                <w:szCs w:val="16"/>
                <w:lang w:val="en-CA"/>
              </w:rPr>
            </w:pPr>
            <w:r w:rsidRPr="004901D1">
              <w:rPr>
                <w:rFonts w:ascii="Arial" w:hAnsi="Arial" w:cs="Arial"/>
                <w:b/>
                <w:color w:val="000000"/>
                <w:sz w:val="16"/>
                <w:szCs w:val="16"/>
              </w:rPr>
              <w:t>2026</w:t>
            </w:r>
          </w:p>
        </w:tc>
        <w:tc>
          <w:tcPr>
            <w:tcW w:w="1170" w:type="dxa"/>
            <w:tcBorders>
              <w:top w:val="single" w:sz="4" w:space="0" w:color="auto"/>
              <w:left w:val="single" w:sz="4" w:space="0" w:color="auto"/>
              <w:bottom w:val="single" w:sz="4" w:space="0" w:color="auto"/>
              <w:right w:val="single" w:sz="4" w:space="0" w:color="auto"/>
            </w:tcBorders>
            <w:vAlign w:val="bottom"/>
          </w:tcPr>
          <w:p w14:paraId="7A8CD7B1" w14:textId="7E0CF006" w:rsidR="00307171" w:rsidRPr="004901D1" w:rsidRDefault="00307171" w:rsidP="00A45BAD">
            <w:pPr>
              <w:widowControl w:val="0"/>
              <w:ind w:right="162"/>
              <w:jc w:val="center"/>
              <w:rPr>
                <w:rFonts w:ascii="Arial" w:hAnsi="Arial" w:cs="Arial"/>
                <w:b/>
                <w:bCs/>
                <w:sz w:val="16"/>
                <w:szCs w:val="16"/>
                <w:lang w:val="en-CA"/>
              </w:rPr>
            </w:pPr>
            <w:r w:rsidRPr="004901D1">
              <w:rPr>
                <w:rFonts w:ascii="Arial" w:hAnsi="Arial" w:cs="Arial"/>
                <w:b/>
                <w:color w:val="000000"/>
                <w:sz w:val="16"/>
                <w:szCs w:val="16"/>
              </w:rPr>
              <w:t>2025</w:t>
            </w:r>
          </w:p>
        </w:tc>
      </w:tr>
      <w:tr w:rsidR="00307171" w:rsidRPr="004901D1" w14:paraId="19302F04" w14:textId="77777777" w:rsidTr="009D085D">
        <w:tblPrEx>
          <w:tblLook w:val="01E0" w:firstRow="1" w:lastRow="1" w:firstColumn="1" w:lastColumn="1" w:noHBand="0" w:noVBand="0"/>
        </w:tblPrEx>
        <w:tc>
          <w:tcPr>
            <w:tcW w:w="4765" w:type="dxa"/>
            <w:tcBorders>
              <w:top w:val="single" w:sz="4" w:space="0" w:color="auto"/>
              <w:left w:val="single" w:sz="4" w:space="0" w:color="auto"/>
              <w:bottom w:val="single" w:sz="12" w:space="0" w:color="auto"/>
              <w:right w:val="single" w:sz="4" w:space="0" w:color="auto"/>
            </w:tcBorders>
            <w:vAlign w:val="bottom"/>
          </w:tcPr>
          <w:p w14:paraId="6F120D40" w14:textId="77777777" w:rsidR="00307171" w:rsidRPr="004901D1" w:rsidRDefault="00307171" w:rsidP="00307171">
            <w:pPr>
              <w:spacing w:before="60" w:line="240" w:lineRule="atLeast"/>
              <w:rPr>
                <w:rFonts w:ascii="Arial" w:hAnsi="Arial" w:cs="Arial"/>
                <w:sz w:val="16"/>
                <w:szCs w:val="16"/>
                <w:lang w:val="en-CA"/>
              </w:rPr>
            </w:pPr>
            <w:r w:rsidRPr="004901D1">
              <w:rPr>
                <w:rFonts w:ascii="Arial" w:hAnsi="Arial" w:cs="Arial"/>
                <w:sz w:val="16"/>
                <w:szCs w:val="16"/>
                <w:lang w:val="en-CA"/>
              </w:rPr>
              <w:t>Total sales volumes (BOE)</w:t>
            </w:r>
          </w:p>
        </w:tc>
        <w:tc>
          <w:tcPr>
            <w:tcW w:w="1170" w:type="dxa"/>
            <w:tcBorders>
              <w:top w:val="single" w:sz="4" w:space="0" w:color="auto"/>
              <w:left w:val="single" w:sz="4" w:space="0" w:color="auto"/>
              <w:bottom w:val="single" w:sz="12" w:space="0" w:color="auto"/>
              <w:right w:val="single" w:sz="4" w:space="0" w:color="auto"/>
            </w:tcBorders>
            <w:vAlign w:val="bottom"/>
          </w:tcPr>
          <w:p w14:paraId="2293473D" w14:textId="0434DCBE" w:rsidR="00307171" w:rsidRPr="004901D1" w:rsidRDefault="00307171" w:rsidP="00307171">
            <w:pPr>
              <w:pStyle w:val="BodyText2"/>
              <w:widowControl w:val="0"/>
              <w:tabs>
                <w:tab w:val="decimal" w:pos="792"/>
              </w:tabs>
              <w:spacing w:before="60"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833,333</w:t>
            </w:r>
          </w:p>
        </w:tc>
        <w:tc>
          <w:tcPr>
            <w:tcW w:w="1080" w:type="dxa"/>
            <w:tcBorders>
              <w:top w:val="single" w:sz="4" w:space="0" w:color="auto"/>
              <w:left w:val="single" w:sz="4" w:space="0" w:color="auto"/>
              <w:bottom w:val="single" w:sz="12" w:space="0" w:color="auto"/>
              <w:right w:val="single" w:sz="4" w:space="0" w:color="auto"/>
            </w:tcBorders>
            <w:vAlign w:val="bottom"/>
          </w:tcPr>
          <w:p w14:paraId="0720B3B9" w14:textId="7E4D3A33" w:rsidR="00307171" w:rsidRPr="004901D1" w:rsidRDefault="00307171" w:rsidP="00307171">
            <w:pPr>
              <w:pStyle w:val="BodyText2"/>
              <w:widowControl w:val="0"/>
              <w:tabs>
                <w:tab w:val="decimal" w:pos="792"/>
              </w:tabs>
              <w:spacing w:before="60" w:after="0" w:line="240" w:lineRule="atLeast"/>
              <w:ind w:right="72"/>
              <w:jc w:val="right"/>
              <w:rPr>
                <w:rFonts w:ascii="Arial" w:hAnsi="Arial" w:cs="Arial"/>
                <w:color w:val="000000"/>
                <w:sz w:val="16"/>
                <w:szCs w:val="16"/>
                <w:lang w:val="en-CA"/>
              </w:rPr>
            </w:pPr>
            <w:r w:rsidRPr="004901D1">
              <w:rPr>
                <w:rFonts w:ascii="Arial" w:hAnsi="Arial" w:cs="Arial"/>
                <w:sz w:val="16"/>
                <w:szCs w:val="16"/>
              </w:rPr>
              <w:t>371,484</w:t>
            </w:r>
          </w:p>
        </w:tc>
        <w:tc>
          <w:tcPr>
            <w:tcW w:w="1170" w:type="dxa"/>
            <w:tcBorders>
              <w:top w:val="single" w:sz="4" w:space="0" w:color="auto"/>
              <w:left w:val="single" w:sz="4" w:space="0" w:color="auto"/>
              <w:bottom w:val="single" w:sz="12" w:space="0" w:color="auto"/>
              <w:right w:val="single" w:sz="4" w:space="0" w:color="auto"/>
            </w:tcBorders>
            <w:vAlign w:val="bottom"/>
          </w:tcPr>
          <w:p w14:paraId="0C9B7B67" w14:textId="50C5FF81" w:rsidR="00307171" w:rsidRPr="004901D1" w:rsidRDefault="00307171" w:rsidP="00307171">
            <w:pPr>
              <w:pStyle w:val="BodyText2"/>
              <w:widowControl w:val="0"/>
              <w:tabs>
                <w:tab w:val="decimal" w:pos="792"/>
              </w:tabs>
              <w:spacing w:before="60"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1,541,991</w:t>
            </w:r>
          </w:p>
        </w:tc>
        <w:tc>
          <w:tcPr>
            <w:tcW w:w="1170" w:type="dxa"/>
            <w:tcBorders>
              <w:top w:val="single" w:sz="4" w:space="0" w:color="auto"/>
              <w:left w:val="single" w:sz="4" w:space="0" w:color="auto"/>
              <w:bottom w:val="single" w:sz="12" w:space="0" w:color="auto"/>
              <w:right w:val="single" w:sz="4" w:space="0" w:color="auto"/>
            </w:tcBorders>
            <w:vAlign w:val="bottom"/>
          </w:tcPr>
          <w:p w14:paraId="43D9E4ED" w14:textId="283C53EE" w:rsidR="00307171" w:rsidRPr="004901D1" w:rsidRDefault="00307171" w:rsidP="00307171">
            <w:pPr>
              <w:pStyle w:val="BodyText2"/>
              <w:widowControl w:val="0"/>
              <w:tabs>
                <w:tab w:val="decimal" w:pos="972"/>
              </w:tabs>
              <w:spacing w:before="60" w:after="0" w:line="240" w:lineRule="atLeast"/>
              <w:ind w:right="162"/>
              <w:jc w:val="right"/>
              <w:rPr>
                <w:rFonts w:ascii="Arial" w:hAnsi="Arial" w:cs="Arial"/>
                <w:color w:val="000000"/>
                <w:sz w:val="16"/>
                <w:szCs w:val="16"/>
                <w:lang w:val="en-CA"/>
              </w:rPr>
            </w:pPr>
            <w:r w:rsidRPr="004901D1">
              <w:rPr>
                <w:rFonts w:ascii="Arial" w:hAnsi="Arial" w:cs="Arial"/>
                <w:sz w:val="16"/>
                <w:szCs w:val="16"/>
              </w:rPr>
              <w:t xml:space="preserve"> 756,738</w:t>
            </w:r>
          </w:p>
        </w:tc>
      </w:tr>
      <w:tr w:rsidR="00307171" w:rsidRPr="004901D1" w14:paraId="3BA1A2A9" w14:textId="77777777" w:rsidTr="009D085D">
        <w:tblPrEx>
          <w:tblLook w:val="01E0" w:firstRow="1" w:lastRow="1" w:firstColumn="1" w:lastColumn="1" w:noHBand="0" w:noVBand="0"/>
        </w:tblPrEx>
        <w:trPr>
          <w:trHeight w:val="50"/>
        </w:trPr>
        <w:tc>
          <w:tcPr>
            <w:tcW w:w="4765" w:type="dxa"/>
            <w:tcBorders>
              <w:top w:val="single" w:sz="12" w:space="0" w:color="auto"/>
              <w:left w:val="single" w:sz="4" w:space="0" w:color="auto"/>
              <w:right w:val="single" w:sz="4" w:space="0" w:color="auto"/>
            </w:tcBorders>
            <w:vAlign w:val="bottom"/>
          </w:tcPr>
          <w:p w14:paraId="68887AE7" w14:textId="77777777" w:rsidR="00307171" w:rsidRPr="004901D1" w:rsidRDefault="00307171" w:rsidP="00307171">
            <w:pPr>
              <w:spacing w:before="60"/>
              <w:rPr>
                <w:rFonts w:ascii="Arial" w:hAnsi="Arial" w:cs="Arial"/>
                <w:sz w:val="16"/>
                <w:szCs w:val="16"/>
                <w:lang w:val="en-CA"/>
              </w:rPr>
            </w:pPr>
            <w:r w:rsidRPr="004901D1">
              <w:rPr>
                <w:rFonts w:ascii="Arial" w:hAnsi="Arial" w:cs="Arial"/>
                <w:sz w:val="16"/>
                <w:szCs w:val="16"/>
                <w:lang w:val="en-CA"/>
              </w:rPr>
              <w:t xml:space="preserve">Oil bbls per day </w:t>
            </w:r>
          </w:p>
        </w:tc>
        <w:tc>
          <w:tcPr>
            <w:tcW w:w="1170" w:type="dxa"/>
            <w:tcBorders>
              <w:top w:val="single" w:sz="12" w:space="0" w:color="auto"/>
              <w:left w:val="single" w:sz="4" w:space="0" w:color="auto"/>
              <w:right w:val="single" w:sz="4" w:space="0" w:color="auto"/>
            </w:tcBorders>
          </w:tcPr>
          <w:p w14:paraId="56DFD093" w14:textId="0FBD1ED4" w:rsidR="00307171" w:rsidRPr="004901D1" w:rsidRDefault="00307171" w:rsidP="00307171">
            <w:pPr>
              <w:pStyle w:val="BodyText2"/>
              <w:widowControl w:val="0"/>
              <w:tabs>
                <w:tab w:val="decimal" w:pos="792"/>
              </w:tabs>
              <w:spacing w:before="60"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8,065</w:t>
            </w:r>
          </w:p>
        </w:tc>
        <w:tc>
          <w:tcPr>
            <w:tcW w:w="1080" w:type="dxa"/>
            <w:tcBorders>
              <w:top w:val="single" w:sz="12" w:space="0" w:color="auto"/>
              <w:left w:val="single" w:sz="4" w:space="0" w:color="auto"/>
              <w:right w:val="single" w:sz="4" w:space="0" w:color="auto"/>
            </w:tcBorders>
          </w:tcPr>
          <w:p w14:paraId="63517D61" w14:textId="776F0A80" w:rsidR="00307171" w:rsidRPr="004901D1" w:rsidRDefault="00307171" w:rsidP="00307171">
            <w:pPr>
              <w:pStyle w:val="BodyText2"/>
              <w:widowControl w:val="0"/>
              <w:tabs>
                <w:tab w:val="decimal" w:pos="792"/>
              </w:tabs>
              <w:spacing w:before="60" w:after="0" w:line="240" w:lineRule="atLeast"/>
              <w:ind w:right="72"/>
              <w:jc w:val="right"/>
              <w:rPr>
                <w:rFonts w:ascii="Arial" w:hAnsi="Arial" w:cs="Arial"/>
                <w:color w:val="000000"/>
                <w:sz w:val="16"/>
                <w:szCs w:val="16"/>
                <w:lang w:val="en-CA"/>
              </w:rPr>
            </w:pPr>
            <w:r w:rsidRPr="004901D1">
              <w:rPr>
                <w:rFonts w:ascii="Arial" w:hAnsi="Arial" w:cs="Arial"/>
                <w:color w:val="000000"/>
                <w:sz w:val="16"/>
                <w:szCs w:val="16"/>
              </w:rPr>
              <w:t xml:space="preserve"> 3,422 </w:t>
            </w:r>
          </w:p>
        </w:tc>
        <w:tc>
          <w:tcPr>
            <w:tcW w:w="1170" w:type="dxa"/>
            <w:tcBorders>
              <w:top w:val="single" w:sz="12" w:space="0" w:color="auto"/>
              <w:left w:val="single" w:sz="4" w:space="0" w:color="auto"/>
              <w:right w:val="single" w:sz="4" w:space="0" w:color="auto"/>
            </w:tcBorders>
          </w:tcPr>
          <w:p w14:paraId="4843D43F" w14:textId="15E07E04" w:rsidR="00307171" w:rsidRPr="004901D1" w:rsidRDefault="00307171" w:rsidP="00307171">
            <w:pPr>
              <w:pStyle w:val="BodyText2"/>
              <w:widowControl w:val="0"/>
              <w:tabs>
                <w:tab w:val="decimal" w:pos="792"/>
              </w:tabs>
              <w:spacing w:before="60"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7,356</w:t>
            </w:r>
          </w:p>
        </w:tc>
        <w:tc>
          <w:tcPr>
            <w:tcW w:w="1170" w:type="dxa"/>
            <w:tcBorders>
              <w:top w:val="single" w:sz="12" w:space="0" w:color="auto"/>
              <w:left w:val="single" w:sz="4" w:space="0" w:color="auto"/>
              <w:right w:val="single" w:sz="4" w:space="0" w:color="auto"/>
            </w:tcBorders>
          </w:tcPr>
          <w:p w14:paraId="6D323ED7" w14:textId="3CDD7BAE" w:rsidR="00307171" w:rsidRPr="004901D1" w:rsidRDefault="00307171" w:rsidP="00307171">
            <w:pPr>
              <w:pStyle w:val="BodyText2"/>
              <w:widowControl w:val="0"/>
              <w:tabs>
                <w:tab w:val="left" w:pos="968"/>
              </w:tabs>
              <w:spacing w:before="60" w:after="0" w:line="240" w:lineRule="atLeast"/>
              <w:ind w:right="162"/>
              <w:jc w:val="right"/>
              <w:rPr>
                <w:rFonts w:ascii="Arial" w:hAnsi="Arial" w:cs="Arial"/>
                <w:color w:val="000000"/>
                <w:sz w:val="16"/>
                <w:szCs w:val="16"/>
                <w:lang w:val="en-CA"/>
              </w:rPr>
            </w:pPr>
            <w:r w:rsidRPr="004901D1">
              <w:rPr>
                <w:rFonts w:ascii="Arial" w:hAnsi="Arial" w:cs="Arial"/>
                <w:sz w:val="16"/>
                <w:szCs w:val="16"/>
              </w:rPr>
              <w:t xml:space="preserve"> 3,511 </w:t>
            </w:r>
          </w:p>
        </w:tc>
      </w:tr>
      <w:tr w:rsidR="00307171" w:rsidRPr="004901D1" w14:paraId="642D5AC7" w14:textId="77777777" w:rsidTr="009D085D">
        <w:tblPrEx>
          <w:tblLook w:val="01E0" w:firstRow="1" w:lastRow="1" w:firstColumn="1" w:lastColumn="1" w:noHBand="0" w:noVBand="0"/>
        </w:tblPrEx>
        <w:tc>
          <w:tcPr>
            <w:tcW w:w="4765" w:type="dxa"/>
            <w:tcBorders>
              <w:left w:val="single" w:sz="4" w:space="0" w:color="auto"/>
              <w:right w:val="single" w:sz="4" w:space="0" w:color="auto"/>
            </w:tcBorders>
            <w:vAlign w:val="bottom"/>
          </w:tcPr>
          <w:p w14:paraId="42E9FE3E"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 xml:space="preserve">NGL bbls per day </w:t>
            </w:r>
          </w:p>
        </w:tc>
        <w:tc>
          <w:tcPr>
            <w:tcW w:w="1170" w:type="dxa"/>
            <w:tcBorders>
              <w:left w:val="single" w:sz="4" w:space="0" w:color="auto"/>
              <w:right w:val="single" w:sz="4" w:space="0" w:color="auto"/>
            </w:tcBorders>
          </w:tcPr>
          <w:p w14:paraId="25CB69FD" w14:textId="705DDD95" w:rsidR="00307171" w:rsidRPr="004901D1" w:rsidRDefault="00307171" w:rsidP="00307171">
            <w:pPr>
              <w:pStyle w:val="BodyText2"/>
              <w:widowControl w:val="0"/>
              <w:tabs>
                <w:tab w:val="decimal" w:pos="792"/>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4</w:t>
            </w:r>
          </w:p>
        </w:tc>
        <w:tc>
          <w:tcPr>
            <w:tcW w:w="1080" w:type="dxa"/>
            <w:tcBorders>
              <w:left w:val="single" w:sz="4" w:space="0" w:color="auto"/>
              <w:right w:val="single" w:sz="4" w:space="0" w:color="auto"/>
            </w:tcBorders>
          </w:tcPr>
          <w:p w14:paraId="07ADE41B" w14:textId="7348DA9E" w:rsidR="00307171" w:rsidRPr="004901D1" w:rsidRDefault="00307171" w:rsidP="00307171">
            <w:pPr>
              <w:pStyle w:val="BodyText2"/>
              <w:widowControl w:val="0"/>
              <w:tabs>
                <w:tab w:val="decimal" w:pos="792"/>
              </w:tabs>
              <w:spacing w:after="0" w:line="240" w:lineRule="atLeast"/>
              <w:ind w:right="72"/>
              <w:jc w:val="right"/>
              <w:rPr>
                <w:rFonts w:ascii="Arial" w:hAnsi="Arial" w:cs="Arial"/>
                <w:color w:val="000000"/>
                <w:sz w:val="16"/>
                <w:szCs w:val="16"/>
                <w:lang w:val="en-CA"/>
              </w:rPr>
            </w:pPr>
            <w:r w:rsidRPr="004901D1">
              <w:rPr>
                <w:rFonts w:ascii="Arial" w:hAnsi="Arial" w:cs="Arial"/>
                <w:color w:val="000000"/>
                <w:sz w:val="16"/>
                <w:szCs w:val="16"/>
              </w:rPr>
              <w:t xml:space="preserve"> 16 </w:t>
            </w:r>
          </w:p>
        </w:tc>
        <w:tc>
          <w:tcPr>
            <w:tcW w:w="1170" w:type="dxa"/>
            <w:tcBorders>
              <w:left w:val="single" w:sz="4" w:space="0" w:color="auto"/>
              <w:right w:val="single" w:sz="4" w:space="0" w:color="auto"/>
            </w:tcBorders>
          </w:tcPr>
          <w:p w14:paraId="3514A771" w14:textId="542E8ACA" w:rsidR="00307171" w:rsidRPr="004901D1" w:rsidRDefault="00307171" w:rsidP="00307171">
            <w:pPr>
              <w:pStyle w:val="BodyText2"/>
              <w:widowControl w:val="0"/>
              <w:tabs>
                <w:tab w:val="decimal" w:pos="792"/>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4</w:t>
            </w:r>
          </w:p>
        </w:tc>
        <w:tc>
          <w:tcPr>
            <w:tcW w:w="1170" w:type="dxa"/>
            <w:tcBorders>
              <w:left w:val="single" w:sz="4" w:space="0" w:color="auto"/>
              <w:right w:val="single" w:sz="4" w:space="0" w:color="auto"/>
            </w:tcBorders>
          </w:tcPr>
          <w:p w14:paraId="74686666" w14:textId="51353A7B" w:rsidR="00307171" w:rsidRPr="004901D1" w:rsidRDefault="00307171" w:rsidP="00307171">
            <w:pPr>
              <w:pStyle w:val="BodyText2"/>
              <w:widowControl w:val="0"/>
              <w:tabs>
                <w:tab w:val="left" w:pos="968"/>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rPr>
              <w:t xml:space="preserve"> 12 </w:t>
            </w:r>
          </w:p>
        </w:tc>
      </w:tr>
      <w:tr w:rsidR="00307171" w:rsidRPr="004901D1" w14:paraId="620BFAC3" w14:textId="77777777" w:rsidTr="009D085D">
        <w:tblPrEx>
          <w:tblLook w:val="01E0" w:firstRow="1" w:lastRow="1" w:firstColumn="1" w:lastColumn="1" w:noHBand="0" w:noVBand="0"/>
        </w:tblPrEx>
        <w:tc>
          <w:tcPr>
            <w:tcW w:w="4765" w:type="dxa"/>
            <w:tcBorders>
              <w:left w:val="single" w:sz="4" w:space="0" w:color="auto"/>
              <w:bottom w:val="single" w:sz="4" w:space="0" w:color="auto"/>
              <w:right w:val="single" w:sz="4" w:space="0" w:color="auto"/>
            </w:tcBorders>
            <w:vAlign w:val="bottom"/>
          </w:tcPr>
          <w:p w14:paraId="3B006AB8"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 xml:space="preserve">Natural gas mcf per day </w:t>
            </w:r>
          </w:p>
        </w:tc>
        <w:tc>
          <w:tcPr>
            <w:tcW w:w="1170" w:type="dxa"/>
            <w:tcBorders>
              <w:left w:val="single" w:sz="4" w:space="0" w:color="auto"/>
              <w:bottom w:val="single" w:sz="4" w:space="0" w:color="auto"/>
              <w:right w:val="single" w:sz="4" w:space="0" w:color="auto"/>
            </w:tcBorders>
          </w:tcPr>
          <w:p w14:paraId="1A0AFA4D" w14:textId="1AF57DA6" w:rsidR="00307171" w:rsidRPr="004901D1" w:rsidRDefault="00307171" w:rsidP="00307171">
            <w:pPr>
              <w:pStyle w:val="BodyText2"/>
              <w:widowControl w:val="0"/>
              <w:tabs>
                <w:tab w:val="decimal" w:pos="792"/>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6,532</w:t>
            </w:r>
          </w:p>
        </w:tc>
        <w:tc>
          <w:tcPr>
            <w:tcW w:w="1080" w:type="dxa"/>
            <w:tcBorders>
              <w:left w:val="single" w:sz="4" w:space="0" w:color="auto"/>
              <w:bottom w:val="single" w:sz="4" w:space="0" w:color="auto"/>
              <w:right w:val="single" w:sz="4" w:space="0" w:color="auto"/>
            </w:tcBorders>
          </w:tcPr>
          <w:p w14:paraId="32310D34" w14:textId="5ACE79C3" w:rsidR="00307171" w:rsidRPr="004901D1" w:rsidRDefault="00307171" w:rsidP="00307171">
            <w:pPr>
              <w:pStyle w:val="BodyText2"/>
              <w:widowControl w:val="0"/>
              <w:tabs>
                <w:tab w:val="decimal" w:pos="792"/>
              </w:tabs>
              <w:spacing w:after="0" w:line="240" w:lineRule="atLeast"/>
              <w:ind w:right="72"/>
              <w:jc w:val="right"/>
              <w:rPr>
                <w:rFonts w:ascii="Arial" w:hAnsi="Arial" w:cs="Arial"/>
                <w:color w:val="000000"/>
                <w:sz w:val="16"/>
                <w:szCs w:val="16"/>
                <w:lang w:val="en-CA"/>
              </w:rPr>
            </w:pPr>
            <w:r w:rsidRPr="004901D1">
              <w:rPr>
                <w:rFonts w:ascii="Arial" w:hAnsi="Arial" w:cs="Arial"/>
                <w:color w:val="000000"/>
                <w:sz w:val="16"/>
                <w:szCs w:val="16"/>
              </w:rPr>
              <w:t xml:space="preserve"> 3,867 </w:t>
            </w:r>
          </w:p>
        </w:tc>
        <w:tc>
          <w:tcPr>
            <w:tcW w:w="1170" w:type="dxa"/>
            <w:tcBorders>
              <w:left w:val="single" w:sz="4" w:space="0" w:color="auto"/>
              <w:bottom w:val="single" w:sz="4" w:space="0" w:color="auto"/>
              <w:right w:val="single" w:sz="4" w:space="0" w:color="auto"/>
            </w:tcBorders>
          </w:tcPr>
          <w:p w14:paraId="1ED44455" w14:textId="49F142F3" w:rsidR="00307171" w:rsidRPr="004901D1" w:rsidRDefault="00307171" w:rsidP="00307171">
            <w:pPr>
              <w:pStyle w:val="BodyText2"/>
              <w:widowControl w:val="0"/>
              <w:tabs>
                <w:tab w:val="decimal" w:pos="792"/>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6,958</w:t>
            </w:r>
          </w:p>
        </w:tc>
        <w:tc>
          <w:tcPr>
            <w:tcW w:w="1170" w:type="dxa"/>
            <w:tcBorders>
              <w:left w:val="single" w:sz="4" w:space="0" w:color="auto"/>
              <w:bottom w:val="single" w:sz="4" w:space="0" w:color="auto"/>
              <w:right w:val="single" w:sz="4" w:space="0" w:color="auto"/>
            </w:tcBorders>
          </w:tcPr>
          <w:p w14:paraId="504E2C72" w14:textId="70E70009" w:rsidR="00307171" w:rsidRPr="004901D1" w:rsidRDefault="00307171" w:rsidP="00307171">
            <w:pPr>
              <w:pStyle w:val="BodyText2"/>
              <w:widowControl w:val="0"/>
              <w:tabs>
                <w:tab w:val="left" w:pos="968"/>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rPr>
              <w:t xml:space="preserve"> 3,947 </w:t>
            </w:r>
          </w:p>
        </w:tc>
      </w:tr>
      <w:tr w:rsidR="00307171" w:rsidRPr="004901D1" w14:paraId="17E6AFE6" w14:textId="77777777" w:rsidTr="009D085D">
        <w:tblPrEx>
          <w:tblLook w:val="01E0" w:firstRow="1" w:lastRow="1" w:firstColumn="1" w:lastColumn="1" w:noHBand="0" w:noVBand="0"/>
        </w:tblPrEx>
        <w:trPr>
          <w:trHeight w:val="278"/>
        </w:trPr>
        <w:tc>
          <w:tcPr>
            <w:tcW w:w="4765" w:type="dxa"/>
            <w:tcBorders>
              <w:top w:val="single" w:sz="4" w:space="0" w:color="auto"/>
              <w:left w:val="single" w:sz="4" w:space="0" w:color="auto"/>
              <w:bottom w:val="single" w:sz="12" w:space="0" w:color="auto"/>
              <w:right w:val="single" w:sz="4" w:space="0" w:color="auto"/>
            </w:tcBorders>
            <w:vAlign w:val="bottom"/>
          </w:tcPr>
          <w:p w14:paraId="009FF385"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Total BOE per day</w:t>
            </w:r>
          </w:p>
        </w:tc>
        <w:tc>
          <w:tcPr>
            <w:tcW w:w="1170" w:type="dxa"/>
            <w:tcBorders>
              <w:top w:val="single" w:sz="4" w:space="0" w:color="auto"/>
              <w:left w:val="single" w:sz="4" w:space="0" w:color="auto"/>
              <w:bottom w:val="single" w:sz="12" w:space="0" w:color="auto"/>
              <w:right w:val="single" w:sz="4" w:space="0" w:color="auto"/>
            </w:tcBorders>
          </w:tcPr>
          <w:p w14:paraId="134DDF48" w14:textId="3AFE048A" w:rsidR="00307171" w:rsidRPr="004901D1" w:rsidRDefault="00307171" w:rsidP="00307171">
            <w:pPr>
              <w:pStyle w:val="BodyText2"/>
              <w:widowControl w:val="0"/>
              <w:tabs>
                <w:tab w:val="decimal" w:pos="792"/>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9,158</w:t>
            </w:r>
          </w:p>
        </w:tc>
        <w:tc>
          <w:tcPr>
            <w:tcW w:w="1080" w:type="dxa"/>
            <w:tcBorders>
              <w:top w:val="single" w:sz="4" w:space="0" w:color="auto"/>
              <w:left w:val="single" w:sz="4" w:space="0" w:color="auto"/>
              <w:bottom w:val="single" w:sz="12" w:space="0" w:color="auto"/>
              <w:right w:val="single" w:sz="4" w:space="0" w:color="auto"/>
            </w:tcBorders>
          </w:tcPr>
          <w:p w14:paraId="2D7B75D8" w14:textId="3C8FF8BC" w:rsidR="00307171" w:rsidRPr="004901D1" w:rsidRDefault="00307171" w:rsidP="00307171">
            <w:pPr>
              <w:pStyle w:val="BodyText2"/>
              <w:widowControl w:val="0"/>
              <w:tabs>
                <w:tab w:val="decimal" w:pos="792"/>
              </w:tabs>
              <w:spacing w:after="0" w:line="240" w:lineRule="atLeast"/>
              <w:ind w:right="72"/>
              <w:jc w:val="right"/>
              <w:rPr>
                <w:rFonts w:ascii="Arial" w:hAnsi="Arial" w:cs="Arial"/>
                <w:color w:val="000000"/>
                <w:sz w:val="16"/>
                <w:szCs w:val="16"/>
                <w:lang w:val="en-CA"/>
              </w:rPr>
            </w:pPr>
            <w:r w:rsidRPr="004901D1">
              <w:rPr>
                <w:rFonts w:ascii="Arial" w:hAnsi="Arial" w:cs="Arial"/>
                <w:color w:val="000000"/>
                <w:sz w:val="16"/>
                <w:szCs w:val="16"/>
              </w:rPr>
              <w:t xml:space="preserve"> 4,083 </w:t>
            </w:r>
          </w:p>
        </w:tc>
        <w:tc>
          <w:tcPr>
            <w:tcW w:w="1170" w:type="dxa"/>
            <w:tcBorders>
              <w:top w:val="single" w:sz="4" w:space="0" w:color="auto"/>
              <w:left w:val="single" w:sz="4" w:space="0" w:color="auto"/>
              <w:bottom w:val="single" w:sz="12" w:space="0" w:color="auto"/>
              <w:right w:val="single" w:sz="4" w:space="0" w:color="auto"/>
            </w:tcBorders>
          </w:tcPr>
          <w:p w14:paraId="7464B6A5" w14:textId="35D9DAB6" w:rsidR="00307171" w:rsidRPr="004901D1" w:rsidRDefault="00307171" w:rsidP="00307171">
            <w:pPr>
              <w:pStyle w:val="BodyText2"/>
              <w:widowControl w:val="0"/>
              <w:tabs>
                <w:tab w:val="decimal" w:pos="792"/>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lang w:val="en-CA"/>
              </w:rPr>
              <w:t>8,520</w:t>
            </w:r>
          </w:p>
        </w:tc>
        <w:tc>
          <w:tcPr>
            <w:tcW w:w="1170" w:type="dxa"/>
            <w:tcBorders>
              <w:top w:val="single" w:sz="4" w:space="0" w:color="auto"/>
              <w:left w:val="single" w:sz="4" w:space="0" w:color="auto"/>
              <w:bottom w:val="single" w:sz="12" w:space="0" w:color="auto"/>
              <w:right w:val="single" w:sz="4" w:space="0" w:color="auto"/>
            </w:tcBorders>
          </w:tcPr>
          <w:p w14:paraId="56BFD1F6" w14:textId="3FB9AD57" w:rsidR="00307171" w:rsidRPr="004901D1" w:rsidRDefault="00307171" w:rsidP="00307171">
            <w:pPr>
              <w:pStyle w:val="BodyText2"/>
              <w:widowControl w:val="0"/>
              <w:tabs>
                <w:tab w:val="left" w:pos="968"/>
              </w:tabs>
              <w:spacing w:after="0" w:line="240" w:lineRule="atLeast"/>
              <w:ind w:right="162"/>
              <w:jc w:val="right"/>
              <w:rPr>
                <w:rFonts w:ascii="Arial" w:hAnsi="Arial" w:cs="Arial"/>
                <w:color w:val="000000"/>
                <w:sz w:val="16"/>
                <w:szCs w:val="16"/>
                <w:lang w:val="en-CA"/>
              </w:rPr>
            </w:pPr>
            <w:r w:rsidRPr="004901D1">
              <w:rPr>
                <w:rFonts w:ascii="Arial" w:hAnsi="Arial" w:cs="Arial"/>
                <w:sz w:val="16"/>
                <w:szCs w:val="16"/>
              </w:rPr>
              <w:t xml:space="preserve"> 4,181 </w:t>
            </w:r>
          </w:p>
        </w:tc>
      </w:tr>
    </w:tbl>
    <w:p w14:paraId="568347AC" w14:textId="77777777" w:rsidR="00307171" w:rsidRDefault="00307171" w:rsidP="00570515">
      <w:pPr>
        <w:rPr>
          <w:rFonts w:ascii="Arial" w:hAnsi="Arial" w:cs="Arial"/>
          <w:b/>
          <w:sz w:val="20"/>
          <w:szCs w:val="20"/>
          <w:lang w:val="en-CA"/>
        </w:rPr>
      </w:pPr>
    </w:p>
    <w:p w14:paraId="1F513AAB" w14:textId="77777777" w:rsidR="00570515" w:rsidRPr="00307171" w:rsidRDefault="00570515" w:rsidP="00307171">
      <w:pPr>
        <w:spacing w:before="60" w:line="240" w:lineRule="atLeast"/>
        <w:rPr>
          <w:rFonts w:ascii="Arial" w:hAnsi="Arial" w:cs="Arial"/>
          <w:sz w:val="16"/>
          <w:szCs w:val="16"/>
          <w:lang w:val="en-CA"/>
        </w:rPr>
      </w:pPr>
    </w:p>
    <w:p w14:paraId="0A446B38" w14:textId="77777777" w:rsidR="00570515" w:rsidRDefault="00570515" w:rsidP="00570515">
      <w:pPr>
        <w:rPr>
          <w:rFonts w:ascii="Arial" w:hAnsi="Arial" w:cs="Arial"/>
          <w:b/>
          <w:bCs/>
          <w:sz w:val="20"/>
          <w:szCs w:val="20"/>
          <w:lang w:val="en-CA"/>
        </w:rPr>
      </w:pPr>
      <w:r w:rsidRPr="00570515">
        <w:rPr>
          <w:rFonts w:ascii="Arial" w:hAnsi="Arial" w:cs="Arial"/>
          <w:b/>
          <w:sz w:val="20"/>
          <w:szCs w:val="20"/>
          <w:lang w:val="en-CA"/>
        </w:rPr>
        <w:t xml:space="preserve">Operating Netback </w:t>
      </w:r>
      <w:r w:rsidRPr="00570515">
        <w:rPr>
          <w:rFonts w:ascii="Arial" w:hAnsi="Arial" w:cs="Arial"/>
          <w:b/>
          <w:bCs/>
          <w:sz w:val="20"/>
          <w:szCs w:val="20"/>
          <w:vertAlign w:val="superscript"/>
          <w:lang w:val="en-CA"/>
        </w:rPr>
        <w:t xml:space="preserve">(1) </w:t>
      </w:r>
      <w:r w:rsidRPr="00570515">
        <w:rPr>
          <w:rFonts w:ascii="Arial" w:hAnsi="Arial" w:cs="Arial"/>
          <w:b/>
          <w:bCs/>
          <w:sz w:val="20"/>
          <w:szCs w:val="20"/>
          <w:lang w:val="en-CA"/>
        </w:rPr>
        <w:t xml:space="preserve"> </w:t>
      </w:r>
    </w:p>
    <w:p w14:paraId="17DCD3CF" w14:textId="77777777" w:rsidR="00307171" w:rsidRDefault="00307171" w:rsidP="00570515">
      <w:pPr>
        <w:rPr>
          <w:rFonts w:ascii="Arial" w:hAnsi="Arial" w:cs="Arial"/>
          <w:b/>
          <w:bCs/>
          <w:sz w:val="20"/>
          <w:szCs w:val="20"/>
          <w:lang w:val="en-CA"/>
        </w:rPr>
      </w:pPr>
    </w:p>
    <w:tbl>
      <w:tblPr>
        <w:tblW w:w="9918" w:type="dxa"/>
        <w:tblLayout w:type="fixed"/>
        <w:tblLook w:val="04A0" w:firstRow="1" w:lastRow="0" w:firstColumn="1" w:lastColumn="0" w:noHBand="0" w:noVBand="1"/>
      </w:tblPr>
      <w:tblGrid>
        <w:gridCol w:w="2425"/>
        <w:gridCol w:w="990"/>
        <w:gridCol w:w="124"/>
        <w:gridCol w:w="709"/>
        <w:gridCol w:w="967"/>
        <w:gridCol w:w="124"/>
        <w:gridCol w:w="752"/>
        <w:gridCol w:w="1104"/>
        <w:gridCol w:w="124"/>
        <w:gridCol w:w="756"/>
        <w:gridCol w:w="992"/>
        <w:gridCol w:w="124"/>
        <w:gridCol w:w="727"/>
      </w:tblGrid>
      <w:tr w:rsidR="00307171" w:rsidRPr="004901D1" w14:paraId="5CBC37B4" w14:textId="77777777" w:rsidTr="00307171">
        <w:tc>
          <w:tcPr>
            <w:tcW w:w="2425" w:type="dxa"/>
            <w:tcBorders>
              <w:top w:val="single" w:sz="12" w:space="0" w:color="auto"/>
              <w:left w:val="single" w:sz="4" w:space="0" w:color="auto"/>
              <w:right w:val="single" w:sz="4" w:space="0" w:color="auto"/>
            </w:tcBorders>
            <w:vAlign w:val="bottom"/>
          </w:tcPr>
          <w:p w14:paraId="1A6D0E46" w14:textId="77777777" w:rsidR="00307171" w:rsidRPr="004901D1" w:rsidRDefault="00307171" w:rsidP="00A45BAD">
            <w:pPr>
              <w:rPr>
                <w:rFonts w:ascii="Arial" w:hAnsi="Arial" w:cs="Arial"/>
                <w:b/>
                <w:bCs/>
                <w:sz w:val="16"/>
                <w:szCs w:val="16"/>
                <w:lang w:val="en-CA"/>
              </w:rPr>
            </w:pPr>
          </w:p>
        </w:tc>
        <w:tc>
          <w:tcPr>
            <w:tcW w:w="3666" w:type="dxa"/>
            <w:gridSpan w:val="6"/>
            <w:tcBorders>
              <w:top w:val="single" w:sz="12" w:space="0" w:color="auto"/>
              <w:left w:val="single" w:sz="4" w:space="0" w:color="auto"/>
              <w:right w:val="single" w:sz="4" w:space="0" w:color="auto"/>
            </w:tcBorders>
            <w:vAlign w:val="bottom"/>
          </w:tcPr>
          <w:p w14:paraId="64C94BEC" w14:textId="77777777" w:rsidR="00307171" w:rsidRPr="004901D1" w:rsidRDefault="00307171" w:rsidP="00A45BAD">
            <w:pPr>
              <w:widowControl w:val="0"/>
              <w:spacing w:before="60"/>
              <w:jc w:val="center"/>
              <w:rPr>
                <w:rFonts w:ascii="Arial" w:hAnsi="Arial" w:cs="Arial"/>
                <w:b/>
                <w:bCs/>
                <w:sz w:val="16"/>
                <w:szCs w:val="16"/>
                <w:lang w:val="en-CA"/>
              </w:rPr>
            </w:pPr>
            <w:r w:rsidRPr="004901D1">
              <w:rPr>
                <w:rFonts w:ascii="Arial" w:hAnsi="Arial" w:cs="Arial"/>
                <w:b/>
                <w:bCs/>
                <w:sz w:val="16"/>
                <w:szCs w:val="16"/>
                <w:lang w:val="en-CA"/>
              </w:rPr>
              <w:t>Three months ended</w:t>
            </w:r>
          </w:p>
        </w:tc>
        <w:tc>
          <w:tcPr>
            <w:tcW w:w="3827" w:type="dxa"/>
            <w:gridSpan w:val="6"/>
            <w:tcBorders>
              <w:top w:val="single" w:sz="12" w:space="0" w:color="auto"/>
              <w:left w:val="single" w:sz="4" w:space="0" w:color="auto"/>
              <w:right w:val="single" w:sz="4" w:space="0" w:color="auto"/>
            </w:tcBorders>
            <w:vAlign w:val="bottom"/>
          </w:tcPr>
          <w:p w14:paraId="19729B4A" w14:textId="77777777" w:rsidR="00307171" w:rsidRPr="004901D1" w:rsidRDefault="00307171" w:rsidP="00A45BAD">
            <w:pPr>
              <w:widowControl w:val="0"/>
              <w:spacing w:before="60"/>
              <w:jc w:val="center"/>
              <w:rPr>
                <w:rFonts w:ascii="Arial" w:hAnsi="Arial" w:cs="Arial"/>
                <w:b/>
                <w:bCs/>
                <w:sz w:val="16"/>
                <w:szCs w:val="16"/>
                <w:lang w:val="en-CA"/>
              </w:rPr>
            </w:pPr>
            <w:r w:rsidRPr="004901D1">
              <w:rPr>
                <w:rFonts w:ascii="Arial" w:hAnsi="Arial" w:cs="Arial"/>
                <w:b/>
                <w:bCs/>
                <w:sz w:val="16"/>
                <w:szCs w:val="16"/>
                <w:lang w:val="en-CA"/>
              </w:rPr>
              <w:t>Six months ended</w:t>
            </w:r>
          </w:p>
        </w:tc>
      </w:tr>
      <w:tr w:rsidR="00307171" w:rsidRPr="004901D1" w14:paraId="7A0DBF3F" w14:textId="77777777" w:rsidTr="00307171">
        <w:tc>
          <w:tcPr>
            <w:tcW w:w="2425" w:type="dxa"/>
            <w:tcBorders>
              <w:left w:val="single" w:sz="4" w:space="0" w:color="auto"/>
              <w:right w:val="single" w:sz="4" w:space="0" w:color="auto"/>
            </w:tcBorders>
            <w:vAlign w:val="bottom"/>
          </w:tcPr>
          <w:p w14:paraId="3BB1DBB8" w14:textId="77777777" w:rsidR="00307171" w:rsidRPr="004901D1" w:rsidRDefault="00307171" w:rsidP="00A45BAD">
            <w:pPr>
              <w:rPr>
                <w:rFonts w:ascii="Arial" w:hAnsi="Arial" w:cs="Arial"/>
                <w:bCs/>
                <w:sz w:val="16"/>
                <w:szCs w:val="16"/>
                <w:lang w:val="en-CA"/>
              </w:rPr>
            </w:pPr>
          </w:p>
        </w:tc>
        <w:tc>
          <w:tcPr>
            <w:tcW w:w="3666" w:type="dxa"/>
            <w:gridSpan w:val="6"/>
            <w:tcBorders>
              <w:left w:val="single" w:sz="4" w:space="0" w:color="auto"/>
              <w:bottom w:val="single" w:sz="4" w:space="0" w:color="auto"/>
              <w:right w:val="single" w:sz="4" w:space="0" w:color="auto"/>
            </w:tcBorders>
            <w:vAlign w:val="bottom"/>
          </w:tcPr>
          <w:p w14:paraId="3146E7D4" w14:textId="77777777" w:rsidR="00307171" w:rsidRPr="004901D1" w:rsidRDefault="00307171" w:rsidP="00A45BAD">
            <w:pPr>
              <w:widowControl w:val="0"/>
              <w:jc w:val="center"/>
              <w:rPr>
                <w:rFonts w:ascii="Arial" w:hAnsi="Arial" w:cs="Arial"/>
                <w:b/>
                <w:bCs/>
                <w:sz w:val="16"/>
                <w:szCs w:val="16"/>
                <w:lang w:val="en-CA"/>
              </w:rPr>
            </w:pPr>
            <w:r w:rsidRPr="004901D1">
              <w:rPr>
                <w:rFonts w:ascii="Arial" w:hAnsi="Arial" w:cs="Arial"/>
                <w:b/>
                <w:bCs/>
                <w:sz w:val="16"/>
                <w:szCs w:val="16"/>
                <w:lang w:val="en-CA"/>
              </w:rPr>
              <w:t>June 30</w:t>
            </w:r>
          </w:p>
        </w:tc>
        <w:tc>
          <w:tcPr>
            <w:tcW w:w="3827" w:type="dxa"/>
            <w:gridSpan w:val="6"/>
            <w:tcBorders>
              <w:left w:val="single" w:sz="4" w:space="0" w:color="auto"/>
              <w:bottom w:val="single" w:sz="4" w:space="0" w:color="auto"/>
              <w:right w:val="single" w:sz="4" w:space="0" w:color="auto"/>
            </w:tcBorders>
            <w:vAlign w:val="bottom"/>
          </w:tcPr>
          <w:p w14:paraId="08387C85" w14:textId="77777777" w:rsidR="00307171" w:rsidRPr="004901D1" w:rsidRDefault="00307171" w:rsidP="00A45BAD">
            <w:pPr>
              <w:widowControl w:val="0"/>
              <w:jc w:val="center"/>
              <w:rPr>
                <w:rFonts w:ascii="Arial" w:hAnsi="Arial" w:cs="Arial"/>
                <w:b/>
                <w:bCs/>
                <w:sz w:val="16"/>
                <w:szCs w:val="16"/>
                <w:lang w:val="en-CA"/>
              </w:rPr>
            </w:pPr>
            <w:r w:rsidRPr="004901D1">
              <w:rPr>
                <w:rFonts w:ascii="Arial" w:hAnsi="Arial" w:cs="Arial"/>
                <w:b/>
                <w:bCs/>
                <w:sz w:val="16"/>
                <w:szCs w:val="16"/>
                <w:lang w:val="en-CA"/>
              </w:rPr>
              <w:t>June 30</w:t>
            </w:r>
          </w:p>
        </w:tc>
      </w:tr>
      <w:tr w:rsidR="00307171" w:rsidRPr="004901D1" w14:paraId="52A4FCA1" w14:textId="77777777" w:rsidTr="00307171">
        <w:trPr>
          <w:trHeight w:val="287"/>
        </w:trPr>
        <w:tc>
          <w:tcPr>
            <w:tcW w:w="2425" w:type="dxa"/>
            <w:tcBorders>
              <w:left w:val="single" w:sz="4" w:space="0" w:color="auto"/>
              <w:right w:val="single" w:sz="4" w:space="0" w:color="auto"/>
            </w:tcBorders>
            <w:vAlign w:val="bottom"/>
          </w:tcPr>
          <w:p w14:paraId="7C6ED848" w14:textId="77777777" w:rsidR="00307171" w:rsidRPr="004901D1" w:rsidRDefault="00307171" w:rsidP="00A45BAD">
            <w:pPr>
              <w:rPr>
                <w:rFonts w:ascii="Arial" w:hAnsi="Arial" w:cs="Arial"/>
                <w:bCs/>
                <w:sz w:val="16"/>
                <w:szCs w:val="16"/>
                <w:lang w:val="en-CA"/>
              </w:rPr>
            </w:pPr>
          </w:p>
        </w:tc>
        <w:tc>
          <w:tcPr>
            <w:tcW w:w="1823" w:type="dxa"/>
            <w:gridSpan w:val="3"/>
            <w:tcBorders>
              <w:top w:val="single" w:sz="4" w:space="0" w:color="auto"/>
              <w:left w:val="single" w:sz="4" w:space="0" w:color="auto"/>
              <w:right w:val="single" w:sz="4" w:space="0" w:color="auto"/>
            </w:tcBorders>
            <w:vAlign w:val="bottom"/>
          </w:tcPr>
          <w:p w14:paraId="436C40DC" w14:textId="3DE7AA10" w:rsidR="00307171" w:rsidRPr="004901D1" w:rsidRDefault="00307171" w:rsidP="00A45BAD">
            <w:pPr>
              <w:widowControl w:val="0"/>
              <w:jc w:val="center"/>
              <w:rPr>
                <w:rFonts w:ascii="Arial" w:hAnsi="Arial" w:cs="Arial"/>
                <w:b/>
                <w:bCs/>
                <w:sz w:val="16"/>
                <w:szCs w:val="16"/>
                <w:lang w:val="en-CA"/>
              </w:rPr>
            </w:pPr>
            <w:r w:rsidRPr="004901D1">
              <w:rPr>
                <w:rFonts w:ascii="Arial" w:hAnsi="Arial" w:cs="Arial"/>
                <w:b/>
                <w:color w:val="000000"/>
                <w:sz w:val="16"/>
                <w:szCs w:val="16"/>
              </w:rPr>
              <w:t>2026</w:t>
            </w:r>
          </w:p>
        </w:tc>
        <w:tc>
          <w:tcPr>
            <w:tcW w:w="1843" w:type="dxa"/>
            <w:gridSpan w:val="3"/>
            <w:tcBorders>
              <w:top w:val="single" w:sz="4" w:space="0" w:color="auto"/>
              <w:left w:val="single" w:sz="4" w:space="0" w:color="auto"/>
              <w:right w:val="single" w:sz="4" w:space="0" w:color="auto"/>
            </w:tcBorders>
            <w:vAlign w:val="bottom"/>
          </w:tcPr>
          <w:p w14:paraId="2B0117C2" w14:textId="2177BCD3" w:rsidR="00307171" w:rsidRPr="004901D1" w:rsidRDefault="00307171" w:rsidP="00A45BAD">
            <w:pPr>
              <w:widowControl w:val="0"/>
              <w:jc w:val="center"/>
              <w:rPr>
                <w:rFonts w:ascii="Arial" w:hAnsi="Arial" w:cs="Arial"/>
                <w:b/>
                <w:bCs/>
                <w:sz w:val="16"/>
                <w:szCs w:val="16"/>
                <w:lang w:val="en-CA"/>
              </w:rPr>
            </w:pPr>
            <w:r w:rsidRPr="004901D1">
              <w:rPr>
                <w:rFonts w:ascii="Arial" w:hAnsi="Arial" w:cs="Arial"/>
                <w:b/>
                <w:color w:val="000000"/>
                <w:sz w:val="16"/>
                <w:szCs w:val="16"/>
              </w:rPr>
              <w:t>2025</w:t>
            </w:r>
          </w:p>
        </w:tc>
        <w:tc>
          <w:tcPr>
            <w:tcW w:w="1984" w:type="dxa"/>
            <w:gridSpan w:val="3"/>
            <w:tcBorders>
              <w:top w:val="single" w:sz="4" w:space="0" w:color="auto"/>
              <w:left w:val="single" w:sz="4" w:space="0" w:color="auto"/>
              <w:bottom w:val="single" w:sz="4" w:space="0" w:color="auto"/>
              <w:right w:val="single" w:sz="4" w:space="0" w:color="auto"/>
            </w:tcBorders>
            <w:vAlign w:val="bottom"/>
          </w:tcPr>
          <w:p w14:paraId="63F92D2A" w14:textId="34A79E2E" w:rsidR="00307171" w:rsidRPr="004901D1" w:rsidRDefault="00307171" w:rsidP="00A45BAD">
            <w:pPr>
              <w:jc w:val="center"/>
              <w:rPr>
                <w:rFonts w:ascii="Arial" w:hAnsi="Arial" w:cs="Arial"/>
                <w:b/>
                <w:bCs/>
                <w:sz w:val="16"/>
                <w:szCs w:val="16"/>
                <w:lang w:val="en-CA"/>
              </w:rPr>
            </w:pPr>
            <w:r w:rsidRPr="004901D1">
              <w:rPr>
                <w:rFonts w:ascii="Arial" w:hAnsi="Arial" w:cs="Arial"/>
                <w:b/>
                <w:color w:val="000000"/>
                <w:sz w:val="16"/>
                <w:szCs w:val="16"/>
              </w:rPr>
              <w:t>2026</w:t>
            </w:r>
          </w:p>
        </w:tc>
        <w:tc>
          <w:tcPr>
            <w:tcW w:w="1843" w:type="dxa"/>
            <w:gridSpan w:val="3"/>
            <w:tcBorders>
              <w:top w:val="single" w:sz="4" w:space="0" w:color="auto"/>
              <w:left w:val="single" w:sz="4" w:space="0" w:color="auto"/>
              <w:bottom w:val="single" w:sz="4" w:space="0" w:color="auto"/>
              <w:right w:val="single" w:sz="4" w:space="0" w:color="auto"/>
            </w:tcBorders>
            <w:vAlign w:val="bottom"/>
          </w:tcPr>
          <w:p w14:paraId="69468D3B" w14:textId="2B313239" w:rsidR="00307171" w:rsidRPr="004901D1" w:rsidRDefault="00307171" w:rsidP="00A45BAD">
            <w:pPr>
              <w:jc w:val="center"/>
              <w:rPr>
                <w:rFonts w:ascii="Arial" w:hAnsi="Arial" w:cs="Arial"/>
                <w:b/>
                <w:bCs/>
                <w:sz w:val="16"/>
                <w:szCs w:val="16"/>
                <w:lang w:val="en-CA"/>
              </w:rPr>
            </w:pPr>
            <w:r w:rsidRPr="004901D1">
              <w:rPr>
                <w:rFonts w:ascii="Arial" w:hAnsi="Arial" w:cs="Arial"/>
                <w:b/>
                <w:color w:val="000000"/>
                <w:sz w:val="16"/>
                <w:szCs w:val="16"/>
              </w:rPr>
              <w:t>2025</w:t>
            </w:r>
          </w:p>
        </w:tc>
      </w:tr>
      <w:tr w:rsidR="00307171" w:rsidRPr="004901D1" w14:paraId="745C020D" w14:textId="77777777" w:rsidTr="00307171">
        <w:tblPrEx>
          <w:tblLook w:val="01E0" w:firstRow="1" w:lastRow="1" w:firstColumn="1" w:lastColumn="1" w:noHBand="0" w:noVBand="0"/>
        </w:tblPrEx>
        <w:tc>
          <w:tcPr>
            <w:tcW w:w="2425" w:type="dxa"/>
            <w:tcBorders>
              <w:top w:val="single" w:sz="4" w:space="0" w:color="auto"/>
              <w:left w:val="single" w:sz="4" w:space="0" w:color="auto"/>
              <w:right w:val="single" w:sz="4" w:space="0" w:color="auto"/>
            </w:tcBorders>
            <w:vAlign w:val="bottom"/>
          </w:tcPr>
          <w:p w14:paraId="1E7C916B" w14:textId="77777777" w:rsidR="00307171" w:rsidRPr="004901D1" w:rsidRDefault="00307171" w:rsidP="00A45BAD">
            <w:pPr>
              <w:rPr>
                <w:rFonts w:ascii="Arial" w:hAnsi="Arial" w:cs="Arial"/>
                <w:sz w:val="16"/>
                <w:szCs w:val="16"/>
                <w:lang w:val="en-CA"/>
              </w:rPr>
            </w:pPr>
          </w:p>
        </w:tc>
        <w:tc>
          <w:tcPr>
            <w:tcW w:w="990" w:type="dxa"/>
            <w:tcBorders>
              <w:top w:val="single" w:sz="4" w:space="0" w:color="auto"/>
              <w:left w:val="single" w:sz="4" w:space="0" w:color="auto"/>
            </w:tcBorders>
            <w:vAlign w:val="bottom"/>
          </w:tcPr>
          <w:p w14:paraId="2BE3830C" w14:textId="77777777" w:rsidR="00307171" w:rsidRPr="004901D1" w:rsidRDefault="00307171" w:rsidP="00A45BAD">
            <w:pPr>
              <w:ind w:left="-108"/>
              <w:rPr>
                <w:rFonts w:ascii="Arial" w:hAnsi="Arial" w:cs="Arial"/>
                <w:color w:val="000000"/>
                <w:sz w:val="16"/>
                <w:szCs w:val="16"/>
              </w:rPr>
            </w:pPr>
          </w:p>
        </w:tc>
        <w:tc>
          <w:tcPr>
            <w:tcW w:w="833" w:type="dxa"/>
            <w:gridSpan w:val="2"/>
            <w:tcBorders>
              <w:top w:val="single" w:sz="4" w:space="0" w:color="auto"/>
              <w:right w:val="single" w:sz="4" w:space="0" w:color="auto"/>
            </w:tcBorders>
            <w:vAlign w:val="bottom"/>
          </w:tcPr>
          <w:p w14:paraId="522740A5" w14:textId="77777777" w:rsidR="00307171" w:rsidRPr="004901D1" w:rsidRDefault="00307171" w:rsidP="00A45BAD">
            <w:pPr>
              <w:widowControl w:val="0"/>
              <w:ind w:right="-86"/>
              <w:jc w:val="center"/>
              <w:rPr>
                <w:rFonts w:ascii="Arial" w:hAnsi="Arial" w:cs="Arial"/>
                <w:color w:val="000000"/>
                <w:sz w:val="16"/>
                <w:szCs w:val="16"/>
              </w:rPr>
            </w:pPr>
            <w:r w:rsidRPr="004901D1">
              <w:rPr>
                <w:rFonts w:ascii="Arial" w:hAnsi="Arial" w:cs="Arial"/>
                <w:color w:val="000000"/>
                <w:sz w:val="16"/>
                <w:szCs w:val="16"/>
              </w:rPr>
              <w:t>Per BOE</w:t>
            </w:r>
          </w:p>
        </w:tc>
        <w:tc>
          <w:tcPr>
            <w:tcW w:w="967" w:type="dxa"/>
            <w:tcBorders>
              <w:top w:val="single" w:sz="4" w:space="0" w:color="auto"/>
              <w:left w:val="single" w:sz="4" w:space="0" w:color="auto"/>
            </w:tcBorders>
            <w:vAlign w:val="bottom"/>
          </w:tcPr>
          <w:p w14:paraId="46E7D940" w14:textId="77777777" w:rsidR="00307171" w:rsidRPr="004901D1" w:rsidRDefault="00307171" w:rsidP="00A45BAD">
            <w:pPr>
              <w:ind w:left="-108"/>
              <w:jc w:val="center"/>
              <w:rPr>
                <w:rFonts w:ascii="Arial" w:hAnsi="Arial" w:cs="Arial"/>
                <w:color w:val="000000"/>
                <w:sz w:val="16"/>
                <w:szCs w:val="16"/>
              </w:rPr>
            </w:pPr>
          </w:p>
        </w:tc>
        <w:tc>
          <w:tcPr>
            <w:tcW w:w="876" w:type="dxa"/>
            <w:gridSpan w:val="2"/>
            <w:tcBorders>
              <w:top w:val="single" w:sz="4" w:space="0" w:color="auto"/>
              <w:right w:val="single" w:sz="4" w:space="0" w:color="auto"/>
            </w:tcBorders>
            <w:vAlign w:val="bottom"/>
          </w:tcPr>
          <w:p w14:paraId="478647E3" w14:textId="77777777" w:rsidR="00307171" w:rsidRPr="004901D1" w:rsidRDefault="00307171" w:rsidP="00A45BAD">
            <w:pPr>
              <w:widowControl w:val="0"/>
              <w:ind w:right="-86"/>
              <w:jc w:val="center"/>
              <w:rPr>
                <w:rFonts w:ascii="Arial" w:hAnsi="Arial" w:cs="Arial"/>
                <w:color w:val="000000"/>
                <w:sz w:val="16"/>
                <w:szCs w:val="16"/>
              </w:rPr>
            </w:pPr>
            <w:r w:rsidRPr="004901D1">
              <w:rPr>
                <w:rFonts w:ascii="Arial" w:hAnsi="Arial" w:cs="Arial"/>
                <w:color w:val="000000"/>
                <w:sz w:val="16"/>
                <w:szCs w:val="16"/>
              </w:rPr>
              <w:t>Per BOE</w:t>
            </w:r>
          </w:p>
        </w:tc>
        <w:tc>
          <w:tcPr>
            <w:tcW w:w="1104" w:type="dxa"/>
            <w:tcBorders>
              <w:top w:val="single" w:sz="4" w:space="0" w:color="auto"/>
              <w:left w:val="single" w:sz="4" w:space="0" w:color="auto"/>
              <w:bottom w:val="single" w:sz="4" w:space="0" w:color="auto"/>
            </w:tcBorders>
            <w:vAlign w:val="bottom"/>
          </w:tcPr>
          <w:p w14:paraId="0580AEED" w14:textId="77777777" w:rsidR="00307171" w:rsidRPr="004901D1" w:rsidRDefault="00307171" w:rsidP="00A45BAD">
            <w:pPr>
              <w:ind w:left="-108"/>
              <w:jc w:val="center"/>
              <w:rPr>
                <w:rFonts w:ascii="Arial" w:hAnsi="Arial" w:cs="Arial"/>
                <w:color w:val="000000"/>
                <w:sz w:val="16"/>
                <w:szCs w:val="16"/>
              </w:rPr>
            </w:pPr>
          </w:p>
        </w:tc>
        <w:tc>
          <w:tcPr>
            <w:tcW w:w="880" w:type="dxa"/>
            <w:gridSpan w:val="2"/>
            <w:tcBorders>
              <w:top w:val="single" w:sz="4" w:space="0" w:color="auto"/>
              <w:bottom w:val="single" w:sz="4" w:space="0" w:color="auto"/>
              <w:right w:val="single" w:sz="4" w:space="0" w:color="auto"/>
            </w:tcBorders>
            <w:vAlign w:val="bottom"/>
          </w:tcPr>
          <w:p w14:paraId="34C37D4F" w14:textId="77777777" w:rsidR="00307171" w:rsidRPr="004901D1" w:rsidRDefault="00307171" w:rsidP="00A45BAD">
            <w:pPr>
              <w:widowControl w:val="0"/>
              <w:ind w:right="-86"/>
              <w:jc w:val="center"/>
              <w:rPr>
                <w:rFonts w:ascii="Arial" w:hAnsi="Arial" w:cs="Arial"/>
                <w:color w:val="000000"/>
                <w:sz w:val="16"/>
                <w:szCs w:val="16"/>
              </w:rPr>
            </w:pPr>
            <w:r w:rsidRPr="004901D1">
              <w:rPr>
                <w:rFonts w:ascii="Arial" w:hAnsi="Arial" w:cs="Arial"/>
                <w:color w:val="000000"/>
                <w:sz w:val="16"/>
                <w:szCs w:val="16"/>
              </w:rPr>
              <w:t>Per BOE</w:t>
            </w:r>
          </w:p>
        </w:tc>
        <w:tc>
          <w:tcPr>
            <w:tcW w:w="992" w:type="dxa"/>
            <w:tcBorders>
              <w:left w:val="single" w:sz="4" w:space="0" w:color="auto"/>
              <w:bottom w:val="single" w:sz="4" w:space="0" w:color="auto"/>
            </w:tcBorders>
            <w:vAlign w:val="bottom"/>
          </w:tcPr>
          <w:p w14:paraId="4AAB16EA" w14:textId="77777777" w:rsidR="00307171" w:rsidRPr="004901D1" w:rsidRDefault="00307171" w:rsidP="00A45BAD">
            <w:pPr>
              <w:ind w:left="-108"/>
              <w:jc w:val="center"/>
              <w:rPr>
                <w:rFonts w:ascii="Arial" w:hAnsi="Arial" w:cs="Arial"/>
                <w:color w:val="000000"/>
                <w:sz w:val="16"/>
                <w:szCs w:val="16"/>
              </w:rPr>
            </w:pPr>
          </w:p>
        </w:tc>
        <w:tc>
          <w:tcPr>
            <w:tcW w:w="851" w:type="dxa"/>
            <w:gridSpan w:val="2"/>
            <w:tcBorders>
              <w:bottom w:val="single" w:sz="4" w:space="0" w:color="auto"/>
              <w:right w:val="single" w:sz="4" w:space="0" w:color="auto"/>
            </w:tcBorders>
            <w:vAlign w:val="bottom"/>
          </w:tcPr>
          <w:p w14:paraId="209AF955" w14:textId="77777777" w:rsidR="00307171" w:rsidRPr="004901D1" w:rsidRDefault="00307171" w:rsidP="00A45BAD">
            <w:pPr>
              <w:widowControl w:val="0"/>
              <w:ind w:right="-86"/>
              <w:jc w:val="center"/>
              <w:rPr>
                <w:rFonts w:ascii="Arial" w:hAnsi="Arial" w:cs="Arial"/>
                <w:color w:val="000000"/>
                <w:sz w:val="16"/>
                <w:szCs w:val="16"/>
              </w:rPr>
            </w:pPr>
            <w:r w:rsidRPr="004901D1">
              <w:rPr>
                <w:rFonts w:ascii="Arial" w:hAnsi="Arial" w:cs="Arial"/>
                <w:color w:val="000000"/>
                <w:sz w:val="16"/>
                <w:szCs w:val="16"/>
              </w:rPr>
              <w:t>Per BOE</w:t>
            </w:r>
          </w:p>
        </w:tc>
      </w:tr>
      <w:tr w:rsidR="00307171" w:rsidRPr="004901D1" w14:paraId="4A40CD4F" w14:textId="77777777" w:rsidTr="00307171">
        <w:tblPrEx>
          <w:tblLook w:val="01E0" w:firstRow="1" w:lastRow="1" w:firstColumn="1" w:lastColumn="1" w:noHBand="0" w:noVBand="0"/>
        </w:tblPrEx>
        <w:trPr>
          <w:trHeight w:val="261"/>
        </w:trPr>
        <w:tc>
          <w:tcPr>
            <w:tcW w:w="2425" w:type="dxa"/>
            <w:tcBorders>
              <w:top w:val="single" w:sz="4" w:space="0" w:color="auto"/>
              <w:left w:val="single" w:sz="4" w:space="0" w:color="auto"/>
              <w:right w:val="single" w:sz="4" w:space="0" w:color="auto"/>
            </w:tcBorders>
            <w:vAlign w:val="bottom"/>
          </w:tcPr>
          <w:p w14:paraId="08C79434"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Oil and natural gas sales revenue ($)</w:t>
            </w:r>
          </w:p>
        </w:tc>
        <w:tc>
          <w:tcPr>
            <w:tcW w:w="1114" w:type="dxa"/>
            <w:gridSpan w:val="2"/>
            <w:tcBorders>
              <w:top w:val="single" w:sz="4" w:space="0" w:color="auto"/>
              <w:left w:val="single" w:sz="4" w:space="0" w:color="auto"/>
            </w:tcBorders>
            <w:vAlign w:val="bottom"/>
          </w:tcPr>
          <w:p w14:paraId="6B8D3C85" w14:textId="12B19C6F"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69,206,301</w:t>
            </w:r>
          </w:p>
        </w:tc>
        <w:tc>
          <w:tcPr>
            <w:tcW w:w="709" w:type="dxa"/>
            <w:tcBorders>
              <w:top w:val="single" w:sz="4" w:space="0" w:color="000000"/>
            </w:tcBorders>
            <w:vAlign w:val="bottom"/>
          </w:tcPr>
          <w:p w14:paraId="2457ABE9" w14:textId="0C71DD1A"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color w:val="000000"/>
                <w:sz w:val="16"/>
                <w:szCs w:val="16"/>
              </w:rPr>
              <w:t>83.05</w:t>
            </w:r>
          </w:p>
        </w:tc>
        <w:tc>
          <w:tcPr>
            <w:tcW w:w="1091" w:type="dxa"/>
            <w:gridSpan w:val="2"/>
            <w:tcBorders>
              <w:top w:val="single" w:sz="4" w:space="0" w:color="auto"/>
              <w:left w:val="single" w:sz="4" w:space="0" w:color="auto"/>
            </w:tcBorders>
            <w:vAlign w:val="bottom"/>
          </w:tcPr>
          <w:p w14:paraId="526ACB35" w14:textId="53D1D786"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22,208,934</w:t>
            </w:r>
          </w:p>
        </w:tc>
        <w:tc>
          <w:tcPr>
            <w:tcW w:w="752" w:type="dxa"/>
            <w:tcBorders>
              <w:top w:val="single" w:sz="4" w:space="0" w:color="auto"/>
            </w:tcBorders>
            <w:vAlign w:val="bottom"/>
          </w:tcPr>
          <w:p w14:paraId="6602879E" w14:textId="01DEB757"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color w:val="000000"/>
                <w:sz w:val="16"/>
                <w:szCs w:val="16"/>
              </w:rPr>
              <w:t>59.78</w:t>
            </w:r>
          </w:p>
        </w:tc>
        <w:tc>
          <w:tcPr>
            <w:tcW w:w="1228" w:type="dxa"/>
            <w:gridSpan w:val="2"/>
            <w:tcBorders>
              <w:top w:val="single" w:sz="4" w:space="0" w:color="auto"/>
              <w:left w:val="single" w:sz="4" w:space="0" w:color="auto"/>
            </w:tcBorders>
            <w:vAlign w:val="bottom"/>
          </w:tcPr>
          <w:p w14:paraId="0A19B0A9" w14:textId="089C17A5"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113,687,522</w:t>
            </w:r>
          </w:p>
        </w:tc>
        <w:tc>
          <w:tcPr>
            <w:tcW w:w="756" w:type="dxa"/>
            <w:tcBorders>
              <w:top w:val="single" w:sz="4" w:space="0" w:color="auto"/>
              <w:right w:val="single" w:sz="4" w:space="0" w:color="auto"/>
            </w:tcBorders>
            <w:vAlign w:val="bottom"/>
          </w:tcPr>
          <w:p w14:paraId="169B0B54" w14:textId="788AB2E4"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eastAsia="Arial" w:hAnsi="Arial" w:cs="Arial"/>
                <w:color w:val="000000"/>
                <w:sz w:val="16"/>
                <w:szCs w:val="16"/>
              </w:rPr>
              <w:t>73.73</w:t>
            </w:r>
          </w:p>
        </w:tc>
        <w:tc>
          <w:tcPr>
            <w:tcW w:w="1116" w:type="dxa"/>
            <w:gridSpan w:val="2"/>
            <w:tcBorders>
              <w:top w:val="single" w:sz="4" w:space="0" w:color="auto"/>
              <w:left w:val="single" w:sz="4" w:space="0" w:color="auto"/>
            </w:tcBorders>
            <w:vAlign w:val="bottom"/>
          </w:tcPr>
          <w:p w14:paraId="550E5760" w14:textId="2185A44B"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45,717,428</w:t>
            </w:r>
          </w:p>
        </w:tc>
        <w:tc>
          <w:tcPr>
            <w:tcW w:w="727" w:type="dxa"/>
            <w:tcBorders>
              <w:top w:val="single" w:sz="4" w:space="0" w:color="auto"/>
              <w:right w:val="single" w:sz="4" w:space="0" w:color="auto"/>
            </w:tcBorders>
            <w:vAlign w:val="bottom"/>
          </w:tcPr>
          <w:p w14:paraId="223AF11E" w14:textId="5ACF841B"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hAnsi="Arial" w:cs="Arial"/>
                <w:color w:val="000000"/>
                <w:sz w:val="16"/>
                <w:szCs w:val="16"/>
              </w:rPr>
              <w:t>60.41</w:t>
            </w:r>
          </w:p>
        </w:tc>
      </w:tr>
      <w:tr w:rsidR="00307171" w:rsidRPr="004901D1" w14:paraId="79494BCF" w14:textId="77777777" w:rsidTr="000F4BD3">
        <w:tblPrEx>
          <w:tblLook w:val="01E0" w:firstRow="1" w:lastRow="1" w:firstColumn="1" w:lastColumn="1" w:noHBand="0" w:noVBand="0"/>
        </w:tblPrEx>
        <w:tc>
          <w:tcPr>
            <w:tcW w:w="2425" w:type="dxa"/>
            <w:tcBorders>
              <w:left w:val="single" w:sz="4" w:space="0" w:color="auto"/>
              <w:right w:val="single" w:sz="4" w:space="0" w:color="auto"/>
            </w:tcBorders>
            <w:vAlign w:val="bottom"/>
          </w:tcPr>
          <w:p w14:paraId="33113F7E"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Export tax ($)</w:t>
            </w:r>
          </w:p>
        </w:tc>
        <w:tc>
          <w:tcPr>
            <w:tcW w:w="1114" w:type="dxa"/>
            <w:gridSpan w:val="2"/>
            <w:tcBorders>
              <w:left w:val="single" w:sz="4" w:space="0" w:color="auto"/>
            </w:tcBorders>
          </w:tcPr>
          <w:p w14:paraId="37BD9EEA" w14:textId="5F1F3483"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(106,195)</w:t>
            </w:r>
          </w:p>
        </w:tc>
        <w:tc>
          <w:tcPr>
            <w:tcW w:w="709" w:type="dxa"/>
          </w:tcPr>
          <w:p w14:paraId="00863E32" w14:textId="6ED89D9B"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color w:val="000000"/>
                <w:sz w:val="16"/>
                <w:szCs w:val="16"/>
              </w:rPr>
              <w:t>(0.13)</w:t>
            </w:r>
          </w:p>
        </w:tc>
        <w:tc>
          <w:tcPr>
            <w:tcW w:w="1091" w:type="dxa"/>
            <w:gridSpan w:val="2"/>
            <w:tcBorders>
              <w:left w:val="single" w:sz="4" w:space="0" w:color="auto"/>
            </w:tcBorders>
          </w:tcPr>
          <w:p w14:paraId="390CA6B5" w14:textId="33D4EAC7"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sz w:val="16"/>
                <w:szCs w:val="16"/>
              </w:rPr>
              <w:t xml:space="preserve"> (101,251)</w:t>
            </w:r>
          </w:p>
        </w:tc>
        <w:tc>
          <w:tcPr>
            <w:tcW w:w="752" w:type="dxa"/>
          </w:tcPr>
          <w:p w14:paraId="35643D7B" w14:textId="470B2B67"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sz w:val="16"/>
                <w:szCs w:val="16"/>
              </w:rPr>
              <w:t xml:space="preserve"> (0.27)</w:t>
            </w:r>
          </w:p>
        </w:tc>
        <w:tc>
          <w:tcPr>
            <w:tcW w:w="1228" w:type="dxa"/>
            <w:gridSpan w:val="2"/>
            <w:tcBorders>
              <w:left w:val="single" w:sz="4" w:space="0" w:color="auto"/>
            </w:tcBorders>
          </w:tcPr>
          <w:p w14:paraId="619760D0" w14:textId="3D579808"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(181,041)</w:t>
            </w:r>
          </w:p>
        </w:tc>
        <w:tc>
          <w:tcPr>
            <w:tcW w:w="756" w:type="dxa"/>
            <w:tcBorders>
              <w:right w:val="single" w:sz="4" w:space="0" w:color="auto"/>
            </w:tcBorders>
          </w:tcPr>
          <w:p w14:paraId="0769F032" w14:textId="4387D7BE"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eastAsia="Arial" w:hAnsi="Arial" w:cs="Arial"/>
                <w:color w:val="000000"/>
                <w:sz w:val="16"/>
                <w:szCs w:val="16"/>
              </w:rPr>
              <w:t>(0.12)</w:t>
            </w:r>
          </w:p>
        </w:tc>
        <w:tc>
          <w:tcPr>
            <w:tcW w:w="1116" w:type="dxa"/>
            <w:gridSpan w:val="2"/>
            <w:tcBorders>
              <w:left w:val="single" w:sz="4" w:space="0" w:color="auto"/>
            </w:tcBorders>
          </w:tcPr>
          <w:p w14:paraId="06305F79" w14:textId="73FC352F"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sz w:val="16"/>
                <w:szCs w:val="16"/>
              </w:rPr>
              <w:t xml:space="preserve"> (193,755)</w:t>
            </w:r>
          </w:p>
        </w:tc>
        <w:tc>
          <w:tcPr>
            <w:tcW w:w="727" w:type="dxa"/>
            <w:tcBorders>
              <w:right w:val="single" w:sz="4" w:space="0" w:color="auto"/>
            </w:tcBorders>
          </w:tcPr>
          <w:p w14:paraId="08CB4601" w14:textId="3808CA0F"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hAnsi="Arial" w:cs="Arial"/>
                <w:color w:val="000000"/>
                <w:sz w:val="16"/>
                <w:szCs w:val="16"/>
              </w:rPr>
              <w:t xml:space="preserve"> (0.26)</w:t>
            </w:r>
          </w:p>
        </w:tc>
      </w:tr>
      <w:tr w:rsidR="00307171" w:rsidRPr="004901D1" w14:paraId="0890446C" w14:textId="77777777" w:rsidTr="000F4BD3">
        <w:tblPrEx>
          <w:tblLook w:val="01E0" w:firstRow="1" w:lastRow="1" w:firstColumn="1" w:lastColumn="1" w:noHBand="0" w:noVBand="0"/>
        </w:tblPrEx>
        <w:tc>
          <w:tcPr>
            <w:tcW w:w="2425" w:type="dxa"/>
            <w:tcBorders>
              <w:left w:val="single" w:sz="4" w:space="0" w:color="auto"/>
              <w:right w:val="single" w:sz="4" w:space="0" w:color="auto"/>
            </w:tcBorders>
            <w:vAlign w:val="bottom"/>
          </w:tcPr>
          <w:p w14:paraId="0BEE2DED"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Royalties and turnover tax ($)</w:t>
            </w:r>
          </w:p>
        </w:tc>
        <w:tc>
          <w:tcPr>
            <w:tcW w:w="1114" w:type="dxa"/>
            <w:gridSpan w:val="2"/>
            <w:tcBorders>
              <w:left w:val="single" w:sz="4" w:space="0" w:color="auto"/>
            </w:tcBorders>
          </w:tcPr>
          <w:p w14:paraId="4B649BF6" w14:textId="6B88A88E"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(12,278,455)</w:t>
            </w:r>
          </w:p>
        </w:tc>
        <w:tc>
          <w:tcPr>
            <w:tcW w:w="709" w:type="dxa"/>
          </w:tcPr>
          <w:p w14:paraId="6DC0156A" w14:textId="103E3FDE"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color w:val="000000"/>
                <w:sz w:val="16"/>
                <w:szCs w:val="16"/>
              </w:rPr>
              <w:t>(14.73)</w:t>
            </w:r>
          </w:p>
        </w:tc>
        <w:tc>
          <w:tcPr>
            <w:tcW w:w="1091" w:type="dxa"/>
            <w:gridSpan w:val="2"/>
            <w:tcBorders>
              <w:left w:val="single" w:sz="4" w:space="0" w:color="auto"/>
            </w:tcBorders>
          </w:tcPr>
          <w:p w14:paraId="7D0276AB" w14:textId="4540A06C"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sz w:val="16"/>
                <w:szCs w:val="16"/>
              </w:rPr>
              <w:t xml:space="preserve"> (3,963,657)</w:t>
            </w:r>
          </w:p>
        </w:tc>
        <w:tc>
          <w:tcPr>
            <w:tcW w:w="752" w:type="dxa"/>
          </w:tcPr>
          <w:p w14:paraId="628F855D" w14:textId="382622B7"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sz w:val="16"/>
                <w:szCs w:val="16"/>
              </w:rPr>
              <w:t xml:space="preserve"> (10.67)</w:t>
            </w:r>
          </w:p>
        </w:tc>
        <w:tc>
          <w:tcPr>
            <w:tcW w:w="1228" w:type="dxa"/>
            <w:gridSpan w:val="2"/>
            <w:tcBorders>
              <w:left w:val="single" w:sz="4" w:space="0" w:color="auto"/>
            </w:tcBorders>
          </w:tcPr>
          <w:p w14:paraId="36FC3BBE" w14:textId="5B465939"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(20,711,653)</w:t>
            </w:r>
          </w:p>
        </w:tc>
        <w:tc>
          <w:tcPr>
            <w:tcW w:w="756" w:type="dxa"/>
            <w:tcBorders>
              <w:right w:val="single" w:sz="4" w:space="0" w:color="auto"/>
            </w:tcBorders>
          </w:tcPr>
          <w:p w14:paraId="058CC4A4" w14:textId="2C7D69B0"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eastAsia="Arial" w:hAnsi="Arial" w:cs="Arial"/>
                <w:color w:val="000000"/>
                <w:sz w:val="16"/>
                <w:szCs w:val="16"/>
              </w:rPr>
              <w:t>(13.43)</w:t>
            </w:r>
          </w:p>
        </w:tc>
        <w:tc>
          <w:tcPr>
            <w:tcW w:w="1116" w:type="dxa"/>
            <w:gridSpan w:val="2"/>
            <w:tcBorders>
              <w:left w:val="single" w:sz="4" w:space="0" w:color="auto"/>
            </w:tcBorders>
          </w:tcPr>
          <w:p w14:paraId="0460682D" w14:textId="5D55CE72"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sz w:val="16"/>
                <w:szCs w:val="16"/>
              </w:rPr>
              <w:t xml:space="preserve"> (8,163,142)</w:t>
            </w:r>
          </w:p>
        </w:tc>
        <w:tc>
          <w:tcPr>
            <w:tcW w:w="727" w:type="dxa"/>
            <w:tcBorders>
              <w:right w:val="single" w:sz="4" w:space="0" w:color="auto"/>
            </w:tcBorders>
          </w:tcPr>
          <w:p w14:paraId="01893A5A" w14:textId="39E80028"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hAnsi="Arial" w:cs="Arial"/>
                <w:color w:val="000000"/>
                <w:sz w:val="16"/>
                <w:szCs w:val="16"/>
              </w:rPr>
              <w:t xml:space="preserve"> (10.79)</w:t>
            </w:r>
          </w:p>
        </w:tc>
      </w:tr>
      <w:tr w:rsidR="00307171" w:rsidRPr="004901D1" w14:paraId="02EC0AF7" w14:textId="77777777" w:rsidTr="000F4BD3">
        <w:tblPrEx>
          <w:tblLook w:val="01E0" w:firstRow="1" w:lastRow="1" w:firstColumn="1" w:lastColumn="1" w:noHBand="0" w:noVBand="0"/>
        </w:tblPrEx>
        <w:tc>
          <w:tcPr>
            <w:tcW w:w="2425" w:type="dxa"/>
            <w:tcBorders>
              <w:left w:val="single" w:sz="4" w:space="0" w:color="auto"/>
              <w:bottom w:val="single" w:sz="4" w:space="0" w:color="auto"/>
              <w:right w:val="single" w:sz="4" w:space="0" w:color="auto"/>
            </w:tcBorders>
            <w:vAlign w:val="bottom"/>
          </w:tcPr>
          <w:p w14:paraId="219D9FC8"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Operating costs ($)</w:t>
            </w:r>
          </w:p>
        </w:tc>
        <w:tc>
          <w:tcPr>
            <w:tcW w:w="1114" w:type="dxa"/>
            <w:gridSpan w:val="2"/>
            <w:tcBorders>
              <w:left w:val="single" w:sz="4" w:space="0" w:color="auto"/>
              <w:bottom w:val="single" w:sz="4" w:space="0" w:color="auto"/>
            </w:tcBorders>
          </w:tcPr>
          <w:p w14:paraId="370771A5" w14:textId="29721C16"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(35,362,950)</w:t>
            </w:r>
          </w:p>
        </w:tc>
        <w:tc>
          <w:tcPr>
            <w:tcW w:w="709" w:type="dxa"/>
            <w:tcBorders>
              <w:bottom w:val="single" w:sz="4" w:space="0" w:color="000000"/>
            </w:tcBorders>
          </w:tcPr>
          <w:p w14:paraId="339F88B1" w14:textId="4D53511F"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color w:val="000000"/>
                <w:sz w:val="16"/>
                <w:szCs w:val="16"/>
              </w:rPr>
              <w:t>(42.44)</w:t>
            </w:r>
          </w:p>
        </w:tc>
        <w:tc>
          <w:tcPr>
            <w:tcW w:w="1091" w:type="dxa"/>
            <w:gridSpan w:val="2"/>
            <w:tcBorders>
              <w:left w:val="single" w:sz="4" w:space="0" w:color="auto"/>
              <w:bottom w:val="single" w:sz="4" w:space="0" w:color="auto"/>
            </w:tcBorders>
          </w:tcPr>
          <w:p w14:paraId="0A4BC3DF" w14:textId="0D8282F7"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sz w:val="16"/>
                <w:szCs w:val="16"/>
              </w:rPr>
              <w:t xml:space="preserve"> (20,927,925)</w:t>
            </w:r>
          </w:p>
        </w:tc>
        <w:tc>
          <w:tcPr>
            <w:tcW w:w="752" w:type="dxa"/>
            <w:tcBorders>
              <w:bottom w:val="single" w:sz="4" w:space="0" w:color="000000"/>
            </w:tcBorders>
          </w:tcPr>
          <w:p w14:paraId="17A60620" w14:textId="52024171"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sz w:val="16"/>
                <w:szCs w:val="16"/>
              </w:rPr>
              <w:t xml:space="preserve"> (56.34)</w:t>
            </w:r>
          </w:p>
        </w:tc>
        <w:tc>
          <w:tcPr>
            <w:tcW w:w="1228" w:type="dxa"/>
            <w:gridSpan w:val="2"/>
            <w:tcBorders>
              <w:left w:val="single" w:sz="4" w:space="0" w:color="auto"/>
              <w:bottom w:val="single" w:sz="4" w:space="0" w:color="auto"/>
            </w:tcBorders>
          </w:tcPr>
          <w:p w14:paraId="5745B15F" w14:textId="17543ED8"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w:t>
            </w:r>
            <w:r w:rsidR="00DB07E1">
              <w:rPr>
                <w:rFonts w:ascii="Arial" w:hAnsi="Arial" w:cs="Arial"/>
                <w:color w:val="000000"/>
                <w:sz w:val="16"/>
                <w:szCs w:val="16"/>
              </w:rPr>
              <w:t>62,856,704</w:t>
            </w:r>
            <w:r w:rsidRPr="004901D1">
              <w:rPr>
                <w:rFonts w:ascii="Arial" w:hAnsi="Arial" w:cs="Arial"/>
                <w:color w:val="000000"/>
                <w:sz w:val="16"/>
                <w:szCs w:val="16"/>
              </w:rPr>
              <w:t>)</w:t>
            </w:r>
          </w:p>
        </w:tc>
        <w:tc>
          <w:tcPr>
            <w:tcW w:w="756" w:type="dxa"/>
            <w:tcBorders>
              <w:bottom w:val="single" w:sz="4" w:space="0" w:color="auto"/>
              <w:right w:val="single" w:sz="4" w:space="0" w:color="auto"/>
            </w:tcBorders>
          </w:tcPr>
          <w:p w14:paraId="27B268BF" w14:textId="3E1D1E2A"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eastAsia="Arial" w:hAnsi="Arial" w:cs="Arial"/>
                <w:color w:val="000000"/>
                <w:sz w:val="16"/>
                <w:szCs w:val="16"/>
              </w:rPr>
              <w:t>(40.76)</w:t>
            </w:r>
          </w:p>
        </w:tc>
        <w:tc>
          <w:tcPr>
            <w:tcW w:w="1116" w:type="dxa"/>
            <w:gridSpan w:val="2"/>
            <w:tcBorders>
              <w:left w:val="single" w:sz="4" w:space="0" w:color="auto"/>
              <w:bottom w:val="single" w:sz="4" w:space="0" w:color="auto"/>
            </w:tcBorders>
          </w:tcPr>
          <w:p w14:paraId="02693C0F" w14:textId="7B7C2E12"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sz w:val="16"/>
                <w:szCs w:val="16"/>
              </w:rPr>
              <w:t xml:space="preserve"> (39,180,510)</w:t>
            </w:r>
          </w:p>
        </w:tc>
        <w:tc>
          <w:tcPr>
            <w:tcW w:w="727" w:type="dxa"/>
            <w:tcBorders>
              <w:bottom w:val="single" w:sz="4" w:space="0" w:color="auto"/>
              <w:right w:val="single" w:sz="4" w:space="0" w:color="auto"/>
            </w:tcBorders>
          </w:tcPr>
          <w:p w14:paraId="1A31C8AB" w14:textId="361B9116"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hAnsi="Arial" w:cs="Arial"/>
                <w:color w:val="000000"/>
                <w:sz w:val="16"/>
                <w:szCs w:val="16"/>
              </w:rPr>
              <w:t xml:space="preserve"> (51.78)</w:t>
            </w:r>
          </w:p>
        </w:tc>
      </w:tr>
      <w:tr w:rsidR="00307171" w:rsidRPr="004901D1" w14:paraId="39989332" w14:textId="77777777" w:rsidTr="00F56EC7">
        <w:tblPrEx>
          <w:tblLook w:val="01E0" w:firstRow="1" w:lastRow="1" w:firstColumn="1" w:lastColumn="1" w:noHBand="0" w:noVBand="0"/>
        </w:tblPrEx>
        <w:trPr>
          <w:trHeight w:val="287"/>
        </w:trPr>
        <w:tc>
          <w:tcPr>
            <w:tcW w:w="2425" w:type="dxa"/>
            <w:tcBorders>
              <w:top w:val="single" w:sz="4" w:space="0" w:color="auto"/>
              <w:left w:val="single" w:sz="4" w:space="0" w:color="auto"/>
              <w:bottom w:val="single" w:sz="12" w:space="0" w:color="auto"/>
              <w:right w:val="single" w:sz="4" w:space="0" w:color="auto"/>
            </w:tcBorders>
            <w:vAlign w:val="center"/>
          </w:tcPr>
          <w:p w14:paraId="346D4ABF" w14:textId="77777777" w:rsidR="00307171" w:rsidRPr="004901D1" w:rsidRDefault="00307171" w:rsidP="00307171">
            <w:pPr>
              <w:rPr>
                <w:rFonts w:ascii="Arial" w:hAnsi="Arial" w:cs="Arial"/>
                <w:sz w:val="16"/>
                <w:szCs w:val="16"/>
                <w:lang w:val="en-CA"/>
              </w:rPr>
            </w:pPr>
            <w:r w:rsidRPr="004901D1">
              <w:rPr>
                <w:rFonts w:ascii="Arial" w:hAnsi="Arial" w:cs="Arial"/>
                <w:sz w:val="16"/>
                <w:szCs w:val="16"/>
                <w:lang w:val="en-CA"/>
              </w:rPr>
              <w:t xml:space="preserve">Operating netback </w:t>
            </w:r>
            <w:r w:rsidRPr="004901D1">
              <w:rPr>
                <w:rFonts w:ascii="Arial" w:hAnsi="Arial" w:cs="Arial"/>
                <w:sz w:val="16"/>
                <w:szCs w:val="16"/>
                <w:vertAlign w:val="superscript"/>
                <w:lang w:val="en-CA"/>
              </w:rPr>
              <w:t>(1)</w:t>
            </w:r>
            <w:r w:rsidRPr="004901D1">
              <w:rPr>
                <w:rFonts w:ascii="Arial" w:hAnsi="Arial" w:cs="Arial"/>
                <w:sz w:val="16"/>
                <w:szCs w:val="16"/>
                <w:lang w:val="en-CA"/>
              </w:rPr>
              <w:t xml:space="preserve"> ($)</w:t>
            </w:r>
          </w:p>
        </w:tc>
        <w:tc>
          <w:tcPr>
            <w:tcW w:w="1114" w:type="dxa"/>
            <w:gridSpan w:val="2"/>
            <w:tcBorders>
              <w:top w:val="single" w:sz="4" w:space="0" w:color="auto"/>
              <w:left w:val="single" w:sz="4" w:space="0" w:color="auto"/>
              <w:bottom w:val="single" w:sz="12" w:space="0" w:color="auto"/>
            </w:tcBorders>
            <w:vAlign w:val="center"/>
          </w:tcPr>
          <w:p w14:paraId="5FD950E3" w14:textId="38601807"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21,458,701</w:t>
            </w:r>
          </w:p>
        </w:tc>
        <w:tc>
          <w:tcPr>
            <w:tcW w:w="709" w:type="dxa"/>
            <w:tcBorders>
              <w:top w:val="single" w:sz="4" w:space="0" w:color="000000"/>
              <w:bottom w:val="single" w:sz="12" w:space="0" w:color="000000"/>
            </w:tcBorders>
          </w:tcPr>
          <w:p w14:paraId="2F00FA98" w14:textId="495C975C"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color w:val="000000"/>
                <w:sz w:val="16"/>
                <w:szCs w:val="16"/>
              </w:rPr>
              <w:t>25.75</w:t>
            </w:r>
          </w:p>
        </w:tc>
        <w:tc>
          <w:tcPr>
            <w:tcW w:w="1091" w:type="dxa"/>
            <w:gridSpan w:val="2"/>
            <w:tcBorders>
              <w:top w:val="single" w:sz="4" w:space="0" w:color="auto"/>
              <w:left w:val="single" w:sz="4" w:space="0" w:color="auto"/>
              <w:bottom w:val="single" w:sz="12" w:space="0" w:color="auto"/>
            </w:tcBorders>
            <w:vAlign w:val="center"/>
          </w:tcPr>
          <w:p w14:paraId="539A62CC" w14:textId="6D337058"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(2,783,899)</w:t>
            </w:r>
          </w:p>
        </w:tc>
        <w:tc>
          <w:tcPr>
            <w:tcW w:w="752" w:type="dxa"/>
            <w:tcBorders>
              <w:top w:val="single" w:sz="4" w:space="0" w:color="000000"/>
              <w:bottom w:val="single" w:sz="12" w:space="0" w:color="000000"/>
            </w:tcBorders>
          </w:tcPr>
          <w:p w14:paraId="64CD142F" w14:textId="1A0F74AC" w:rsidR="00307171" w:rsidRPr="004901D1" w:rsidRDefault="00307171" w:rsidP="00307171">
            <w:pPr>
              <w:widowControl w:val="0"/>
              <w:tabs>
                <w:tab w:val="decimal" w:pos="432"/>
              </w:tabs>
              <w:spacing w:line="240" w:lineRule="atLeast"/>
              <w:ind w:right="-86"/>
              <w:jc w:val="center"/>
              <w:rPr>
                <w:rFonts w:ascii="Arial" w:hAnsi="Arial" w:cs="Arial"/>
                <w:color w:val="000000"/>
                <w:sz w:val="16"/>
                <w:szCs w:val="16"/>
              </w:rPr>
            </w:pPr>
            <w:r w:rsidRPr="004901D1">
              <w:rPr>
                <w:rFonts w:ascii="Arial" w:hAnsi="Arial" w:cs="Arial"/>
                <w:sz w:val="16"/>
                <w:szCs w:val="16"/>
              </w:rPr>
              <w:t xml:space="preserve"> (7.50)</w:t>
            </w:r>
          </w:p>
        </w:tc>
        <w:tc>
          <w:tcPr>
            <w:tcW w:w="1228" w:type="dxa"/>
            <w:gridSpan w:val="2"/>
            <w:tcBorders>
              <w:top w:val="single" w:sz="4" w:space="0" w:color="auto"/>
              <w:left w:val="single" w:sz="4" w:space="0" w:color="auto"/>
              <w:bottom w:val="single" w:sz="12" w:space="0" w:color="auto"/>
            </w:tcBorders>
            <w:vAlign w:val="center"/>
          </w:tcPr>
          <w:p w14:paraId="2A8C3461" w14:textId="300F220E"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29,938,124</w:t>
            </w:r>
          </w:p>
        </w:tc>
        <w:tc>
          <w:tcPr>
            <w:tcW w:w="756" w:type="dxa"/>
            <w:tcBorders>
              <w:top w:val="single" w:sz="4" w:space="0" w:color="auto"/>
              <w:bottom w:val="single" w:sz="12" w:space="0" w:color="auto"/>
              <w:right w:val="single" w:sz="4" w:space="0" w:color="auto"/>
            </w:tcBorders>
            <w:vAlign w:val="center"/>
          </w:tcPr>
          <w:p w14:paraId="5FC236E4" w14:textId="536E67AF"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eastAsia="Arial" w:hAnsi="Arial" w:cs="Arial"/>
                <w:color w:val="000000"/>
                <w:sz w:val="16"/>
                <w:szCs w:val="16"/>
              </w:rPr>
              <w:t>19.42</w:t>
            </w:r>
          </w:p>
        </w:tc>
        <w:tc>
          <w:tcPr>
            <w:tcW w:w="1116" w:type="dxa"/>
            <w:gridSpan w:val="2"/>
            <w:tcBorders>
              <w:top w:val="single" w:sz="4" w:space="0" w:color="auto"/>
              <w:left w:val="single" w:sz="4" w:space="0" w:color="auto"/>
              <w:bottom w:val="single" w:sz="12" w:space="0" w:color="auto"/>
            </w:tcBorders>
            <w:vAlign w:val="center"/>
          </w:tcPr>
          <w:p w14:paraId="38C0B7DF" w14:textId="5B9017A9" w:rsidR="00307171" w:rsidRPr="004901D1" w:rsidRDefault="00307171" w:rsidP="00307171">
            <w:pPr>
              <w:tabs>
                <w:tab w:val="decimal" w:pos="702"/>
              </w:tabs>
              <w:ind w:left="-108"/>
              <w:rPr>
                <w:rFonts w:ascii="Arial" w:hAnsi="Arial" w:cs="Arial"/>
                <w:color w:val="000000"/>
                <w:sz w:val="16"/>
                <w:szCs w:val="16"/>
              </w:rPr>
            </w:pPr>
            <w:r w:rsidRPr="004901D1">
              <w:rPr>
                <w:rFonts w:ascii="Arial" w:hAnsi="Arial" w:cs="Arial"/>
                <w:color w:val="000000"/>
                <w:sz w:val="16"/>
                <w:szCs w:val="16"/>
              </w:rPr>
              <w:t>(1,819,979)</w:t>
            </w:r>
          </w:p>
        </w:tc>
        <w:tc>
          <w:tcPr>
            <w:tcW w:w="727" w:type="dxa"/>
            <w:tcBorders>
              <w:top w:val="single" w:sz="4" w:space="0" w:color="auto"/>
              <w:bottom w:val="single" w:sz="12" w:space="0" w:color="auto"/>
              <w:right w:val="single" w:sz="4" w:space="0" w:color="auto"/>
            </w:tcBorders>
            <w:vAlign w:val="center"/>
          </w:tcPr>
          <w:p w14:paraId="545AC731" w14:textId="11ED09E5" w:rsidR="00307171" w:rsidRPr="004901D1" w:rsidRDefault="00307171" w:rsidP="00307171">
            <w:pPr>
              <w:widowControl w:val="0"/>
              <w:tabs>
                <w:tab w:val="decimal" w:pos="432"/>
              </w:tabs>
              <w:spacing w:line="240" w:lineRule="atLeast"/>
              <w:ind w:right="-86"/>
              <w:jc w:val="center"/>
              <w:rPr>
                <w:rFonts w:ascii="Arial" w:eastAsia="Arial" w:hAnsi="Arial" w:cs="Arial"/>
                <w:color w:val="000000"/>
                <w:sz w:val="16"/>
                <w:szCs w:val="16"/>
              </w:rPr>
            </w:pPr>
            <w:r w:rsidRPr="004901D1">
              <w:rPr>
                <w:rFonts w:ascii="Arial" w:hAnsi="Arial" w:cs="Arial"/>
                <w:color w:val="000000"/>
                <w:sz w:val="16"/>
                <w:szCs w:val="16"/>
              </w:rPr>
              <w:t>(2.42)</w:t>
            </w:r>
          </w:p>
        </w:tc>
      </w:tr>
    </w:tbl>
    <w:p w14:paraId="6406587C" w14:textId="30EA18F6" w:rsidR="00570515" w:rsidRPr="001835ED" w:rsidRDefault="00570515" w:rsidP="00570515">
      <w:pPr>
        <w:rPr>
          <w:rFonts w:ascii="Arial" w:hAnsi="Arial" w:cs="Arial"/>
          <w:sz w:val="16"/>
          <w:szCs w:val="16"/>
          <w:lang w:val="en-CA"/>
        </w:rPr>
      </w:pPr>
      <w:r w:rsidRPr="001835ED">
        <w:rPr>
          <w:rFonts w:ascii="Arial" w:hAnsi="Arial" w:cs="Arial"/>
          <w:sz w:val="16"/>
          <w:szCs w:val="16"/>
          <w:vertAlign w:val="superscript"/>
          <w:lang w:val="en-CA"/>
        </w:rPr>
        <w:t xml:space="preserve">(1) </w:t>
      </w:r>
      <w:r w:rsidRPr="001835ED">
        <w:rPr>
          <w:rFonts w:ascii="Arial" w:hAnsi="Arial" w:cs="Arial"/>
          <w:sz w:val="16"/>
          <w:szCs w:val="16"/>
          <w:lang w:val="en-CA"/>
        </w:rPr>
        <w:t xml:space="preserve"> "Operating netback" is a non-IFRS measure. “Operating netback per BOE” is a non-IFRS ratio. See "Non-IFRS and Other Financial Measures".</w:t>
      </w:r>
    </w:p>
    <w:p w14:paraId="3E687652" w14:textId="77777777" w:rsidR="000960C0" w:rsidRDefault="000960C0" w:rsidP="00D02275">
      <w:pPr>
        <w:rPr>
          <w:rFonts w:ascii="Arial" w:hAnsi="Arial" w:cs="Arial"/>
          <w:b/>
          <w:sz w:val="20"/>
          <w:szCs w:val="20"/>
          <w:lang w:val="en-CA"/>
        </w:rPr>
      </w:pPr>
    </w:p>
    <w:p w14:paraId="2E990520" w14:textId="72459676" w:rsidR="00E178E3" w:rsidRPr="00E178E3" w:rsidRDefault="00E178E3" w:rsidP="00E178E3">
      <w:pPr>
        <w:widowControl w:val="0"/>
        <w:jc w:val="both"/>
        <w:rPr>
          <w:rFonts w:ascii="Arial" w:hAnsi="Arial" w:cs="Arial"/>
          <w:sz w:val="20"/>
          <w:szCs w:val="20"/>
        </w:rPr>
      </w:pPr>
      <w:r w:rsidRPr="00E178E3">
        <w:rPr>
          <w:rFonts w:ascii="Arial" w:hAnsi="Arial" w:cs="Arial"/>
          <w:sz w:val="20"/>
          <w:szCs w:val="20"/>
        </w:rPr>
        <w:t xml:space="preserve">The Company’s </w:t>
      </w:r>
      <w:r>
        <w:rPr>
          <w:rFonts w:ascii="Arial" w:hAnsi="Arial" w:cs="Arial"/>
          <w:sz w:val="20"/>
          <w:szCs w:val="20"/>
        </w:rPr>
        <w:t>un</w:t>
      </w:r>
      <w:r w:rsidRPr="00E178E3">
        <w:rPr>
          <w:rFonts w:ascii="Arial" w:hAnsi="Arial" w:cs="Arial"/>
          <w:sz w:val="20"/>
          <w:szCs w:val="20"/>
        </w:rPr>
        <w:t xml:space="preserve">audited </w:t>
      </w:r>
      <w:r>
        <w:rPr>
          <w:rFonts w:ascii="Arial" w:hAnsi="Arial" w:cs="Arial"/>
          <w:sz w:val="20"/>
          <w:szCs w:val="20"/>
        </w:rPr>
        <w:t xml:space="preserve">condensed interim </w:t>
      </w:r>
      <w:r w:rsidRPr="00E178E3">
        <w:rPr>
          <w:rFonts w:ascii="Arial" w:hAnsi="Arial" w:cs="Arial"/>
          <w:sz w:val="20"/>
          <w:szCs w:val="20"/>
        </w:rPr>
        <w:t xml:space="preserve">consolidated financial statements for the </w:t>
      </w:r>
      <w:r>
        <w:rPr>
          <w:rFonts w:ascii="Arial" w:hAnsi="Arial" w:cs="Arial"/>
          <w:sz w:val="20"/>
          <w:szCs w:val="20"/>
        </w:rPr>
        <w:t xml:space="preserve">three </w:t>
      </w:r>
      <w:r w:rsidR="00307171">
        <w:rPr>
          <w:rFonts w:ascii="Arial" w:hAnsi="Arial" w:cs="Arial"/>
          <w:sz w:val="20"/>
          <w:szCs w:val="20"/>
        </w:rPr>
        <w:t xml:space="preserve">and six </w:t>
      </w:r>
      <w:r>
        <w:rPr>
          <w:rFonts w:ascii="Arial" w:hAnsi="Arial" w:cs="Arial"/>
          <w:sz w:val="20"/>
          <w:szCs w:val="20"/>
        </w:rPr>
        <w:t>month period</w:t>
      </w:r>
      <w:r w:rsidR="001835ED">
        <w:rPr>
          <w:rFonts w:ascii="Arial" w:hAnsi="Arial" w:cs="Arial"/>
          <w:sz w:val="20"/>
          <w:szCs w:val="20"/>
        </w:rPr>
        <w:t>s</w:t>
      </w:r>
      <w:r w:rsidRPr="00E178E3">
        <w:rPr>
          <w:rFonts w:ascii="Arial" w:hAnsi="Arial" w:cs="Arial"/>
          <w:sz w:val="20"/>
          <w:szCs w:val="20"/>
        </w:rPr>
        <w:t xml:space="preserve"> ended </w:t>
      </w:r>
      <w:r w:rsidR="00307171">
        <w:rPr>
          <w:rFonts w:ascii="Arial" w:hAnsi="Arial" w:cs="Arial"/>
          <w:sz w:val="20"/>
          <w:szCs w:val="20"/>
        </w:rPr>
        <w:t>June</w:t>
      </w:r>
      <w:r w:rsidRPr="00E178E3">
        <w:rPr>
          <w:rFonts w:ascii="Arial" w:hAnsi="Arial" w:cs="Arial"/>
          <w:sz w:val="20"/>
          <w:szCs w:val="20"/>
        </w:rPr>
        <w:t xml:space="preserve"> 3</w:t>
      </w:r>
      <w:r w:rsidR="00307171">
        <w:rPr>
          <w:rFonts w:ascii="Arial" w:hAnsi="Arial" w:cs="Arial"/>
          <w:sz w:val="20"/>
          <w:szCs w:val="20"/>
        </w:rPr>
        <w:t>0</w:t>
      </w:r>
      <w:r w:rsidRPr="00E178E3">
        <w:rPr>
          <w:rFonts w:ascii="Arial" w:hAnsi="Arial" w:cs="Arial"/>
          <w:sz w:val="20"/>
          <w:szCs w:val="20"/>
        </w:rPr>
        <w:t>, 202</w:t>
      </w:r>
      <w:r>
        <w:rPr>
          <w:rFonts w:ascii="Arial" w:hAnsi="Arial" w:cs="Arial"/>
          <w:sz w:val="20"/>
          <w:szCs w:val="20"/>
        </w:rPr>
        <w:t>6</w:t>
      </w:r>
      <w:r w:rsidRPr="00E178E3">
        <w:rPr>
          <w:rFonts w:ascii="Arial" w:hAnsi="Arial" w:cs="Arial"/>
          <w:sz w:val="20"/>
          <w:szCs w:val="20"/>
        </w:rPr>
        <w:t xml:space="preserve"> and related management’s discussion and analysis (“</w:t>
      </w:r>
      <w:r w:rsidRPr="00E178E3">
        <w:rPr>
          <w:rFonts w:ascii="Arial" w:hAnsi="Arial" w:cs="Arial"/>
          <w:b/>
          <w:sz w:val="20"/>
          <w:szCs w:val="20"/>
        </w:rPr>
        <w:t>MD&amp;A</w:t>
      </w:r>
      <w:r w:rsidRPr="00E178E3">
        <w:rPr>
          <w:rFonts w:ascii="Arial" w:hAnsi="Arial" w:cs="Arial"/>
          <w:sz w:val="20"/>
          <w:szCs w:val="20"/>
        </w:rPr>
        <w:t xml:space="preserve">”) will be filed with Canadian securities regulatory authorities in due course and will be made available under the Company’s profile at </w:t>
      </w:r>
      <w:hyperlink r:id="rId11" w:history="1">
        <w:r w:rsidRPr="00E178E3">
          <w:rPr>
            <w:rStyle w:val="Hyperlink"/>
            <w:rFonts w:ascii="Arial" w:hAnsi="Arial" w:cs="Arial"/>
            <w:sz w:val="20"/>
            <w:szCs w:val="20"/>
          </w:rPr>
          <w:t>www.sedarplus.ca</w:t>
        </w:r>
      </w:hyperlink>
      <w:r w:rsidRPr="00E178E3">
        <w:rPr>
          <w:rFonts w:ascii="Arial" w:hAnsi="Arial" w:cs="Arial"/>
          <w:sz w:val="20"/>
          <w:szCs w:val="20"/>
        </w:rPr>
        <w:t xml:space="preserve"> and on the Company’s website at </w:t>
      </w:r>
      <w:hyperlink r:id="rId12" w:history="1">
        <w:r w:rsidRPr="00E178E3">
          <w:rPr>
            <w:rStyle w:val="Hyperlink"/>
            <w:rFonts w:ascii="Arial" w:hAnsi="Arial" w:cs="Arial"/>
            <w:sz w:val="20"/>
            <w:szCs w:val="20"/>
          </w:rPr>
          <w:t>www.crownpointenergy.com</w:t>
        </w:r>
      </w:hyperlink>
      <w:r w:rsidRPr="00E178E3">
        <w:rPr>
          <w:rFonts w:ascii="Arial" w:hAnsi="Arial" w:cs="Arial"/>
          <w:sz w:val="20"/>
          <w:szCs w:val="20"/>
        </w:rPr>
        <w:t>.</w:t>
      </w:r>
    </w:p>
    <w:p w14:paraId="54803714" w14:textId="77777777" w:rsidR="00E178E3" w:rsidRDefault="00E178E3" w:rsidP="00D17181">
      <w:pPr>
        <w:widowControl w:val="0"/>
        <w:rPr>
          <w:rFonts w:ascii="Arial" w:hAnsi="Arial" w:cs="Arial"/>
          <w:sz w:val="20"/>
          <w:szCs w:val="20"/>
        </w:rPr>
      </w:pPr>
    </w:p>
    <w:p w14:paraId="484B320D" w14:textId="65737F1D" w:rsidR="00E178E3" w:rsidRDefault="00E178E3" w:rsidP="00D17181">
      <w:pPr>
        <w:widowControl w:val="0"/>
        <w:rPr>
          <w:rFonts w:ascii="Arial" w:hAnsi="Arial" w:cs="Arial"/>
          <w:sz w:val="20"/>
          <w:szCs w:val="20"/>
        </w:rPr>
      </w:pPr>
      <w:r>
        <w:rPr>
          <w:rFonts w:ascii="Arial" w:hAnsi="Arial" w:cs="Arial"/>
          <w:sz w:val="20"/>
          <w:szCs w:val="20"/>
        </w:rPr>
        <w:t>For inquiries, please contact:</w:t>
      </w:r>
    </w:p>
    <w:p w14:paraId="37207F97" w14:textId="77777777" w:rsidR="00E178E3" w:rsidRPr="00E178E3" w:rsidRDefault="00E178E3" w:rsidP="00D17181">
      <w:pPr>
        <w:widowControl w:val="0"/>
        <w:rPr>
          <w:rFonts w:ascii="Arial" w:hAnsi="Arial" w:cs="Arial"/>
          <w:sz w:val="20"/>
          <w:szCs w:val="20"/>
        </w:rPr>
      </w:pPr>
    </w:p>
    <w:p w14:paraId="12D9EA8B" w14:textId="77777777" w:rsidR="009C336C" w:rsidRPr="00253016" w:rsidRDefault="009C336C" w:rsidP="009C336C">
      <w:pPr>
        <w:outlineLvl w:val="0"/>
        <w:rPr>
          <w:rFonts w:ascii="Arial" w:hAnsi="Arial" w:cs="Arial"/>
          <w:sz w:val="20"/>
          <w:szCs w:val="20"/>
        </w:rPr>
      </w:pPr>
      <w:r w:rsidRPr="00E178E3">
        <w:rPr>
          <w:rFonts w:ascii="Arial" w:hAnsi="Arial" w:cs="Arial"/>
          <w:sz w:val="20"/>
          <w:szCs w:val="20"/>
        </w:rPr>
        <w:t>Brian</w:t>
      </w:r>
      <w:r w:rsidRPr="00253016">
        <w:rPr>
          <w:rFonts w:ascii="Arial" w:hAnsi="Arial" w:cs="Arial"/>
          <w:sz w:val="20"/>
          <w:szCs w:val="20"/>
        </w:rPr>
        <w:t xml:space="preserve"> Moss</w:t>
      </w:r>
      <w:r w:rsidRPr="00253016">
        <w:rPr>
          <w:rFonts w:ascii="Arial" w:hAnsi="Arial" w:cs="Arial"/>
          <w:sz w:val="20"/>
          <w:szCs w:val="20"/>
        </w:rPr>
        <w:tab/>
      </w:r>
      <w:r w:rsidRPr="00253016">
        <w:rPr>
          <w:rFonts w:ascii="Arial" w:hAnsi="Arial" w:cs="Arial"/>
          <w:sz w:val="20"/>
          <w:szCs w:val="20"/>
        </w:rPr>
        <w:tab/>
        <w:t xml:space="preserve"> </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t>Marcos Esteves</w:t>
      </w:r>
    </w:p>
    <w:p w14:paraId="4D078421" w14:textId="77777777" w:rsidR="009C336C" w:rsidRPr="00253016" w:rsidRDefault="009C336C" w:rsidP="009C336C">
      <w:pPr>
        <w:outlineLvl w:val="0"/>
        <w:rPr>
          <w:rFonts w:ascii="Arial" w:hAnsi="Arial" w:cs="Arial"/>
          <w:sz w:val="20"/>
          <w:szCs w:val="20"/>
        </w:rPr>
      </w:pPr>
      <w:r w:rsidRPr="00253016">
        <w:rPr>
          <w:rFonts w:ascii="Arial" w:hAnsi="Arial" w:cs="Arial"/>
          <w:sz w:val="20"/>
          <w:szCs w:val="20"/>
        </w:rPr>
        <w:t>Interim President &amp; CEO</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t>Vice-President, Finance &amp; CFO</w:t>
      </w:r>
    </w:p>
    <w:p w14:paraId="3464B138" w14:textId="77777777" w:rsidR="009C336C" w:rsidRPr="00253016" w:rsidRDefault="009C336C" w:rsidP="009C336C">
      <w:pPr>
        <w:rPr>
          <w:rFonts w:ascii="Arial" w:hAnsi="Arial" w:cs="Arial"/>
          <w:sz w:val="20"/>
          <w:szCs w:val="20"/>
        </w:rPr>
      </w:pPr>
      <w:r w:rsidRPr="00253016">
        <w:rPr>
          <w:rFonts w:ascii="Arial" w:hAnsi="Arial" w:cs="Arial"/>
          <w:sz w:val="20"/>
          <w:szCs w:val="20"/>
        </w:rPr>
        <w:t>Ph: (403) 232-1150</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t>Ph: (403) 232-1150</w:t>
      </w:r>
    </w:p>
    <w:p w14:paraId="15EF72E9" w14:textId="77777777" w:rsidR="009C336C" w:rsidRPr="00253016" w:rsidRDefault="009C336C" w:rsidP="009C336C">
      <w:pPr>
        <w:rPr>
          <w:rFonts w:ascii="Arial" w:hAnsi="Arial" w:cs="Arial"/>
          <w:sz w:val="20"/>
          <w:szCs w:val="20"/>
        </w:rPr>
      </w:pPr>
      <w:r w:rsidRPr="00253016">
        <w:rPr>
          <w:rFonts w:ascii="Arial" w:hAnsi="Arial" w:cs="Arial"/>
          <w:sz w:val="20"/>
          <w:szCs w:val="20"/>
        </w:rPr>
        <w:t>Crown Point Energy Inc.</w:t>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Pr>
          <w:rFonts w:ascii="Arial" w:hAnsi="Arial" w:cs="Arial"/>
          <w:sz w:val="20"/>
          <w:szCs w:val="20"/>
        </w:rPr>
        <w:tab/>
      </w:r>
      <w:r w:rsidRPr="00253016">
        <w:rPr>
          <w:rFonts w:ascii="Arial" w:hAnsi="Arial" w:cs="Arial"/>
          <w:sz w:val="20"/>
          <w:szCs w:val="20"/>
        </w:rPr>
        <w:t>Crown Point Energy Inc.</w:t>
      </w:r>
    </w:p>
    <w:p w14:paraId="1E1805A6" w14:textId="77777777" w:rsidR="009C336C" w:rsidRPr="00253016" w:rsidRDefault="009C336C" w:rsidP="009C336C">
      <w:pPr>
        <w:widowControl w:val="0"/>
        <w:rPr>
          <w:rFonts w:ascii="Arial" w:hAnsi="Arial" w:cs="Arial"/>
          <w:sz w:val="20"/>
          <w:szCs w:val="20"/>
        </w:rPr>
      </w:pPr>
      <w:hyperlink r:id="rId13" w:history="1">
        <w:r w:rsidRPr="00253016">
          <w:rPr>
            <w:rStyle w:val="Hyperlink"/>
            <w:rFonts w:ascii="Arial" w:hAnsi="Arial" w:cs="Arial"/>
            <w:sz w:val="20"/>
            <w:szCs w:val="20"/>
          </w:rPr>
          <w:t>bmoss@crownpointenergy.com</w:t>
        </w:r>
      </w:hyperlink>
      <w:r w:rsidRPr="00253016">
        <w:rPr>
          <w:rFonts w:ascii="Arial" w:hAnsi="Arial" w:cs="Arial"/>
          <w:sz w:val="20"/>
          <w:szCs w:val="20"/>
        </w:rPr>
        <w:tab/>
      </w:r>
      <w:r w:rsidRPr="00253016">
        <w:rPr>
          <w:rFonts w:ascii="Arial" w:hAnsi="Arial" w:cs="Arial"/>
          <w:sz w:val="20"/>
          <w:szCs w:val="20"/>
        </w:rPr>
        <w:tab/>
      </w:r>
      <w:r w:rsidRPr="00253016">
        <w:rPr>
          <w:rFonts w:ascii="Arial" w:hAnsi="Arial" w:cs="Arial"/>
          <w:sz w:val="20"/>
          <w:szCs w:val="20"/>
        </w:rPr>
        <w:tab/>
      </w:r>
      <w:r>
        <w:rPr>
          <w:rFonts w:ascii="Arial" w:hAnsi="Arial" w:cs="Arial"/>
          <w:sz w:val="20"/>
          <w:szCs w:val="20"/>
        </w:rPr>
        <w:tab/>
      </w:r>
      <w:hyperlink r:id="rId14" w:history="1">
        <w:r w:rsidRPr="00B309DC">
          <w:rPr>
            <w:rStyle w:val="Hyperlink"/>
            <w:rFonts w:ascii="Arial" w:hAnsi="Arial" w:cs="Arial"/>
            <w:sz w:val="20"/>
            <w:szCs w:val="20"/>
          </w:rPr>
          <w:t>mesteves@crownpointenergy.com</w:t>
        </w:r>
      </w:hyperlink>
    </w:p>
    <w:p w14:paraId="2B74219D" w14:textId="77777777" w:rsidR="0042733B" w:rsidRPr="00902562" w:rsidRDefault="0042733B" w:rsidP="00D17181">
      <w:pPr>
        <w:widowControl w:val="0"/>
        <w:rPr>
          <w:rFonts w:ascii="Arial" w:hAnsi="Arial" w:cs="Arial"/>
          <w:b/>
          <w:i/>
          <w:sz w:val="20"/>
          <w:szCs w:val="20"/>
        </w:rPr>
      </w:pPr>
    </w:p>
    <w:p w14:paraId="56033633" w14:textId="77777777" w:rsidR="009C336C" w:rsidRPr="00253016" w:rsidRDefault="009C336C" w:rsidP="009C336C">
      <w:pPr>
        <w:widowControl w:val="0"/>
        <w:rPr>
          <w:rFonts w:ascii="Arial" w:hAnsi="Arial" w:cs="Arial"/>
          <w:b/>
          <w:i/>
          <w:sz w:val="20"/>
          <w:szCs w:val="20"/>
        </w:rPr>
      </w:pPr>
    </w:p>
    <w:p w14:paraId="54431FF6" w14:textId="77777777" w:rsidR="009C336C" w:rsidRPr="00253016" w:rsidRDefault="009C336C" w:rsidP="009C336C">
      <w:pPr>
        <w:widowControl w:val="0"/>
        <w:rPr>
          <w:rFonts w:ascii="Arial" w:hAnsi="Arial" w:cs="Arial"/>
          <w:b/>
          <w:i/>
          <w:sz w:val="20"/>
          <w:szCs w:val="20"/>
        </w:rPr>
      </w:pPr>
      <w:r w:rsidRPr="00253016">
        <w:rPr>
          <w:rFonts w:ascii="Arial" w:hAnsi="Arial" w:cs="Arial"/>
          <w:b/>
          <w:i/>
          <w:sz w:val="20"/>
          <w:szCs w:val="20"/>
        </w:rPr>
        <w:t>About Crown Point</w:t>
      </w:r>
    </w:p>
    <w:p w14:paraId="2E2E0D9D" w14:textId="7CDC6406" w:rsidR="009C336C" w:rsidRPr="00253016" w:rsidRDefault="009C336C" w:rsidP="009C336C">
      <w:pPr>
        <w:pStyle w:val="MICONHEADER1"/>
        <w:widowControl w:val="0"/>
        <w:spacing w:line="240" w:lineRule="atLeast"/>
        <w:ind w:left="0"/>
        <w:rPr>
          <w:rFonts w:ascii="Arial" w:hAnsi="Arial" w:cs="Arial"/>
          <w:b w:val="0"/>
          <w:bCs/>
          <w:caps w:val="0"/>
          <w:sz w:val="22"/>
          <w:szCs w:val="22"/>
        </w:rPr>
      </w:pPr>
      <w:r w:rsidRPr="00253016">
        <w:rPr>
          <w:rFonts w:ascii="Arial" w:hAnsi="Arial" w:cs="Arial"/>
          <w:b w:val="0"/>
          <w:bCs/>
          <w:caps w:val="0"/>
          <w:sz w:val="20"/>
          <w:szCs w:val="20"/>
        </w:rPr>
        <w:t xml:space="preserve">Crown Point Energy Inc. is an international oil and gas exploration and development company headquartered in Buenos Aires, Argentina, incorporated in Canada, trading on the TSX Venture Exchange and operating in Argentina. </w:t>
      </w:r>
      <w:r w:rsidRPr="00253016">
        <w:rPr>
          <w:rFonts w:ascii="Arial" w:hAnsi="Arial" w:cs="Arial"/>
          <w:b w:val="0"/>
          <w:caps w:val="0"/>
          <w:sz w:val="20"/>
          <w:szCs w:val="20"/>
        </w:rPr>
        <w:t xml:space="preserve">Crown Point's exploration and development activities are focused in four producing basins in Argentina, the Austral basin in the province of Tierra del Fuego, the </w:t>
      </w:r>
      <w:r w:rsidR="00BE51FA">
        <w:rPr>
          <w:rFonts w:ascii="Arial" w:hAnsi="Arial" w:cs="Arial"/>
          <w:b w:val="0"/>
          <w:caps w:val="0"/>
          <w:sz w:val="20"/>
          <w:szCs w:val="20"/>
        </w:rPr>
        <w:t xml:space="preserve">Golfo </w:t>
      </w:r>
      <w:r w:rsidRPr="00253016">
        <w:rPr>
          <w:rFonts w:ascii="Arial" w:hAnsi="Arial" w:cs="Arial"/>
          <w:b w:val="0"/>
          <w:caps w:val="0"/>
          <w:sz w:val="20"/>
          <w:szCs w:val="20"/>
        </w:rPr>
        <w:t xml:space="preserve">San Jorge Basin in the provinces of Santa Cruz and Chubut, and the Neuquén and Cuyo </w:t>
      </w:r>
      <w:r w:rsidR="00BE51FA">
        <w:rPr>
          <w:rFonts w:ascii="Arial" w:hAnsi="Arial" w:cs="Arial"/>
          <w:b w:val="0"/>
          <w:caps w:val="0"/>
          <w:sz w:val="20"/>
          <w:szCs w:val="20"/>
        </w:rPr>
        <w:t xml:space="preserve">(or Cuyana) </w:t>
      </w:r>
      <w:r w:rsidRPr="00253016">
        <w:rPr>
          <w:rFonts w:ascii="Arial" w:hAnsi="Arial" w:cs="Arial"/>
          <w:b w:val="0"/>
          <w:caps w:val="0"/>
          <w:sz w:val="20"/>
          <w:szCs w:val="20"/>
        </w:rPr>
        <w:t>basins in the province of Mendoza.</w:t>
      </w:r>
    </w:p>
    <w:p w14:paraId="37CD136E" w14:textId="77777777" w:rsidR="009C336C" w:rsidRPr="00AA3D64" w:rsidRDefault="009C336C" w:rsidP="009C336C">
      <w:pPr>
        <w:widowControl w:val="0"/>
        <w:jc w:val="both"/>
        <w:rPr>
          <w:rFonts w:ascii="Arial" w:hAnsi="Arial" w:cs="Arial"/>
          <w:b/>
          <w:i/>
          <w:sz w:val="14"/>
          <w:szCs w:val="14"/>
        </w:rPr>
      </w:pPr>
    </w:p>
    <w:p w14:paraId="516F432B" w14:textId="77777777" w:rsidR="009C336C" w:rsidRDefault="009C336C" w:rsidP="009C336C">
      <w:pPr>
        <w:widowControl w:val="0"/>
        <w:jc w:val="both"/>
        <w:rPr>
          <w:rFonts w:ascii="Arial" w:hAnsi="Arial" w:cs="Arial"/>
          <w:b/>
          <w:i/>
          <w:sz w:val="16"/>
          <w:szCs w:val="16"/>
        </w:rPr>
      </w:pPr>
      <w:r w:rsidRPr="00B673D6">
        <w:rPr>
          <w:rFonts w:ascii="Arial" w:hAnsi="Arial" w:cs="Arial"/>
          <w:b/>
          <w:i/>
          <w:sz w:val="16"/>
          <w:szCs w:val="16"/>
        </w:rPr>
        <w:t>Advisory</w:t>
      </w:r>
    </w:p>
    <w:p w14:paraId="4C748169" w14:textId="77777777" w:rsidR="00681BAA" w:rsidRPr="00B673D6" w:rsidRDefault="00681BAA" w:rsidP="009C336C">
      <w:pPr>
        <w:widowControl w:val="0"/>
        <w:jc w:val="both"/>
        <w:rPr>
          <w:rFonts w:ascii="Arial" w:hAnsi="Arial" w:cs="Arial"/>
          <w:b/>
          <w:i/>
          <w:sz w:val="16"/>
          <w:szCs w:val="16"/>
        </w:rPr>
      </w:pPr>
    </w:p>
    <w:p w14:paraId="6162CB89" w14:textId="77777777"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eastAsia="Calibri" w:hAnsi="Arial" w:cs="Arial"/>
          <w:i/>
          <w:sz w:val="16"/>
          <w:szCs w:val="16"/>
          <w:u w:val="single"/>
        </w:rPr>
        <w:t>Non-IFRS and Other Financial Measures</w:t>
      </w:r>
      <w:r w:rsidRPr="00B673D6">
        <w:rPr>
          <w:rFonts w:ascii="Arial" w:eastAsia="Calibri" w:hAnsi="Arial" w:cs="Arial"/>
          <w:i/>
          <w:sz w:val="16"/>
          <w:szCs w:val="16"/>
        </w:rPr>
        <w:t xml:space="preserve">: </w:t>
      </w:r>
      <w:r w:rsidRPr="00B673D6">
        <w:rPr>
          <w:rFonts w:ascii="Arial" w:hAnsi="Arial" w:cs="Arial"/>
          <w:i/>
          <w:sz w:val="16"/>
          <w:szCs w:val="16"/>
        </w:rPr>
        <w:t xml:space="preserve">Throughout this press release and in other materials disclosed by the Company, we employ certain measures to analyze financial performance, financial position, and cash flow. These non-IFRS and other financial measures do not have any standardized meaning prescribed by IFRS and therefore may not be comparable to similar measures provided by other issuers.  The non-IFRS and other financial measures should not be considered to be more meaningful than financial measures which are determined in accordance with IFRS, such as net income (loss), oil and natural gas sales revenue and net cash (used) provided by operating activities as indicators of our performance.  </w:t>
      </w:r>
    </w:p>
    <w:p w14:paraId="5C4801D6" w14:textId="1D214AB0"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hAnsi="Arial" w:cs="Arial"/>
          <w:i/>
          <w:sz w:val="16"/>
          <w:szCs w:val="16"/>
        </w:rPr>
        <w:t xml:space="preserve">“Non-current financial liabilities” is a supplemental financial measure.  Non-current financial liabilities is comprised of the non-current portions of trade and other payables, </w:t>
      </w:r>
      <w:r w:rsidR="00200425">
        <w:rPr>
          <w:rFonts w:ascii="Arial" w:hAnsi="Arial" w:cs="Arial"/>
          <w:i/>
          <w:sz w:val="16"/>
          <w:szCs w:val="16"/>
        </w:rPr>
        <w:t xml:space="preserve">loans, </w:t>
      </w:r>
      <w:r w:rsidRPr="00B673D6">
        <w:rPr>
          <w:rFonts w:ascii="Arial" w:hAnsi="Arial" w:cs="Arial"/>
          <w:i/>
          <w:sz w:val="16"/>
          <w:szCs w:val="16"/>
        </w:rPr>
        <w:t>notes payable and lease liabilities as presented in the Company’s consolidated statements of financial position.  See “Summary of Financial Information”.</w:t>
      </w:r>
    </w:p>
    <w:p w14:paraId="517B5565" w14:textId="2E69FA2A" w:rsidR="009C336C" w:rsidRPr="00B673D6" w:rsidRDefault="009C336C" w:rsidP="009C336C">
      <w:pPr>
        <w:pStyle w:val="Ne3"/>
        <w:widowControl w:val="0"/>
        <w:spacing w:before="60" w:line="240" w:lineRule="auto"/>
        <w:ind w:left="0"/>
        <w:rPr>
          <w:rFonts w:cs="Arial"/>
          <w:i/>
          <w:sz w:val="16"/>
          <w:szCs w:val="16"/>
        </w:rPr>
      </w:pPr>
      <w:r w:rsidRPr="00B673D6">
        <w:rPr>
          <w:rFonts w:cs="Arial"/>
          <w:i/>
          <w:sz w:val="16"/>
          <w:szCs w:val="16"/>
        </w:rPr>
        <w:t xml:space="preserve">“Operating Netback” is a non-IFRS measure.  Operating netback is comprised of oil and natural gas sales revenue less export tax, royalties and turnover tax and operating costs.  </w:t>
      </w:r>
      <w:r w:rsidRPr="00B673D6">
        <w:rPr>
          <w:i/>
          <w:sz w:val="16"/>
          <w:szCs w:val="16"/>
        </w:rPr>
        <w:t xml:space="preserve">Management believes this measure is a useful supplemental measure of the Company’s profitability relative to commodity prices.  </w:t>
      </w:r>
      <w:r w:rsidRPr="00B673D6">
        <w:rPr>
          <w:rFonts w:cs="Arial"/>
          <w:i/>
          <w:sz w:val="16"/>
          <w:szCs w:val="16"/>
        </w:rPr>
        <w:t>See “</w:t>
      </w:r>
      <w:r w:rsidR="00BE51FA">
        <w:rPr>
          <w:rFonts w:cs="Arial"/>
          <w:i/>
          <w:sz w:val="16"/>
          <w:szCs w:val="16"/>
        </w:rPr>
        <w:t xml:space="preserve">Results of Operations - </w:t>
      </w:r>
      <w:r w:rsidRPr="00B673D6">
        <w:rPr>
          <w:rFonts w:cs="Arial"/>
          <w:i/>
          <w:sz w:val="16"/>
          <w:szCs w:val="16"/>
        </w:rPr>
        <w:t>Operating Netback” for a reconciliation of operating netback to oil and natural gas sales revenue, being our nearest measure prescribed by IFRS.</w:t>
      </w:r>
    </w:p>
    <w:p w14:paraId="0387D7B1" w14:textId="1D66552C"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hAnsi="Arial" w:cs="Arial"/>
          <w:i/>
          <w:sz w:val="16"/>
          <w:szCs w:val="16"/>
        </w:rPr>
        <w:t>“Operating netback per BOE” is a non-IFRS ratio.  Operating netback per BOE is comprised of operating netback divided by total BOE sales volumes in the period.  Management believes this measure is a useful supplemental measure of the Company’s profitability relative to commodity prices.  In addition, management believes that operating netback per BOE is a key industry performance measure of operational efficiency and provide</w:t>
      </w:r>
      <w:r w:rsidR="00200425">
        <w:rPr>
          <w:rFonts w:ascii="Arial" w:hAnsi="Arial" w:cs="Arial"/>
          <w:i/>
          <w:sz w:val="16"/>
          <w:szCs w:val="16"/>
        </w:rPr>
        <w:t>s</w:t>
      </w:r>
      <w:r w:rsidRPr="00B673D6">
        <w:rPr>
          <w:rFonts w:ascii="Arial" w:hAnsi="Arial" w:cs="Arial"/>
          <w:i/>
          <w:sz w:val="16"/>
          <w:szCs w:val="16"/>
        </w:rPr>
        <w:t xml:space="preserve"> investors with information that is also commonly presented by other crude oil and natural gas producers.  Operating netback is a non-IFRS measure.  See "</w:t>
      </w:r>
      <w:r w:rsidR="00BE51FA" w:rsidRPr="00BE51FA">
        <w:rPr>
          <w:rFonts w:ascii="Arial" w:hAnsi="Arial" w:cs="Arial"/>
          <w:i/>
          <w:sz w:val="16"/>
          <w:szCs w:val="16"/>
        </w:rPr>
        <w:t xml:space="preserve">Results of Operations - </w:t>
      </w:r>
      <w:r w:rsidRPr="00B673D6">
        <w:rPr>
          <w:rFonts w:ascii="Arial" w:hAnsi="Arial" w:cs="Arial"/>
          <w:i/>
          <w:sz w:val="16"/>
          <w:szCs w:val="16"/>
        </w:rPr>
        <w:t>Operating Netback" for the calculation of operating netback per BOE.</w:t>
      </w:r>
    </w:p>
    <w:p w14:paraId="0D6A462B" w14:textId="77777777" w:rsidR="009C336C" w:rsidRPr="00B673D6" w:rsidRDefault="009C336C" w:rsidP="009C336C">
      <w:pPr>
        <w:pStyle w:val="BodyText"/>
        <w:widowControl w:val="0"/>
        <w:spacing w:before="60" w:after="0" w:line="240" w:lineRule="auto"/>
        <w:rPr>
          <w:rFonts w:ascii="Arial" w:hAnsi="Arial" w:cs="Arial"/>
          <w:i/>
          <w:sz w:val="16"/>
          <w:szCs w:val="16"/>
        </w:rPr>
      </w:pPr>
      <w:r w:rsidRPr="00B673D6">
        <w:rPr>
          <w:rFonts w:ascii="Arial" w:hAnsi="Arial" w:cs="Arial"/>
          <w:i/>
          <w:sz w:val="16"/>
          <w:szCs w:val="16"/>
        </w:rPr>
        <w:t>“Working capital” is a capital management measure.  Working capital is comprised of current assets less current liabilities.  Management believes that working capital is a useful measure to assess the Company's capital position and its ability to execute its existing exploration commitments and its share of any development programs.  See “Summary of Financial Information” for a reconciliation of working capital to current assets and current liabilities, being our nearest measures prescribed by IFRS.</w:t>
      </w:r>
    </w:p>
    <w:p w14:paraId="4112A12F" w14:textId="6DE2492C" w:rsidR="009C336C" w:rsidRPr="00B673D6" w:rsidRDefault="009C336C" w:rsidP="009C336C">
      <w:pPr>
        <w:widowControl w:val="0"/>
        <w:spacing w:before="60"/>
        <w:jc w:val="both"/>
        <w:rPr>
          <w:rFonts w:ascii="Arial" w:hAnsi="Arial" w:cs="Arial"/>
          <w:i/>
          <w:sz w:val="16"/>
          <w:szCs w:val="16"/>
        </w:rPr>
      </w:pPr>
      <w:r w:rsidRPr="00B673D6">
        <w:rPr>
          <w:rFonts w:ascii="Arial" w:eastAsia="Calibri" w:hAnsi="Arial" w:cs="Arial"/>
          <w:i/>
          <w:sz w:val="16"/>
          <w:szCs w:val="16"/>
          <w:u w:val="single"/>
        </w:rPr>
        <w:t>Abbreviations and BOE Presentation</w:t>
      </w:r>
      <w:r w:rsidRPr="00B673D6">
        <w:rPr>
          <w:rFonts w:ascii="Arial" w:eastAsia="Calibri" w:hAnsi="Arial" w:cs="Arial"/>
          <w:i/>
          <w:sz w:val="16"/>
          <w:szCs w:val="16"/>
        </w:rPr>
        <w:t xml:space="preserve">: </w:t>
      </w:r>
      <w:r w:rsidRPr="00B673D6">
        <w:rPr>
          <w:rFonts w:ascii="Arial" w:hAnsi="Arial" w:cs="Arial"/>
          <w:i/>
          <w:sz w:val="16"/>
          <w:szCs w:val="16"/>
        </w:rPr>
        <w:t>“bbl” means barrel;</w:t>
      </w:r>
      <w:r w:rsidRPr="00B673D6">
        <w:rPr>
          <w:rFonts w:ascii="Arial" w:eastAsia="Calibri" w:hAnsi="Arial" w:cs="Arial"/>
          <w:i/>
          <w:sz w:val="16"/>
          <w:szCs w:val="16"/>
        </w:rPr>
        <w:t xml:space="preserve"> </w:t>
      </w:r>
      <w:r w:rsidRPr="00B673D6">
        <w:rPr>
          <w:rFonts w:ascii="Arial" w:hAnsi="Arial" w:cs="Arial"/>
          <w:i/>
          <w:sz w:val="16"/>
          <w:szCs w:val="16"/>
        </w:rPr>
        <w:t>“</w:t>
      </w:r>
      <w:r w:rsidRPr="00B673D6">
        <w:rPr>
          <w:rFonts w:ascii="Arial" w:eastAsia="Calibri" w:hAnsi="Arial" w:cs="Arial"/>
          <w:i/>
          <w:sz w:val="16"/>
          <w:szCs w:val="16"/>
        </w:rPr>
        <w:t>bbls</w:t>
      </w:r>
      <w:r w:rsidRPr="00B673D6">
        <w:rPr>
          <w:rFonts w:ascii="Arial" w:hAnsi="Arial" w:cs="Arial"/>
          <w:i/>
          <w:sz w:val="16"/>
          <w:szCs w:val="16"/>
        </w:rPr>
        <w:t>”</w:t>
      </w:r>
      <w:r w:rsidRPr="00B673D6">
        <w:rPr>
          <w:rFonts w:ascii="Arial" w:eastAsia="Calibri" w:hAnsi="Arial"/>
          <w:i/>
          <w:sz w:val="16"/>
          <w:szCs w:val="16"/>
        </w:rPr>
        <w:t xml:space="preserve"> means barrels; </w:t>
      </w:r>
      <w:r w:rsidRPr="00B673D6">
        <w:rPr>
          <w:rFonts w:ascii="Arial" w:hAnsi="Arial" w:cs="Arial"/>
          <w:i/>
          <w:sz w:val="16"/>
          <w:szCs w:val="16"/>
        </w:rPr>
        <w:t>“</w:t>
      </w:r>
      <w:r w:rsidRPr="00B673D6">
        <w:rPr>
          <w:rFonts w:ascii="Arial" w:eastAsia="Calibri" w:hAnsi="Arial" w:cs="Arial"/>
          <w:i/>
          <w:sz w:val="16"/>
          <w:szCs w:val="16"/>
        </w:rPr>
        <w:t>BOE</w:t>
      </w:r>
      <w:r w:rsidRPr="00B673D6">
        <w:rPr>
          <w:rFonts w:ascii="Arial" w:hAnsi="Arial" w:cs="Arial"/>
          <w:i/>
          <w:sz w:val="16"/>
          <w:szCs w:val="16"/>
        </w:rPr>
        <w:t>”</w:t>
      </w:r>
      <w:r w:rsidRPr="00B673D6">
        <w:rPr>
          <w:rFonts w:ascii="Arial" w:eastAsia="Calibri" w:hAnsi="Arial" w:cs="Arial"/>
          <w:i/>
          <w:sz w:val="16"/>
          <w:szCs w:val="16"/>
        </w:rPr>
        <w:t xml:space="preserve"> means barrels of oil equivalent; </w:t>
      </w:r>
      <w:r w:rsidRPr="00B673D6">
        <w:rPr>
          <w:rFonts w:ascii="Arial" w:hAnsi="Arial" w:cs="Arial"/>
          <w:i/>
          <w:sz w:val="16"/>
          <w:szCs w:val="16"/>
        </w:rPr>
        <w:t>“</w:t>
      </w:r>
      <w:r w:rsidRPr="00B673D6">
        <w:rPr>
          <w:rFonts w:ascii="Arial" w:eastAsia="Calibri" w:hAnsi="Arial" w:cs="Arial"/>
          <w:i/>
          <w:sz w:val="16"/>
          <w:szCs w:val="16"/>
        </w:rPr>
        <w:t xml:space="preserve">mcf” means thousand cubic feet; </w:t>
      </w:r>
      <w:r w:rsidRPr="00B673D6">
        <w:rPr>
          <w:rFonts w:ascii="Arial" w:hAnsi="Arial" w:cs="Arial"/>
          <w:i/>
          <w:sz w:val="16"/>
          <w:szCs w:val="16"/>
        </w:rPr>
        <w:t>“</w:t>
      </w:r>
      <w:r w:rsidRPr="00B673D6">
        <w:rPr>
          <w:rFonts w:ascii="Arial" w:eastAsia="Calibri" w:hAnsi="Arial" w:cs="Arial"/>
          <w:i/>
          <w:sz w:val="16"/>
          <w:szCs w:val="16"/>
        </w:rPr>
        <w:t>NGL</w:t>
      </w:r>
      <w:r w:rsidRPr="00B673D6">
        <w:rPr>
          <w:rFonts w:ascii="Arial" w:hAnsi="Arial" w:cs="Arial"/>
          <w:i/>
          <w:sz w:val="16"/>
          <w:szCs w:val="16"/>
        </w:rPr>
        <w:t>”</w:t>
      </w:r>
      <w:r w:rsidRPr="00B673D6">
        <w:rPr>
          <w:rFonts w:ascii="Arial" w:eastAsia="Calibri" w:hAnsi="Arial" w:cs="Arial"/>
          <w:i/>
          <w:sz w:val="16"/>
          <w:szCs w:val="16"/>
        </w:rPr>
        <w:t xml:space="preserve"> means natural gas liquids;</w:t>
      </w:r>
      <w:r w:rsidR="00EC1BEE">
        <w:rPr>
          <w:rFonts w:ascii="Arial" w:eastAsia="Calibri" w:hAnsi="Arial" w:cs="Arial"/>
          <w:i/>
          <w:sz w:val="16"/>
          <w:szCs w:val="16"/>
        </w:rPr>
        <w:t xml:space="preserve"> and</w:t>
      </w:r>
      <w:r w:rsidRPr="00B673D6">
        <w:rPr>
          <w:rFonts w:ascii="Arial" w:eastAsia="Calibri" w:hAnsi="Arial"/>
          <w:i/>
          <w:sz w:val="16"/>
          <w:szCs w:val="16"/>
        </w:rPr>
        <w:t xml:space="preserve"> </w:t>
      </w:r>
      <w:r w:rsidRPr="00B673D6">
        <w:rPr>
          <w:rFonts w:ascii="Arial" w:hAnsi="Arial" w:cs="Arial"/>
          <w:i/>
          <w:sz w:val="16"/>
          <w:szCs w:val="16"/>
        </w:rPr>
        <w:t>“</w:t>
      </w:r>
      <w:r w:rsidRPr="00B673D6">
        <w:rPr>
          <w:rFonts w:ascii="Arial" w:eastAsia="Calibri" w:hAnsi="Arial"/>
          <w:i/>
          <w:sz w:val="16"/>
          <w:szCs w:val="16"/>
        </w:rPr>
        <w:t>UTE</w:t>
      </w:r>
      <w:r w:rsidRPr="00B673D6">
        <w:rPr>
          <w:rFonts w:ascii="Arial" w:hAnsi="Arial" w:cs="Arial"/>
          <w:i/>
          <w:sz w:val="16"/>
          <w:szCs w:val="16"/>
        </w:rPr>
        <w:t>”</w:t>
      </w:r>
      <w:r w:rsidRPr="00B673D6">
        <w:rPr>
          <w:rFonts w:ascii="Arial" w:eastAsia="Calibri" w:hAnsi="Arial"/>
          <w:i/>
          <w:sz w:val="16"/>
          <w:szCs w:val="16"/>
        </w:rPr>
        <w:t xml:space="preserve"> </w:t>
      </w:r>
      <w:r w:rsidRPr="00B673D6">
        <w:rPr>
          <w:rFonts w:ascii="Arial" w:eastAsia="Calibri" w:hAnsi="Arial" w:cs="Arial"/>
          <w:i/>
          <w:sz w:val="16"/>
          <w:szCs w:val="16"/>
        </w:rPr>
        <w:t xml:space="preserve">means </w:t>
      </w:r>
      <w:r w:rsidRPr="00B673D6">
        <w:rPr>
          <w:rFonts w:ascii="Arial" w:hAnsi="Arial" w:cs="Arial"/>
          <w:i/>
          <w:sz w:val="16"/>
          <w:szCs w:val="16"/>
        </w:rPr>
        <w:t>Union Transitoria de Empresas, which is a registered joint venture contract established under the laws of Argentina.</w:t>
      </w:r>
      <w:r w:rsidRPr="00B673D6">
        <w:rPr>
          <w:rFonts w:ascii="Arial" w:eastAsia="Calibri" w:hAnsi="Arial" w:cs="Arial"/>
          <w:i/>
          <w:sz w:val="16"/>
          <w:szCs w:val="16"/>
        </w:rPr>
        <w:t xml:space="preserve"> </w:t>
      </w:r>
      <w:r w:rsidRPr="00B673D6">
        <w:rPr>
          <w:rFonts w:ascii="Arial" w:hAnsi="Arial" w:cs="Arial"/>
          <w:i/>
          <w:sz w:val="16"/>
          <w:szCs w:val="16"/>
        </w:rPr>
        <w:t>All BOE conversions in this press release are derived by converting natural gas to oil in the ratio of six mcf of gas to one bbl of oil.  BOE may be misleading, particularly if used in isolation.  A BOE conversion ratio of six mcf of gas to one bbl of oil (6 mcf: 1 bbl) is based on an energy equivalency conversion method primarily applicable at the burner tip and does not represent a value equivalency at the wellhead.  Given that the value ratio based on the price of crude oil as compared to natural gas in Argentina from time to time may be different from the energy equivalency conversion ratio of 6:1, utilizing a conversion on a 6:1 basis may be misleading as an indication of value.</w:t>
      </w:r>
    </w:p>
    <w:p w14:paraId="02BE5F72" w14:textId="493DD76B" w:rsidR="009C336C" w:rsidRPr="00B673D6" w:rsidRDefault="009C336C" w:rsidP="009C336C">
      <w:pPr>
        <w:pStyle w:val="Ne3"/>
        <w:widowControl w:val="0"/>
        <w:spacing w:before="60" w:line="240" w:lineRule="auto"/>
        <w:ind w:left="0"/>
        <w:rPr>
          <w:color w:val="FF0000"/>
          <w:sz w:val="16"/>
          <w:szCs w:val="16"/>
        </w:rPr>
      </w:pPr>
      <w:bookmarkStart w:id="3" w:name="_Hlk150355452"/>
      <w:bookmarkStart w:id="4" w:name="_Hlk118884858"/>
      <w:r w:rsidRPr="00B673D6">
        <w:rPr>
          <w:rFonts w:eastAsia="Calibri" w:cs="Arial"/>
          <w:i/>
          <w:sz w:val="16"/>
          <w:szCs w:val="16"/>
          <w:u w:val="single"/>
        </w:rPr>
        <w:t>Forward-looking Information</w:t>
      </w:r>
      <w:r w:rsidRPr="00B673D6">
        <w:rPr>
          <w:rFonts w:eastAsia="Calibri" w:cs="Arial"/>
          <w:i/>
          <w:sz w:val="16"/>
          <w:szCs w:val="16"/>
        </w:rPr>
        <w:t xml:space="preserve">: </w:t>
      </w:r>
      <w:r w:rsidRPr="00B673D6">
        <w:rPr>
          <w:rFonts w:cs="Arial"/>
          <w:i/>
          <w:sz w:val="16"/>
          <w:szCs w:val="16"/>
        </w:rPr>
        <w:t>This document contains forward-looking information.  This information relates to future events and the Company’s future performance.  All information and statements contained herein that are not clearly historical in nature constitute forward-looking information</w:t>
      </w:r>
      <w:r w:rsidR="00EC1BEE">
        <w:rPr>
          <w:rFonts w:cs="Arial"/>
          <w:i/>
          <w:sz w:val="16"/>
          <w:szCs w:val="16"/>
        </w:rPr>
        <w:t>, and the words "may", "will", "should", "could", "expect", "plan", "intend", "anticipate", "believe", "estimate", "propose", "predict", "potential", "continue", "aim", "project", "outlook" or the negative of these terms or other comparable terminology are generally intended to identify forward-looking information</w:t>
      </w:r>
      <w:r w:rsidRPr="00B673D6">
        <w:rPr>
          <w:rFonts w:cs="Arial"/>
          <w:i/>
          <w:sz w:val="16"/>
          <w:szCs w:val="16"/>
        </w:rPr>
        <w:t>.  Such information represents th</w:t>
      </w:r>
      <w:r w:rsidRPr="00B673D6">
        <w:rPr>
          <w:i/>
          <w:sz w:val="16"/>
          <w:szCs w:val="16"/>
        </w:rPr>
        <w:t xml:space="preserve">e Company’s internal projections, estimates, expectations, beliefs, plans, objectives, assumptions, intentions or statements about future events or performance.  This information involves known or unknown risks, uncertainties and other factors that may cause actual results or events to differ materially from those anticipated in such forward-looking information.  In addition, this document may contain forward-looking information attributed to third party industry sources.  Crown Point believes that the expectations reflected in this forward-looking information are </w:t>
      </w:r>
      <w:r w:rsidRPr="00B673D6">
        <w:rPr>
          <w:i/>
          <w:sz w:val="16"/>
          <w:szCs w:val="16"/>
        </w:rPr>
        <w:lastRenderedPageBreak/>
        <w:t xml:space="preserve">reasonable; however, undue reliance should not be placed on this forward-looking information, as there can be no assurance that the plans, intentions or expectations upon which they are based will occur. This press release contains forward-looking information concerning, among other things, the following: </w:t>
      </w:r>
      <w:r w:rsidR="00EC1BEE">
        <w:rPr>
          <w:i/>
          <w:sz w:val="16"/>
          <w:szCs w:val="16"/>
        </w:rPr>
        <w:t xml:space="preserve">the Company's focus, the term of the CLL Permit, </w:t>
      </w:r>
      <w:r w:rsidRPr="00B673D6">
        <w:rPr>
          <w:i/>
          <w:sz w:val="16"/>
          <w:szCs w:val="16"/>
        </w:rPr>
        <w:t>our capital expenditure budget for fiscal 202</w:t>
      </w:r>
      <w:r>
        <w:rPr>
          <w:i/>
          <w:sz w:val="16"/>
          <w:szCs w:val="16"/>
        </w:rPr>
        <w:t>6</w:t>
      </w:r>
      <w:r w:rsidRPr="00B673D6">
        <w:rPr>
          <w:i/>
          <w:sz w:val="16"/>
          <w:szCs w:val="16"/>
        </w:rPr>
        <w:t xml:space="preserve">, </w:t>
      </w:r>
      <w:r w:rsidR="00EC1BEE">
        <w:rPr>
          <w:i/>
          <w:sz w:val="16"/>
          <w:szCs w:val="16"/>
        </w:rPr>
        <w:t xml:space="preserve">the allocation of such capital expenditures that we intend to make on our concessions during 2026, </w:t>
      </w:r>
      <w:r w:rsidRPr="00B673D6">
        <w:rPr>
          <w:i/>
          <w:sz w:val="16"/>
          <w:szCs w:val="16"/>
        </w:rPr>
        <w:t xml:space="preserve">and the </w:t>
      </w:r>
      <w:r w:rsidR="000A74AE">
        <w:rPr>
          <w:i/>
          <w:sz w:val="16"/>
          <w:szCs w:val="16"/>
        </w:rPr>
        <w:t>operations</w:t>
      </w:r>
      <w:r w:rsidRPr="00B673D6">
        <w:rPr>
          <w:i/>
          <w:sz w:val="16"/>
          <w:szCs w:val="16"/>
        </w:rPr>
        <w:t xml:space="preserve"> that we intend to </w:t>
      </w:r>
      <w:r w:rsidR="000A74AE">
        <w:rPr>
          <w:i/>
          <w:sz w:val="16"/>
          <w:szCs w:val="16"/>
        </w:rPr>
        <w:t>conduct on each of</w:t>
      </w:r>
      <w:r>
        <w:rPr>
          <w:i/>
          <w:sz w:val="16"/>
          <w:szCs w:val="16"/>
        </w:rPr>
        <w:t xml:space="preserve"> </w:t>
      </w:r>
      <w:r w:rsidRPr="00B673D6">
        <w:rPr>
          <w:i/>
          <w:sz w:val="16"/>
          <w:szCs w:val="16"/>
        </w:rPr>
        <w:t xml:space="preserve">our concessions during such period. The reader is cautioned that such information, although considered reasonable by the Company, may prove to be incorrect. Actual results achieved during the forecast period will vary from the information provided in this document as a result of numerous known and unknown risks and uncertainties and other factors. A number of risks and other factors could cause actual results to differ materially from those expressed in the forward-looking information contained in this document including, but not limited to, the following: </w:t>
      </w:r>
      <w:r w:rsidRPr="00B673D6">
        <w:rPr>
          <w:rFonts w:eastAsia="Arial" w:cs="Arial"/>
          <w:i/>
          <w:color w:val="000000"/>
          <w:sz w:val="16"/>
          <w:szCs w:val="16"/>
        </w:rPr>
        <w:t>that the tariffs imposed or threatened to be imposed by the U.S. on other countries, and retaliatory tariffs imposed or threatened to be imposed by other countries on the U.S., will trigger a broader global trade war which could have a material adverse effect on global economies, and by extension the Argentine oil and natural gas industry and the Company, including by decreasing demand for (and the price of) oil and natural gas, disrupting supply chains, increasing costs, causing volatility in global financial markets, and limiting access to (and/or increasing the cost of) financing;</w:t>
      </w:r>
      <w:r w:rsidRPr="00B673D6">
        <w:rPr>
          <w:rFonts w:cs="Arial"/>
          <w:i/>
          <w:spacing w:val="5"/>
          <w:sz w:val="16"/>
          <w:szCs w:val="16"/>
        </w:rPr>
        <w:t xml:space="preserve"> that </w:t>
      </w:r>
      <w:r w:rsidRPr="00B673D6">
        <w:rPr>
          <w:i/>
          <w:sz w:val="16"/>
          <w:szCs w:val="16"/>
        </w:rPr>
        <w:t xml:space="preserve">the Company is not able to meet its obligations as they become due; risks associated with the insolvency and/or bankruptcy of our joint venture partners and/or the operators of the concessions in which we have an interest, including the risk that any such insolvency and/or bankruptcy has an adverse effect on one of our UTEs, one of our concessions and/or the Company; </w:t>
      </w:r>
      <w:r w:rsidRPr="00B673D6">
        <w:rPr>
          <w:rFonts w:cs="Arial"/>
          <w:i/>
          <w:spacing w:val="5"/>
          <w:sz w:val="16"/>
          <w:szCs w:val="16"/>
        </w:rPr>
        <w:t xml:space="preserve">and </w:t>
      </w:r>
      <w:r w:rsidRPr="00B673D6">
        <w:rPr>
          <w:i/>
          <w:sz w:val="16"/>
          <w:szCs w:val="16"/>
        </w:rPr>
        <w:t xml:space="preserve">the risks and other factors described under “Business Risks and Uncertainties” in our </w:t>
      </w:r>
      <w:r w:rsidR="00E178E3">
        <w:rPr>
          <w:i/>
          <w:sz w:val="16"/>
          <w:szCs w:val="16"/>
        </w:rPr>
        <w:t xml:space="preserve">most recently filed </w:t>
      </w:r>
      <w:r w:rsidRPr="00B673D6">
        <w:rPr>
          <w:i/>
          <w:sz w:val="16"/>
          <w:szCs w:val="16"/>
        </w:rPr>
        <w:t xml:space="preserve">MD&amp;A and under “Risk Factors” in the Company’s most recently filed Annual Information Form, which is available for viewing on SEDAR+ at </w:t>
      </w:r>
      <w:hyperlink r:id="rId15" w:history="1">
        <w:r w:rsidRPr="00B673D6">
          <w:rPr>
            <w:rStyle w:val="Hyperlink"/>
            <w:i/>
            <w:color w:val="auto"/>
            <w:sz w:val="16"/>
            <w:szCs w:val="16"/>
          </w:rPr>
          <w:t>www.sedarplus.ca</w:t>
        </w:r>
      </w:hyperlink>
      <w:r w:rsidRPr="00B673D6">
        <w:rPr>
          <w:i/>
          <w:sz w:val="16"/>
          <w:szCs w:val="16"/>
        </w:rPr>
        <w:t xml:space="preserve">.  With respect to forward-looking information contained in this document, the Company has made assumptions regarding, among other things: </w:t>
      </w:r>
      <w:r w:rsidRPr="00B673D6">
        <w:rPr>
          <w:rFonts w:cs="Arial"/>
          <w:i/>
          <w:sz w:val="16"/>
          <w:szCs w:val="16"/>
        </w:rPr>
        <w:t>the ability and willingness of OPEC+ nations and other major producers of crude oil to balance crude oil production levels and thereby sustain higher global crude oil prices; that our joint venture partners and the operators of our concessions that we do not operate will honour their contractual commitments in a timely fashion and will not become insolvent or bankrupt; the impact of inflation rates in Argentina and the devaluation of the Argentine peso against the USD on the Company; the impact of increasing competition; the general stability of the economic and political environment in which the Company operates, including operating under</w:t>
      </w:r>
      <w:r w:rsidRPr="00B673D6">
        <w:rPr>
          <w:i/>
          <w:sz w:val="16"/>
          <w:szCs w:val="16"/>
        </w:rPr>
        <w:t xml:space="preserve"> a consistent regulatory and legal framework in Argentina; future oil, natural gas and NGL prices (including the effects of governmental incentive programs and government price controls thereon); the timely receipt of any required regulatory approvals; the ability of the Company to obtain qualified staff, equipment and services in a timely and cost efficient manner; drilling results; the costs of obtaining equipment and personnel to complete the Company’s capital expenditure program; the ability to operate the projects in which the Company has an interest in a safe, efficient and effective manner; that the Company will not pay dividends for the foreseeable future; the ability of the Company to obtain financing on acceptable terms when and if needed; the ability of the Company to service its debt repayments when required; field production rates and decline rates; the ability to replace and expand oil and natural gas reserves through acquisition, development and exploration activities; the timing and costs of pipeline, storage and facility construction and expansion and the ability of the Company to secure adequate product transportation; currency, exchange, inflation and interest rates; the regulatory framework regarding royalties, taxes and environmental matters in Argentina; and the ability of the Company to successfully market its oil and natural gas products.  Management of Crown Point has included the above summary of assumptions and risks related to forward-looking information included in this document in order to provide investors with a more complete perspective on the Company’s future operations.  Readers are cautioned that this information may not </w:t>
      </w:r>
      <w:r w:rsidRPr="00B673D6">
        <w:rPr>
          <w:rFonts w:cs="Arial"/>
          <w:i/>
          <w:sz w:val="16"/>
          <w:szCs w:val="16"/>
        </w:rPr>
        <w:t>be appropriate for other purposes. Readers are cautioned that the foregoing lists of factors are not exhaustive.  The forward-looking information contained in this document are expressly qualified by this cautionary statement. The forward-looking information contained herein is made as of the date of this document and the Company disclaims any intent or obligation to update publicly any such forward-looking information, whether as a result of new information, future events or results or otherwise, other than as required by applicable Canadian securities laws.</w:t>
      </w:r>
      <w:bookmarkEnd w:id="3"/>
    </w:p>
    <w:bookmarkEnd w:id="4"/>
    <w:p w14:paraId="5C6043F2" w14:textId="77777777" w:rsidR="009C336C" w:rsidRPr="00127416" w:rsidRDefault="009C336C" w:rsidP="009C336C">
      <w:pPr>
        <w:widowControl w:val="0"/>
        <w:spacing w:before="60"/>
        <w:jc w:val="both"/>
        <w:rPr>
          <w:rFonts w:ascii="Arial" w:hAnsi="Arial"/>
          <w:b/>
          <w:i/>
          <w:sz w:val="14"/>
        </w:rPr>
      </w:pPr>
      <w:r w:rsidRPr="00B673D6">
        <w:rPr>
          <w:rFonts w:ascii="Arial" w:hAnsi="Arial"/>
          <w:b/>
          <w:i/>
          <w:sz w:val="16"/>
          <w:szCs w:val="16"/>
        </w:rPr>
        <w:t>Neither TSX Venture Exchange nor its Regulation Services Provider (as that term is defined in the policies of the TSX Venture Exchange) accepts responsibility for the adequacy or accuracy of this news release.</w:t>
      </w:r>
    </w:p>
    <w:p w14:paraId="2E586AC5" w14:textId="0EEB79FB" w:rsidR="00CA24A5" w:rsidRPr="00127416" w:rsidRDefault="00CA24A5" w:rsidP="009C336C">
      <w:pPr>
        <w:widowControl w:val="0"/>
        <w:rPr>
          <w:b/>
          <w:i/>
          <w:sz w:val="14"/>
        </w:rPr>
      </w:pPr>
    </w:p>
    <w:sectPr w:rsidR="00CA24A5" w:rsidRPr="00127416" w:rsidSect="00FD2E1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170" w:left="1440" w:header="360" w:footer="3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2B1A" w14:textId="77777777" w:rsidR="00D14954" w:rsidRDefault="00D14954" w:rsidP="00451CF4">
      <w:r>
        <w:separator/>
      </w:r>
    </w:p>
  </w:endnote>
  <w:endnote w:type="continuationSeparator" w:id="0">
    <w:p w14:paraId="1E774CC7" w14:textId="77777777" w:rsidR="00D14954" w:rsidRDefault="00D14954" w:rsidP="00451CF4">
      <w:r>
        <w:continuationSeparator/>
      </w:r>
    </w:p>
  </w:endnote>
  <w:endnote w:type="continuationNotice" w:id="1">
    <w:p w14:paraId="7D5D8602" w14:textId="77777777" w:rsidR="00D14954" w:rsidRDefault="00D14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EngravrsRoman BT">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2F01" w14:textId="77777777" w:rsidR="008843BC" w:rsidRDefault="00884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2F7C" w14:textId="77777777" w:rsidR="00184829" w:rsidRDefault="00184829" w:rsidP="00F768A1">
    <w:pPr>
      <w:pStyle w:val="Footer"/>
      <w:jc w:val="center"/>
      <w:rPr>
        <w:rFonts w:ascii="Arial Narrow" w:hAnsi="Arial Narrow"/>
        <w:color w:val="002060"/>
        <w:sz w:val="20"/>
        <w:szCs w:val="20"/>
        <w:lang w:val="fr-CA"/>
      </w:rPr>
    </w:pPr>
    <w:r>
      <w:rPr>
        <w:rFonts w:ascii="Arial Narrow" w:hAnsi="Arial Narrow"/>
        <w:color w:val="002060"/>
        <w:sz w:val="20"/>
        <w:szCs w:val="20"/>
        <w:lang w:val="fr-CA"/>
      </w:rPr>
      <w:t xml:space="preserve">PO Box 1562 Station M., Calgary, Alberta, Canada T2P 3B9  </w:t>
    </w:r>
    <w:r>
      <w:rPr>
        <w:rFonts w:ascii="Arial Narrow" w:hAnsi="Arial Narrow"/>
        <w:b/>
        <w:color w:val="002060"/>
        <w:sz w:val="20"/>
        <w:szCs w:val="20"/>
        <w:lang w:val="fr-CA"/>
      </w:rPr>
      <w:t>T</w:t>
    </w:r>
    <w:r>
      <w:rPr>
        <w:rFonts w:ascii="Arial Narrow" w:hAnsi="Arial Narrow"/>
        <w:color w:val="002060"/>
        <w:sz w:val="20"/>
        <w:szCs w:val="20"/>
        <w:lang w:val="fr-CA"/>
      </w:rPr>
      <w:t xml:space="preserve"> 403.232.1150  </w:t>
    </w:r>
    <w:r>
      <w:rPr>
        <w:rFonts w:ascii="Arial Narrow" w:hAnsi="Arial Narrow"/>
        <w:b/>
        <w:color w:val="002060"/>
        <w:sz w:val="20"/>
        <w:szCs w:val="20"/>
        <w:lang w:val="fr-CA"/>
      </w:rPr>
      <w:t>F</w:t>
    </w:r>
    <w:r>
      <w:rPr>
        <w:rFonts w:ascii="Arial Narrow" w:hAnsi="Arial Narrow"/>
        <w:color w:val="002060"/>
        <w:sz w:val="20"/>
        <w:szCs w:val="20"/>
        <w:lang w:val="fr-CA"/>
      </w:rPr>
      <w:t xml:space="preserve">  403.232.1158</w:t>
    </w:r>
  </w:p>
  <w:p w14:paraId="4D32682F" w14:textId="77777777" w:rsidR="00184829" w:rsidRDefault="00184829" w:rsidP="00F768A1">
    <w:pPr>
      <w:pStyle w:val="Footer"/>
      <w:jc w:val="center"/>
      <w:rPr>
        <w:rFonts w:ascii="Arial Narrow" w:hAnsi="Arial Narrow"/>
        <w:b/>
        <w:color w:val="002060"/>
        <w:sz w:val="20"/>
        <w:szCs w:val="20"/>
        <w:lang w:val="fr-CA"/>
      </w:rPr>
    </w:pPr>
    <w:r>
      <w:rPr>
        <w:rFonts w:ascii="Arial Narrow" w:hAnsi="Arial Narrow"/>
        <w:b/>
        <w:color w:val="002060"/>
        <w:sz w:val="20"/>
        <w:szCs w:val="20"/>
        <w:lang w:val="fr-CA"/>
      </w:rPr>
      <w:t>www.crownpointenergy.com</w:t>
    </w:r>
  </w:p>
  <w:p w14:paraId="21D3BF7F" w14:textId="77777777" w:rsidR="00184829" w:rsidRPr="005E10D3" w:rsidRDefault="00184829" w:rsidP="00FD5D14">
    <w:pPr>
      <w:pStyle w:val="Footer"/>
      <w:spacing w:line="200" w:lineRule="exact"/>
      <w:rPr>
        <w:rFonts w:ascii="Arial Narrow" w:hAnsi="Arial Narrow"/>
        <w:b/>
        <w:color w:val="002060"/>
        <w:sz w:val="20"/>
        <w:szCs w:val="20"/>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F77C" w14:textId="77777777" w:rsidR="008843BC" w:rsidRDefault="00884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E6C8B" w14:textId="77777777" w:rsidR="00D14954" w:rsidRDefault="00D14954" w:rsidP="00451CF4">
      <w:r>
        <w:separator/>
      </w:r>
    </w:p>
  </w:footnote>
  <w:footnote w:type="continuationSeparator" w:id="0">
    <w:p w14:paraId="3DFDD92B" w14:textId="77777777" w:rsidR="00D14954" w:rsidRDefault="00D14954" w:rsidP="00451CF4">
      <w:r>
        <w:continuationSeparator/>
      </w:r>
    </w:p>
  </w:footnote>
  <w:footnote w:type="continuationNotice" w:id="1">
    <w:p w14:paraId="4C650DEA" w14:textId="77777777" w:rsidR="00D14954" w:rsidRDefault="00D14954"/>
  </w:footnote>
  <w:footnote w:id="2">
    <w:p w14:paraId="43E86C10" w14:textId="0AD30157" w:rsidR="00BE51FA" w:rsidRPr="00BE51FA" w:rsidRDefault="00BE51FA">
      <w:pPr>
        <w:pStyle w:val="FootnoteText"/>
        <w:rPr>
          <w:rFonts w:ascii="Arial" w:hAnsi="Arial" w:cs="Arial"/>
          <w:sz w:val="16"/>
          <w:szCs w:val="16"/>
        </w:rPr>
      </w:pPr>
      <w:r>
        <w:rPr>
          <w:rStyle w:val="FootnoteReference"/>
        </w:rPr>
        <w:footnoteRef/>
      </w:r>
      <w:r>
        <w:t xml:space="preserve"> </w:t>
      </w:r>
      <w:r>
        <w:rPr>
          <w:rFonts w:ascii="Arial" w:hAnsi="Arial" w:cs="Arial"/>
          <w:sz w:val="16"/>
          <w:szCs w:val="16"/>
        </w:rPr>
        <w:t>See "Results of Operations – Sales Volumes".</w:t>
      </w:r>
    </w:p>
  </w:footnote>
  <w:footnote w:id="3">
    <w:p w14:paraId="79425487" w14:textId="1E0BFC2D" w:rsidR="00BE51FA" w:rsidRDefault="00BE51FA">
      <w:pPr>
        <w:pStyle w:val="FootnoteText"/>
      </w:pPr>
      <w:r>
        <w:rPr>
          <w:rStyle w:val="FootnoteReference"/>
        </w:rPr>
        <w:footnoteRef/>
      </w:r>
      <w:r>
        <w:t xml:space="preserve"> </w:t>
      </w:r>
      <w:r>
        <w:rPr>
          <w:rFonts w:ascii="Arial" w:hAnsi="Arial" w:cs="Arial"/>
          <w:sz w:val="16"/>
          <w:szCs w:val="16"/>
        </w:rPr>
        <w:t>See "Results of Operations – Sales Volumes".</w:t>
      </w:r>
    </w:p>
  </w:footnote>
  <w:footnote w:id="4">
    <w:p w14:paraId="2519C5DA" w14:textId="3A9B8003" w:rsidR="002D3101" w:rsidRPr="006865E7" w:rsidRDefault="002D3101" w:rsidP="002D3101">
      <w:pPr>
        <w:pStyle w:val="FootnoteText"/>
        <w:rPr>
          <w:rFonts w:ascii="Arial" w:hAnsi="Arial" w:cs="Arial"/>
          <w:sz w:val="16"/>
          <w:szCs w:val="16"/>
          <w:lang w:val="en-CA"/>
        </w:rPr>
      </w:pPr>
      <w:r>
        <w:rPr>
          <w:rStyle w:val="FootnoteReference"/>
          <w:rFonts w:ascii="Arial" w:hAnsi="Arial" w:cs="Arial"/>
          <w:sz w:val="16"/>
          <w:szCs w:val="16"/>
        </w:rPr>
        <w:footnoteRef/>
      </w:r>
      <w:r>
        <w:rPr>
          <w:rFonts w:ascii="Arial" w:hAnsi="Arial" w:cs="Arial"/>
          <w:sz w:val="16"/>
          <w:szCs w:val="16"/>
        </w:rPr>
        <w:t xml:space="preserve"> Non-IFRS ratio.  See "Non-IFRS and Other Financial Measures".</w:t>
      </w:r>
    </w:p>
  </w:footnote>
  <w:footnote w:id="5">
    <w:p w14:paraId="68C7F7B0" w14:textId="77777777" w:rsidR="002D3101" w:rsidRPr="00666006" w:rsidRDefault="002D3101" w:rsidP="002D3101">
      <w:pPr>
        <w:pStyle w:val="FootnoteText"/>
        <w:rPr>
          <w:rFonts w:ascii="Arial" w:hAnsi="Arial" w:cs="Arial"/>
          <w:sz w:val="14"/>
          <w:szCs w:val="14"/>
          <w:lang w:val="en-CA"/>
        </w:rPr>
      </w:pPr>
      <w:r>
        <w:rPr>
          <w:rStyle w:val="FootnoteReference"/>
          <w:rFonts w:ascii="Arial" w:hAnsi="Arial" w:cs="Arial"/>
          <w:sz w:val="16"/>
          <w:szCs w:val="16"/>
        </w:rPr>
        <w:footnoteRef/>
      </w:r>
      <w:r>
        <w:rPr>
          <w:rFonts w:ascii="Arial" w:hAnsi="Arial" w:cs="Arial"/>
          <w:sz w:val="16"/>
          <w:szCs w:val="16"/>
        </w:rPr>
        <w:t xml:space="preserve"> Capital management measure.  See "Non-IFRS and Other Financial Measures".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0900" w14:textId="77777777" w:rsidR="008843BC" w:rsidRDefault="00884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26AE6" w14:textId="77777777" w:rsidR="00184829" w:rsidRDefault="00184829" w:rsidP="00451CF4">
    <w:pPr>
      <w:pStyle w:val="Header"/>
      <w:ind w:left="540" w:hanging="540"/>
      <w:jc w:val="right"/>
    </w:pPr>
    <w:r>
      <w:rPr>
        <w:noProof/>
      </w:rPr>
      <w:drawing>
        <wp:inline distT="0" distB="0" distL="0" distR="0" wp14:anchorId="0D321E76" wp14:editId="56C7433F">
          <wp:extent cx="1697355" cy="1038860"/>
          <wp:effectExtent l="19050" t="0" r="0" b="0"/>
          <wp:docPr id="3" name="Picture 0" descr="CWV_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WV_new logo.jpg"/>
                  <pic:cNvPicPr>
                    <a:picLocks noChangeAspect="1" noChangeArrowheads="1"/>
                  </pic:cNvPicPr>
                </pic:nvPicPr>
                <pic:blipFill>
                  <a:blip r:embed="rId1"/>
                  <a:srcRect t="6818"/>
                  <a:stretch>
                    <a:fillRect/>
                  </a:stretch>
                </pic:blipFill>
                <pic:spPr bwMode="auto">
                  <a:xfrm>
                    <a:off x="0" y="0"/>
                    <a:ext cx="1697355" cy="1038860"/>
                  </a:xfrm>
                  <a:prstGeom prst="rect">
                    <a:avLst/>
                  </a:prstGeom>
                  <a:noFill/>
                  <a:ln w="9525">
                    <a:noFill/>
                    <a:miter lim="800000"/>
                    <a:headEnd/>
                    <a:tailEnd/>
                  </a:ln>
                </pic:spPr>
              </pic:pic>
            </a:graphicData>
          </a:graphic>
        </wp:inline>
      </w:drawing>
    </w:r>
  </w:p>
  <w:p w14:paraId="1CABC8E8" w14:textId="77777777" w:rsidR="00184829" w:rsidRDefault="00184829" w:rsidP="00451CF4">
    <w:pPr>
      <w:pStyle w:val="Header"/>
      <w:ind w:left="540" w:hanging="5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AF04" w14:textId="77777777" w:rsidR="008843BC" w:rsidRDefault="00884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096A"/>
    <w:multiLevelType w:val="hybridMultilevel"/>
    <w:tmpl w:val="6E6CC01C"/>
    <w:lvl w:ilvl="0" w:tplc="50B6EAAC">
      <w:start w:val="1"/>
      <w:numFmt w:val="decimal"/>
      <w:lvlText w:val="(%1)"/>
      <w:lvlJc w:val="left"/>
      <w:pPr>
        <w:ind w:left="534" w:hanging="360"/>
      </w:pPr>
      <w:rPr>
        <w:rFonts w:hint="default"/>
      </w:rPr>
    </w:lvl>
    <w:lvl w:ilvl="1" w:tplc="2C0A0019" w:tentative="1">
      <w:start w:val="1"/>
      <w:numFmt w:val="lowerLetter"/>
      <w:lvlText w:val="%2."/>
      <w:lvlJc w:val="left"/>
      <w:pPr>
        <w:ind w:left="1254" w:hanging="360"/>
      </w:pPr>
    </w:lvl>
    <w:lvl w:ilvl="2" w:tplc="2C0A001B" w:tentative="1">
      <w:start w:val="1"/>
      <w:numFmt w:val="lowerRoman"/>
      <w:lvlText w:val="%3."/>
      <w:lvlJc w:val="right"/>
      <w:pPr>
        <w:ind w:left="1974" w:hanging="180"/>
      </w:pPr>
    </w:lvl>
    <w:lvl w:ilvl="3" w:tplc="2C0A000F" w:tentative="1">
      <w:start w:val="1"/>
      <w:numFmt w:val="decimal"/>
      <w:lvlText w:val="%4."/>
      <w:lvlJc w:val="left"/>
      <w:pPr>
        <w:ind w:left="2694" w:hanging="360"/>
      </w:pPr>
    </w:lvl>
    <w:lvl w:ilvl="4" w:tplc="2C0A0019" w:tentative="1">
      <w:start w:val="1"/>
      <w:numFmt w:val="lowerLetter"/>
      <w:lvlText w:val="%5."/>
      <w:lvlJc w:val="left"/>
      <w:pPr>
        <w:ind w:left="3414" w:hanging="360"/>
      </w:pPr>
    </w:lvl>
    <w:lvl w:ilvl="5" w:tplc="2C0A001B" w:tentative="1">
      <w:start w:val="1"/>
      <w:numFmt w:val="lowerRoman"/>
      <w:lvlText w:val="%6."/>
      <w:lvlJc w:val="right"/>
      <w:pPr>
        <w:ind w:left="4134" w:hanging="180"/>
      </w:pPr>
    </w:lvl>
    <w:lvl w:ilvl="6" w:tplc="2C0A000F" w:tentative="1">
      <w:start w:val="1"/>
      <w:numFmt w:val="decimal"/>
      <w:lvlText w:val="%7."/>
      <w:lvlJc w:val="left"/>
      <w:pPr>
        <w:ind w:left="4854" w:hanging="360"/>
      </w:pPr>
    </w:lvl>
    <w:lvl w:ilvl="7" w:tplc="2C0A0019" w:tentative="1">
      <w:start w:val="1"/>
      <w:numFmt w:val="lowerLetter"/>
      <w:lvlText w:val="%8."/>
      <w:lvlJc w:val="left"/>
      <w:pPr>
        <w:ind w:left="5574" w:hanging="360"/>
      </w:pPr>
    </w:lvl>
    <w:lvl w:ilvl="8" w:tplc="2C0A001B" w:tentative="1">
      <w:start w:val="1"/>
      <w:numFmt w:val="lowerRoman"/>
      <w:lvlText w:val="%9."/>
      <w:lvlJc w:val="right"/>
      <w:pPr>
        <w:ind w:left="6294" w:hanging="180"/>
      </w:pPr>
    </w:lvl>
  </w:abstractNum>
  <w:abstractNum w:abstractNumId="1" w15:restartNumberingAfterBreak="0">
    <w:nsid w:val="0B2B3237"/>
    <w:multiLevelType w:val="multilevel"/>
    <w:tmpl w:val="E2B49FE0"/>
    <w:name w:val="zzmpSecurity||Security|2|3|0|0|0|41||0|0|33||0|0|35||0|0|34||1|0|32||1|0|32||1|0|32||0|0|32||1|0|34||"/>
    <w:lvl w:ilvl="0">
      <w:start w:val="1"/>
      <w:numFmt w:val="none"/>
      <w:lvlRestart w:val="0"/>
      <w:pStyle w:val="SecurityL1"/>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1">
      <w:start w:val="1"/>
      <w:numFmt w:val="none"/>
      <w:lvlRestart w:val="0"/>
      <w:pStyle w:val="SecurityL2"/>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2">
      <w:start w:val="1"/>
      <w:numFmt w:val="none"/>
      <w:lvlRestart w:val="0"/>
      <w:pStyle w:val="SecurityL3"/>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3">
      <w:start w:val="1"/>
      <w:numFmt w:val="none"/>
      <w:lvlRestart w:val="0"/>
      <w:pStyle w:val="SecurityL4"/>
      <w:suff w:val="nothing"/>
      <w:lvlText w:val=""/>
      <w:lvlJc w:val="left"/>
      <w:pPr>
        <w:tabs>
          <w:tab w:val="num" w:pos="1440"/>
        </w:tabs>
        <w:ind w:left="720" w:firstLine="0"/>
      </w:pPr>
      <w:rPr>
        <w:rFonts w:ascii="Times New Roman" w:hAnsi="Times New Roman" w:cs="Times New Roman"/>
        <w:b w:val="0"/>
        <w:i w:val="0"/>
        <w:caps w:val="0"/>
        <w:color w:val="auto"/>
        <w:sz w:val="22"/>
        <w:u w:val="none"/>
      </w:rPr>
    </w:lvl>
    <w:lvl w:ilvl="4">
      <w:start w:val="1"/>
      <w:numFmt w:val="decimal"/>
      <w:pStyle w:val="SecurityL5"/>
      <w:lvlText w:val="%5."/>
      <w:lvlJc w:val="left"/>
      <w:pPr>
        <w:tabs>
          <w:tab w:val="num" w:pos="720"/>
        </w:tabs>
        <w:ind w:left="720" w:hanging="720"/>
      </w:pPr>
      <w:rPr>
        <w:rFonts w:ascii="Times New Roman" w:hAnsi="Times New Roman" w:cs="Times New Roman"/>
        <w:b w:val="0"/>
        <w:i w:val="0"/>
        <w:caps w:val="0"/>
        <w:color w:val="auto"/>
        <w:sz w:val="20"/>
        <w:u w:val="none"/>
      </w:rPr>
    </w:lvl>
    <w:lvl w:ilvl="5">
      <w:start w:val="1"/>
      <w:numFmt w:val="lowerLetter"/>
      <w:pStyle w:val="SecurityL6"/>
      <w:lvlText w:val="(%6)"/>
      <w:lvlJc w:val="left"/>
      <w:pPr>
        <w:tabs>
          <w:tab w:val="num" w:pos="1440"/>
        </w:tabs>
        <w:ind w:left="1440" w:hanging="720"/>
      </w:pPr>
      <w:rPr>
        <w:rFonts w:ascii="Times New Roman" w:hAnsi="Times New Roman" w:cs="Times New Roman"/>
        <w:b w:val="0"/>
        <w:i w:val="0"/>
        <w:caps w:val="0"/>
        <w:color w:val="auto"/>
        <w:sz w:val="20"/>
        <w:u w:val="none"/>
      </w:rPr>
    </w:lvl>
    <w:lvl w:ilvl="6">
      <w:start w:val="1"/>
      <w:numFmt w:val="lowerRoman"/>
      <w:pStyle w:val="SecurityL7"/>
      <w:lvlText w:val="(%7)"/>
      <w:lvlJc w:val="left"/>
      <w:pPr>
        <w:tabs>
          <w:tab w:val="num" w:pos="2160"/>
        </w:tabs>
        <w:ind w:left="2160" w:hanging="720"/>
      </w:pPr>
      <w:rPr>
        <w:rFonts w:ascii="Times New Roman" w:hAnsi="Times New Roman" w:cs="Times New Roman"/>
        <w:b w:val="0"/>
        <w:i w:val="0"/>
        <w:caps w:val="0"/>
        <w:color w:val="auto"/>
        <w:sz w:val="20"/>
        <w:u w:val="none"/>
      </w:rPr>
    </w:lvl>
    <w:lvl w:ilvl="7">
      <w:start w:val="1"/>
      <w:numFmt w:val="none"/>
      <w:lvlRestart w:val="0"/>
      <w:pStyle w:val="SecurityL8"/>
      <w:suff w:val="nothing"/>
      <w:lvlText w:val=""/>
      <w:lvlJc w:val="left"/>
      <w:pPr>
        <w:tabs>
          <w:tab w:val="num" w:pos="720"/>
        </w:tabs>
        <w:ind w:left="0" w:firstLine="0"/>
      </w:pPr>
      <w:rPr>
        <w:rFonts w:ascii="Times New Roman" w:hAnsi="Times New Roman" w:cs="Times New Roman"/>
        <w:b w:val="0"/>
        <w:i w:val="0"/>
        <w:caps w:val="0"/>
        <w:color w:val="auto"/>
        <w:sz w:val="18"/>
        <w:u w:val="none"/>
      </w:rPr>
    </w:lvl>
    <w:lvl w:ilvl="8">
      <w:start w:val="1"/>
      <w:numFmt w:val="decimal"/>
      <w:pStyle w:val="SecurityL9"/>
      <w:lvlText w:val="(%9)"/>
      <w:lvlJc w:val="left"/>
      <w:pPr>
        <w:tabs>
          <w:tab w:val="num" w:pos="720"/>
        </w:tabs>
        <w:ind w:left="720" w:hanging="720"/>
      </w:pPr>
      <w:rPr>
        <w:rFonts w:ascii="Times New Roman" w:hAnsi="Times New Roman" w:cs="Times New Roman"/>
        <w:b w:val="0"/>
        <w:i/>
        <w:caps w:val="0"/>
        <w:color w:val="auto"/>
        <w:sz w:val="18"/>
        <w:u w:val="none"/>
      </w:rPr>
    </w:lvl>
  </w:abstractNum>
  <w:abstractNum w:abstractNumId="2" w15:restartNumberingAfterBreak="0">
    <w:nsid w:val="32FE0003"/>
    <w:multiLevelType w:val="hybridMultilevel"/>
    <w:tmpl w:val="59404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C2FCA"/>
    <w:multiLevelType w:val="multilevel"/>
    <w:tmpl w:val="4620B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A9508DC"/>
    <w:multiLevelType w:val="hybridMultilevel"/>
    <w:tmpl w:val="E5A6C3C0"/>
    <w:lvl w:ilvl="0" w:tplc="C224835C">
      <w:start w:val="4"/>
      <w:numFmt w:val="bullet"/>
      <w:lvlText w:val=""/>
      <w:lvlJc w:val="left"/>
      <w:pPr>
        <w:ind w:left="720" w:hanging="36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06095344">
    <w:abstractNumId w:val="1"/>
  </w:num>
  <w:num w:numId="2" w16cid:durableId="412630553">
    <w:abstractNumId w:val="2"/>
  </w:num>
  <w:num w:numId="3" w16cid:durableId="486826908">
    <w:abstractNumId w:val="3"/>
  </w:num>
  <w:num w:numId="4" w16cid:durableId="854729842">
    <w:abstractNumId w:val="2"/>
  </w:num>
  <w:num w:numId="5" w16cid:durableId="1153912817">
    <w:abstractNumId w:val="0"/>
  </w:num>
  <w:num w:numId="6" w16cid:durableId="21909854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s-AR" w:vendorID="64" w:dllVersion="6" w:nlCheck="1" w:checkStyle="0"/>
  <w:activeWritingStyle w:appName="MSWord" w:lang="en-US" w:vendorID="64" w:dllVersion="6" w:nlCheck="1" w:checkStyle="1"/>
  <w:activeWritingStyle w:appName="MSWord" w:lang="en-CA" w:vendorID="64" w:dllVersion="6" w:nlCheck="1" w:checkStyle="1"/>
  <w:activeWritingStyle w:appName="MSWord" w:lang="fr-CA" w:vendorID="64" w:dllVersion="6" w:nlCheck="1" w:checkStyle="0"/>
  <w:activeWritingStyle w:appName="MSWord" w:lang="en-US"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s-AR" w:vendorID="64" w:dllVersion="0" w:nlCheck="1" w:checkStyle="0"/>
  <w:activeWritingStyle w:appName="MSWord" w:lang="en-CA" w:vendorID="64" w:dllVersion="0" w:nlCheck="1" w:checkStyle="0"/>
  <w:activeWritingStyle w:appName="MSWord" w:lang="fr-CA" w:vendorID="64" w:dllVersion="0" w:nlCheck="1" w:checkStyle="0"/>
  <w:activeWritingStyle w:appName="MSWord" w:lang="en-CA" w:vendorID="64" w:dllVersion="4096" w:nlCheck="1" w:checkStyle="0"/>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Ón"/>
    <w:docVar w:name="85TrailerDateField" w:val="~}šÓj"/>
    <w:docVar w:name="85TrailerDraft" w:val="~}¡Óc"/>
    <w:docVar w:name="85TrailerTime" w:val="~}›Ói"/>
    <w:docVar w:name="DMS_Work10" w:val="0~ACTIVE||1~17469215||2~1||3~Press release Q2 2026 - V2 [BDP Comments - August 10, 2026]||5~SWELSH||6~SWELSH||7~WORDX||8~DOCUMENTS||10~8/10/2026 11:23:13 PM||11~8/10/2026 11:23:13 PM||13~412892||14~False||17~public||18~SWELSH||19~SWELSH||21~True||22~True||23~False||25~069295||26~00001||27~317||28~SEC||29~GS||30~ACTIV||60~Crown Point Energy Inc.||61~General Corporate and Securities Matters||62~Oke, Jeffrey T.||63~Securities||64~General Securities||65~Active matter||74~Sylvie Welsh||75~Sylvie Welsh||76~WORD 2007||77~Documents||82~docx||85~8/10/2026 11:23:14 PM||99~1/1/0001 12:00:00 AM||106~C:\Users\swelsh\AppData\Roaming\iManage\Work\Recent\069295-00001-Crown Point Energy Inc.-General Corporate and Securities Matters\Press release Q2 2026 - V2 _BDP Comments - August 10_ 2026_(17469215.1).docx||107~1/1/0001 12:00:00 AM||109~8/10/2026 11:24:53 PM||113~8/10/2026 11:23:13 PM||114~8/10/2026 11:23:13 PM||124~False||"/>
    <w:docVar w:name="DocStamp_1_OptionalControlValues" w:val="~} Ó"/>
    <w:docVar w:name="MPDocID" w:val="~}Óhiknilkjhg"/>
    <w:docVar w:name="MPDocIDTemplate" w:val="~}—Ó"/>
    <w:docVar w:name="MPDocIDTemplateDefault" w:val="~}ŸÓZ¤e]ª"/>
    <w:docVar w:name="NewDocStampType" w:val="~}¢Ói"/>
    <w:docVar w:name="zzmp10NoTrailerPromptID" w:val="ACTIVE.14357758.1"/>
  </w:docVars>
  <w:rsids>
    <w:rsidRoot w:val="00451CF4"/>
    <w:rsid w:val="00002052"/>
    <w:rsid w:val="00002555"/>
    <w:rsid w:val="00002CBC"/>
    <w:rsid w:val="00003873"/>
    <w:rsid w:val="00004044"/>
    <w:rsid w:val="000049E5"/>
    <w:rsid w:val="000064D8"/>
    <w:rsid w:val="00010DF6"/>
    <w:rsid w:val="00010F36"/>
    <w:rsid w:val="00013941"/>
    <w:rsid w:val="00016F54"/>
    <w:rsid w:val="00017090"/>
    <w:rsid w:val="00020D0D"/>
    <w:rsid w:val="0002124D"/>
    <w:rsid w:val="00021565"/>
    <w:rsid w:val="00023706"/>
    <w:rsid w:val="00023BC5"/>
    <w:rsid w:val="00023DBC"/>
    <w:rsid w:val="00025614"/>
    <w:rsid w:val="00025949"/>
    <w:rsid w:val="0002742B"/>
    <w:rsid w:val="000327A2"/>
    <w:rsid w:val="000328AA"/>
    <w:rsid w:val="00033C41"/>
    <w:rsid w:val="00033EA2"/>
    <w:rsid w:val="000359CC"/>
    <w:rsid w:val="000365C5"/>
    <w:rsid w:val="00036D51"/>
    <w:rsid w:val="00040690"/>
    <w:rsid w:val="00040FBA"/>
    <w:rsid w:val="0004158B"/>
    <w:rsid w:val="00041C80"/>
    <w:rsid w:val="00042203"/>
    <w:rsid w:val="0004284E"/>
    <w:rsid w:val="00042B65"/>
    <w:rsid w:val="00042E43"/>
    <w:rsid w:val="00043229"/>
    <w:rsid w:val="000433F8"/>
    <w:rsid w:val="00043586"/>
    <w:rsid w:val="00043C17"/>
    <w:rsid w:val="00043F8E"/>
    <w:rsid w:val="0004484E"/>
    <w:rsid w:val="0004588D"/>
    <w:rsid w:val="00045A21"/>
    <w:rsid w:val="00045B81"/>
    <w:rsid w:val="0004735E"/>
    <w:rsid w:val="0004747B"/>
    <w:rsid w:val="000504E8"/>
    <w:rsid w:val="00050555"/>
    <w:rsid w:val="00050A9F"/>
    <w:rsid w:val="00050DBD"/>
    <w:rsid w:val="000528F0"/>
    <w:rsid w:val="00057387"/>
    <w:rsid w:val="00061FDB"/>
    <w:rsid w:val="0006263A"/>
    <w:rsid w:val="00064773"/>
    <w:rsid w:val="0006526B"/>
    <w:rsid w:val="0006551B"/>
    <w:rsid w:val="000716D5"/>
    <w:rsid w:val="00071BCD"/>
    <w:rsid w:val="00071DF4"/>
    <w:rsid w:val="0007337E"/>
    <w:rsid w:val="00075E49"/>
    <w:rsid w:val="00077A03"/>
    <w:rsid w:val="00083E25"/>
    <w:rsid w:val="00084355"/>
    <w:rsid w:val="000853A5"/>
    <w:rsid w:val="00087147"/>
    <w:rsid w:val="00090190"/>
    <w:rsid w:val="00090E72"/>
    <w:rsid w:val="00092E13"/>
    <w:rsid w:val="000932B1"/>
    <w:rsid w:val="00094C33"/>
    <w:rsid w:val="000960C0"/>
    <w:rsid w:val="00096FA7"/>
    <w:rsid w:val="00097F5E"/>
    <w:rsid w:val="000A1EF3"/>
    <w:rsid w:val="000A74AE"/>
    <w:rsid w:val="000B0A76"/>
    <w:rsid w:val="000B11A0"/>
    <w:rsid w:val="000B18A4"/>
    <w:rsid w:val="000B2104"/>
    <w:rsid w:val="000B226F"/>
    <w:rsid w:val="000B260D"/>
    <w:rsid w:val="000B2BDD"/>
    <w:rsid w:val="000B42AC"/>
    <w:rsid w:val="000B4702"/>
    <w:rsid w:val="000B5AC7"/>
    <w:rsid w:val="000C124D"/>
    <w:rsid w:val="000C1380"/>
    <w:rsid w:val="000C3157"/>
    <w:rsid w:val="000C5953"/>
    <w:rsid w:val="000D001A"/>
    <w:rsid w:val="000D0E50"/>
    <w:rsid w:val="000D1245"/>
    <w:rsid w:val="000D3E93"/>
    <w:rsid w:val="000D45D4"/>
    <w:rsid w:val="000D51F0"/>
    <w:rsid w:val="000D7DDC"/>
    <w:rsid w:val="000E1461"/>
    <w:rsid w:val="000E1597"/>
    <w:rsid w:val="000E2B52"/>
    <w:rsid w:val="000E3366"/>
    <w:rsid w:val="000E466B"/>
    <w:rsid w:val="000E565B"/>
    <w:rsid w:val="000E6328"/>
    <w:rsid w:val="000E7F93"/>
    <w:rsid w:val="000F076D"/>
    <w:rsid w:val="000F113B"/>
    <w:rsid w:val="000F2EBB"/>
    <w:rsid w:val="000F4E28"/>
    <w:rsid w:val="000F4E68"/>
    <w:rsid w:val="000F4F65"/>
    <w:rsid w:val="000F5DC2"/>
    <w:rsid w:val="000F6D34"/>
    <w:rsid w:val="00100490"/>
    <w:rsid w:val="00103CF5"/>
    <w:rsid w:val="0010536B"/>
    <w:rsid w:val="00105738"/>
    <w:rsid w:val="00105A4A"/>
    <w:rsid w:val="0010668E"/>
    <w:rsid w:val="00106A1F"/>
    <w:rsid w:val="001079BC"/>
    <w:rsid w:val="00107F1A"/>
    <w:rsid w:val="00111924"/>
    <w:rsid w:val="00111AED"/>
    <w:rsid w:val="00111F93"/>
    <w:rsid w:val="00112F0A"/>
    <w:rsid w:val="00113A53"/>
    <w:rsid w:val="0011602C"/>
    <w:rsid w:val="001221DA"/>
    <w:rsid w:val="00124B40"/>
    <w:rsid w:val="00124CC6"/>
    <w:rsid w:val="0012698E"/>
    <w:rsid w:val="00127416"/>
    <w:rsid w:val="00130191"/>
    <w:rsid w:val="00130CE8"/>
    <w:rsid w:val="00131320"/>
    <w:rsid w:val="00133EFB"/>
    <w:rsid w:val="001340CF"/>
    <w:rsid w:val="001350B6"/>
    <w:rsid w:val="001365C2"/>
    <w:rsid w:val="001402A6"/>
    <w:rsid w:val="00143924"/>
    <w:rsid w:val="001448D4"/>
    <w:rsid w:val="00144954"/>
    <w:rsid w:val="0014699C"/>
    <w:rsid w:val="00147EB6"/>
    <w:rsid w:val="00150304"/>
    <w:rsid w:val="00150AAE"/>
    <w:rsid w:val="00150D8D"/>
    <w:rsid w:val="00151262"/>
    <w:rsid w:val="00152632"/>
    <w:rsid w:val="001548FF"/>
    <w:rsid w:val="00155CBC"/>
    <w:rsid w:val="001573D1"/>
    <w:rsid w:val="0015763C"/>
    <w:rsid w:val="00160B5D"/>
    <w:rsid w:val="0016148F"/>
    <w:rsid w:val="001619ED"/>
    <w:rsid w:val="00163687"/>
    <w:rsid w:val="00163CC7"/>
    <w:rsid w:val="00163F57"/>
    <w:rsid w:val="00165DB6"/>
    <w:rsid w:val="00165FD0"/>
    <w:rsid w:val="00166989"/>
    <w:rsid w:val="00166A46"/>
    <w:rsid w:val="0016764C"/>
    <w:rsid w:val="00171E7C"/>
    <w:rsid w:val="00172E2F"/>
    <w:rsid w:val="001736B6"/>
    <w:rsid w:val="00175025"/>
    <w:rsid w:val="001757BE"/>
    <w:rsid w:val="00175C38"/>
    <w:rsid w:val="00177A20"/>
    <w:rsid w:val="00177C5A"/>
    <w:rsid w:val="0018034E"/>
    <w:rsid w:val="00180591"/>
    <w:rsid w:val="00180AFC"/>
    <w:rsid w:val="0018209F"/>
    <w:rsid w:val="001835ED"/>
    <w:rsid w:val="00183A2D"/>
    <w:rsid w:val="00183B25"/>
    <w:rsid w:val="0018437C"/>
    <w:rsid w:val="00184829"/>
    <w:rsid w:val="00185E59"/>
    <w:rsid w:val="00186D93"/>
    <w:rsid w:val="0019019A"/>
    <w:rsid w:val="00191DD8"/>
    <w:rsid w:val="0019349D"/>
    <w:rsid w:val="00193809"/>
    <w:rsid w:val="0019396D"/>
    <w:rsid w:val="00193DB3"/>
    <w:rsid w:val="001959BF"/>
    <w:rsid w:val="00196259"/>
    <w:rsid w:val="001962FB"/>
    <w:rsid w:val="00197745"/>
    <w:rsid w:val="001A0FBE"/>
    <w:rsid w:val="001A18FA"/>
    <w:rsid w:val="001A2143"/>
    <w:rsid w:val="001A2FFF"/>
    <w:rsid w:val="001A4C7E"/>
    <w:rsid w:val="001A4EF4"/>
    <w:rsid w:val="001A5D38"/>
    <w:rsid w:val="001A750D"/>
    <w:rsid w:val="001B1211"/>
    <w:rsid w:val="001B3527"/>
    <w:rsid w:val="001B3DD2"/>
    <w:rsid w:val="001B40D9"/>
    <w:rsid w:val="001B4784"/>
    <w:rsid w:val="001B4DA9"/>
    <w:rsid w:val="001B5749"/>
    <w:rsid w:val="001B7BBB"/>
    <w:rsid w:val="001C13CF"/>
    <w:rsid w:val="001C23B1"/>
    <w:rsid w:val="001C3A55"/>
    <w:rsid w:val="001C4321"/>
    <w:rsid w:val="001C57CC"/>
    <w:rsid w:val="001C732D"/>
    <w:rsid w:val="001D1F97"/>
    <w:rsid w:val="001D2046"/>
    <w:rsid w:val="001D3C6E"/>
    <w:rsid w:val="001D4E4B"/>
    <w:rsid w:val="001D50E7"/>
    <w:rsid w:val="001D7460"/>
    <w:rsid w:val="001D7957"/>
    <w:rsid w:val="001E04EC"/>
    <w:rsid w:val="001E082A"/>
    <w:rsid w:val="001E2415"/>
    <w:rsid w:val="001E2A4A"/>
    <w:rsid w:val="001E38D5"/>
    <w:rsid w:val="001E3AD7"/>
    <w:rsid w:val="001E5286"/>
    <w:rsid w:val="001E52F0"/>
    <w:rsid w:val="001E7429"/>
    <w:rsid w:val="001F00CF"/>
    <w:rsid w:val="001F3710"/>
    <w:rsid w:val="001F4B94"/>
    <w:rsid w:val="001F5DB2"/>
    <w:rsid w:val="001F6291"/>
    <w:rsid w:val="001F70CE"/>
    <w:rsid w:val="001F719A"/>
    <w:rsid w:val="002001A1"/>
    <w:rsid w:val="00200425"/>
    <w:rsid w:val="00201A1C"/>
    <w:rsid w:val="002026C4"/>
    <w:rsid w:val="00204799"/>
    <w:rsid w:val="0020498C"/>
    <w:rsid w:val="00204DD7"/>
    <w:rsid w:val="00205E97"/>
    <w:rsid w:val="0020731E"/>
    <w:rsid w:val="0021022C"/>
    <w:rsid w:val="0021087B"/>
    <w:rsid w:val="0021137C"/>
    <w:rsid w:val="00214319"/>
    <w:rsid w:val="0021452F"/>
    <w:rsid w:val="002150FE"/>
    <w:rsid w:val="00216E19"/>
    <w:rsid w:val="00221DD0"/>
    <w:rsid w:val="00224562"/>
    <w:rsid w:val="00224564"/>
    <w:rsid w:val="00224989"/>
    <w:rsid w:val="002250FD"/>
    <w:rsid w:val="00226578"/>
    <w:rsid w:val="00226AF8"/>
    <w:rsid w:val="00227D59"/>
    <w:rsid w:val="002300CD"/>
    <w:rsid w:val="002305ED"/>
    <w:rsid w:val="002341B7"/>
    <w:rsid w:val="0023639F"/>
    <w:rsid w:val="0023725A"/>
    <w:rsid w:val="00237B81"/>
    <w:rsid w:val="00237BD0"/>
    <w:rsid w:val="00242114"/>
    <w:rsid w:val="0024282E"/>
    <w:rsid w:val="00242953"/>
    <w:rsid w:val="00243DE1"/>
    <w:rsid w:val="00244EDD"/>
    <w:rsid w:val="002455E7"/>
    <w:rsid w:val="002455EC"/>
    <w:rsid w:val="00246DC8"/>
    <w:rsid w:val="00250882"/>
    <w:rsid w:val="00251D5C"/>
    <w:rsid w:val="0025247B"/>
    <w:rsid w:val="00254179"/>
    <w:rsid w:val="00256865"/>
    <w:rsid w:val="002574BB"/>
    <w:rsid w:val="00257531"/>
    <w:rsid w:val="00257631"/>
    <w:rsid w:val="00260431"/>
    <w:rsid w:val="0026095C"/>
    <w:rsid w:val="00260E18"/>
    <w:rsid w:val="00260E1F"/>
    <w:rsid w:val="00261490"/>
    <w:rsid w:val="00261E3B"/>
    <w:rsid w:val="00261EFE"/>
    <w:rsid w:val="0026227D"/>
    <w:rsid w:val="002649E7"/>
    <w:rsid w:val="00270E00"/>
    <w:rsid w:val="00271DD1"/>
    <w:rsid w:val="002729B8"/>
    <w:rsid w:val="0027344C"/>
    <w:rsid w:val="002755B9"/>
    <w:rsid w:val="00276378"/>
    <w:rsid w:val="00276834"/>
    <w:rsid w:val="00276A89"/>
    <w:rsid w:val="00276D5A"/>
    <w:rsid w:val="00277BA3"/>
    <w:rsid w:val="00282185"/>
    <w:rsid w:val="00282271"/>
    <w:rsid w:val="00282EE9"/>
    <w:rsid w:val="0028761D"/>
    <w:rsid w:val="00290BF2"/>
    <w:rsid w:val="00292BEA"/>
    <w:rsid w:val="002935B9"/>
    <w:rsid w:val="00294A5A"/>
    <w:rsid w:val="002955AA"/>
    <w:rsid w:val="002A2079"/>
    <w:rsid w:val="002A3E04"/>
    <w:rsid w:val="002A49FB"/>
    <w:rsid w:val="002A5742"/>
    <w:rsid w:val="002A57E2"/>
    <w:rsid w:val="002A5FC4"/>
    <w:rsid w:val="002A671A"/>
    <w:rsid w:val="002A7212"/>
    <w:rsid w:val="002A7277"/>
    <w:rsid w:val="002B08E6"/>
    <w:rsid w:val="002B0AA5"/>
    <w:rsid w:val="002B3F93"/>
    <w:rsid w:val="002B58A2"/>
    <w:rsid w:val="002B58FA"/>
    <w:rsid w:val="002B7C4E"/>
    <w:rsid w:val="002C0819"/>
    <w:rsid w:val="002C1F1B"/>
    <w:rsid w:val="002C2184"/>
    <w:rsid w:val="002C35DF"/>
    <w:rsid w:val="002C476A"/>
    <w:rsid w:val="002C6D34"/>
    <w:rsid w:val="002D12FD"/>
    <w:rsid w:val="002D18EB"/>
    <w:rsid w:val="002D2781"/>
    <w:rsid w:val="002D2B1A"/>
    <w:rsid w:val="002D2CA8"/>
    <w:rsid w:val="002D3101"/>
    <w:rsid w:val="002D3324"/>
    <w:rsid w:val="002D437E"/>
    <w:rsid w:val="002D4926"/>
    <w:rsid w:val="002D5874"/>
    <w:rsid w:val="002D5F29"/>
    <w:rsid w:val="002D728B"/>
    <w:rsid w:val="002D77D7"/>
    <w:rsid w:val="002D7E84"/>
    <w:rsid w:val="002E10DF"/>
    <w:rsid w:val="002E1BE1"/>
    <w:rsid w:val="002E2665"/>
    <w:rsid w:val="002E3117"/>
    <w:rsid w:val="002E3BD6"/>
    <w:rsid w:val="002E4CEF"/>
    <w:rsid w:val="002E6351"/>
    <w:rsid w:val="002E696C"/>
    <w:rsid w:val="002E7F0A"/>
    <w:rsid w:val="002F1211"/>
    <w:rsid w:val="002F58C1"/>
    <w:rsid w:val="00300A6A"/>
    <w:rsid w:val="00302DB2"/>
    <w:rsid w:val="0030594E"/>
    <w:rsid w:val="00306C05"/>
    <w:rsid w:val="00307171"/>
    <w:rsid w:val="00310187"/>
    <w:rsid w:val="00311088"/>
    <w:rsid w:val="003111C0"/>
    <w:rsid w:val="00311748"/>
    <w:rsid w:val="00311755"/>
    <w:rsid w:val="00312941"/>
    <w:rsid w:val="00312E4A"/>
    <w:rsid w:val="0031322E"/>
    <w:rsid w:val="003136C8"/>
    <w:rsid w:val="0031396D"/>
    <w:rsid w:val="00314102"/>
    <w:rsid w:val="00314734"/>
    <w:rsid w:val="00315021"/>
    <w:rsid w:val="00315C11"/>
    <w:rsid w:val="00317357"/>
    <w:rsid w:val="003176C0"/>
    <w:rsid w:val="00317828"/>
    <w:rsid w:val="00321209"/>
    <w:rsid w:val="00321B34"/>
    <w:rsid w:val="003223CF"/>
    <w:rsid w:val="00323E38"/>
    <w:rsid w:val="00326995"/>
    <w:rsid w:val="003300CB"/>
    <w:rsid w:val="00330EAF"/>
    <w:rsid w:val="00331B5F"/>
    <w:rsid w:val="00331FEE"/>
    <w:rsid w:val="00331FFF"/>
    <w:rsid w:val="0033254F"/>
    <w:rsid w:val="00333973"/>
    <w:rsid w:val="00335EAB"/>
    <w:rsid w:val="0033680E"/>
    <w:rsid w:val="00337CD6"/>
    <w:rsid w:val="003409A2"/>
    <w:rsid w:val="0034127D"/>
    <w:rsid w:val="0034165A"/>
    <w:rsid w:val="0034194B"/>
    <w:rsid w:val="00343121"/>
    <w:rsid w:val="00347D43"/>
    <w:rsid w:val="003510F5"/>
    <w:rsid w:val="00351463"/>
    <w:rsid w:val="00351B1F"/>
    <w:rsid w:val="00352472"/>
    <w:rsid w:val="003535B4"/>
    <w:rsid w:val="00354336"/>
    <w:rsid w:val="0035496E"/>
    <w:rsid w:val="00354B81"/>
    <w:rsid w:val="00355890"/>
    <w:rsid w:val="00356261"/>
    <w:rsid w:val="003565FD"/>
    <w:rsid w:val="00360903"/>
    <w:rsid w:val="00360B79"/>
    <w:rsid w:val="00361D69"/>
    <w:rsid w:val="00362AC3"/>
    <w:rsid w:val="00363C9C"/>
    <w:rsid w:val="00363E05"/>
    <w:rsid w:val="00364347"/>
    <w:rsid w:val="003649EF"/>
    <w:rsid w:val="00364E20"/>
    <w:rsid w:val="003651A6"/>
    <w:rsid w:val="0036598D"/>
    <w:rsid w:val="003660A7"/>
    <w:rsid w:val="00366F03"/>
    <w:rsid w:val="00367986"/>
    <w:rsid w:val="00370915"/>
    <w:rsid w:val="003730CD"/>
    <w:rsid w:val="00373A5A"/>
    <w:rsid w:val="00375815"/>
    <w:rsid w:val="00376229"/>
    <w:rsid w:val="003768FD"/>
    <w:rsid w:val="00376C23"/>
    <w:rsid w:val="00377CC8"/>
    <w:rsid w:val="0038056F"/>
    <w:rsid w:val="0038118E"/>
    <w:rsid w:val="0038150D"/>
    <w:rsid w:val="00381A6E"/>
    <w:rsid w:val="00381F7A"/>
    <w:rsid w:val="003828A1"/>
    <w:rsid w:val="00382FD1"/>
    <w:rsid w:val="00384EE0"/>
    <w:rsid w:val="00385916"/>
    <w:rsid w:val="0038594F"/>
    <w:rsid w:val="003871F4"/>
    <w:rsid w:val="00387489"/>
    <w:rsid w:val="00387B39"/>
    <w:rsid w:val="00391063"/>
    <w:rsid w:val="003911F5"/>
    <w:rsid w:val="00397FCF"/>
    <w:rsid w:val="003A079D"/>
    <w:rsid w:val="003A153C"/>
    <w:rsid w:val="003A2584"/>
    <w:rsid w:val="003A364B"/>
    <w:rsid w:val="003A4861"/>
    <w:rsid w:val="003A4BAA"/>
    <w:rsid w:val="003A5D6C"/>
    <w:rsid w:val="003A6999"/>
    <w:rsid w:val="003A7F98"/>
    <w:rsid w:val="003B034C"/>
    <w:rsid w:val="003B0C94"/>
    <w:rsid w:val="003B10AC"/>
    <w:rsid w:val="003B161A"/>
    <w:rsid w:val="003B1A61"/>
    <w:rsid w:val="003B3B17"/>
    <w:rsid w:val="003B3C88"/>
    <w:rsid w:val="003B4A4C"/>
    <w:rsid w:val="003B51FA"/>
    <w:rsid w:val="003B6B71"/>
    <w:rsid w:val="003C1736"/>
    <w:rsid w:val="003C2512"/>
    <w:rsid w:val="003C3173"/>
    <w:rsid w:val="003C583F"/>
    <w:rsid w:val="003C5C0A"/>
    <w:rsid w:val="003C74EE"/>
    <w:rsid w:val="003D0414"/>
    <w:rsid w:val="003D056F"/>
    <w:rsid w:val="003D2A18"/>
    <w:rsid w:val="003D2ABA"/>
    <w:rsid w:val="003D3732"/>
    <w:rsid w:val="003D3760"/>
    <w:rsid w:val="003D3CB8"/>
    <w:rsid w:val="003D46D7"/>
    <w:rsid w:val="003D5265"/>
    <w:rsid w:val="003D6FD4"/>
    <w:rsid w:val="003E1653"/>
    <w:rsid w:val="003E2504"/>
    <w:rsid w:val="003E4CD9"/>
    <w:rsid w:val="003E72F5"/>
    <w:rsid w:val="003E749F"/>
    <w:rsid w:val="003E7896"/>
    <w:rsid w:val="003E78A4"/>
    <w:rsid w:val="003F01A7"/>
    <w:rsid w:val="003F11B9"/>
    <w:rsid w:val="003F2314"/>
    <w:rsid w:val="003F2629"/>
    <w:rsid w:val="003F2A86"/>
    <w:rsid w:val="003F2DC9"/>
    <w:rsid w:val="003F390F"/>
    <w:rsid w:val="003F3DB3"/>
    <w:rsid w:val="003F48A8"/>
    <w:rsid w:val="003F6225"/>
    <w:rsid w:val="003F6502"/>
    <w:rsid w:val="003F7349"/>
    <w:rsid w:val="004022A2"/>
    <w:rsid w:val="004040D4"/>
    <w:rsid w:val="00404FBC"/>
    <w:rsid w:val="00406C3A"/>
    <w:rsid w:val="00410670"/>
    <w:rsid w:val="00410EAE"/>
    <w:rsid w:val="00411ECA"/>
    <w:rsid w:val="00415EE8"/>
    <w:rsid w:val="004162E7"/>
    <w:rsid w:val="0042016C"/>
    <w:rsid w:val="00420A54"/>
    <w:rsid w:val="0042130F"/>
    <w:rsid w:val="0042133D"/>
    <w:rsid w:val="00421439"/>
    <w:rsid w:val="004226A6"/>
    <w:rsid w:val="00422F75"/>
    <w:rsid w:val="004230C2"/>
    <w:rsid w:val="00424546"/>
    <w:rsid w:val="00424A5E"/>
    <w:rsid w:val="00425CF4"/>
    <w:rsid w:val="0042733B"/>
    <w:rsid w:val="00427A41"/>
    <w:rsid w:val="0043029D"/>
    <w:rsid w:val="00430A92"/>
    <w:rsid w:val="0043147E"/>
    <w:rsid w:val="00431AE5"/>
    <w:rsid w:val="00431F3A"/>
    <w:rsid w:val="00433016"/>
    <w:rsid w:val="00433408"/>
    <w:rsid w:val="0043627D"/>
    <w:rsid w:val="004365FF"/>
    <w:rsid w:val="00440E89"/>
    <w:rsid w:val="00442A8E"/>
    <w:rsid w:val="00443E7F"/>
    <w:rsid w:val="0044467D"/>
    <w:rsid w:val="00444737"/>
    <w:rsid w:val="00444BB3"/>
    <w:rsid w:val="00444BDB"/>
    <w:rsid w:val="00444DAF"/>
    <w:rsid w:val="00451504"/>
    <w:rsid w:val="00451C2D"/>
    <w:rsid w:val="00451CF4"/>
    <w:rsid w:val="004524AF"/>
    <w:rsid w:val="00454132"/>
    <w:rsid w:val="004558E2"/>
    <w:rsid w:val="004561FE"/>
    <w:rsid w:val="00456BA5"/>
    <w:rsid w:val="00456BC6"/>
    <w:rsid w:val="004606BC"/>
    <w:rsid w:val="004607BF"/>
    <w:rsid w:val="00460E23"/>
    <w:rsid w:val="0046388A"/>
    <w:rsid w:val="00467343"/>
    <w:rsid w:val="0047043F"/>
    <w:rsid w:val="004710A8"/>
    <w:rsid w:val="00471421"/>
    <w:rsid w:val="00472F63"/>
    <w:rsid w:val="00473983"/>
    <w:rsid w:val="00473BB3"/>
    <w:rsid w:val="00473DE7"/>
    <w:rsid w:val="004748EC"/>
    <w:rsid w:val="00476357"/>
    <w:rsid w:val="004765E0"/>
    <w:rsid w:val="00476F8A"/>
    <w:rsid w:val="00477D6C"/>
    <w:rsid w:val="00480EA7"/>
    <w:rsid w:val="00481185"/>
    <w:rsid w:val="004835F9"/>
    <w:rsid w:val="004837E0"/>
    <w:rsid w:val="0048492B"/>
    <w:rsid w:val="00486ADF"/>
    <w:rsid w:val="004901D1"/>
    <w:rsid w:val="00490BF6"/>
    <w:rsid w:val="004915EA"/>
    <w:rsid w:val="00491C14"/>
    <w:rsid w:val="00492E7A"/>
    <w:rsid w:val="004946E4"/>
    <w:rsid w:val="004951CB"/>
    <w:rsid w:val="004A125B"/>
    <w:rsid w:val="004A22F6"/>
    <w:rsid w:val="004A56D3"/>
    <w:rsid w:val="004A5E44"/>
    <w:rsid w:val="004A62EF"/>
    <w:rsid w:val="004A72E9"/>
    <w:rsid w:val="004B3239"/>
    <w:rsid w:val="004B3350"/>
    <w:rsid w:val="004B38BC"/>
    <w:rsid w:val="004B7A11"/>
    <w:rsid w:val="004B7CE2"/>
    <w:rsid w:val="004C41BA"/>
    <w:rsid w:val="004C5DAD"/>
    <w:rsid w:val="004C7547"/>
    <w:rsid w:val="004D007F"/>
    <w:rsid w:val="004D1773"/>
    <w:rsid w:val="004D30A2"/>
    <w:rsid w:val="004D43B3"/>
    <w:rsid w:val="004D53DC"/>
    <w:rsid w:val="004D7A0C"/>
    <w:rsid w:val="004E1F41"/>
    <w:rsid w:val="004E275F"/>
    <w:rsid w:val="004E670D"/>
    <w:rsid w:val="004F0CD4"/>
    <w:rsid w:val="004F1140"/>
    <w:rsid w:val="004F14A0"/>
    <w:rsid w:val="004F1A2A"/>
    <w:rsid w:val="004F23D3"/>
    <w:rsid w:val="004F3AF4"/>
    <w:rsid w:val="004F7EFE"/>
    <w:rsid w:val="00500363"/>
    <w:rsid w:val="0050093F"/>
    <w:rsid w:val="005031C4"/>
    <w:rsid w:val="00503790"/>
    <w:rsid w:val="005047CA"/>
    <w:rsid w:val="00504942"/>
    <w:rsid w:val="00504E9C"/>
    <w:rsid w:val="00505674"/>
    <w:rsid w:val="00507179"/>
    <w:rsid w:val="00507610"/>
    <w:rsid w:val="00507656"/>
    <w:rsid w:val="00510753"/>
    <w:rsid w:val="00511BFC"/>
    <w:rsid w:val="005125B4"/>
    <w:rsid w:val="00512967"/>
    <w:rsid w:val="00516385"/>
    <w:rsid w:val="00517041"/>
    <w:rsid w:val="00521406"/>
    <w:rsid w:val="00521575"/>
    <w:rsid w:val="00525A77"/>
    <w:rsid w:val="00526C37"/>
    <w:rsid w:val="00527E54"/>
    <w:rsid w:val="0053049E"/>
    <w:rsid w:val="00534994"/>
    <w:rsid w:val="00535FCD"/>
    <w:rsid w:val="00537C71"/>
    <w:rsid w:val="00540284"/>
    <w:rsid w:val="005410CE"/>
    <w:rsid w:val="00543236"/>
    <w:rsid w:val="005434BB"/>
    <w:rsid w:val="00544388"/>
    <w:rsid w:val="00545286"/>
    <w:rsid w:val="00545595"/>
    <w:rsid w:val="00545AF7"/>
    <w:rsid w:val="00550248"/>
    <w:rsid w:val="005510D2"/>
    <w:rsid w:val="0055136D"/>
    <w:rsid w:val="005530D5"/>
    <w:rsid w:val="005537C0"/>
    <w:rsid w:val="005538A3"/>
    <w:rsid w:val="005544DD"/>
    <w:rsid w:val="00554BA3"/>
    <w:rsid w:val="00556A17"/>
    <w:rsid w:val="00557B5A"/>
    <w:rsid w:val="00557EF1"/>
    <w:rsid w:val="00560BF7"/>
    <w:rsid w:val="00561698"/>
    <w:rsid w:val="00561DCA"/>
    <w:rsid w:val="0056207A"/>
    <w:rsid w:val="00562B74"/>
    <w:rsid w:val="005635F2"/>
    <w:rsid w:val="005642EA"/>
    <w:rsid w:val="00564F26"/>
    <w:rsid w:val="005650AA"/>
    <w:rsid w:val="005677EF"/>
    <w:rsid w:val="00567DAB"/>
    <w:rsid w:val="00570515"/>
    <w:rsid w:val="00570628"/>
    <w:rsid w:val="00570F49"/>
    <w:rsid w:val="00573E1E"/>
    <w:rsid w:val="00575C18"/>
    <w:rsid w:val="00575CCA"/>
    <w:rsid w:val="00576FAF"/>
    <w:rsid w:val="00577316"/>
    <w:rsid w:val="00580163"/>
    <w:rsid w:val="005808F2"/>
    <w:rsid w:val="00580D2A"/>
    <w:rsid w:val="0058147C"/>
    <w:rsid w:val="00582A83"/>
    <w:rsid w:val="00582E74"/>
    <w:rsid w:val="00585291"/>
    <w:rsid w:val="00585A15"/>
    <w:rsid w:val="00585AFD"/>
    <w:rsid w:val="00586159"/>
    <w:rsid w:val="00590381"/>
    <w:rsid w:val="005903FD"/>
    <w:rsid w:val="00590F21"/>
    <w:rsid w:val="00592C42"/>
    <w:rsid w:val="005955BF"/>
    <w:rsid w:val="00595CFF"/>
    <w:rsid w:val="00596803"/>
    <w:rsid w:val="005A24E4"/>
    <w:rsid w:val="005A332A"/>
    <w:rsid w:val="005A3BED"/>
    <w:rsid w:val="005A54AE"/>
    <w:rsid w:val="005A76EE"/>
    <w:rsid w:val="005A78E4"/>
    <w:rsid w:val="005B0CA0"/>
    <w:rsid w:val="005B101B"/>
    <w:rsid w:val="005B2A9F"/>
    <w:rsid w:val="005B3A0F"/>
    <w:rsid w:val="005B3B95"/>
    <w:rsid w:val="005B54CC"/>
    <w:rsid w:val="005B57D3"/>
    <w:rsid w:val="005B5DEC"/>
    <w:rsid w:val="005B66FF"/>
    <w:rsid w:val="005B6E81"/>
    <w:rsid w:val="005B7CF0"/>
    <w:rsid w:val="005C0268"/>
    <w:rsid w:val="005C1A8F"/>
    <w:rsid w:val="005C2CAA"/>
    <w:rsid w:val="005C42FD"/>
    <w:rsid w:val="005C4CA1"/>
    <w:rsid w:val="005C51FA"/>
    <w:rsid w:val="005C5F09"/>
    <w:rsid w:val="005C71F7"/>
    <w:rsid w:val="005D19BE"/>
    <w:rsid w:val="005D220E"/>
    <w:rsid w:val="005D3131"/>
    <w:rsid w:val="005D4AE2"/>
    <w:rsid w:val="005D56F8"/>
    <w:rsid w:val="005D59C7"/>
    <w:rsid w:val="005D5E6B"/>
    <w:rsid w:val="005D6CDC"/>
    <w:rsid w:val="005D7A7F"/>
    <w:rsid w:val="005E037E"/>
    <w:rsid w:val="005E10D3"/>
    <w:rsid w:val="005E150A"/>
    <w:rsid w:val="005E47B1"/>
    <w:rsid w:val="005E5C39"/>
    <w:rsid w:val="005E6FD2"/>
    <w:rsid w:val="005E7D4B"/>
    <w:rsid w:val="005E7FF4"/>
    <w:rsid w:val="005F2B3F"/>
    <w:rsid w:val="005F3BD4"/>
    <w:rsid w:val="00600AD8"/>
    <w:rsid w:val="00600F10"/>
    <w:rsid w:val="00600F1F"/>
    <w:rsid w:val="00603465"/>
    <w:rsid w:val="00604D4C"/>
    <w:rsid w:val="00605C3F"/>
    <w:rsid w:val="00612407"/>
    <w:rsid w:val="0061268E"/>
    <w:rsid w:val="006129D0"/>
    <w:rsid w:val="00614D39"/>
    <w:rsid w:val="006152F0"/>
    <w:rsid w:val="00615EAB"/>
    <w:rsid w:val="00616468"/>
    <w:rsid w:val="00616CAB"/>
    <w:rsid w:val="00620130"/>
    <w:rsid w:val="006202BD"/>
    <w:rsid w:val="006205E9"/>
    <w:rsid w:val="00621BDE"/>
    <w:rsid w:val="0062427C"/>
    <w:rsid w:val="0062710F"/>
    <w:rsid w:val="00630F44"/>
    <w:rsid w:val="00632DCB"/>
    <w:rsid w:val="00634146"/>
    <w:rsid w:val="00636042"/>
    <w:rsid w:val="0063768C"/>
    <w:rsid w:val="00641069"/>
    <w:rsid w:val="006421FB"/>
    <w:rsid w:val="006429BF"/>
    <w:rsid w:val="00643A42"/>
    <w:rsid w:val="006440C6"/>
    <w:rsid w:val="006441EC"/>
    <w:rsid w:val="006450F3"/>
    <w:rsid w:val="00647903"/>
    <w:rsid w:val="00647A3A"/>
    <w:rsid w:val="0065036C"/>
    <w:rsid w:val="00650B31"/>
    <w:rsid w:val="00651DB8"/>
    <w:rsid w:val="006525BF"/>
    <w:rsid w:val="00652FDE"/>
    <w:rsid w:val="006536A0"/>
    <w:rsid w:val="006537C6"/>
    <w:rsid w:val="00654301"/>
    <w:rsid w:val="00657FED"/>
    <w:rsid w:val="006637E1"/>
    <w:rsid w:val="0066523D"/>
    <w:rsid w:val="00665CD8"/>
    <w:rsid w:val="00665EA7"/>
    <w:rsid w:val="00666006"/>
    <w:rsid w:val="006676F8"/>
    <w:rsid w:val="00671196"/>
    <w:rsid w:val="00671597"/>
    <w:rsid w:val="00671E6D"/>
    <w:rsid w:val="006722F1"/>
    <w:rsid w:val="00673696"/>
    <w:rsid w:val="00673AE9"/>
    <w:rsid w:val="00674C25"/>
    <w:rsid w:val="006752C5"/>
    <w:rsid w:val="006761DF"/>
    <w:rsid w:val="006765D3"/>
    <w:rsid w:val="00677721"/>
    <w:rsid w:val="006804F0"/>
    <w:rsid w:val="00680B0F"/>
    <w:rsid w:val="0068141D"/>
    <w:rsid w:val="00681BAA"/>
    <w:rsid w:val="0068268A"/>
    <w:rsid w:val="00682D56"/>
    <w:rsid w:val="006865E7"/>
    <w:rsid w:val="00687575"/>
    <w:rsid w:val="0069094C"/>
    <w:rsid w:val="00691764"/>
    <w:rsid w:val="00692619"/>
    <w:rsid w:val="006927BD"/>
    <w:rsid w:val="00692DCD"/>
    <w:rsid w:val="006A00E1"/>
    <w:rsid w:val="006A05C7"/>
    <w:rsid w:val="006A0FBE"/>
    <w:rsid w:val="006A288E"/>
    <w:rsid w:val="006A35F2"/>
    <w:rsid w:val="006A49D9"/>
    <w:rsid w:val="006B0B93"/>
    <w:rsid w:val="006B19DD"/>
    <w:rsid w:val="006B1AA5"/>
    <w:rsid w:val="006B42DD"/>
    <w:rsid w:val="006B5970"/>
    <w:rsid w:val="006B76F6"/>
    <w:rsid w:val="006C31C2"/>
    <w:rsid w:val="006C3601"/>
    <w:rsid w:val="006C40A5"/>
    <w:rsid w:val="006C5430"/>
    <w:rsid w:val="006D10F4"/>
    <w:rsid w:val="006D2324"/>
    <w:rsid w:val="006D4D1D"/>
    <w:rsid w:val="006D58DE"/>
    <w:rsid w:val="006D70DD"/>
    <w:rsid w:val="006E01EA"/>
    <w:rsid w:val="006E2A6A"/>
    <w:rsid w:val="006E2E70"/>
    <w:rsid w:val="006E3CA5"/>
    <w:rsid w:val="006E3DAB"/>
    <w:rsid w:val="006E4BCC"/>
    <w:rsid w:val="006E4FDF"/>
    <w:rsid w:val="006F0153"/>
    <w:rsid w:val="006F0463"/>
    <w:rsid w:val="006F1857"/>
    <w:rsid w:val="006F2E1B"/>
    <w:rsid w:val="006F49B6"/>
    <w:rsid w:val="006F574E"/>
    <w:rsid w:val="006F6422"/>
    <w:rsid w:val="006F79CF"/>
    <w:rsid w:val="007017C7"/>
    <w:rsid w:val="00702424"/>
    <w:rsid w:val="007035D8"/>
    <w:rsid w:val="00704C4B"/>
    <w:rsid w:val="007051B2"/>
    <w:rsid w:val="0070547D"/>
    <w:rsid w:val="00705876"/>
    <w:rsid w:val="007068A8"/>
    <w:rsid w:val="00706B11"/>
    <w:rsid w:val="00710380"/>
    <w:rsid w:val="007107B9"/>
    <w:rsid w:val="00710E87"/>
    <w:rsid w:val="00712DEE"/>
    <w:rsid w:val="00714855"/>
    <w:rsid w:val="00715734"/>
    <w:rsid w:val="00716692"/>
    <w:rsid w:val="00717482"/>
    <w:rsid w:val="007176BE"/>
    <w:rsid w:val="007217F0"/>
    <w:rsid w:val="007225FB"/>
    <w:rsid w:val="00722921"/>
    <w:rsid w:val="0072396E"/>
    <w:rsid w:val="00723A6C"/>
    <w:rsid w:val="007250DB"/>
    <w:rsid w:val="0072716B"/>
    <w:rsid w:val="007308DC"/>
    <w:rsid w:val="00731862"/>
    <w:rsid w:val="00731CBB"/>
    <w:rsid w:val="0073215F"/>
    <w:rsid w:val="007322B7"/>
    <w:rsid w:val="007323F4"/>
    <w:rsid w:val="00732D37"/>
    <w:rsid w:val="00732E00"/>
    <w:rsid w:val="00733B9A"/>
    <w:rsid w:val="007350C5"/>
    <w:rsid w:val="007359BD"/>
    <w:rsid w:val="00736E1F"/>
    <w:rsid w:val="00736F26"/>
    <w:rsid w:val="0073723B"/>
    <w:rsid w:val="00737588"/>
    <w:rsid w:val="00740735"/>
    <w:rsid w:val="00741769"/>
    <w:rsid w:val="00741B18"/>
    <w:rsid w:val="00742571"/>
    <w:rsid w:val="00746AD6"/>
    <w:rsid w:val="007476F4"/>
    <w:rsid w:val="00747799"/>
    <w:rsid w:val="007513DE"/>
    <w:rsid w:val="007541AF"/>
    <w:rsid w:val="0075488C"/>
    <w:rsid w:val="00756921"/>
    <w:rsid w:val="00760643"/>
    <w:rsid w:val="007607DA"/>
    <w:rsid w:val="007623D2"/>
    <w:rsid w:val="00763017"/>
    <w:rsid w:val="00764D43"/>
    <w:rsid w:val="007664BA"/>
    <w:rsid w:val="007706BB"/>
    <w:rsid w:val="0077216A"/>
    <w:rsid w:val="00772EDD"/>
    <w:rsid w:val="00774F93"/>
    <w:rsid w:val="00780C91"/>
    <w:rsid w:val="00782B0E"/>
    <w:rsid w:val="007841B4"/>
    <w:rsid w:val="00784275"/>
    <w:rsid w:val="007902A7"/>
    <w:rsid w:val="0079101C"/>
    <w:rsid w:val="00791696"/>
    <w:rsid w:val="007916CE"/>
    <w:rsid w:val="007926D8"/>
    <w:rsid w:val="00792DE7"/>
    <w:rsid w:val="00794110"/>
    <w:rsid w:val="007943B5"/>
    <w:rsid w:val="007965EC"/>
    <w:rsid w:val="00796733"/>
    <w:rsid w:val="007967A2"/>
    <w:rsid w:val="00796FBE"/>
    <w:rsid w:val="007A0BC2"/>
    <w:rsid w:val="007B11AF"/>
    <w:rsid w:val="007B1463"/>
    <w:rsid w:val="007B278E"/>
    <w:rsid w:val="007B2A35"/>
    <w:rsid w:val="007B3383"/>
    <w:rsid w:val="007B388C"/>
    <w:rsid w:val="007B3EA0"/>
    <w:rsid w:val="007B41F2"/>
    <w:rsid w:val="007B608F"/>
    <w:rsid w:val="007C0668"/>
    <w:rsid w:val="007C0984"/>
    <w:rsid w:val="007C2985"/>
    <w:rsid w:val="007C5641"/>
    <w:rsid w:val="007C5BC3"/>
    <w:rsid w:val="007C6484"/>
    <w:rsid w:val="007C6832"/>
    <w:rsid w:val="007D1BFB"/>
    <w:rsid w:val="007D2EC1"/>
    <w:rsid w:val="007D3FA8"/>
    <w:rsid w:val="007D4AFB"/>
    <w:rsid w:val="007D5D2D"/>
    <w:rsid w:val="007D6B05"/>
    <w:rsid w:val="007E009C"/>
    <w:rsid w:val="007E148B"/>
    <w:rsid w:val="007E266C"/>
    <w:rsid w:val="007E4CAF"/>
    <w:rsid w:val="007E51B9"/>
    <w:rsid w:val="007E7C6B"/>
    <w:rsid w:val="007F029A"/>
    <w:rsid w:val="007F073E"/>
    <w:rsid w:val="007F1B62"/>
    <w:rsid w:val="007F1D70"/>
    <w:rsid w:val="007F3D26"/>
    <w:rsid w:val="007F4A31"/>
    <w:rsid w:val="007F59BC"/>
    <w:rsid w:val="007F60DD"/>
    <w:rsid w:val="007F7102"/>
    <w:rsid w:val="007F7496"/>
    <w:rsid w:val="007F7668"/>
    <w:rsid w:val="00801187"/>
    <w:rsid w:val="00803BC6"/>
    <w:rsid w:val="00804AC8"/>
    <w:rsid w:val="008077EB"/>
    <w:rsid w:val="008100FA"/>
    <w:rsid w:val="00810E7B"/>
    <w:rsid w:val="008120DC"/>
    <w:rsid w:val="0081326E"/>
    <w:rsid w:val="00813ACB"/>
    <w:rsid w:val="008152FC"/>
    <w:rsid w:val="00815A2C"/>
    <w:rsid w:val="00816866"/>
    <w:rsid w:val="00817879"/>
    <w:rsid w:val="00821524"/>
    <w:rsid w:val="0082234E"/>
    <w:rsid w:val="00824AF3"/>
    <w:rsid w:val="00824B0A"/>
    <w:rsid w:val="00825896"/>
    <w:rsid w:val="00826004"/>
    <w:rsid w:val="008262F6"/>
    <w:rsid w:val="008275CC"/>
    <w:rsid w:val="00830029"/>
    <w:rsid w:val="0083289B"/>
    <w:rsid w:val="0083377B"/>
    <w:rsid w:val="00834882"/>
    <w:rsid w:val="0083503B"/>
    <w:rsid w:val="00835906"/>
    <w:rsid w:val="008359E3"/>
    <w:rsid w:val="00836849"/>
    <w:rsid w:val="0083782D"/>
    <w:rsid w:val="00841A1C"/>
    <w:rsid w:val="008424E2"/>
    <w:rsid w:val="008438D6"/>
    <w:rsid w:val="00843B59"/>
    <w:rsid w:val="00844E6E"/>
    <w:rsid w:val="00845B2D"/>
    <w:rsid w:val="008464E0"/>
    <w:rsid w:val="008475F8"/>
    <w:rsid w:val="008527B2"/>
    <w:rsid w:val="00855332"/>
    <w:rsid w:val="008560CA"/>
    <w:rsid w:val="008562E0"/>
    <w:rsid w:val="00856984"/>
    <w:rsid w:val="008573AF"/>
    <w:rsid w:val="00857C65"/>
    <w:rsid w:val="00857CD0"/>
    <w:rsid w:val="00860011"/>
    <w:rsid w:val="00860260"/>
    <w:rsid w:val="00860FDB"/>
    <w:rsid w:val="00861EBD"/>
    <w:rsid w:val="008624FE"/>
    <w:rsid w:val="00862703"/>
    <w:rsid w:val="0086643A"/>
    <w:rsid w:val="00866799"/>
    <w:rsid w:val="008667EA"/>
    <w:rsid w:val="0087035E"/>
    <w:rsid w:val="00870BD2"/>
    <w:rsid w:val="00870C86"/>
    <w:rsid w:val="0087165C"/>
    <w:rsid w:val="0087217B"/>
    <w:rsid w:val="00875D8F"/>
    <w:rsid w:val="00876008"/>
    <w:rsid w:val="008805F3"/>
    <w:rsid w:val="008809C0"/>
    <w:rsid w:val="0088103E"/>
    <w:rsid w:val="0088193F"/>
    <w:rsid w:val="00882412"/>
    <w:rsid w:val="00882EDA"/>
    <w:rsid w:val="00883EA8"/>
    <w:rsid w:val="008843BC"/>
    <w:rsid w:val="008872D7"/>
    <w:rsid w:val="00890F97"/>
    <w:rsid w:val="00893629"/>
    <w:rsid w:val="00895F23"/>
    <w:rsid w:val="008A143F"/>
    <w:rsid w:val="008A4513"/>
    <w:rsid w:val="008A47FB"/>
    <w:rsid w:val="008A49FA"/>
    <w:rsid w:val="008A56D8"/>
    <w:rsid w:val="008A624E"/>
    <w:rsid w:val="008A75ED"/>
    <w:rsid w:val="008B2B13"/>
    <w:rsid w:val="008B5CC5"/>
    <w:rsid w:val="008B69C7"/>
    <w:rsid w:val="008B78DC"/>
    <w:rsid w:val="008C0F33"/>
    <w:rsid w:val="008C1019"/>
    <w:rsid w:val="008C1295"/>
    <w:rsid w:val="008C20EC"/>
    <w:rsid w:val="008C3591"/>
    <w:rsid w:val="008C4810"/>
    <w:rsid w:val="008C53A2"/>
    <w:rsid w:val="008C6812"/>
    <w:rsid w:val="008D091D"/>
    <w:rsid w:val="008D1042"/>
    <w:rsid w:val="008D19C4"/>
    <w:rsid w:val="008D292B"/>
    <w:rsid w:val="008D2C84"/>
    <w:rsid w:val="008D3D4A"/>
    <w:rsid w:val="008D41B2"/>
    <w:rsid w:val="008D470D"/>
    <w:rsid w:val="008D4C13"/>
    <w:rsid w:val="008D650E"/>
    <w:rsid w:val="008D7AFB"/>
    <w:rsid w:val="008E0951"/>
    <w:rsid w:val="008E0F22"/>
    <w:rsid w:val="008E16E3"/>
    <w:rsid w:val="008E2129"/>
    <w:rsid w:val="008E49CD"/>
    <w:rsid w:val="008E509D"/>
    <w:rsid w:val="008E65F1"/>
    <w:rsid w:val="008E71FD"/>
    <w:rsid w:val="008F120E"/>
    <w:rsid w:val="008F1BFD"/>
    <w:rsid w:val="008F51EB"/>
    <w:rsid w:val="008F70DB"/>
    <w:rsid w:val="008F7A9E"/>
    <w:rsid w:val="00900B13"/>
    <w:rsid w:val="00900F80"/>
    <w:rsid w:val="0090187F"/>
    <w:rsid w:val="00902562"/>
    <w:rsid w:val="00907AB0"/>
    <w:rsid w:val="00912885"/>
    <w:rsid w:val="009146FE"/>
    <w:rsid w:val="00914CAA"/>
    <w:rsid w:val="009202BA"/>
    <w:rsid w:val="009204F7"/>
    <w:rsid w:val="00920EEF"/>
    <w:rsid w:val="0092254F"/>
    <w:rsid w:val="009238DC"/>
    <w:rsid w:val="00925A81"/>
    <w:rsid w:val="00925C49"/>
    <w:rsid w:val="00927936"/>
    <w:rsid w:val="00930A9B"/>
    <w:rsid w:val="00930BAD"/>
    <w:rsid w:val="00931679"/>
    <w:rsid w:val="00932E22"/>
    <w:rsid w:val="009334C4"/>
    <w:rsid w:val="00934D3A"/>
    <w:rsid w:val="00937176"/>
    <w:rsid w:val="00937B82"/>
    <w:rsid w:val="00937CED"/>
    <w:rsid w:val="00940DC8"/>
    <w:rsid w:val="00941B64"/>
    <w:rsid w:val="009448CC"/>
    <w:rsid w:val="0095091C"/>
    <w:rsid w:val="00950AA0"/>
    <w:rsid w:val="0095155B"/>
    <w:rsid w:val="009515BD"/>
    <w:rsid w:val="00951EC6"/>
    <w:rsid w:val="00953B3F"/>
    <w:rsid w:val="00955565"/>
    <w:rsid w:val="00955FCA"/>
    <w:rsid w:val="00957300"/>
    <w:rsid w:val="00957E3D"/>
    <w:rsid w:val="00961051"/>
    <w:rsid w:val="00963AA7"/>
    <w:rsid w:val="00964AD4"/>
    <w:rsid w:val="00964D5E"/>
    <w:rsid w:val="0096680F"/>
    <w:rsid w:val="0096744F"/>
    <w:rsid w:val="00971D7F"/>
    <w:rsid w:val="0097313E"/>
    <w:rsid w:val="009749C3"/>
    <w:rsid w:val="00975594"/>
    <w:rsid w:val="00975DCF"/>
    <w:rsid w:val="00976250"/>
    <w:rsid w:val="009766F4"/>
    <w:rsid w:val="00980261"/>
    <w:rsid w:val="00980A99"/>
    <w:rsid w:val="009825E3"/>
    <w:rsid w:val="00982DAA"/>
    <w:rsid w:val="00982DAE"/>
    <w:rsid w:val="00982F0A"/>
    <w:rsid w:val="009839F3"/>
    <w:rsid w:val="0098509E"/>
    <w:rsid w:val="009851ED"/>
    <w:rsid w:val="009857AA"/>
    <w:rsid w:val="00986FC7"/>
    <w:rsid w:val="00987DDD"/>
    <w:rsid w:val="009906BB"/>
    <w:rsid w:val="00990C4D"/>
    <w:rsid w:val="009919C2"/>
    <w:rsid w:val="009934F9"/>
    <w:rsid w:val="00995198"/>
    <w:rsid w:val="009963AA"/>
    <w:rsid w:val="00996D4E"/>
    <w:rsid w:val="00997C3F"/>
    <w:rsid w:val="00997CEA"/>
    <w:rsid w:val="00997E77"/>
    <w:rsid w:val="009A0939"/>
    <w:rsid w:val="009A0D1D"/>
    <w:rsid w:val="009A1BB3"/>
    <w:rsid w:val="009A1FA6"/>
    <w:rsid w:val="009A5786"/>
    <w:rsid w:val="009A6AD7"/>
    <w:rsid w:val="009A6CC7"/>
    <w:rsid w:val="009A6E28"/>
    <w:rsid w:val="009A734E"/>
    <w:rsid w:val="009B046E"/>
    <w:rsid w:val="009B0F06"/>
    <w:rsid w:val="009B2468"/>
    <w:rsid w:val="009B2F2C"/>
    <w:rsid w:val="009B438D"/>
    <w:rsid w:val="009B45DF"/>
    <w:rsid w:val="009C2921"/>
    <w:rsid w:val="009C336C"/>
    <w:rsid w:val="009C3391"/>
    <w:rsid w:val="009C60DE"/>
    <w:rsid w:val="009C61D9"/>
    <w:rsid w:val="009C6B6E"/>
    <w:rsid w:val="009C7150"/>
    <w:rsid w:val="009D02A2"/>
    <w:rsid w:val="009D0669"/>
    <w:rsid w:val="009D0A2C"/>
    <w:rsid w:val="009D1B61"/>
    <w:rsid w:val="009D2A23"/>
    <w:rsid w:val="009D2DAF"/>
    <w:rsid w:val="009D3314"/>
    <w:rsid w:val="009D4F66"/>
    <w:rsid w:val="009D5D36"/>
    <w:rsid w:val="009D5DEE"/>
    <w:rsid w:val="009D7168"/>
    <w:rsid w:val="009D775B"/>
    <w:rsid w:val="009E0261"/>
    <w:rsid w:val="009E0282"/>
    <w:rsid w:val="009E04DE"/>
    <w:rsid w:val="009E0594"/>
    <w:rsid w:val="009E250B"/>
    <w:rsid w:val="009E387C"/>
    <w:rsid w:val="009E3C33"/>
    <w:rsid w:val="009E3CE6"/>
    <w:rsid w:val="009E4841"/>
    <w:rsid w:val="009E6871"/>
    <w:rsid w:val="009E6B86"/>
    <w:rsid w:val="009E6C8A"/>
    <w:rsid w:val="009F126E"/>
    <w:rsid w:val="009F2B34"/>
    <w:rsid w:val="009F2BBE"/>
    <w:rsid w:val="009F2F45"/>
    <w:rsid w:val="009F4905"/>
    <w:rsid w:val="009F4DF7"/>
    <w:rsid w:val="009F4FC6"/>
    <w:rsid w:val="009F4FE5"/>
    <w:rsid w:val="009F6EE0"/>
    <w:rsid w:val="009F7CDA"/>
    <w:rsid w:val="00A0003C"/>
    <w:rsid w:val="00A002C0"/>
    <w:rsid w:val="00A016C1"/>
    <w:rsid w:val="00A0323B"/>
    <w:rsid w:val="00A07A7F"/>
    <w:rsid w:val="00A07EAA"/>
    <w:rsid w:val="00A10A15"/>
    <w:rsid w:val="00A10EE0"/>
    <w:rsid w:val="00A11329"/>
    <w:rsid w:val="00A12654"/>
    <w:rsid w:val="00A12697"/>
    <w:rsid w:val="00A15A97"/>
    <w:rsid w:val="00A15D9F"/>
    <w:rsid w:val="00A1643D"/>
    <w:rsid w:val="00A212BB"/>
    <w:rsid w:val="00A213E0"/>
    <w:rsid w:val="00A21573"/>
    <w:rsid w:val="00A218C5"/>
    <w:rsid w:val="00A21C71"/>
    <w:rsid w:val="00A22450"/>
    <w:rsid w:val="00A24966"/>
    <w:rsid w:val="00A249C0"/>
    <w:rsid w:val="00A2750B"/>
    <w:rsid w:val="00A30DB3"/>
    <w:rsid w:val="00A31745"/>
    <w:rsid w:val="00A31BB0"/>
    <w:rsid w:val="00A32499"/>
    <w:rsid w:val="00A326BF"/>
    <w:rsid w:val="00A3369F"/>
    <w:rsid w:val="00A344A6"/>
    <w:rsid w:val="00A34FD5"/>
    <w:rsid w:val="00A35913"/>
    <w:rsid w:val="00A36152"/>
    <w:rsid w:val="00A363A1"/>
    <w:rsid w:val="00A365D0"/>
    <w:rsid w:val="00A36BB4"/>
    <w:rsid w:val="00A42A78"/>
    <w:rsid w:val="00A4393E"/>
    <w:rsid w:val="00A44435"/>
    <w:rsid w:val="00A446AA"/>
    <w:rsid w:val="00A44C95"/>
    <w:rsid w:val="00A45E49"/>
    <w:rsid w:val="00A46D20"/>
    <w:rsid w:val="00A47544"/>
    <w:rsid w:val="00A47572"/>
    <w:rsid w:val="00A476CC"/>
    <w:rsid w:val="00A52F91"/>
    <w:rsid w:val="00A53AD2"/>
    <w:rsid w:val="00A546C2"/>
    <w:rsid w:val="00A54FD7"/>
    <w:rsid w:val="00A55D2F"/>
    <w:rsid w:val="00A61F67"/>
    <w:rsid w:val="00A66D89"/>
    <w:rsid w:val="00A72479"/>
    <w:rsid w:val="00A72D81"/>
    <w:rsid w:val="00A73130"/>
    <w:rsid w:val="00A734A8"/>
    <w:rsid w:val="00A741EC"/>
    <w:rsid w:val="00A74753"/>
    <w:rsid w:val="00A75555"/>
    <w:rsid w:val="00A75E12"/>
    <w:rsid w:val="00A762A3"/>
    <w:rsid w:val="00A76D43"/>
    <w:rsid w:val="00A77C94"/>
    <w:rsid w:val="00A80E42"/>
    <w:rsid w:val="00A82B43"/>
    <w:rsid w:val="00A83AEC"/>
    <w:rsid w:val="00A84AA5"/>
    <w:rsid w:val="00A8504D"/>
    <w:rsid w:val="00A85457"/>
    <w:rsid w:val="00A8578A"/>
    <w:rsid w:val="00A85E85"/>
    <w:rsid w:val="00A87FDE"/>
    <w:rsid w:val="00A90252"/>
    <w:rsid w:val="00A90797"/>
    <w:rsid w:val="00A9353F"/>
    <w:rsid w:val="00A93FB5"/>
    <w:rsid w:val="00A9662C"/>
    <w:rsid w:val="00AA2730"/>
    <w:rsid w:val="00AA4346"/>
    <w:rsid w:val="00AA66CD"/>
    <w:rsid w:val="00AA7D73"/>
    <w:rsid w:val="00AB182C"/>
    <w:rsid w:val="00AB3773"/>
    <w:rsid w:val="00AB6885"/>
    <w:rsid w:val="00AB6A54"/>
    <w:rsid w:val="00AB6DBB"/>
    <w:rsid w:val="00AB6FE7"/>
    <w:rsid w:val="00AC0F50"/>
    <w:rsid w:val="00AC201D"/>
    <w:rsid w:val="00AC45A0"/>
    <w:rsid w:val="00AC4EEE"/>
    <w:rsid w:val="00AC53DA"/>
    <w:rsid w:val="00AC59F9"/>
    <w:rsid w:val="00AC5CAE"/>
    <w:rsid w:val="00AD14A5"/>
    <w:rsid w:val="00AD2147"/>
    <w:rsid w:val="00AD38C1"/>
    <w:rsid w:val="00AD7F91"/>
    <w:rsid w:val="00AE5142"/>
    <w:rsid w:val="00AE5DA5"/>
    <w:rsid w:val="00AF1A68"/>
    <w:rsid w:val="00AF23D5"/>
    <w:rsid w:val="00AF3043"/>
    <w:rsid w:val="00AF42C9"/>
    <w:rsid w:val="00AF4E1D"/>
    <w:rsid w:val="00AF66E4"/>
    <w:rsid w:val="00B0030C"/>
    <w:rsid w:val="00B00BA3"/>
    <w:rsid w:val="00B02E3F"/>
    <w:rsid w:val="00B0359B"/>
    <w:rsid w:val="00B03885"/>
    <w:rsid w:val="00B03A0B"/>
    <w:rsid w:val="00B05DB1"/>
    <w:rsid w:val="00B06CFC"/>
    <w:rsid w:val="00B07920"/>
    <w:rsid w:val="00B10579"/>
    <w:rsid w:val="00B1286D"/>
    <w:rsid w:val="00B129BD"/>
    <w:rsid w:val="00B145D2"/>
    <w:rsid w:val="00B14E53"/>
    <w:rsid w:val="00B15372"/>
    <w:rsid w:val="00B163C7"/>
    <w:rsid w:val="00B2026E"/>
    <w:rsid w:val="00B20521"/>
    <w:rsid w:val="00B208CB"/>
    <w:rsid w:val="00B20A89"/>
    <w:rsid w:val="00B20E9D"/>
    <w:rsid w:val="00B21283"/>
    <w:rsid w:val="00B21FD1"/>
    <w:rsid w:val="00B22415"/>
    <w:rsid w:val="00B24ED2"/>
    <w:rsid w:val="00B272C4"/>
    <w:rsid w:val="00B30EEA"/>
    <w:rsid w:val="00B32A34"/>
    <w:rsid w:val="00B32D87"/>
    <w:rsid w:val="00B37CCC"/>
    <w:rsid w:val="00B40C29"/>
    <w:rsid w:val="00B40D56"/>
    <w:rsid w:val="00B41DBE"/>
    <w:rsid w:val="00B43BA6"/>
    <w:rsid w:val="00B44BBA"/>
    <w:rsid w:val="00B46408"/>
    <w:rsid w:val="00B466D5"/>
    <w:rsid w:val="00B46C42"/>
    <w:rsid w:val="00B47767"/>
    <w:rsid w:val="00B47815"/>
    <w:rsid w:val="00B47D8A"/>
    <w:rsid w:val="00B47EA8"/>
    <w:rsid w:val="00B50C29"/>
    <w:rsid w:val="00B50F3F"/>
    <w:rsid w:val="00B51400"/>
    <w:rsid w:val="00B524E4"/>
    <w:rsid w:val="00B53113"/>
    <w:rsid w:val="00B53F36"/>
    <w:rsid w:val="00B54BBA"/>
    <w:rsid w:val="00B54EFC"/>
    <w:rsid w:val="00B56B58"/>
    <w:rsid w:val="00B5754A"/>
    <w:rsid w:val="00B604C4"/>
    <w:rsid w:val="00B6129D"/>
    <w:rsid w:val="00B6188C"/>
    <w:rsid w:val="00B628D2"/>
    <w:rsid w:val="00B62AB6"/>
    <w:rsid w:val="00B62CEA"/>
    <w:rsid w:val="00B64644"/>
    <w:rsid w:val="00B66255"/>
    <w:rsid w:val="00B67EB4"/>
    <w:rsid w:val="00B713C4"/>
    <w:rsid w:val="00B72977"/>
    <w:rsid w:val="00B7311C"/>
    <w:rsid w:val="00B734E0"/>
    <w:rsid w:val="00B744E9"/>
    <w:rsid w:val="00B7467A"/>
    <w:rsid w:val="00B7529F"/>
    <w:rsid w:val="00B75759"/>
    <w:rsid w:val="00B75916"/>
    <w:rsid w:val="00B77E63"/>
    <w:rsid w:val="00B820F8"/>
    <w:rsid w:val="00B8387B"/>
    <w:rsid w:val="00B8398E"/>
    <w:rsid w:val="00B83F6A"/>
    <w:rsid w:val="00B84147"/>
    <w:rsid w:val="00B843E6"/>
    <w:rsid w:val="00B84B7A"/>
    <w:rsid w:val="00B85175"/>
    <w:rsid w:val="00B85508"/>
    <w:rsid w:val="00B87D06"/>
    <w:rsid w:val="00B90333"/>
    <w:rsid w:val="00B9156C"/>
    <w:rsid w:val="00B91B60"/>
    <w:rsid w:val="00B91D54"/>
    <w:rsid w:val="00B91F97"/>
    <w:rsid w:val="00B939F8"/>
    <w:rsid w:val="00B97B6E"/>
    <w:rsid w:val="00BA093B"/>
    <w:rsid w:val="00BA0AC9"/>
    <w:rsid w:val="00BA1356"/>
    <w:rsid w:val="00BA18DD"/>
    <w:rsid w:val="00BA2110"/>
    <w:rsid w:val="00BA2BD6"/>
    <w:rsid w:val="00BA6974"/>
    <w:rsid w:val="00BA6EB7"/>
    <w:rsid w:val="00BA7370"/>
    <w:rsid w:val="00BA74B6"/>
    <w:rsid w:val="00BB0385"/>
    <w:rsid w:val="00BB03CA"/>
    <w:rsid w:val="00BB0B76"/>
    <w:rsid w:val="00BB25C6"/>
    <w:rsid w:val="00BB2EDC"/>
    <w:rsid w:val="00BB411D"/>
    <w:rsid w:val="00BB5EFE"/>
    <w:rsid w:val="00BB6649"/>
    <w:rsid w:val="00BB733D"/>
    <w:rsid w:val="00BB73D8"/>
    <w:rsid w:val="00BC1A5C"/>
    <w:rsid w:val="00BC1CE6"/>
    <w:rsid w:val="00BC2840"/>
    <w:rsid w:val="00BC37DF"/>
    <w:rsid w:val="00BC482A"/>
    <w:rsid w:val="00BC4C21"/>
    <w:rsid w:val="00BC6A34"/>
    <w:rsid w:val="00BC6D9F"/>
    <w:rsid w:val="00BD1797"/>
    <w:rsid w:val="00BD20B6"/>
    <w:rsid w:val="00BD4608"/>
    <w:rsid w:val="00BD48C2"/>
    <w:rsid w:val="00BD4CB6"/>
    <w:rsid w:val="00BD5A44"/>
    <w:rsid w:val="00BD7BD6"/>
    <w:rsid w:val="00BE1E11"/>
    <w:rsid w:val="00BE2F7C"/>
    <w:rsid w:val="00BE3F49"/>
    <w:rsid w:val="00BE4A40"/>
    <w:rsid w:val="00BE4AA1"/>
    <w:rsid w:val="00BE51FA"/>
    <w:rsid w:val="00BE520E"/>
    <w:rsid w:val="00BE6F17"/>
    <w:rsid w:val="00BE71CE"/>
    <w:rsid w:val="00BF16F1"/>
    <w:rsid w:val="00BF3B4C"/>
    <w:rsid w:val="00BF685C"/>
    <w:rsid w:val="00C001D5"/>
    <w:rsid w:val="00C016BA"/>
    <w:rsid w:val="00C024AD"/>
    <w:rsid w:val="00C033B3"/>
    <w:rsid w:val="00C03807"/>
    <w:rsid w:val="00C03A84"/>
    <w:rsid w:val="00C03A8B"/>
    <w:rsid w:val="00C0453E"/>
    <w:rsid w:val="00C05133"/>
    <w:rsid w:val="00C051EA"/>
    <w:rsid w:val="00C0574C"/>
    <w:rsid w:val="00C117F8"/>
    <w:rsid w:val="00C1193D"/>
    <w:rsid w:val="00C125DE"/>
    <w:rsid w:val="00C165D0"/>
    <w:rsid w:val="00C1690E"/>
    <w:rsid w:val="00C17119"/>
    <w:rsid w:val="00C23FE6"/>
    <w:rsid w:val="00C246DB"/>
    <w:rsid w:val="00C25EC1"/>
    <w:rsid w:val="00C26D1C"/>
    <w:rsid w:val="00C27448"/>
    <w:rsid w:val="00C27578"/>
    <w:rsid w:val="00C31778"/>
    <w:rsid w:val="00C31CFF"/>
    <w:rsid w:val="00C33202"/>
    <w:rsid w:val="00C350CF"/>
    <w:rsid w:val="00C353BD"/>
    <w:rsid w:val="00C35452"/>
    <w:rsid w:val="00C36867"/>
    <w:rsid w:val="00C36EF0"/>
    <w:rsid w:val="00C3730E"/>
    <w:rsid w:val="00C37B50"/>
    <w:rsid w:val="00C40AD6"/>
    <w:rsid w:val="00C4389A"/>
    <w:rsid w:val="00C462DD"/>
    <w:rsid w:val="00C4796D"/>
    <w:rsid w:val="00C47CAE"/>
    <w:rsid w:val="00C50795"/>
    <w:rsid w:val="00C51199"/>
    <w:rsid w:val="00C522C0"/>
    <w:rsid w:val="00C5462A"/>
    <w:rsid w:val="00C551D6"/>
    <w:rsid w:val="00C57E87"/>
    <w:rsid w:val="00C60DD9"/>
    <w:rsid w:val="00C6129A"/>
    <w:rsid w:val="00C6135D"/>
    <w:rsid w:val="00C6173E"/>
    <w:rsid w:val="00C61838"/>
    <w:rsid w:val="00C63C73"/>
    <w:rsid w:val="00C6415E"/>
    <w:rsid w:val="00C643FD"/>
    <w:rsid w:val="00C64F6E"/>
    <w:rsid w:val="00C65BCB"/>
    <w:rsid w:val="00C65F29"/>
    <w:rsid w:val="00C6794D"/>
    <w:rsid w:val="00C67CBE"/>
    <w:rsid w:val="00C67F9C"/>
    <w:rsid w:val="00C70EF5"/>
    <w:rsid w:val="00C71323"/>
    <w:rsid w:val="00C714F9"/>
    <w:rsid w:val="00C7270D"/>
    <w:rsid w:val="00C73804"/>
    <w:rsid w:val="00C744A5"/>
    <w:rsid w:val="00C75AAF"/>
    <w:rsid w:val="00C76DC8"/>
    <w:rsid w:val="00C77492"/>
    <w:rsid w:val="00C84483"/>
    <w:rsid w:val="00C85965"/>
    <w:rsid w:val="00C86E04"/>
    <w:rsid w:val="00C8703F"/>
    <w:rsid w:val="00C871FB"/>
    <w:rsid w:val="00C8794C"/>
    <w:rsid w:val="00C90410"/>
    <w:rsid w:val="00C90D58"/>
    <w:rsid w:val="00C91765"/>
    <w:rsid w:val="00C919C8"/>
    <w:rsid w:val="00C91C19"/>
    <w:rsid w:val="00C931ED"/>
    <w:rsid w:val="00C9330E"/>
    <w:rsid w:val="00C93AFF"/>
    <w:rsid w:val="00C94358"/>
    <w:rsid w:val="00C95348"/>
    <w:rsid w:val="00C95640"/>
    <w:rsid w:val="00C96065"/>
    <w:rsid w:val="00C9615D"/>
    <w:rsid w:val="00C973CC"/>
    <w:rsid w:val="00C97550"/>
    <w:rsid w:val="00CA0093"/>
    <w:rsid w:val="00CA0BD2"/>
    <w:rsid w:val="00CA15D4"/>
    <w:rsid w:val="00CA243A"/>
    <w:rsid w:val="00CA24A5"/>
    <w:rsid w:val="00CA50E3"/>
    <w:rsid w:val="00CA5506"/>
    <w:rsid w:val="00CA63BD"/>
    <w:rsid w:val="00CA79AF"/>
    <w:rsid w:val="00CB02DF"/>
    <w:rsid w:val="00CB0FB8"/>
    <w:rsid w:val="00CB4013"/>
    <w:rsid w:val="00CC163C"/>
    <w:rsid w:val="00CC2CB8"/>
    <w:rsid w:val="00CC48C2"/>
    <w:rsid w:val="00CC540D"/>
    <w:rsid w:val="00CC5A37"/>
    <w:rsid w:val="00CC64F1"/>
    <w:rsid w:val="00CC671F"/>
    <w:rsid w:val="00CC6996"/>
    <w:rsid w:val="00CC6AE6"/>
    <w:rsid w:val="00CC7BD0"/>
    <w:rsid w:val="00CD082C"/>
    <w:rsid w:val="00CD148F"/>
    <w:rsid w:val="00CD177E"/>
    <w:rsid w:val="00CD19BB"/>
    <w:rsid w:val="00CD1CFB"/>
    <w:rsid w:val="00CD2E31"/>
    <w:rsid w:val="00CD3687"/>
    <w:rsid w:val="00CD5312"/>
    <w:rsid w:val="00CD57B9"/>
    <w:rsid w:val="00CD5EA2"/>
    <w:rsid w:val="00CD751F"/>
    <w:rsid w:val="00CE0655"/>
    <w:rsid w:val="00CE0AEF"/>
    <w:rsid w:val="00CF2A04"/>
    <w:rsid w:val="00CF3A31"/>
    <w:rsid w:val="00CF4AFF"/>
    <w:rsid w:val="00CF5F3F"/>
    <w:rsid w:val="00CF672F"/>
    <w:rsid w:val="00CF6772"/>
    <w:rsid w:val="00D00130"/>
    <w:rsid w:val="00D0069E"/>
    <w:rsid w:val="00D00DC9"/>
    <w:rsid w:val="00D013CF"/>
    <w:rsid w:val="00D01F85"/>
    <w:rsid w:val="00D02275"/>
    <w:rsid w:val="00D02D1C"/>
    <w:rsid w:val="00D02E6F"/>
    <w:rsid w:val="00D03E33"/>
    <w:rsid w:val="00D0432A"/>
    <w:rsid w:val="00D04A7A"/>
    <w:rsid w:val="00D07811"/>
    <w:rsid w:val="00D078E0"/>
    <w:rsid w:val="00D10386"/>
    <w:rsid w:val="00D10D0B"/>
    <w:rsid w:val="00D10FF0"/>
    <w:rsid w:val="00D116BB"/>
    <w:rsid w:val="00D11834"/>
    <w:rsid w:val="00D11851"/>
    <w:rsid w:val="00D127F8"/>
    <w:rsid w:val="00D134FD"/>
    <w:rsid w:val="00D14954"/>
    <w:rsid w:val="00D15381"/>
    <w:rsid w:val="00D15AC3"/>
    <w:rsid w:val="00D15F09"/>
    <w:rsid w:val="00D15F20"/>
    <w:rsid w:val="00D16D84"/>
    <w:rsid w:val="00D17181"/>
    <w:rsid w:val="00D178B9"/>
    <w:rsid w:val="00D21BFD"/>
    <w:rsid w:val="00D239B9"/>
    <w:rsid w:val="00D2517E"/>
    <w:rsid w:val="00D25E5A"/>
    <w:rsid w:val="00D271C5"/>
    <w:rsid w:val="00D30079"/>
    <w:rsid w:val="00D33C6D"/>
    <w:rsid w:val="00D34593"/>
    <w:rsid w:val="00D347E1"/>
    <w:rsid w:val="00D351E9"/>
    <w:rsid w:val="00D3561F"/>
    <w:rsid w:val="00D40B65"/>
    <w:rsid w:val="00D41AD7"/>
    <w:rsid w:val="00D43B83"/>
    <w:rsid w:val="00D464B0"/>
    <w:rsid w:val="00D46869"/>
    <w:rsid w:val="00D4741F"/>
    <w:rsid w:val="00D52DA9"/>
    <w:rsid w:val="00D5314B"/>
    <w:rsid w:val="00D534F5"/>
    <w:rsid w:val="00D53534"/>
    <w:rsid w:val="00D53638"/>
    <w:rsid w:val="00D5388A"/>
    <w:rsid w:val="00D54876"/>
    <w:rsid w:val="00D54F6A"/>
    <w:rsid w:val="00D5656C"/>
    <w:rsid w:val="00D57D43"/>
    <w:rsid w:val="00D602DD"/>
    <w:rsid w:val="00D61746"/>
    <w:rsid w:val="00D621C0"/>
    <w:rsid w:val="00D6325B"/>
    <w:rsid w:val="00D63ECF"/>
    <w:rsid w:val="00D6512F"/>
    <w:rsid w:val="00D65626"/>
    <w:rsid w:val="00D67B09"/>
    <w:rsid w:val="00D7143A"/>
    <w:rsid w:val="00D71A86"/>
    <w:rsid w:val="00D72981"/>
    <w:rsid w:val="00D73D44"/>
    <w:rsid w:val="00D747D0"/>
    <w:rsid w:val="00D75BB8"/>
    <w:rsid w:val="00D75DB3"/>
    <w:rsid w:val="00D75FFB"/>
    <w:rsid w:val="00D76676"/>
    <w:rsid w:val="00D80268"/>
    <w:rsid w:val="00D80B98"/>
    <w:rsid w:val="00D815F6"/>
    <w:rsid w:val="00D83897"/>
    <w:rsid w:val="00D85098"/>
    <w:rsid w:val="00D86F16"/>
    <w:rsid w:val="00D87A46"/>
    <w:rsid w:val="00D91329"/>
    <w:rsid w:val="00D91DD5"/>
    <w:rsid w:val="00D929FE"/>
    <w:rsid w:val="00D92D24"/>
    <w:rsid w:val="00D93084"/>
    <w:rsid w:val="00D93AE6"/>
    <w:rsid w:val="00D93BC1"/>
    <w:rsid w:val="00D94005"/>
    <w:rsid w:val="00D94365"/>
    <w:rsid w:val="00D9493A"/>
    <w:rsid w:val="00D96670"/>
    <w:rsid w:val="00D97909"/>
    <w:rsid w:val="00DA1EA3"/>
    <w:rsid w:val="00DA3A12"/>
    <w:rsid w:val="00DA73C5"/>
    <w:rsid w:val="00DA7925"/>
    <w:rsid w:val="00DA79E0"/>
    <w:rsid w:val="00DB07E1"/>
    <w:rsid w:val="00DB083B"/>
    <w:rsid w:val="00DB0BA4"/>
    <w:rsid w:val="00DB282D"/>
    <w:rsid w:val="00DB2CEE"/>
    <w:rsid w:val="00DB35F2"/>
    <w:rsid w:val="00DB48CC"/>
    <w:rsid w:val="00DB491A"/>
    <w:rsid w:val="00DB4F42"/>
    <w:rsid w:val="00DB5EA5"/>
    <w:rsid w:val="00DB66AA"/>
    <w:rsid w:val="00DB6774"/>
    <w:rsid w:val="00DB755B"/>
    <w:rsid w:val="00DC0C04"/>
    <w:rsid w:val="00DC0C3A"/>
    <w:rsid w:val="00DC126D"/>
    <w:rsid w:val="00DC14CF"/>
    <w:rsid w:val="00DC19F1"/>
    <w:rsid w:val="00DC25AF"/>
    <w:rsid w:val="00DC27BA"/>
    <w:rsid w:val="00DC2AB3"/>
    <w:rsid w:val="00DC4A9C"/>
    <w:rsid w:val="00DC5521"/>
    <w:rsid w:val="00DC6A43"/>
    <w:rsid w:val="00DC72CD"/>
    <w:rsid w:val="00DC74F4"/>
    <w:rsid w:val="00DC7778"/>
    <w:rsid w:val="00DC7989"/>
    <w:rsid w:val="00DD076F"/>
    <w:rsid w:val="00DD11D4"/>
    <w:rsid w:val="00DD351A"/>
    <w:rsid w:val="00DD4275"/>
    <w:rsid w:val="00DD4691"/>
    <w:rsid w:val="00DD6711"/>
    <w:rsid w:val="00DD7381"/>
    <w:rsid w:val="00DE05E3"/>
    <w:rsid w:val="00DE0E96"/>
    <w:rsid w:val="00DE55C1"/>
    <w:rsid w:val="00DE5A84"/>
    <w:rsid w:val="00DE7180"/>
    <w:rsid w:val="00DE7D9E"/>
    <w:rsid w:val="00DF196D"/>
    <w:rsid w:val="00DF22A0"/>
    <w:rsid w:val="00DF27B2"/>
    <w:rsid w:val="00DF5EE5"/>
    <w:rsid w:val="00DF645C"/>
    <w:rsid w:val="00DF6F5C"/>
    <w:rsid w:val="00DF6F95"/>
    <w:rsid w:val="00DF7B38"/>
    <w:rsid w:val="00E01003"/>
    <w:rsid w:val="00E01E2D"/>
    <w:rsid w:val="00E0248F"/>
    <w:rsid w:val="00E026DB"/>
    <w:rsid w:val="00E0378D"/>
    <w:rsid w:val="00E03B91"/>
    <w:rsid w:val="00E0423A"/>
    <w:rsid w:val="00E059D8"/>
    <w:rsid w:val="00E06B73"/>
    <w:rsid w:val="00E1019E"/>
    <w:rsid w:val="00E10FFF"/>
    <w:rsid w:val="00E11BC1"/>
    <w:rsid w:val="00E12977"/>
    <w:rsid w:val="00E12A63"/>
    <w:rsid w:val="00E134B7"/>
    <w:rsid w:val="00E14D7F"/>
    <w:rsid w:val="00E159A8"/>
    <w:rsid w:val="00E15BD1"/>
    <w:rsid w:val="00E16611"/>
    <w:rsid w:val="00E17544"/>
    <w:rsid w:val="00E178E3"/>
    <w:rsid w:val="00E21B53"/>
    <w:rsid w:val="00E21D60"/>
    <w:rsid w:val="00E2236E"/>
    <w:rsid w:val="00E2266C"/>
    <w:rsid w:val="00E22B95"/>
    <w:rsid w:val="00E26C31"/>
    <w:rsid w:val="00E30706"/>
    <w:rsid w:val="00E30C31"/>
    <w:rsid w:val="00E31AF3"/>
    <w:rsid w:val="00E32613"/>
    <w:rsid w:val="00E32976"/>
    <w:rsid w:val="00E34519"/>
    <w:rsid w:val="00E35696"/>
    <w:rsid w:val="00E372D8"/>
    <w:rsid w:val="00E37CDD"/>
    <w:rsid w:val="00E40952"/>
    <w:rsid w:val="00E4148A"/>
    <w:rsid w:val="00E41A68"/>
    <w:rsid w:val="00E41AA8"/>
    <w:rsid w:val="00E41E6D"/>
    <w:rsid w:val="00E42633"/>
    <w:rsid w:val="00E45203"/>
    <w:rsid w:val="00E46032"/>
    <w:rsid w:val="00E46430"/>
    <w:rsid w:val="00E47784"/>
    <w:rsid w:val="00E479EC"/>
    <w:rsid w:val="00E47E6A"/>
    <w:rsid w:val="00E50C7D"/>
    <w:rsid w:val="00E5147C"/>
    <w:rsid w:val="00E526DE"/>
    <w:rsid w:val="00E53857"/>
    <w:rsid w:val="00E53CE7"/>
    <w:rsid w:val="00E5435D"/>
    <w:rsid w:val="00E55168"/>
    <w:rsid w:val="00E55499"/>
    <w:rsid w:val="00E57ACD"/>
    <w:rsid w:val="00E6045B"/>
    <w:rsid w:val="00E60ECE"/>
    <w:rsid w:val="00E63BC0"/>
    <w:rsid w:val="00E64D98"/>
    <w:rsid w:val="00E658FA"/>
    <w:rsid w:val="00E65E38"/>
    <w:rsid w:val="00E66412"/>
    <w:rsid w:val="00E664A3"/>
    <w:rsid w:val="00E66532"/>
    <w:rsid w:val="00E66AEF"/>
    <w:rsid w:val="00E66B43"/>
    <w:rsid w:val="00E67961"/>
    <w:rsid w:val="00E70B74"/>
    <w:rsid w:val="00E71D2F"/>
    <w:rsid w:val="00E72AFE"/>
    <w:rsid w:val="00E72D0C"/>
    <w:rsid w:val="00E731C6"/>
    <w:rsid w:val="00E73243"/>
    <w:rsid w:val="00E75784"/>
    <w:rsid w:val="00E81BD7"/>
    <w:rsid w:val="00E81D40"/>
    <w:rsid w:val="00E82897"/>
    <w:rsid w:val="00E82E43"/>
    <w:rsid w:val="00E84A4C"/>
    <w:rsid w:val="00E86052"/>
    <w:rsid w:val="00E90723"/>
    <w:rsid w:val="00E924C4"/>
    <w:rsid w:val="00E9345B"/>
    <w:rsid w:val="00E94CF9"/>
    <w:rsid w:val="00E95796"/>
    <w:rsid w:val="00E95947"/>
    <w:rsid w:val="00E95D75"/>
    <w:rsid w:val="00E964CB"/>
    <w:rsid w:val="00EA0222"/>
    <w:rsid w:val="00EA460F"/>
    <w:rsid w:val="00EA5ECE"/>
    <w:rsid w:val="00EA7716"/>
    <w:rsid w:val="00EA7D4B"/>
    <w:rsid w:val="00EB1650"/>
    <w:rsid w:val="00EB3B30"/>
    <w:rsid w:val="00EB5093"/>
    <w:rsid w:val="00EB6E8D"/>
    <w:rsid w:val="00EC0979"/>
    <w:rsid w:val="00EC1BEE"/>
    <w:rsid w:val="00EC1D34"/>
    <w:rsid w:val="00EC2F77"/>
    <w:rsid w:val="00EC30B5"/>
    <w:rsid w:val="00EC57AF"/>
    <w:rsid w:val="00EC5899"/>
    <w:rsid w:val="00EC714A"/>
    <w:rsid w:val="00ED0BC2"/>
    <w:rsid w:val="00ED13DE"/>
    <w:rsid w:val="00ED1647"/>
    <w:rsid w:val="00ED3233"/>
    <w:rsid w:val="00ED3AE5"/>
    <w:rsid w:val="00ED44DC"/>
    <w:rsid w:val="00ED5D29"/>
    <w:rsid w:val="00ED60BC"/>
    <w:rsid w:val="00EE1188"/>
    <w:rsid w:val="00EE18BF"/>
    <w:rsid w:val="00EE32F4"/>
    <w:rsid w:val="00EE4B85"/>
    <w:rsid w:val="00EE4E4F"/>
    <w:rsid w:val="00EE5416"/>
    <w:rsid w:val="00EE63BA"/>
    <w:rsid w:val="00EE6439"/>
    <w:rsid w:val="00EE70C7"/>
    <w:rsid w:val="00EE7583"/>
    <w:rsid w:val="00EE7F3B"/>
    <w:rsid w:val="00EF06DB"/>
    <w:rsid w:val="00EF19D3"/>
    <w:rsid w:val="00EF1A5C"/>
    <w:rsid w:val="00EF20A8"/>
    <w:rsid w:val="00EF37E2"/>
    <w:rsid w:val="00EF39FD"/>
    <w:rsid w:val="00EF4DD5"/>
    <w:rsid w:val="00EF74EA"/>
    <w:rsid w:val="00F00375"/>
    <w:rsid w:val="00F01240"/>
    <w:rsid w:val="00F017CE"/>
    <w:rsid w:val="00F04DFF"/>
    <w:rsid w:val="00F04F95"/>
    <w:rsid w:val="00F053C5"/>
    <w:rsid w:val="00F05EE7"/>
    <w:rsid w:val="00F05FDE"/>
    <w:rsid w:val="00F067EE"/>
    <w:rsid w:val="00F06D7C"/>
    <w:rsid w:val="00F07203"/>
    <w:rsid w:val="00F07506"/>
    <w:rsid w:val="00F11C6C"/>
    <w:rsid w:val="00F14E87"/>
    <w:rsid w:val="00F1501D"/>
    <w:rsid w:val="00F154FC"/>
    <w:rsid w:val="00F179DD"/>
    <w:rsid w:val="00F17C86"/>
    <w:rsid w:val="00F202EE"/>
    <w:rsid w:val="00F21838"/>
    <w:rsid w:val="00F223FF"/>
    <w:rsid w:val="00F226E9"/>
    <w:rsid w:val="00F2290B"/>
    <w:rsid w:val="00F24E54"/>
    <w:rsid w:val="00F26419"/>
    <w:rsid w:val="00F26B93"/>
    <w:rsid w:val="00F276B7"/>
    <w:rsid w:val="00F3031F"/>
    <w:rsid w:val="00F322F4"/>
    <w:rsid w:val="00F35191"/>
    <w:rsid w:val="00F35240"/>
    <w:rsid w:val="00F36937"/>
    <w:rsid w:val="00F37DE2"/>
    <w:rsid w:val="00F41328"/>
    <w:rsid w:val="00F434A0"/>
    <w:rsid w:val="00F45898"/>
    <w:rsid w:val="00F458A0"/>
    <w:rsid w:val="00F5214C"/>
    <w:rsid w:val="00F535F0"/>
    <w:rsid w:val="00F53C49"/>
    <w:rsid w:val="00F53D5F"/>
    <w:rsid w:val="00F55596"/>
    <w:rsid w:val="00F56788"/>
    <w:rsid w:val="00F567D2"/>
    <w:rsid w:val="00F57A38"/>
    <w:rsid w:val="00F73237"/>
    <w:rsid w:val="00F734E1"/>
    <w:rsid w:val="00F749D0"/>
    <w:rsid w:val="00F768A1"/>
    <w:rsid w:val="00F808FD"/>
    <w:rsid w:val="00F830DB"/>
    <w:rsid w:val="00F839F3"/>
    <w:rsid w:val="00F856E9"/>
    <w:rsid w:val="00F862ED"/>
    <w:rsid w:val="00F87807"/>
    <w:rsid w:val="00F8798A"/>
    <w:rsid w:val="00F90BCF"/>
    <w:rsid w:val="00F931A9"/>
    <w:rsid w:val="00F9338B"/>
    <w:rsid w:val="00F93BA0"/>
    <w:rsid w:val="00F94B48"/>
    <w:rsid w:val="00F96519"/>
    <w:rsid w:val="00F96B4A"/>
    <w:rsid w:val="00F9711F"/>
    <w:rsid w:val="00F971C6"/>
    <w:rsid w:val="00FA0458"/>
    <w:rsid w:val="00FA45BD"/>
    <w:rsid w:val="00FA4BC4"/>
    <w:rsid w:val="00FA5421"/>
    <w:rsid w:val="00FA6F10"/>
    <w:rsid w:val="00FA741E"/>
    <w:rsid w:val="00FA748C"/>
    <w:rsid w:val="00FB09DF"/>
    <w:rsid w:val="00FB1245"/>
    <w:rsid w:val="00FB2509"/>
    <w:rsid w:val="00FB3AC9"/>
    <w:rsid w:val="00FB47F0"/>
    <w:rsid w:val="00FB51AD"/>
    <w:rsid w:val="00FB7038"/>
    <w:rsid w:val="00FB723C"/>
    <w:rsid w:val="00FC1E37"/>
    <w:rsid w:val="00FC3220"/>
    <w:rsid w:val="00FC34EC"/>
    <w:rsid w:val="00FC4555"/>
    <w:rsid w:val="00FC615B"/>
    <w:rsid w:val="00FC772F"/>
    <w:rsid w:val="00FC7D20"/>
    <w:rsid w:val="00FD06B8"/>
    <w:rsid w:val="00FD14C2"/>
    <w:rsid w:val="00FD1D01"/>
    <w:rsid w:val="00FD2E11"/>
    <w:rsid w:val="00FD43DD"/>
    <w:rsid w:val="00FD5180"/>
    <w:rsid w:val="00FD5D14"/>
    <w:rsid w:val="00FD5F91"/>
    <w:rsid w:val="00FD6757"/>
    <w:rsid w:val="00FD7A6E"/>
    <w:rsid w:val="00FD7B68"/>
    <w:rsid w:val="00FD7E8D"/>
    <w:rsid w:val="00FE125B"/>
    <w:rsid w:val="00FE197F"/>
    <w:rsid w:val="00FE1B8F"/>
    <w:rsid w:val="00FE1E75"/>
    <w:rsid w:val="00FE2AF8"/>
    <w:rsid w:val="00FE2CD4"/>
    <w:rsid w:val="00FE2E48"/>
    <w:rsid w:val="00FE35CA"/>
    <w:rsid w:val="00FE3BCC"/>
    <w:rsid w:val="00FE41AD"/>
    <w:rsid w:val="00FE5DEA"/>
    <w:rsid w:val="00FE6C3B"/>
    <w:rsid w:val="00FE73FC"/>
    <w:rsid w:val="00FE7A9F"/>
    <w:rsid w:val="00FF07E6"/>
    <w:rsid w:val="00FF08CA"/>
    <w:rsid w:val="00FF14CF"/>
    <w:rsid w:val="00FF21A3"/>
    <w:rsid w:val="00FF263A"/>
    <w:rsid w:val="00FF36F5"/>
    <w:rsid w:val="00FF4451"/>
    <w:rsid w:val="00FF5428"/>
    <w:rsid w:val="2604BA06"/>
    <w:rsid w:val="2EDE7CCC"/>
    <w:rsid w:val="4787B810"/>
    <w:rsid w:val="4932A9B6"/>
    <w:rsid w:val="4D22C853"/>
    <w:rsid w:val="51D37E9D"/>
    <w:rsid w:val="7AD5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0C8D6"/>
  <w15:docId w15:val="{3E5A8A7D-DB0F-4808-91C2-1D796508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31"/>
    <w:rPr>
      <w:rFonts w:ascii="Verdana" w:eastAsia="Times New Roman" w:hAnsi="Verdana"/>
      <w:sz w:val="22"/>
      <w:szCs w:val="24"/>
    </w:rPr>
  </w:style>
  <w:style w:type="paragraph" w:styleId="Heading1">
    <w:name w:val="heading 1"/>
    <w:basedOn w:val="Normal"/>
    <w:next w:val="Normal"/>
    <w:link w:val="Heading1Char"/>
    <w:uiPriority w:val="9"/>
    <w:qFormat/>
    <w:rsid w:val="00BB03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03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B03CA"/>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BB03C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B03C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B03C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B03C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4951CB"/>
    <w:pPr>
      <w:keepNext/>
      <w:jc w:val="both"/>
      <w:outlineLvl w:val="7"/>
    </w:pPr>
    <w:rPr>
      <w:rFonts w:ascii="Arial" w:hAnsi="Arial"/>
      <w:b/>
      <w:bCs/>
      <w:sz w:val="20"/>
      <w:szCs w:val="20"/>
    </w:rPr>
  </w:style>
  <w:style w:type="paragraph" w:styleId="Heading9">
    <w:name w:val="heading 9"/>
    <w:basedOn w:val="Normal"/>
    <w:next w:val="Normal"/>
    <w:link w:val="Heading9Char"/>
    <w:uiPriority w:val="9"/>
    <w:semiHidden/>
    <w:unhideWhenUsed/>
    <w:qFormat/>
    <w:rsid w:val="00BB03C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CF4"/>
    <w:pPr>
      <w:tabs>
        <w:tab w:val="center" w:pos="4680"/>
        <w:tab w:val="right" w:pos="9360"/>
      </w:tabs>
    </w:pPr>
    <w:rPr>
      <w:rFonts w:ascii="Calibri" w:eastAsia="Calibri" w:hAnsi="Calibri"/>
      <w:szCs w:val="22"/>
    </w:rPr>
  </w:style>
  <w:style w:type="character" w:customStyle="1" w:styleId="HeaderChar">
    <w:name w:val="Header Char"/>
    <w:basedOn w:val="DefaultParagraphFont"/>
    <w:link w:val="Header"/>
    <w:uiPriority w:val="99"/>
    <w:rsid w:val="00451CF4"/>
  </w:style>
  <w:style w:type="paragraph" w:styleId="Footer">
    <w:name w:val="footer"/>
    <w:basedOn w:val="Normal"/>
    <w:link w:val="FooterChar"/>
    <w:uiPriority w:val="99"/>
    <w:unhideWhenUsed/>
    <w:rsid w:val="00451CF4"/>
    <w:pPr>
      <w:tabs>
        <w:tab w:val="center" w:pos="4680"/>
        <w:tab w:val="right" w:pos="9360"/>
      </w:tabs>
    </w:pPr>
    <w:rPr>
      <w:rFonts w:ascii="Calibri" w:eastAsia="Calibri" w:hAnsi="Calibri"/>
      <w:szCs w:val="22"/>
    </w:rPr>
  </w:style>
  <w:style w:type="character" w:customStyle="1" w:styleId="FooterChar">
    <w:name w:val="Footer Char"/>
    <w:basedOn w:val="DefaultParagraphFont"/>
    <w:link w:val="Footer"/>
    <w:uiPriority w:val="99"/>
    <w:rsid w:val="00451CF4"/>
  </w:style>
  <w:style w:type="paragraph" w:styleId="BalloonText">
    <w:name w:val="Balloon Text"/>
    <w:basedOn w:val="Normal"/>
    <w:link w:val="BalloonTextChar"/>
    <w:unhideWhenUsed/>
    <w:rsid w:val="00451CF4"/>
    <w:rPr>
      <w:rFonts w:ascii="Tahoma" w:eastAsia="Calibri" w:hAnsi="Tahoma" w:cs="Tahoma"/>
      <w:sz w:val="16"/>
      <w:szCs w:val="16"/>
    </w:rPr>
  </w:style>
  <w:style w:type="character" w:customStyle="1" w:styleId="BalloonTextChar">
    <w:name w:val="Balloon Text Char"/>
    <w:basedOn w:val="DefaultParagraphFont"/>
    <w:link w:val="BalloonText"/>
    <w:rsid w:val="00451CF4"/>
    <w:rPr>
      <w:rFonts w:ascii="Tahoma" w:hAnsi="Tahoma" w:cs="Tahoma"/>
      <w:sz w:val="16"/>
      <w:szCs w:val="16"/>
    </w:rPr>
  </w:style>
  <w:style w:type="character" w:styleId="Hyperlink">
    <w:name w:val="Hyperlink"/>
    <w:rsid w:val="00997CEA"/>
    <w:rPr>
      <w:color w:val="0000FF"/>
      <w:u w:val="single"/>
    </w:rPr>
  </w:style>
  <w:style w:type="paragraph" w:customStyle="1" w:styleId="MICONHEADER1">
    <w:name w:val="MICON HEADER1"/>
    <w:basedOn w:val="Normal"/>
    <w:rsid w:val="00997CEA"/>
    <w:pPr>
      <w:tabs>
        <w:tab w:val="left" w:pos="720"/>
      </w:tabs>
      <w:ind w:left="1080"/>
      <w:jc w:val="both"/>
    </w:pPr>
    <w:rPr>
      <w:rFonts w:ascii="Times New Roman" w:eastAsia="Calibri" w:hAnsi="Times New Roman"/>
      <w:b/>
      <w:caps/>
      <w:sz w:val="24"/>
    </w:rPr>
  </w:style>
  <w:style w:type="paragraph" w:styleId="ListParagraph">
    <w:name w:val="List Paragraph"/>
    <w:basedOn w:val="Normal"/>
    <w:uiPriority w:val="34"/>
    <w:qFormat/>
    <w:rsid w:val="00997CEA"/>
    <w:pPr>
      <w:ind w:left="720"/>
      <w:contextualSpacing/>
    </w:pPr>
    <w:rPr>
      <w:rFonts w:ascii="Times New Roman" w:hAnsi="Times New Roman"/>
      <w:sz w:val="24"/>
    </w:rPr>
  </w:style>
  <w:style w:type="paragraph" w:styleId="FootnoteText">
    <w:name w:val="footnote text"/>
    <w:basedOn w:val="Normal"/>
    <w:link w:val="FootnoteTextChar"/>
    <w:uiPriority w:val="99"/>
    <w:semiHidden/>
    <w:unhideWhenUsed/>
    <w:rsid w:val="00F567D2"/>
    <w:rPr>
      <w:sz w:val="20"/>
      <w:szCs w:val="20"/>
    </w:rPr>
  </w:style>
  <w:style w:type="paragraph" w:styleId="PlainText">
    <w:name w:val="Plain Text"/>
    <w:basedOn w:val="Normal"/>
    <w:link w:val="PlainTextChar"/>
    <w:uiPriority w:val="99"/>
    <w:unhideWhenUsed/>
    <w:rsid w:val="00431AE5"/>
    <w:rPr>
      <w:rFonts w:ascii="Consolas" w:eastAsia="Calibri" w:hAnsi="Consolas" w:cs="Consolas"/>
      <w:sz w:val="21"/>
      <w:szCs w:val="21"/>
      <w:lang w:val="en-CA"/>
    </w:rPr>
  </w:style>
  <w:style w:type="character" w:customStyle="1" w:styleId="PlainTextChar">
    <w:name w:val="Plain Text Char"/>
    <w:basedOn w:val="DefaultParagraphFont"/>
    <w:link w:val="PlainText"/>
    <w:uiPriority w:val="99"/>
    <w:rsid w:val="00431AE5"/>
    <w:rPr>
      <w:rFonts w:ascii="Consolas" w:hAnsi="Consolas" w:cs="Consolas"/>
      <w:sz w:val="21"/>
      <w:szCs w:val="21"/>
      <w:lang w:val="en-CA"/>
    </w:rPr>
  </w:style>
  <w:style w:type="paragraph" w:customStyle="1" w:styleId="Default">
    <w:name w:val="Default"/>
    <w:rsid w:val="00B62AB6"/>
    <w:pPr>
      <w:widowControl w:val="0"/>
      <w:autoSpaceDE w:val="0"/>
      <w:autoSpaceDN w:val="0"/>
      <w:adjustRightInd w:val="0"/>
      <w:jc w:val="both"/>
    </w:pPr>
    <w:rPr>
      <w:rFonts w:ascii="Arial" w:eastAsia="Times New Roman" w:hAnsi="Arial" w:cs="Arial"/>
      <w:color w:val="000000"/>
      <w:sz w:val="24"/>
      <w:szCs w:val="24"/>
    </w:rPr>
  </w:style>
  <w:style w:type="paragraph" w:customStyle="1" w:styleId="tabletext">
    <w:name w:val="table text"/>
    <w:aliases w:val="tt,Table Text,table tex"/>
    <w:basedOn w:val="Normal"/>
    <w:link w:val="TableTextChar"/>
    <w:qFormat/>
    <w:rsid w:val="00B62AB6"/>
    <w:pPr>
      <w:keepNext/>
      <w:jc w:val="both"/>
    </w:pPr>
    <w:rPr>
      <w:rFonts w:ascii="Times New Roman" w:hAnsi="Times New Roman"/>
      <w:sz w:val="20"/>
      <w:lang w:val="en-CA"/>
    </w:rPr>
  </w:style>
  <w:style w:type="paragraph" w:customStyle="1" w:styleId="SecurityL1">
    <w:name w:val="Security_L1"/>
    <w:basedOn w:val="Normal"/>
    <w:next w:val="Normal"/>
    <w:rsid w:val="00B62AB6"/>
    <w:pPr>
      <w:keepNext/>
      <w:numPr>
        <w:numId w:val="1"/>
      </w:numPr>
      <w:spacing w:after="240"/>
      <w:jc w:val="center"/>
      <w:outlineLvl w:val="0"/>
    </w:pPr>
    <w:rPr>
      <w:rFonts w:ascii="Times New Roman" w:hAnsi="Times New Roman"/>
      <w:b/>
      <w:caps/>
      <w:szCs w:val="20"/>
      <w:lang w:val="en-CA"/>
    </w:rPr>
  </w:style>
  <w:style w:type="paragraph" w:customStyle="1" w:styleId="SecurityL2">
    <w:name w:val="Security_L2"/>
    <w:basedOn w:val="SecurityL1"/>
    <w:next w:val="Normal"/>
    <w:rsid w:val="00B62AB6"/>
    <w:pPr>
      <w:numPr>
        <w:ilvl w:val="1"/>
      </w:numPr>
      <w:tabs>
        <w:tab w:val="left" w:pos="1440"/>
      </w:tabs>
      <w:jc w:val="both"/>
      <w:outlineLvl w:val="1"/>
    </w:pPr>
    <w:rPr>
      <w:caps w:val="0"/>
    </w:rPr>
  </w:style>
  <w:style w:type="paragraph" w:customStyle="1" w:styleId="SecurityL3">
    <w:name w:val="Security_L3"/>
    <w:basedOn w:val="SecurityL2"/>
    <w:next w:val="Normal"/>
    <w:rsid w:val="00B62AB6"/>
    <w:pPr>
      <w:numPr>
        <w:ilvl w:val="2"/>
      </w:numPr>
      <w:outlineLvl w:val="2"/>
    </w:pPr>
    <w:rPr>
      <w:i/>
    </w:rPr>
  </w:style>
  <w:style w:type="paragraph" w:customStyle="1" w:styleId="SecurityL4">
    <w:name w:val="Security_L4"/>
    <w:basedOn w:val="SecurityL3"/>
    <w:next w:val="Normal"/>
    <w:rsid w:val="00B62AB6"/>
    <w:pPr>
      <w:numPr>
        <w:ilvl w:val="3"/>
      </w:numPr>
      <w:outlineLvl w:val="3"/>
    </w:pPr>
    <w:rPr>
      <w:b w:val="0"/>
    </w:rPr>
  </w:style>
  <w:style w:type="paragraph" w:customStyle="1" w:styleId="SecurityL5">
    <w:name w:val="Security_L5"/>
    <w:basedOn w:val="SecurityL4"/>
    <w:rsid w:val="00B62AB6"/>
    <w:pPr>
      <w:keepNext w:val="0"/>
      <w:numPr>
        <w:ilvl w:val="4"/>
      </w:numPr>
      <w:outlineLvl w:val="4"/>
    </w:pPr>
    <w:rPr>
      <w:i w:val="0"/>
      <w:sz w:val="20"/>
    </w:rPr>
  </w:style>
  <w:style w:type="paragraph" w:customStyle="1" w:styleId="SecurityL6">
    <w:name w:val="Security_L6"/>
    <w:basedOn w:val="SecurityL5"/>
    <w:rsid w:val="00B62AB6"/>
    <w:pPr>
      <w:numPr>
        <w:ilvl w:val="5"/>
      </w:numPr>
      <w:outlineLvl w:val="5"/>
    </w:pPr>
  </w:style>
  <w:style w:type="paragraph" w:customStyle="1" w:styleId="SecurityL7">
    <w:name w:val="Security_L7"/>
    <w:basedOn w:val="SecurityL6"/>
    <w:rsid w:val="00B62AB6"/>
    <w:pPr>
      <w:numPr>
        <w:ilvl w:val="6"/>
      </w:numPr>
      <w:outlineLvl w:val="6"/>
    </w:pPr>
  </w:style>
  <w:style w:type="paragraph" w:customStyle="1" w:styleId="SecurityL8">
    <w:name w:val="Security_L8"/>
    <w:basedOn w:val="SecurityL7"/>
    <w:next w:val="Normal"/>
    <w:rsid w:val="00B62AB6"/>
    <w:pPr>
      <w:numPr>
        <w:ilvl w:val="7"/>
      </w:numPr>
      <w:spacing w:before="120" w:after="120"/>
      <w:outlineLvl w:val="7"/>
    </w:pPr>
    <w:rPr>
      <w:sz w:val="18"/>
    </w:rPr>
  </w:style>
  <w:style w:type="paragraph" w:customStyle="1" w:styleId="SecurityL9">
    <w:name w:val="Security_L9"/>
    <w:basedOn w:val="SecurityL8"/>
    <w:rsid w:val="00B62AB6"/>
    <w:pPr>
      <w:numPr>
        <w:ilvl w:val="8"/>
      </w:numPr>
      <w:spacing w:before="0" w:after="60"/>
      <w:outlineLvl w:val="8"/>
    </w:pPr>
    <w:rPr>
      <w:i/>
    </w:rPr>
  </w:style>
  <w:style w:type="paragraph" w:styleId="BodyText">
    <w:name w:val="Body Text"/>
    <w:aliases w:val="bt,b,bullet list"/>
    <w:basedOn w:val="Normal"/>
    <w:link w:val="BodyTextChar"/>
    <w:rsid w:val="00B62AB6"/>
    <w:pPr>
      <w:spacing w:after="240" w:line="240" w:lineRule="atLeast"/>
      <w:jc w:val="both"/>
    </w:pPr>
    <w:rPr>
      <w:rFonts w:ascii="Times New Roman" w:hAnsi="Times New Roman"/>
      <w:lang w:val="en-CA"/>
    </w:rPr>
  </w:style>
  <w:style w:type="character" w:customStyle="1" w:styleId="BodyTextChar">
    <w:name w:val="Body Text Char"/>
    <w:aliases w:val="bt Char,b Char,bullet list Char"/>
    <w:basedOn w:val="DefaultParagraphFont"/>
    <w:link w:val="BodyText"/>
    <w:rsid w:val="00B62AB6"/>
    <w:rPr>
      <w:rFonts w:ascii="Times New Roman" w:eastAsia="Times New Roman" w:hAnsi="Times New Roman" w:cs="Times New Roman"/>
      <w:szCs w:val="24"/>
      <w:lang w:val="en-CA"/>
    </w:rPr>
  </w:style>
  <w:style w:type="character" w:customStyle="1" w:styleId="TableTextChar">
    <w:name w:val="Table Text Char"/>
    <w:aliases w:val="tt Char"/>
    <w:basedOn w:val="DefaultParagraphFont"/>
    <w:link w:val="tabletext"/>
    <w:rsid w:val="00B62AB6"/>
    <w:rPr>
      <w:rFonts w:ascii="Times New Roman" w:eastAsia="Times New Roman" w:hAnsi="Times New Roman" w:cs="Times New Roman"/>
      <w:sz w:val="20"/>
      <w:szCs w:val="24"/>
      <w:lang w:val="en-CA"/>
    </w:rPr>
  </w:style>
  <w:style w:type="character" w:customStyle="1" w:styleId="Heading8Char">
    <w:name w:val="Heading 8 Char"/>
    <w:basedOn w:val="DefaultParagraphFont"/>
    <w:link w:val="Heading8"/>
    <w:rsid w:val="004951CB"/>
    <w:rPr>
      <w:rFonts w:ascii="Arial" w:eastAsia="Times New Roman" w:hAnsi="Arial" w:cs="Times New Roman"/>
      <w:b/>
      <w:bCs/>
      <w:sz w:val="20"/>
      <w:szCs w:val="20"/>
    </w:rPr>
  </w:style>
  <w:style w:type="character" w:styleId="CommentReference">
    <w:name w:val="annotation reference"/>
    <w:unhideWhenUsed/>
    <w:rsid w:val="004951CB"/>
    <w:rPr>
      <w:sz w:val="16"/>
      <w:szCs w:val="16"/>
    </w:rPr>
  </w:style>
  <w:style w:type="paragraph" w:styleId="CommentText">
    <w:name w:val="annotation text"/>
    <w:basedOn w:val="Normal"/>
    <w:link w:val="CommentTextChar"/>
    <w:uiPriority w:val="99"/>
    <w:semiHidden/>
    <w:unhideWhenUsed/>
    <w:rsid w:val="004951CB"/>
    <w:rPr>
      <w:rFonts w:ascii="Arial" w:hAnsi="Arial"/>
      <w:sz w:val="20"/>
      <w:szCs w:val="20"/>
    </w:rPr>
  </w:style>
  <w:style w:type="character" w:customStyle="1" w:styleId="CommentTextChar">
    <w:name w:val="Comment Text Char"/>
    <w:basedOn w:val="DefaultParagraphFont"/>
    <w:link w:val="CommentText"/>
    <w:uiPriority w:val="99"/>
    <w:semiHidden/>
    <w:rsid w:val="004951CB"/>
    <w:rPr>
      <w:rFonts w:ascii="Arial" w:eastAsia="Times New Roman" w:hAnsi="Arial" w:cs="Times New Roman"/>
      <w:sz w:val="20"/>
      <w:szCs w:val="20"/>
    </w:rPr>
  </w:style>
  <w:style w:type="paragraph" w:styleId="BodyText2">
    <w:name w:val="Body Text 2"/>
    <w:basedOn w:val="Normal"/>
    <w:link w:val="BodyText2Char"/>
    <w:unhideWhenUsed/>
    <w:rsid w:val="003E2504"/>
    <w:pPr>
      <w:spacing w:after="120" w:line="480" w:lineRule="auto"/>
    </w:pPr>
  </w:style>
  <w:style w:type="character" w:customStyle="1" w:styleId="BodyText2Char">
    <w:name w:val="Body Text 2 Char"/>
    <w:basedOn w:val="DefaultParagraphFont"/>
    <w:link w:val="BodyText2"/>
    <w:rsid w:val="003E2504"/>
    <w:rPr>
      <w:rFonts w:ascii="Verdana" w:eastAsia="Times New Roman" w:hAnsi="Verdana" w:cs="Times New Roman"/>
      <w:szCs w:val="24"/>
    </w:rPr>
  </w:style>
  <w:style w:type="paragraph" w:styleId="BodyTextIndent">
    <w:name w:val="Body Text Indent"/>
    <w:basedOn w:val="Normal"/>
    <w:link w:val="BodyTextIndentChar"/>
    <w:uiPriority w:val="99"/>
    <w:semiHidden/>
    <w:unhideWhenUsed/>
    <w:rsid w:val="002A7212"/>
    <w:pPr>
      <w:spacing w:after="120"/>
      <w:ind w:left="283"/>
    </w:pPr>
  </w:style>
  <w:style w:type="character" w:customStyle="1" w:styleId="BodyTextIndentChar">
    <w:name w:val="Body Text Indent Char"/>
    <w:basedOn w:val="DefaultParagraphFont"/>
    <w:link w:val="BodyTextIndent"/>
    <w:uiPriority w:val="99"/>
    <w:semiHidden/>
    <w:rsid w:val="002A7212"/>
    <w:rPr>
      <w:rFonts w:ascii="Verdana" w:eastAsia="Times New Roman" w:hAnsi="Verdana"/>
      <w:sz w:val="22"/>
      <w:szCs w:val="24"/>
    </w:rPr>
  </w:style>
  <w:style w:type="paragraph" w:styleId="CommentSubject">
    <w:name w:val="annotation subject"/>
    <w:basedOn w:val="CommentText"/>
    <w:next w:val="CommentText"/>
    <w:link w:val="CommentSubjectChar"/>
    <w:uiPriority w:val="99"/>
    <w:semiHidden/>
    <w:unhideWhenUsed/>
    <w:rsid w:val="008A56D8"/>
    <w:rPr>
      <w:rFonts w:ascii="Verdana" w:hAnsi="Verdana"/>
      <w:b/>
      <w:bCs/>
    </w:rPr>
  </w:style>
  <w:style w:type="character" w:customStyle="1" w:styleId="CommentSubjectChar">
    <w:name w:val="Comment Subject Char"/>
    <w:basedOn w:val="CommentTextChar"/>
    <w:link w:val="CommentSubject"/>
    <w:uiPriority w:val="99"/>
    <w:semiHidden/>
    <w:rsid w:val="008A56D8"/>
    <w:rPr>
      <w:rFonts w:ascii="Verdana" w:eastAsia="Times New Roman" w:hAnsi="Verdana" w:cs="Times New Roman"/>
      <w:b/>
      <w:bCs/>
      <w:sz w:val="20"/>
      <w:szCs w:val="20"/>
    </w:rPr>
  </w:style>
  <w:style w:type="paragraph" w:styleId="Revision">
    <w:name w:val="Revision"/>
    <w:hidden/>
    <w:uiPriority w:val="99"/>
    <w:semiHidden/>
    <w:rsid w:val="008A56D8"/>
    <w:rPr>
      <w:rFonts w:ascii="Verdana" w:eastAsia="Times New Roman" w:hAnsi="Verdana"/>
      <w:sz w:val="22"/>
      <w:szCs w:val="24"/>
    </w:rPr>
  </w:style>
  <w:style w:type="paragraph" w:customStyle="1" w:styleId="AuditBody">
    <w:name w:val="AuditBody"/>
    <w:aliases w:val="ab,Audit Body"/>
    <w:basedOn w:val="Normal"/>
    <w:rsid w:val="002B0AA5"/>
    <w:pPr>
      <w:overflowPunct w:val="0"/>
      <w:autoSpaceDE w:val="0"/>
      <w:autoSpaceDN w:val="0"/>
      <w:adjustRightInd w:val="0"/>
      <w:spacing w:before="120" w:line="280" w:lineRule="atLeast"/>
      <w:jc w:val="both"/>
      <w:textAlignment w:val="baseline"/>
    </w:pPr>
    <w:rPr>
      <w:rFonts w:ascii="Arial" w:hAnsi="Arial"/>
      <w:sz w:val="20"/>
      <w:szCs w:val="20"/>
    </w:rPr>
  </w:style>
  <w:style w:type="paragraph" w:customStyle="1" w:styleId="FS2">
    <w:name w:val="FS2"/>
    <w:basedOn w:val="Normal"/>
    <w:link w:val="FS2Char"/>
    <w:rsid w:val="00810E7B"/>
    <w:pPr>
      <w:tabs>
        <w:tab w:val="decimal" w:pos="7280"/>
        <w:tab w:val="decimal" w:pos="9000"/>
      </w:tabs>
      <w:overflowPunct w:val="0"/>
      <w:autoSpaceDE w:val="0"/>
      <w:autoSpaceDN w:val="0"/>
      <w:adjustRightInd w:val="0"/>
      <w:ind w:left="540" w:hanging="180"/>
      <w:textAlignment w:val="baseline"/>
    </w:pPr>
    <w:rPr>
      <w:rFonts w:ascii="Arial" w:hAnsi="Arial"/>
      <w:sz w:val="20"/>
      <w:szCs w:val="20"/>
    </w:rPr>
  </w:style>
  <w:style w:type="character" w:customStyle="1" w:styleId="FS2Char">
    <w:name w:val="FS2 Char"/>
    <w:link w:val="FS2"/>
    <w:rsid w:val="00810E7B"/>
    <w:rPr>
      <w:rFonts w:ascii="Arial" w:eastAsia="Times New Roman" w:hAnsi="Arial"/>
    </w:rPr>
  </w:style>
  <w:style w:type="paragraph" w:customStyle="1" w:styleId="SecurityCont2">
    <w:name w:val="Security Cont 2"/>
    <w:aliases w:val="s2"/>
    <w:basedOn w:val="Normal"/>
    <w:rsid w:val="00810E7B"/>
    <w:pPr>
      <w:spacing w:after="240"/>
      <w:jc w:val="both"/>
    </w:pPr>
    <w:rPr>
      <w:rFonts w:ascii="Times New Roman" w:hAnsi="Times New Roman"/>
      <w:sz w:val="20"/>
      <w:szCs w:val="20"/>
      <w:lang w:val="en-CA"/>
    </w:rPr>
  </w:style>
  <w:style w:type="paragraph" w:styleId="NormalWeb">
    <w:name w:val="Normal (Web)"/>
    <w:basedOn w:val="Normal"/>
    <w:uiPriority w:val="99"/>
    <w:unhideWhenUsed/>
    <w:rsid w:val="0098509E"/>
    <w:pPr>
      <w:spacing w:before="100" w:beforeAutospacing="1" w:after="100" w:afterAutospacing="1"/>
    </w:pPr>
    <w:rPr>
      <w:rFonts w:ascii="Times New Roman" w:eastAsiaTheme="minorHAnsi" w:hAnsi="Times New Roman"/>
      <w:sz w:val="24"/>
      <w:lang w:val="es-AR" w:eastAsia="es-AR"/>
    </w:rPr>
  </w:style>
  <w:style w:type="paragraph" w:customStyle="1" w:styleId="SecurityCont3">
    <w:name w:val="Security Cont 3"/>
    <w:aliases w:val="s3"/>
    <w:basedOn w:val="SecurityCont2"/>
    <w:link w:val="SecurityCont3Char"/>
    <w:uiPriority w:val="99"/>
    <w:rsid w:val="00427A41"/>
  </w:style>
  <w:style w:type="character" w:customStyle="1" w:styleId="SecurityCont3Char">
    <w:name w:val="Security Cont 3 Char"/>
    <w:aliases w:val="s3 Char"/>
    <w:link w:val="SecurityCont3"/>
    <w:uiPriority w:val="99"/>
    <w:locked/>
    <w:rsid w:val="00427A41"/>
    <w:rPr>
      <w:rFonts w:ascii="Times New Roman" w:eastAsia="Times New Roman" w:hAnsi="Times New Roman"/>
      <w:lang w:val="en-CA"/>
    </w:rPr>
  </w:style>
  <w:style w:type="character" w:styleId="Emphasis">
    <w:name w:val="Emphasis"/>
    <w:uiPriority w:val="20"/>
    <w:qFormat/>
    <w:rsid w:val="003176C0"/>
    <w:rPr>
      <w:i/>
      <w:iCs/>
    </w:rPr>
  </w:style>
  <w:style w:type="paragraph" w:customStyle="1" w:styleId="Ne3">
    <w:name w:val="Ne3"/>
    <w:basedOn w:val="Normal"/>
    <w:link w:val="Ne3Char"/>
    <w:rsid w:val="005D19BE"/>
    <w:pPr>
      <w:overflowPunct w:val="0"/>
      <w:autoSpaceDE w:val="0"/>
      <w:autoSpaceDN w:val="0"/>
      <w:adjustRightInd w:val="0"/>
      <w:spacing w:before="120" w:line="280" w:lineRule="atLeast"/>
      <w:ind w:left="720"/>
      <w:jc w:val="both"/>
      <w:textAlignment w:val="baseline"/>
    </w:pPr>
    <w:rPr>
      <w:rFonts w:ascii="Arial" w:hAnsi="Arial"/>
      <w:sz w:val="20"/>
      <w:szCs w:val="20"/>
    </w:rPr>
  </w:style>
  <w:style w:type="character" w:customStyle="1" w:styleId="Ne3Char">
    <w:name w:val="Ne3 Char"/>
    <w:link w:val="Ne3"/>
    <w:rsid w:val="005D19BE"/>
    <w:rPr>
      <w:rFonts w:ascii="Arial" w:eastAsia="Times New Roman" w:hAnsi="Arial"/>
    </w:rPr>
  </w:style>
  <w:style w:type="paragraph" w:styleId="HTMLPreformatted">
    <w:name w:val="HTML Preformatted"/>
    <w:basedOn w:val="Normal"/>
    <w:link w:val="HTMLPreformattedChar"/>
    <w:uiPriority w:val="99"/>
    <w:rsid w:val="006429BF"/>
    <w:pPr>
      <w:jc w:val="both"/>
    </w:pPr>
    <w:rPr>
      <w:rFonts w:ascii="Courier New" w:hAnsi="Courier New"/>
      <w:sz w:val="20"/>
      <w:lang w:val="en-CA"/>
    </w:rPr>
  </w:style>
  <w:style w:type="character" w:customStyle="1" w:styleId="HTMLPreformattedChar">
    <w:name w:val="HTML Preformatted Char"/>
    <w:basedOn w:val="DefaultParagraphFont"/>
    <w:link w:val="HTMLPreformatted"/>
    <w:uiPriority w:val="99"/>
    <w:rsid w:val="006429BF"/>
    <w:rPr>
      <w:rFonts w:ascii="Courier New" w:eastAsia="Times New Roman" w:hAnsi="Courier New"/>
      <w:szCs w:val="24"/>
      <w:lang w:val="en-CA"/>
    </w:rPr>
  </w:style>
  <w:style w:type="paragraph" w:customStyle="1" w:styleId="Ne4">
    <w:name w:val="Ne4"/>
    <w:basedOn w:val="Normal"/>
    <w:rsid w:val="006B42DD"/>
    <w:pPr>
      <w:overflowPunct w:val="0"/>
      <w:autoSpaceDE w:val="0"/>
      <w:autoSpaceDN w:val="0"/>
      <w:adjustRightInd w:val="0"/>
      <w:spacing w:before="120" w:line="280" w:lineRule="atLeast"/>
      <w:ind w:left="1080"/>
      <w:jc w:val="both"/>
    </w:pPr>
    <w:rPr>
      <w:rFonts w:ascii="Arial" w:hAnsi="Arial"/>
      <w:sz w:val="20"/>
      <w:szCs w:val="20"/>
      <w:lang w:val="en-CA"/>
    </w:rPr>
  </w:style>
  <w:style w:type="paragraph" w:styleId="NoSpacing">
    <w:name w:val="No Spacing"/>
    <w:link w:val="NoSpacingChar"/>
    <w:qFormat/>
    <w:rsid w:val="00043F8E"/>
    <w:pPr>
      <w:jc w:val="both"/>
    </w:pPr>
    <w:rPr>
      <w:rFonts w:ascii="Times New Roman" w:eastAsia="Batang" w:hAnsi="Times New Roman"/>
      <w:sz w:val="22"/>
      <w:szCs w:val="24"/>
      <w:lang w:val="en-CA"/>
    </w:rPr>
  </w:style>
  <w:style w:type="character" w:customStyle="1" w:styleId="NoSpacingChar">
    <w:name w:val="No Spacing Char"/>
    <w:link w:val="NoSpacing"/>
    <w:rsid w:val="00043F8E"/>
    <w:rPr>
      <w:rFonts w:ascii="Times New Roman" w:eastAsia="Batang" w:hAnsi="Times New Roman"/>
      <w:sz w:val="22"/>
      <w:szCs w:val="24"/>
      <w:lang w:val="en-CA"/>
    </w:rPr>
  </w:style>
  <w:style w:type="paragraph" w:customStyle="1" w:styleId="LHFirmName">
    <w:name w:val="LH Firm Name"/>
    <w:basedOn w:val="Normal"/>
    <w:rsid w:val="00EE18BF"/>
    <w:pPr>
      <w:spacing w:after="120"/>
      <w:ind w:left="-720"/>
      <w:jc w:val="both"/>
    </w:pPr>
    <w:rPr>
      <w:rFonts w:ascii="EngravrsRoman BT" w:hAnsi="EngravrsRoman BT"/>
      <w:b/>
      <w:spacing w:val="10"/>
      <w:sz w:val="15"/>
      <w:lang w:val="en-CA"/>
    </w:rPr>
  </w:style>
  <w:style w:type="character" w:customStyle="1" w:styleId="FootnoteTextChar">
    <w:name w:val="Footnote Text Char"/>
    <w:basedOn w:val="DefaultParagraphFont"/>
    <w:link w:val="FootnoteText"/>
    <w:uiPriority w:val="99"/>
    <w:semiHidden/>
    <w:rsid w:val="00F567D2"/>
    <w:rPr>
      <w:rFonts w:ascii="Verdana" w:eastAsia="Times New Roman" w:hAnsi="Verdana"/>
    </w:rPr>
  </w:style>
  <w:style w:type="character" w:styleId="FootnoteReference">
    <w:name w:val="footnote reference"/>
    <w:basedOn w:val="DefaultParagraphFont"/>
    <w:uiPriority w:val="99"/>
    <w:semiHidden/>
    <w:unhideWhenUsed/>
    <w:rsid w:val="00F567D2"/>
    <w:rPr>
      <w:vertAlign w:val="superscript"/>
    </w:rPr>
  </w:style>
  <w:style w:type="character" w:styleId="UnresolvedMention">
    <w:name w:val="Unresolved Mention"/>
    <w:basedOn w:val="DefaultParagraphFont"/>
    <w:uiPriority w:val="99"/>
    <w:semiHidden/>
    <w:unhideWhenUsed/>
    <w:rsid w:val="00150304"/>
    <w:rPr>
      <w:color w:val="605E5C"/>
      <w:shd w:val="clear" w:color="auto" w:fill="E1DFDD"/>
    </w:rPr>
  </w:style>
  <w:style w:type="paragraph" w:customStyle="1" w:styleId="BDPDOCID">
    <w:name w:val="BDPDOCID"/>
    <w:basedOn w:val="Normal"/>
    <w:qFormat/>
    <w:rsid w:val="002341B7"/>
    <w:pPr>
      <w:spacing w:after="240"/>
      <w:jc w:val="both"/>
    </w:pPr>
    <w:rPr>
      <w:rFonts w:ascii="Times New Roman" w:hAnsi="Times New Roman"/>
      <w:sz w:val="16"/>
    </w:rPr>
  </w:style>
  <w:style w:type="character" w:styleId="BookTitle">
    <w:name w:val="Book Title"/>
    <w:basedOn w:val="DefaultParagraphFont"/>
    <w:uiPriority w:val="33"/>
    <w:qFormat/>
    <w:rsid w:val="00BB03CA"/>
    <w:rPr>
      <w:b/>
      <w:bCs/>
      <w:i/>
      <w:iCs/>
      <w:spacing w:val="5"/>
    </w:rPr>
  </w:style>
  <w:style w:type="paragraph" w:styleId="Caption">
    <w:name w:val="caption"/>
    <w:basedOn w:val="Normal"/>
    <w:next w:val="Normal"/>
    <w:uiPriority w:val="35"/>
    <w:semiHidden/>
    <w:unhideWhenUsed/>
    <w:qFormat/>
    <w:rsid w:val="00BB03CA"/>
    <w:pPr>
      <w:spacing w:after="200"/>
    </w:pPr>
    <w:rPr>
      <w:i/>
      <w:iCs/>
      <w:color w:val="1F497D" w:themeColor="text2"/>
      <w:sz w:val="18"/>
      <w:szCs w:val="18"/>
    </w:rPr>
  </w:style>
  <w:style w:type="character" w:customStyle="1" w:styleId="Heading1Char">
    <w:name w:val="Heading 1 Char"/>
    <w:basedOn w:val="DefaultParagraphFont"/>
    <w:link w:val="Heading1"/>
    <w:uiPriority w:val="9"/>
    <w:rsid w:val="00BB03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B03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B03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B03CA"/>
    <w:rPr>
      <w:rFonts w:asciiTheme="majorHAnsi" w:eastAsiaTheme="majorEastAsia" w:hAnsiTheme="majorHAnsi" w:cstheme="majorBidi"/>
      <w:i/>
      <w:iCs/>
      <w:color w:val="365F91" w:themeColor="accent1" w:themeShade="BF"/>
      <w:sz w:val="22"/>
      <w:szCs w:val="24"/>
    </w:rPr>
  </w:style>
  <w:style w:type="character" w:customStyle="1" w:styleId="Heading5Char">
    <w:name w:val="Heading 5 Char"/>
    <w:basedOn w:val="DefaultParagraphFont"/>
    <w:link w:val="Heading5"/>
    <w:uiPriority w:val="9"/>
    <w:semiHidden/>
    <w:rsid w:val="00BB03CA"/>
    <w:rPr>
      <w:rFonts w:asciiTheme="majorHAnsi" w:eastAsiaTheme="majorEastAsia" w:hAnsiTheme="majorHAnsi" w:cstheme="majorBidi"/>
      <w:color w:val="365F91" w:themeColor="accent1" w:themeShade="BF"/>
      <w:sz w:val="22"/>
      <w:szCs w:val="24"/>
    </w:rPr>
  </w:style>
  <w:style w:type="character" w:customStyle="1" w:styleId="Heading6Char">
    <w:name w:val="Heading 6 Char"/>
    <w:basedOn w:val="DefaultParagraphFont"/>
    <w:link w:val="Heading6"/>
    <w:uiPriority w:val="9"/>
    <w:semiHidden/>
    <w:rsid w:val="00BB03CA"/>
    <w:rPr>
      <w:rFonts w:asciiTheme="majorHAnsi" w:eastAsiaTheme="majorEastAsia" w:hAnsiTheme="majorHAnsi" w:cstheme="majorBidi"/>
      <w:color w:val="243F60" w:themeColor="accent1" w:themeShade="7F"/>
      <w:sz w:val="22"/>
      <w:szCs w:val="24"/>
    </w:rPr>
  </w:style>
  <w:style w:type="character" w:customStyle="1" w:styleId="Heading7Char">
    <w:name w:val="Heading 7 Char"/>
    <w:basedOn w:val="DefaultParagraphFont"/>
    <w:link w:val="Heading7"/>
    <w:uiPriority w:val="9"/>
    <w:semiHidden/>
    <w:rsid w:val="00BB03CA"/>
    <w:rPr>
      <w:rFonts w:asciiTheme="majorHAnsi" w:eastAsiaTheme="majorEastAsia" w:hAnsiTheme="majorHAnsi" w:cstheme="majorBidi"/>
      <w:i/>
      <w:iCs/>
      <w:color w:val="243F60" w:themeColor="accent1" w:themeShade="7F"/>
      <w:sz w:val="22"/>
      <w:szCs w:val="24"/>
    </w:rPr>
  </w:style>
  <w:style w:type="character" w:customStyle="1" w:styleId="Heading9Char">
    <w:name w:val="Heading 9 Char"/>
    <w:basedOn w:val="DefaultParagraphFont"/>
    <w:link w:val="Heading9"/>
    <w:uiPriority w:val="9"/>
    <w:semiHidden/>
    <w:rsid w:val="00BB03C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B03CA"/>
    <w:rPr>
      <w:i/>
      <w:iCs/>
      <w:color w:val="4F81BD" w:themeColor="accent1"/>
    </w:rPr>
  </w:style>
  <w:style w:type="paragraph" w:styleId="IntenseQuote">
    <w:name w:val="Intense Quote"/>
    <w:basedOn w:val="Normal"/>
    <w:next w:val="Normal"/>
    <w:link w:val="IntenseQuoteChar"/>
    <w:uiPriority w:val="30"/>
    <w:qFormat/>
    <w:rsid w:val="00BB03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B03CA"/>
    <w:rPr>
      <w:rFonts w:ascii="Verdana" w:eastAsia="Times New Roman" w:hAnsi="Verdana"/>
      <w:i/>
      <w:iCs/>
      <w:color w:val="4F81BD" w:themeColor="accent1"/>
      <w:sz w:val="22"/>
      <w:szCs w:val="24"/>
    </w:rPr>
  </w:style>
  <w:style w:type="character" w:styleId="IntenseReference">
    <w:name w:val="Intense Reference"/>
    <w:basedOn w:val="DefaultParagraphFont"/>
    <w:uiPriority w:val="32"/>
    <w:qFormat/>
    <w:rsid w:val="00BB03CA"/>
    <w:rPr>
      <w:b/>
      <w:bCs/>
      <w:smallCaps/>
      <w:color w:val="4F81BD" w:themeColor="accent1"/>
      <w:spacing w:val="5"/>
    </w:rPr>
  </w:style>
  <w:style w:type="paragraph" w:styleId="Quote">
    <w:name w:val="Quote"/>
    <w:basedOn w:val="Normal"/>
    <w:next w:val="Normal"/>
    <w:link w:val="QuoteChar"/>
    <w:uiPriority w:val="29"/>
    <w:qFormat/>
    <w:rsid w:val="00BB03C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B03CA"/>
    <w:rPr>
      <w:rFonts w:ascii="Verdana" w:eastAsia="Times New Roman" w:hAnsi="Verdana"/>
      <w:i/>
      <w:iCs/>
      <w:color w:val="404040" w:themeColor="text1" w:themeTint="BF"/>
      <w:sz w:val="22"/>
      <w:szCs w:val="24"/>
    </w:rPr>
  </w:style>
  <w:style w:type="character" w:styleId="Strong">
    <w:name w:val="Strong"/>
    <w:basedOn w:val="DefaultParagraphFont"/>
    <w:uiPriority w:val="22"/>
    <w:qFormat/>
    <w:rsid w:val="00BB03CA"/>
    <w:rPr>
      <w:b/>
      <w:bCs/>
    </w:rPr>
  </w:style>
  <w:style w:type="paragraph" w:styleId="Subtitle">
    <w:name w:val="Subtitle"/>
    <w:basedOn w:val="Normal"/>
    <w:next w:val="Normal"/>
    <w:link w:val="SubtitleChar"/>
    <w:uiPriority w:val="11"/>
    <w:qFormat/>
    <w:rsid w:val="00BB03C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BB03CA"/>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B03CA"/>
    <w:rPr>
      <w:i/>
      <w:iCs/>
      <w:color w:val="404040" w:themeColor="text1" w:themeTint="BF"/>
    </w:rPr>
  </w:style>
  <w:style w:type="character" w:styleId="SubtleReference">
    <w:name w:val="Subtle Reference"/>
    <w:basedOn w:val="DefaultParagraphFont"/>
    <w:uiPriority w:val="31"/>
    <w:qFormat/>
    <w:rsid w:val="00BB03CA"/>
    <w:rPr>
      <w:smallCaps/>
      <w:color w:val="5A5A5A" w:themeColor="text1" w:themeTint="A5"/>
    </w:rPr>
  </w:style>
  <w:style w:type="paragraph" w:styleId="Title">
    <w:name w:val="Title"/>
    <w:basedOn w:val="Normal"/>
    <w:next w:val="Normal"/>
    <w:link w:val="TitleChar"/>
    <w:uiPriority w:val="10"/>
    <w:qFormat/>
    <w:rsid w:val="00BB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3C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B03C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7787">
      <w:bodyDiv w:val="1"/>
      <w:marLeft w:val="0"/>
      <w:marRight w:val="0"/>
      <w:marTop w:val="0"/>
      <w:marBottom w:val="0"/>
      <w:divBdr>
        <w:top w:val="none" w:sz="0" w:space="0" w:color="auto"/>
        <w:left w:val="none" w:sz="0" w:space="0" w:color="auto"/>
        <w:bottom w:val="none" w:sz="0" w:space="0" w:color="auto"/>
        <w:right w:val="none" w:sz="0" w:space="0" w:color="auto"/>
      </w:divBdr>
    </w:div>
    <w:div w:id="79185962">
      <w:bodyDiv w:val="1"/>
      <w:marLeft w:val="0"/>
      <w:marRight w:val="0"/>
      <w:marTop w:val="0"/>
      <w:marBottom w:val="0"/>
      <w:divBdr>
        <w:top w:val="none" w:sz="0" w:space="0" w:color="auto"/>
        <w:left w:val="none" w:sz="0" w:space="0" w:color="auto"/>
        <w:bottom w:val="none" w:sz="0" w:space="0" w:color="auto"/>
        <w:right w:val="none" w:sz="0" w:space="0" w:color="auto"/>
      </w:divBdr>
    </w:div>
    <w:div w:id="147133153">
      <w:bodyDiv w:val="1"/>
      <w:marLeft w:val="0"/>
      <w:marRight w:val="0"/>
      <w:marTop w:val="0"/>
      <w:marBottom w:val="0"/>
      <w:divBdr>
        <w:top w:val="none" w:sz="0" w:space="0" w:color="auto"/>
        <w:left w:val="none" w:sz="0" w:space="0" w:color="auto"/>
        <w:bottom w:val="none" w:sz="0" w:space="0" w:color="auto"/>
        <w:right w:val="none" w:sz="0" w:space="0" w:color="auto"/>
      </w:divBdr>
    </w:div>
    <w:div w:id="408040677">
      <w:bodyDiv w:val="1"/>
      <w:marLeft w:val="0"/>
      <w:marRight w:val="0"/>
      <w:marTop w:val="0"/>
      <w:marBottom w:val="0"/>
      <w:divBdr>
        <w:top w:val="none" w:sz="0" w:space="0" w:color="auto"/>
        <w:left w:val="none" w:sz="0" w:space="0" w:color="auto"/>
        <w:bottom w:val="none" w:sz="0" w:space="0" w:color="auto"/>
        <w:right w:val="none" w:sz="0" w:space="0" w:color="auto"/>
      </w:divBdr>
    </w:div>
    <w:div w:id="464736846">
      <w:bodyDiv w:val="1"/>
      <w:marLeft w:val="0"/>
      <w:marRight w:val="0"/>
      <w:marTop w:val="0"/>
      <w:marBottom w:val="0"/>
      <w:divBdr>
        <w:top w:val="none" w:sz="0" w:space="0" w:color="auto"/>
        <w:left w:val="none" w:sz="0" w:space="0" w:color="auto"/>
        <w:bottom w:val="none" w:sz="0" w:space="0" w:color="auto"/>
        <w:right w:val="none" w:sz="0" w:space="0" w:color="auto"/>
      </w:divBdr>
    </w:div>
    <w:div w:id="557131380">
      <w:bodyDiv w:val="1"/>
      <w:marLeft w:val="0"/>
      <w:marRight w:val="0"/>
      <w:marTop w:val="0"/>
      <w:marBottom w:val="0"/>
      <w:divBdr>
        <w:top w:val="none" w:sz="0" w:space="0" w:color="auto"/>
        <w:left w:val="none" w:sz="0" w:space="0" w:color="auto"/>
        <w:bottom w:val="none" w:sz="0" w:space="0" w:color="auto"/>
        <w:right w:val="none" w:sz="0" w:space="0" w:color="auto"/>
      </w:divBdr>
    </w:div>
    <w:div w:id="724333277">
      <w:bodyDiv w:val="1"/>
      <w:marLeft w:val="0"/>
      <w:marRight w:val="0"/>
      <w:marTop w:val="0"/>
      <w:marBottom w:val="0"/>
      <w:divBdr>
        <w:top w:val="none" w:sz="0" w:space="0" w:color="auto"/>
        <w:left w:val="none" w:sz="0" w:space="0" w:color="auto"/>
        <w:bottom w:val="none" w:sz="0" w:space="0" w:color="auto"/>
        <w:right w:val="none" w:sz="0" w:space="0" w:color="auto"/>
      </w:divBdr>
    </w:div>
    <w:div w:id="731587472">
      <w:bodyDiv w:val="1"/>
      <w:marLeft w:val="0"/>
      <w:marRight w:val="0"/>
      <w:marTop w:val="0"/>
      <w:marBottom w:val="0"/>
      <w:divBdr>
        <w:top w:val="none" w:sz="0" w:space="0" w:color="auto"/>
        <w:left w:val="none" w:sz="0" w:space="0" w:color="auto"/>
        <w:bottom w:val="none" w:sz="0" w:space="0" w:color="auto"/>
        <w:right w:val="none" w:sz="0" w:space="0" w:color="auto"/>
      </w:divBdr>
    </w:div>
    <w:div w:id="829104532">
      <w:bodyDiv w:val="1"/>
      <w:marLeft w:val="0"/>
      <w:marRight w:val="0"/>
      <w:marTop w:val="0"/>
      <w:marBottom w:val="0"/>
      <w:divBdr>
        <w:top w:val="none" w:sz="0" w:space="0" w:color="auto"/>
        <w:left w:val="none" w:sz="0" w:space="0" w:color="auto"/>
        <w:bottom w:val="none" w:sz="0" w:space="0" w:color="auto"/>
        <w:right w:val="none" w:sz="0" w:space="0" w:color="auto"/>
      </w:divBdr>
    </w:div>
    <w:div w:id="842625594">
      <w:bodyDiv w:val="1"/>
      <w:marLeft w:val="0"/>
      <w:marRight w:val="0"/>
      <w:marTop w:val="0"/>
      <w:marBottom w:val="0"/>
      <w:divBdr>
        <w:top w:val="none" w:sz="0" w:space="0" w:color="auto"/>
        <w:left w:val="none" w:sz="0" w:space="0" w:color="auto"/>
        <w:bottom w:val="none" w:sz="0" w:space="0" w:color="auto"/>
        <w:right w:val="none" w:sz="0" w:space="0" w:color="auto"/>
      </w:divBdr>
    </w:div>
    <w:div w:id="848372547">
      <w:bodyDiv w:val="1"/>
      <w:marLeft w:val="0"/>
      <w:marRight w:val="0"/>
      <w:marTop w:val="0"/>
      <w:marBottom w:val="0"/>
      <w:divBdr>
        <w:top w:val="none" w:sz="0" w:space="0" w:color="auto"/>
        <w:left w:val="none" w:sz="0" w:space="0" w:color="auto"/>
        <w:bottom w:val="none" w:sz="0" w:space="0" w:color="auto"/>
        <w:right w:val="none" w:sz="0" w:space="0" w:color="auto"/>
      </w:divBdr>
    </w:div>
    <w:div w:id="1045252995">
      <w:bodyDiv w:val="1"/>
      <w:marLeft w:val="0"/>
      <w:marRight w:val="0"/>
      <w:marTop w:val="0"/>
      <w:marBottom w:val="0"/>
      <w:divBdr>
        <w:top w:val="none" w:sz="0" w:space="0" w:color="auto"/>
        <w:left w:val="none" w:sz="0" w:space="0" w:color="auto"/>
        <w:bottom w:val="none" w:sz="0" w:space="0" w:color="auto"/>
        <w:right w:val="none" w:sz="0" w:space="0" w:color="auto"/>
      </w:divBdr>
    </w:div>
    <w:div w:id="1073091310">
      <w:bodyDiv w:val="1"/>
      <w:marLeft w:val="0"/>
      <w:marRight w:val="0"/>
      <w:marTop w:val="0"/>
      <w:marBottom w:val="0"/>
      <w:divBdr>
        <w:top w:val="none" w:sz="0" w:space="0" w:color="auto"/>
        <w:left w:val="none" w:sz="0" w:space="0" w:color="auto"/>
        <w:bottom w:val="none" w:sz="0" w:space="0" w:color="auto"/>
        <w:right w:val="none" w:sz="0" w:space="0" w:color="auto"/>
      </w:divBdr>
    </w:div>
    <w:div w:id="1261718492">
      <w:bodyDiv w:val="1"/>
      <w:marLeft w:val="0"/>
      <w:marRight w:val="0"/>
      <w:marTop w:val="0"/>
      <w:marBottom w:val="0"/>
      <w:divBdr>
        <w:top w:val="none" w:sz="0" w:space="0" w:color="auto"/>
        <w:left w:val="none" w:sz="0" w:space="0" w:color="auto"/>
        <w:bottom w:val="none" w:sz="0" w:space="0" w:color="auto"/>
        <w:right w:val="none" w:sz="0" w:space="0" w:color="auto"/>
      </w:divBdr>
    </w:div>
    <w:div w:id="1286038537">
      <w:bodyDiv w:val="1"/>
      <w:marLeft w:val="0"/>
      <w:marRight w:val="0"/>
      <w:marTop w:val="0"/>
      <w:marBottom w:val="0"/>
      <w:divBdr>
        <w:top w:val="none" w:sz="0" w:space="0" w:color="auto"/>
        <w:left w:val="none" w:sz="0" w:space="0" w:color="auto"/>
        <w:bottom w:val="none" w:sz="0" w:space="0" w:color="auto"/>
        <w:right w:val="none" w:sz="0" w:space="0" w:color="auto"/>
      </w:divBdr>
    </w:div>
    <w:div w:id="1383479918">
      <w:bodyDiv w:val="1"/>
      <w:marLeft w:val="0"/>
      <w:marRight w:val="0"/>
      <w:marTop w:val="0"/>
      <w:marBottom w:val="0"/>
      <w:divBdr>
        <w:top w:val="none" w:sz="0" w:space="0" w:color="auto"/>
        <w:left w:val="none" w:sz="0" w:space="0" w:color="auto"/>
        <w:bottom w:val="none" w:sz="0" w:space="0" w:color="auto"/>
        <w:right w:val="none" w:sz="0" w:space="0" w:color="auto"/>
      </w:divBdr>
    </w:div>
    <w:div w:id="1386220001">
      <w:bodyDiv w:val="1"/>
      <w:marLeft w:val="0"/>
      <w:marRight w:val="0"/>
      <w:marTop w:val="0"/>
      <w:marBottom w:val="0"/>
      <w:divBdr>
        <w:top w:val="none" w:sz="0" w:space="0" w:color="auto"/>
        <w:left w:val="none" w:sz="0" w:space="0" w:color="auto"/>
        <w:bottom w:val="none" w:sz="0" w:space="0" w:color="auto"/>
        <w:right w:val="none" w:sz="0" w:space="0" w:color="auto"/>
      </w:divBdr>
    </w:div>
    <w:div w:id="1463039024">
      <w:bodyDiv w:val="1"/>
      <w:marLeft w:val="0"/>
      <w:marRight w:val="0"/>
      <w:marTop w:val="0"/>
      <w:marBottom w:val="0"/>
      <w:divBdr>
        <w:top w:val="none" w:sz="0" w:space="0" w:color="auto"/>
        <w:left w:val="none" w:sz="0" w:space="0" w:color="auto"/>
        <w:bottom w:val="none" w:sz="0" w:space="0" w:color="auto"/>
        <w:right w:val="none" w:sz="0" w:space="0" w:color="auto"/>
      </w:divBdr>
    </w:div>
    <w:div w:id="1570000882">
      <w:bodyDiv w:val="1"/>
      <w:marLeft w:val="0"/>
      <w:marRight w:val="0"/>
      <w:marTop w:val="0"/>
      <w:marBottom w:val="0"/>
      <w:divBdr>
        <w:top w:val="none" w:sz="0" w:space="0" w:color="auto"/>
        <w:left w:val="none" w:sz="0" w:space="0" w:color="auto"/>
        <w:bottom w:val="none" w:sz="0" w:space="0" w:color="auto"/>
        <w:right w:val="none" w:sz="0" w:space="0" w:color="auto"/>
      </w:divBdr>
    </w:div>
    <w:div w:id="1697074418">
      <w:bodyDiv w:val="1"/>
      <w:marLeft w:val="0"/>
      <w:marRight w:val="0"/>
      <w:marTop w:val="0"/>
      <w:marBottom w:val="0"/>
      <w:divBdr>
        <w:top w:val="none" w:sz="0" w:space="0" w:color="auto"/>
        <w:left w:val="none" w:sz="0" w:space="0" w:color="auto"/>
        <w:bottom w:val="none" w:sz="0" w:space="0" w:color="auto"/>
        <w:right w:val="none" w:sz="0" w:space="0" w:color="auto"/>
      </w:divBdr>
    </w:div>
    <w:div w:id="1708918851">
      <w:bodyDiv w:val="1"/>
      <w:marLeft w:val="0"/>
      <w:marRight w:val="0"/>
      <w:marTop w:val="0"/>
      <w:marBottom w:val="0"/>
      <w:divBdr>
        <w:top w:val="none" w:sz="0" w:space="0" w:color="auto"/>
        <w:left w:val="none" w:sz="0" w:space="0" w:color="auto"/>
        <w:bottom w:val="none" w:sz="0" w:space="0" w:color="auto"/>
        <w:right w:val="none" w:sz="0" w:space="0" w:color="auto"/>
      </w:divBdr>
    </w:div>
    <w:div w:id="1819490376">
      <w:bodyDiv w:val="1"/>
      <w:marLeft w:val="0"/>
      <w:marRight w:val="0"/>
      <w:marTop w:val="0"/>
      <w:marBottom w:val="0"/>
      <w:divBdr>
        <w:top w:val="none" w:sz="0" w:space="0" w:color="auto"/>
        <w:left w:val="none" w:sz="0" w:space="0" w:color="auto"/>
        <w:bottom w:val="none" w:sz="0" w:space="0" w:color="auto"/>
        <w:right w:val="none" w:sz="0" w:space="0" w:color="auto"/>
      </w:divBdr>
    </w:div>
    <w:div w:id="1868063230">
      <w:bodyDiv w:val="1"/>
      <w:marLeft w:val="0"/>
      <w:marRight w:val="0"/>
      <w:marTop w:val="0"/>
      <w:marBottom w:val="0"/>
      <w:divBdr>
        <w:top w:val="none" w:sz="0" w:space="0" w:color="auto"/>
        <w:left w:val="none" w:sz="0" w:space="0" w:color="auto"/>
        <w:bottom w:val="none" w:sz="0" w:space="0" w:color="auto"/>
        <w:right w:val="none" w:sz="0" w:space="0" w:color="auto"/>
      </w:divBdr>
    </w:div>
    <w:div w:id="1944531920">
      <w:bodyDiv w:val="1"/>
      <w:marLeft w:val="0"/>
      <w:marRight w:val="0"/>
      <w:marTop w:val="0"/>
      <w:marBottom w:val="0"/>
      <w:divBdr>
        <w:top w:val="none" w:sz="0" w:space="0" w:color="auto"/>
        <w:left w:val="none" w:sz="0" w:space="0" w:color="auto"/>
        <w:bottom w:val="none" w:sz="0" w:space="0" w:color="auto"/>
        <w:right w:val="none" w:sz="0" w:space="0" w:color="auto"/>
      </w:divBdr>
    </w:div>
    <w:div w:id="2057464658">
      <w:bodyDiv w:val="1"/>
      <w:marLeft w:val="0"/>
      <w:marRight w:val="0"/>
      <w:marTop w:val="0"/>
      <w:marBottom w:val="0"/>
      <w:divBdr>
        <w:top w:val="none" w:sz="0" w:space="0" w:color="auto"/>
        <w:left w:val="none" w:sz="0" w:space="0" w:color="auto"/>
        <w:bottom w:val="none" w:sz="0" w:space="0" w:color="auto"/>
        <w:right w:val="none" w:sz="0" w:space="0" w:color="auto"/>
      </w:divBdr>
    </w:div>
    <w:div w:id="210707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bmoss@crownpointenergy.com"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www.crownpointenergy.com"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sedarplus.ca" TargetMode="External" Id="rId11" /><Relationship Type="http://schemas.openxmlformats.org/officeDocument/2006/relationships/numbering" Target="numbering.xml" Id="rId5" /><Relationship Type="http://schemas.openxmlformats.org/officeDocument/2006/relationships/hyperlink" Target="http://www.sedarplus.ca"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mesteves@crownpointenergy.com" TargetMode="External" Id="rId14" /><Relationship Type="http://schemas.openxmlformats.org/officeDocument/2006/relationships/fontTable" Target="fontTable.xml" Id="rId22" /><Relationship Type="http://schemas.openxmlformats.org/officeDocument/2006/relationships/customXml" Target="/customXML/item5.xml" Id="imanage.xml"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iManageProps" /></Relationships>
</file>

<file path=customXML/item5.xml><?xml version="1.0" encoding="utf-8"?>
<properties xmlns="http://www.imanage.com/work/xmlschema">
  <documentid>ACTIVE!17469215.1</documentid>
  <senderid>SWELSH</senderid>
  <senderemail>SWELSH@BDPLAW.COM</senderemail>
  <lastmodified>2026-08-10T17:25:00.0000000-06:00</lastmodified>
  <database>ACTIVE</database>
</properties>
</file>

<file path=customXML/itemProps5.xml><?xml version="1.0" encoding="utf-8"?>
<ds:datastoreItem xmlns:ds="http://schemas.openxmlformats.org/officeDocument/2006/customXml" ds:itemID="{1A5D7A9D-2AA5-4CC2-9C05-5A24FACB8782}">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2C7A9-84F2-400E-A4F6-945A279FAADD}">
  <ds:schemaRefs>
    <ds:schemaRef ds:uri="http://schemas.openxmlformats.org/officeDocument/2006/bibliography"/>
  </ds:schemaRefs>
</ds:datastoreItem>
</file>

<file path=customXml/itemProps2.xml><?xml version="1.0" encoding="utf-8"?>
<ds:datastoreItem xmlns:ds="http://schemas.openxmlformats.org/officeDocument/2006/customXml" ds:itemID="{D684B844-A9FF-4F4C-8854-89CFC3637090}">
  <ds:schemaRefs>
    <ds:schemaRef ds:uri="http://schemas.openxmlformats.org/officeDocument/2006/bibliography"/>
  </ds:schemaRefs>
</ds:datastoreItem>
</file>

<file path=customXml/itemProps3.xml><?xml version="1.0" encoding="utf-8"?>
<ds:datastoreItem xmlns:ds="http://schemas.openxmlformats.org/officeDocument/2006/customXml" ds:itemID="{20234826-1A70-4D6C-9B99-A92B5DE01C73}">
  <ds:schemaRefs>
    <ds:schemaRef ds:uri="http://schemas.openxmlformats.org/officeDocument/2006/bibliography"/>
  </ds:schemaRefs>
</ds:datastoreItem>
</file>

<file path=customXml/itemProps4.xml><?xml version="1.0" encoding="utf-8"?>
<ds:datastoreItem xmlns:ds="http://schemas.openxmlformats.org/officeDocument/2006/customXml" ds:itemID="{74A04C4A-571E-43A8-9E21-EC28313B1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3102</Words>
  <Characters>17187</Characters>
  <Application>Microsoft Office Word</Application>
  <DocSecurity>0</DocSecurity>
  <Lines>350</Lines>
  <Paragraphs>209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Company</Company>
  <LinksUpToDate>false</LinksUpToDate>
  <CharactersWithSpaces>20080</CharactersWithSpaces>
  <SharedDoc>false</SharedDoc>
  <HLinks>
    <vt:vector size="48" baseType="variant">
      <vt:variant>
        <vt:i4>4259923</vt:i4>
      </vt:variant>
      <vt:variant>
        <vt:i4>21</vt:i4>
      </vt:variant>
      <vt:variant>
        <vt:i4>0</vt:i4>
      </vt:variant>
      <vt:variant>
        <vt:i4>5</vt:i4>
      </vt:variant>
      <vt:variant>
        <vt:lpwstr>http://www.crownpointenergy.com/</vt:lpwstr>
      </vt:variant>
      <vt:variant>
        <vt:lpwstr/>
      </vt:variant>
      <vt:variant>
        <vt:i4>2949128</vt:i4>
      </vt:variant>
      <vt:variant>
        <vt:i4>18</vt:i4>
      </vt:variant>
      <vt:variant>
        <vt:i4>0</vt:i4>
      </vt:variant>
      <vt:variant>
        <vt:i4>5</vt:i4>
      </vt:variant>
      <vt:variant>
        <vt:lpwstr>mailto:amadden@crownpointenergy.com</vt:lpwstr>
      </vt:variant>
      <vt:variant>
        <vt:lpwstr/>
      </vt:variant>
      <vt:variant>
        <vt:i4>2162777</vt:i4>
      </vt:variant>
      <vt:variant>
        <vt:i4>15</vt:i4>
      </vt:variant>
      <vt:variant>
        <vt:i4>0</vt:i4>
      </vt:variant>
      <vt:variant>
        <vt:i4>5</vt:i4>
      </vt:variant>
      <vt:variant>
        <vt:lpwstr>mailto:m.mccartney@crownpointenergy.com</vt:lpwstr>
      </vt:variant>
      <vt:variant>
        <vt:lpwstr/>
      </vt:variant>
      <vt:variant>
        <vt:i4>4259923</vt:i4>
      </vt:variant>
      <vt:variant>
        <vt:i4>12</vt:i4>
      </vt:variant>
      <vt:variant>
        <vt:i4>0</vt:i4>
      </vt:variant>
      <vt:variant>
        <vt:i4>5</vt:i4>
      </vt:variant>
      <vt:variant>
        <vt:lpwstr>http://www.crownpointenergy.com/</vt:lpwstr>
      </vt:variant>
      <vt:variant>
        <vt:lpwstr/>
      </vt:variant>
      <vt:variant>
        <vt:i4>4194325</vt:i4>
      </vt:variant>
      <vt:variant>
        <vt:i4>9</vt:i4>
      </vt:variant>
      <vt:variant>
        <vt:i4>0</vt:i4>
      </vt:variant>
      <vt:variant>
        <vt:i4>5</vt:i4>
      </vt:variant>
      <vt:variant>
        <vt:lpwstr>http://www.sedar.com/</vt:lpwstr>
      </vt:variant>
      <vt:variant>
        <vt:lpwstr/>
      </vt:variant>
      <vt:variant>
        <vt:i4>4259923</vt:i4>
      </vt:variant>
      <vt:variant>
        <vt:i4>6</vt:i4>
      </vt:variant>
      <vt:variant>
        <vt:i4>0</vt:i4>
      </vt:variant>
      <vt:variant>
        <vt:i4>5</vt:i4>
      </vt:variant>
      <vt:variant>
        <vt:lpwstr>http://www.crownpointenergy.com/</vt:lpwstr>
      </vt:variant>
      <vt:variant>
        <vt:lpwstr/>
      </vt:variant>
      <vt:variant>
        <vt:i4>4194325</vt:i4>
      </vt:variant>
      <vt:variant>
        <vt:i4>3</vt:i4>
      </vt:variant>
      <vt:variant>
        <vt:i4>0</vt:i4>
      </vt:variant>
      <vt:variant>
        <vt:i4>5</vt:i4>
      </vt:variant>
      <vt:variant>
        <vt:lpwstr>http://www.sedar.com/</vt:lpwstr>
      </vt:variant>
      <vt:variant>
        <vt:lpwstr/>
      </vt:variant>
      <vt:variant>
        <vt:i4>4259923</vt:i4>
      </vt:variant>
      <vt:variant>
        <vt:i4>0</vt:i4>
      </vt:variant>
      <vt:variant>
        <vt:i4>0</vt:i4>
      </vt:variant>
      <vt:variant>
        <vt:i4>5</vt:i4>
      </vt:variant>
      <vt:variant>
        <vt:lpwstr>http://www.crownpointenergy.com/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Seifert</dc:creator>
  <cp:keywords/>
  <dc:description/>
  <cp:lastModifiedBy>Sylvie Welsh</cp:lastModifiedBy>
  <cp:revision>5</cp:revision>
  <cp:lastPrinted>2026-08-06T20:04:00Z</cp:lastPrinted>
  <dcterms:created xsi:type="dcterms:W3CDTF">2026-08-10T23:23:00Z</dcterms:created>
  <dcterms:modified xsi:type="dcterms:W3CDTF">2026-08-10T23:25:00Z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17469215.1</vt:lpwstr>
  </property>
  <property fmtid="{D5CDD505-2E9C-101B-9397-08002B2CF9AE}" pid="3" name="DocXFormat">
    <vt:lpwstr>BDP DOCID</vt:lpwstr>
  </property>
  <property fmtid="{D5CDD505-2E9C-101B-9397-08002B2CF9AE}" pid="4" name="DocXLocation">
    <vt:lpwstr>NoDocId</vt:lpwstr>
  </property>
</Properties>
</file>