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5B7B0" w14:textId="77777777" w:rsidR="00A76D43" w:rsidRDefault="00A76D43" w:rsidP="0070547D">
      <w:pPr>
        <w:widowControl w:val="0"/>
        <w:tabs>
          <w:tab w:val="right" w:pos="9360"/>
        </w:tabs>
        <w:jc w:val="both"/>
        <w:rPr>
          <w:rFonts w:ascii="Arial" w:hAnsi="Arial" w:cs="Arial"/>
          <w:sz w:val="24"/>
        </w:rPr>
      </w:pPr>
    </w:p>
    <w:p w14:paraId="655362D0" w14:textId="63E96C89" w:rsidR="00997CEA" w:rsidRPr="00902562" w:rsidRDefault="00997CEA" w:rsidP="0070547D">
      <w:pPr>
        <w:widowControl w:val="0"/>
        <w:tabs>
          <w:tab w:val="right" w:pos="9360"/>
        </w:tabs>
        <w:jc w:val="both"/>
        <w:rPr>
          <w:rFonts w:ascii="Arial" w:hAnsi="Arial" w:cs="Arial"/>
          <w:sz w:val="24"/>
        </w:rPr>
      </w:pPr>
      <w:r>
        <w:rPr>
          <w:rFonts w:ascii="Arial" w:hAnsi="Arial" w:cs="Arial"/>
          <w:sz w:val="24"/>
        </w:rPr>
        <w:t xml:space="preserve">FOR IMMEDIATE RELEASE </w:t>
      </w:r>
      <w:r>
        <w:rPr>
          <w:rFonts w:ascii="Arial" w:hAnsi="Arial" w:cs="Arial"/>
          <w:sz w:val="24"/>
        </w:rPr>
        <w:tab/>
        <w:t>CWV: TSX.V</w:t>
      </w:r>
    </w:p>
    <w:p w14:paraId="4B02A0D3" w14:textId="3ABC9EDC" w:rsidR="00997CEA" w:rsidRPr="00902562" w:rsidRDefault="00C47CAE" w:rsidP="00D17181">
      <w:pPr>
        <w:widowControl w:val="0"/>
        <w:rPr>
          <w:rFonts w:ascii="Arial" w:hAnsi="Arial" w:cs="Arial"/>
          <w:sz w:val="24"/>
        </w:rPr>
      </w:pPr>
      <w:r>
        <w:rPr>
          <w:rFonts w:ascii="Arial" w:hAnsi="Arial" w:cs="Arial"/>
          <w:sz w:val="24"/>
        </w:rPr>
        <w:t>May</w:t>
      </w:r>
      <w:r w:rsidR="00CD751F">
        <w:rPr>
          <w:rFonts w:ascii="Arial" w:hAnsi="Arial" w:cs="Arial"/>
          <w:sz w:val="24"/>
        </w:rPr>
        <w:t xml:space="preserve"> </w:t>
      </w:r>
      <w:r w:rsidR="007F1D70">
        <w:rPr>
          <w:rFonts w:ascii="Arial" w:hAnsi="Arial" w:cs="Arial"/>
          <w:sz w:val="24"/>
        </w:rPr>
        <w:t>12</w:t>
      </w:r>
      <w:r w:rsidR="00E46032">
        <w:rPr>
          <w:rFonts w:ascii="Arial" w:hAnsi="Arial" w:cs="Arial"/>
          <w:sz w:val="24"/>
        </w:rPr>
        <w:t xml:space="preserve">, </w:t>
      </w:r>
      <w:r w:rsidR="00131320">
        <w:rPr>
          <w:rFonts w:ascii="Arial" w:hAnsi="Arial" w:cs="Arial"/>
          <w:sz w:val="24"/>
        </w:rPr>
        <w:t>202</w:t>
      </w:r>
      <w:r w:rsidR="0053049E">
        <w:rPr>
          <w:rFonts w:ascii="Arial" w:hAnsi="Arial" w:cs="Arial"/>
          <w:sz w:val="24"/>
        </w:rPr>
        <w:t>6</w:t>
      </w:r>
    </w:p>
    <w:p w14:paraId="3EE0A1A2" w14:textId="77777777" w:rsidR="00043229" w:rsidRPr="00902562" w:rsidRDefault="00043229" w:rsidP="00D17181">
      <w:pPr>
        <w:widowControl w:val="0"/>
        <w:rPr>
          <w:rFonts w:ascii="Arial" w:hAnsi="Arial" w:cs="Arial"/>
          <w:b/>
          <w:sz w:val="24"/>
        </w:rPr>
      </w:pPr>
    </w:p>
    <w:p w14:paraId="2A6BB029" w14:textId="77777777" w:rsidR="00CD751F" w:rsidRDefault="00CD751F" w:rsidP="00CD751F">
      <w:pPr>
        <w:widowControl w:val="0"/>
        <w:ind w:left="720"/>
        <w:jc w:val="center"/>
        <w:outlineLvl w:val="0"/>
        <w:rPr>
          <w:rFonts w:ascii="Arial" w:hAnsi="Arial" w:cs="Arial"/>
          <w:b/>
          <w:sz w:val="24"/>
        </w:rPr>
      </w:pPr>
      <w:r>
        <w:rPr>
          <w:rFonts w:ascii="Arial" w:hAnsi="Arial" w:cs="Arial"/>
          <w:b/>
          <w:sz w:val="24"/>
        </w:rPr>
        <w:t>Crown Point Announces Operating and Financial Results</w:t>
      </w:r>
    </w:p>
    <w:p w14:paraId="0051E4FF" w14:textId="1C015425" w:rsidR="00CD751F" w:rsidRDefault="00CD751F" w:rsidP="00CD751F">
      <w:pPr>
        <w:widowControl w:val="0"/>
        <w:ind w:left="720"/>
        <w:jc w:val="center"/>
        <w:outlineLvl w:val="0"/>
        <w:rPr>
          <w:rFonts w:ascii="Arial" w:hAnsi="Arial" w:cs="Arial"/>
          <w:b/>
          <w:sz w:val="24"/>
        </w:rPr>
      </w:pPr>
      <w:r>
        <w:rPr>
          <w:rFonts w:ascii="Arial" w:hAnsi="Arial" w:cs="Arial"/>
          <w:b/>
          <w:sz w:val="24"/>
        </w:rPr>
        <w:t xml:space="preserve">for the Three Months Ended </w:t>
      </w:r>
      <w:r w:rsidR="00C47CAE">
        <w:rPr>
          <w:rFonts w:ascii="Arial" w:hAnsi="Arial" w:cs="Arial"/>
          <w:b/>
          <w:sz w:val="24"/>
        </w:rPr>
        <w:t xml:space="preserve">March </w:t>
      </w:r>
      <w:r>
        <w:rPr>
          <w:rFonts w:ascii="Arial" w:hAnsi="Arial" w:cs="Arial"/>
          <w:b/>
          <w:sz w:val="24"/>
        </w:rPr>
        <w:t xml:space="preserve">31, </w:t>
      </w:r>
      <w:r w:rsidR="00131320">
        <w:rPr>
          <w:rFonts w:ascii="Arial" w:hAnsi="Arial" w:cs="Arial"/>
          <w:b/>
          <w:sz w:val="24"/>
        </w:rPr>
        <w:t>202</w:t>
      </w:r>
      <w:r w:rsidR="0053049E">
        <w:rPr>
          <w:rFonts w:ascii="Arial" w:hAnsi="Arial" w:cs="Arial"/>
          <w:b/>
          <w:sz w:val="24"/>
        </w:rPr>
        <w:t>6</w:t>
      </w:r>
    </w:p>
    <w:p w14:paraId="1A722296" w14:textId="3D566265" w:rsidR="00953B3F" w:rsidRPr="00575C18" w:rsidRDefault="00997CEA" w:rsidP="001C13CF">
      <w:pPr>
        <w:widowControl w:val="0"/>
        <w:tabs>
          <w:tab w:val="left" w:pos="1440"/>
        </w:tabs>
        <w:spacing w:before="120" w:line="240" w:lineRule="atLeast"/>
        <w:jc w:val="both"/>
        <w:rPr>
          <w:rFonts w:ascii="Arial" w:hAnsi="Arial" w:cs="Arial"/>
          <w:sz w:val="20"/>
          <w:szCs w:val="20"/>
        </w:rPr>
      </w:pPr>
      <w:r>
        <w:rPr>
          <w:rFonts w:ascii="Arial" w:hAnsi="Arial" w:cs="Arial"/>
          <w:b/>
          <w:sz w:val="20"/>
          <w:szCs w:val="20"/>
        </w:rPr>
        <w:t xml:space="preserve">TSX-V:  CWV: Crown Point Energy Inc. (“Crown Point”, </w:t>
      </w:r>
      <w:r>
        <w:rPr>
          <w:rFonts w:ascii="Arial" w:hAnsi="Arial" w:cs="Arial"/>
          <w:sz w:val="20"/>
          <w:szCs w:val="20"/>
        </w:rPr>
        <w:t>the</w:t>
      </w:r>
      <w:r>
        <w:rPr>
          <w:rFonts w:ascii="Arial" w:hAnsi="Arial" w:cs="Arial"/>
          <w:b/>
          <w:sz w:val="20"/>
          <w:szCs w:val="20"/>
        </w:rPr>
        <w:t xml:space="preserve"> “Company”</w:t>
      </w:r>
      <w:r w:rsidR="009D775B">
        <w:rPr>
          <w:rFonts w:ascii="Arial" w:hAnsi="Arial" w:cs="Arial"/>
          <w:b/>
          <w:sz w:val="20"/>
          <w:szCs w:val="20"/>
        </w:rPr>
        <w:t xml:space="preserve">, </w:t>
      </w:r>
      <w:r w:rsidR="009D775B" w:rsidRPr="009D775B">
        <w:rPr>
          <w:rFonts w:ascii="Arial" w:hAnsi="Arial" w:cs="Arial"/>
          <w:bCs/>
          <w:sz w:val="20"/>
          <w:szCs w:val="20"/>
        </w:rPr>
        <w:t>"</w:t>
      </w:r>
      <w:r w:rsidR="009D775B">
        <w:rPr>
          <w:rFonts w:ascii="Arial" w:hAnsi="Arial" w:cs="Arial"/>
          <w:b/>
          <w:sz w:val="20"/>
          <w:szCs w:val="20"/>
        </w:rPr>
        <w:t>our</w:t>
      </w:r>
      <w:r w:rsidR="009D775B" w:rsidRPr="009D775B">
        <w:rPr>
          <w:rFonts w:ascii="Arial" w:hAnsi="Arial" w:cs="Arial"/>
          <w:bCs/>
          <w:sz w:val="20"/>
          <w:szCs w:val="20"/>
        </w:rPr>
        <w:t>"</w:t>
      </w:r>
      <w:r>
        <w:rPr>
          <w:rFonts w:ascii="Arial" w:hAnsi="Arial" w:cs="Arial"/>
          <w:b/>
          <w:sz w:val="20"/>
          <w:szCs w:val="20"/>
        </w:rPr>
        <w:t xml:space="preserve"> </w:t>
      </w:r>
      <w:r>
        <w:rPr>
          <w:rFonts w:ascii="Arial" w:hAnsi="Arial" w:cs="Arial"/>
          <w:sz w:val="20"/>
          <w:szCs w:val="20"/>
        </w:rPr>
        <w:t>or</w:t>
      </w:r>
      <w:r>
        <w:rPr>
          <w:rFonts w:ascii="Arial" w:hAnsi="Arial" w:cs="Arial"/>
          <w:b/>
          <w:sz w:val="20"/>
          <w:szCs w:val="20"/>
        </w:rPr>
        <w:t xml:space="preserve"> </w:t>
      </w:r>
      <w:r>
        <w:rPr>
          <w:rFonts w:ascii="Arial" w:hAnsi="Arial" w:cs="Arial"/>
          <w:sz w:val="20"/>
          <w:szCs w:val="20"/>
        </w:rPr>
        <w:t>"</w:t>
      </w:r>
      <w:r>
        <w:rPr>
          <w:rFonts w:ascii="Arial" w:hAnsi="Arial" w:cs="Arial"/>
          <w:b/>
          <w:sz w:val="20"/>
          <w:szCs w:val="20"/>
        </w:rPr>
        <w:t>we</w:t>
      </w:r>
      <w:r>
        <w:rPr>
          <w:rFonts w:ascii="Arial" w:hAnsi="Arial" w:cs="Arial"/>
          <w:sz w:val="20"/>
          <w:szCs w:val="20"/>
        </w:rPr>
        <w:t>"</w:t>
      </w:r>
      <w:r>
        <w:rPr>
          <w:rFonts w:ascii="Arial" w:hAnsi="Arial" w:cs="Arial"/>
          <w:b/>
          <w:sz w:val="20"/>
          <w:szCs w:val="20"/>
        </w:rPr>
        <w:t>)</w:t>
      </w:r>
      <w:r>
        <w:rPr>
          <w:rFonts w:ascii="Arial" w:hAnsi="Arial" w:cs="Arial"/>
          <w:sz w:val="20"/>
          <w:szCs w:val="20"/>
        </w:rPr>
        <w:t xml:space="preserve"> today announced its financial </w:t>
      </w:r>
      <w:r w:rsidR="003A4BAA">
        <w:rPr>
          <w:rFonts w:ascii="Arial" w:hAnsi="Arial" w:cs="Arial"/>
          <w:sz w:val="20"/>
          <w:szCs w:val="20"/>
        </w:rPr>
        <w:t xml:space="preserve">and operating </w:t>
      </w:r>
      <w:r>
        <w:rPr>
          <w:rFonts w:ascii="Arial" w:hAnsi="Arial" w:cs="Arial"/>
          <w:sz w:val="20"/>
          <w:szCs w:val="20"/>
        </w:rPr>
        <w:t xml:space="preserve">results for </w:t>
      </w:r>
      <w:r w:rsidR="009E0594">
        <w:rPr>
          <w:rFonts w:ascii="Arial" w:hAnsi="Arial" w:cs="Arial"/>
          <w:sz w:val="20"/>
          <w:szCs w:val="20"/>
        </w:rPr>
        <w:t>the three</w:t>
      </w:r>
      <w:r w:rsidR="00CD751F">
        <w:rPr>
          <w:rFonts w:ascii="Arial" w:hAnsi="Arial" w:cs="Arial"/>
          <w:sz w:val="20"/>
          <w:szCs w:val="20"/>
        </w:rPr>
        <w:t xml:space="preserve"> months</w:t>
      </w:r>
      <w:r w:rsidR="00A85E85">
        <w:rPr>
          <w:rFonts w:ascii="Arial" w:hAnsi="Arial" w:cs="Arial"/>
          <w:sz w:val="20"/>
          <w:szCs w:val="20"/>
        </w:rPr>
        <w:t xml:space="preserve"> </w:t>
      </w:r>
      <w:r w:rsidR="00CD751F">
        <w:rPr>
          <w:rFonts w:ascii="Arial" w:hAnsi="Arial" w:cs="Arial"/>
          <w:sz w:val="20"/>
          <w:szCs w:val="20"/>
        </w:rPr>
        <w:t>ended</w:t>
      </w:r>
      <w:r w:rsidR="00A85E85">
        <w:rPr>
          <w:rFonts w:ascii="Arial" w:hAnsi="Arial" w:cs="Arial"/>
          <w:sz w:val="20"/>
          <w:szCs w:val="20"/>
        </w:rPr>
        <w:t xml:space="preserve"> </w:t>
      </w:r>
      <w:r w:rsidR="00C47CAE">
        <w:rPr>
          <w:rFonts w:ascii="Arial" w:hAnsi="Arial" w:cs="Arial"/>
          <w:sz w:val="20"/>
          <w:szCs w:val="20"/>
        </w:rPr>
        <w:t>March</w:t>
      </w:r>
      <w:r w:rsidR="00CD751F">
        <w:rPr>
          <w:rFonts w:ascii="Arial" w:hAnsi="Arial" w:cs="Arial"/>
          <w:sz w:val="20"/>
          <w:szCs w:val="20"/>
        </w:rPr>
        <w:t xml:space="preserve"> </w:t>
      </w:r>
      <w:r w:rsidR="00A85E85">
        <w:rPr>
          <w:rFonts w:ascii="Arial" w:hAnsi="Arial" w:cs="Arial"/>
          <w:sz w:val="20"/>
          <w:szCs w:val="20"/>
        </w:rPr>
        <w:t>3</w:t>
      </w:r>
      <w:r w:rsidR="00CD751F">
        <w:rPr>
          <w:rFonts w:ascii="Arial" w:hAnsi="Arial" w:cs="Arial"/>
          <w:sz w:val="20"/>
          <w:szCs w:val="20"/>
        </w:rPr>
        <w:t>1</w:t>
      </w:r>
      <w:r w:rsidR="009E0594">
        <w:rPr>
          <w:rFonts w:ascii="Arial" w:hAnsi="Arial" w:cs="Arial"/>
          <w:sz w:val="20"/>
          <w:szCs w:val="20"/>
        </w:rPr>
        <w:t xml:space="preserve">, </w:t>
      </w:r>
      <w:r w:rsidR="007F1D70">
        <w:rPr>
          <w:rFonts w:ascii="Arial" w:hAnsi="Arial" w:cs="Arial"/>
          <w:sz w:val="20"/>
          <w:szCs w:val="20"/>
        </w:rPr>
        <w:t>2026</w:t>
      </w:r>
      <w:r w:rsidR="009E0594">
        <w:rPr>
          <w:rFonts w:ascii="Arial" w:hAnsi="Arial" w:cs="Arial"/>
          <w:sz w:val="20"/>
          <w:szCs w:val="20"/>
        </w:rPr>
        <w:t>.</w:t>
      </w:r>
      <w:r w:rsidR="00575C18">
        <w:rPr>
          <w:rFonts w:ascii="Arial" w:hAnsi="Arial" w:cs="Arial"/>
          <w:sz w:val="20"/>
          <w:szCs w:val="20"/>
        </w:rPr>
        <w:t xml:space="preserve">  </w:t>
      </w:r>
      <w:r w:rsidR="00AF42C9">
        <w:rPr>
          <w:rFonts w:ascii="Arial" w:hAnsi="Arial" w:cs="Arial"/>
          <w:b/>
          <w:sz w:val="20"/>
          <w:szCs w:val="20"/>
        </w:rPr>
        <w:t>All dollar figures are expressed in United States dollars ("USD") unless otherwise stated.</w:t>
      </w:r>
    </w:p>
    <w:p w14:paraId="390804BE" w14:textId="52D08B11" w:rsidR="00C47CAE" w:rsidRDefault="00CD751F" w:rsidP="00CD751F">
      <w:pPr>
        <w:widowControl w:val="0"/>
        <w:spacing w:before="120"/>
        <w:jc w:val="both"/>
        <w:rPr>
          <w:rFonts w:ascii="Arial" w:hAnsi="Arial" w:cs="Arial"/>
          <w:sz w:val="20"/>
          <w:szCs w:val="20"/>
        </w:rPr>
      </w:pPr>
      <w:r>
        <w:rPr>
          <w:rFonts w:ascii="Arial" w:hAnsi="Arial" w:cs="Arial"/>
          <w:sz w:val="20"/>
          <w:szCs w:val="20"/>
        </w:rPr>
        <w:t xml:space="preserve">In the following discussion, the three months ended </w:t>
      </w:r>
      <w:r w:rsidR="00C47CAE">
        <w:rPr>
          <w:rFonts w:ascii="Arial" w:hAnsi="Arial" w:cs="Arial"/>
          <w:sz w:val="20"/>
          <w:szCs w:val="20"/>
        </w:rPr>
        <w:t>March</w:t>
      </w:r>
      <w:r>
        <w:rPr>
          <w:rFonts w:ascii="Arial" w:hAnsi="Arial" w:cs="Arial"/>
          <w:sz w:val="20"/>
          <w:szCs w:val="20"/>
        </w:rPr>
        <w:t xml:space="preserve"> 31, </w:t>
      </w:r>
      <w:r w:rsidR="00131320">
        <w:rPr>
          <w:rFonts w:ascii="Arial" w:hAnsi="Arial" w:cs="Arial"/>
          <w:sz w:val="20"/>
          <w:szCs w:val="20"/>
        </w:rPr>
        <w:t>202</w:t>
      </w:r>
      <w:r w:rsidR="007F1D70">
        <w:rPr>
          <w:rFonts w:ascii="Arial" w:hAnsi="Arial" w:cs="Arial"/>
          <w:sz w:val="20"/>
          <w:szCs w:val="20"/>
        </w:rPr>
        <w:t>6</w:t>
      </w:r>
      <w:r w:rsidR="00131320">
        <w:rPr>
          <w:rFonts w:ascii="Arial" w:hAnsi="Arial" w:cs="Arial"/>
          <w:sz w:val="20"/>
          <w:szCs w:val="20"/>
        </w:rPr>
        <w:t xml:space="preserve"> </w:t>
      </w:r>
      <w:r>
        <w:rPr>
          <w:rFonts w:ascii="Arial" w:hAnsi="Arial" w:cs="Arial"/>
          <w:sz w:val="20"/>
          <w:szCs w:val="20"/>
        </w:rPr>
        <w:t>may be referred to as “Q</w:t>
      </w:r>
      <w:r w:rsidR="00C47CAE">
        <w:rPr>
          <w:rFonts w:ascii="Arial" w:hAnsi="Arial" w:cs="Arial"/>
          <w:sz w:val="20"/>
          <w:szCs w:val="20"/>
        </w:rPr>
        <w:t>1</w:t>
      </w:r>
      <w:r>
        <w:rPr>
          <w:rFonts w:ascii="Arial" w:hAnsi="Arial" w:cs="Arial"/>
          <w:sz w:val="20"/>
          <w:szCs w:val="20"/>
        </w:rPr>
        <w:t xml:space="preserve"> </w:t>
      </w:r>
      <w:r w:rsidR="00131320">
        <w:rPr>
          <w:rFonts w:ascii="Arial" w:hAnsi="Arial" w:cs="Arial"/>
          <w:sz w:val="20"/>
          <w:szCs w:val="20"/>
        </w:rPr>
        <w:t>202</w:t>
      </w:r>
      <w:r w:rsidR="007F1D70">
        <w:rPr>
          <w:rFonts w:ascii="Arial" w:hAnsi="Arial" w:cs="Arial"/>
          <w:sz w:val="20"/>
          <w:szCs w:val="20"/>
        </w:rPr>
        <w:t>6</w:t>
      </w:r>
      <w:r w:rsidR="00C47CAE">
        <w:rPr>
          <w:rFonts w:ascii="Arial" w:hAnsi="Arial" w:cs="Arial"/>
          <w:sz w:val="20"/>
          <w:szCs w:val="20"/>
        </w:rPr>
        <w:t>”</w:t>
      </w:r>
      <w:r w:rsidR="00507656">
        <w:rPr>
          <w:rFonts w:ascii="Arial" w:hAnsi="Arial" w:cs="Arial"/>
          <w:sz w:val="20"/>
          <w:szCs w:val="20"/>
        </w:rPr>
        <w:t xml:space="preserve"> and </w:t>
      </w:r>
      <w:r w:rsidR="00575C18">
        <w:rPr>
          <w:rFonts w:ascii="Arial" w:hAnsi="Arial" w:cs="Arial"/>
          <w:sz w:val="20"/>
          <w:szCs w:val="20"/>
        </w:rPr>
        <w:t xml:space="preserve">the </w:t>
      </w:r>
      <w:r w:rsidR="00507656">
        <w:rPr>
          <w:rFonts w:ascii="Arial" w:hAnsi="Arial" w:cs="Arial"/>
          <w:sz w:val="20"/>
          <w:szCs w:val="20"/>
        </w:rPr>
        <w:t>three months ended March 31, 202</w:t>
      </w:r>
      <w:r w:rsidR="007F1D70">
        <w:rPr>
          <w:rFonts w:ascii="Arial" w:hAnsi="Arial" w:cs="Arial"/>
          <w:sz w:val="20"/>
          <w:szCs w:val="20"/>
        </w:rPr>
        <w:t>5</w:t>
      </w:r>
      <w:r w:rsidR="00507656">
        <w:rPr>
          <w:rFonts w:ascii="Arial" w:hAnsi="Arial" w:cs="Arial"/>
          <w:sz w:val="20"/>
          <w:szCs w:val="20"/>
        </w:rPr>
        <w:t xml:space="preserve"> may be referred to as “Q1 202</w:t>
      </w:r>
      <w:r w:rsidR="007F1D70">
        <w:rPr>
          <w:rFonts w:ascii="Arial" w:hAnsi="Arial" w:cs="Arial"/>
          <w:sz w:val="20"/>
          <w:szCs w:val="20"/>
        </w:rPr>
        <w:t>5</w:t>
      </w:r>
      <w:r w:rsidR="00507656">
        <w:rPr>
          <w:rFonts w:ascii="Arial" w:hAnsi="Arial" w:cs="Arial"/>
          <w:sz w:val="20"/>
          <w:szCs w:val="20"/>
        </w:rPr>
        <w:t>”</w:t>
      </w:r>
      <w:r>
        <w:rPr>
          <w:rFonts w:ascii="Arial" w:hAnsi="Arial" w:cs="Arial"/>
          <w:sz w:val="20"/>
          <w:szCs w:val="20"/>
        </w:rPr>
        <w:t xml:space="preserve">.  </w:t>
      </w:r>
    </w:p>
    <w:p w14:paraId="0FC864BC" w14:textId="5A0B2A02" w:rsidR="002D3101" w:rsidRPr="00902562" w:rsidRDefault="002D3101" w:rsidP="002D3101">
      <w:pPr>
        <w:widowControl w:val="0"/>
        <w:spacing w:before="120"/>
        <w:jc w:val="both"/>
        <w:rPr>
          <w:rFonts w:ascii="Arial" w:hAnsi="Arial" w:cs="Arial"/>
          <w:b/>
          <w:bCs/>
          <w:caps/>
          <w:color w:val="000000"/>
          <w:sz w:val="20"/>
          <w:szCs w:val="20"/>
        </w:rPr>
      </w:pPr>
      <w:r>
        <w:rPr>
          <w:rFonts w:ascii="Arial" w:hAnsi="Arial" w:cs="Arial"/>
          <w:b/>
          <w:bCs/>
          <w:caps/>
          <w:color w:val="000000"/>
          <w:sz w:val="20"/>
          <w:szCs w:val="20"/>
        </w:rPr>
        <w:t>Q</w:t>
      </w:r>
      <w:r w:rsidR="00C47CAE">
        <w:rPr>
          <w:rFonts w:ascii="Arial" w:hAnsi="Arial" w:cs="Arial"/>
          <w:b/>
          <w:bCs/>
          <w:caps/>
          <w:color w:val="000000"/>
          <w:sz w:val="20"/>
          <w:szCs w:val="20"/>
        </w:rPr>
        <w:t>1</w:t>
      </w:r>
      <w:r>
        <w:rPr>
          <w:rFonts w:ascii="Arial" w:hAnsi="Arial" w:cs="Arial"/>
          <w:b/>
          <w:bCs/>
          <w:caps/>
          <w:color w:val="000000"/>
          <w:sz w:val="20"/>
          <w:szCs w:val="20"/>
        </w:rPr>
        <w:t xml:space="preserve"> </w:t>
      </w:r>
      <w:r w:rsidR="00131320">
        <w:rPr>
          <w:rFonts w:ascii="Arial" w:hAnsi="Arial" w:cs="Arial"/>
          <w:b/>
          <w:bCs/>
          <w:caps/>
          <w:color w:val="000000"/>
          <w:sz w:val="20"/>
          <w:szCs w:val="20"/>
        </w:rPr>
        <w:t>202</w:t>
      </w:r>
      <w:r w:rsidR="007F1D70">
        <w:rPr>
          <w:rFonts w:ascii="Arial" w:hAnsi="Arial" w:cs="Arial"/>
          <w:b/>
          <w:bCs/>
          <w:caps/>
          <w:color w:val="000000"/>
          <w:sz w:val="20"/>
          <w:szCs w:val="20"/>
        </w:rPr>
        <w:t>6</w:t>
      </w:r>
      <w:r w:rsidR="00131320">
        <w:rPr>
          <w:rFonts w:ascii="Arial" w:hAnsi="Arial" w:cs="Arial"/>
          <w:b/>
          <w:bCs/>
          <w:caps/>
          <w:color w:val="000000"/>
          <w:sz w:val="20"/>
          <w:szCs w:val="20"/>
        </w:rPr>
        <w:t xml:space="preserve"> </w:t>
      </w:r>
      <w:r>
        <w:rPr>
          <w:rFonts w:ascii="Arial" w:hAnsi="Arial" w:cs="Arial"/>
          <w:b/>
          <w:bCs/>
          <w:caps/>
          <w:color w:val="000000"/>
          <w:sz w:val="20"/>
          <w:szCs w:val="20"/>
        </w:rPr>
        <w:t>SUMMARY</w:t>
      </w:r>
    </w:p>
    <w:p w14:paraId="15CD3FC4" w14:textId="28CF1A4C" w:rsidR="002D3101" w:rsidRPr="00902562" w:rsidRDefault="002D3101" w:rsidP="002D3101">
      <w:pPr>
        <w:widowControl w:val="0"/>
        <w:autoSpaceDE w:val="0"/>
        <w:autoSpaceDN w:val="0"/>
        <w:adjustRightInd w:val="0"/>
        <w:spacing w:before="120" w:line="240" w:lineRule="atLeast"/>
        <w:jc w:val="both"/>
        <w:rPr>
          <w:rFonts w:ascii="Arial" w:hAnsi="Arial" w:cs="Arial"/>
          <w:sz w:val="20"/>
          <w:szCs w:val="20"/>
        </w:rPr>
      </w:pPr>
      <w:r>
        <w:rPr>
          <w:rFonts w:ascii="Arial" w:hAnsi="Arial" w:cs="Arial"/>
          <w:sz w:val="20"/>
          <w:szCs w:val="20"/>
        </w:rPr>
        <w:t>During Q</w:t>
      </w:r>
      <w:r w:rsidR="00C47CAE">
        <w:rPr>
          <w:rFonts w:ascii="Arial" w:hAnsi="Arial" w:cs="Arial"/>
          <w:sz w:val="20"/>
          <w:szCs w:val="20"/>
        </w:rPr>
        <w:t>1</w:t>
      </w:r>
      <w:r>
        <w:rPr>
          <w:rFonts w:ascii="Arial" w:hAnsi="Arial" w:cs="Arial"/>
          <w:sz w:val="20"/>
          <w:szCs w:val="20"/>
        </w:rPr>
        <w:t xml:space="preserve"> </w:t>
      </w:r>
      <w:r w:rsidR="00131320">
        <w:rPr>
          <w:rFonts w:ascii="Arial" w:hAnsi="Arial" w:cs="Arial"/>
          <w:sz w:val="20"/>
          <w:szCs w:val="20"/>
        </w:rPr>
        <w:t>202</w:t>
      </w:r>
      <w:r w:rsidR="007F1D70">
        <w:rPr>
          <w:rFonts w:ascii="Arial" w:hAnsi="Arial" w:cs="Arial"/>
          <w:sz w:val="20"/>
          <w:szCs w:val="20"/>
        </w:rPr>
        <w:t>6</w:t>
      </w:r>
      <w:r>
        <w:rPr>
          <w:rFonts w:ascii="Arial" w:hAnsi="Arial" w:cs="Arial"/>
          <w:sz w:val="20"/>
          <w:szCs w:val="20"/>
        </w:rPr>
        <w:t>, the Company:</w:t>
      </w:r>
    </w:p>
    <w:p w14:paraId="7E13EFE8" w14:textId="11C707E7" w:rsidR="002D3101" w:rsidRPr="0038594F" w:rsidRDefault="002D3101" w:rsidP="00614DA0">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sidRPr="0038594F">
        <w:rPr>
          <w:rFonts w:ascii="Arial" w:hAnsi="Arial" w:cs="Arial"/>
          <w:sz w:val="20"/>
          <w:szCs w:val="20"/>
        </w:rPr>
        <w:t xml:space="preserve">Reported net cash </w:t>
      </w:r>
      <w:r w:rsidR="007F1D70">
        <w:rPr>
          <w:rFonts w:ascii="Arial" w:hAnsi="Arial" w:cs="Arial"/>
          <w:sz w:val="20"/>
          <w:szCs w:val="20"/>
        </w:rPr>
        <w:t xml:space="preserve">and funds </w:t>
      </w:r>
      <w:r w:rsidR="00DF7B38">
        <w:rPr>
          <w:rFonts w:ascii="Arial" w:hAnsi="Arial" w:cs="Arial"/>
          <w:sz w:val="20"/>
          <w:szCs w:val="20"/>
        </w:rPr>
        <w:t xml:space="preserve">flow </w:t>
      </w:r>
      <w:r w:rsidRPr="0038594F">
        <w:rPr>
          <w:rFonts w:ascii="Arial" w:hAnsi="Arial" w:cs="Arial"/>
          <w:sz w:val="20"/>
          <w:szCs w:val="20"/>
        </w:rPr>
        <w:t>provided by operating activities of $</w:t>
      </w:r>
      <w:r w:rsidR="007F1D70">
        <w:rPr>
          <w:rFonts w:ascii="Arial" w:hAnsi="Arial" w:cs="Arial"/>
          <w:sz w:val="20"/>
          <w:szCs w:val="20"/>
        </w:rPr>
        <w:t>6.5</w:t>
      </w:r>
      <w:r w:rsidR="00131320" w:rsidRPr="0038594F">
        <w:rPr>
          <w:rFonts w:ascii="Arial" w:hAnsi="Arial" w:cs="Arial"/>
          <w:sz w:val="20"/>
          <w:szCs w:val="20"/>
        </w:rPr>
        <w:t xml:space="preserve"> </w:t>
      </w:r>
      <w:r w:rsidRPr="0038594F">
        <w:rPr>
          <w:rFonts w:ascii="Arial" w:hAnsi="Arial" w:cs="Arial"/>
          <w:sz w:val="20"/>
          <w:szCs w:val="20"/>
        </w:rPr>
        <w:t>million</w:t>
      </w:r>
      <w:r w:rsidR="00715734" w:rsidRPr="0038594F">
        <w:rPr>
          <w:rFonts w:ascii="Arial" w:hAnsi="Arial" w:cs="Arial"/>
          <w:sz w:val="20"/>
          <w:szCs w:val="20"/>
        </w:rPr>
        <w:t xml:space="preserve"> and $</w:t>
      </w:r>
      <w:r w:rsidR="007F1D70">
        <w:rPr>
          <w:rFonts w:ascii="Arial" w:hAnsi="Arial" w:cs="Arial"/>
          <w:sz w:val="20"/>
          <w:szCs w:val="20"/>
        </w:rPr>
        <w:t>11.7</w:t>
      </w:r>
      <w:r w:rsidR="00715734" w:rsidRPr="0038594F">
        <w:rPr>
          <w:rFonts w:ascii="Arial" w:hAnsi="Arial" w:cs="Arial"/>
          <w:sz w:val="20"/>
          <w:szCs w:val="20"/>
        </w:rPr>
        <w:t xml:space="preserve"> million</w:t>
      </w:r>
      <w:r w:rsidR="007664BA" w:rsidRPr="0038594F">
        <w:rPr>
          <w:rFonts w:ascii="Arial" w:hAnsi="Arial" w:cs="Arial"/>
          <w:sz w:val="20"/>
          <w:szCs w:val="20"/>
        </w:rPr>
        <w:t>, respectively</w:t>
      </w:r>
      <w:r w:rsidR="0038594F">
        <w:rPr>
          <w:rFonts w:ascii="Arial" w:hAnsi="Arial" w:cs="Arial"/>
          <w:sz w:val="20"/>
          <w:szCs w:val="20"/>
        </w:rPr>
        <w:t>,</w:t>
      </w:r>
      <w:r w:rsidR="0038594F" w:rsidRPr="0038594F">
        <w:rPr>
          <w:rFonts w:ascii="Arial" w:hAnsi="Arial" w:cs="Arial"/>
          <w:sz w:val="20"/>
          <w:szCs w:val="20"/>
        </w:rPr>
        <w:t xml:space="preserve"> as compared to Q1 202</w:t>
      </w:r>
      <w:r w:rsidR="00EC0979">
        <w:rPr>
          <w:rFonts w:ascii="Arial" w:hAnsi="Arial" w:cs="Arial"/>
          <w:sz w:val="20"/>
          <w:szCs w:val="20"/>
        </w:rPr>
        <w:t>5</w:t>
      </w:r>
      <w:r w:rsidR="0038594F" w:rsidRPr="0038594F">
        <w:rPr>
          <w:rFonts w:ascii="Arial" w:hAnsi="Arial" w:cs="Arial"/>
          <w:sz w:val="20"/>
          <w:szCs w:val="20"/>
        </w:rPr>
        <w:t xml:space="preserve"> when the Company </w:t>
      </w:r>
      <w:r w:rsidR="00EC0979">
        <w:rPr>
          <w:rFonts w:ascii="Arial" w:hAnsi="Arial" w:cs="Arial"/>
          <w:sz w:val="20"/>
          <w:szCs w:val="20"/>
        </w:rPr>
        <w:t>r</w:t>
      </w:r>
      <w:r w:rsidR="00EC0979" w:rsidRPr="0038594F">
        <w:rPr>
          <w:rFonts w:ascii="Arial" w:hAnsi="Arial" w:cs="Arial"/>
          <w:sz w:val="20"/>
          <w:szCs w:val="20"/>
        </w:rPr>
        <w:t>eported net cash provided by operating activities and funds flow used in operating activities of $3.1 million and $0.3 million</w:t>
      </w:r>
      <w:r w:rsidR="0038594F">
        <w:rPr>
          <w:rFonts w:ascii="Arial" w:hAnsi="Arial" w:cs="Arial"/>
          <w:sz w:val="20"/>
          <w:szCs w:val="20"/>
        </w:rPr>
        <w:t>, respectively</w:t>
      </w:r>
      <w:r w:rsidR="0038594F" w:rsidRPr="0038594F">
        <w:rPr>
          <w:rFonts w:ascii="Arial" w:hAnsi="Arial" w:cs="Arial"/>
          <w:sz w:val="20"/>
          <w:szCs w:val="20"/>
        </w:rPr>
        <w:t>;</w:t>
      </w:r>
      <w:r w:rsidR="007E4CAF" w:rsidRPr="0038594F">
        <w:rPr>
          <w:rFonts w:ascii="Arial" w:hAnsi="Arial" w:cs="Arial"/>
          <w:sz w:val="20"/>
          <w:szCs w:val="20"/>
        </w:rPr>
        <w:tab/>
      </w:r>
    </w:p>
    <w:p w14:paraId="5DE78FD7" w14:textId="07DAADC0"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Earned $</w:t>
      </w:r>
      <w:r w:rsidR="00160B5D">
        <w:rPr>
          <w:rFonts w:ascii="Arial" w:hAnsi="Arial" w:cs="Arial"/>
          <w:sz w:val="20"/>
          <w:szCs w:val="20"/>
        </w:rPr>
        <w:t>44.5</w:t>
      </w:r>
      <w:r w:rsidR="00131320">
        <w:rPr>
          <w:rFonts w:ascii="Arial" w:hAnsi="Arial" w:cs="Arial"/>
          <w:sz w:val="20"/>
          <w:szCs w:val="20"/>
        </w:rPr>
        <w:t xml:space="preserve"> </w:t>
      </w:r>
      <w:r>
        <w:rPr>
          <w:rFonts w:ascii="Arial" w:hAnsi="Arial" w:cs="Arial"/>
          <w:sz w:val="20"/>
          <w:szCs w:val="20"/>
        </w:rPr>
        <w:t xml:space="preserve">million of oil and natural gas sales revenue on total average daily sales volumes of </w:t>
      </w:r>
      <w:r w:rsidR="00160B5D">
        <w:rPr>
          <w:rFonts w:ascii="Arial" w:hAnsi="Arial" w:cs="Arial"/>
          <w:sz w:val="20"/>
          <w:szCs w:val="20"/>
        </w:rPr>
        <w:t>7,875</w:t>
      </w:r>
      <w:r w:rsidR="00131320">
        <w:rPr>
          <w:rFonts w:ascii="Arial" w:hAnsi="Arial" w:cs="Arial"/>
          <w:sz w:val="20"/>
          <w:szCs w:val="20"/>
        </w:rPr>
        <w:t xml:space="preserve"> </w:t>
      </w:r>
      <w:r>
        <w:rPr>
          <w:rFonts w:ascii="Arial" w:hAnsi="Arial" w:cs="Arial"/>
          <w:sz w:val="20"/>
          <w:szCs w:val="20"/>
        </w:rPr>
        <w:t>BOE per day</w:t>
      </w:r>
      <w:r w:rsidR="00FD7A6E">
        <w:rPr>
          <w:rFonts w:ascii="Arial" w:hAnsi="Arial" w:cs="Arial"/>
          <w:sz w:val="20"/>
          <w:szCs w:val="20"/>
        </w:rPr>
        <w:t>,</w:t>
      </w:r>
      <w:r w:rsidR="0038594F">
        <w:rPr>
          <w:rFonts w:ascii="Arial" w:hAnsi="Arial" w:cs="Arial"/>
          <w:sz w:val="20"/>
          <w:szCs w:val="20"/>
        </w:rPr>
        <w:t xml:space="preserve"> </w:t>
      </w:r>
      <w:r w:rsidR="0038594F" w:rsidRPr="0038594F">
        <w:rPr>
          <w:rFonts w:ascii="Arial" w:hAnsi="Arial" w:cs="Arial"/>
          <w:sz w:val="20"/>
          <w:szCs w:val="20"/>
        </w:rPr>
        <w:t xml:space="preserve">higher </w:t>
      </w:r>
      <w:r w:rsidR="0038594F">
        <w:rPr>
          <w:rFonts w:ascii="Arial" w:hAnsi="Arial" w:cs="Arial"/>
          <w:sz w:val="20"/>
          <w:szCs w:val="20"/>
        </w:rPr>
        <w:t>than $</w:t>
      </w:r>
      <w:r w:rsidR="00160B5D">
        <w:rPr>
          <w:rFonts w:ascii="Arial" w:hAnsi="Arial" w:cs="Arial"/>
          <w:sz w:val="20"/>
          <w:szCs w:val="20"/>
        </w:rPr>
        <w:t>2</w:t>
      </w:r>
      <w:r w:rsidR="00177C5A">
        <w:rPr>
          <w:rFonts w:ascii="Arial" w:hAnsi="Arial" w:cs="Arial"/>
          <w:sz w:val="20"/>
          <w:szCs w:val="20"/>
        </w:rPr>
        <w:t>3</w:t>
      </w:r>
      <w:r w:rsidR="00160B5D">
        <w:rPr>
          <w:rFonts w:ascii="Arial" w:hAnsi="Arial" w:cs="Arial"/>
          <w:sz w:val="20"/>
          <w:szCs w:val="20"/>
        </w:rPr>
        <w:t>.5</w:t>
      </w:r>
      <w:r w:rsidR="0038594F">
        <w:rPr>
          <w:rFonts w:ascii="Arial" w:hAnsi="Arial" w:cs="Arial"/>
          <w:sz w:val="20"/>
          <w:szCs w:val="20"/>
        </w:rPr>
        <w:t xml:space="preserve"> million of oil and natural gas sales revenue on total average daily sales volumes of </w:t>
      </w:r>
      <w:r w:rsidR="00160B5D">
        <w:rPr>
          <w:rFonts w:ascii="Arial" w:hAnsi="Arial" w:cs="Arial"/>
          <w:sz w:val="20"/>
          <w:szCs w:val="20"/>
        </w:rPr>
        <w:t>4,280</w:t>
      </w:r>
      <w:r w:rsidR="0038594F" w:rsidRPr="0038594F">
        <w:rPr>
          <w:rFonts w:ascii="Arial" w:hAnsi="Arial" w:cs="Arial"/>
          <w:sz w:val="20"/>
          <w:szCs w:val="20"/>
        </w:rPr>
        <w:t xml:space="preserve"> BOE per day in Q1 202</w:t>
      </w:r>
      <w:r w:rsidR="00160B5D">
        <w:rPr>
          <w:rFonts w:ascii="Arial" w:hAnsi="Arial" w:cs="Arial"/>
          <w:sz w:val="20"/>
          <w:szCs w:val="20"/>
        </w:rPr>
        <w:t>5</w:t>
      </w:r>
      <w:r w:rsidR="0038594F" w:rsidRPr="0038594F">
        <w:rPr>
          <w:rFonts w:ascii="Arial" w:hAnsi="Arial" w:cs="Arial"/>
          <w:sz w:val="20"/>
          <w:szCs w:val="20"/>
        </w:rPr>
        <w:t xml:space="preserve"> due to oil sales from the </w:t>
      </w:r>
      <w:r w:rsidR="00160B5D">
        <w:rPr>
          <w:rFonts w:ascii="Arial" w:hAnsi="Arial" w:cs="Arial"/>
          <w:sz w:val="20"/>
          <w:szCs w:val="20"/>
        </w:rPr>
        <w:t>Chubut concessions</w:t>
      </w:r>
      <w:r w:rsidR="00FD7A6E">
        <w:rPr>
          <w:rFonts w:ascii="Arial" w:hAnsi="Arial" w:cs="Arial"/>
          <w:sz w:val="20"/>
          <w:szCs w:val="20"/>
        </w:rPr>
        <w:t xml:space="preserve"> acquired in the fourth quarter of 2025</w:t>
      </w:r>
      <w:r w:rsidR="000E7F93">
        <w:rPr>
          <w:rFonts w:ascii="Arial" w:hAnsi="Arial" w:cs="Arial"/>
          <w:sz w:val="20"/>
          <w:szCs w:val="20"/>
        </w:rPr>
        <w:t>;</w:t>
      </w:r>
    </w:p>
    <w:p w14:paraId="17860EFD" w14:textId="3E96B622"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Received an average of $</w:t>
      </w:r>
      <w:r w:rsidR="00160B5D">
        <w:rPr>
          <w:rFonts w:ascii="Arial" w:hAnsi="Arial" w:cs="Arial"/>
          <w:sz w:val="20"/>
          <w:szCs w:val="20"/>
        </w:rPr>
        <w:t>3.20</w:t>
      </w:r>
      <w:r w:rsidR="00BE4A40">
        <w:rPr>
          <w:rFonts w:ascii="Arial" w:hAnsi="Arial" w:cs="Arial"/>
          <w:sz w:val="20"/>
          <w:szCs w:val="20"/>
        </w:rPr>
        <w:t xml:space="preserve"> </w:t>
      </w:r>
      <w:r>
        <w:rPr>
          <w:rFonts w:ascii="Arial" w:hAnsi="Arial" w:cs="Arial"/>
          <w:sz w:val="20"/>
          <w:szCs w:val="20"/>
        </w:rPr>
        <w:t>per mcf for natural gas and $</w:t>
      </w:r>
      <w:r w:rsidR="00160B5D">
        <w:rPr>
          <w:rFonts w:ascii="Arial" w:hAnsi="Arial" w:cs="Arial"/>
          <w:sz w:val="20"/>
          <w:szCs w:val="20"/>
        </w:rPr>
        <w:t>70.87</w:t>
      </w:r>
      <w:r w:rsidR="00131320">
        <w:rPr>
          <w:rFonts w:ascii="Arial" w:hAnsi="Arial" w:cs="Arial"/>
          <w:sz w:val="20"/>
          <w:szCs w:val="20"/>
        </w:rPr>
        <w:t xml:space="preserve"> </w:t>
      </w:r>
      <w:r>
        <w:rPr>
          <w:rFonts w:ascii="Arial" w:hAnsi="Arial" w:cs="Arial"/>
          <w:sz w:val="20"/>
          <w:szCs w:val="20"/>
        </w:rPr>
        <w:t xml:space="preserve">per bbl for </w:t>
      </w:r>
      <w:r w:rsidR="00FD7A6E">
        <w:rPr>
          <w:rFonts w:ascii="Arial" w:hAnsi="Arial" w:cs="Arial"/>
          <w:sz w:val="20"/>
          <w:szCs w:val="20"/>
        </w:rPr>
        <w:t xml:space="preserve">crude </w:t>
      </w:r>
      <w:r>
        <w:rPr>
          <w:rFonts w:ascii="Arial" w:hAnsi="Arial" w:cs="Arial"/>
          <w:sz w:val="20"/>
          <w:szCs w:val="20"/>
        </w:rPr>
        <w:t>oil</w:t>
      </w:r>
      <w:r w:rsidR="0038594F">
        <w:rPr>
          <w:rFonts w:ascii="Arial" w:hAnsi="Arial" w:cs="Arial"/>
          <w:sz w:val="20"/>
          <w:szCs w:val="20"/>
        </w:rPr>
        <w:t xml:space="preserve"> </w:t>
      </w:r>
      <w:r w:rsidR="0038594F" w:rsidRPr="0038594F">
        <w:rPr>
          <w:rFonts w:ascii="Arial" w:hAnsi="Arial" w:cs="Arial"/>
          <w:sz w:val="20"/>
          <w:szCs w:val="20"/>
        </w:rPr>
        <w:t>compared to $</w:t>
      </w:r>
      <w:r w:rsidR="00160B5D">
        <w:rPr>
          <w:rFonts w:ascii="Arial" w:hAnsi="Arial" w:cs="Arial"/>
          <w:sz w:val="20"/>
          <w:szCs w:val="20"/>
        </w:rPr>
        <w:t xml:space="preserve">2.46 </w:t>
      </w:r>
      <w:r w:rsidR="0038594F" w:rsidRPr="0038594F">
        <w:rPr>
          <w:rFonts w:ascii="Arial" w:hAnsi="Arial" w:cs="Arial"/>
          <w:sz w:val="20"/>
          <w:szCs w:val="20"/>
        </w:rPr>
        <w:t>per mcf for natural gas and $</w:t>
      </w:r>
      <w:r w:rsidR="00160B5D">
        <w:rPr>
          <w:rFonts w:ascii="Arial" w:hAnsi="Arial" w:cs="Arial"/>
          <w:sz w:val="20"/>
          <w:szCs w:val="20"/>
        </w:rPr>
        <w:t xml:space="preserve">69.73 </w:t>
      </w:r>
      <w:r w:rsidR="0038594F" w:rsidRPr="0038594F">
        <w:rPr>
          <w:rFonts w:ascii="Arial" w:hAnsi="Arial" w:cs="Arial"/>
          <w:sz w:val="20"/>
          <w:szCs w:val="20"/>
        </w:rPr>
        <w:t>per bbl for oil received in Q1 202</w:t>
      </w:r>
      <w:r w:rsidR="00160B5D">
        <w:rPr>
          <w:rFonts w:ascii="Arial" w:hAnsi="Arial" w:cs="Arial"/>
          <w:sz w:val="20"/>
          <w:szCs w:val="20"/>
        </w:rPr>
        <w:t>5</w:t>
      </w:r>
      <w:r w:rsidR="0038594F" w:rsidRPr="0038594F">
        <w:rPr>
          <w:rFonts w:ascii="Arial" w:hAnsi="Arial" w:cs="Arial"/>
          <w:sz w:val="20"/>
          <w:szCs w:val="20"/>
        </w:rPr>
        <w:t>;</w:t>
      </w:r>
    </w:p>
    <w:p w14:paraId="0CF9B842" w14:textId="363F291F"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Reported an operating netback of $</w:t>
      </w:r>
      <w:r w:rsidR="00160B5D">
        <w:rPr>
          <w:rFonts w:ascii="Arial" w:hAnsi="Arial" w:cs="Arial"/>
          <w:sz w:val="20"/>
          <w:szCs w:val="20"/>
        </w:rPr>
        <w:t>11.96</w:t>
      </w:r>
      <w:r>
        <w:rPr>
          <w:rFonts w:ascii="Arial" w:hAnsi="Arial" w:cs="Arial"/>
          <w:sz w:val="20"/>
          <w:szCs w:val="20"/>
        </w:rPr>
        <w:t xml:space="preserve"> per BOE </w:t>
      </w:r>
      <w:r>
        <w:rPr>
          <w:rStyle w:val="FootnoteReference"/>
          <w:rFonts w:ascii="Arial" w:hAnsi="Arial" w:cs="Arial"/>
          <w:sz w:val="20"/>
          <w:szCs w:val="20"/>
        </w:rPr>
        <w:footnoteReference w:id="2"/>
      </w:r>
      <w:r w:rsidR="0038594F">
        <w:rPr>
          <w:rFonts w:ascii="Arial" w:hAnsi="Arial" w:cs="Arial"/>
          <w:sz w:val="20"/>
          <w:szCs w:val="20"/>
        </w:rPr>
        <w:t xml:space="preserve"> </w:t>
      </w:r>
      <w:r w:rsidR="00160B5D">
        <w:rPr>
          <w:rFonts w:ascii="Arial" w:hAnsi="Arial" w:cs="Arial"/>
          <w:sz w:val="20"/>
          <w:szCs w:val="20"/>
        </w:rPr>
        <w:t>up</w:t>
      </w:r>
      <w:r w:rsidR="0038594F" w:rsidRPr="0038594F">
        <w:rPr>
          <w:rFonts w:ascii="Arial" w:hAnsi="Arial" w:cs="Arial"/>
          <w:sz w:val="20"/>
          <w:szCs w:val="20"/>
        </w:rPr>
        <w:t xml:space="preserve"> from </w:t>
      </w:r>
      <w:r w:rsidR="0038594F">
        <w:rPr>
          <w:rFonts w:ascii="Arial" w:hAnsi="Arial" w:cs="Arial"/>
          <w:sz w:val="20"/>
          <w:szCs w:val="20"/>
        </w:rPr>
        <w:t>$</w:t>
      </w:r>
      <w:r w:rsidR="00160B5D">
        <w:rPr>
          <w:rFonts w:ascii="Arial" w:hAnsi="Arial" w:cs="Arial"/>
          <w:sz w:val="20"/>
          <w:szCs w:val="20"/>
        </w:rPr>
        <w:t>2.50</w:t>
      </w:r>
      <w:r w:rsidR="0038594F">
        <w:rPr>
          <w:rFonts w:ascii="Arial" w:hAnsi="Arial" w:cs="Arial"/>
          <w:sz w:val="20"/>
          <w:szCs w:val="20"/>
        </w:rPr>
        <w:t xml:space="preserve"> per BOE in Q1 202</w:t>
      </w:r>
      <w:r w:rsidR="00160B5D">
        <w:rPr>
          <w:rFonts w:ascii="Arial" w:hAnsi="Arial" w:cs="Arial"/>
          <w:sz w:val="20"/>
          <w:szCs w:val="20"/>
        </w:rPr>
        <w:t>5</w:t>
      </w:r>
      <w:r>
        <w:rPr>
          <w:rFonts w:ascii="Arial" w:hAnsi="Arial" w:cs="Arial"/>
          <w:sz w:val="20"/>
          <w:szCs w:val="20"/>
        </w:rPr>
        <w:t xml:space="preserve">; </w:t>
      </w:r>
    </w:p>
    <w:p w14:paraId="737C1EDC" w14:textId="4AD3CCC2" w:rsidR="009D02A2" w:rsidRDefault="00736E1F"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Issued</w:t>
      </w:r>
      <w:r w:rsidR="002D3101" w:rsidRPr="009D02A2">
        <w:rPr>
          <w:rFonts w:ascii="Arial" w:hAnsi="Arial" w:cs="Arial"/>
          <w:sz w:val="20"/>
          <w:szCs w:val="20"/>
        </w:rPr>
        <w:t xml:space="preserve"> </w:t>
      </w:r>
      <w:r w:rsidR="00160B5D">
        <w:rPr>
          <w:rFonts w:ascii="Arial" w:hAnsi="Arial" w:cs="Arial"/>
          <w:sz w:val="20"/>
          <w:szCs w:val="20"/>
        </w:rPr>
        <w:t>$</w:t>
      </w:r>
      <w:r>
        <w:rPr>
          <w:rFonts w:ascii="Arial" w:hAnsi="Arial" w:cs="Arial"/>
          <w:sz w:val="20"/>
          <w:szCs w:val="20"/>
        </w:rPr>
        <w:t>30.0</w:t>
      </w:r>
      <w:r w:rsidR="00160B5D">
        <w:rPr>
          <w:rFonts w:ascii="Arial" w:hAnsi="Arial" w:cs="Arial"/>
          <w:sz w:val="20"/>
          <w:szCs w:val="20"/>
        </w:rPr>
        <w:t xml:space="preserve"> million </w:t>
      </w:r>
      <w:r>
        <w:rPr>
          <w:rFonts w:ascii="Arial" w:hAnsi="Arial" w:cs="Arial"/>
          <w:sz w:val="20"/>
          <w:szCs w:val="20"/>
        </w:rPr>
        <w:t xml:space="preserve">of </w:t>
      </w:r>
      <w:r w:rsidR="00160B5D">
        <w:rPr>
          <w:rFonts w:ascii="Arial" w:hAnsi="Arial" w:cs="Arial"/>
          <w:sz w:val="20"/>
          <w:szCs w:val="20"/>
        </w:rPr>
        <w:t>notes payable</w:t>
      </w:r>
      <w:r>
        <w:rPr>
          <w:rFonts w:ascii="Arial" w:hAnsi="Arial" w:cs="Arial"/>
          <w:sz w:val="20"/>
          <w:szCs w:val="20"/>
        </w:rPr>
        <w:t>,</w:t>
      </w:r>
      <w:r w:rsidR="00160B5D">
        <w:rPr>
          <w:rFonts w:ascii="Arial" w:hAnsi="Arial" w:cs="Arial"/>
          <w:sz w:val="20"/>
          <w:szCs w:val="20"/>
        </w:rPr>
        <w:t xml:space="preserve"> </w:t>
      </w:r>
      <w:r>
        <w:rPr>
          <w:rFonts w:ascii="Arial" w:hAnsi="Arial" w:cs="Arial"/>
          <w:sz w:val="20"/>
          <w:szCs w:val="20"/>
        </w:rPr>
        <w:t xml:space="preserve">obtained a </w:t>
      </w:r>
      <w:r w:rsidR="002D3101" w:rsidRPr="009D02A2">
        <w:rPr>
          <w:rFonts w:ascii="Arial" w:hAnsi="Arial" w:cs="Arial"/>
          <w:sz w:val="20"/>
          <w:szCs w:val="20"/>
        </w:rPr>
        <w:t>$</w:t>
      </w:r>
      <w:r w:rsidR="00160B5D">
        <w:rPr>
          <w:rFonts w:ascii="Arial" w:hAnsi="Arial" w:cs="Arial"/>
          <w:sz w:val="20"/>
          <w:szCs w:val="20"/>
        </w:rPr>
        <w:t>2.5</w:t>
      </w:r>
      <w:r w:rsidR="00BE4A40" w:rsidRPr="009D02A2">
        <w:rPr>
          <w:rFonts w:ascii="Arial" w:hAnsi="Arial" w:cs="Arial"/>
          <w:sz w:val="20"/>
          <w:szCs w:val="20"/>
        </w:rPr>
        <w:t xml:space="preserve"> </w:t>
      </w:r>
      <w:r w:rsidR="002D3101" w:rsidRPr="009D02A2">
        <w:rPr>
          <w:rFonts w:ascii="Arial" w:hAnsi="Arial" w:cs="Arial"/>
          <w:sz w:val="20"/>
          <w:szCs w:val="20"/>
        </w:rPr>
        <w:t>million</w:t>
      </w:r>
      <w:r w:rsidR="007E4CAF" w:rsidRPr="009D02A2">
        <w:rPr>
          <w:rFonts w:ascii="Arial" w:hAnsi="Arial" w:cs="Arial"/>
          <w:sz w:val="20"/>
          <w:szCs w:val="20"/>
        </w:rPr>
        <w:t xml:space="preserve"> </w:t>
      </w:r>
      <w:r w:rsidR="002D3101" w:rsidRPr="009D02A2">
        <w:rPr>
          <w:rFonts w:ascii="Arial" w:hAnsi="Arial" w:cs="Arial"/>
          <w:sz w:val="20"/>
          <w:szCs w:val="20"/>
        </w:rPr>
        <w:t>working capital</w:t>
      </w:r>
      <w:r w:rsidR="00160B5D">
        <w:rPr>
          <w:rFonts w:ascii="Arial" w:hAnsi="Arial" w:cs="Arial"/>
          <w:sz w:val="20"/>
          <w:szCs w:val="20"/>
        </w:rPr>
        <w:t xml:space="preserve"> loan</w:t>
      </w:r>
      <w:r w:rsidR="009D02A2">
        <w:rPr>
          <w:rFonts w:ascii="Arial" w:hAnsi="Arial" w:cs="Arial"/>
          <w:sz w:val="20"/>
          <w:szCs w:val="20"/>
        </w:rPr>
        <w:t xml:space="preserve"> </w:t>
      </w:r>
      <w:r w:rsidR="00545595">
        <w:rPr>
          <w:rFonts w:ascii="Arial" w:hAnsi="Arial" w:cs="Arial"/>
          <w:sz w:val="20"/>
          <w:szCs w:val="20"/>
        </w:rPr>
        <w:t xml:space="preserve">and </w:t>
      </w:r>
      <w:r w:rsidR="009D02A2" w:rsidRPr="009D02A2">
        <w:rPr>
          <w:rFonts w:ascii="Arial" w:hAnsi="Arial" w:cs="Arial"/>
          <w:sz w:val="20"/>
          <w:szCs w:val="20"/>
        </w:rPr>
        <w:t xml:space="preserve">repaid </w:t>
      </w:r>
      <w:r w:rsidR="009D02A2" w:rsidRPr="007E4CAF">
        <w:rPr>
          <w:rFonts w:ascii="Arial" w:hAnsi="Arial" w:cs="Arial"/>
          <w:sz w:val="20"/>
          <w:szCs w:val="20"/>
        </w:rPr>
        <w:t>$</w:t>
      </w:r>
      <w:r w:rsidR="00160B5D">
        <w:rPr>
          <w:rFonts w:ascii="Arial" w:hAnsi="Arial" w:cs="Arial"/>
          <w:sz w:val="20"/>
          <w:szCs w:val="20"/>
        </w:rPr>
        <w:t>7.2</w:t>
      </w:r>
      <w:r w:rsidR="009D02A2" w:rsidRPr="007E4CAF">
        <w:rPr>
          <w:rFonts w:ascii="Arial" w:hAnsi="Arial" w:cs="Arial"/>
          <w:sz w:val="20"/>
          <w:szCs w:val="20"/>
        </w:rPr>
        <w:t xml:space="preserve"> million</w:t>
      </w:r>
      <w:r w:rsidR="009D02A2">
        <w:rPr>
          <w:rFonts w:ascii="Arial" w:hAnsi="Arial" w:cs="Arial"/>
          <w:sz w:val="20"/>
          <w:szCs w:val="20"/>
        </w:rPr>
        <w:t xml:space="preserve"> of notes payable and $</w:t>
      </w:r>
      <w:r w:rsidR="00160B5D">
        <w:rPr>
          <w:rFonts w:ascii="Arial" w:hAnsi="Arial" w:cs="Arial"/>
          <w:sz w:val="20"/>
          <w:szCs w:val="20"/>
        </w:rPr>
        <w:t>14.3</w:t>
      </w:r>
      <w:r w:rsidR="009D02A2">
        <w:rPr>
          <w:rFonts w:ascii="Arial" w:hAnsi="Arial" w:cs="Arial"/>
          <w:sz w:val="20"/>
          <w:szCs w:val="20"/>
        </w:rPr>
        <w:t xml:space="preserve"> million of </w:t>
      </w:r>
      <w:r w:rsidR="009D02A2" w:rsidRPr="009D02A2">
        <w:rPr>
          <w:rFonts w:ascii="Arial" w:hAnsi="Arial" w:cs="Arial"/>
          <w:sz w:val="20"/>
          <w:szCs w:val="20"/>
        </w:rPr>
        <w:t xml:space="preserve">working capital </w:t>
      </w:r>
      <w:r w:rsidR="00131320">
        <w:rPr>
          <w:rFonts w:ascii="Arial" w:hAnsi="Arial" w:cs="Arial"/>
          <w:sz w:val="20"/>
          <w:szCs w:val="20"/>
        </w:rPr>
        <w:t>loans</w:t>
      </w:r>
      <w:r w:rsidR="00177C5A">
        <w:rPr>
          <w:rFonts w:ascii="Arial" w:hAnsi="Arial" w:cs="Arial"/>
          <w:sz w:val="20"/>
          <w:szCs w:val="20"/>
        </w:rPr>
        <w:t xml:space="preserve"> and </w:t>
      </w:r>
      <w:r>
        <w:rPr>
          <w:rFonts w:ascii="Arial" w:hAnsi="Arial" w:cs="Arial"/>
          <w:sz w:val="20"/>
          <w:szCs w:val="20"/>
        </w:rPr>
        <w:t xml:space="preserve">discounted </w:t>
      </w:r>
      <w:r w:rsidR="00177C5A" w:rsidRPr="00177C5A">
        <w:rPr>
          <w:rFonts w:ascii="Arial" w:hAnsi="Arial" w:cs="Arial"/>
          <w:sz w:val="20"/>
          <w:szCs w:val="20"/>
        </w:rPr>
        <w:t>promissory notes</w:t>
      </w:r>
      <w:r w:rsidR="00276378">
        <w:rPr>
          <w:rFonts w:ascii="Arial" w:hAnsi="Arial" w:cs="Arial"/>
          <w:sz w:val="20"/>
          <w:szCs w:val="20"/>
        </w:rPr>
        <w:t>;</w:t>
      </w:r>
    </w:p>
    <w:p w14:paraId="25105F80" w14:textId="5391A93A" w:rsidR="002D3101" w:rsidRPr="009D02A2"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sidRPr="009D02A2">
        <w:rPr>
          <w:rFonts w:ascii="Arial" w:hAnsi="Arial" w:cs="Arial"/>
          <w:sz w:val="20"/>
          <w:szCs w:val="20"/>
        </w:rPr>
        <w:t xml:space="preserve">Reported </w:t>
      </w:r>
      <w:r w:rsidR="00131320">
        <w:rPr>
          <w:rFonts w:ascii="Arial" w:hAnsi="Arial" w:cs="Arial"/>
          <w:sz w:val="20"/>
          <w:szCs w:val="20"/>
        </w:rPr>
        <w:t xml:space="preserve">income </w:t>
      </w:r>
      <w:r w:rsidRPr="009D02A2">
        <w:rPr>
          <w:rFonts w:ascii="Arial" w:hAnsi="Arial" w:cs="Arial"/>
          <w:sz w:val="20"/>
          <w:szCs w:val="20"/>
        </w:rPr>
        <w:t>before taxes of $</w:t>
      </w:r>
      <w:r w:rsidR="00377CC8">
        <w:rPr>
          <w:rFonts w:ascii="Arial" w:hAnsi="Arial" w:cs="Arial"/>
          <w:sz w:val="20"/>
          <w:szCs w:val="20"/>
        </w:rPr>
        <w:t>0.1</w:t>
      </w:r>
      <w:r w:rsidR="00570628" w:rsidRPr="009D02A2">
        <w:rPr>
          <w:rFonts w:ascii="Arial" w:hAnsi="Arial" w:cs="Arial"/>
          <w:sz w:val="20"/>
          <w:szCs w:val="20"/>
        </w:rPr>
        <w:t xml:space="preserve"> </w:t>
      </w:r>
      <w:r w:rsidRPr="009D02A2">
        <w:rPr>
          <w:rFonts w:ascii="Arial" w:hAnsi="Arial" w:cs="Arial"/>
          <w:sz w:val="20"/>
          <w:szCs w:val="20"/>
        </w:rPr>
        <w:t>millio</w:t>
      </w:r>
      <w:r w:rsidR="009D02A2">
        <w:rPr>
          <w:rFonts w:ascii="Arial" w:hAnsi="Arial" w:cs="Arial"/>
          <w:sz w:val="20"/>
          <w:szCs w:val="20"/>
        </w:rPr>
        <w:t>n</w:t>
      </w:r>
      <w:r w:rsidR="002E3117">
        <w:rPr>
          <w:rFonts w:ascii="Arial" w:hAnsi="Arial" w:cs="Arial"/>
          <w:sz w:val="20"/>
          <w:szCs w:val="20"/>
        </w:rPr>
        <w:t xml:space="preserve">, </w:t>
      </w:r>
      <w:r w:rsidR="001F00CF">
        <w:rPr>
          <w:rFonts w:ascii="Arial" w:hAnsi="Arial" w:cs="Arial"/>
          <w:sz w:val="20"/>
          <w:szCs w:val="20"/>
        </w:rPr>
        <w:t xml:space="preserve">deferred </w:t>
      </w:r>
      <w:r w:rsidR="002E3117">
        <w:rPr>
          <w:rFonts w:ascii="Arial" w:hAnsi="Arial" w:cs="Arial"/>
          <w:sz w:val="20"/>
          <w:szCs w:val="20"/>
        </w:rPr>
        <w:t>tax recovery of $</w:t>
      </w:r>
      <w:r w:rsidR="00160B5D">
        <w:rPr>
          <w:rFonts w:ascii="Arial" w:hAnsi="Arial" w:cs="Arial"/>
          <w:sz w:val="20"/>
          <w:szCs w:val="20"/>
        </w:rPr>
        <w:t>5.3</w:t>
      </w:r>
      <w:r w:rsidR="002E3117">
        <w:rPr>
          <w:rFonts w:ascii="Arial" w:hAnsi="Arial" w:cs="Arial"/>
          <w:sz w:val="20"/>
          <w:szCs w:val="20"/>
        </w:rPr>
        <w:t xml:space="preserve"> million</w:t>
      </w:r>
      <w:r w:rsidR="009D02A2">
        <w:rPr>
          <w:rFonts w:ascii="Arial" w:hAnsi="Arial" w:cs="Arial"/>
          <w:sz w:val="20"/>
          <w:szCs w:val="20"/>
        </w:rPr>
        <w:t xml:space="preserve"> </w:t>
      </w:r>
      <w:r w:rsidRPr="009D02A2">
        <w:rPr>
          <w:rFonts w:ascii="Arial" w:hAnsi="Arial" w:cs="Arial"/>
          <w:sz w:val="20"/>
          <w:szCs w:val="20"/>
        </w:rPr>
        <w:t xml:space="preserve">and net </w:t>
      </w:r>
      <w:r w:rsidR="00131320">
        <w:rPr>
          <w:rFonts w:ascii="Arial" w:hAnsi="Arial" w:cs="Arial"/>
          <w:sz w:val="20"/>
          <w:szCs w:val="20"/>
        </w:rPr>
        <w:t>income</w:t>
      </w:r>
      <w:r w:rsidR="00131320" w:rsidRPr="009D02A2">
        <w:rPr>
          <w:rFonts w:ascii="Arial" w:hAnsi="Arial" w:cs="Arial"/>
          <w:sz w:val="20"/>
          <w:szCs w:val="20"/>
        </w:rPr>
        <w:t xml:space="preserve"> </w:t>
      </w:r>
      <w:r w:rsidRPr="009D02A2">
        <w:rPr>
          <w:rFonts w:ascii="Arial" w:hAnsi="Arial" w:cs="Arial"/>
          <w:sz w:val="20"/>
          <w:szCs w:val="20"/>
        </w:rPr>
        <w:t>of $</w:t>
      </w:r>
      <w:r w:rsidR="00377CC8">
        <w:rPr>
          <w:rFonts w:ascii="Arial" w:hAnsi="Arial" w:cs="Arial"/>
          <w:sz w:val="20"/>
          <w:szCs w:val="20"/>
        </w:rPr>
        <w:t>5.4</w:t>
      </w:r>
      <w:r w:rsidRPr="009D02A2">
        <w:rPr>
          <w:rFonts w:ascii="Arial" w:hAnsi="Arial" w:cs="Arial"/>
          <w:sz w:val="20"/>
          <w:szCs w:val="20"/>
        </w:rPr>
        <w:t xml:space="preserve"> million</w:t>
      </w:r>
      <w:r w:rsidR="001F00CF">
        <w:rPr>
          <w:rFonts w:ascii="Arial" w:hAnsi="Arial" w:cs="Arial"/>
          <w:sz w:val="20"/>
          <w:szCs w:val="20"/>
        </w:rPr>
        <w:t>,</w:t>
      </w:r>
      <w:r w:rsidR="0038594F">
        <w:rPr>
          <w:rFonts w:ascii="Arial" w:hAnsi="Arial" w:cs="Arial"/>
          <w:sz w:val="20"/>
          <w:szCs w:val="20"/>
        </w:rPr>
        <w:t xml:space="preserve"> </w:t>
      </w:r>
      <w:r w:rsidR="0038594F" w:rsidRPr="0038594F">
        <w:rPr>
          <w:rFonts w:ascii="Arial" w:hAnsi="Arial" w:cs="Arial"/>
          <w:sz w:val="20"/>
          <w:szCs w:val="20"/>
        </w:rPr>
        <w:t>as compared to Q1 202</w:t>
      </w:r>
      <w:r w:rsidR="00377CC8">
        <w:rPr>
          <w:rFonts w:ascii="Arial" w:hAnsi="Arial" w:cs="Arial"/>
          <w:sz w:val="20"/>
          <w:szCs w:val="20"/>
        </w:rPr>
        <w:t>5</w:t>
      </w:r>
      <w:r w:rsidR="0038594F" w:rsidRPr="0038594F">
        <w:rPr>
          <w:rFonts w:ascii="Arial" w:hAnsi="Arial" w:cs="Arial"/>
          <w:sz w:val="20"/>
          <w:szCs w:val="20"/>
        </w:rPr>
        <w:t xml:space="preserve"> when the Company reported </w:t>
      </w:r>
      <w:r w:rsidR="00377CC8">
        <w:rPr>
          <w:rFonts w:ascii="Arial" w:hAnsi="Arial" w:cs="Arial"/>
          <w:sz w:val="20"/>
          <w:szCs w:val="20"/>
        </w:rPr>
        <w:t>income</w:t>
      </w:r>
      <w:r w:rsidR="0038594F" w:rsidRPr="0038594F">
        <w:rPr>
          <w:rFonts w:ascii="Arial" w:hAnsi="Arial" w:cs="Arial"/>
          <w:sz w:val="20"/>
          <w:szCs w:val="20"/>
        </w:rPr>
        <w:t xml:space="preserve"> before taxes of $</w:t>
      </w:r>
      <w:r w:rsidR="00377CC8">
        <w:rPr>
          <w:rFonts w:ascii="Arial" w:hAnsi="Arial" w:cs="Arial"/>
          <w:sz w:val="20"/>
          <w:szCs w:val="20"/>
        </w:rPr>
        <w:t>8.3</w:t>
      </w:r>
      <w:r w:rsidR="0038594F" w:rsidRPr="0038594F">
        <w:rPr>
          <w:rFonts w:ascii="Arial" w:hAnsi="Arial" w:cs="Arial"/>
          <w:sz w:val="20"/>
          <w:szCs w:val="20"/>
        </w:rPr>
        <w:t xml:space="preserve"> million</w:t>
      </w:r>
      <w:r w:rsidR="002E3117">
        <w:rPr>
          <w:rFonts w:ascii="Arial" w:hAnsi="Arial" w:cs="Arial"/>
          <w:sz w:val="20"/>
          <w:szCs w:val="20"/>
        </w:rPr>
        <w:t xml:space="preserve">, </w:t>
      </w:r>
      <w:r w:rsidR="001F00CF">
        <w:rPr>
          <w:rFonts w:ascii="Arial" w:hAnsi="Arial" w:cs="Arial"/>
          <w:sz w:val="20"/>
          <w:szCs w:val="20"/>
        </w:rPr>
        <w:t xml:space="preserve">deferred </w:t>
      </w:r>
      <w:r w:rsidR="002E3117">
        <w:rPr>
          <w:rFonts w:ascii="Arial" w:hAnsi="Arial" w:cs="Arial"/>
          <w:sz w:val="20"/>
          <w:szCs w:val="20"/>
        </w:rPr>
        <w:t>tax recovery $</w:t>
      </w:r>
      <w:r w:rsidR="00377CC8">
        <w:rPr>
          <w:rFonts w:ascii="Arial" w:hAnsi="Arial" w:cs="Arial"/>
          <w:sz w:val="20"/>
          <w:szCs w:val="20"/>
        </w:rPr>
        <w:t>3.2</w:t>
      </w:r>
      <w:r w:rsidR="002E3117">
        <w:rPr>
          <w:rFonts w:ascii="Arial" w:hAnsi="Arial" w:cs="Arial"/>
          <w:sz w:val="20"/>
          <w:szCs w:val="20"/>
        </w:rPr>
        <w:t xml:space="preserve"> million</w:t>
      </w:r>
      <w:r w:rsidR="0038594F" w:rsidRPr="0038594F">
        <w:rPr>
          <w:rFonts w:ascii="Arial" w:hAnsi="Arial" w:cs="Arial"/>
          <w:sz w:val="20"/>
          <w:szCs w:val="20"/>
        </w:rPr>
        <w:t xml:space="preserve"> and net </w:t>
      </w:r>
      <w:r w:rsidR="00377CC8">
        <w:rPr>
          <w:rFonts w:ascii="Arial" w:hAnsi="Arial" w:cs="Arial"/>
          <w:sz w:val="20"/>
          <w:szCs w:val="20"/>
        </w:rPr>
        <w:t>income</w:t>
      </w:r>
      <w:r w:rsidR="0038594F" w:rsidRPr="0038594F">
        <w:rPr>
          <w:rFonts w:ascii="Arial" w:hAnsi="Arial" w:cs="Arial"/>
          <w:sz w:val="20"/>
          <w:szCs w:val="20"/>
        </w:rPr>
        <w:t xml:space="preserve"> of $</w:t>
      </w:r>
      <w:r w:rsidR="00377CC8">
        <w:rPr>
          <w:rFonts w:ascii="Arial" w:hAnsi="Arial" w:cs="Arial"/>
          <w:sz w:val="20"/>
          <w:szCs w:val="20"/>
        </w:rPr>
        <w:t>11</w:t>
      </w:r>
      <w:r w:rsidR="0038594F">
        <w:rPr>
          <w:rFonts w:ascii="Arial" w:hAnsi="Arial" w:cs="Arial"/>
          <w:sz w:val="20"/>
          <w:szCs w:val="20"/>
        </w:rPr>
        <w:t>.</w:t>
      </w:r>
      <w:r w:rsidR="00377CC8">
        <w:rPr>
          <w:rFonts w:ascii="Arial" w:hAnsi="Arial" w:cs="Arial"/>
          <w:sz w:val="20"/>
          <w:szCs w:val="20"/>
        </w:rPr>
        <w:t>5</w:t>
      </w:r>
      <w:r w:rsidR="0038594F" w:rsidRPr="0038594F">
        <w:rPr>
          <w:rFonts w:ascii="Arial" w:hAnsi="Arial" w:cs="Arial"/>
          <w:sz w:val="20"/>
          <w:szCs w:val="20"/>
        </w:rPr>
        <w:t xml:space="preserve"> million</w:t>
      </w:r>
      <w:r w:rsidR="002E3117">
        <w:rPr>
          <w:rFonts w:ascii="Arial" w:hAnsi="Arial" w:cs="Arial"/>
          <w:sz w:val="20"/>
          <w:szCs w:val="20"/>
        </w:rPr>
        <w:t>;</w:t>
      </w:r>
    </w:p>
    <w:p w14:paraId="3E4A0F01" w14:textId="17E1336B" w:rsidR="00964D5E"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Reported a working capital deficit</w:t>
      </w:r>
      <w:r>
        <w:rPr>
          <w:rStyle w:val="FootnoteReference"/>
          <w:rFonts w:ascii="Arial" w:hAnsi="Arial" w:cs="Arial"/>
          <w:sz w:val="20"/>
          <w:szCs w:val="20"/>
        </w:rPr>
        <w:footnoteReference w:id="3"/>
      </w:r>
      <w:r>
        <w:rPr>
          <w:rFonts w:ascii="Arial" w:hAnsi="Arial" w:cs="Arial"/>
          <w:sz w:val="20"/>
          <w:szCs w:val="20"/>
        </w:rPr>
        <w:t xml:space="preserve"> of $</w:t>
      </w:r>
      <w:r w:rsidR="00377CC8">
        <w:rPr>
          <w:rFonts w:ascii="Arial" w:hAnsi="Arial" w:cs="Arial"/>
          <w:sz w:val="20"/>
          <w:szCs w:val="20"/>
        </w:rPr>
        <w:t>57.2</w:t>
      </w:r>
      <w:r w:rsidR="00715734">
        <w:rPr>
          <w:rFonts w:ascii="Arial" w:hAnsi="Arial" w:cs="Arial"/>
          <w:sz w:val="20"/>
          <w:szCs w:val="20"/>
        </w:rPr>
        <w:t xml:space="preserve"> </w:t>
      </w:r>
      <w:r w:rsidR="000E7F93">
        <w:rPr>
          <w:rFonts w:ascii="Arial" w:hAnsi="Arial" w:cs="Arial"/>
          <w:sz w:val="20"/>
          <w:szCs w:val="20"/>
        </w:rPr>
        <w:t>million</w:t>
      </w:r>
      <w:r w:rsidR="001F00CF">
        <w:rPr>
          <w:rFonts w:ascii="Arial" w:hAnsi="Arial" w:cs="Arial"/>
          <w:sz w:val="20"/>
          <w:szCs w:val="20"/>
        </w:rPr>
        <w:t xml:space="preserve"> at March 31, 2026, as compared to a working capital deficit of $71.8 million at December 31, 2025</w:t>
      </w:r>
      <w:r w:rsidR="000E7F93">
        <w:rPr>
          <w:rFonts w:ascii="Arial" w:hAnsi="Arial" w:cs="Arial"/>
          <w:sz w:val="20"/>
          <w:szCs w:val="20"/>
        </w:rPr>
        <w:t>.</w:t>
      </w:r>
    </w:p>
    <w:p w14:paraId="53F3F99B" w14:textId="77777777" w:rsidR="00131320" w:rsidRPr="00902562" w:rsidRDefault="00131320" w:rsidP="002D3101">
      <w:pPr>
        <w:rPr>
          <w:rFonts w:ascii="Arial" w:hAnsi="Arial" w:cs="Arial"/>
          <w:b/>
          <w:bCs/>
          <w:caps/>
          <w:color w:val="000000"/>
          <w:sz w:val="20"/>
          <w:szCs w:val="20"/>
        </w:rPr>
      </w:pPr>
    </w:p>
    <w:p w14:paraId="3284B894" w14:textId="0B1E9189" w:rsidR="002D3101" w:rsidRPr="00370915" w:rsidRDefault="002D3101" w:rsidP="002D3101">
      <w:pPr>
        <w:widowControl w:val="0"/>
        <w:rPr>
          <w:rFonts w:ascii="Arial" w:hAnsi="Arial" w:cs="Arial"/>
          <w:b/>
          <w:bCs/>
          <w:caps/>
          <w:color w:val="000000"/>
          <w:sz w:val="20"/>
          <w:szCs w:val="20"/>
        </w:rPr>
      </w:pPr>
      <w:r w:rsidRPr="00370915">
        <w:rPr>
          <w:rFonts w:ascii="Arial" w:hAnsi="Arial" w:cs="Arial"/>
          <w:b/>
          <w:bCs/>
          <w:caps/>
          <w:color w:val="000000"/>
          <w:sz w:val="20"/>
          <w:szCs w:val="20"/>
        </w:rPr>
        <w:t>SUBSEQUENT EVENTS</w:t>
      </w:r>
    </w:p>
    <w:p w14:paraId="632F13AD" w14:textId="44EFE92A" w:rsidR="00177C5A" w:rsidRPr="00177C5A" w:rsidRDefault="002D3101" w:rsidP="00177C5A">
      <w:pPr>
        <w:widowControl w:val="0"/>
        <w:autoSpaceDE w:val="0"/>
        <w:autoSpaceDN w:val="0"/>
        <w:adjustRightInd w:val="0"/>
        <w:spacing w:before="120" w:line="240" w:lineRule="atLeast"/>
        <w:jc w:val="both"/>
        <w:rPr>
          <w:rFonts w:ascii="Arial" w:hAnsi="Arial" w:cs="Arial"/>
          <w:sz w:val="20"/>
          <w:szCs w:val="20"/>
        </w:rPr>
      </w:pPr>
      <w:r>
        <w:rPr>
          <w:rFonts w:ascii="Arial" w:hAnsi="Arial" w:cs="Arial"/>
          <w:sz w:val="20"/>
          <w:szCs w:val="20"/>
        </w:rPr>
        <w:t xml:space="preserve">Subsequent to </w:t>
      </w:r>
      <w:r w:rsidR="007E266C">
        <w:rPr>
          <w:rFonts w:ascii="Arial" w:hAnsi="Arial" w:cs="Arial"/>
          <w:sz w:val="20"/>
          <w:szCs w:val="20"/>
        </w:rPr>
        <w:t>March</w:t>
      </w:r>
      <w:r>
        <w:rPr>
          <w:rFonts w:ascii="Arial" w:hAnsi="Arial" w:cs="Arial"/>
          <w:sz w:val="20"/>
          <w:szCs w:val="20"/>
        </w:rPr>
        <w:t xml:space="preserve"> 3</w:t>
      </w:r>
      <w:r w:rsidR="00932E22">
        <w:rPr>
          <w:rFonts w:ascii="Arial" w:hAnsi="Arial" w:cs="Arial"/>
          <w:sz w:val="20"/>
          <w:szCs w:val="20"/>
        </w:rPr>
        <w:t>1</w:t>
      </w:r>
      <w:r>
        <w:rPr>
          <w:rFonts w:ascii="Arial" w:hAnsi="Arial" w:cs="Arial"/>
          <w:sz w:val="20"/>
          <w:szCs w:val="20"/>
        </w:rPr>
        <w:t>,</w:t>
      </w:r>
      <w:r w:rsidR="001B40D9">
        <w:rPr>
          <w:rFonts w:ascii="Arial" w:hAnsi="Arial" w:cs="Arial"/>
          <w:sz w:val="20"/>
          <w:szCs w:val="20"/>
        </w:rPr>
        <w:t xml:space="preserve"> </w:t>
      </w:r>
      <w:r w:rsidR="00715734">
        <w:rPr>
          <w:rFonts w:ascii="Arial" w:hAnsi="Arial" w:cs="Arial"/>
          <w:sz w:val="20"/>
          <w:szCs w:val="20"/>
        </w:rPr>
        <w:t>202</w:t>
      </w:r>
      <w:r w:rsidR="00177C5A">
        <w:rPr>
          <w:rFonts w:ascii="Arial" w:hAnsi="Arial" w:cs="Arial"/>
          <w:sz w:val="20"/>
          <w:szCs w:val="20"/>
        </w:rPr>
        <w:t>6</w:t>
      </w:r>
      <w:r w:rsidR="006421FB">
        <w:rPr>
          <w:rFonts w:ascii="Arial" w:hAnsi="Arial" w:cs="Arial"/>
          <w:sz w:val="20"/>
          <w:szCs w:val="20"/>
        </w:rPr>
        <w:t>,</w:t>
      </w:r>
      <w:r w:rsidR="00715734">
        <w:rPr>
          <w:rFonts w:ascii="Arial" w:hAnsi="Arial" w:cs="Arial"/>
          <w:sz w:val="20"/>
          <w:szCs w:val="20"/>
        </w:rPr>
        <w:t xml:space="preserve"> </w:t>
      </w:r>
      <w:r>
        <w:rPr>
          <w:rFonts w:ascii="Arial" w:hAnsi="Arial" w:cs="Arial"/>
          <w:sz w:val="20"/>
          <w:szCs w:val="20"/>
        </w:rPr>
        <w:t>the Company</w:t>
      </w:r>
      <w:r w:rsidR="00177C5A">
        <w:rPr>
          <w:rFonts w:ascii="Arial" w:hAnsi="Arial" w:cs="Arial"/>
          <w:sz w:val="20"/>
          <w:szCs w:val="20"/>
        </w:rPr>
        <w:t xml:space="preserve"> r</w:t>
      </w:r>
      <w:r w:rsidR="000D51F0" w:rsidRPr="00177C5A">
        <w:rPr>
          <w:rFonts w:ascii="Arial" w:hAnsi="Arial" w:cs="Arial"/>
          <w:sz w:val="20"/>
          <w:szCs w:val="20"/>
        </w:rPr>
        <w:t xml:space="preserve">epaid </w:t>
      </w:r>
      <w:r w:rsidR="00177C5A" w:rsidRPr="00177C5A">
        <w:rPr>
          <w:rFonts w:ascii="Arial" w:hAnsi="Arial" w:cs="Arial"/>
          <w:sz w:val="20"/>
          <w:szCs w:val="20"/>
        </w:rPr>
        <w:t>$0.03 million o</w:t>
      </w:r>
      <w:r w:rsidR="006421FB">
        <w:rPr>
          <w:rFonts w:ascii="Arial" w:hAnsi="Arial" w:cs="Arial"/>
          <w:sz w:val="20"/>
          <w:szCs w:val="20"/>
        </w:rPr>
        <w:t>f</w:t>
      </w:r>
      <w:r w:rsidR="00177C5A" w:rsidRPr="00177C5A">
        <w:rPr>
          <w:rFonts w:ascii="Arial" w:hAnsi="Arial" w:cs="Arial"/>
          <w:sz w:val="20"/>
          <w:szCs w:val="20"/>
        </w:rPr>
        <w:t xml:space="preserve"> working capital loans and $3.6 million of discounted promissory notes.</w:t>
      </w:r>
    </w:p>
    <w:p w14:paraId="62C6FE31" w14:textId="77777777" w:rsidR="00177C5A" w:rsidRDefault="00177C5A" w:rsidP="001B40D9">
      <w:pPr>
        <w:widowControl w:val="0"/>
        <w:rPr>
          <w:rFonts w:ascii="Arial" w:hAnsi="Arial" w:cs="Arial"/>
          <w:b/>
          <w:bCs/>
          <w:caps/>
          <w:color w:val="000000"/>
          <w:sz w:val="20"/>
          <w:szCs w:val="20"/>
        </w:rPr>
      </w:pPr>
    </w:p>
    <w:p w14:paraId="25496980" w14:textId="3C2BF5D9" w:rsidR="001B40D9" w:rsidRDefault="001B40D9" w:rsidP="001B40D9">
      <w:pPr>
        <w:widowControl w:val="0"/>
        <w:rPr>
          <w:rFonts w:ascii="Arial" w:hAnsi="Arial" w:cs="Arial"/>
          <w:b/>
          <w:bCs/>
          <w:caps/>
          <w:color w:val="000000"/>
          <w:sz w:val="20"/>
          <w:szCs w:val="20"/>
        </w:rPr>
      </w:pPr>
      <w:r w:rsidRPr="009E6871">
        <w:rPr>
          <w:rFonts w:ascii="Arial" w:hAnsi="Arial" w:cs="Arial"/>
          <w:b/>
          <w:bCs/>
          <w:caps/>
          <w:color w:val="000000"/>
          <w:sz w:val="20"/>
          <w:szCs w:val="20"/>
        </w:rPr>
        <w:t>Operational update</w:t>
      </w:r>
    </w:p>
    <w:p w14:paraId="0BEBE3FD" w14:textId="77777777" w:rsidR="00177C5A" w:rsidRDefault="00177C5A" w:rsidP="001B40D9">
      <w:pPr>
        <w:widowControl w:val="0"/>
        <w:rPr>
          <w:rFonts w:ascii="Arial" w:hAnsi="Arial" w:cs="Arial"/>
          <w:b/>
          <w:bCs/>
          <w:caps/>
          <w:color w:val="000000"/>
          <w:sz w:val="20"/>
          <w:szCs w:val="20"/>
        </w:rPr>
      </w:pPr>
    </w:p>
    <w:p w14:paraId="55FCDC57" w14:textId="77777777" w:rsidR="00177C5A" w:rsidRPr="005A78E4" w:rsidRDefault="00177C5A" w:rsidP="005A78E4">
      <w:pPr>
        <w:widowControl w:val="0"/>
        <w:autoSpaceDE w:val="0"/>
        <w:autoSpaceDN w:val="0"/>
        <w:adjustRightInd w:val="0"/>
        <w:spacing w:before="60" w:line="240" w:lineRule="atLeast"/>
        <w:jc w:val="both"/>
        <w:rPr>
          <w:rFonts w:ascii="Arial" w:hAnsi="Arial" w:cs="Arial"/>
          <w:b/>
          <w:sz w:val="20"/>
          <w:szCs w:val="20"/>
          <w:lang w:val="it-IT"/>
        </w:rPr>
      </w:pPr>
      <w:r w:rsidRPr="005A78E4">
        <w:rPr>
          <w:rFonts w:ascii="Arial" w:hAnsi="Arial" w:cs="Arial"/>
          <w:b/>
          <w:sz w:val="20"/>
          <w:szCs w:val="20"/>
          <w:lang w:val="it-IT"/>
        </w:rPr>
        <w:t>Chubut Concessions</w:t>
      </w:r>
    </w:p>
    <w:p w14:paraId="609DDD4E" w14:textId="1F60DF93" w:rsidR="00177C5A" w:rsidRPr="005A78E4" w:rsidRDefault="00177C5A" w:rsidP="005A78E4">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5A78E4">
        <w:rPr>
          <w:rFonts w:ascii="Arial" w:hAnsi="Arial" w:cs="Arial"/>
          <w:bCs/>
          <w:sz w:val="20"/>
          <w:szCs w:val="20"/>
        </w:rPr>
        <w:t xml:space="preserve">During Q1 2026, El Tordillo concession oil production averaged 4,163 (net 3,955) bbls of oil per day, La Tapera concession oil production averaged 38 (net 36) bbls of oil per day and Puesto Quiroga concession oil production averaged 182 (net 173) bbls of oil per day.  Natural gas production from </w:t>
      </w:r>
      <w:r w:rsidR="00976250">
        <w:rPr>
          <w:rFonts w:ascii="Arial" w:hAnsi="Arial" w:cs="Arial"/>
          <w:bCs/>
          <w:sz w:val="20"/>
          <w:szCs w:val="20"/>
        </w:rPr>
        <w:t xml:space="preserve">the </w:t>
      </w:r>
      <w:r w:rsidRPr="005A78E4">
        <w:rPr>
          <w:rFonts w:ascii="Arial" w:hAnsi="Arial" w:cs="Arial"/>
          <w:bCs/>
          <w:sz w:val="20"/>
          <w:szCs w:val="20"/>
        </w:rPr>
        <w:t>El Tordillo and Puesto Quiroga concession</w:t>
      </w:r>
      <w:r w:rsidR="00976250">
        <w:rPr>
          <w:rFonts w:ascii="Arial" w:hAnsi="Arial" w:cs="Arial"/>
          <w:bCs/>
          <w:sz w:val="20"/>
          <w:szCs w:val="20"/>
        </w:rPr>
        <w:t>s</w:t>
      </w:r>
      <w:r w:rsidRPr="005A78E4">
        <w:rPr>
          <w:rFonts w:ascii="Arial" w:hAnsi="Arial" w:cs="Arial"/>
          <w:bCs/>
          <w:sz w:val="20"/>
          <w:szCs w:val="20"/>
        </w:rPr>
        <w:t xml:space="preserve"> averaged 3,633 (net 3,451) mcf per day. During Q1 2026, the Company performed workovers on eight oil producing wells in the Tordillo </w:t>
      </w:r>
      <w:r w:rsidR="00976250">
        <w:rPr>
          <w:rFonts w:ascii="Arial" w:hAnsi="Arial" w:cs="Arial"/>
          <w:bCs/>
          <w:sz w:val="20"/>
          <w:szCs w:val="20"/>
        </w:rPr>
        <w:t>c</w:t>
      </w:r>
      <w:r w:rsidRPr="005A78E4">
        <w:rPr>
          <w:rFonts w:ascii="Arial" w:hAnsi="Arial" w:cs="Arial"/>
          <w:bCs/>
          <w:sz w:val="20"/>
          <w:szCs w:val="20"/>
        </w:rPr>
        <w:t xml:space="preserve">oncession and </w:t>
      </w:r>
      <w:r w:rsidRPr="005A78E4">
        <w:rPr>
          <w:rFonts w:ascii="Arial" w:hAnsi="Arial" w:cs="Arial"/>
          <w:bCs/>
          <w:sz w:val="20"/>
          <w:szCs w:val="20"/>
        </w:rPr>
        <w:lastRenderedPageBreak/>
        <w:t xml:space="preserve">one workover </w:t>
      </w:r>
      <w:r w:rsidR="00976250">
        <w:rPr>
          <w:rFonts w:ascii="Arial" w:hAnsi="Arial" w:cs="Arial"/>
          <w:bCs/>
          <w:sz w:val="20"/>
          <w:szCs w:val="20"/>
        </w:rPr>
        <w:t xml:space="preserve">on an oil producing well </w:t>
      </w:r>
      <w:r w:rsidRPr="005A78E4">
        <w:rPr>
          <w:rFonts w:ascii="Arial" w:hAnsi="Arial" w:cs="Arial"/>
          <w:bCs/>
          <w:sz w:val="20"/>
          <w:szCs w:val="20"/>
        </w:rPr>
        <w:t xml:space="preserve">in the Puesto Quiroga concession.  </w:t>
      </w:r>
    </w:p>
    <w:p w14:paraId="233FE22A" w14:textId="77777777" w:rsidR="00177C5A" w:rsidRPr="005A78E4" w:rsidRDefault="00177C5A" w:rsidP="005A78E4">
      <w:pPr>
        <w:widowControl w:val="0"/>
        <w:autoSpaceDE w:val="0"/>
        <w:autoSpaceDN w:val="0"/>
        <w:adjustRightInd w:val="0"/>
        <w:spacing w:before="60" w:line="240" w:lineRule="atLeast"/>
        <w:jc w:val="both"/>
        <w:rPr>
          <w:rFonts w:ascii="Arial" w:hAnsi="Arial" w:cs="Arial"/>
          <w:b/>
          <w:sz w:val="20"/>
          <w:szCs w:val="20"/>
          <w:lang w:val="it-IT"/>
        </w:rPr>
      </w:pPr>
      <w:r w:rsidRPr="005A78E4">
        <w:rPr>
          <w:rFonts w:ascii="Arial" w:hAnsi="Arial" w:cs="Arial"/>
          <w:b/>
          <w:sz w:val="20"/>
          <w:szCs w:val="20"/>
          <w:lang w:val="it-IT"/>
        </w:rPr>
        <w:t>Santa Cruz Concessions</w:t>
      </w:r>
    </w:p>
    <w:p w14:paraId="42B05E3A" w14:textId="7599CD19" w:rsidR="00387489" w:rsidRPr="00387489" w:rsidRDefault="00177C5A" w:rsidP="000900BC">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
          <w:sz w:val="20"/>
          <w:szCs w:val="20"/>
          <w:lang w:val="it-IT"/>
        </w:rPr>
      </w:pPr>
      <w:r w:rsidRPr="00387489">
        <w:rPr>
          <w:rFonts w:ascii="Arial" w:hAnsi="Arial" w:cs="Arial"/>
          <w:bCs/>
          <w:sz w:val="20"/>
          <w:szCs w:val="20"/>
        </w:rPr>
        <w:t xml:space="preserve">During Q1 2026, Piedra Clavada </w:t>
      </w:r>
      <w:r w:rsidR="00976250" w:rsidRPr="00387489">
        <w:rPr>
          <w:rFonts w:ascii="Arial" w:hAnsi="Arial" w:cs="Arial"/>
          <w:bCs/>
          <w:sz w:val="20"/>
          <w:szCs w:val="20"/>
        </w:rPr>
        <w:t>c</w:t>
      </w:r>
      <w:r w:rsidRPr="00387489">
        <w:rPr>
          <w:rFonts w:ascii="Arial" w:hAnsi="Arial" w:cs="Arial"/>
          <w:bCs/>
          <w:sz w:val="20"/>
          <w:szCs w:val="20"/>
        </w:rPr>
        <w:t xml:space="preserve">oncession oil production averaged 1,733 bbls of oil per day and Koluel Kaike concession oil production averaged 835 bbls of oil per day. </w:t>
      </w:r>
      <w:r w:rsidR="00387489" w:rsidRPr="00387489">
        <w:rPr>
          <w:rFonts w:ascii="Arial" w:hAnsi="Arial" w:cs="Arial"/>
          <w:color w:val="000000"/>
          <w:sz w:val="20"/>
          <w:szCs w:val="20"/>
        </w:rPr>
        <w:t xml:space="preserve">During Q1 2026, the Company completed </w:t>
      </w:r>
      <w:r w:rsidR="008A47FB">
        <w:rPr>
          <w:rFonts w:ascii="Arial" w:hAnsi="Arial" w:cs="Arial"/>
          <w:color w:val="000000"/>
          <w:sz w:val="20"/>
          <w:szCs w:val="20"/>
        </w:rPr>
        <w:t>a</w:t>
      </w:r>
      <w:r w:rsidR="008A47FB" w:rsidRPr="00387489">
        <w:rPr>
          <w:rFonts w:ascii="Arial" w:hAnsi="Arial" w:cs="Arial"/>
          <w:color w:val="000000"/>
          <w:sz w:val="20"/>
          <w:szCs w:val="20"/>
        </w:rPr>
        <w:t xml:space="preserve"> </w:t>
      </w:r>
      <w:r w:rsidR="00387489" w:rsidRPr="00387489">
        <w:rPr>
          <w:rFonts w:ascii="Arial" w:hAnsi="Arial" w:cs="Arial"/>
          <w:color w:val="000000"/>
          <w:sz w:val="20"/>
          <w:szCs w:val="20"/>
        </w:rPr>
        <w:t>workover on</w:t>
      </w:r>
      <w:r w:rsidR="008A47FB">
        <w:rPr>
          <w:rFonts w:ascii="Arial" w:hAnsi="Arial" w:cs="Arial"/>
          <w:color w:val="000000"/>
          <w:sz w:val="20"/>
          <w:szCs w:val="20"/>
        </w:rPr>
        <w:t xml:space="preserve"> an oil well in</w:t>
      </w:r>
      <w:r w:rsidR="00387489" w:rsidRPr="00387489">
        <w:rPr>
          <w:rFonts w:ascii="Arial" w:hAnsi="Arial" w:cs="Arial"/>
          <w:color w:val="000000"/>
          <w:sz w:val="20"/>
          <w:szCs w:val="20"/>
        </w:rPr>
        <w:t xml:space="preserve"> the Koluel Kaike concession and performed several interventions on oil wells in both </w:t>
      </w:r>
      <w:r w:rsidR="008A47FB">
        <w:rPr>
          <w:rFonts w:ascii="Arial" w:hAnsi="Arial" w:cs="Arial"/>
          <w:color w:val="000000"/>
          <w:sz w:val="20"/>
          <w:szCs w:val="20"/>
        </w:rPr>
        <w:t xml:space="preserve">the </w:t>
      </w:r>
      <w:r w:rsidR="00387489" w:rsidRPr="00387489">
        <w:rPr>
          <w:rFonts w:ascii="Arial" w:hAnsi="Arial" w:cs="Arial"/>
          <w:color w:val="000000"/>
          <w:sz w:val="20"/>
          <w:szCs w:val="20"/>
        </w:rPr>
        <w:t>Koluel Kaike and Piedra Clavada concession</w:t>
      </w:r>
      <w:r w:rsidR="008A47FB">
        <w:rPr>
          <w:rFonts w:ascii="Arial" w:hAnsi="Arial" w:cs="Arial"/>
          <w:color w:val="000000"/>
          <w:sz w:val="20"/>
          <w:szCs w:val="20"/>
        </w:rPr>
        <w:t>s</w:t>
      </w:r>
      <w:r w:rsidR="00387489" w:rsidRPr="00387489">
        <w:rPr>
          <w:rFonts w:ascii="Arial" w:hAnsi="Arial" w:cs="Arial"/>
          <w:color w:val="000000"/>
          <w:sz w:val="20"/>
          <w:szCs w:val="20"/>
        </w:rPr>
        <w:t>.</w:t>
      </w:r>
    </w:p>
    <w:p w14:paraId="386F4E57" w14:textId="77BA5734" w:rsidR="00177C5A" w:rsidRPr="00387489" w:rsidRDefault="00177C5A" w:rsidP="00387489">
      <w:pPr>
        <w:widowControl w:val="0"/>
        <w:autoSpaceDE w:val="0"/>
        <w:autoSpaceDN w:val="0"/>
        <w:adjustRightInd w:val="0"/>
        <w:spacing w:before="60" w:line="240" w:lineRule="atLeast"/>
        <w:jc w:val="both"/>
        <w:rPr>
          <w:rFonts w:ascii="Arial" w:hAnsi="Arial" w:cs="Arial"/>
          <w:b/>
          <w:sz w:val="20"/>
          <w:szCs w:val="20"/>
          <w:lang w:val="it-IT"/>
        </w:rPr>
      </w:pPr>
      <w:r w:rsidRPr="00387489">
        <w:rPr>
          <w:rFonts w:ascii="Arial" w:hAnsi="Arial" w:cs="Arial"/>
          <w:b/>
          <w:sz w:val="20"/>
          <w:szCs w:val="20"/>
          <w:lang w:val="it-IT"/>
        </w:rPr>
        <w:t>Mendoza Concessions</w:t>
      </w:r>
      <w:r w:rsidRPr="00387489">
        <w:rPr>
          <w:rFonts w:ascii="Arial" w:hAnsi="Arial" w:cs="Arial"/>
          <w:b/>
          <w:sz w:val="20"/>
          <w:szCs w:val="20"/>
          <w:lang w:val="it-IT"/>
        </w:rPr>
        <w:tab/>
      </w:r>
    </w:p>
    <w:p w14:paraId="211D2C09" w14:textId="77777777" w:rsidR="00177C5A" w:rsidRDefault="00177C5A" w:rsidP="005A78E4">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5A78E4">
        <w:rPr>
          <w:rFonts w:ascii="Arial" w:hAnsi="Arial" w:cs="Arial"/>
          <w:bCs/>
          <w:sz w:val="20"/>
          <w:szCs w:val="20"/>
        </w:rPr>
        <w:t>Oil production for Q1 2026 averaged 830 (net 415) bbls of oil per day from the CH Concession and 134 (net 67) bbls of oil per day from the PPCO Concession.</w:t>
      </w:r>
    </w:p>
    <w:p w14:paraId="33EF9501" w14:textId="77777777" w:rsidR="005A78E4" w:rsidRPr="005A78E4" w:rsidRDefault="005A78E4" w:rsidP="005A78E4">
      <w:pPr>
        <w:widowControl w:val="0"/>
        <w:autoSpaceDE w:val="0"/>
        <w:autoSpaceDN w:val="0"/>
        <w:spacing w:before="120" w:line="240" w:lineRule="atLeast"/>
        <w:jc w:val="both"/>
        <w:rPr>
          <w:rFonts w:ascii="Arial" w:hAnsi="Arial" w:cs="Arial"/>
          <w:b/>
          <w:sz w:val="20"/>
          <w:szCs w:val="20"/>
          <w:lang w:val="it-IT"/>
        </w:rPr>
      </w:pPr>
      <w:r w:rsidRPr="005A78E4">
        <w:rPr>
          <w:rFonts w:ascii="Arial" w:hAnsi="Arial" w:cs="Arial"/>
          <w:b/>
          <w:sz w:val="20"/>
          <w:szCs w:val="20"/>
          <w:lang w:val="it-IT"/>
        </w:rPr>
        <w:t xml:space="preserve">Tierra del Fuego Concessions (“TDF” or “TDF Concessions”) </w:t>
      </w:r>
    </w:p>
    <w:p w14:paraId="6401C6F3" w14:textId="77777777" w:rsidR="00177C5A" w:rsidRPr="005A78E4" w:rsidRDefault="00177C5A" w:rsidP="005A78E4">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5A78E4">
        <w:rPr>
          <w:rFonts w:ascii="Arial" w:hAnsi="Arial" w:cs="Arial"/>
          <w:bCs/>
          <w:sz w:val="20"/>
          <w:szCs w:val="20"/>
        </w:rPr>
        <w:t>During Q1 2026, San Martin oil production averaged 499 (net 241) bbls of oil per day; Las Violetas concession natural gas production averaged 7,831 (net 3,785) mcf per day and associated oil production averaged 181 (net 88) bbls of oil per day.</w:t>
      </w:r>
    </w:p>
    <w:p w14:paraId="6D4BBB4B" w14:textId="77777777" w:rsidR="009825E3" w:rsidRPr="003D3760" w:rsidRDefault="009825E3" w:rsidP="009825E3">
      <w:pPr>
        <w:pStyle w:val="Ne4"/>
        <w:widowControl w:val="0"/>
        <w:spacing w:before="240" w:line="240" w:lineRule="atLeast"/>
        <w:ind w:left="0"/>
        <w:rPr>
          <w:rFonts w:cs="Arial"/>
        </w:rPr>
      </w:pPr>
      <w:r>
        <w:rPr>
          <w:rFonts w:cs="Arial"/>
          <w:b/>
        </w:rPr>
        <w:t>OUTLOOK</w:t>
      </w:r>
    </w:p>
    <w:p w14:paraId="5B0A7636" w14:textId="5531BF0D" w:rsidR="005A78E4" w:rsidRPr="00B76C56" w:rsidRDefault="005A78E4" w:rsidP="005A78E4">
      <w:pPr>
        <w:pStyle w:val="HTMLPreformatted"/>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tLeast"/>
        <w:rPr>
          <w:rFonts w:ascii="Arial" w:hAnsi="Arial" w:cs="Arial"/>
          <w:bCs/>
          <w:szCs w:val="20"/>
        </w:rPr>
      </w:pPr>
      <w:r w:rsidRPr="00B76C56">
        <w:rPr>
          <w:rFonts w:ascii="Arial" w:hAnsi="Arial" w:cs="Arial"/>
          <w:bCs/>
          <w:szCs w:val="20"/>
        </w:rPr>
        <w:t>The Company’s capital spending for fiscal 202</w:t>
      </w:r>
      <w:r>
        <w:rPr>
          <w:rFonts w:ascii="Arial" w:hAnsi="Arial" w:cs="Arial"/>
          <w:bCs/>
          <w:szCs w:val="20"/>
        </w:rPr>
        <w:t>6</w:t>
      </w:r>
      <w:r w:rsidRPr="00B76C56">
        <w:rPr>
          <w:rFonts w:ascii="Arial" w:hAnsi="Arial" w:cs="Arial"/>
          <w:bCs/>
          <w:szCs w:val="20"/>
        </w:rPr>
        <w:t xml:space="preserve"> is budgeted at approximately $</w:t>
      </w:r>
      <w:r>
        <w:rPr>
          <w:rFonts w:ascii="Arial" w:hAnsi="Arial" w:cs="Arial"/>
          <w:szCs w:val="20"/>
        </w:rPr>
        <w:t>77</w:t>
      </w:r>
      <w:r w:rsidRPr="00B76C56">
        <w:rPr>
          <w:rFonts w:ascii="Arial" w:hAnsi="Arial" w:cs="Arial"/>
          <w:szCs w:val="20"/>
        </w:rPr>
        <w:t xml:space="preserve"> </w:t>
      </w:r>
      <w:r w:rsidRPr="00B76C56">
        <w:rPr>
          <w:rFonts w:ascii="Arial" w:hAnsi="Arial" w:cs="Arial"/>
          <w:bCs/>
          <w:szCs w:val="20"/>
        </w:rPr>
        <w:t>million</w:t>
      </w:r>
      <w:r>
        <w:rPr>
          <w:rFonts w:ascii="Arial" w:hAnsi="Arial" w:cs="Arial"/>
          <w:bCs/>
          <w:szCs w:val="20"/>
        </w:rPr>
        <w:t>,</w:t>
      </w:r>
      <w:r w:rsidRPr="00B76C56">
        <w:rPr>
          <w:rFonts w:ascii="Arial" w:hAnsi="Arial" w:cs="Arial"/>
          <w:bCs/>
          <w:szCs w:val="20"/>
        </w:rPr>
        <w:t xml:space="preserve"> of which</w:t>
      </w:r>
      <w:r>
        <w:rPr>
          <w:rFonts w:ascii="Arial" w:hAnsi="Arial" w:cs="Arial"/>
          <w:bCs/>
          <w:szCs w:val="20"/>
        </w:rPr>
        <w:t>:</w:t>
      </w:r>
      <w:r w:rsidRPr="00B76C56">
        <w:rPr>
          <w:rFonts w:ascii="Arial" w:hAnsi="Arial" w:cs="Arial"/>
          <w:bCs/>
          <w:szCs w:val="20"/>
        </w:rPr>
        <w:t xml:space="preserve"> </w:t>
      </w:r>
      <w:r w:rsidRPr="00B76C56">
        <w:rPr>
          <w:rFonts w:ascii="Arial" w:hAnsi="Arial"/>
          <w:color w:val="000000" w:themeColor="text1"/>
        </w:rPr>
        <w:t>$</w:t>
      </w:r>
      <w:r>
        <w:rPr>
          <w:rFonts w:ascii="Arial" w:hAnsi="Arial" w:cs="Arial"/>
          <w:szCs w:val="20"/>
        </w:rPr>
        <w:t xml:space="preserve">44.7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 xml:space="preserve">Chubut Concessions for </w:t>
      </w:r>
      <w:r w:rsidRPr="000D310E">
        <w:rPr>
          <w:rFonts w:ascii="Arial" w:hAnsi="Arial"/>
          <w:color w:val="000000" w:themeColor="text1"/>
        </w:rPr>
        <w:t>well workovers</w:t>
      </w:r>
      <w:r>
        <w:rPr>
          <w:rFonts w:ascii="Arial" w:hAnsi="Arial"/>
          <w:color w:val="000000" w:themeColor="text1"/>
        </w:rPr>
        <w:t xml:space="preserve">, </w:t>
      </w:r>
      <w:r w:rsidRPr="000D310E">
        <w:rPr>
          <w:rFonts w:ascii="Arial" w:hAnsi="Arial"/>
          <w:color w:val="000000" w:themeColor="text1"/>
        </w:rPr>
        <w:t xml:space="preserve">facilities improvements </w:t>
      </w:r>
      <w:r>
        <w:rPr>
          <w:rFonts w:ascii="Arial" w:hAnsi="Arial"/>
          <w:color w:val="000000" w:themeColor="text1"/>
        </w:rPr>
        <w:t>and</w:t>
      </w:r>
      <w:r w:rsidRPr="000D310E">
        <w:rPr>
          <w:rFonts w:ascii="Arial" w:hAnsi="Arial"/>
          <w:color w:val="000000" w:themeColor="text1"/>
        </w:rPr>
        <w:t xml:space="preserve"> a drilling campaign comprised of 8 wells</w:t>
      </w:r>
      <w:r>
        <w:rPr>
          <w:rFonts w:ascii="Arial" w:hAnsi="Arial" w:cs="Arial"/>
          <w:szCs w:val="20"/>
        </w:rPr>
        <w:t xml:space="preserve">; </w:t>
      </w:r>
      <w:r w:rsidRPr="00B76C56">
        <w:rPr>
          <w:rFonts w:ascii="Arial" w:hAnsi="Arial"/>
          <w:color w:val="000000" w:themeColor="text1"/>
        </w:rPr>
        <w:t>$</w:t>
      </w:r>
      <w:r>
        <w:rPr>
          <w:rFonts w:ascii="Arial" w:hAnsi="Arial" w:cs="Arial"/>
          <w:szCs w:val="20"/>
        </w:rPr>
        <w:t xml:space="preserve">29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Santa Cruz Concessions for </w:t>
      </w:r>
      <w:r w:rsidRPr="000D310E">
        <w:rPr>
          <w:rFonts w:ascii="Arial" w:hAnsi="Arial"/>
          <w:color w:val="000000" w:themeColor="text1"/>
        </w:rPr>
        <w:t>well workovers</w:t>
      </w:r>
      <w:r>
        <w:rPr>
          <w:rFonts w:ascii="Arial" w:hAnsi="Arial"/>
          <w:color w:val="000000" w:themeColor="text1"/>
        </w:rPr>
        <w:t xml:space="preserve">, </w:t>
      </w:r>
      <w:r w:rsidRPr="000D310E">
        <w:rPr>
          <w:rFonts w:ascii="Arial" w:hAnsi="Arial"/>
          <w:color w:val="000000" w:themeColor="text1"/>
        </w:rPr>
        <w:t xml:space="preserve">facilities improvements </w:t>
      </w:r>
      <w:r>
        <w:rPr>
          <w:rFonts w:ascii="Arial" w:hAnsi="Arial"/>
          <w:color w:val="000000" w:themeColor="text1"/>
        </w:rPr>
        <w:t>and</w:t>
      </w:r>
      <w:r w:rsidRPr="000D310E">
        <w:rPr>
          <w:rFonts w:ascii="Arial" w:hAnsi="Arial"/>
          <w:color w:val="000000" w:themeColor="text1"/>
        </w:rPr>
        <w:t xml:space="preserve"> a drilling campaign comprised of </w:t>
      </w:r>
      <w:r>
        <w:rPr>
          <w:rFonts w:ascii="Arial" w:hAnsi="Arial"/>
          <w:color w:val="000000" w:themeColor="text1"/>
        </w:rPr>
        <w:t>5</w:t>
      </w:r>
      <w:r w:rsidRPr="000D310E">
        <w:rPr>
          <w:rFonts w:ascii="Arial" w:hAnsi="Arial"/>
          <w:color w:val="000000" w:themeColor="text1"/>
        </w:rPr>
        <w:t xml:space="preserve"> wells</w:t>
      </w:r>
      <w:r>
        <w:rPr>
          <w:rFonts w:ascii="Arial" w:hAnsi="Arial" w:cs="Arial"/>
          <w:szCs w:val="20"/>
        </w:rPr>
        <w:t>;</w:t>
      </w:r>
      <w:r w:rsidRPr="00B76C56">
        <w:rPr>
          <w:rFonts w:ascii="Arial" w:hAnsi="Arial"/>
          <w:color w:val="000000" w:themeColor="text1"/>
        </w:rPr>
        <w:t xml:space="preserve"> $</w:t>
      </w:r>
      <w:r>
        <w:rPr>
          <w:rFonts w:ascii="Arial" w:hAnsi="Arial" w:cs="Arial"/>
          <w:szCs w:val="20"/>
        </w:rPr>
        <w:t>1.3</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Mendoza</w:t>
      </w:r>
      <w:r w:rsidRPr="00B76C56">
        <w:rPr>
          <w:rFonts w:ascii="Arial" w:hAnsi="Arial"/>
          <w:color w:val="000000" w:themeColor="text1"/>
        </w:rPr>
        <w:t xml:space="preserve"> Concessions for </w:t>
      </w:r>
      <w:r w:rsidRPr="000D310E">
        <w:rPr>
          <w:rFonts w:ascii="Arial" w:hAnsi="Arial"/>
          <w:color w:val="000000" w:themeColor="text1"/>
        </w:rPr>
        <w:t>well workovers</w:t>
      </w:r>
      <w:r>
        <w:rPr>
          <w:rFonts w:ascii="Arial" w:hAnsi="Arial"/>
          <w:color w:val="000000" w:themeColor="text1"/>
        </w:rPr>
        <w:t xml:space="preserve"> and </w:t>
      </w:r>
      <w:r w:rsidRPr="000D310E">
        <w:rPr>
          <w:rFonts w:ascii="Arial" w:hAnsi="Arial"/>
          <w:color w:val="000000" w:themeColor="text1"/>
        </w:rPr>
        <w:t>facilities improvements</w:t>
      </w:r>
      <w:r>
        <w:rPr>
          <w:rFonts w:ascii="Arial" w:hAnsi="Arial" w:cs="Arial"/>
          <w:bCs/>
          <w:szCs w:val="20"/>
        </w:rPr>
        <w:t>;</w:t>
      </w:r>
      <w:r w:rsidRPr="00B76C56">
        <w:rPr>
          <w:rFonts w:ascii="Arial" w:hAnsi="Arial" w:cs="Arial"/>
          <w:bCs/>
          <w:szCs w:val="20"/>
        </w:rPr>
        <w:t xml:space="preserve"> </w:t>
      </w:r>
      <w:r w:rsidRPr="00B76C56">
        <w:rPr>
          <w:rFonts w:ascii="Arial" w:hAnsi="Arial"/>
          <w:color w:val="000000" w:themeColor="text1"/>
        </w:rPr>
        <w:t>$</w:t>
      </w:r>
      <w:r>
        <w:rPr>
          <w:rFonts w:ascii="Arial" w:hAnsi="Arial"/>
          <w:color w:val="000000" w:themeColor="text1"/>
        </w:rPr>
        <w:t>1.2</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TDF</w:t>
      </w:r>
      <w:r w:rsidRPr="00B76C56">
        <w:rPr>
          <w:rFonts w:ascii="Arial" w:hAnsi="Arial"/>
          <w:color w:val="000000" w:themeColor="text1"/>
        </w:rPr>
        <w:t xml:space="preserve"> Concessions for </w:t>
      </w:r>
      <w:r>
        <w:rPr>
          <w:rFonts w:ascii="Arial" w:hAnsi="Arial" w:cs="Arial"/>
          <w:szCs w:val="20"/>
        </w:rPr>
        <w:t xml:space="preserve">the </w:t>
      </w:r>
      <w:r w:rsidR="00B40C29">
        <w:rPr>
          <w:rFonts w:ascii="Arial" w:hAnsi="Arial" w:cs="Arial"/>
          <w:szCs w:val="20"/>
        </w:rPr>
        <w:t xml:space="preserve">concessions </w:t>
      </w:r>
      <w:r>
        <w:rPr>
          <w:rFonts w:ascii="Arial" w:hAnsi="Arial" w:cs="Arial"/>
          <w:szCs w:val="20"/>
        </w:rPr>
        <w:t>extension fee</w:t>
      </w:r>
      <w:r>
        <w:rPr>
          <w:rFonts w:ascii="Arial" w:hAnsi="Arial" w:cs="Arial"/>
          <w:bCs/>
          <w:szCs w:val="20"/>
        </w:rPr>
        <w:t xml:space="preserve">; and </w:t>
      </w:r>
      <w:r w:rsidRPr="00B76C56">
        <w:rPr>
          <w:rFonts w:ascii="Arial" w:hAnsi="Arial"/>
          <w:color w:val="000000" w:themeColor="text1"/>
        </w:rPr>
        <w:t>$</w:t>
      </w:r>
      <w:r>
        <w:rPr>
          <w:rFonts w:ascii="Arial" w:hAnsi="Arial" w:cs="Arial"/>
          <w:szCs w:val="20"/>
        </w:rPr>
        <w:t>0.8</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Cerro de Los Leones Concession</w:t>
      </w:r>
      <w:r w:rsidRPr="00B76C56">
        <w:rPr>
          <w:rFonts w:ascii="Arial" w:hAnsi="Arial"/>
          <w:color w:val="000000" w:themeColor="text1"/>
        </w:rPr>
        <w:t xml:space="preserve"> for</w:t>
      </w:r>
      <w:r>
        <w:rPr>
          <w:rFonts w:ascii="Arial" w:hAnsi="Arial"/>
          <w:color w:val="000000" w:themeColor="text1"/>
        </w:rPr>
        <w:t xml:space="preserve"> </w:t>
      </w:r>
      <w:r w:rsidRPr="00720776">
        <w:rPr>
          <w:rFonts w:ascii="Arial" w:hAnsi="Arial"/>
          <w:color w:val="000000" w:themeColor="text1"/>
        </w:rPr>
        <w:t>testing of the gas bearing sandstone layers of the Neuquén Group</w:t>
      </w:r>
      <w:r w:rsidRPr="00B76C56">
        <w:rPr>
          <w:rFonts w:ascii="Arial" w:hAnsi="Arial" w:cs="Arial"/>
          <w:bCs/>
          <w:szCs w:val="20"/>
        </w:rPr>
        <w:t>.</w:t>
      </w:r>
      <w:r w:rsidRPr="00B76C56">
        <w:rPr>
          <w:rFonts w:ascii="Arial" w:hAnsi="Arial" w:cs="Arial"/>
          <w:color w:val="000000"/>
          <w:szCs w:val="20"/>
        </w:rPr>
        <w:t xml:space="preserve"> </w:t>
      </w:r>
      <w:r w:rsidRPr="00E50C7D">
        <w:rPr>
          <w:rFonts w:ascii="Arial" w:hAnsi="Arial" w:cs="Arial"/>
          <w:color w:val="000000"/>
          <w:szCs w:val="20"/>
        </w:rPr>
        <w:t>During</w:t>
      </w:r>
      <w:r w:rsidRPr="00763017">
        <w:rPr>
          <w:rFonts w:ascii="Arial" w:hAnsi="Arial" w:cs="Arial"/>
          <w:color w:val="000000"/>
          <w:szCs w:val="20"/>
        </w:rPr>
        <w:t xml:space="preserve"> Q1 202</w:t>
      </w:r>
      <w:r>
        <w:rPr>
          <w:rFonts w:ascii="Arial" w:hAnsi="Arial" w:cs="Arial"/>
          <w:color w:val="000000"/>
          <w:szCs w:val="20"/>
        </w:rPr>
        <w:t>6</w:t>
      </w:r>
      <w:r w:rsidRPr="00763017">
        <w:rPr>
          <w:rFonts w:ascii="Arial" w:hAnsi="Arial" w:cs="Arial"/>
          <w:color w:val="000000"/>
          <w:szCs w:val="20"/>
        </w:rPr>
        <w:t>, the Company incurred $</w:t>
      </w:r>
      <w:r>
        <w:rPr>
          <w:rFonts w:ascii="Arial" w:hAnsi="Arial" w:cs="Arial"/>
          <w:color w:val="000000"/>
          <w:szCs w:val="20"/>
        </w:rPr>
        <w:t>3.6</w:t>
      </w:r>
      <w:r w:rsidRPr="00763017">
        <w:rPr>
          <w:rFonts w:ascii="Arial" w:hAnsi="Arial" w:cs="Arial"/>
          <w:color w:val="000000"/>
          <w:szCs w:val="20"/>
        </w:rPr>
        <w:t xml:space="preserve"> million of capital expenditures in the </w:t>
      </w:r>
      <w:r>
        <w:rPr>
          <w:rFonts w:ascii="Arial" w:hAnsi="Arial" w:cs="Arial"/>
          <w:color w:val="000000"/>
          <w:szCs w:val="20"/>
        </w:rPr>
        <w:t xml:space="preserve">Chubut and </w:t>
      </w:r>
      <w:r w:rsidRPr="00763017">
        <w:rPr>
          <w:rFonts w:ascii="Arial" w:hAnsi="Arial" w:cs="Arial"/>
          <w:color w:val="000000"/>
          <w:szCs w:val="20"/>
        </w:rPr>
        <w:t>Santa Cruz Concessions.</w:t>
      </w:r>
    </w:p>
    <w:p w14:paraId="429B4DF5" w14:textId="77777777" w:rsidR="005A78E4" w:rsidRDefault="005A78E4" w:rsidP="005A78E4">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tLeast"/>
        <w:ind w:left="548"/>
        <w:rPr>
          <w:rFonts w:ascii="Arial" w:hAnsi="Arial" w:cs="Arial"/>
          <w:bCs/>
          <w:szCs w:val="20"/>
        </w:rPr>
      </w:pPr>
    </w:p>
    <w:p w14:paraId="3AA226CD" w14:textId="562E1892" w:rsidR="006429BF" w:rsidRDefault="006429BF" w:rsidP="00FE41AD">
      <w:pPr>
        <w:spacing w:before="120" w:line="240" w:lineRule="atLeast"/>
        <w:jc w:val="both"/>
        <w:rPr>
          <w:rFonts w:ascii="Arial" w:hAnsi="Arial" w:cs="Arial"/>
          <w:b/>
          <w:bCs/>
          <w:caps/>
          <w:color w:val="000000"/>
          <w:szCs w:val="22"/>
          <w:lang w:val="en-CA"/>
        </w:rPr>
      </w:pPr>
      <w:r>
        <w:rPr>
          <w:rFonts w:ascii="Arial" w:hAnsi="Arial" w:cs="Arial"/>
          <w:b/>
          <w:bCs/>
          <w:caps/>
          <w:color w:val="000000"/>
          <w:sz w:val="20"/>
          <w:szCs w:val="20"/>
        </w:rPr>
        <w:t>SUMMARY OF FINANCIAL INFORMATION</w:t>
      </w:r>
      <w:r>
        <w:rPr>
          <w:rFonts w:ascii="Arial" w:hAnsi="Arial" w:cs="Arial"/>
          <w:b/>
          <w:bCs/>
          <w:caps/>
          <w:color w:val="000000"/>
          <w:szCs w:val="22"/>
          <w:lang w:val="en-CA"/>
        </w:rPr>
        <w:t xml:space="preserve"> </w:t>
      </w:r>
    </w:p>
    <w:tbl>
      <w:tblPr>
        <w:tblW w:w="8760" w:type="dxa"/>
        <w:tblLayout w:type="fixed"/>
        <w:tblLook w:val="04A0" w:firstRow="1" w:lastRow="0" w:firstColumn="1" w:lastColumn="0" w:noHBand="0" w:noVBand="1"/>
      </w:tblPr>
      <w:tblGrid>
        <w:gridCol w:w="5872"/>
        <w:gridCol w:w="1398"/>
        <w:gridCol w:w="1490"/>
      </w:tblGrid>
      <w:tr w:rsidR="005A78E4" w:rsidRPr="00002555" w14:paraId="5515A76E" w14:textId="77777777" w:rsidTr="005A78E4">
        <w:trPr>
          <w:trHeight w:val="404"/>
        </w:trPr>
        <w:tc>
          <w:tcPr>
            <w:tcW w:w="5872" w:type="dxa"/>
            <w:tcBorders>
              <w:top w:val="single" w:sz="12" w:space="0" w:color="auto"/>
              <w:bottom w:val="single" w:sz="4" w:space="0" w:color="auto"/>
            </w:tcBorders>
          </w:tcPr>
          <w:p w14:paraId="718B7173" w14:textId="77777777" w:rsidR="005A78E4" w:rsidRPr="00002555" w:rsidRDefault="005A78E4" w:rsidP="005A78E4">
            <w:pPr>
              <w:widowControl w:val="0"/>
              <w:jc w:val="both"/>
              <w:rPr>
                <w:rFonts w:ascii="Arial" w:hAnsi="Arial" w:cs="Arial"/>
                <w:bCs/>
                <w:sz w:val="18"/>
                <w:szCs w:val="18"/>
                <w:lang w:val="en-CA"/>
              </w:rPr>
            </w:pPr>
            <w:r w:rsidRPr="00002555">
              <w:rPr>
                <w:rFonts w:ascii="Arial" w:hAnsi="Arial" w:cs="Arial"/>
                <w:bCs/>
                <w:sz w:val="18"/>
                <w:szCs w:val="18"/>
                <w:lang w:val="en-CA"/>
              </w:rPr>
              <w:t>(expressed in $, except shares outstanding)</w:t>
            </w:r>
            <w:r>
              <w:rPr>
                <w:rFonts w:ascii="Arial" w:hAnsi="Arial" w:cs="Arial"/>
                <w:bCs/>
                <w:sz w:val="18"/>
                <w:szCs w:val="18"/>
                <w:lang w:val="en-CA"/>
              </w:rPr>
              <w:t xml:space="preserve"> </w:t>
            </w:r>
          </w:p>
        </w:tc>
        <w:tc>
          <w:tcPr>
            <w:tcW w:w="1398" w:type="dxa"/>
            <w:tcBorders>
              <w:top w:val="single" w:sz="12" w:space="0" w:color="auto"/>
              <w:bottom w:val="single" w:sz="4" w:space="0" w:color="auto"/>
            </w:tcBorders>
            <w:vAlign w:val="bottom"/>
          </w:tcPr>
          <w:p w14:paraId="0D8C2E3C" w14:textId="3297D7DD" w:rsidR="005A78E4" w:rsidRPr="00002555" w:rsidRDefault="005A78E4" w:rsidP="005A78E4">
            <w:pPr>
              <w:widowControl w:val="0"/>
              <w:jc w:val="right"/>
              <w:rPr>
                <w:rFonts w:ascii="Arial" w:hAnsi="Arial" w:cs="Arial"/>
                <w:b/>
                <w:bCs/>
                <w:sz w:val="18"/>
                <w:szCs w:val="18"/>
                <w:lang w:val="en-CA"/>
              </w:rPr>
            </w:pPr>
            <w:r>
              <w:rPr>
                <w:rFonts w:ascii="Arial" w:hAnsi="Arial" w:cs="Arial"/>
                <w:b/>
                <w:bCs/>
                <w:sz w:val="18"/>
                <w:szCs w:val="18"/>
                <w:lang w:val="en-CA"/>
              </w:rPr>
              <w:t>March</w:t>
            </w:r>
            <w:r w:rsidRPr="00002555">
              <w:rPr>
                <w:rFonts w:ascii="Arial" w:hAnsi="Arial" w:cs="Arial"/>
                <w:b/>
                <w:bCs/>
                <w:sz w:val="18"/>
                <w:szCs w:val="18"/>
                <w:lang w:val="en-CA"/>
              </w:rPr>
              <w:t xml:space="preserve"> 3</w:t>
            </w:r>
            <w:r>
              <w:rPr>
                <w:rFonts w:ascii="Arial" w:hAnsi="Arial" w:cs="Arial"/>
                <w:b/>
                <w:bCs/>
                <w:sz w:val="18"/>
                <w:szCs w:val="18"/>
                <w:lang w:val="en-CA"/>
              </w:rPr>
              <w:t>1</w:t>
            </w:r>
          </w:p>
          <w:p w14:paraId="1CF43DBA" w14:textId="50893D2C" w:rsidR="005A78E4" w:rsidRPr="00F439AE" w:rsidRDefault="005A78E4" w:rsidP="005A78E4">
            <w:pPr>
              <w:widowControl w:val="0"/>
              <w:jc w:val="right"/>
              <w:rPr>
                <w:rFonts w:ascii="Arial" w:hAnsi="Arial" w:cs="Arial"/>
                <w:b/>
                <w:bCs/>
                <w:sz w:val="18"/>
                <w:szCs w:val="18"/>
                <w:lang w:val="en-CA"/>
              </w:rPr>
            </w:pPr>
            <w:r>
              <w:rPr>
                <w:rFonts w:ascii="Arial" w:hAnsi="Arial" w:cs="Arial"/>
                <w:b/>
                <w:bCs/>
                <w:sz w:val="18"/>
                <w:szCs w:val="18"/>
                <w:lang w:val="en-CA"/>
              </w:rPr>
              <w:t>2026</w:t>
            </w:r>
          </w:p>
        </w:tc>
        <w:tc>
          <w:tcPr>
            <w:tcW w:w="1490" w:type="dxa"/>
            <w:tcBorders>
              <w:top w:val="single" w:sz="12" w:space="0" w:color="auto"/>
              <w:bottom w:val="single" w:sz="4" w:space="0" w:color="auto"/>
            </w:tcBorders>
            <w:vAlign w:val="bottom"/>
          </w:tcPr>
          <w:p w14:paraId="34889781" w14:textId="77777777" w:rsidR="005A78E4" w:rsidRPr="00002555" w:rsidRDefault="005A78E4" w:rsidP="005A78E4">
            <w:pPr>
              <w:widowControl w:val="0"/>
              <w:jc w:val="right"/>
              <w:rPr>
                <w:rFonts w:ascii="Arial" w:hAnsi="Arial" w:cs="Arial"/>
                <w:b/>
                <w:bCs/>
                <w:sz w:val="18"/>
                <w:szCs w:val="18"/>
                <w:lang w:val="en-CA"/>
              </w:rPr>
            </w:pPr>
            <w:r>
              <w:rPr>
                <w:rFonts w:ascii="Arial" w:hAnsi="Arial" w:cs="Arial"/>
                <w:b/>
                <w:bCs/>
                <w:sz w:val="18"/>
                <w:szCs w:val="18"/>
                <w:lang w:val="en-CA"/>
              </w:rPr>
              <w:t>December</w:t>
            </w:r>
            <w:r w:rsidRPr="00002555">
              <w:rPr>
                <w:rFonts w:ascii="Arial" w:hAnsi="Arial" w:cs="Arial"/>
                <w:b/>
                <w:bCs/>
                <w:sz w:val="18"/>
                <w:szCs w:val="18"/>
                <w:lang w:val="en-CA"/>
              </w:rPr>
              <w:t xml:space="preserve"> 3</w:t>
            </w:r>
            <w:r>
              <w:rPr>
                <w:rFonts w:ascii="Arial" w:hAnsi="Arial" w:cs="Arial"/>
                <w:b/>
                <w:bCs/>
                <w:sz w:val="18"/>
                <w:szCs w:val="18"/>
                <w:lang w:val="en-CA"/>
              </w:rPr>
              <w:t>1</w:t>
            </w:r>
          </w:p>
          <w:p w14:paraId="5CA1FF61" w14:textId="5562FD8F" w:rsidR="005A78E4" w:rsidRPr="00002555" w:rsidRDefault="005A78E4" w:rsidP="005A78E4">
            <w:pPr>
              <w:widowControl w:val="0"/>
              <w:jc w:val="right"/>
              <w:rPr>
                <w:rFonts w:ascii="Arial" w:hAnsi="Arial" w:cs="Arial"/>
                <w:b/>
                <w:bCs/>
                <w:sz w:val="18"/>
                <w:szCs w:val="18"/>
                <w:lang w:val="en-CA"/>
              </w:rPr>
            </w:pPr>
            <w:r w:rsidRPr="00002555">
              <w:rPr>
                <w:rFonts w:ascii="Arial" w:hAnsi="Arial" w:cs="Arial"/>
                <w:b/>
                <w:bCs/>
                <w:sz w:val="18"/>
                <w:szCs w:val="18"/>
                <w:lang w:val="en-CA"/>
              </w:rPr>
              <w:t>202</w:t>
            </w:r>
            <w:r>
              <w:rPr>
                <w:rFonts w:ascii="Arial" w:hAnsi="Arial" w:cs="Arial"/>
                <w:b/>
                <w:bCs/>
                <w:sz w:val="18"/>
                <w:szCs w:val="18"/>
                <w:lang w:val="en-CA"/>
              </w:rPr>
              <w:t>5</w:t>
            </w:r>
          </w:p>
        </w:tc>
      </w:tr>
      <w:tr w:rsidR="005A78E4" w:rsidRPr="00002555" w14:paraId="7397F48B" w14:textId="77777777" w:rsidTr="005A78E4">
        <w:tblPrEx>
          <w:tblLook w:val="01E0" w:firstRow="1" w:lastRow="1" w:firstColumn="1" w:lastColumn="1" w:noHBand="0" w:noVBand="0"/>
        </w:tblPrEx>
        <w:trPr>
          <w:trHeight w:val="173"/>
        </w:trPr>
        <w:tc>
          <w:tcPr>
            <w:tcW w:w="5872" w:type="dxa"/>
            <w:tcBorders>
              <w:top w:val="single" w:sz="4" w:space="0" w:color="auto"/>
            </w:tcBorders>
          </w:tcPr>
          <w:p w14:paraId="3AC4F9C2"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Current assets</w:t>
            </w:r>
          </w:p>
        </w:tc>
        <w:tc>
          <w:tcPr>
            <w:tcW w:w="1398" w:type="dxa"/>
            <w:tcBorders>
              <w:top w:val="single" w:sz="4" w:space="0" w:color="auto"/>
            </w:tcBorders>
            <w:vAlign w:val="bottom"/>
          </w:tcPr>
          <w:p w14:paraId="31AE564D" w14:textId="6CA8CAB1" w:rsidR="005A78E4" w:rsidRPr="00257237" w:rsidRDefault="005A78E4"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58,599,893</w:t>
            </w:r>
          </w:p>
        </w:tc>
        <w:tc>
          <w:tcPr>
            <w:tcW w:w="1490" w:type="dxa"/>
            <w:tcBorders>
              <w:top w:val="single" w:sz="4" w:space="0" w:color="auto"/>
            </w:tcBorders>
            <w:vAlign w:val="bottom"/>
          </w:tcPr>
          <w:p w14:paraId="197C86B3" w14:textId="43E4C4F7"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50,655,402</w:t>
            </w:r>
          </w:p>
        </w:tc>
      </w:tr>
      <w:tr w:rsidR="005A78E4" w:rsidRPr="00002555" w14:paraId="115D6C58" w14:textId="77777777" w:rsidTr="005A78E4">
        <w:tblPrEx>
          <w:tblLook w:val="01E0" w:firstRow="1" w:lastRow="1" w:firstColumn="1" w:lastColumn="1" w:noHBand="0" w:noVBand="0"/>
        </w:tblPrEx>
        <w:trPr>
          <w:trHeight w:val="173"/>
        </w:trPr>
        <w:tc>
          <w:tcPr>
            <w:tcW w:w="5872" w:type="dxa"/>
            <w:tcBorders>
              <w:bottom w:val="single" w:sz="4" w:space="0" w:color="auto"/>
            </w:tcBorders>
          </w:tcPr>
          <w:p w14:paraId="278D5C61"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Current liabilities</w:t>
            </w:r>
          </w:p>
        </w:tc>
        <w:tc>
          <w:tcPr>
            <w:tcW w:w="1398" w:type="dxa"/>
            <w:tcBorders>
              <w:bottom w:val="single" w:sz="4" w:space="0" w:color="000000"/>
            </w:tcBorders>
            <w:vAlign w:val="bottom"/>
          </w:tcPr>
          <w:p w14:paraId="751DADA8" w14:textId="4D22B6DA" w:rsidR="005A78E4" w:rsidRPr="00257237" w:rsidRDefault="005A78E4"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(115,804,501)</w:t>
            </w:r>
          </w:p>
        </w:tc>
        <w:tc>
          <w:tcPr>
            <w:tcW w:w="1490" w:type="dxa"/>
            <w:tcBorders>
              <w:bottom w:val="single" w:sz="4" w:space="0" w:color="auto"/>
            </w:tcBorders>
            <w:vAlign w:val="bottom"/>
          </w:tcPr>
          <w:p w14:paraId="44912DD3" w14:textId="3A65062E"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(122,470,728)</w:t>
            </w:r>
          </w:p>
        </w:tc>
      </w:tr>
      <w:tr w:rsidR="005A78E4" w:rsidRPr="00002555" w14:paraId="6B39BC4F" w14:textId="77777777" w:rsidTr="005A78E4">
        <w:tblPrEx>
          <w:tblLook w:val="01E0" w:firstRow="1" w:lastRow="1" w:firstColumn="1" w:lastColumn="1" w:noHBand="0" w:noVBand="0"/>
        </w:tblPrEx>
        <w:trPr>
          <w:trHeight w:val="173"/>
        </w:trPr>
        <w:tc>
          <w:tcPr>
            <w:tcW w:w="5872" w:type="dxa"/>
            <w:tcBorders>
              <w:top w:val="single" w:sz="4" w:space="0" w:color="auto"/>
              <w:bottom w:val="single" w:sz="4" w:space="0" w:color="auto"/>
            </w:tcBorders>
            <w:vAlign w:val="bottom"/>
          </w:tcPr>
          <w:p w14:paraId="48122C8F" w14:textId="573378C4"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Working capital </w:t>
            </w:r>
            <w:r w:rsidR="000C1380">
              <w:rPr>
                <w:rFonts w:ascii="Arial" w:hAnsi="Arial" w:cs="Arial"/>
                <w:sz w:val="18"/>
                <w:szCs w:val="18"/>
                <w:lang w:val="en-CA"/>
              </w:rPr>
              <w:t xml:space="preserve">deficiency </w:t>
            </w:r>
            <w:r w:rsidRPr="00002555">
              <w:rPr>
                <w:rFonts w:ascii="Arial" w:hAnsi="Arial" w:cs="Arial"/>
                <w:sz w:val="18"/>
                <w:szCs w:val="18"/>
                <w:vertAlign w:val="superscript"/>
                <w:lang w:val="en-CA"/>
              </w:rPr>
              <w:t>(1)</w:t>
            </w:r>
          </w:p>
        </w:tc>
        <w:tc>
          <w:tcPr>
            <w:tcW w:w="1398" w:type="dxa"/>
            <w:tcBorders>
              <w:top w:val="single" w:sz="4" w:space="0" w:color="000000"/>
              <w:bottom w:val="single" w:sz="4" w:space="0" w:color="000000"/>
            </w:tcBorders>
            <w:vAlign w:val="bottom"/>
          </w:tcPr>
          <w:p w14:paraId="7C443373" w14:textId="7A6F2461" w:rsidR="005A78E4" w:rsidRPr="00257237" w:rsidRDefault="005A78E4"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(57,204,608)</w:t>
            </w:r>
          </w:p>
        </w:tc>
        <w:tc>
          <w:tcPr>
            <w:tcW w:w="1490" w:type="dxa"/>
            <w:tcBorders>
              <w:top w:val="single" w:sz="4" w:space="0" w:color="auto"/>
              <w:bottom w:val="single" w:sz="4" w:space="0" w:color="auto"/>
            </w:tcBorders>
            <w:vAlign w:val="bottom"/>
          </w:tcPr>
          <w:p w14:paraId="2C1B9723" w14:textId="50AAF35E"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(71,815,326)</w:t>
            </w:r>
          </w:p>
        </w:tc>
      </w:tr>
      <w:tr w:rsidR="005A78E4" w:rsidRPr="00002555" w14:paraId="0264F916" w14:textId="77777777" w:rsidTr="005A78E4">
        <w:tblPrEx>
          <w:tblLook w:val="01E0" w:firstRow="1" w:lastRow="1" w:firstColumn="1" w:lastColumn="1" w:noHBand="0" w:noVBand="0"/>
        </w:tblPrEx>
        <w:trPr>
          <w:trHeight w:val="221"/>
        </w:trPr>
        <w:tc>
          <w:tcPr>
            <w:tcW w:w="5872" w:type="dxa"/>
            <w:vAlign w:val="bottom"/>
          </w:tcPr>
          <w:p w14:paraId="20FA1258"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Exploration and evaluation assets</w:t>
            </w:r>
          </w:p>
        </w:tc>
        <w:tc>
          <w:tcPr>
            <w:tcW w:w="1398" w:type="dxa"/>
            <w:vAlign w:val="bottom"/>
          </w:tcPr>
          <w:p w14:paraId="349E8652" w14:textId="2FFCD30F"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14,018,547</w:t>
            </w:r>
          </w:p>
        </w:tc>
        <w:tc>
          <w:tcPr>
            <w:tcW w:w="1490" w:type="dxa"/>
            <w:vAlign w:val="bottom"/>
          </w:tcPr>
          <w:p w14:paraId="451F51A9" w14:textId="49474320"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14,018,547</w:t>
            </w:r>
          </w:p>
        </w:tc>
      </w:tr>
      <w:tr w:rsidR="005A78E4" w:rsidRPr="00002555" w14:paraId="5ECE03F4" w14:textId="77777777" w:rsidTr="005A78E4">
        <w:tblPrEx>
          <w:tblLook w:val="01E0" w:firstRow="1" w:lastRow="1" w:firstColumn="1" w:lastColumn="1" w:noHBand="0" w:noVBand="0"/>
        </w:tblPrEx>
        <w:trPr>
          <w:trHeight w:val="221"/>
        </w:trPr>
        <w:tc>
          <w:tcPr>
            <w:tcW w:w="5872" w:type="dxa"/>
            <w:vAlign w:val="bottom"/>
          </w:tcPr>
          <w:p w14:paraId="76B47224"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Property and equipment</w:t>
            </w:r>
          </w:p>
        </w:tc>
        <w:tc>
          <w:tcPr>
            <w:tcW w:w="1398" w:type="dxa"/>
            <w:vAlign w:val="bottom"/>
          </w:tcPr>
          <w:p w14:paraId="038BD548" w14:textId="61E7C5C7"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223,765,175</w:t>
            </w:r>
          </w:p>
        </w:tc>
        <w:tc>
          <w:tcPr>
            <w:tcW w:w="1490" w:type="dxa"/>
            <w:vAlign w:val="bottom"/>
          </w:tcPr>
          <w:p w14:paraId="76283FEA" w14:textId="4DE704A1"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226,293,865</w:t>
            </w:r>
          </w:p>
        </w:tc>
      </w:tr>
      <w:tr w:rsidR="005A78E4" w:rsidRPr="00002555" w14:paraId="766B0EE8" w14:textId="77777777" w:rsidTr="005A78E4">
        <w:tblPrEx>
          <w:tblLook w:val="01E0" w:firstRow="1" w:lastRow="1" w:firstColumn="1" w:lastColumn="1" w:noHBand="0" w:noVBand="0"/>
        </w:tblPrEx>
        <w:trPr>
          <w:trHeight w:val="232"/>
        </w:trPr>
        <w:tc>
          <w:tcPr>
            <w:tcW w:w="5872" w:type="dxa"/>
            <w:vAlign w:val="bottom"/>
          </w:tcPr>
          <w:p w14:paraId="207A94AA"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Total assets</w:t>
            </w:r>
          </w:p>
        </w:tc>
        <w:tc>
          <w:tcPr>
            <w:tcW w:w="1398" w:type="dxa"/>
            <w:vAlign w:val="bottom"/>
          </w:tcPr>
          <w:p w14:paraId="19A5FC40" w14:textId="303397F3"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298,763,667</w:t>
            </w:r>
          </w:p>
        </w:tc>
        <w:tc>
          <w:tcPr>
            <w:tcW w:w="1490" w:type="dxa"/>
            <w:vAlign w:val="bottom"/>
          </w:tcPr>
          <w:p w14:paraId="1972E148" w14:textId="32A984CF"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293,165,032</w:t>
            </w:r>
          </w:p>
        </w:tc>
      </w:tr>
      <w:tr w:rsidR="005A78E4" w:rsidRPr="00002555" w14:paraId="406517B3" w14:textId="77777777" w:rsidTr="005A78E4">
        <w:tblPrEx>
          <w:tblLook w:val="01E0" w:firstRow="1" w:lastRow="1" w:firstColumn="1" w:lastColumn="1" w:noHBand="0" w:noVBand="0"/>
        </w:tblPrEx>
        <w:trPr>
          <w:trHeight w:val="221"/>
        </w:trPr>
        <w:tc>
          <w:tcPr>
            <w:tcW w:w="5872" w:type="dxa"/>
            <w:vAlign w:val="bottom"/>
          </w:tcPr>
          <w:p w14:paraId="0427DF95"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Non-current financial liabilities </w:t>
            </w:r>
            <w:r w:rsidRPr="00002555">
              <w:rPr>
                <w:rFonts w:ascii="Arial" w:hAnsi="Arial" w:cs="Arial"/>
                <w:sz w:val="18"/>
                <w:szCs w:val="18"/>
                <w:vertAlign w:val="superscript"/>
                <w:lang w:val="en-CA"/>
              </w:rPr>
              <w:t>(1)</w:t>
            </w:r>
          </w:p>
        </w:tc>
        <w:tc>
          <w:tcPr>
            <w:tcW w:w="1398" w:type="dxa"/>
            <w:vAlign w:val="bottom"/>
          </w:tcPr>
          <w:p w14:paraId="08B91001" w14:textId="7C23A2BC"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84,971,203</w:t>
            </w:r>
          </w:p>
        </w:tc>
        <w:tc>
          <w:tcPr>
            <w:tcW w:w="1490" w:type="dxa"/>
            <w:vAlign w:val="bottom"/>
          </w:tcPr>
          <w:p w14:paraId="1DA466D3" w14:textId="1ADCB0CB" w:rsidR="005A78E4" w:rsidRDefault="005434BB"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7</w:t>
            </w:r>
            <w:r w:rsidR="000C1380">
              <w:rPr>
                <w:rFonts w:ascii="Arial" w:hAnsi="Arial" w:cs="Arial"/>
                <w:sz w:val="18"/>
                <w:szCs w:val="18"/>
                <w:lang w:val="en-CA"/>
              </w:rPr>
              <w:t>3</w:t>
            </w:r>
            <w:r>
              <w:rPr>
                <w:rFonts w:ascii="Arial" w:hAnsi="Arial" w:cs="Arial"/>
                <w:sz w:val="18"/>
                <w:szCs w:val="18"/>
                <w:lang w:val="en-CA"/>
              </w:rPr>
              <w:t>,009,452</w:t>
            </w:r>
            <w:r w:rsidR="000C1380">
              <w:rPr>
                <w:rFonts w:ascii="Arial" w:hAnsi="Arial" w:cs="Arial"/>
                <w:sz w:val="18"/>
                <w:szCs w:val="18"/>
                <w:lang w:val="en-CA"/>
              </w:rPr>
              <w:t xml:space="preserve"> </w:t>
            </w:r>
          </w:p>
        </w:tc>
      </w:tr>
      <w:tr w:rsidR="005A78E4" w:rsidRPr="00002555" w14:paraId="02E017F9" w14:textId="77777777" w:rsidTr="005A78E4">
        <w:tblPrEx>
          <w:tblLook w:val="01E0" w:firstRow="1" w:lastRow="1" w:firstColumn="1" w:lastColumn="1" w:noHBand="0" w:noVBand="0"/>
        </w:tblPrEx>
        <w:trPr>
          <w:trHeight w:val="221"/>
        </w:trPr>
        <w:tc>
          <w:tcPr>
            <w:tcW w:w="5872" w:type="dxa"/>
            <w:vAlign w:val="bottom"/>
          </w:tcPr>
          <w:p w14:paraId="014B173B"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Share capital</w:t>
            </w:r>
          </w:p>
        </w:tc>
        <w:tc>
          <w:tcPr>
            <w:tcW w:w="1398" w:type="dxa"/>
            <w:vAlign w:val="bottom"/>
          </w:tcPr>
          <w:p w14:paraId="38C6E6CF" w14:textId="4693242C"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Pr>
                <w:rFonts w:ascii="Arial" w:hAnsi="Arial" w:cs="Arial"/>
                <w:sz w:val="18"/>
                <w:szCs w:val="18"/>
                <w:lang w:val="en-CA"/>
              </w:rPr>
              <w:t>56,456,328</w:t>
            </w:r>
          </w:p>
        </w:tc>
        <w:tc>
          <w:tcPr>
            <w:tcW w:w="1490" w:type="dxa"/>
            <w:vAlign w:val="bottom"/>
          </w:tcPr>
          <w:p w14:paraId="4EA838ED" w14:textId="62804806"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rPr>
              <w:t>56,456,328</w:t>
            </w:r>
          </w:p>
        </w:tc>
      </w:tr>
      <w:tr w:rsidR="005A78E4" w:rsidRPr="00002555" w14:paraId="2EA5FD9C" w14:textId="77777777" w:rsidTr="005A78E4">
        <w:tblPrEx>
          <w:tblLook w:val="01E0" w:firstRow="1" w:lastRow="1" w:firstColumn="1" w:lastColumn="1" w:noHBand="0" w:noVBand="0"/>
        </w:tblPrEx>
        <w:trPr>
          <w:trHeight w:val="221"/>
        </w:trPr>
        <w:tc>
          <w:tcPr>
            <w:tcW w:w="5872" w:type="dxa"/>
            <w:tcBorders>
              <w:bottom w:val="single" w:sz="12" w:space="0" w:color="auto"/>
            </w:tcBorders>
            <w:vAlign w:val="bottom"/>
          </w:tcPr>
          <w:p w14:paraId="6A044FCC" w14:textId="77777777" w:rsidR="005A78E4" w:rsidRPr="00002555" w:rsidRDefault="005A78E4" w:rsidP="005A78E4">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Total common shares outstanding </w:t>
            </w:r>
          </w:p>
        </w:tc>
        <w:tc>
          <w:tcPr>
            <w:tcW w:w="1398" w:type="dxa"/>
            <w:tcBorders>
              <w:bottom w:val="single" w:sz="12" w:space="0" w:color="auto"/>
            </w:tcBorders>
            <w:vAlign w:val="center"/>
          </w:tcPr>
          <w:p w14:paraId="4276229F" w14:textId="448385F5" w:rsidR="005A78E4" w:rsidRPr="00257237" w:rsidRDefault="005434BB" w:rsidP="005A78E4">
            <w:pPr>
              <w:widowControl w:val="0"/>
              <w:tabs>
                <w:tab w:val="decimal" w:pos="1062"/>
              </w:tabs>
              <w:spacing w:line="240" w:lineRule="atLeast"/>
              <w:ind w:right="-45"/>
              <w:jc w:val="center"/>
              <w:rPr>
                <w:rFonts w:ascii="Arial" w:hAnsi="Arial" w:cs="Arial"/>
                <w:sz w:val="18"/>
                <w:szCs w:val="18"/>
                <w:lang w:val="en-CA"/>
              </w:rPr>
            </w:pPr>
            <w:r w:rsidRPr="005434BB">
              <w:rPr>
                <w:rFonts w:ascii="Arial" w:hAnsi="Arial" w:cs="Arial"/>
                <w:sz w:val="18"/>
                <w:szCs w:val="18"/>
                <w:lang w:val="en-CA"/>
              </w:rPr>
              <w:t>72,903,038</w:t>
            </w:r>
          </w:p>
        </w:tc>
        <w:tc>
          <w:tcPr>
            <w:tcW w:w="1490" w:type="dxa"/>
            <w:tcBorders>
              <w:bottom w:val="single" w:sz="12" w:space="0" w:color="auto"/>
            </w:tcBorders>
            <w:vAlign w:val="center"/>
          </w:tcPr>
          <w:p w14:paraId="6566E513" w14:textId="6E580011" w:rsidR="005A78E4" w:rsidRDefault="005A78E4" w:rsidP="005A78E4">
            <w:pPr>
              <w:widowControl w:val="0"/>
              <w:tabs>
                <w:tab w:val="decimal" w:pos="1062"/>
              </w:tabs>
              <w:spacing w:line="240" w:lineRule="atLeast"/>
              <w:ind w:right="-45"/>
              <w:rPr>
                <w:rFonts w:ascii="Arial" w:hAnsi="Arial" w:cs="Arial"/>
                <w:sz w:val="18"/>
                <w:szCs w:val="18"/>
              </w:rPr>
            </w:pPr>
            <w:r>
              <w:rPr>
                <w:rFonts w:ascii="Arial" w:hAnsi="Arial" w:cs="Arial"/>
                <w:sz w:val="18"/>
                <w:szCs w:val="18"/>
              </w:rPr>
              <w:t>72,903,038</w:t>
            </w:r>
          </w:p>
        </w:tc>
      </w:tr>
    </w:tbl>
    <w:p w14:paraId="267F0FC8" w14:textId="0E5DC170" w:rsidR="00A11329" w:rsidRPr="007F073E" w:rsidRDefault="00747799" w:rsidP="000C1380">
      <w:pPr>
        <w:pStyle w:val="ListParagraph"/>
        <w:widowControl w:val="0"/>
        <w:numPr>
          <w:ilvl w:val="0"/>
          <w:numId w:val="5"/>
        </w:numPr>
        <w:spacing w:before="120"/>
        <w:ind w:left="533"/>
        <w:jc w:val="both"/>
        <w:rPr>
          <w:rFonts w:ascii="Arial" w:hAnsi="Arial" w:cs="Arial"/>
          <w:sz w:val="16"/>
          <w:szCs w:val="16"/>
          <w:lang w:val="en-CA"/>
        </w:rPr>
      </w:pPr>
      <w:r w:rsidRPr="007F073E">
        <w:rPr>
          <w:rFonts w:ascii="Arial" w:hAnsi="Arial" w:cs="Arial"/>
          <w:sz w:val="16"/>
          <w:szCs w:val="16"/>
        </w:rPr>
        <w:t>We adhere to International Financial Reporting Standards (“</w:t>
      </w:r>
      <w:r w:rsidRPr="007F073E">
        <w:rPr>
          <w:rFonts w:ascii="Arial" w:hAnsi="Arial" w:cs="Arial"/>
          <w:b/>
          <w:sz w:val="16"/>
          <w:szCs w:val="16"/>
        </w:rPr>
        <w:t>IFRS</w:t>
      </w:r>
      <w:r w:rsidRPr="007F073E">
        <w:rPr>
          <w:rFonts w:ascii="Arial" w:hAnsi="Arial" w:cs="Arial"/>
          <w:sz w:val="16"/>
          <w:szCs w:val="16"/>
        </w:rPr>
        <w:t>”</w:t>
      </w:r>
      <w:proofErr w:type="gramStart"/>
      <w:r w:rsidRPr="007F073E">
        <w:rPr>
          <w:rFonts w:ascii="Arial" w:hAnsi="Arial" w:cs="Arial"/>
          <w:sz w:val="16"/>
          <w:szCs w:val="16"/>
        </w:rPr>
        <w:t>),</w:t>
      </w:r>
      <w:proofErr w:type="gramEnd"/>
      <w:r w:rsidRPr="007F073E">
        <w:rPr>
          <w:rFonts w:ascii="Arial" w:hAnsi="Arial" w:cs="Arial"/>
          <w:sz w:val="16"/>
          <w:szCs w:val="16"/>
        </w:rPr>
        <w:t xml:space="preserve"> however the Company also employs certain non-IFRS measures to analyze financial performance, financial position, and cash flow.  Additionally, other financial measures are also used to analyze performance.  These non-IFRS and other financial measures do not have any standardized meaning prescribed by IFRS and therefore may not be comparable to similar measures provided by other issuers.  </w:t>
      </w:r>
      <w:r w:rsidR="00CE0655" w:rsidRPr="007F073E">
        <w:rPr>
          <w:rFonts w:ascii="Arial" w:hAnsi="Arial" w:cs="Arial"/>
          <w:sz w:val="16"/>
          <w:szCs w:val="16"/>
          <w:lang w:val="en-CA"/>
        </w:rPr>
        <w:t>“Working capital</w:t>
      </w:r>
      <w:r w:rsidR="000960C0">
        <w:rPr>
          <w:rFonts w:ascii="Arial" w:hAnsi="Arial" w:cs="Arial"/>
          <w:sz w:val="16"/>
          <w:szCs w:val="16"/>
          <w:lang w:val="en-CA"/>
        </w:rPr>
        <w:t xml:space="preserve"> deficiency</w:t>
      </w:r>
      <w:r w:rsidR="00CE0655" w:rsidRPr="007F073E">
        <w:rPr>
          <w:rFonts w:ascii="Arial" w:hAnsi="Arial" w:cs="Arial"/>
          <w:sz w:val="16"/>
          <w:szCs w:val="16"/>
          <w:lang w:val="en-CA"/>
        </w:rPr>
        <w:t>” is a capital management measure. “Non-current financial liabilities” is a supplemental financial measure. See "Non-IFRS and Other Financial Measures".</w:t>
      </w:r>
    </w:p>
    <w:p w14:paraId="1F378A12" w14:textId="77777777" w:rsidR="00042E43" w:rsidRDefault="00042E43" w:rsidP="00D02275">
      <w:pPr>
        <w:rPr>
          <w:rFonts w:ascii="Arial" w:hAnsi="Arial" w:cs="Arial"/>
          <w:b/>
          <w:sz w:val="20"/>
          <w:szCs w:val="20"/>
          <w:lang w:val="en-CA"/>
        </w:rPr>
      </w:pPr>
    </w:p>
    <w:p w14:paraId="522B3EDD" w14:textId="77777777" w:rsidR="000960C0" w:rsidRDefault="000960C0" w:rsidP="00D02275">
      <w:pPr>
        <w:rPr>
          <w:rFonts w:ascii="Arial" w:hAnsi="Arial" w:cs="Arial"/>
          <w:b/>
          <w:sz w:val="20"/>
          <w:szCs w:val="20"/>
          <w:lang w:val="en-CA"/>
        </w:rPr>
      </w:pPr>
    </w:p>
    <w:p w14:paraId="7EC1B524" w14:textId="77777777" w:rsidR="000960C0" w:rsidRDefault="000960C0" w:rsidP="00D02275">
      <w:pPr>
        <w:rPr>
          <w:rFonts w:ascii="Arial" w:hAnsi="Arial" w:cs="Arial"/>
          <w:b/>
          <w:sz w:val="20"/>
          <w:szCs w:val="20"/>
          <w:lang w:val="en-CA"/>
        </w:rPr>
      </w:pPr>
    </w:p>
    <w:p w14:paraId="395883CC" w14:textId="77777777" w:rsidR="00387489" w:rsidRDefault="00387489" w:rsidP="00D02275">
      <w:pPr>
        <w:rPr>
          <w:rFonts w:ascii="Arial" w:hAnsi="Arial" w:cs="Arial"/>
          <w:b/>
          <w:sz w:val="20"/>
          <w:szCs w:val="20"/>
          <w:lang w:val="en-CA"/>
        </w:rPr>
      </w:pPr>
    </w:p>
    <w:p w14:paraId="06D5A40D" w14:textId="77777777" w:rsidR="00387489" w:rsidRDefault="00387489" w:rsidP="00D02275">
      <w:pPr>
        <w:rPr>
          <w:rFonts w:ascii="Arial" w:hAnsi="Arial" w:cs="Arial"/>
          <w:b/>
          <w:sz w:val="20"/>
          <w:szCs w:val="20"/>
          <w:lang w:val="en-CA"/>
        </w:rPr>
      </w:pPr>
    </w:p>
    <w:p w14:paraId="3E687652" w14:textId="77777777" w:rsidR="000960C0" w:rsidRDefault="000960C0" w:rsidP="00D02275">
      <w:pPr>
        <w:rPr>
          <w:rFonts w:ascii="Arial" w:hAnsi="Arial" w:cs="Arial"/>
          <w:b/>
          <w:sz w:val="20"/>
          <w:szCs w:val="20"/>
          <w:lang w:val="en-CA"/>
        </w:rPr>
      </w:pPr>
    </w:p>
    <w:p w14:paraId="098B3A89" w14:textId="6E49C5D6" w:rsidR="00570F49" w:rsidRDefault="00150304" w:rsidP="00D02275">
      <w:pPr>
        <w:rPr>
          <w:rFonts w:ascii="Arial" w:hAnsi="Arial" w:cs="Arial"/>
          <w:b/>
          <w:sz w:val="20"/>
          <w:szCs w:val="20"/>
          <w:lang w:val="en-CA"/>
        </w:rPr>
      </w:pPr>
      <w:r>
        <w:rPr>
          <w:rFonts w:ascii="Arial" w:hAnsi="Arial" w:cs="Arial"/>
          <w:b/>
          <w:sz w:val="20"/>
          <w:szCs w:val="20"/>
          <w:lang w:val="en-CA"/>
        </w:rPr>
        <w:lastRenderedPageBreak/>
        <w:t>Sales Volumes</w:t>
      </w:r>
    </w:p>
    <w:tbl>
      <w:tblPr>
        <w:tblW w:w="9731" w:type="dxa"/>
        <w:tblLayout w:type="fixed"/>
        <w:tblLook w:val="04A0" w:firstRow="1" w:lastRow="0" w:firstColumn="1" w:lastColumn="0" w:noHBand="0" w:noVBand="1"/>
      </w:tblPr>
      <w:tblGrid>
        <w:gridCol w:w="2715"/>
        <w:gridCol w:w="1684"/>
        <w:gridCol w:w="1685"/>
        <w:gridCol w:w="2469"/>
        <w:gridCol w:w="1178"/>
      </w:tblGrid>
      <w:tr w:rsidR="002455E7" w:rsidRPr="00902562" w14:paraId="5DD44F06" w14:textId="30A813F6" w:rsidTr="00B40D56">
        <w:trPr>
          <w:gridAfter w:val="2"/>
          <w:wAfter w:w="3647" w:type="dxa"/>
          <w:trHeight w:val="462"/>
        </w:trPr>
        <w:tc>
          <w:tcPr>
            <w:tcW w:w="2715" w:type="dxa"/>
            <w:tcBorders>
              <w:top w:val="single" w:sz="4" w:space="0" w:color="auto"/>
              <w:left w:val="single" w:sz="4" w:space="0" w:color="auto"/>
              <w:bottom w:val="single" w:sz="4" w:space="0" w:color="auto"/>
              <w:right w:val="single" w:sz="4" w:space="0" w:color="auto"/>
            </w:tcBorders>
          </w:tcPr>
          <w:p w14:paraId="2172550C" w14:textId="77777777" w:rsidR="002455E7" w:rsidRPr="00902562" w:rsidRDefault="002455E7" w:rsidP="002455E7">
            <w:pPr>
              <w:rPr>
                <w:rFonts w:ascii="Arial" w:hAnsi="Arial" w:cs="Arial"/>
                <w:bCs/>
                <w:sz w:val="16"/>
                <w:szCs w:val="16"/>
                <w:lang w:val="en-CA"/>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3B12919E" w14:textId="72495C1A" w:rsidR="002455E7" w:rsidRDefault="002455E7" w:rsidP="002455E7">
            <w:pPr>
              <w:widowControl w:val="0"/>
              <w:ind w:right="162"/>
              <w:jc w:val="center"/>
              <w:rPr>
                <w:rFonts w:ascii="Arial" w:hAnsi="Arial" w:cs="Arial"/>
                <w:b/>
                <w:bCs/>
                <w:sz w:val="16"/>
                <w:szCs w:val="16"/>
                <w:lang w:val="en-CA"/>
              </w:rPr>
            </w:pPr>
            <w:r>
              <w:rPr>
                <w:rFonts w:ascii="Arial" w:hAnsi="Arial" w:cs="Arial"/>
                <w:b/>
                <w:bCs/>
                <w:sz w:val="16"/>
                <w:szCs w:val="16"/>
                <w:lang w:val="en-CA"/>
              </w:rPr>
              <w:t xml:space="preserve">Three months ended </w:t>
            </w:r>
          </w:p>
        </w:tc>
      </w:tr>
      <w:tr w:rsidR="00B40D56" w:rsidRPr="00902562" w14:paraId="1C736860" w14:textId="77777777" w:rsidTr="00B40D56">
        <w:trPr>
          <w:gridAfter w:val="2"/>
          <w:wAfter w:w="3647" w:type="dxa"/>
          <w:trHeight w:val="226"/>
        </w:trPr>
        <w:tc>
          <w:tcPr>
            <w:tcW w:w="2715" w:type="dxa"/>
            <w:tcBorders>
              <w:top w:val="single" w:sz="4" w:space="0" w:color="auto"/>
              <w:left w:val="single" w:sz="4" w:space="0" w:color="auto"/>
              <w:bottom w:val="single" w:sz="4" w:space="0" w:color="auto"/>
              <w:right w:val="single" w:sz="4" w:space="0" w:color="auto"/>
            </w:tcBorders>
          </w:tcPr>
          <w:p w14:paraId="6C310740" w14:textId="77777777" w:rsidR="00B40D56" w:rsidRPr="00902562" w:rsidRDefault="00B40D56" w:rsidP="00B40D56">
            <w:pPr>
              <w:rPr>
                <w:rFonts w:ascii="Arial" w:hAnsi="Arial" w:cs="Arial"/>
                <w:bCs/>
                <w:sz w:val="16"/>
                <w:szCs w:val="16"/>
                <w:lang w:val="en-CA"/>
              </w:rPr>
            </w:pPr>
          </w:p>
        </w:tc>
        <w:tc>
          <w:tcPr>
            <w:tcW w:w="1684" w:type="dxa"/>
            <w:tcBorders>
              <w:top w:val="single" w:sz="4" w:space="0" w:color="auto"/>
              <w:left w:val="single" w:sz="4" w:space="0" w:color="auto"/>
              <w:bottom w:val="single" w:sz="4" w:space="0" w:color="auto"/>
              <w:right w:val="single" w:sz="4" w:space="0" w:color="auto"/>
            </w:tcBorders>
            <w:vAlign w:val="bottom"/>
          </w:tcPr>
          <w:p w14:paraId="2FF00AC7" w14:textId="6FF2D1E8" w:rsidR="00B40D56" w:rsidRDefault="00B40D56" w:rsidP="00B40D56">
            <w:pPr>
              <w:widowControl w:val="0"/>
              <w:ind w:right="162"/>
              <w:jc w:val="center"/>
              <w:rPr>
                <w:rFonts w:ascii="Arial" w:hAnsi="Arial" w:cs="Arial"/>
                <w:b/>
                <w:bCs/>
                <w:sz w:val="16"/>
                <w:szCs w:val="16"/>
                <w:lang w:val="en-CA"/>
              </w:rPr>
            </w:pPr>
            <w:r>
              <w:rPr>
                <w:rFonts w:ascii="Arial" w:hAnsi="Arial" w:cs="Arial"/>
                <w:b/>
                <w:bCs/>
                <w:sz w:val="16"/>
                <w:szCs w:val="16"/>
                <w:lang w:val="en-CA"/>
              </w:rPr>
              <w:t>March 31, 2026</w:t>
            </w:r>
          </w:p>
        </w:tc>
        <w:tc>
          <w:tcPr>
            <w:tcW w:w="1685" w:type="dxa"/>
            <w:tcBorders>
              <w:top w:val="single" w:sz="4" w:space="0" w:color="auto"/>
              <w:left w:val="single" w:sz="4" w:space="0" w:color="auto"/>
              <w:bottom w:val="single" w:sz="4" w:space="0" w:color="auto"/>
              <w:right w:val="single" w:sz="4" w:space="0" w:color="auto"/>
            </w:tcBorders>
            <w:vAlign w:val="bottom"/>
          </w:tcPr>
          <w:p w14:paraId="26DA36C2" w14:textId="079B8AE1" w:rsidR="00B40D56" w:rsidRDefault="00B40D56" w:rsidP="00B40D56">
            <w:pPr>
              <w:widowControl w:val="0"/>
              <w:ind w:right="162"/>
              <w:jc w:val="center"/>
              <w:rPr>
                <w:rFonts w:ascii="Arial" w:hAnsi="Arial" w:cs="Arial"/>
                <w:b/>
                <w:bCs/>
                <w:sz w:val="16"/>
                <w:szCs w:val="16"/>
                <w:lang w:val="en-CA"/>
              </w:rPr>
            </w:pPr>
            <w:r>
              <w:rPr>
                <w:rFonts w:ascii="Arial" w:hAnsi="Arial" w:cs="Arial"/>
                <w:b/>
                <w:bCs/>
                <w:sz w:val="16"/>
                <w:szCs w:val="16"/>
                <w:lang w:val="en-CA"/>
              </w:rPr>
              <w:t>March 31, 2025</w:t>
            </w:r>
          </w:p>
        </w:tc>
      </w:tr>
      <w:tr w:rsidR="00B40D56" w:rsidRPr="006B1AA5" w14:paraId="2D596501" w14:textId="52693EA7" w:rsidTr="00B40D56">
        <w:tblPrEx>
          <w:tblLook w:val="01E0" w:firstRow="1" w:lastRow="1" w:firstColumn="1" w:lastColumn="1" w:noHBand="0" w:noVBand="0"/>
        </w:tblPrEx>
        <w:trPr>
          <w:gridAfter w:val="2"/>
          <w:wAfter w:w="3647" w:type="dxa"/>
          <w:trHeight w:val="265"/>
        </w:trPr>
        <w:tc>
          <w:tcPr>
            <w:tcW w:w="2715" w:type="dxa"/>
            <w:tcBorders>
              <w:top w:val="single" w:sz="4" w:space="0" w:color="auto"/>
              <w:left w:val="single" w:sz="4" w:space="0" w:color="auto"/>
              <w:bottom w:val="single" w:sz="12" w:space="0" w:color="auto"/>
              <w:right w:val="single" w:sz="4" w:space="0" w:color="auto"/>
            </w:tcBorders>
            <w:vAlign w:val="bottom"/>
          </w:tcPr>
          <w:p w14:paraId="34E87D23" w14:textId="77777777" w:rsidR="00B40D56" w:rsidRPr="004D30A2" w:rsidRDefault="00B40D56" w:rsidP="00B40D56">
            <w:pPr>
              <w:spacing w:before="60" w:line="240" w:lineRule="atLeast"/>
              <w:rPr>
                <w:rFonts w:ascii="Arial" w:hAnsi="Arial" w:cs="Arial"/>
                <w:sz w:val="16"/>
                <w:szCs w:val="16"/>
                <w:lang w:val="en-CA"/>
              </w:rPr>
            </w:pPr>
            <w:r>
              <w:rPr>
                <w:rFonts w:ascii="Arial" w:hAnsi="Arial" w:cs="Arial"/>
                <w:sz w:val="16"/>
                <w:szCs w:val="16"/>
                <w:lang w:val="en-CA"/>
              </w:rPr>
              <w:t>Total sales volumes (BOE)</w:t>
            </w:r>
          </w:p>
        </w:tc>
        <w:tc>
          <w:tcPr>
            <w:tcW w:w="1684" w:type="dxa"/>
            <w:tcBorders>
              <w:top w:val="single" w:sz="4" w:space="0" w:color="auto"/>
              <w:left w:val="single" w:sz="4" w:space="0" w:color="auto"/>
              <w:bottom w:val="single" w:sz="12" w:space="0" w:color="auto"/>
              <w:right w:val="single" w:sz="4" w:space="0" w:color="auto"/>
            </w:tcBorders>
            <w:vAlign w:val="bottom"/>
          </w:tcPr>
          <w:p w14:paraId="56156707" w14:textId="259A94F8" w:rsidR="00B40D56" w:rsidRPr="00C016BA" w:rsidRDefault="00B40D56" w:rsidP="00B40D56">
            <w:pPr>
              <w:pStyle w:val="BodyText2"/>
              <w:widowControl w:val="0"/>
              <w:tabs>
                <w:tab w:val="decimal" w:pos="792"/>
              </w:tabs>
              <w:spacing w:before="60" w:after="0" w:line="240" w:lineRule="atLeast"/>
              <w:ind w:right="162"/>
              <w:jc w:val="right"/>
              <w:rPr>
                <w:rFonts w:ascii="Arial" w:hAnsi="Arial" w:cs="Arial"/>
                <w:color w:val="000000"/>
                <w:sz w:val="16"/>
                <w:szCs w:val="16"/>
                <w:lang w:val="en-CA"/>
              </w:rPr>
            </w:pPr>
            <w:r>
              <w:rPr>
                <w:rFonts w:ascii="Arial" w:hAnsi="Arial" w:cs="Arial"/>
                <w:sz w:val="16"/>
                <w:szCs w:val="16"/>
              </w:rPr>
              <w:t>708,658</w:t>
            </w:r>
          </w:p>
        </w:tc>
        <w:tc>
          <w:tcPr>
            <w:tcW w:w="1685" w:type="dxa"/>
            <w:tcBorders>
              <w:top w:val="single" w:sz="4" w:space="0" w:color="auto"/>
              <w:left w:val="single" w:sz="4" w:space="0" w:color="auto"/>
              <w:bottom w:val="single" w:sz="12" w:space="0" w:color="auto"/>
              <w:right w:val="single" w:sz="4" w:space="0" w:color="auto"/>
            </w:tcBorders>
            <w:vAlign w:val="bottom"/>
          </w:tcPr>
          <w:p w14:paraId="2A9567DB" w14:textId="25284DE2" w:rsidR="00B40D56" w:rsidRPr="00763017" w:rsidRDefault="00B40D56" w:rsidP="00B40D56">
            <w:pPr>
              <w:pStyle w:val="BodyText2"/>
              <w:widowControl w:val="0"/>
              <w:tabs>
                <w:tab w:val="decimal" w:pos="792"/>
              </w:tabs>
              <w:spacing w:before="60" w:after="0" w:line="240" w:lineRule="atLeast"/>
              <w:ind w:right="162"/>
              <w:jc w:val="right"/>
              <w:rPr>
                <w:rFonts w:ascii="Arial" w:hAnsi="Arial" w:cs="Arial"/>
                <w:sz w:val="16"/>
                <w:szCs w:val="16"/>
              </w:rPr>
            </w:pPr>
            <w:r w:rsidRPr="00763017">
              <w:rPr>
                <w:rFonts w:ascii="Arial" w:hAnsi="Arial" w:cs="Arial"/>
                <w:sz w:val="16"/>
                <w:szCs w:val="16"/>
              </w:rPr>
              <w:t>385,254</w:t>
            </w:r>
          </w:p>
        </w:tc>
      </w:tr>
      <w:tr w:rsidR="00B40D56" w:rsidRPr="006B1AA5" w14:paraId="4EBE23E7" w14:textId="40BE1892" w:rsidTr="00B40D56">
        <w:tblPrEx>
          <w:tblLook w:val="01E0" w:firstRow="1" w:lastRow="1" w:firstColumn="1" w:lastColumn="1" w:noHBand="0" w:noVBand="0"/>
        </w:tblPrEx>
        <w:trPr>
          <w:gridAfter w:val="2"/>
          <w:wAfter w:w="3647" w:type="dxa"/>
          <w:trHeight w:val="215"/>
        </w:trPr>
        <w:tc>
          <w:tcPr>
            <w:tcW w:w="2715" w:type="dxa"/>
            <w:tcBorders>
              <w:top w:val="single" w:sz="12" w:space="0" w:color="auto"/>
              <w:left w:val="single" w:sz="4" w:space="0" w:color="auto"/>
              <w:right w:val="single" w:sz="4" w:space="0" w:color="auto"/>
            </w:tcBorders>
            <w:vAlign w:val="bottom"/>
          </w:tcPr>
          <w:p w14:paraId="5984A896" w14:textId="78621AC7" w:rsidR="00B40D56" w:rsidRPr="004D30A2" w:rsidRDefault="00B40D56" w:rsidP="00B40D56">
            <w:pPr>
              <w:spacing w:before="60"/>
              <w:rPr>
                <w:rFonts w:ascii="Arial" w:hAnsi="Arial" w:cs="Arial"/>
                <w:sz w:val="16"/>
                <w:szCs w:val="16"/>
                <w:lang w:val="en-CA"/>
              </w:rPr>
            </w:pPr>
            <w:r w:rsidRPr="007F073E">
              <w:rPr>
                <w:rFonts w:ascii="Arial" w:hAnsi="Arial" w:cs="Arial"/>
                <w:sz w:val="16"/>
                <w:szCs w:val="16"/>
                <w:lang w:val="en-CA"/>
              </w:rPr>
              <w:t xml:space="preserve">Crude </w:t>
            </w:r>
            <w:r>
              <w:rPr>
                <w:rFonts w:ascii="Arial" w:hAnsi="Arial" w:cs="Arial"/>
                <w:sz w:val="16"/>
                <w:szCs w:val="16"/>
                <w:lang w:val="en-CA"/>
              </w:rPr>
              <w:t xml:space="preserve">Oil bbls per day </w:t>
            </w:r>
          </w:p>
        </w:tc>
        <w:tc>
          <w:tcPr>
            <w:tcW w:w="1684" w:type="dxa"/>
            <w:tcBorders>
              <w:top w:val="single" w:sz="12" w:space="0" w:color="auto"/>
              <w:left w:val="single" w:sz="4" w:space="0" w:color="auto"/>
              <w:right w:val="single" w:sz="4" w:space="0" w:color="auto"/>
            </w:tcBorders>
          </w:tcPr>
          <w:p w14:paraId="5144586F" w14:textId="2F449F15"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Pr>
                <w:rFonts w:ascii="Arial" w:hAnsi="Arial" w:cs="Arial"/>
                <w:sz w:val="16"/>
                <w:szCs w:val="16"/>
              </w:rPr>
              <w:t>6,639</w:t>
            </w:r>
            <w:r w:rsidRPr="00763017">
              <w:rPr>
                <w:rFonts w:ascii="Arial" w:hAnsi="Arial" w:cs="Arial"/>
                <w:sz w:val="16"/>
                <w:szCs w:val="16"/>
              </w:rPr>
              <w:t xml:space="preserve"> </w:t>
            </w:r>
          </w:p>
        </w:tc>
        <w:tc>
          <w:tcPr>
            <w:tcW w:w="1685" w:type="dxa"/>
            <w:tcBorders>
              <w:top w:val="single" w:sz="12" w:space="0" w:color="auto"/>
              <w:left w:val="single" w:sz="4" w:space="0" w:color="auto"/>
              <w:right w:val="single" w:sz="4" w:space="0" w:color="auto"/>
            </w:tcBorders>
          </w:tcPr>
          <w:p w14:paraId="57C174FA" w14:textId="4966AF84"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sidRPr="00763017">
              <w:rPr>
                <w:rFonts w:ascii="Arial" w:hAnsi="Arial" w:cs="Arial"/>
                <w:sz w:val="16"/>
                <w:szCs w:val="16"/>
              </w:rPr>
              <w:t xml:space="preserve">3,601 </w:t>
            </w:r>
          </w:p>
        </w:tc>
      </w:tr>
      <w:tr w:rsidR="00B40D56" w:rsidRPr="006B1AA5" w14:paraId="37A81496" w14:textId="33B16FCA" w:rsidTr="00B40D56">
        <w:tblPrEx>
          <w:tblLook w:val="01E0" w:firstRow="1" w:lastRow="1" w:firstColumn="1" w:lastColumn="1" w:noHBand="0" w:noVBand="0"/>
        </w:tblPrEx>
        <w:trPr>
          <w:gridAfter w:val="2"/>
          <w:wAfter w:w="3647" w:type="dxa"/>
          <w:trHeight w:val="219"/>
        </w:trPr>
        <w:tc>
          <w:tcPr>
            <w:tcW w:w="2715" w:type="dxa"/>
            <w:tcBorders>
              <w:left w:val="single" w:sz="4" w:space="0" w:color="auto"/>
              <w:right w:val="single" w:sz="4" w:space="0" w:color="auto"/>
            </w:tcBorders>
            <w:vAlign w:val="bottom"/>
          </w:tcPr>
          <w:p w14:paraId="6F74448F" w14:textId="77777777" w:rsidR="00B40D56" w:rsidRPr="004D30A2" w:rsidRDefault="00B40D56" w:rsidP="00B40D56">
            <w:pPr>
              <w:rPr>
                <w:rFonts w:ascii="Arial" w:hAnsi="Arial" w:cs="Arial"/>
                <w:sz w:val="16"/>
                <w:szCs w:val="16"/>
                <w:lang w:val="en-CA"/>
              </w:rPr>
            </w:pPr>
            <w:r>
              <w:rPr>
                <w:rFonts w:ascii="Arial" w:hAnsi="Arial" w:cs="Arial"/>
                <w:sz w:val="16"/>
                <w:szCs w:val="16"/>
                <w:lang w:val="en-CA"/>
              </w:rPr>
              <w:t xml:space="preserve">NGL bbls per day </w:t>
            </w:r>
          </w:p>
        </w:tc>
        <w:tc>
          <w:tcPr>
            <w:tcW w:w="1684" w:type="dxa"/>
            <w:tcBorders>
              <w:left w:val="single" w:sz="4" w:space="0" w:color="auto"/>
              <w:right w:val="single" w:sz="4" w:space="0" w:color="auto"/>
            </w:tcBorders>
          </w:tcPr>
          <w:p w14:paraId="5A771483" w14:textId="36710E40"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Pr>
                <w:rFonts w:ascii="Arial" w:hAnsi="Arial" w:cs="Arial"/>
                <w:sz w:val="16"/>
                <w:szCs w:val="16"/>
              </w:rPr>
              <w:t>4</w:t>
            </w:r>
            <w:r w:rsidRPr="00763017">
              <w:rPr>
                <w:rFonts w:ascii="Arial" w:hAnsi="Arial" w:cs="Arial"/>
                <w:sz w:val="16"/>
                <w:szCs w:val="16"/>
              </w:rPr>
              <w:t xml:space="preserve"> </w:t>
            </w:r>
          </w:p>
        </w:tc>
        <w:tc>
          <w:tcPr>
            <w:tcW w:w="1685" w:type="dxa"/>
            <w:tcBorders>
              <w:left w:val="single" w:sz="4" w:space="0" w:color="auto"/>
              <w:right w:val="single" w:sz="4" w:space="0" w:color="auto"/>
            </w:tcBorders>
          </w:tcPr>
          <w:p w14:paraId="391A7179" w14:textId="52C07EC2"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Pr>
                <w:rFonts w:ascii="Arial" w:hAnsi="Arial" w:cs="Arial"/>
                <w:sz w:val="16"/>
                <w:szCs w:val="16"/>
              </w:rPr>
              <w:t>8</w:t>
            </w:r>
            <w:r w:rsidRPr="00763017">
              <w:rPr>
                <w:rFonts w:ascii="Arial" w:hAnsi="Arial" w:cs="Arial"/>
                <w:sz w:val="16"/>
                <w:szCs w:val="16"/>
              </w:rPr>
              <w:t xml:space="preserve"> </w:t>
            </w:r>
          </w:p>
        </w:tc>
      </w:tr>
      <w:tr w:rsidR="00B40D56" w:rsidRPr="006B1AA5" w14:paraId="7A7396EE" w14:textId="468007AC" w:rsidTr="00B40D56">
        <w:tblPrEx>
          <w:tblLook w:val="01E0" w:firstRow="1" w:lastRow="1" w:firstColumn="1" w:lastColumn="1" w:noHBand="0" w:noVBand="0"/>
        </w:tblPrEx>
        <w:trPr>
          <w:gridAfter w:val="2"/>
          <w:wAfter w:w="3647" w:type="dxa"/>
          <w:trHeight w:val="209"/>
        </w:trPr>
        <w:tc>
          <w:tcPr>
            <w:tcW w:w="2715" w:type="dxa"/>
            <w:tcBorders>
              <w:left w:val="single" w:sz="4" w:space="0" w:color="auto"/>
              <w:bottom w:val="single" w:sz="4" w:space="0" w:color="auto"/>
              <w:right w:val="single" w:sz="4" w:space="0" w:color="auto"/>
            </w:tcBorders>
            <w:vAlign w:val="bottom"/>
          </w:tcPr>
          <w:p w14:paraId="462A7D82" w14:textId="77777777" w:rsidR="00B40D56" w:rsidRPr="004D30A2" w:rsidRDefault="00B40D56" w:rsidP="00B40D56">
            <w:pPr>
              <w:rPr>
                <w:rFonts w:ascii="Arial" w:hAnsi="Arial" w:cs="Arial"/>
                <w:sz w:val="16"/>
                <w:szCs w:val="16"/>
                <w:lang w:val="en-CA"/>
              </w:rPr>
            </w:pPr>
            <w:r>
              <w:rPr>
                <w:rFonts w:ascii="Arial" w:hAnsi="Arial" w:cs="Arial"/>
                <w:sz w:val="16"/>
                <w:szCs w:val="16"/>
                <w:lang w:val="en-CA"/>
              </w:rPr>
              <w:t xml:space="preserve">Natural gas mcf per day </w:t>
            </w:r>
          </w:p>
        </w:tc>
        <w:tc>
          <w:tcPr>
            <w:tcW w:w="1684" w:type="dxa"/>
            <w:tcBorders>
              <w:left w:val="single" w:sz="4" w:space="0" w:color="auto"/>
              <w:bottom w:val="single" w:sz="4" w:space="0" w:color="auto"/>
              <w:right w:val="single" w:sz="4" w:space="0" w:color="auto"/>
            </w:tcBorders>
          </w:tcPr>
          <w:p w14:paraId="671DB4D9" w14:textId="765E194A"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Pr>
                <w:rFonts w:ascii="Arial" w:hAnsi="Arial" w:cs="Arial"/>
                <w:sz w:val="16"/>
                <w:szCs w:val="16"/>
              </w:rPr>
              <w:t>7,389</w:t>
            </w:r>
            <w:r w:rsidRPr="00763017">
              <w:rPr>
                <w:rFonts w:ascii="Arial" w:hAnsi="Arial" w:cs="Arial"/>
                <w:sz w:val="16"/>
                <w:szCs w:val="16"/>
              </w:rPr>
              <w:t xml:space="preserve"> </w:t>
            </w:r>
          </w:p>
        </w:tc>
        <w:tc>
          <w:tcPr>
            <w:tcW w:w="1685" w:type="dxa"/>
            <w:tcBorders>
              <w:left w:val="single" w:sz="4" w:space="0" w:color="auto"/>
              <w:bottom w:val="single" w:sz="4" w:space="0" w:color="auto"/>
              <w:right w:val="single" w:sz="4" w:space="0" w:color="auto"/>
            </w:tcBorders>
          </w:tcPr>
          <w:p w14:paraId="38B32DB9" w14:textId="4BA9D1E8"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sidRPr="00763017">
              <w:rPr>
                <w:rFonts w:ascii="Arial" w:hAnsi="Arial" w:cs="Arial"/>
                <w:sz w:val="16"/>
                <w:szCs w:val="16"/>
              </w:rPr>
              <w:t xml:space="preserve"> 4,028 </w:t>
            </w:r>
          </w:p>
        </w:tc>
      </w:tr>
      <w:tr w:rsidR="00B40D56" w:rsidRPr="001F4B94" w14:paraId="3C395615" w14:textId="4CEDDCAF" w:rsidTr="00B40D56">
        <w:tblPrEx>
          <w:tblLook w:val="01E0" w:firstRow="1" w:lastRow="1" w:firstColumn="1" w:lastColumn="1" w:noHBand="0" w:noVBand="0"/>
        </w:tblPrEx>
        <w:trPr>
          <w:gridAfter w:val="2"/>
          <w:wAfter w:w="3647" w:type="dxa"/>
          <w:trHeight w:val="244"/>
        </w:trPr>
        <w:tc>
          <w:tcPr>
            <w:tcW w:w="2715" w:type="dxa"/>
            <w:tcBorders>
              <w:top w:val="single" w:sz="4" w:space="0" w:color="auto"/>
              <w:left w:val="single" w:sz="4" w:space="0" w:color="auto"/>
              <w:bottom w:val="single" w:sz="12" w:space="0" w:color="auto"/>
              <w:right w:val="single" w:sz="4" w:space="0" w:color="auto"/>
            </w:tcBorders>
            <w:vAlign w:val="bottom"/>
          </w:tcPr>
          <w:p w14:paraId="3F72152F" w14:textId="77777777" w:rsidR="00B40D56" w:rsidRPr="004D30A2" w:rsidRDefault="00B40D56" w:rsidP="00B40D56">
            <w:pPr>
              <w:rPr>
                <w:rFonts w:ascii="Arial" w:hAnsi="Arial" w:cs="Arial"/>
                <w:sz w:val="16"/>
                <w:szCs w:val="16"/>
                <w:lang w:val="en-CA"/>
              </w:rPr>
            </w:pPr>
            <w:r>
              <w:rPr>
                <w:rFonts w:ascii="Arial" w:hAnsi="Arial" w:cs="Arial"/>
                <w:sz w:val="16"/>
                <w:szCs w:val="16"/>
                <w:lang w:val="en-CA"/>
              </w:rPr>
              <w:t>Total BOE per day</w:t>
            </w:r>
          </w:p>
        </w:tc>
        <w:tc>
          <w:tcPr>
            <w:tcW w:w="1684" w:type="dxa"/>
            <w:tcBorders>
              <w:top w:val="single" w:sz="4" w:space="0" w:color="auto"/>
              <w:left w:val="single" w:sz="4" w:space="0" w:color="auto"/>
              <w:bottom w:val="single" w:sz="12" w:space="0" w:color="auto"/>
              <w:right w:val="single" w:sz="4" w:space="0" w:color="auto"/>
            </w:tcBorders>
          </w:tcPr>
          <w:p w14:paraId="16A37522" w14:textId="5FF2E4F2"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Pr>
                <w:rFonts w:ascii="Arial" w:hAnsi="Arial" w:cs="Arial"/>
                <w:sz w:val="16"/>
                <w:szCs w:val="16"/>
              </w:rPr>
              <w:t>7,875</w:t>
            </w:r>
            <w:r w:rsidRPr="00763017">
              <w:rPr>
                <w:rFonts w:ascii="Arial" w:hAnsi="Arial" w:cs="Arial"/>
                <w:sz w:val="16"/>
                <w:szCs w:val="16"/>
              </w:rPr>
              <w:t xml:space="preserve"> </w:t>
            </w:r>
          </w:p>
        </w:tc>
        <w:tc>
          <w:tcPr>
            <w:tcW w:w="1685" w:type="dxa"/>
            <w:tcBorders>
              <w:top w:val="single" w:sz="4" w:space="0" w:color="auto"/>
              <w:left w:val="single" w:sz="4" w:space="0" w:color="auto"/>
              <w:bottom w:val="single" w:sz="12" w:space="0" w:color="auto"/>
              <w:right w:val="single" w:sz="4" w:space="0" w:color="auto"/>
            </w:tcBorders>
          </w:tcPr>
          <w:p w14:paraId="5C38148B" w14:textId="43A1F3DD" w:rsidR="00B40D56" w:rsidRPr="00763017" w:rsidRDefault="00B40D56" w:rsidP="00B40D56">
            <w:pPr>
              <w:pStyle w:val="BodyText2"/>
              <w:widowControl w:val="0"/>
              <w:tabs>
                <w:tab w:val="decimal" w:pos="788"/>
              </w:tabs>
              <w:spacing w:before="60" w:after="0" w:line="240" w:lineRule="atLeast"/>
              <w:ind w:right="162"/>
              <w:jc w:val="right"/>
              <w:rPr>
                <w:rFonts w:ascii="Arial" w:hAnsi="Arial" w:cs="Arial"/>
                <w:sz w:val="16"/>
                <w:szCs w:val="16"/>
              </w:rPr>
            </w:pPr>
            <w:r w:rsidRPr="00763017">
              <w:rPr>
                <w:rFonts w:ascii="Arial" w:hAnsi="Arial" w:cs="Arial"/>
                <w:sz w:val="16"/>
                <w:szCs w:val="16"/>
              </w:rPr>
              <w:t xml:space="preserve"> 4,280 </w:t>
            </w:r>
          </w:p>
        </w:tc>
      </w:tr>
      <w:tr w:rsidR="002455E7" w:rsidRPr="006F1857" w14:paraId="28D357C0" w14:textId="77777777" w:rsidTr="00B40D56">
        <w:tblPrEx>
          <w:tblLook w:val="01E0" w:firstRow="1" w:lastRow="1" w:firstColumn="1" w:lastColumn="1" w:noHBand="0" w:noVBand="0"/>
        </w:tblPrEx>
        <w:trPr>
          <w:trHeight w:val="52"/>
        </w:trPr>
        <w:tc>
          <w:tcPr>
            <w:tcW w:w="2715" w:type="dxa"/>
            <w:tcBorders>
              <w:top w:val="single" w:sz="12" w:space="0" w:color="auto"/>
            </w:tcBorders>
            <w:vAlign w:val="bottom"/>
          </w:tcPr>
          <w:p w14:paraId="7EA83BAB" w14:textId="77777777" w:rsidR="002455E7" w:rsidRPr="004D30A2" w:rsidRDefault="002455E7" w:rsidP="002455E7">
            <w:pPr>
              <w:rPr>
                <w:rFonts w:ascii="Arial" w:hAnsi="Arial" w:cs="Arial"/>
                <w:sz w:val="4"/>
                <w:szCs w:val="4"/>
                <w:lang w:val="en-CA"/>
              </w:rPr>
            </w:pPr>
          </w:p>
        </w:tc>
        <w:tc>
          <w:tcPr>
            <w:tcW w:w="1684" w:type="dxa"/>
            <w:tcBorders>
              <w:top w:val="single" w:sz="12" w:space="0" w:color="auto"/>
            </w:tcBorders>
            <w:vAlign w:val="bottom"/>
          </w:tcPr>
          <w:p w14:paraId="1705F95F" w14:textId="0F9C8D7A" w:rsidR="002455E7" w:rsidRPr="004D30A2" w:rsidRDefault="002455E7" w:rsidP="002455E7">
            <w:pPr>
              <w:pStyle w:val="BodyText2"/>
              <w:widowControl w:val="0"/>
              <w:tabs>
                <w:tab w:val="decimal" w:pos="792"/>
              </w:tabs>
              <w:spacing w:after="0" w:line="240" w:lineRule="auto"/>
              <w:ind w:right="522"/>
              <w:jc w:val="right"/>
              <w:rPr>
                <w:rFonts w:ascii="Arial" w:hAnsi="Arial" w:cs="Arial"/>
                <w:color w:val="000000"/>
                <w:sz w:val="4"/>
                <w:szCs w:val="4"/>
                <w:lang w:val="en-CA"/>
              </w:rPr>
            </w:pPr>
          </w:p>
        </w:tc>
        <w:tc>
          <w:tcPr>
            <w:tcW w:w="1685" w:type="dxa"/>
          </w:tcPr>
          <w:p w14:paraId="3103FE45" w14:textId="77777777" w:rsidR="002455E7" w:rsidRPr="004D30A2" w:rsidRDefault="002455E7" w:rsidP="002455E7">
            <w:pPr>
              <w:pStyle w:val="BodyText2"/>
              <w:widowControl w:val="0"/>
              <w:tabs>
                <w:tab w:val="decimal" w:pos="792"/>
              </w:tabs>
              <w:spacing w:after="0" w:line="240" w:lineRule="auto"/>
              <w:ind w:right="432"/>
              <w:jc w:val="right"/>
              <w:rPr>
                <w:rFonts w:ascii="Arial" w:hAnsi="Arial" w:cs="Arial"/>
                <w:color w:val="000000"/>
                <w:sz w:val="4"/>
                <w:szCs w:val="4"/>
                <w:lang w:val="en-CA"/>
              </w:rPr>
            </w:pPr>
          </w:p>
        </w:tc>
        <w:tc>
          <w:tcPr>
            <w:tcW w:w="2469" w:type="dxa"/>
            <w:vAlign w:val="bottom"/>
          </w:tcPr>
          <w:p w14:paraId="3A4269D2" w14:textId="6E78F2B5" w:rsidR="002455E7" w:rsidRPr="004D30A2" w:rsidRDefault="002455E7" w:rsidP="002455E7">
            <w:pPr>
              <w:pStyle w:val="BodyText2"/>
              <w:widowControl w:val="0"/>
              <w:tabs>
                <w:tab w:val="decimal" w:pos="792"/>
              </w:tabs>
              <w:spacing w:after="0" w:line="240" w:lineRule="auto"/>
              <w:ind w:right="432"/>
              <w:jc w:val="right"/>
              <w:rPr>
                <w:rFonts w:ascii="Arial" w:hAnsi="Arial" w:cs="Arial"/>
                <w:color w:val="000000"/>
                <w:sz w:val="4"/>
                <w:szCs w:val="4"/>
                <w:lang w:val="en-CA"/>
              </w:rPr>
            </w:pPr>
          </w:p>
        </w:tc>
        <w:tc>
          <w:tcPr>
            <w:tcW w:w="1178" w:type="dxa"/>
          </w:tcPr>
          <w:p w14:paraId="20E26898" w14:textId="405E8492" w:rsidR="002455E7" w:rsidRPr="004D30A2" w:rsidRDefault="002455E7" w:rsidP="002455E7">
            <w:pPr>
              <w:pStyle w:val="BodyText2"/>
              <w:widowControl w:val="0"/>
              <w:tabs>
                <w:tab w:val="decimal" w:pos="702"/>
              </w:tabs>
              <w:spacing w:after="0" w:line="240" w:lineRule="auto"/>
              <w:rPr>
                <w:rFonts w:ascii="Arial" w:hAnsi="Arial" w:cs="Arial"/>
                <w:color w:val="000000"/>
                <w:sz w:val="4"/>
                <w:szCs w:val="4"/>
                <w:lang w:val="en-CA"/>
              </w:rPr>
            </w:pPr>
          </w:p>
        </w:tc>
      </w:tr>
    </w:tbl>
    <w:p w14:paraId="0AF81483" w14:textId="2D03FD90" w:rsidR="00570F49" w:rsidRDefault="00570F49" w:rsidP="00D75BB8">
      <w:pPr>
        <w:tabs>
          <w:tab w:val="left" w:pos="426"/>
        </w:tabs>
        <w:spacing w:before="240" w:after="120"/>
        <w:rPr>
          <w:rFonts w:ascii="Arial" w:hAnsi="Arial" w:cs="Arial"/>
          <w:bCs/>
          <w:sz w:val="18"/>
          <w:szCs w:val="18"/>
          <w:lang w:val="en-CA"/>
        </w:rPr>
      </w:pPr>
      <w:r>
        <w:rPr>
          <w:rFonts w:ascii="Arial" w:hAnsi="Arial" w:cs="Arial"/>
          <w:b/>
          <w:sz w:val="18"/>
          <w:szCs w:val="18"/>
          <w:lang w:val="en-CA"/>
        </w:rPr>
        <w:t xml:space="preserve">Operating Netback </w:t>
      </w:r>
      <w:r>
        <w:rPr>
          <w:rFonts w:ascii="Arial" w:hAnsi="Arial" w:cs="Arial"/>
          <w:bCs/>
          <w:sz w:val="18"/>
          <w:szCs w:val="18"/>
          <w:vertAlign w:val="superscript"/>
          <w:lang w:val="en-CA"/>
        </w:rPr>
        <w:t xml:space="preserve">(1) </w:t>
      </w:r>
      <w:r>
        <w:rPr>
          <w:rFonts w:ascii="Arial" w:hAnsi="Arial" w:cs="Arial"/>
          <w:bCs/>
          <w:sz w:val="18"/>
          <w:szCs w:val="18"/>
          <w:lang w:val="en-CA"/>
        </w:rPr>
        <w:t xml:space="preserve"> </w:t>
      </w:r>
    </w:p>
    <w:tbl>
      <w:tblPr>
        <w:tblW w:w="6658" w:type="dxa"/>
        <w:tblLayout w:type="fixed"/>
        <w:tblLook w:val="04A0" w:firstRow="1" w:lastRow="0" w:firstColumn="1" w:lastColumn="0" w:noHBand="0" w:noVBand="1"/>
      </w:tblPr>
      <w:tblGrid>
        <w:gridCol w:w="2527"/>
        <w:gridCol w:w="1068"/>
        <w:gridCol w:w="795"/>
        <w:gridCol w:w="1417"/>
        <w:gridCol w:w="851"/>
      </w:tblGrid>
      <w:tr w:rsidR="00185E59" w:rsidRPr="001F4B94" w14:paraId="58A55FA1" w14:textId="55230E55" w:rsidTr="00B40D56">
        <w:trPr>
          <w:trHeight w:val="436"/>
        </w:trPr>
        <w:tc>
          <w:tcPr>
            <w:tcW w:w="2527" w:type="dxa"/>
            <w:tcBorders>
              <w:top w:val="single" w:sz="4" w:space="0" w:color="auto"/>
              <w:left w:val="single" w:sz="4" w:space="0" w:color="auto"/>
              <w:right w:val="single" w:sz="4" w:space="0" w:color="auto"/>
            </w:tcBorders>
            <w:vAlign w:val="bottom"/>
          </w:tcPr>
          <w:p w14:paraId="6657EC74" w14:textId="77777777" w:rsidR="00185E59" w:rsidRPr="006752C5" w:rsidRDefault="00185E59" w:rsidP="0016026B">
            <w:pPr>
              <w:rPr>
                <w:rFonts w:ascii="Arial" w:hAnsi="Arial" w:cs="Arial"/>
                <w:bCs/>
                <w:sz w:val="16"/>
                <w:szCs w:val="16"/>
                <w:lang w:val="en-CA"/>
              </w:rPr>
            </w:pPr>
          </w:p>
        </w:tc>
        <w:tc>
          <w:tcPr>
            <w:tcW w:w="4131" w:type="dxa"/>
            <w:gridSpan w:val="4"/>
            <w:tcBorders>
              <w:top w:val="single" w:sz="4" w:space="0" w:color="auto"/>
              <w:left w:val="single" w:sz="4" w:space="0" w:color="auto"/>
              <w:right w:val="single" w:sz="4" w:space="0" w:color="auto"/>
            </w:tcBorders>
            <w:vAlign w:val="center"/>
          </w:tcPr>
          <w:p w14:paraId="3CE9B616" w14:textId="795688F9" w:rsidR="00185E59" w:rsidRDefault="00185E59" w:rsidP="00185E59">
            <w:pPr>
              <w:widowControl w:val="0"/>
              <w:jc w:val="center"/>
              <w:rPr>
                <w:rFonts w:ascii="Arial" w:hAnsi="Arial" w:cs="Arial"/>
                <w:b/>
                <w:bCs/>
                <w:sz w:val="16"/>
                <w:szCs w:val="16"/>
                <w:lang w:val="en-CA"/>
              </w:rPr>
            </w:pPr>
            <w:r>
              <w:rPr>
                <w:rFonts w:ascii="Arial" w:hAnsi="Arial" w:cs="Arial"/>
                <w:b/>
                <w:bCs/>
                <w:sz w:val="16"/>
                <w:szCs w:val="16"/>
                <w:lang w:val="en-CA"/>
              </w:rPr>
              <w:t xml:space="preserve">Three months ended </w:t>
            </w:r>
          </w:p>
        </w:tc>
      </w:tr>
      <w:tr w:rsidR="00B40D56" w:rsidRPr="001F4B94" w14:paraId="7179A092" w14:textId="6CFB3059" w:rsidTr="00B40D56">
        <w:trPr>
          <w:trHeight w:val="181"/>
        </w:trPr>
        <w:tc>
          <w:tcPr>
            <w:tcW w:w="2527" w:type="dxa"/>
            <w:tcBorders>
              <w:top w:val="single" w:sz="4" w:space="0" w:color="auto"/>
              <w:left w:val="single" w:sz="4" w:space="0" w:color="auto"/>
              <w:right w:val="single" w:sz="4" w:space="0" w:color="auto"/>
            </w:tcBorders>
            <w:vAlign w:val="bottom"/>
          </w:tcPr>
          <w:p w14:paraId="6CA90DEE" w14:textId="77777777" w:rsidR="00B40D56" w:rsidRPr="006752C5" w:rsidRDefault="00B40D56" w:rsidP="00B40D56">
            <w:pPr>
              <w:rPr>
                <w:rFonts w:ascii="Arial" w:hAnsi="Arial" w:cs="Arial"/>
                <w:bCs/>
                <w:sz w:val="16"/>
                <w:szCs w:val="16"/>
                <w:lang w:val="en-CA"/>
              </w:rPr>
            </w:pPr>
          </w:p>
        </w:tc>
        <w:tc>
          <w:tcPr>
            <w:tcW w:w="1863" w:type="dxa"/>
            <w:gridSpan w:val="2"/>
            <w:tcBorders>
              <w:top w:val="single" w:sz="4" w:space="0" w:color="auto"/>
              <w:left w:val="single" w:sz="4" w:space="0" w:color="auto"/>
              <w:right w:val="single" w:sz="4" w:space="0" w:color="auto"/>
            </w:tcBorders>
            <w:vAlign w:val="bottom"/>
          </w:tcPr>
          <w:p w14:paraId="2C885BCC" w14:textId="1E58698E" w:rsidR="00B40D56" w:rsidRDefault="00B40D56" w:rsidP="00B40D56">
            <w:pPr>
              <w:widowControl w:val="0"/>
              <w:jc w:val="center"/>
              <w:rPr>
                <w:rFonts w:ascii="Arial" w:hAnsi="Arial" w:cs="Arial"/>
                <w:b/>
                <w:bCs/>
                <w:sz w:val="16"/>
                <w:szCs w:val="16"/>
                <w:lang w:val="en-CA"/>
              </w:rPr>
            </w:pPr>
            <w:r>
              <w:rPr>
                <w:rFonts w:ascii="Arial" w:hAnsi="Arial" w:cs="Arial"/>
                <w:b/>
                <w:bCs/>
                <w:sz w:val="16"/>
                <w:szCs w:val="16"/>
                <w:lang w:val="en-CA"/>
              </w:rPr>
              <w:t>March 31, 2026</w:t>
            </w:r>
          </w:p>
        </w:tc>
        <w:tc>
          <w:tcPr>
            <w:tcW w:w="2268" w:type="dxa"/>
            <w:gridSpan w:val="2"/>
            <w:tcBorders>
              <w:top w:val="single" w:sz="4" w:space="0" w:color="auto"/>
              <w:left w:val="single" w:sz="4" w:space="0" w:color="auto"/>
              <w:right w:val="single" w:sz="4" w:space="0" w:color="auto"/>
            </w:tcBorders>
            <w:vAlign w:val="bottom"/>
          </w:tcPr>
          <w:p w14:paraId="7B7AB5AC" w14:textId="3DDE5505" w:rsidR="00B40D56" w:rsidRDefault="00B40D56" w:rsidP="00B40D56">
            <w:pPr>
              <w:widowControl w:val="0"/>
              <w:jc w:val="center"/>
              <w:rPr>
                <w:rFonts w:ascii="Arial" w:hAnsi="Arial" w:cs="Arial"/>
                <w:b/>
                <w:bCs/>
                <w:sz w:val="16"/>
                <w:szCs w:val="16"/>
                <w:lang w:val="en-CA"/>
              </w:rPr>
            </w:pPr>
            <w:r>
              <w:rPr>
                <w:rFonts w:ascii="Arial" w:hAnsi="Arial" w:cs="Arial"/>
                <w:b/>
                <w:bCs/>
                <w:sz w:val="16"/>
                <w:szCs w:val="16"/>
                <w:lang w:val="en-CA"/>
              </w:rPr>
              <w:t>March 31, 2025</w:t>
            </w:r>
          </w:p>
        </w:tc>
      </w:tr>
      <w:tr w:rsidR="00B40D56" w:rsidRPr="001F4B94" w14:paraId="272F6548" w14:textId="2D9884B1" w:rsidTr="00DC74F4">
        <w:tblPrEx>
          <w:tblLook w:val="01E0" w:firstRow="1" w:lastRow="1" w:firstColumn="1" w:lastColumn="1" w:noHBand="0" w:noVBand="0"/>
        </w:tblPrEx>
        <w:trPr>
          <w:trHeight w:val="181"/>
        </w:trPr>
        <w:tc>
          <w:tcPr>
            <w:tcW w:w="2527" w:type="dxa"/>
            <w:tcBorders>
              <w:top w:val="single" w:sz="4" w:space="0" w:color="auto"/>
              <w:left w:val="single" w:sz="4" w:space="0" w:color="auto"/>
              <w:right w:val="single" w:sz="4" w:space="0" w:color="auto"/>
            </w:tcBorders>
            <w:vAlign w:val="bottom"/>
          </w:tcPr>
          <w:p w14:paraId="5B52929B" w14:textId="77777777" w:rsidR="00B40D56" w:rsidRPr="006752C5" w:rsidRDefault="00B40D56" w:rsidP="00B40D56">
            <w:pPr>
              <w:rPr>
                <w:rFonts w:ascii="Arial" w:hAnsi="Arial" w:cs="Arial"/>
                <w:sz w:val="16"/>
                <w:szCs w:val="16"/>
                <w:lang w:val="en-CA"/>
              </w:rPr>
            </w:pPr>
          </w:p>
        </w:tc>
        <w:tc>
          <w:tcPr>
            <w:tcW w:w="1068" w:type="dxa"/>
            <w:tcBorders>
              <w:top w:val="single" w:sz="4" w:space="0" w:color="auto"/>
              <w:left w:val="single" w:sz="4" w:space="0" w:color="auto"/>
            </w:tcBorders>
            <w:vAlign w:val="bottom"/>
          </w:tcPr>
          <w:p w14:paraId="09CF2C76" w14:textId="77777777" w:rsidR="00B40D56" w:rsidRPr="006752C5" w:rsidRDefault="00B40D56" w:rsidP="00B40D56">
            <w:pPr>
              <w:ind w:left="-108"/>
              <w:rPr>
                <w:rFonts w:ascii="Arial" w:hAnsi="Arial" w:cs="Arial"/>
                <w:color w:val="000000"/>
                <w:sz w:val="16"/>
                <w:szCs w:val="16"/>
              </w:rPr>
            </w:pPr>
          </w:p>
        </w:tc>
        <w:tc>
          <w:tcPr>
            <w:tcW w:w="795" w:type="dxa"/>
            <w:tcBorders>
              <w:top w:val="single" w:sz="4" w:space="0" w:color="auto"/>
              <w:right w:val="single" w:sz="4" w:space="0" w:color="auto"/>
            </w:tcBorders>
            <w:vAlign w:val="bottom"/>
          </w:tcPr>
          <w:p w14:paraId="6BE970C6" w14:textId="2D84D5E0" w:rsidR="00B40D56" w:rsidRPr="006752C5" w:rsidRDefault="00DC74F4" w:rsidP="00B40D56">
            <w:pPr>
              <w:widowControl w:val="0"/>
              <w:ind w:right="-86"/>
              <w:jc w:val="center"/>
              <w:rPr>
                <w:rFonts w:ascii="Arial" w:hAnsi="Arial" w:cs="Arial"/>
                <w:color w:val="000000"/>
                <w:sz w:val="16"/>
                <w:szCs w:val="16"/>
              </w:rPr>
            </w:pPr>
            <w:r>
              <w:rPr>
                <w:rFonts w:ascii="Arial" w:hAnsi="Arial" w:cs="Arial"/>
                <w:color w:val="000000"/>
                <w:sz w:val="16"/>
                <w:szCs w:val="16"/>
              </w:rPr>
              <w:t>Per BOE</w:t>
            </w:r>
          </w:p>
        </w:tc>
        <w:tc>
          <w:tcPr>
            <w:tcW w:w="1417" w:type="dxa"/>
            <w:tcBorders>
              <w:top w:val="single" w:sz="4" w:space="0" w:color="auto"/>
            </w:tcBorders>
            <w:vAlign w:val="bottom"/>
          </w:tcPr>
          <w:p w14:paraId="71DB7972" w14:textId="613EB958" w:rsidR="00B40D56" w:rsidRDefault="00B40D56" w:rsidP="00B40D56">
            <w:pPr>
              <w:widowControl w:val="0"/>
              <w:ind w:right="-86"/>
              <w:jc w:val="center"/>
              <w:rPr>
                <w:rFonts w:ascii="Arial" w:hAnsi="Arial" w:cs="Arial"/>
                <w:color w:val="000000"/>
                <w:sz w:val="16"/>
                <w:szCs w:val="16"/>
              </w:rPr>
            </w:pPr>
          </w:p>
        </w:tc>
        <w:tc>
          <w:tcPr>
            <w:tcW w:w="851" w:type="dxa"/>
            <w:tcBorders>
              <w:top w:val="single" w:sz="4" w:space="0" w:color="auto"/>
              <w:bottom w:val="single" w:sz="4" w:space="0" w:color="000000"/>
              <w:right w:val="single" w:sz="4" w:space="0" w:color="auto"/>
            </w:tcBorders>
          </w:tcPr>
          <w:p w14:paraId="4F2741DB" w14:textId="3E594B65" w:rsidR="00B40D56" w:rsidRDefault="00B40D56" w:rsidP="00B40D56">
            <w:pPr>
              <w:widowControl w:val="0"/>
              <w:ind w:right="-86"/>
              <w:jc w:val="center"/>
              <w:rPr>
                <w:rFonts w:ascii="Arial" w:hAnsi="Arial" w:cs="Arial"/>
                <w:color w:val="000000"/>
                <w:sz w:val="16"/>
                <w:szCs w:val="16"/>
              </w:rPr>
            </w:pPr>
            <w:r>
              <w:rPr>
                <w:rFonts w:ascii="Arial" w:hAnsi="Arial" w:cs="Arial"/>
                <w:color w:val="000000"/>
                <w:sz w:val="16"/>
                <w:szCs w:val="16"/>
              </w:rPr>
              <w:t>Per BOE</w:t>
            </w:r>
          </w:p>
        </w:tc>
      </w:tr>
      <w:tr w:rsidR="009C336C" w:rsidRPr="001F4B94" w14:paraId="0F0FAB0D" w14:textId="30165A4F" w:rsidTr="00DC74F4">
        <w:tblPrEx>
          <w:tblLook w:val="01E0" w:firstRow="1" w:lastRow="1" w:firstColumn="1" w:lastColumn="1" w:noHBand="0" w:noVBand="0"/>
        </w:tblPrEx>
        <w:trPr>
          <w:trHeight w:val="48"/>
        </w:trPr>
        <w:tc>
          <w:tcPr>
            <w:tcW w:w="2527" w:type="dxa"/>
            <w:tcBorders>
              <w:top w:val="single" w:sz="4" w:space="0" w:color="auto"/>
              <w:left w:val="single" w:sz="4" w:space="0" w:color="auto"/>
              <w:right w:val="single" w:sz="4" w:space="0" w:color="auto"/>
            </w:tcBorders>
            <w:vAlign w:val="bottom"/>
          </w:tcPr>
          <w:p w14:paraId="604D464F" w14:textId="33D25D6B" w:rsidR="009C336C" w:rsidRPr="006752C5" w:rsidRDefault="009C336C" w:rsidP="009C336C">
            <w:pPr>
              <w:rPr>
                <w:rFonts w:ascii="Arial" w:hAnsi="Arial" w:cs="Arial"/>
                <w:sz w:val="16"/>
                <w:szCs w:val="16"/>
                <w:lang w:val="en-CA"/>
              </w:rPr>
            </w:pPr>
            <w:r>
              <w:rPr>
                <w:rFonts w:ascii="Arial" w:hAnsi="Arial" w:cs="Arial"/>
                <w:sz w:val="16"/>
                <w:szCs w:val="16"/>
                <w:lang w:val="en-CA"/>
              </w:rPr>
              <w:t>Oil and natural gas sales revenue ($)</w:t>
            </w:r>
          </w:p>
        </w:tc>
        <w:tc>
          <w:tcPr>
            <w:tcW w:w="1068" w:type="dxa"/>
            <w:tcBorders>
              <w:top w:val="single" w:sz="4" w:space="0" w:color="auto"/>
              <w:left w:val="single" w:sz="4" w:space="0" w:color="auto"/>
            </w:tcBorders>
            <w:vAlign w:val="bottom"/>
          </w:tcPr>
          <w:p w14:paraId="0F8F25A9" w14:textId="782D1182" w:rsidR="009C336C" w:rsidRPr="00763017" w:rsidRDefault="009C336C" w:rsidP="009C336C">
            <w:pPr>
              <w:tabs>
                <w:tab w:val="decimal" w:pos="702"/>
              </w:tabs>
              <w:ind w:left="-108"/>
              <w:rPr>
                <w:rFonts w:ascii="Arial" w:hAnsi="Arial" w:cs="Arial"/>
                <w:color w:val="000000"/>
                <w:sz w:val="16"/>
                <w:szCs w:val="16"/>
              </w:rPr>
            </w:pPr>
            <w:r>
              <w:rPr>
                <w:rFonts w:ascii="Arial" w:hAnsi="Arial" w:cs="Arial"/>
                <w:color w:val="000000"/>
                <w:sz w:val="16"/>
                <w:szCs w:val="16"/>
              </w:rPr>
              <w:t>44,481,221</w:t>
            </w:r>
          </w:p>
        </w:tc>
        <w:tc>
          <w:tcPr>
            <w:tcW w:w="795" w:type="dxa"/>
            <w:tcBorders>
              <w:top w:val="single" w:sz="4" w:space="0" w:color="000000"/>
              <w:right w:val="single" w:sz="4" w:space="0" w:color="auto"/>
            </w:tcBorders>
            <w:vAlign w:val="bottom"/>
          </w:tcPr>
          <w:p w14:paraId="01A47986" w14:textId="0F32FC02" w:rsidR="009C336C" w:rsidRPr="00763017" w:rsidRDefault="009C336C" w:rsidP="009C336C">
            <w:pPr>
              <w:widowControl w:val="0"/>
              <w:tabs>
                <w:tab w:val="decimal" w:pos="432"/>
              </w:tabs>
              <w:spacing w:line="240" w:lineRule="atLeast"/>
              <w:ind w:right="-86"/>
              <w:rPr>
                <w:rFonts w:ascii="Arial" w:hAnsi="Arial" w:cs="Arial"/>
                <w:color w:val="000000"/>
                <w:sz w:val="16"/>
                <w:szCs w:val="16"/>
              </w:rPr>
            </w:pPr>
            <w:r>
              <w:rPr>
                <w:rFonts w:ascii="Arial" w:hAnsi="Arial" w:cs="Arial"/>
                <w:color w:val="000000"/>
                <w:sz w:val="16"/>
                <w:szCs w:val="16"/>
              </w:rPr>
              <w:t>62.77</w:t>
            </w:r>
          </w:p>
        </w:tc>
        <w:tc>
          <w:tcPr>
            <w:tcW w:w="1417" w:type="dxa"/>
            <w:tcBorders>
              <w:top w:val="single" w:sz="4" w:space="0" w:color="000000"/>
            </w:tcBorders>
            <w:vAlign w:val="bottom"/>
          </w:tcPr>
          <w:p w14:paraId="20D4415A" w14:textId="6F159563" w:rsidR="009C336C" w:rsidRPr="00763017" w:rsidRDefault="009C336C" w:rsidP="009C336C">
            <w:pPr>
              <w:tabs>
                <w:tab w:val="decimal" w:pos="702"/>
              </w:tabs>
              <w:ind w:left="-108"/>
              <w:jc w:val="right"/>
              <w:rPr>
                <w:rFonts w:ascii="Arial" w:hAnsi="Arial" w:cs="Arial"/>
                <w:sz w:val="16"/>
                <w:szCs w:val="16"/>
              </w:rPr>
            </w:pPr>
            <w:r w:rsidRPr="00763017">
              <w:rPr>
                <w:rFonts w:ascii="Arial" w:hAnsi="Arial" w:cs="Arial"/>
                <w:sz w:val="16"/>
                <w:szCs w:val="16"/>
              </w:rPr>
              <w:t xml:space="preserve"> 23,508,494 </w:t>
            </w:r>
          </w:p>
        </w:tc>
        <w:tc>
          <w:tcPr>
            <w:tcW w:w="851" w:type="dxa"/>
            <w:tcBorders>
              <w:top w:val="single" w:sz="4" w:space="0" w:color="000000"/>
              <w:right w:val="single" w:sz="4" w:space="0" w:color="auto"/>
            </w:tcBorders>
            <w:vAlign w:val="bottom"/>
          </w:tcPr>
          <w:p w14:paraId="649343D1" w14:textId="5C79F4CA" w:rsidR="009C336C" w:rsidRPr="00763017" w:rsidRDefault="009C336C" w:rsidP="009C336C">
            <w:pPr>
              <w:widowControl w:val="0"/>
              <w:tabs>
                <w:tab w:val="decimal" w:pos="432"/>
              </w:tabs>
              <w:spacing w:line="240" w:lineRule="atLeast"/>
              <w:ind w:right="-86"/>
              <w:rPr>
                <w:rFonts w:ascii="Arial" w:hAnsi="Arial" w:cs="Arial"/>
                <w:sz w:val="16"/>
                <w:szCs w:val="16"/>
              </w:rPr>
            </w:pPr>
            <w:r w:rsidRPr="00763017">
              <w:rPr>
                <w:rFonts w:ascii="Arial" w:hAnsi="Arial" w:cs="Arial"/>
                <w:sz w:val="16"/>
                <w:szCs w:val="16"/>
              </w:rPr>
              <w:t>61.02</w:t>
            </w:r>
          </w:p>
        </w:tc>
      </w:tr>
      <w:tr w:rsidR="009C336C" w:rsidRPr="001F4B94" w14:paraId="3BC85C3C" w14:textId="009D8ED5" w:rsidTr="00DC74F4">
        <w:tblPrEx>
          <w:tblLook w:val="01E0" w:firstRow="1" w:lastRow="1" w:firstColumn="1" w:lastColumn="1" w:noHBand="0" w:noVBand="0"/>
        </w:tblPrEx>
        <w:trPr>
          <w:trHeight w:val="243"/>
        </w:trPr>
        <w:tc>
          <w:tcPr>
            <w:tcW w:w="2527" w:type="dxa"/>
            <w:tcBorders>
              <w:left w:val="single" w:sz="4" w:space="0" w:color="auto"/>
              <w:right w:val="single" w:sz="4" w:space="0" w:color="auto"/>
            </w:tcBorders>
            <w:vAlign w:val="bottom"/>
          </w:tcPr>
          <w:p w14:paraId="6721C1AD" w14:textId="77777777" w:rsidR="009C336C" w:rsidRPr="006752C5" w:rsidRDefault="009C336C" w:rsidP="009C336C">
            <w:pPr>
              <w:rPr>
                <w:rFonts w:ascii="Arial" w:hAnsi="Arial" w:cs="Arial"/>
                <w:sz w:val="16"/>
                <w:szCs w:val="16"/>
                <w:lang w:val="en-CA"/>
              </w:rPr>
            </w:pPr>
            <w:r>
              <w:rPr>
                <w:rFonts w:ascii="Arial" w:hAnsi="Arial" w:cs="Arial"/>
                <w:sz w:val="16"/>
                <w:szCs w:val="16"/>
                <w:lang w:val="en-CA"/>
              </w:rPr>
              <w:t>Export tax ($)</w:t>
            </w:r>
          </w:p>
        </w:tc>
        <w:tc>
          <w:tcPr>
            <w:tcW w:w="1068" w:type="dxa"/>
            <w:tcBorders>
              <w:left w:val="single" w:sz="4" w:space="0" w:color="auto"/>
            </w:tcBorders>
            <w:vAlign w:val="center"/>
          </w:tcPr>
          <w:p w14:paraId="150FED48" w14:textId="090B6E82" w:rsidR="009C336C" w:rsidRPr="00763017" w:rsidRDefault="009C336C" w:rsidP="009C336C">
            <w:pPr>
              <w:tabs>
                <w:tab w:val="decimal" w:pos="702"/>
              </w:tabs>
              <w:ind w:left="-108"/>
              <w:rPr>
                <w:rFonts w:ascii="Arial" w:hAnsi="Arial" w:cs="Arial"/>
                <w:color w:val="000000"/>
                <w:sz w:val="16"/>
                <w:szCs w:val="16"/>
              </w:rPr>
            </w:pPr>
            <w:r>
              <w:rPr>
                <w:rFonts w:ascii="Arial" w:hAnsi="Arial" w:cs="Arial"/>
                <w:color w:val="000000"/>
                <w:sz w:val="16"/>
                <w:szCs w:val="16"/>
              </w:rPr>
              <w:t>(74,846)</w:t>
            </w:r>
          </w:p>
        </w:tc>
        <w:tc>
          <w:tcPr>
            <w:tcW w:w="795" w:type="dxa"/>
            <w:tcBorders>
              <w:right w:val="single" w:sz="4" w:space="0" w:color="auto"/>
            </w:tcBorders>
            <w:vAlign w:val="center"/>
          </w:tcPr>
          <w:p w14:paraId="1F0E980F" w14:textId="463CB676" w:rsidR="009C336C" w:rsidRPr="00763017" w:rsidRDefault="009C336C" w:rsidP="009C336C">
            <w:pPr>
              <w:widowControl w:val="0"/>
              <w:tabs>
                <w:tab w:val="decimal" w:pos="432"/>
              </w:tabs>
              <w:spacing w:line="240" w:lineRule="atLeast"/>
              <w:ind w:right="-86"/>
              <w:rPr>
                <w:rFonts w:ascii="Arial" w:hAnsi="Arial" w:cs="Arial"/>
                <w:color w:val="000000"/>
                <w:sz w:val="16"/>
                <w:szCs w:val="16"/>
              </w:rPr>
            </w:pPr>
            <w:r>
              <w:rPr>
                <w:rFonts w:ascii="Arial" w:hAnsi="Arial" w:cs="Arial"/>
                <w:color w:val="000000"/>
                <w:sz w:val="16"/>
                <w:szCs w:val="16"/>
              </w:rPr>
              <w:t>(0.11)</w:t>
            </w:r>
          </w:p>
        </w:tc>
        <w:tc>
          <w:tcPr>
            <w:tcW w:w="1417" w:type="dxa"/>
            <w:vAlign w:val="center"/>
          </w:tcPr>
          <w:p w14:paraId="52FE6444" w14:textId="64AB239D" w:rsidR="009C336C" w:rsidRPr="00763017" w:rsidRDefault="009C336C" w:rsidP="009C336C">
            <w:pPr>
              <w:tabs>
                <w:tab w:val="decimal" w:pos="702"/>
              </w:tabs>
              <w:ind w:left="-108"/>
              <w:jc w:val="right"/>
              <w:rPr>
                <w:rFonts w:ascii="Arial" w:hAnsi="Arial" w:cs="Arial"/>
                <w:sz w:val="16"/>
                <w:szCs w:val="16"/>
              </w:rPr>
            </w:pPr>
            <w:r w:rsidRPr="00763017">
              <w:rPr>
                <w:rFonts w:ascii="Arial" w:hAnsi="Arial" w:cs="Arial"/>
                <w:sz w:val="16"/>
                <w:szCs w:val="16"/>
              </w:rPr>
              <w:t xml:space="preserve"> (92,504)</w:t>
            </w:r>
          </w:p>
        </w:tc>
        <w:tc>
          <w:tcPr>
            <w:tcW w:w="851" w:type="dxa"/>
            <w:tcBorders>
              <w:right w:val="single" w:sz="4" w:space="0" w:color="auto"/>
            </w:tcBorders>
            <w:vAlign w:val="center"/>
          </w:tcPr>
          <w:p w14:paraId="377D360E" w14:textId="14602F4D" w:rsidR="009C336C" w:rsidRPr="00763017" w:rsidRDefault="009C336C" w:rsidP="009C336C">
            <w:pPr>
              <w:widowControl w:val="0"/>
              <w:tabs>
                <w:tab w:val="decimal" w:pos="432"/>
              </w:tabs>
              <w:spacing w:line="240" w:lineRule="atLeast"/>
              <w:ind w:right="-86"/>
              <w:rPr>
                <w:rFonts w:ascii="Arial" w:hAnsi="Arial" w:cs="Arial"/>
                <w:sz w:val="16"/>
                <w:szCs w:val="16"/>
              </w:rPr>
            </w:pPr>
            <w:r w:rsidRPr="00763017">
              <w:rPr>
                <w:rFonts w:ascii="Arial" w:hAnsi="Arial" w:cs="Arial"/>
                <w:sz w:val="16"/>
                <w:szCs w:val="16"/>
              </w:rPr>
              <w:t>(0.24)</w:t>
            </w:r>
          </w:p>
        </w:tc>
      </w:tr>
      <w:tr w:rsidR="009C336C" w:rsidRPr="001F4B94" w14:paraId="53560676" w14:textId="598F8529" w:rsidTr="00DC74F4">
        <w:tblPrEx>
          <w:tblLook w:val="01E0" w:firstRow="1" w:lastRow="1" w:firstColumn="1" w:lastColumn="1" w:noHBand="0" w:noVBand="0"/>
        </w:tblPrEx>
        <w:trPr>
          <w:trHeight w:val="243"/>
        </w:trPr>
        <w:tc>
          <w:tcPr>
            <w:tcW w:w="2527" w:type="dxa"/>
            <w:tcBorders>
              <w:left w:val="single" w:sz="4" w:space="0" w:color="auto"/>
              <w:right w:val="single" w:sz="4" w:space="0" w:color="auto"/>
            </w:tcBorders>
            <w:vAlign w:val="bottom"/>
          </w:tcPr>
          <w:p w14:paraId="10873E78" w14:textId="77777777" w:rsidR="009C336C" w:rsidRPr="006752C5" w:rsidRDefault="009C336C" w:rsidP="009C336C">
            <w:pPr>
              <w:rPr>
                <w:rFonts w:ascii="Arial" w:hAnsi="Arial" w:cs="Arial"/>
                <w:sz w:val="16"/>
                <w:szCs w:val="16"/>
                <w:lang w:val="en-CA"/>
              </w:rPr>
            </w:pPr>
            <w:r>
              <w:rPr>
                <w:rFonts w:ascii="Arial" w:hAnsi="Arial" w:cs="Arial"/>
                <w:sz w:val="16"/>
                <w:szCs w:val="16"/>
                <w:lang w:val="en-CA"/>
              </w:rPr>
              <w:t>Royalties and turnover tax ($)</w:t>
            </w:r>
          </w:p>
        </w:tc>
        <w:tc>
          <w:tcPr>
            <w:tcW w:w="1068" w:type="dxa"/>
            <w:tcBorders>
              <w:left w:val="single" w:sz="4" w:space="0" w:color="auto"/>
            </w:tcBorders>
            <w:vAlign w:val="center"/>
          </w:tcPr>
          <w:p w14:paraId="2F743ED0" w14:textId="69E1256B" w:rsidR="009C336C" w:rsidRPr="00763017" w:rsidRDefault="009C336C" w:rsidP="009C336C">
            <w:pPr>
              <w:tabs>
                <w:tab w:val="decimal" w:pos="702"/>
              </w:tabs>
              <w:ind w:left="-108"/>
              <w:rPr>
                <w:rFonts w:ascii="Arial" w:hAnsi="Arial" w:cs="Arial"/>
                <w:color w:val="000000"/>
                <w:sz w:val="16"/>
                <w:szCs w:val="16"/>
              </w:rPr>
            </w:pPr>
            <w:r>
              <w:rPr>
                <w:rFonts w:ascii="Arial" w:hAnsi="Arial" w:cs="Arial"/>
                <w:color w:val="000000"/>
                <w:sz w:val="16"/>
                <w:szCs w:val="16"/>
              </w:rPr>
              <w:t>(8,433,198)</w:t>
            </w:r>
          </w:p>
        </w:tc>
        <w:tc>
          <w:tcPr>
            <w:tcW w:w="795" w:type="dxa"/>
            <w:tcBorders>
              <w:right w:val="single" w:sz="4" w:space="0" w:color="auto"/>
            </w:tcBorders>
            <w:vAlign w:val="center"/>
          </w:tcPr>
          <w:p w14:paraId="199A7467" w14:textId="3F6998F9" w:rsidR="009C336C" w:rsidRPr="00763017" w:rsidRDefault="009C336C" w:rsidP="009C336C">
            <w:pPr>
              <w:widowControl w:val="0"/>
              <w:tabs>
                <w:tab w:val="decimal" w:pos="432"/>
              </w:tabs>
              <w:spacing w:line="240" w:lineRule="atLeast"/>
              <w:ind w:right="-86"/>
              <w:rPr>
                <w:rFonts w:ascii="Arial" w:hAnsi="Arial" w:cs="Arial"/>
                <w:color w:val="000000"/>
                <w:sz w:val="16"/>
                <w:szCs w:val="16"/>
              </w:rPr>
            </w:pPr>
            <w:r>
              <w:rPr>
                <w:rFonts w:ascii="Arial" w:hAnsi="Arial" w:cs="Arial"/>
                <w:color w:val="000000"/>
                <w:sz w:val="16"/>
                <w:szCs w:val="16"/>
              </w:rPr>
              <w:t>(11.90)</w:t>
            </w:r>
          </w:p>
        </w:tc>
        <w:tc>
          <w:tcPr>
            <w:tcW w:w="1417" w:type="dxa"/>
            <w:vAlign w:val="center"/>
          </w:tcPr>
          <w:p w14:paraId="72143D1B" w14:textId="5E78D6EF" w:rsidR="009C336C" w:rsidRPr="00763017" w:rsidRDefault="009C336C" w:rsidP="009C336C">
            <w:pPr>
              <w:tabs>
                <w:tab w:val="decimal" w:pos="702"/>
              </w:tabs>
              <w:ind w:left="-108"/>
              <w:jc w:val="right"/>
              <w:rPr>
                <w:rFonts w:ascii="Arial" w:hAnsi="Arial" w:cs="Arial"/>
                <w:sz w:val="16"/>
                <w:szCs w:val="16"/>
              </w:rPr>
            </w:pPr>
            <w:r w:rsidRPr="00763017">
              <w:rPr>
                <w:rFonts w:ascii="Arial" w:hAnsi="Arial" w:cs="Arial"/>
                <w:sz w:val="16"/>
                <w:szCs w:val="16"/>
              </w:rPr>
              <w:t xml:space="preserve"> (4,199,485)</w:t>
            </w:r>
          </w:p>
        </w:tc>
        <w:tc>
          <w:tcPr>
            <w:tcW w:w="851" w:type="dxa"/>
            <w:tcBorders>
              <w:right w:val="single" w:sz="4" w:space="0" w:color="auto"/>
            </w:tcBorders>
            <w:vAlign w:val="center"/>
          </w:tcPr>
          <w:p w14:paraId="71F46589" w14:textId="1F4BFC4A" w:rsidR="009C336C" w:rsidRPr="00763017" w:rsidRDefault="009C336C" w:rsidP="009C336C">
            <w:pPr>
              <w:widowControl w:val="0"/>
              <w:tabs>
                <w:tab w:val="decimal" w:pos="432"/>
              </w:tabs>
              <w:spacing w:line="240" w:lineRule="atLeast"/>
              <w:ind w:right="-86"/>
              <w:rPr>
                <w:rFonts w:ascii="Arial" w:hAnsi="Arial" w:cs="Arial"/>
                <w:sz w:val="16"/>
                <w:szCs w:val="16"/>
              </w:rPr>
            </w:pPr>
            <w:r w:rsidRPr="00763017">
              <w:rPr>
                <w:rFonts w:ascii="Arial" w:hAnsi="Arial" w:cs="Arial"/>
                <w:sz w:val="16"/>
                <w:szCs w:val="16"/>
              </w:rPr>
              <w:t>(10.90)</w:t>
            </w:r>
          </w:p>
        </w:tc>
      </w:tr>
      <w:tr w:rsidR="009C336C" w:rsidRPr="001F4B94" w14:paraId="4A81D803" w14:textId="47E82B56" w:rsidTr="00DC74F4">
        <w:tblPrEx>
          <w:tblLook w:val="01E0" w:firstRow="1" w:lastRow="1" w:firstColumn="1" w:lastColumn="1" w:noHBand="0" w:noVBand="0"/>
        </w:tblPrEx>
        <w:trPr>
          <w:trHeight w:val="243"/>
        </w:trPr>
        <w:tc>
          <w:tcPr>
            <w:tcW w:w="2527" w:type="dxa"/>
            <w:tcBorders>
              <w:left w:val="single" w:sz="4" w:space="0" w:color="auto"/>
              <w:bottom w:val="single" w:sz="4" w:space="0" w:color="auto"/>
              <w:right w:val="single" w:sz="4" w:space="0" w:color="auto"/>
            </w:tcBorders>
            <w:vAlign w:val="bottom"/>
          </w:tcPr>
          <w:p w14:paraId="2642C445" w14:textId="77777777" w:rsidR="009C336C" w:rsidRPr="006752C5" w:rsidRDefault="009C336C" w:rsidP="009C336C">
            <w:pPr>
              <w:rPr>
                <w:rFonts w:ascii="Arial" w:hAnsi="Arial" w:cs="Arial"/>
                <w:sz w:val="16"/>
                <w:szCs w:val="16"/>
                <w:lang w:val="en-CA"/>
              </w:rPr>
            </w:pPr>
            <w:r>
              <w:rPr>
                <w:rFonts w:ascii="Arial" w:hAnsi="Arial" w:cs="Arial"/>
                <w:sz w:val="16"/>
                <w:szCs w:val="16"/>
                <w:lang w:val="en-CA"/>
              </w:rPr>
              <w:t>Operating costs ($)</w:t>
            </w:r>
          </w:p>
        </w:tc>
        <w:tc>
          <w:tcPr>
            <w:tcW w:w="1068" w:type="dxa"/>
            <w:tcBorders>
              <w:left w:val="single" w:sz="4" w:space="0" w:color="auto"/>
              <w:bottom w:val="single" w:sz="4" w:space="0" w:color="auto"/>
            </w:tcBorders>
            <w:vAlign w:val="center"/>
          </w:tcPr>
          <w:p w14:paraId="6A705804" w14:textId="639388EB" w:rsidR="009C336C" w:rsidRPr="00763017" w:rsidRDefault="009C336C" w:rsidP="009C336C">
            <w:pPr>
              <w:tabs>
                <w:tab w:val="decimal" w:pos="702"/>
              </w:tabs>
              <w:ind w:left="-108"/>
              <w:rPr>
                <w:rFonts w:ascii="Arial" w:hAnsi="Arial" w:cs="Arial"/>
                <w:color w:val="000000"/>
                <w:sz w:val="16"/>
                <w:szCs w:val="16"/>
              </w:rPr>
            </w:pPr>
            <w:r>
              <w:rPr>
                <w:rFonts w:ascii="Arial" w:hAnsi="Arial" w:cs="Arial"/>
                <w:color w:val="000000"/>
                <w:sz w:val="16"/>
                <w:szCs w:val="16"/>
              </w:rPr>
              <w:t>(27,493,754)</w:t>
            </w:r>
          </w:p>
        </w:tc>
        <w:tc>
          <w:tcPr>
            <w:tcW w:w="795" w:type="dxa"/>
            <w:tcBorders>
              <w:bottom w:val="single" w:sz="4" w:space="0" w:color="000000"/>
              <w:right w:val="single" w:sz="4" w:space="0" w:color="auto"/>
            </w:tcBorders>
            <w:vAlign w:val="center"/>
          </w:tcPr>
          <w:p w14:paraId="72ED8032" w14:textId="6FD4AF11" w:rsidR="009C336C" w:rsidRPr="00763017" w:rsidRDefault="009C336C" w:rsidP="009C336C">
            <w:pPr>
              <w:widowControl w:val="0"/>
              <w:tabs>
                <w:tab w:val="decimal" w:pos="432"/>
              </w:tabs>
              <w:spacing w:line="240" w:lineRule="atLeast"/>
              <w:ind w:right="-86"/>
              <w:rPr>
                <w:rFonts w:ascii="Arial" w:hAnsi="Arial" w:cs="Arial"/>
                <w:color w:val="000000"/>
                <w:sz w:val="16"/>
                <w:szCs w:val="16"/>
              </w:rPr>
            </w:pPr>
            <w:r>
              <w:rPr>
                <w:rFonts w:ascii="Arial" w:hAnsi="Arial" w:cs="Arial"/>
                <w:color w:val="000000"/>
                <w:sz w:val="16"/>
                <w:szCs w:val="16"/>
              </w:rPr>
              <w:t>(38.80)</w:t>
            </w:r>
          </w:p>
        </w:tc>
        <w:tc>
          <w:tcPr>
            <w:tcW w:w="1417" w:type="dxa"/>
            <w:tcBorders>
              <w:bottom w:val="single" w:sz="4" w:space="0" w:color="000000"/>
            </w:tcBorders>
            <w:vAlign w:val="center"/>
          </w:tcPr>
          <w:p w14:paraId="7E4CA1E6" w14:textId="4263EE21" w:rsidR="009C336C" w:rsidRPr="00763017" w:rsidRDefault="009C336C" w:rsidP="009C336C">
            <w:pPr>
              <w:tabs>
                <w:tab w:val="decimal" w:pos="702"/>
              </w:tabs>
              <w:ind w:left="-108"/>
              <w:jc w:val="right"/>
              <w:rPr>
                <w:rFonts w:ascii="Arial" w:hAnsi="Arial" w:cs="Arial"/>
                <w:sz w:val="16"/>
                <w:szCs w:val="16"/>
              </w:rPr>
            </w:pPr>
            <w:r w:rsidRPr="00763017">
              <w:rPr>
                <w:rFonts w:ascii="Arial" w:hAnsi="Arial" w:cs="Arial"/>
                <w:sz w:val="16"/>
                <w:szCs w:val="16"/>
              </w:rPr>
              <w:t xml:space="preserve"> (18,252,585)</w:t>
            </w:r>
          </w:p>
        </w:tc>
        <w:tc>
          <w:tcPr>
            <w:tcW w:w="851" w:type="dxa"/>
            <w:tcBorders>
              <w:bottom w:val="single" w:sz="4" w:space="0" w:color="000000"/>
              <w:right w:val="single" w:sz="4" w:space="0" w:color="auto"/>
            </w:tcBorders>
            <w:vAlign w:val="center"/>
          </w:tcPr>
          <w:p w14:paraId="30D351BE" w14:textId="2A8F77AC" w:rsidR="009C336C" w:rsidRPr="00763017" w:rsidRDefault="009C336C" w:rsidP="009C336C">
            <w:pPr>
              <w:widowControl w:val="0"/>
              <w:tabs>
                <w:tab w:val="decimal" w:pos="432"/>
              </w:tabs>
              <w:spacing w:line="240" w:lineRule="atLeast"/>
              <w:ind w:right="-86"/>
              <w:rPr>
                <w:rFonts w:ascii="Arial" w:hAnsi="Arial" w:cs="Arial"/>
                <w:sz w:val="16"/>
                <w:szCs w:val="16"/>
              </w:rPr>
            </w:pPr>
            <w:r w:rsidRPr="00763017">
              <w:rPr>
                <w:rFonts w:ascii="Arial" w:hAnsi="Arial" w:cs="Arial"/>
                <w:sz w:val="16"/>
                <w:szCs w:val="16"/>
              </w:rPr>
              <w:t>(47.38)</w:t>
            </w:r>
          </w:p>
        </w:tc>
      </w:tr>
      <w:tr w:rsidR="009C336C" w:rsidRPr="001F4B94" w14:paraId="5C5D5E62" w14:textId="35F3B526" w:rsidTr="00DC74F4">
        <w:tblPrEx>
          <w:tblLook w:val="01E0" w:firstRow="1" w:lastRow="1" w:firstColumn="1" w:lastColumn="1" w:noHBand="0" w:noVBand="0"/>
        </w:tblPrEx>
        <w:trPr>
          <w:trHeight w:val="291"/>
        </w:trPr>
        <w:tc>
          <w:tcPr>
            <w:tcW w:w="2527" w:type="dxa"/>
            <w:tcBorders>
              <w:top w:val="single" w:sz="4" w:space="0" w:color="auto"/>
              <w:left w:val="single" w:sz="4" w:space="0" w:color="auto"/>
              <w:bottom w:val="single" w:sz="4" w:space="0" w:color="auto"/>
              <w:right w:val="single" w:sz="4" w:space="0" w:color="auto"/>
            </w:tcBorders>
            <w:vAlign w:val="bottom"/>
          </w:tcPr>
          <w:p w14:paraId="7248C3E1" w14:textId="77777777" w:rsidR="009C336C" w:rsidRPr="006752C5" w:rsidRDefault="009C336C" w:rsidP="009C336C">
            <w:pPr>
              <w:rPr>
                <w:rFonts w:ascii="Arial" w:hAnsi="Arial" w:cs="Arial"/>
                <w:sz w:val="16"/>
                <w:szCs w:val="16"/>
                <w:lang w:val="en-CA"/>
              </w:rPr>
            </w:pPr>
            <w:r>
              <w:rPr>
                <w:rFonts w:ascii="Arial" w:hAnsi="Arial" w:cs="Arial"/>
                <w:sz w:val="16"/>
                <w:szCs w:val="16"/>
                <w:lang w:val="en-CA"/>
              </w:rPr>
              <w:t xml:space="preserve">Operating netback </w:t>
            </w:r>
            <w:r>
              <w:rPr>
                <w:rFonts w:ascii="Arial" w:hAnsi="Arial" w:cs="Arial"/>
                <w:sz w:val="16"/>
                <w:szCs w:val="16"/>
                <w:vertAlign w:val="superscript"/>
                <w:lang w:val="en-CA"/>
              </w:rPr>
              <w:t>(1)</w:t>
            </w:r>
            <w:r>
              <w:rPr>
                <w:rFonts w:ascii="Arial" w:hAnsi="Arial" w:cs="Arial"/>
                <w:sz w:val="16"/>
                <w:szCs w:val="16"/>
                <w:lang w:val="en-CA"/>
              </w:rPr>
              <w:t xml:space="preserve"> ($)</w:t>
            </w:r>
          </w:p>
        </w:tc>
        <w:tc>
          <w:tcPr>
            <w:tcW w:w="1068" w:type="dxa"/>
            <w:tcBorders>
              <w:top w:val="single" w:sz="4" w:space="0" w:color="auto"/>
              <w:left w:val="single" w:sz="4" w:space="0" w:color="auto"/>
              <w:bottom w:val="single" w:sz="4" w:space="0" w:color="auto"/>
            </w:tcBorders>
            <w:vAlign w:val="bottom"/>
          </w:tcPr>
          <w:p w14:paraId="6C8F71F1" w14:textId="4288A1E6" w:rsidR="009C336C" w:rsidRPr="00763017" w:rsidRDefault="009C336C" w:rsidP="009C336C">
            <w:pPr>
              <w:tabs>
                <w:tab w:val="decimal" w:pos="702"/>
              </w:tabs>
              <w:ind w:left="-108"/>
              <w:rPr>
                <w:rFonts w:ascii="Arial" w:hAnsi="Arial" w:cs="Arial"/>
                <w:color w:val="000000"/>
                <w:sz w:val="16"/>
                <w:szCs w:val="16"/>
              </w:rPr>
            </w:pPr>
            <w:r>
              <w:rPr>
                <w:rFonts w:ascii="Arial" w:hAnsi="Arial" w:cs="Arial"/>
                <w:color w:val="000000"/>
                <w:sz w:val="16"/>
                <w:szCs w:val="16"/>
              </w:rPr>
              <w:t>8,479,423</w:t>
            </w:r>
          </w:p>
        </w:tc>
        <w:tc>
          <w:tcPr>
            <w:tcW w:w="795" w:type="dxa"/>
            <w:tcBorders>
              <w:top w:val="single" w:sz="4" w:space="0" w:color="000000"/>
              <w:bottom w:val="single" w:sz="4" w:space="0" w:color="auto"/>
              <w:right w:val="single" w:sz="4" w:space="0" w:color="auto"/>
            </w:tcBorders>
            <w:vAlign w:val="bottom"/>
          </w:tcPr>
          <w:p w14:paraId="56131745" w14:textId="4E72940F" w:rsidR="009C336C" w:rsidRPr="00763017" w:rsidRDefault="009C336C" w:rsidP="009C336C">
            <w:pPr>
              <w:widowControl w:val="0"/>
              <w:tabs>
                <w:tab w:val="decimal" w:pos="432"/>
              </w:tabs>
              <w:spacing w:line="240" w:lineRule="atLeast"/>
              <w:ind w:right="-86"/>
              <w:rPr>
                <w:rFonts w:ascii="Arial" w:hAnsi="Arial" w:cs="Arial"/>
                <w:color w:val="000000"/>
                <w:sz w:val="16"/>
                <w:szCs w:val="16"/>
              </w:rPr>
            </w:pPr>
            <w:r>
              <w:rPr>
                <w:rFonts w:ascii="Arial" w:hAnsi="Arial" w:cs="Arial"/>
                <w:color w:val="000000"/>
                <w:sz w:val="16"/>
                <w:szCs w:val="16"/>
              </w:rPr>
              <w:t>11.96</w:t>
            </w:r>
          </w:p>
        </w:tc>
        <w:tc>
          <w:tcPr>
            <w:tcW w:w="1417" w:type="dxa"/>
            <w:tcBorders>
              <w:top w:val="single" w:sz="4" w:space="0" w:color="000000"/>
              <w:bottom w:val="single" w:sz="4" w:space="0" w:color="auto"/>
            </w:tcBorders>
            <w:vAlign w:val="bottom"/>
          </w:tcPr>
          <w:p w14:paraId="633926E0" w14:textId="0B8CEF3D" w:rsidR="009C336C" w:rsidRPr="00763017" w:rsidRDefault="009C336C" w:rsidP="009C336C">
            <w:pPr>
              <w:tabs>
                <w:tab w:val="decimal" w:pos="702"/>
              </w:tabs>
              <w:ind w:left="-108"/>
              <w:jc w:val="right"/>
              <w:rPr>
                <w:rFonts w:ascii="Arial" w:hAnsi="Arial" w:cs="Arial"/>
                <w:sz w:val="16"/>
                <w:szCs w:val="16"/>
              </w:rPr>
            </w:pPr>
            <w:r w:rsidRPr="00763017">
              <w:rPr>
                <w:rFonts w:ascii="Arial" w:hAnsi="Arial" w:cs="Arial"/>
                <w:sz w:val="16"/>
                <w:szCs w:val="16"/>
              </w:rPr>
              <w:t xml:space="preserve"> 963,920 </w:t>
            </w:r>
          </w:p>
        </w:tc>
        <w:tc>
          <w:tcPr>
            <w:tcW w:w="851" w:type="dxa"/>
            <w:tcBorders>
              <w:top w:val="single" w:sz="4" w:space="0" w:color="000000"/>
              <w:bottom w:val="single" w:sz="4" w:space="0" w:color="auto"/>
              <w:right w:val="single" w:sz="4" w:space="0" w:color="auto"/>
            </w:tcBorders>
            <w:vAlign w:val="bottom"/>
          </w:tcPr>
          <w:p w14:paraId="61794573" w14:textId="51443DA0" w:rsidR="009C336C" w:rsidRPr="00763017" w:rsidRDefault="009C336C" w:rsidP="009C336C">
            <w:pPr>
              <w:widowControl w:val="0"/>
              <w:tabs>
                <w:tab w:val="decimal" w:pos="432"/>
              </w:tabs>
              <w:spacing w:line="240" w:lineRule="atLeast"/>
              <w:ind w:right="-86"/>
              <w:rPr>
                <w:rFonts w:ascii="Arial" w:hAnsi="Arial" w:cs="Arial"/>
                <w:sz w:val="16"/>
                <w:szCs w:val="16"/>
              </w:rPr>
            </w:pPr>
            <w:r w:rsidRPr="00763017">
              <w:rPr>
                <w:rFonts w:ascii="Arial" w:hAnsi="Arial" w:cs="Arial"/>
                <w:sz w:val="16"/>
                <w:szCs w:val="16"/>
              </w:rPr>
              <w:t xml:space="preserve">2.50 </w:t>
            </w:r>
          </w:p>
        </w:tc>
      </w:tr>
      <w:tr w:rsidR="00185E59" w:rsidRPr="001F4B94" w14:paraId="442AF928" w14:textId="046A3408" w:rsidTr="00DC74F4">
        <w:tblPrEx>
          <w:tblLook w:val="01E0" w:firstRow="1" w:lastRow="1" w:firstColumn="1" w:lastColumn="1" w:noHBand="0" w:noVBand="0"/>
        </w:tblPrEx>
        <w:trPr>
          <w:trHeight w:val="77"/>
        </w:trPr>
        <w:tc>
          <w:tcPr>
            <w:tcW w:w="2527" w:type="dxa"/>
            <w:tcBorders>
              <w:top w:val="single" w:sz="4" w:space="0" w:color="auto"/>
            </w:tcBorders>
            <w:vAlign w:val="bottom"/>
          </w:tcPr>
          <w:p w14:paraId="04FAC95F" w14:textId="77777777" w:rsidR="00185E59" w:rsidRPr="004D30A2" w:rsidRDefault="00185E59" w:rsidP="002455E7">
            <w:pPr>
              <w:rPr>
                <w:rFonts w:ascii="Arial" w:hAnsi="Arial" w:cs="Arial"/>
                <w:sz w:val="4"/>
                <w:szCs w:val="4"/>
                <w:lang w:val="en-CA"/>
              </w:rPr>
            </w:pPr>
          </w:p>
        </w:tc>
        <w:tc>
          <w:tcPr>
            <w:tcW w:w="1068" w:type="dxa"/>
            <w:tcBorders>
              <w:top w:val="single" w:sz="4" w:space="0" w:color="auto"/>
            </w:tcBorders>
            <w:vAlign w:val="bottom"/>
          </w:tcPr>
          <w:p w14:paraId="240BE6FA" w14:textId="77777777" w:rsidR="00185E59" w:rsidRPr="004D30A2" w:rsidRDefault="00185E59" w:rsidP="002455E7">
            <w:pPr>
              <w:tabs>
                <w:tab w:val="decimal" w:pos="882"/>
              </w:tabs>
              <w:ind w:left="-108"/>
              <w:rPr>
                <w:rFonts w:ascii="Arial" w:hAnsi="Arial" w:cs="Arial"/>
                <w:color w:val="000000"/>
                <w:sz w:val="4"/>
                <w:szCs w:val="4"/>
              </w:rPr>
            </w:pPr>
          </w:p>
        </w:tc>
        <w:tc>
          <w:tcPr>
            <w:tcW w:w="795" w:type="dxa"/>
            <w:tcBorders>
              <w:top w:val="single" w:sz="4" w:space="0" w:color="auto"/>
            </w:tcBorders>
            <w:vAlign w:val="bottom"/>
          </w:tcPr>
          <w:p w14:paraId="77A8D7C3" w14:textId="77777777" w:rsidR="00185E59" w:rsidRPr="004D30A2" w:rsidRDefault="00185E59" w:rsidP="002455E7">
            <w:pPr>
              <w:widowControl w:val="0"/>
              <w:tabs>
                <w:tab w:val="decimal" w:pos="252"/>
              </w:tabs>
              <w:ind w:right="-86"/>
              <w:rPr>
                <w:rFonts w:ascii="Arial" w:hAnsi="Arial" w:cs="Arial"/>
                <w:color w:val="000000"/>
                <w:sz w:val="4"/>
                <w:szCs w:val="4"/>
              </w:rPr>
            </w:pPr>
          </w:p>
        </w:tc>
        <w:tc>
          <w:tcPr>
            <w:tcW w:w="1417" w:type="dxa"/>
            <w:tcBorders>
              <w:top w:val="single" w:sz="4" w:space="0" w:color="auto"/>
            </w:tcBorders>
          </w:tcPr>
          <w:p w14:paraId="52BAD966" w14:textId="77777777" w:rsidR="00185E59" w:rsidRPr="004D30A2" w:rsidRDefault="00185E59" w:rsidP="002455E7">
            <w:pPr>
              <w:widowControl w:val="0"/>
              <w:tabs>
                <w:tab w:val="decimal" w:pos="252"/>
              </w:tabs>
              <w:ind w:right="-86"/>
              <w:rPr>
                <w:rFonts w:ascii="Arial" w:hAnsi="Arial" w:cs="Arial"/>
                <w:color w:val="000000"/>
                <w:sz w:val="4"/>
                <w:szCs w:val="4"/>
              </w:rPr>
            </w:pPr>
          </w:p>
        </w:tc>
        <w:tc>
          <w:tcPr>
            <w:tcW w:w="851" w:type="dxa"/>
            <w:tcBorders>
              <w:top w:val="single" w:sz="4" w:space="0" w:color="auto"/>
            </w:tcBorders>
          </w:tcPr>
          <w:p w14:paraId="795AD5EB" w14:textId="77777777" w:rsidR="00185E59" w:rsidRPr="004D30A2" w:rsidRDefault="00185E59" w:rsidP="002455E7">
            <w:pPr>
              <w:widowControl w:val="0"/>
              <w:tabs>
                <w:tab w:val="decimal" w:pos="252"/>
              </w:tabs>
              <w:ind w:right="-86"/>
              <w:rPr>
                <w:rFonts w:ascii="Arial" w:hAnsi="Arial" w:cs="Arial"/>
                <w:color w:val="000000"/>
                <w:sz w:val="4"/>
                <w:szCs w:val="4"/>
              </w:rPr>
            </w:pPr>
          </w:p>
        </w:tc>
      </w:tr>
    </w:tbl>
    <w:p w14:paraId="4196AB7F" w14:textId="5EBC8653" w:rsidR="00AB3773" w:rsidRDefault="00B47EA8" w:rsidP="001402A6">
      <w:pPr>
        <w:widowControl w:val="0"/>
        <w:autoSpaceDE w:val="0"/>
        <w:autoSpaceDN w:val="0"/>
        <w:adjustRightInd w:val="0"/>
        <w:spacing w:before="40"/>
        <w:ind w:left="450" w:hanging="270"/>
        <w:jc w:val="both"/>
        <w:rPr>
          <w:rFonts w:ascii="Arial" w:hAnsi="Arial" w:cs="Arial"/>
          <w:sz w:val="16"/>
          <w:szCs w:val="16"/>
          <w:lang w:val="en-CA"/>
        </w:rPr>
      </w:pPr>
      <w:r>
        <w:rPr>
          <w:rFonts w:ascii="Arial" w:hAnsi="Arial" w:cs="Arial"/>
          <w:bCs/>
          <w:sz w:val="18"/>
          <w:szCs w:val="18"/>
          <w:vertAlign w:val="superscript"/>
          <w:lang w:val="en-CA"/>
        </w:rPr>
        <w:t xml:space="preserve"> </w:t>
      </w:r>
      <w:r w:rsidR="00570F49">
        <w:rPr>
          <w:rFonts w:ascii="Arial" w:hAnsi="Arial" w:cs="Arial"/>
          <w:bCs/>
          <w:sz w:val="18"/>
          <w:szCs w:val="18"/>
          <w:vertAlign w:val="superscript"/>
          <w:lang w:val="en-CA"/>
        </w:rPr>
        <w:t xml:space="preserve">(1) </w:t>
      </w:r>
      <w:r w:rsidR="00570F49">
        <w:rPr>
          <w:rFonts w:ascii="Arial" w:hAnsi="Arial" w:cs="Arial"/>
          <w:bCs/>
          <w:sz w:val="18"/>
          <w:szCs w:val="18"/>
          <w:lang w:val="en-CA"/>
        </w:rPr>
        <w:t xml:space="preserve"> </w:t>
      </w:r>
      <w:r w:rsidR="00570F49">
        <w:rPr>
          <w:rFonts w:ascii="Arial" w:hAnsi="Arial" w:cs="Arial"/>
          <w:sz w:val="16"/>
          <w:szCs w:val="16"/>
          <w:lang w:val="en-CA"/>
        </w:rPr>
        <w:t>"Operating netback" is a non-IFRS measure. “Operating netback per BOE” is a non-IFRS ratio. See "Non-IFRS and Other Financial Measures".</w:t>
      </w:r>
    </w:p>
    <w:p w14:paraId="350FB30E" w14:textId="77777777" w:rsidR="00042E43" w:rsidRDefault="00042E43" w:rsidP="00D17181">
      <w:pPr>
        <w:widowControl w:val="0"/>
        <w:rPr>
          <w:rFonts w:ascii="Arial" w:hAnsi="Arial" w:cs="Arial"/>
          <w:sz w:val="20"/>
          <w:szCs w:val="20"/>
        </w:rPr>
      </w:pPr>
    </w:p>
    <w:p w14:paraId="2E990520" w14:textId="3D6AFE90" w:rsidR="00E178E3" w:rsidRPr="00E178E3" w:rsidRDefault="00E178E3" w:rsidP="00E178E3">
      <w:pPr>
        <w:widowControl w:val="0"/>
        <w:jc w:val="both"/>
        <w:rPr>
          <w:rFonts w:ascii="Arial" w:hAnsi="Arial" w:cs="Arial"/>
          <w:sz w:val="20"/>
          <w:szCs w:val="20"/>
        </w:rPr>
      </w:pPr>
      <w:r w:rsidRPr="00E178E3">
        <w:rPr>
          <w:rFonts w:ascii="Arial" w:hAnsi="Arial" w:cs="Arial"/>
          <w:sz w:val="20"/>
          <w:szCs w:val="20"/>
        </w:rPr>
        <w:t xml:space="preserve">The Company’s </w:t>
      </w:r>
      <w:r>
        <w:rPr>
          <w:rFonts w:ascii="Arial" w:hAnsi="Arial" w:cs="Arial"/>
          <w:sz w:val="20"/>
          <w:szCs w:val="20"/>
        </w:rPr>
        <w:t>un</w:t>
      </w:r>
      <w:r w:rsidRPr="00E178E3">
        <w:rPr>
          <w:rFonts w:ascii="Arial" w:hAnsi="Arial" w:cs="Arial"/>
          <w:sz w:val="20"/>
          <w:szCs w:val="20"/>
        </w:rPr>
        <w:t xml:space="preserve">audited </w:t>
      </w:r>
      <w:r>
        <w:rPr>
          <w:rFonts w:ascii="Arial" w:hAnsi="Arial" w:cs="Arial"/>
          <w:sz w:val="20"/>
          <w:szCs w:val="20"/>
        </w:rPr>
        <w:t xml:space="preserve">condensed interim </w:t>
      </w:r>
      <w:r w:rsidRPr="00E178E3">
        <w:rPr>
          <w:rFonts w:ascii="Arial" w:hAnsi="Arial" w:cs="Arial"/>
          <w:sz w:val="20"/>
          <w:szCs w:val="20"/>
        </w:rPr>
        <w:t xml:space="preserve">consolidated financial statements for the </w:t>
      </w:r>
      <w:r>
        <w:rPr>
          <w:rFonts w:ascii="Arial" w:hAnsi="Arial" w:cs="Arial"/>
          <w:sz w:val="20"/>
          <w:szCs w:val="20"/>
        </w:rPr>
        <w:t>three month period</w:t>
      </w:r>
      <w:r w:rsidRPr="00E178E3">
        <w:rPr>
          <w:rFonts w:ascii="Arial" w:hAnsi="Arial" w:cs="Arial"/>
          <w:sz w:val="20"/>
          <w:szCs w:val="20"/>
        </w:rPr>
        <w:t xml:space="preserve"> ended </w:t>
      </w:r>
      <w:r>
        <w:rPr>
          <w:rFonts w:ascii="Arial" w:hAnsi="Arial" w:cs="Arial"/>
          <w:sz w:val="20"/>
          <w:szCs w:val="20"/>
        </w:rPr>
        <w:t>March</w:t>
      </w:r>
      <w:r w:rsidRPr="00E178E3">
        <w:rPr>
          <w:rFonts w:ascii="Arial" w:hAnsi="Arial" w:cs="Arial"/>
          <w:sz w:val="20"/>
          <w:szCs w:val="20"/>
        </w:rPr>
        <w:t xml:space="preserve"> 31, 202</w:t>
      </w:r>
      <w:r>
        <w:rPr>
          <w:rFonts w:ascii="Arial" w:hAnsi="Arial" w:cs="Arial"/>
          <w:sz w:val="20"/>
          <w:szCs w:val="20"/>
        </w:rPr>
        <w:t>6</w:t>
      </w:r>
      <w:r w:rsidRPr="00E178E3">
        <w:rPr>
          <w:rFonts w:ascii="Arial" w:hAnsi="Arial" w:cs="Arial"/>
          <w:sz w:val="20"/>
          <w:szCs w:val="20"/>
        </w:rPr>
        <w:t xml:space="preserve"> and related management’s discussion and analysis (“</w:t>
      </w:r>
      <w:r w:rsidRPr="00E178E3">
        <w:rPr>
          <w:rFonts w:ascii="Arial" w:hAnsi="Arial" w:cs="Arial"/>
          <w:b/>
          <w:sz w:val="20"/>
          <w:szCs w:val="20"/>
        </w:rPr>
        <w:t>MD&amp;A</w:t>
      </w:r>
      <w:r w:rsidRPr="00E178E3">
        <w:rPr>
          <w:rFonts w:ascii="Arial" w:hAnsi="Arial" w:cs="Arial"/>
          <w:sz w:val="20"/>
          <w:szCs w:val="20"/>
        </w:rPr>
        <w:t xml:space="preserve">”) will be filed with Canadian securities regulatory authorities in due course and will be made available under the Company’s profile at </w:t>
      </w:r>
      <w:hyperlink r:id="rId12" w:history="1">
        <w:r w:rsidRPr="00E178E3">
          <w:rPr>
            <w:rStyle w:val="Hyperlink"/>
            <w:rFonts w:ascii="Arial" w:hAnsi="Arial" w:cs="Arial"/>
            <w:sz w:val="20"/>
            <w:szCs w:val="20"/>
          </w:rPr>
          <w:t>www.sedarplus.ca</w:t>
        </w:r>
      </w:hyperlink>
      <w:r w:rsidRPr="00E178E3">
        <w:rPr>
          <w:rFonts w:ascii="Arial" w:hAnsi="Arial" w:cs="Arial"/>
          <w:sz w:val="20"/>
          <w:szCs w:val="20"/>
        </w:rPr>
        <w:t xml:space="preserve"> and on the Company’s website at </w:t>
      </w:r>
      <w:hyperlink r:id="rId13" w:history="1">
        <w:r w:rsidRPr="00E178E3">
          <w:rPr>
            <w:rStyle w:val="Hyperlink"/>
            <w:rFonts w:ascii="Arial" w:hAnsi="Arial" w:cs="Arial"/>
            <w:sz w:val="20"/>
            <w:szCs w:val="20"/>
          </w:rPr>
          <w:t>www.crownpointenergy.com</w:t>
        </w:r>
      </w:hyperlink>
      <w:r w:rsidRPr="00E178E3">
        <w:rPr>
          <w:rFonts w:ascii="Arial" w:hAnsi="Arial" w:cs="Arial"/>
          <w:sz w:val="20"/>
          <w:szCs w:val="20"/>
        </w:rPr>
        <w:t>.</w:t>
      </w:r>
    </w:p>
    <w:p w14:paraId="54803714" w14:textId="77777777" w:rsidR="00E178E3" w:rsidRDefault="00E178E3" w:rsidP="00D17181">
      <w:pPr>
        <w:widowControl w:val="0"/>
        <w:rPr>
          <w:rFonts w:ascii="Arial" w:hAnsi="Arial" w:cs="Arial"/>
          <w:sz w:val="20"/>
          <w:szCs w:val="20"/>
        </w:rPr>
      </w:pPr>
    </w:p>
    <w:p w14:paraId="484B320D" w14:textId="65737F1D" w:rsidR="00E178E3" w:rsidRDefault="00E178E3" w:rsidP="00D17181">
      <w:pPr>
        <w:widowControl w:val="0"/>
        <w:rPr>
          <w:rFonts w:ascii="Arial" w:hAnsi="Arial" w:cs="Arial"/>
          <w:sz w:val="20"/>
          <w:szCs w:val="20"/>
        </w:rPr>
      </w:pPr>
      <w:r>
        <w:rPr>
          <w:rFonts w:ascii="Arial" w:hAnsi="Arial" w:cs="Arial"/>
          <w:sz w:val="20"/>
          <w:szCs w:val="20"/>
        </w:rPr>
        <w:t>For inquiries, please contact:</w:t>
      </w:r>
    </w:p>
    <w:p w14:paraId="37207F97" w14:textId="77777777" w:rsidR="00E178E3" w:rsidRPr="00E178E3" w:rsidRDefault="00E178E3" w:rsidP="00D17181">
      <w:pPr>
        <w:widowControl w:val="0"/>
        <w:rPr>
          <w:rFonts w:ascii="Arial" w:hAnsi="Arial" w:cs="Arial"/>
          <w:sz w:val="20"/>
          <w:szCs w:val="20"/>
        </w:rPr>
      </w:pPr>
    </w:p>
    <w:p w14:paraId="12D9EA8B" w14:textId="77777777" w:rsidR="009C336C" w:rsidRPr="00253016" w:rsidRDefault="009C336C" w:rsidP="009C336C">
      <w:pPr>
        <w:outlineLvl w:val="0"/>
        <w:rPr>
          <w:rFonts w:ascii="Arial" w:hAnsi="Arial" w:cs="Arial"/>
          <w:sz w:val="20"/>
          <w:szCs w:val="20"/>
        </w:rPr>
      </w:pPr>
      <w:r w:rsidRPr="00E178E3">
        <w:rPr>
          <w:rFonts w:ascii="Arial" w:hAnsi="Arial" w:cs="Arial"/>
          <w:sz w:val="20"/>
          <w:szCs w:val="20"/>
        </w:rPr>
        <w:t>Brian</w:t>
      </w:r>
      <w:r w:rsidRPr="00253016">
        <w:rPr>
          <w:rFonts w:ascii="Arial" w:hAnsi="Arial" w:cs="Arial"/>
          <w:sz w:val="20"/>
          <w:szCs w:val="20"/>
        </w:rPr>
        <w:t xml:space="preserve"> Moss</w:t>
      </w:r>
      <w:r w:rsidRPr="00253016">
        <w:rPr>
          <w:rFonts w:ascii="Arial" w:hAnsi="Arial" w:cs="Arial"/>
          <w:sz w:val="20"/>
          <w:szCs w:val="20"/>
        </w:rPr>
        <w:tab/>
      </w:r>
      <w:r w:rsidRPr="00253016">
        <w:rPr>
          <w:rFonts w:ascii="Arial" w:hAnsi="Arial" w:cs="Arial"/>
          <w:sz w:val="20"/>
          <w:szCs w:val="20"/>
        </w:rPr>
        <w:tab/>
        <w:t xml:space="preserve"> </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Marcos Esteves</w:t>
      </w:r>
    </w:p>
    <w:p w14:paraId="4D078421" w14:textId="77777777" w:rsidR="009C336C" w:rsidRPr="00253016" w:rsidRDefault="009C336C" w:rsidP="009C336C">
      <w:pPr>
        <w:outlineLvl w:val="0"/>
        <w:rPr>
          <w:rFonts w:ascii="Arial" w:hAnsi="Arial" w:cs="Arial"/>
          <w:sz w:val="20"/>
          <w:szCs w:val="20"/>
        </w:rPr>
      </w:pPr>
      <w:r w:rsidRPr="00253016">
        <w:rPr>
          <w:rFonts w:ascii="Arial" w:hAnsi="Arial" w:cs="Arial"/>
          <w:sz w:val="20"/>
          <w:szCs w:val="20"/>
        </w:rPr>
        <w:t>Interim President &amp; CEO</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Vice-President, Finance &amp; CFO</w:t>
      </w:r>
    </w:p>
    <w:p w14:paraId="3464B138" w14:textId="77777777" w:rsidR="009C336C" w:rsidRPr="00253016" w:rsidRDefault="009C336C" w:rsidP="009C336C">
      <w:pPr>
        <w:rPr>
          <w:rFonts w:ascii="Arial" w:hAnsi="Arial" w:cs="Arial"/>
          <w:sz w:val="20"/>
          <w:szCs w:val="20"/>
        </w:rPr>
      </w:pPr>
      <w:r w:rsidRPr="00253016">
        <w:rPr>
          <w:rFonts w:ascii="Arial" w:hAnsi="Arial" w:cs="Arial"/>
          <w:sz w:val="20"/>
          <w:szCs w:val="20"/>
        </w:rPr>
        <w:t>Ph: (403) 232-1150</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Ph: (403) 232-1150</w:t>
      </w:r>
    </w:p>
    <w:p w14:paraId="15EF72E9" w14:textId="77777777" w:rsidR="009C336C" w:rsidRPr="00253016" w:rsidRDefault="009C336C" w:rsidP="009C336C">
      <w:pPr>
        <w:rPr>
          <w:rFonts w:ascii="Arial" w:hAnsi="Arial" w:cs="Arial"/>
          <w:sz w:val="20"/>
          <w:szCs w:val="20"/>
        </w:rPr>
      </w:pPr>
      <w:r w:rsidRPr="00253016">
        <w:rPr>
          <w:rFonts w:ascii="Arial" w:hAnsi="Arial" w:cs="Arial"/>
          <w:sz w:val="20"/>
          <w:szCs w:val="20"/>
        </w:rPr>
        <w:t>Crown Point Energy Inc.</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Pr>
          <w:rFonts w:ascii="Arial" w:hAnsi="Arial" w:cs="Arial"/>
          <w:sz w:val="20"/>
          <w:szCs w:val="20"/>
        </w:rPr>
        <w:tab/>
      </w:r>
      <w:r w:rsidRPr="00253016">
        <w:rPr>
          <w:rFonts w:ascii="Arial" w:hAnsi="Arial" w:cs="Arial"/>
          <w:sz w:val="20"/>
          <w:szCs w:val="20"/>
        </w:rPr>
        <w:t>Crown Point Energy Inc.</w:t>
      </w:r>
    </w:p>
    <w:p w14:paraId="1E1805A6" w14:textId="77777777" w:rsidR="009C336C" w:rsidRPr="00253016" w:rsidRDefault="009C336C" w:rsidP="009C336C">
      <w:pPr>
        <w:widowControl w:val="0"/>
        <w:rPr>
          <w:rFonts w:ascii="Arial" w:hAnsi="Arial" w:cs="Arial"/>
          <w:sz w:val="20"/>
          <w:szCs w:val="20"/>
        </w:rPr>
      </w:pPr>
      <w:hyperlink r:id="rId14" w:history="1">
        <w:r w:rsidRPr="00253016">
          <w:rPr>
            <w:rStyle w:val="Hyperlink"/>
            <w:rFonts w:ascii="Arial" w:hAnsi="Arial" w:cs="Arial"/>
            <w:sz w:val="20"/>
            <w:szCs w:val="20"/>
          </w:rPr>
          <w:t>bmoss@crownpointenergy.com</w:t>
        </w:r>
      </w:hyperlink>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Pr>
          <w:rFonts w:ascii="Arial" w:hAnsi="Arial" w:cs="Arial"/>
          <w:sz w:val="20"/>
          <w:szCs w:val="20"/>
        </w:rPr>
        <w:tab/>
      </w:r>
      <w:hyperlink r:id="rId15" w:history="1">
        <w:r w:rsidRPr="00B309DC">
          <w:rPr>
            <w:rStyle w:val="Hyperlink"/>
            <w:rFonts w:ascii="Arial" w:hAnsi="Arial" w:cs="Arial"/>
            <w:sz w:val="20"/>
            <w:szCs w:val="20"/>
          </w:rPr>
          <w:t>mesteves@crownpointenergy.com</w:t>
        </w:r>
      </w:hyperlink>
    </w:p>
    <w:p w14:paraId="2B74219D" w14:textId="77777777" w:rsidR="0042733B" w:rsidRPr="00902562" w:rsidRDefault="0042733B" w:rsidP="00D17181">
      <w:pPr>
        <w:widowControl w:val="0"/>
        <w:rPr>
          <w:rFonts w:ascii="Arial" w:hAnsi="Arial" w:cs="Arial"/>
          <w:b/>
          <w:i/>
          <w:sz w:val="20"/>
          <w:szCs w:val="20"/>
        </w:rPr>
      </w:pPr>
    </w:p>
    <w:p w14:paraId="56033633" w14:textId="77777777" w:rsidR="009C336C" w:rsidRPr="00253016" w:rsidRDefault="009C336C" w:rsidP="009C336C">
      <w:pPr>
        <w:widowControl w:val="0"/>
        <w:rPr>
          <w:rFonts w:ascii="Arial" w:hAnsi="Arial" w:cs="Arial"/>
          <w:b/>
          <w:i/>
          <w:sz w:val="20"/>
          <w:szCs w:val="20"/>
        </w:rPr>
      </w:pPr>
    </w:p>
    <w:p w14:paraId="54431FF6" w14:textId="77777777" w:rsidR="009C336C" w:rsidRPr="00253016" w:rsidRDefault="009C336C" w:rsidP="009C336C">
      <w:pPr>
        <w:widowControl w:val="0"/>
        <w:rPr>
          <w:rFonts w:ascii="Arial" w:hAnsi="Arial" w:cs="Arial"/>
          <w:b/>
          <w:i/>
          <w:sz w:val="20"/>
          <w:szCs w:val="20"/>
        </w:rPr>
      </w:pPr>
      <w:r w:rsidRPr="00253016">
        <w:rPr>
          <w:rFonts w:ascii="Arial" w:hAnsi="Arial" w:cs="Arial"/>
          <w:b/>
          <w:i/>
          <w:sz w:val="20"/>
          <w:szCs w:val="20"/>
        </w:rPr>
        <w:t>About Crown Point</w:t>
      </w:r>
    </w:p>
    <w:p w14:paraId="2E2E0D9D" w14:textId="77777777" w:rsidR="009C336C" w:rsidRPr="00253016" w:rsidRDefault="009C336C" w:rsidP="009C336C">
      <w:pPr>
        <w:pStyle w:val="MICONHEADER1"/>
        <w:widowControl w:val="0"/>
        <w:spacing w:line="240" w:lineRule="atLeast"/>
        <w:ind w:left="0"/>
        <w:rPr>
          <w:rFonts w:ascii="Arial" w:hAnsi="Arial" w:cs="Arial"/>
          <w:b w:val="0"/>
          <w:bCs/>
          <w:caps w:val="0"/>
          <w:sz w:val="22"/>
          <w:szCs w:val="22"/>
        </w:rPr>
      </w:pPr>
      <w:r w:rsidRPr="00253016">
        <w:rPr>
          <w:rFonts w:ascii="Arial" w:hAnsi="Arial" w:cs="Arial"/>
          <w:b w:val="0"/>
          <w:bCs/>
          <w:caps w:val="0"/>
          <w:sz w:val="20"/>
          <w:szCs w:val="20"/>
        </w:rPr>
        <w:t xml:space="preserve">Crown Point Energy Inc. is an international oil and gas exploration and development company headquartered in Buenos Aires, Argentina, incorporated in Canada, trading on the TSX Venture Exchange and operating in Argentina. </w:t>
      </w:r>
      <w:r w:rsidRPr="00253016">
        <w:rPr>
          <w:rFonts w:ascii="Arial" w:hAnsi="Arial" w:cs="Arial"/>
          <w:b w:val="0"/>
          <w:caps w:val="0"/>
          <w:sz w:val="20"/>
          <w:szCs w:val="20"/>
        </w:rPr>
        <w:t>Crown Point's exploration and development activities are focused in four producing basins in Argentina, the Austral basin in the province of Tierra del Fuego, the San Jorge Basin in the provinces of Santa Cruz and Chubut, and the Neuquén and Cuyo basins in the province of Mendoza.</w:t>
      </w:r>
    </w:p>
    <w:p w14:paraId="37CD136E" w14:textId="77777777" w:rsidR="009C336C" w:rsidRPr="00AA3D64" w:rsidRDefault="009C336C" w:rsidP="009C336C">
      <w:pPr>
        <w:widowControl w:val="0"/>
        <w:jc w:val="both"/>
        <w:rPr>
          <w:rFonts w:ascii="Arial" w:hAnsi="Arial" w:cs="Arial"/>
          <w:b/>
          <w:i/>
          <w:sz w:val="14"/>
          <w:szCs w:val="14"/>
        </w:rPr>
      </w:pPr>
    </w:p>
    <w:p w14:paraId="516F432B" w14:textId="77777777" w:rsidR="009C336C" w:rsidRDefault="009C336C" w:rsidP="009C336C">
      <w:pPr>
        <w:widowControl w:val="0"/>
        <w:jc w:val="both"/>
        <w:rPr>
          <w:rFonts w:ascii="Arial" w:hAnsi="Arial" w:cs="Arial"/>
          <w:b/>
          <w:i/>
          <w:sz w:val="16"/>
          <w:szCs w:val="16"/>
        </w:rPr>
      </w:pPr>
      <w:r w:rsidRPr="00B673D6">
        <w:rPr>
          <w:rFonts w:ascii="Arial" w:hAnsi="Arial" w:cs="Arial"/>
          <w:b/>
          <w:i/>
          <w:sz w:val="16"/>
          <w:szCs w:val="16"/>
        </w:rPr>
        <w:t>Advisory</w:t>
      </w:r>
    </w:p>
    <w:p w14:paraId="4C748169" w14:textId="77777777" w:rsidR="00681BAA" w:rsidRPr="00B673D6" w:rsidRDefault="00681BAA" w:rsidP="009C336C">
      <w:pPr>
        <w:widowControl w:val="0"/>
        <w:jc w:val="both"/>
        <w:rPr>
          <w:rFonts w:ascii="Arial" w:hAnsi="Arial" w:cs="Arial"/>
          <w:b/>
          <w:i/>
          <w:sz w:val="16"/>
          <w:szCs w:val="16"/>
        </w:rPr>
      </w:pPr>
    </w:p>
    <w:p w14:paraId="3470AB27" w14:textId="66C51A08" w:rsidR="009C336C" w:rsidRPr="00B673D6" w:rsidRDefault="009C336C" w:rsidP="009C336C">
      <w:pPr>
        <w:jc w:val="both"/>
        <w:rPr>
          <w:rFonts w:ascii="Arial" w:eastAsia="Calibri" w:hAnsi="Arial" w:cs="Arial"/>
          <w:i/>
          <w:sz w:val="16"/>
          <w:szCs w:val="16"/>
          <w:u w:val="single"/>
        </w:rPr>
      </w:pPr>
      <w:r w:rsidRPr="007D5D2D">
        <w:rPr>
          <w:rFonts w:ascii="Arial" w:hAnsi="Arial" w:cs="Arial"/>
          <w:bCs/>
          <w:i/>
          <w:sz w:val="16"/>
          <w:szCs w:val="16"/>
          <w:u w:val="single"/>
        </w:rPr>
        <w:t xml:space="preserve">Preliminary Financial Information: </w:t>
      </w:r>
      <w:r w:rsidRPr="007D5D2D">
        <w:rPr>
          <w:rFonts w:ascii="Arial" w:hAnsi="Arial" w:cs="Arial"/>
          <w:i/>
          <w:sz w:val="16"/>
          <w:szCs w:val="16"/>
        </w:rPr>
        <w:t xml:space="preserve">The Company's expectations for our financial results for the </w:t>
      </w:r>
      <w:r w:rsidR="00736F26" w:rsidRPr="007D5D2D">
        <w:rPr>
          <w:rFonts w:ascii="Arial" w:hAnsi="Arial" w:cs="Arial"/>
          <w:i/>
          <w:sz w:val="16"/>
          <w:szCs w:val="16"/>
        </w:rPr>
        <w:t>three-month period</w:t>
      </w:r>
      <w:r w:rsidRPr="007D5D2D">
        <w:rPr>
          <w:rFonts w:ascii="Arial" w:hAnsi="Arial" w:cs="Arial"/>
          <w:i/>
          <w:sz w:val="16"/>
          <w:szCs w:val="16"/>
        </w:rPr>
        <w:t xml:space="preserve"> ended </w:t>
      </w:r>
      <w:r w:rsidR="00736F26" w:rsidRPr="007D5D2D">
        <w:rPr>
          <w:rFonts w:ascii="Arial" w:hAnsi="Arial" w:cs="Arial"/>
          <w:i/>
          <w:sz w:val="16"/>
          <w:szCs w:val="16"/>
        </w:rPr>
        <w:t>March</w:t>
      </w:r>
      <w:r w:rsidRPr="007D5D2D">
        <w:rPr>
          <w:rFonts w:ascii="Arial" w:hAnsi="Arial" w:cs="Arial"/>
          <w:i/>
          <w:sz w:val="16"/>
          <w:szCs w:val="16"/>
        </w:rPr>
        <w:t xml:space="preserve"> 31, 202</w:t>
      </w:r>
      <w:r w:rsidR="00736F26" w:rsidRPr="007D5D2D">
        <w:rPr>
          <w:rFonts w:ascii="Arial" w:hAnsi="Arial" w:cs="Arial"/>
          <w:i/>
          <w:sz w:val="16"/>
          <w:szCs w:val="16"/>
        </w:rPr>
        <w:t>6</w:t>
      </w:r>
      <w:r w:rsidRPr="007D5D2D">
        <w:rPr>
          <w:rFonts w:ascii="Arial" w:hAnsi="Arial" w:cs="Arial"/>
          <w:i/>
          <w:sz w:val="16"/>
          <w:szCs w:val="16"/>
        </w:rPr>
        <w:t xml:space="preserve"> contained herein are based on, among other things, our anticipated financial results for </w:t>
      </w:r>
      <w:r w:rsidR="007D5D2D">
        <w:rPr>
          <w:rFonts w:ascii="Arial" w:hAnsi="Arial" w:cs="Arial"/>
          <w:i/>
          <w:sz w:val="16"/>
          <w:szCs w:val="16"/>
        </w:rPr>
        <w:t>such period</w:t>
      </w:r>
      <w:r w:rsidRPr="007D5D2D">
        <w:rPr>
          <w:rFonts w:ascii="Arial" w:hAnsi="Arial" w:cs="Arial"/>
          <w:i/>
          <w:sz w:val="16"/>
          <w:szCs w:val="16"/>
        </w:rPr>
        <w:t>. The Company's anticipated financial results are preliminary estimates that: (</w:t>
      </w:r>
      <w:proofErr w:type="spellStart"/>
      <w:r w:rsidRPr="007D5D2D">
        <w:rPr>
          <w:rFonts w:ascii="Arial" w:hAnsi="Arial" w:cs="Arial"/>
          <w:i/>
          <w:sz w:val="16"/>
          <w:szCs w:val="16"/>
        </w:rPr>
        <w:t>i</w:t>
      </w:r>
      <w:proofErr w:type="spellEnd"/>
      <w:r w:rsidRPr="007D5D2D">
        <w:rPr>
          <w:rFonts w:ascii="Arial" w:hAnsi="Arial" w:cs="Arial"/>
          <w:i/>
          <w:sz w:val="16"/>
          <w:szCs w:val="16"/>
        </w:rPr>
        <w:t xml:space="preserve">) represent the most current information available to management as of the date hereof; (ii) are subject to completion of review procedures that could result in significant changes to the estimated amounts; and (iii) do not present all information necessary for an understanding of the Company's financial condition as of, and the Company's results </w:t>
      </w:r>
      <w:r w:rsidRPr="007D5D2D">
        <w:rPr>
          <w:rFonts w:ascii="Arial" w:hAnsi="Arial" w:cs="Arial"/>
          <w:i/>
          <w:sz w:val="16"/>
          <w:szCs w:val="16"/>
        </w:rPr>
        <w:lastRenderedPageBreak/>
        <w:t>of operations for, such period. The anticipated financial results are subject to the same limitations and risks as discussed under “Forward-Looking Information” below. Accordingly, the Company's anticipated financial results for such period may change upon the completion and approval of the financial statements for such period and the changes could be material.</w:t>
      </w:r>
    </w:p>
    <w:p w14:paraId="6162CB89" w14:textId="77777777"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eastAsia="Calibri" w:hAnsi="Arial" w:cs="Arial"/>
          <w:i/>
          <w:sz w:val="16"/>
          <w:szCs w:val="16"/>
          <w:u w:val="single"/>
        </w:rPr>
        <w:t>Non-IFRS and Other Financial Measures</w:t>
      </w:r>
      <w:r w:rsidRPr="00B673D6">
        <w:rPr>
          <w:rFonts w:ascii="Arial" w:eastAsia="Calibri" w:hAnsi="Arial" w:cs="Arial"/>
          <w:i/>
          <w:sz w:val="16"/>
          <w:szCs w:val="16"/>
        </w:rPr>
        <w:t xml:space="preserve">: </w:t>
      </w:r>
      <w:r w:rsidRPr="00B673D6">
        <w:rPr>
          <w:rFonts w:ascii="Arial" w:hAnsi="Arial" w:cs="Arial"/>
          <w:i/>
          <w:sz w:val="16"/>
          <w:szCs w:val="16"/>
        </w:rPr>
        <w:t xml:space="preserve">Throughout this press release and in other materials disclosed by the Company, we employ certain measures to analyze financial performance, financial position, and cash flow. These non-IFRS and other financial measures do not have any standardized meaning prescribed by IFRS and therefore may not be comparable to similar measures provided by other issuers.  The non-IFRS and other financial measures should not be considered to be more meaningful than financial measures which are determined in accordance with IFRS, such as net income (loss), oil and natural gas sales revenue and net cash (used) provided by operating activities as indicators of our performance.  </w:t>
      </w:r>
    </w:p>
    <w:p w14:paraId="5C4801D6" w14:textId="1D214AB0"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 xml:space="preserve">“Non-current financial liabilities” is a supplemental financial measure.  Non-current financial liabilities </w:t>
      </w:r>
      <w:proofErr w:type="gramStart"/>
      <w:r w:rsidRPr="00B673D6">
        <w:rPr>
          <w:rFonts w:ascii="Arial" w:hAnsi="Arial" w:cs="Arial"/>
          <w:i/>
          <w:sz w:val="16"/>
          <w:szCs w:val="16"/>
        </w:rPr>
        <w:t>is</w:t>
      </w:r>
      <w:proofErr w:type="gramEnd"/>
      <w:r w:rsidRPr="00B673D6">
        <w:rPr>
          <w:rFonts w:ascii="Arial" w:hAnsi="Arial" w:cs="Arial"/>
          <w:i/>
          <w:sz w:val="16"/>
          <w:szCs w:val="16"/>
        </w:rPr>
        <w:t xml:space="preserve"> comprised of the non-current portions of trade and other payables, </w:t>
      </w:r>
      <w:r w:rsidR="00200425">
        <w:rPr>
          <w:rFonts w:ascii="Arial" w:hAnsi="Arial" w:cs="Arial"/>
          <w:i/>
          <w:sz w:val="16"/>
          <w:szCs w:val="16"/>
        </w:rPr>
        <w:t xml:space="preserve">loans, </w:t>
      </w:r>
      <w:r w:rsidRPr="00B673D6">
        <w:rPr>
          <w:rFonts w:ascii="Arial" w:hAnsi="Arial" w:cs="Arial"/>
          <w:i/>
          <w:sz w:val="16"/>
          <w:szCs w:val="16"/>
        </w:rPr>
        <w:t>notes payable and lease liabilities as presented in the Company’s consolidated statements of financial position.  See “Summary of Financial Information”.</w:t>
      </w:r>
    </w:p>
    <w:p w14:paraId="517B5565" w14:textId="77777777" w:rsidR="009C336C" w:rsidRPr="00B673D6" w:rsidRDefault="009C336C" w:rsidP="009C336C">
      <w:pPr>
        <w:pStyle w:val="Ne3"/>
        <w:widowControl w:val="0"/>
        <w:spacing w:before="60" w:line="240" w:lineRule="auto"/>
        <w:ind w:left="0"/>
        <w:rPr>
          <w:rFonts w:cs="Arial"/>
          <w:i/>
          <w:sz w:val="16"/>
          <w:szCs w:val="16"/>
        </w:rPr>
      </w:pPr>
      <w:r w:rsidRPr="00B673D6">
        <w:rPr>
          <w:rFonts w:cs="Arial"/>
          <w:i/>
          <w:sz w:val="16"/>
          <w:szCs w:val="16"/>
        </w:rPr>
        <w:t xml:space="preserve">“Operating Netback” is a non-IFRS measure.  Operating netback is comprised of oil and natural gas sales revenue less export tax, royalties and turnover tax and operating costs.  </w:t>
      </w:r>
      <w:r w:rsidRPr="00B673D6">
        <w:rPr>
          <w:i/>
          <w:sz w:val="16"/>
          <w:szCs w:val="16"/>
        </w:rPr>
        <w:t xml:space="preserve">Management believes this measure is a useful supplemental measure of the Company’s profitability relative to commodity prices.  </w:t>
      </w:r>
      <w:r w:rsidRPr="00B673D6">
        <w:rPr>
          <w:rFonts w:cs="Arial"/>
          <w:i/>
          <w:sz w:val="16"/>
          <w:szCs w:val="16"/>
        </w:rPr>
        <w:t>See “Operating Netback” for a reconciliation of operating netback to oil and natural gas sales revenue, being our nearest measure prescribed by IFRS.</w:t>
      </w:r>
    </w:p>
    <w:p w14:paraId="0387D7B1" w14:textId="213B0932"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“Operating netback per BOE” is a non-IFRS ratio.  Operating netback per BOE is comprised of operating netback divided by total BOE sales volumes in the period.  Management believes this measure is a useful supplemental measure of the Company’s profitability relative to commodity prices.  In addition, management believes that operating netback per BOE is a key industry performance measure of operational efficiency and provide</w:t>
      </w:r>
      <w:r w:rsidR="00200425">
        <w:rPr>
          <w:rFonts w:ascii="Arial" w:hAnsi="Arial" w:cs="Arial"/>
          <w:i/>
          <w:sz w:val="16"/>
          <w:szCs w:val="16"/>
        </w:rPr>
        <w:t>s</w:t>
      </w:r>
      <w:r w:rsidRPr="00B673D6">
        <w:rPr>
          <w:rFonts w:ascii="Arial" w:hAnsi="Arial" w:cs="Arial"/>
          <w:i/>
          <w:sz w:val="16"/>
          <w:szCs w:val="16"/>
        </w:rPr>
        <w:t xml:space="preserve"> investors with information that is also commonly presented by other crude oil and natural gas producers.  Operating netback is a non-IFRS measure.  See "Operating Netback" for the calculation of operating netback per BOE.</w:t>
      </w:r>
    </w:p>
    <w:p w14:paraId="0D6A462B" w14:textId="77777777"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 xml:space="preserve">“Working capital” is a capital management measure.  Working capital is comprised of current assets </w:t>
      </w:r>
      <w:proofErr w:type="gramStart"/>
      <w:r w:rsidRPr="00B673D6">
        <w:rPr>
          <w:rFonts w:ascii="Arial" w:hAnsi="Arial" w:cs="Arial"/>
          <w:i/>
          <w:sz w:val="16"/>
          <w:szCs w:val="16"/>
        </w:rPr>
        <w:t>less</w:t>
      </w:r>
      <w:proofErr w:type="gramEnd"/>
      <w:r w:rsidRPr="00B673D6">
        <w:rPr>
          <w:rFonts w:ascii="Arial" w:hAnsi="Arial" w:cs="Arial"/>
          <w:i/>
          <w:sz w:val="16"/>
          <w:szCs w:val="16"/>
        </w:rPr>
        <w:t xml:space="preserve"> current liabilities.  Management believes that working capital is a useful measure to assess the Company's capital position and its ability to execute its existing exploration commitments and its share of any development programs.  See “Summary of Financial Information” for a reconciliation of working capital to current assets and current liabilities, being our nearest measures prescribed by IFRS.</w:t>
      </w:r>
    </w:p>
    <w:p w14:paraId="4112A12F" w14:textId="77777777" w:rsidR="009C336C" w:rsidRPr="00B673D6" w:rsidRDefault="009C336C" w:rsidP="009C336C">
      <w:pPr>
        <w:widowControl w:val="0"/>
        <w:spacing w:before="60"/>
        <w:jc w:val="both"/>
        <w:rPr>
          <w:rFonts w:ascii="Arial" w:hAnsi="Arial" w:cs="Arial"/>
          <w:i/>
          <w:sz w:val="16"/>
          <w:szCs w:val="16"/>
        </w:rPr>
      </w:pPr>
      <w:r w:rsidRPr="00B673D6">
        <w:rPr>
          <w:rFonts w:ascii="Arial" w:eastAsia="Calibri" w:hAnsi="Arial" w:cs="Arial"/>
          <w:i/>
          <w:sz w:val="16"/>
          <w:szCs w:val="16"/>
          <w:u w:val="single"/>
        </w:rPr>
        <w:t>Abbreviations and BOE Presentation</w:t>
      </w:r>
      <w:r w:rsidRPr="00B673D6">
        <w:rPr>
          <w:rFonts w:ascii="Arial" w:eastAsia="Calibri" w:hAnsi="Arial" w:cs="Arial"/>
          <w:i/>
          <w:sz w:val="16"/>
          <w:szCs w:val="16"/>
        </w:rPr>
        <w:t xml:space="preserve">: </w:t>
      </w:r>
      <w:r w:rsidRPr="00B673D6">
        <w:rPr>
          <w:rFonts w:ascii="Arial" w:hAnsi="Arial" w:cs="Arial"/>
          <w:i/>
          <w:sz w:val="16"/>
          <w:szCs w:val="16"/>
        </w:rPr>
        <w:t>“bbl” means barrel;</w:t>
      </w:r>
      <w:r w:rsidRPr="00B673D6">
        <w:rPr>
          <w:rFonts w:ascii="Arial" w:eastAsia="Calibri" w:hAnsi="Arial" w:cs="Arial"/>
          <w:i/>
          <w:sz w:val="16"/>
          <w:szCs w:val="16"/>
        </w:rPr>
        <w:t xml:space="preserve"> </w:t>
      </w:r>
      <w:r w:rsidRPr="00B673D6">
        <w:rPr>
          <w:rFonts w:ascii="Arial" w:hAnsi="Arial" w:cs="Arial"/>
          <w:i/>
          <w:sz w:val="16"/>
          <w:szCs w:val="16"/>
        </w:rPr>
        <w:t>“</w:t>
      </w:r>
      <w:r w:rsidRPr="00B673D6">
        <w:rPr>
          <w:rFonts w:ascii="Arial" w:eastAsia="Calibri" w:hAnsi="Arial" w:cs="Arial"/>
          <w:i/>
          <w:sz w:val="16"/>
          <w:szCs w:val="16"/>
        </w:rPr>
        <w:t>bbls</w:t>
      </w:r>
      <w:r w:rsidRPr="00B673D6">
        <w:rPr>
          <w:rFonts w:ascii="Arial" w:hAnsi="Arial" w:cs="Arial"/>
          <w:i/>
          <w:sz w:val="16"/>
          <w:szCs w:val="16"/>
        </w:rPr>
        <w:t>”</w:t>
      </w:r>
      <w:r w:rsidRPr="00B673D6">
        <w:rPr>
          <w:rFonts w:ascii="Arial" w:eastAsia="Calibri" w:hAnsi="Arial"/>
          <w:i/>
          <w:sz w:val="16"/>
          <w:szCs w:val="16"/>
        </w:rPr>
        <w:t xml:space="preserve"> means barrels; </w:t>
      </w:r>
      <w:r w:rsidRPr="00B673D6">
        <w:rPr>
          <w:rFonts w:ascii="Arial" w:hAnsi="Arial" w:cs="Arial"/>
          <w:i/>
          <w:sz w:val="16"/>
          <w:szCs w:val="16"/>
        </w:rPr>
        <w:t>“</w:t>
      </w:r>
      <w:r w:rsidRPr="00B673D6">
        <w:rPr>
          <w:rFonts w:ascii="Arial" w:eastAsia="Calibri" w:hAnsi="Arial" w:cs="Arial"/>
          <w:i/>
          <w:sz w:val="16"/>
          <w:szCs w:val="16"/>
        </w:rPr>
        <w:t>BOE</w:t>
      </w:r>
      <w:r w:rsidRPr="00B673D6">
        <w:rPr>
          <w:rFonts w:ascii="Arial" w:hAnsi="Arial" w:cs="Arial"/>
          <w:i/>
          <w:sz w:val="16"/>
          <w:szCs w:val="16"/>
        </w:rPr>
        <w:t>”</w:t>
      </w:r>
      <w:r w:rsidRPr="00B673D6">
        <w:rPr>
          <w:rFonts w:ascii="Arial" w:eastAsia="Calibri" w:hAnsi="Arial" w:cs="Arial"/>
          <w:i/>
          <w:sz w:val="16"/>
          <w:szCs w:val="16"/>
        </w:rPr>
        <w:t xml:space="preserve"> means barrels of oil equivalent; </w:t>
      </w:r>
      <w:r w:rsidRPr="00B673D6">
        <w:rPr>
          <w:rFonts w:ascii="Arial" w:hAnsi="Arial" w:cs="Arial"/>
          <w:i/>
          <w:sz w:val="16"/>
          <w:szCs w:val="16"/>
        </w:rPr>
        <w:t>“</w:t>
      </w:r>
      <w:r w:rsidRPr="00B673D6">
        <w:rPr>
          <w:rFonts w:ascii="Arial" w:eastAsia="Calibri" w:hAnsi="Arial" w:cs="Arial"/>
          <w:i/>
          <w:sz w:val="16"/>
          <w:szCs w:val="16"/>
        </w:rPr>
        <w:t xml:space="preserve">mcf” means thousand cubic feet; </w:t>
      </w:r>
      <w:r w:rsidRPr="00B673D6">
        <w:rPr>
          <w:rFonts w:ascii="Arial" w:hAnsi="Arial" w:cs="Arial"/>
          <w:i/>
          <w:sz w:val="16"/>
          <w:szCs w:val="16"/>
        </w:rPr>
        <w:t>“</w:t>
      </w:r>
      <w:r w:rsidRPr="00B673D6">
        <w:rPr>
          <w:rFonts w:ascii="Arial" w:eastAsia="Calibri" w:hAnsi="Arial" w:cs="Arial"/>
          <w:i/>
          <w:sz w:val="16"/>
          <w:szCs w:val="16"/>
        </w:rPr>
        <w:t>mmcf</w:t>
      </w:r>
      <w:r w:rsidRPr="00B673D6">
        <w:rPr>
          <w:rFonts w:ascii="Arial" w:hAnsi="Arial" w:cs="Arial"/>
          <w:i/>
          <w:sz w:val="16"/>
          <w:szCs w:val="16"/>
        </w:rPr>
        <w:t>”</w:t>
      </w:r>
      <w:r w:rsidRPr="00B673D6">
        <w:rPr>
          <w:rFonts w:ascii="Arial" w:eastAsia="Calibri" w:hAnsi="Arial" w:cs="Arial"/>
          <w:i/>
          <w:sz w:val="16"/>
          <w:szCs w:val="16"/>
        </w:rPr>
        <w:t xml:space="preserve"> means million cubic feet, </w:t>
      </w:r>
      <w:r w:rsidRPr="00B673D6">
        <w:rPr>
          <w:rFonts w:ascii="Arial" w:hAnsi="Arial" w:cs="Arial"/>
          <w:i/>
          <w:sz w:val="16"/>
          <w:szCs w:val="16"/>
        </w:rPr>
        <w:t>“</w:t>
      </w:r>
      <w:r w:rsidRPr="00B673D6">
        <w:rPr>
          <w:rFonts w:ascii="Arial" w:eastAsia="Calibri" w:hAnsi="Arial" w:cs="Arial"/>
          <w:i/>
          <w:sz w:val="16"/>
          <w:szCs w:val="16"/>
        </w:rPr>
        <w:t>NGL</w:t>
      </w:r>
      <w:r w:rsidRPr="00B673D6">
        <w:rPr>
          <w:rFonts w:ascii="Arial" w:hAnsi="Arial" w:cs="Arial"/>
          <w:i/>
          <w:sz w:val="16"/>
          <w:szCs w:val="16"/>
        </w:rPr>
        <w:t>”</w:t>
      </w:r>
      <w:r w:rsidRPr="00B673D6">
        <w:rPr>
          <w:rFonts w:ascii="Arial" w:eastAsia="Calibri" w:hAnsi="Arial" w:cs="Arial"/>
          <w:i/>
          <w:sz w:val="16"/>
          <w:szCs w:val="16"/>
        </w:rPr>
        <w:t xml:space="preserve"> means natural gas liquids;</w:t>
      </w:r>
      <w:r w:rsidRPr="00B673D6">
        <w:rPr>
          <w:rFonts w:ascii="Arial" w:eastAsia="Calibri" w:hAnsi="Arial"/>
          <w:i/>
          <w:sz w:val="16"/>
          <w:szCs w:val="16"/>
        </w:rPr>
        <w:t xml:space="preserve"> </w:t>
      </w:r>
      <w:r w:rsidRPr="00B673D6">
        <w:rPr>
          <w:rFonts w:ascii="Arial" w:hAnsi="Arial" w:cs="Arial"/>
          <w:i/>
          <w:sz w:val="16"/>
          <w:szCs w:val="16"/>
        </w:rPr>
        <w:t>“</w:t>
      </w:r>
      <w:r w:rsidRPr="00B673D6">
        <w:rPr>
          <w:rFonts w:ascii="Arial" w:eastAsia="Calibri" w:hAnsi="Arial"/>
          <w:i/>
          <w:sz w:val="16"/>
          <w:szCs w:val="16"/>
        </w:rPr>
        <w:t>UTE</w:t>
      </w:r>
      <w:r w:rsidRPr="00B673D6">
        <w:rPr>
          <w:rFonts w:ascii="Arial" w:hAnsi="Arial" w:cs="Arial"/>
          <w:i/>
          <w:sz w:val="16"/>
          <w:szCs w:val="16"/>
        </w:rPr>
        <w:t>”</w:t>
      </w:r>
      <w:r w:rsidRPr="00B673D6">
        <w:rPr>
          <w:rFonts w:ascii="Arial" w:eastAsia="Calibri" w:hAnsi="Arial"/>
          <w:i/>
          <w:sz w:val="16"/>
          <w:szCs w:val="16"/>
        </w:rPr>
        <w:t xml:space="preserve"> </w:t>
      </w:r>
      <w:r w:rsidRPr="00B673D6">
        <w:rPr>
          <w:rFonts w:ascii="Arial" w:eastAsia="Calibri" w:hAnsi="Arial" w:cs="Arial"/>
          <w:i/>
          <w:sz w:val="16"/>
          <w:szCs w:val="16"/>
        </w:rPr>
        <w:t xml:space="preserve">means </w:t>
      </w:r>
      <w:r w:rsidRPr="00B673D6">
        <w:rPr>
          <w:rFonts w:ascii="Arial" w:hAnsi="Arial" w:cs="Arial"/>
          <w:i/>
          <w:sz w:val="16"/>
          <w:szCs w:val="16"/>
        </w:rPr>
        <w:t xml:space="preserve">Union </w:t>
      </w:r>
      <w:proofErr w:type="spellStart"/>
      <w:r w:rsidRPr="00B673D6">
        <w:rPr>
          <w:rFonts w:ascii="Arial" w:hAnsi="Arial" w:cs="Arial"/>
          <w:i/>
          <w:sz w:val="16"/>
          <w:szCs w:val="16"/>
        </w:rPr>
        <w:t>Transitoria</w:t>
      </w:r>
      <w:proofErr w:type="spellEnd"/>
      <w:r w:rsidRPr="00B673D6">
        <w:rPr>
          <w:rFonts w:ascii="Arial" w:hAnsi="Arial" w:cs="Arial"/>
          <w:i/>
          <w:sz w:val="16"/>
          <w:szCs w:val="16"/>
        </w:rPr>
        <w:t xml:space="preserve"> de </w:t>
      </w:r>
      <w:proofErr w:type="spellStart"/>
      <w:r w:rsidRPr="00B673D6">
        <w:rPr>
          <w:rFonts w:ascii="Arial" w:hAnsi="Arial" w:cs="Arial"/>
          <w:i/>
          <w:sz w:val="16"/>
          <w:szCs w:val="16"/>
        </w:rPr>
        <w:t>Empresas</w:t>
      </w:r>
      <w:proofErr w:type="spellEnd"/>
      <w:r w:rsidRPr="00B673D6">
        <w:rPr>
          <w:rFonts w:ascii="Arial" w:hAnsi="Arial" w:cs="Arial"/>
          <w:i/>
          <w:sz w:val="16"/>
          <w:szCs w:val="16"/>
        </w:rPr>
        <w:t>, which is a registered joint venture contract established under the laws of Argentina</w:t>
      </w:r>
      <w:r w:rsidRPr="00B673D6">
        <w:rPr>
          <w:rFonts w:ascii="Arial" w:eastAsia="Calibri" w:hAnsi="Arial" w:cs="Arial"/>
          <w:i/>
          <w:sz w:val="16"/>
          <w:szCs w:val="16"/>
        </w:rPr>
        <w:t xml:space="preserve">; </w:t>
      </w:r>
      <w:r w:rsidRPr="00B673D6">
        <w:rPr>
          <w:rFonts w:ascii="Arial" w:hAnsi="Arial" w:cs="Arial"/>
          <w:i/>
          <w:sz w:val="16"/>
          <w:szCs w:val="16"/>
        </w:rPr>
        <w:t>“</w:t>
      </w:r>
      <w:r w:rsidRPr="00B673D6">
        <w:rPr>
          <w:rFonts w:ascii="Arial" w:eastAsia="Calibri" w:hAnsi="Arial"/>
          <w:i/>
          <w:sz w:val="16"/>
          <w:szCs w:val="16"/>
        </w:rPr>
        <w:t>WI</w:t>
      </w:r>
      <w:r w:rsidRPr="00B673D6">
        <w:rPr>
          <w:rFonts w:ascii="Arial" w:hAnsi="Arial" w:cs="Arial"/>
          <w:i/>
          <w:sz w:val="16"/>
          <w:szCs w:val="16"/>
        </w:rPr>
        <w:t>”</w:t>
      </w:r>
      <w:r w:rsidRPr="00B673D6">
        <w:rPr>
          <w:rFonts w:ascii="Arial" w:eastAsia="Calibri" w:hAnsi="Arial"/>
          <w:i/>
          <w:sz w:val="16"/>
          <w:szCs w:val="16"/>
        </w:rPr>
        <w:t xml:space="preserve"> means working interest</w:t>
      </w:r>
      <w:r w:rsidRPr="00B673D6">
        <w:rPr>
          <w:rFonts w:ascii="Arial" w:hAnsi="Arial" w:cs="Arial"/>
          <w:i/>
          <w:sz w:val="16"/>
          <w:szCs w:val="16"/>
        </w:rPr>
        <w:t>.</w:t>
      </w:r>
      <w:r w:rsidRPr="00B673D6">
        <w:rPr>
          <w:rFonts w:ascii="Arial" w:eastAsia="Calibri" w:hAnsi="Arial" w:cs="Arial"/>
          <w:i/>
          <w:sz w:val="16"/>
          <w:szCs w:val="16"/>
        </w:rPr>
        <w:t xml:space="preserve"> </w:t>
      </w:r>
      <w:r w:rsidRPr="00B673D6">
        <w:rPr>
          <w:rFonts w:ascii="Arial" w:hAnsi="Arial" w:cs="Arial"/>
          <w:i/>
          <w:sz w:val="16"/>
          <w:szCs w:val="16"/>
        </w:rPr>
        <w:t>All BOE conversions in this press release are derived by converting natural gas to oil in the ratio of six mcf of gas to one bbl of oil.  BOE may be misleading, particularly if used in isolation.  A BOE conversion ratio of six mcf of gas to one bbl of oil (6 mcf: 1 bbl) is based on an energy equivalency conversion method primarily applicable at the burner tip and does not represent a value equivalency at the wellhead.  Given that the value ratio based on the price of crude oil as compared to natural gas in Argentina from time to time may be different from the energy equivalency conversion ratio of 6:1, utilizing a conversion on a 6:1 basis may be misleading as an indication of value.</w:t>
      </w:r>
    </w:p>
    <w:p w14:paraId="02BE5F72" w14:textId="461B1A20" w:rsidR="009C336C" w:rsidRPr="00B673D6" w:rsidRDefault="009C336C" w:rsidP="009C336C">
      <w:pPr>
        <w:pStyle w:val="Ne3"/>
        <w:widowControl w:val="0"/>
        <w:spacing w:before="60" w:line="240" w:lineRule="auto"/>
        <w:ind w:left="0"/>
        <w:rPr>
          <w:color w:val="FF0000"/>
          <w:sz w:val="16"/>
          <w:szCs w:val="16"/>
        </w:rPr>
      </w:pPr>
      <w:bookmarkStart w:id="0" w:name="_Hlk150355452"/>
      <w:bookmarkStart w:id="1" w:name="_Hlk118884858"/>
      <w:r w:rsidRPr="00B673D6">
        <w:rPr>
          <w:rFonts w:eastAsia="Calibri" w:cs="Arial"/>
          <w:i/>
          <w:sz w:val="16"/>
          <w:szCs w:val="16"/>
          <w:u w:val="single"/>
        </w:rPr>
        <w:t>Forward-looking Information</w:t>
      </w:r>
      <w:r w:rsidRPr="00B673D6">
        <w:rPr>
          <w:rFonts w:eastAsia="Calibri" w:cs="Arial"/>
          <w:i/>
          <w:sz w:val="16"/>
          <w:szCs w:val="16"/>
        </w:rPr>
        <w:t xml:space="preserve">: </w:t>
      </w:r>
      <w:r w:rsidRPr="00B673D6">
        <w:rPr>
          <w:rFonts w:cs="Arial"/>
          <w:i/>
          <w:sz w:val="16"/>
          <w:szCs w:val="16"/>
        </w:rPr>
        <w:t>This document contains forward-looking information.  This information relates to future events and the Company’s future performance.  All information and statements contained herein that are not clearly historical in nature constitute forward-looking information.  Such information represents th</w:t>
      </w:r>
      <w:r w:rsidRPr="00B673D6">
        <w:rPr>
          <w:i/>
          <w:sz w:val="16"/>
          <w:szCs w:val="16"/>
        </w:rPr>
        <w:t>e Company’s internal projections, estimates, expectations, beliefs, plans, objectives, assumptions, intentions or statements about future events or performance.  This information involves known or unknown risks, uncertainties and other factors that may cause actual results or events to differ materially from those anticipated in such forward-looking information.  In addition, this document may contain forward-looking information attributed to third party industry sources.  Crown Point believes that the expectations reflected in this forward-looking information are reasonable; however, undue reliance should not be placed on this forward-looking information, as there can be no assurance that the plans, intentions or expectations upon which they are based will occur. This press release contains forward-looking information concerning, among other things, the following: our estimated capital expenditure budget for fiscal 202</w:t>
      </w:r>
      <w:r>
        <w:rPr>
          <w:i/>
          <w:sz w:val="16"/>
          <w:szCs w:val="16"/>
        </w:rPr>
        <w:t>6</w:t>
      </w:r>
      <w:r w:rsidR="000A74AE">
        <w:rPr>
          <w:i/>
          <w:sz w:val="16"/>
          <w:szCs w:val="16"/>
        </w:rPr>
        <w:t xml:space="preserve"> (in total and for each concession)</w:t>
      </w:r>
      <w:r w:rsidRPr="00B673D6">
        <w:rPr>
          <w:i/>
          <w:sz w:val="16"/>
          <w:szCs w:val="16"/>
        </w:rPr>
        <w:t xml:space="preserve">, and the </w:t>
      </w:r>
      <w:r w:rsidR="000A74AE">
        <w:rPr>
          <w:i/>
          <w:sz w:val="16"/>
          <w:szCs w:val="16"/>
        </w:rPr>
        <w:t>operations</w:t>
      </w:r>
      <w:r w:rsidRPr="00B673D6">
        <w:rPr>
          <w:i/>
          <w:sz w:val="16"/>
          <w:szCs w:val="16"/>
        </w:rPr>
        <w:t xml:space="preserve"> that we intend to </w:t>
      </w:r>
      <w:r w:rsidR="000A74AE">
        <w:rPr>
          <w:i/>
          <w:sz w:val="16"/>
          <w:szCs w:val="16"/>
        </w:rPr>
        <w:t>conduct on each of</w:t>
      </w:r>
      <w:r>
        <w:rPr>
          <w:i/>
          <w:sz w:val="16"/>
          <w:szCs w:val="16"/>
        </w:rPr>
        <w:t xml:space="preserve"> </w:t>
      </w:r>
      <w:r w:rsidRPr="00B673D6">
        <w:rPr>
          <w:i/>
          <w:sz w:val="16"/>
          <w:szCs w:val="16"/>
        </w:rPr>
        <w:t xml:space="preserve">our concessions during such period. The reader is cautioned that such information, although considered reasonable by the Company, may prove to be incorrect. Actual results achieved during the forecast period will vary from the information provided in this document as a result of numerous known and unknown risks and uncertainties and other factors. A number of risks and other factors could cause actual results to differ materially from those expressed in the forward-looking information contained in this document including, but not limited to, the following: </w:t>
      </w:r>
      <w:r w:rsidRPr="00B673D6">
        <w:rPr>
          <w:rFonts w:eastAsia="Arial" w:cs="Arial"/>
          <w:i/>
          <w:color w:val="000000"/>
          <w:sz w:val="16"/>
          <w:szCs w:val="16"/>
        </w:rPr>
        <w:t>that the tariffs imposed or threatened to be imposed by the U.S. on other countries, and retaliatory tariffs imposed or threatened to be imposed by other countries on the U.S., will trigger a broader global trade war which could have a material adverse effect on global economies, and by extension the Argentine oil and natural gas industry and the Company, including by decreasing demand for (and the price of) oil and natural gas, disrupting supply chains, increasing costs, causing volatility in global financial markets, and limiting access to (and/or increasing the cost of) financing;</w:t>
      </w:r>
      <w:r w:rsidRPr="00B673D6">
        <w:rPr>
          <w:rFonts w:cs="Arial"/>
          <w:i/>
          <w:spacing w:val="5"/>
          <w:sz w:val="16"/>
          <w:szCs w:val="16"/>
        </w:rPr>
        <w:t xml:space="preserve"> that </w:t>
      </w:r>
      <w:r w:rsidRPr="00B673D6">
        <w:rPr>
          <w:i/>
          <w:sz w:val="16"/>
          <w:szCs w:val="16"/>
        </w:rPr>
        <w:t xml:space="preserve">the Company is not able to meet its obligations as they become due and continue as a going concern; risks associated with the insolvency and/or bankruptcy of our joint venture partners and/or the operators of the concessions in which we have an interest, including the risk that any such insolvency and/or bankruptcy has an adverse effect on one of our UTEs, one of our concessions and/or the Company; </w:t>
      </w:r>
      <w:r w:rsidRPr="00B673D6">
        <w:rPr>
          <w:rFonts w:cs="Arial"/>
          <w:i/>
          <w:spacing w:val="5"/>
          <w:sz w:val="16"/>
          <w:szCs w:val="16"/>
        </w:rPr>
        <w:t xml:space="preserve">and </w:t>
      </w:r>
      <w:r w:rsidRPr="00B673D6">
        <w:rPr>
          <w:i/>
          <w:sz w:val="16"/>
          <w:szCs w:val="16"/>
        </w:rPr>
        <w:t xml:space="preserve">the risks and other factors described under “Business Risks and Uncertainties” in our </w:t>
      </w:r>
      <w:r w:rsidR="00E178E3">
        <w:rPr>
          <w:i/>
          <w:sz w:val="16"/>
          <w:szCs w:val="16"/>
        </w:rPr>
        <w:t xml:space="preserve">most recently filed </w:t>
      </w:r>
      <w:r w:rsidRPr="00B673D6">
        <w:rPr>
          <w:i/>
          <w:sz w:val="16"/>
          <w:szCs w:val="16"/>
        </w:rPr>
        <w:t xml:space="preserve">MD&amp;A and under “Risk Factors” in the Company’s most recently filed Annual Information Form, which is available for viewing on SEDAR+ at </w:t>
      </w:r>
      <w:hyperlink r:id="rId16" w:history="1">
        <w:r w:rsidRPr="00B673D6">
          <w:rPr>
            <w:rStyle w:val="Hyperlink"/>
            <w:i/>
            <w:color w:val="auto"/>
            <w:sz w:val="16"/>
            <w:szCs w:val="16"/>
          </w:rPr>
          <w:t>www.sedarplus.ca</w:t>
        </w:r>
      </w:hyperlink>
      <w:r w:rsidRPr="00B673D6">
        <w:rPr>
          <w:i/>
          <w:sz w:val="16"/>
          <w:szCs w:val="16"/>
        </w:rPr>
        <w:t xml:space="preserve">.  With respect to forward-looking information contained in this document, the Company has made assumptions regarding, among other things: </w:t>
      </w:r>
      <w:r w:rsidRPr="00B673D6">
        <w:rPr>
          <w:rFonts w:cs="Arial"/>
          <w:i/>
          <w:sz w:val="16"/>
          <w:szCs w:val="16"/>
        </w:rPr>
        <w:t xml:space="preserve">the ability and willingness of OPEC+ nations and other major producers of crude oil to balance crude oil production levels and thereby sustain higher global crude oil prices; that our joint venture partners and the operators of our concessions that we do not operate will </w:t>
      </w:r>
      <w:proofErr w:type="spellStart"/>
      <w:r w:rsidRPr="00B673D6">
        <w:rPr>
          <w:rFonts w:cs="Arial"/>
          <w:i/>
          <w:sz w:val="16"/>
          <w:szCs w:val="16"/>
        </w:rPr>
        <w:t>honour</w:t>
      </w:r>
      <w:proofErr w:type="spellEnd"/>
      <w:r w:rsidRPr="00B673D6">
        <w:rPr>
          <w:rFonts w:cs="Arial"/>
          <w:i/>
          <w:sz w:val="16"/>
          <w:szCs w:val="16"/>
        </w:rPr>
        <w:t xml:space="preserve"> their contractual commitments in a timely fashion and will not become insolvent or bankrupt; the impact of inflation rates in Argentina and the devaluation of the Argentine peso against the USD on the Company; the impact of increasing competition; the general stability of the economic and political environment in which the Company operates, including operating under</w:t>
      </w:r>
      <w:r w:rsidRPr="00B673D6">
        <w:rPr>
          <w:i/>
          <w:sz w:val="16"/>
          <w:szCs w:val="16"/>
        </w:rPr>
        <w:t xml:space="preserve"> a consistent regulatory and legal framework in Argentina; future oil, natural gas and NGL prices (including </w:t>
      </w:r>
      <w:r w:rsidRPr="00B673D6">
        <w:rPr>
          <w:i/>
          <w:sz w:val="16"/>
          <w:szCs w:val="16"/>
        </w:rPr>
        <w:lastRenderedPageBreak/>
        <w:t xml:space="preserve">the effects of governmental incentive programs and government price controls thereon); the timely receipt of any required regulatory approvals; the ability of the Company to obtain qualified staff, equipment and services in a timely and cost efficient manner; drilling results; the costs of obtaining equipment and personnel to complete the Company’s capital expenditure program; the ability to operate the projects in which the Company has an interest in a safe, efficient and effective manner; that the Company will not pay dividends for the foreseeable future; the ability of the Company to obtain financing on acceptable terms when and if needed and continue as a going concern; the ability of the Company to service its debt repayments when required; field production rates and decline rates; the ability to replace and expand oil and natural gas reserves through acquisition, development and exploration activities; the timing and costs of pipeline, storage and facility construction and expansion and the ability of the Company to secure adequate product transportation; currency, exchange, inflation and interest rates; the regulatory framework regarding royalties, taxes and environmental matters in Argentina; and the ability of the Company to successfully market its oil and natural gas products.  Management of Crown Point has included the above summary of assumptions and risks related to forward-looking information included in this document in order to provide investors with a more complete perspective on the Company’s future operations.  Readers are cautioned that this information may not </w:t>
      </w:r>
      <w:r w:rsidRPr="00B673D6">
        <w:rPr>
          <w:rFonts w:cs="Arial"/>
          <w:i/>
          <w:sz w:val="16"/>
          <w:szCs w:val="16"/>
        </w:rPr>
        <w:t>be appropriate for other purposes. Readers are cautioned that the foregoing lists of factors are not exhaustive.  The forward-looking information contained in this document are expressly qualified by this cautionary statement. The forward-looking information contained herein is made as of the date of this document and the Company disclaims any intent or obligation to update publicly any such forward-looking information, whether as a result of new information, future events or results or otherwise, other than as required by applicable Canadian securities laws.</w:t>
      </w:r>
      <w:bookmarkEnd w:id="0"/>
    </w:p>
    <w:bookmarkEnd w:id="1"/>
    <w:p w14:paraId="5C6043F2" w14:textId="77777777" w:rsidR="009C336C" w:rsidRPr="00127416" w:rsidRDefault="009C336C" w:rsidP="009C336C">
      <w:pPr>
        <w:widowControl w:val="0"/>
        <w:spacing w:before="60"/>
        <w:jc w:val="both"/>
        <w:rPr>
          <w:rFonts w:ascii="Arial" w:hAnsi="Arial"/>
          <w:b/>
          <w:i/>
          <w:sz w:val="14"/>
        </w:rPr>
      </w:pPr>
      <w:r w:rsidRPr="00B673D6">
        <w:rPr>
          <w:rFonts w:ascii="Arial" w:hAnsi="Arial"/>
          <w:b/>
          <w:i/>
          <w:sz w:val="16"/>
          <w:szCs w:val="16"/>
        </w:rPr>
        <w:t>Neither TSX Venture Exchange nor its Regulation Services Provider (as that term is defined in the policies of the TSX Venture Exchange) accepts responsibility for the adequacy or accuracy of this news release.</w:t>
      </w:r>
    </w:p>
    <w:p w14:paraId="2E586AC5" w14:textId="0EEB79FB" w:rsidR="00CA24A5" w:rsidRPr="00127416" w:rsidRDefault="00CA24A5" w:rsidP="009C336C">
      <w:pPr>
        <w:widowControl w:val="0"/>
        <w:rPr>
          <w:b/>
          <w:i/>
          <w:sz w:val="14"/>
        </w:rPr>
      </w:pPr>
    </w:p>
    <w:sectPr w:rsidR="00CA24A5" w:rsidRPr="00127416" w:rsidSect="00FD2E1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170" w:left="1440" w:header="360" w:footer="3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62BE6" w14:textId="77777777" w:rsidR="00804B41" w:rsidRDefault="00804B41" w:rsidP="00451CF4">
      <w:r>
        <w:separator/>
      </w:r>
    </w:p>
  </w:endnote>
  <w:endnote w:type="continuationSeparator" w:id="0">
    <w:p w14:paraId="6D37012F" w14:textId="77777777" w:rsidR="00804B41" w:rsidRDefault="00804B41" w:rsidP="00451CF4">
      <w:r>
        <w:continuationSeparator/>
      </w:r>
    </w:p>
  </w:endnote>
  <w:endnote w:type="continuationNotice" w:id="1">
    <w:p w14:paraId="049B0CCE" w14:textId="77777777" w:rsidR="00804B41" w:rsidRDefault="00804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ngravrsRoman BT">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2F01" w14:textId="77777777" w:rsidR="008843BC" w:rsidRDefault="00884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2F7C" w14:textId="77777777" w:rsidR="00184829" w:rsidRDefault="00184829" w:rsidP="00F768A1">
    <w:pPr>
      <w:pStyle w:val="Footer"/>
      <w:jc w:val="center"/>
      <w:rPr>
        <w:rFonts w:ascii="Arial Narrow" w:hAnsi="Arial Narrow"/>
        <w:color w:val="002060"/>
        <w:sz w:val="20"/>
        <w:szCs w:val="20"/>
        <w:lang w:val="fr-CA"/>
      </w:rPr>
    </w:pPr>
    <w:r>
      <w:rPr>
        <w:rFonts w:ascii="Arial Narrow" w:hAnsi="Arial Narrow"/>
        <w:color w:val="002060"/>
        <w:sz w:val="20"/>
        <w:szCs w:val="20"/>
        <w:lang w:val="fr-CA"/>
      </w:rPr>
      <w:t>PO Box 1562 Station M., Calgary, Alberta, Canada T2P 3B</w:t>
    </w:r>
    <w:proofErr w:type="gramStart"/>
    <w:r>
      <w:rPr>
        <w:rFonts w:ascii="Arial Narrow" w:hAnsi="Arial Narrow"/>
        <w:color w:val="002060"/>
        <w:sz w:val="20"/>
        <w:szCs w:val="20"/>
        <w:lang w:val="fr-CA"/>
      </w:rPr>
      <w:t xml:space="preserve">9  </w:t>
    </w:r>
    <w:r>
      <w:rPr>
        <w:rFonts w:ascii="Arial Narrow" w:hAnsi="Arial Narrow"/>
        <w:b/>
        <w:color w:val="002060"/>
        <w:sz w:val="20"/>
        <w:szCs w:val="20"/>
        <w:lang w:val="fr-CA"/>
      </w:rPr>
      <w:t>T</w:t>
    </w:r>
    <w:proofErr w:type="gramEnd"/>
    <w:r>
      <w:rPr>
        <w:rFonts w:ascii="Arial Narrow" w:hAnsi="Arial Narrow"/>
        <w:color w:val="002060"/>
        <w:sz w:val="20"/>
        <w:szCs w:val="20"/>
        <w:lang w:val="fr-CA"/>
      </w:rPr>
      <w:t xml:space="preserve"> </w:t>
    </w:r>
    <w:proofErr w:type="gramStart"/>
    <w:r>
      <w:rPr>
        <w:rFonts w:ascii="Arial Narrow" w:hAnsi="Arial Narrow"/>
        <w:color w:val="002060"/>
        <w:sz w:val="20"/>
        <w:szCs w:val="20"/>
        <w:lang w:val="fr-CA"/>
      </w:rPr>
      <w:t xml:space="preserve">403.232.1150  </w:t>
    </w:r>
    <w:r>
      <w:rPr>
        <w:rFonts w:ascii="Arial Narrow" w:hAnsi="Arial Narrow"/>
        <w:b/>
        <w:color w:val="002060"/>
        <w:sz w:val="20"/>
        <w:szCs w:val="20"/>
        <w:lang w:val="fr-CA"/>
      </w:rPr>
      <w:t>F</w:t>
    </w:r>
    <w:proofErr w:type="gramEnd"/>
    <w:r>
      <w:rPr>
        <w:rFonts w:ascii="Arial Narrow" w:hAnsi="Arial Narrow"/>
        <w:color w:val="002060"/>
        <w:sz w:val="20"/>
        <w:szCs w:val="20"/>
        <w:lang w:val="fr-CA"/>
      </w:rPr>
      <w:t xml:space="preserve">  403.232.1158</w:t>
    </w:r>
  </w:p>
  <w:p w14:paraId="4D32682F" w14:textId="77777777" w:rsidR="00184829" w:rsidRDefault="00184829" w:rsidP="00F768A1">
    <w:pPr>
      <w:pStyle w:val="Footer"/>
      <w:jc w:val="center"/>
      <w:rPr>
        <w:rFonts w:ascii="Arial Narrow" w:hAnsi="Arial Narrow"/>
        <w:b/>
        <w:color w:val="002060"/>
        <w:sz w:val="20"/>
        <w:szCs w:val="20"/>
        <w:lang w:val="fr-CA"/>
      </w:rPr>
    </w:pPr>
    <w:r>
      <w:rPr>
        <w:rFonts w:ascii="Arial Narrow" w:hAnsi="Arial Narrow"/>
        <w:b/>
        <w:color w:val="002060"/>
        <w:sz w:val="20"/>
        <w:szCs w:val="20"/>
        <w:lang w:val="fr-CA"/>
      </w:rPr>
      <w:t>www.crownpointenergy.com</w:t>
    </w:r>
  </w:p>
  <w:p w14:paraId="21D3BF7F" w14:textId="77777777" w:rsidR="00184829" w:rsidRPr="005E10D3" w:rsidRDefault="00184829" w:rsidP="00FD5D14">
    <w:pPr>
      <w:pStyle w:val="Footer"/>
      <w:spacing w:line="200" w:lineRule="exact"/>
      <w:rPr>
        <w:rFonts w:ascii="Arial Narrow" w:hAnsi="Arial Narrow"/>
        <w:b/>
        <w:color w:val="002060"/>
        <w:sz w:val="20"/>
        <w:szCs w:val="20"/>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F77C" w14:textId="77777777" w:rsidR="008843BC" w:rsidRDefault="00884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7EE0" w14:textId="77777777" w:rsidR="00804B41" w:rsidRDefault="00804B41" w:rsidP="00451CF4">
      <w:r>
        <w:separator/>
      </w:r>
    </w:p>
  </w:footnote>
  <w:footnote w:type="continuationSeparator" w:id="0">
    <w:p w14:paraId="43F7486C" w14:textId="77777777" w:rsidR="00804B41" w:rsidRDefault="00804B41" w:rsidP="00451CF4">
      <w:r>
        <w:continuationSeparator/>
      </w:r>
    </w:p>
  </w:footnote>
  <w:footnote w:type="continuationNotice" w:id="1">
    <w:p w14:paraId="67E5A738" w14:textId="77777777" w:rsidR="00804B41" w:rsidRDefault="00804B41"/>
  </w:footnote>
  <w:footnote w:id="2">
    <w:p w14:paraId="2519C5DA" w14:textId="77777777" w:rsidR="002D3101" w:rsidRPr="006865E7" w:rsidRDefault="002D3101" w:rsidP="002D3101">
      <w:pPr>
        <w:pStyle w:val="FootnoteText"/>
        <w:rPr>
          <w:rFonts w:ascii="Arial" w:hAnsi="Arial" w:cs="Arial"/>
          <w:sz w:val="16"/>
          <w:szCs w:val="16"/>
          <w:lang w:val="en-CA"/>
        </w:rPr>
      </w:pPr>
      <w:r>
        <w:rPr>
          <w:rStyle w:val="FootnoteReference"/>
          <w:rFonts w:ascii="Arial" w:hAnsi="Arial" w:cs="Arial"/>
          <w:sz w:val="16"/>
          <w:szCs w:val="16"/>
        </w:rPr>
        <w:footnoteRef/>
      </w:r>
      <w:r>
        <w:rPr>
          <w:rFonts w:ascii="Arial" w:hAnsi="Arial" w:cs="Arial"/>
          <w:sz w:val="16"/>
          <w:szCs w:val="16"/>
        </w:rPr>
        <w:t xml:space="preserve"> Non-IFRS financial ratio.  See "Non-IFRS and Other Financial Measures".</w:t>
      </w:r>
    </w:p>
  </w:footnote>
  <w:footnote w:id="3">
    <w:p w14:paraId="68C7F7B0" w14:textId="77777777" w:rsidR="002D3101" w:rsidRPr="00666006" w:rsidRDefault="002D3101" w:rsidP="002D3101">
      <w:pPr>
        <w:pStyle w:val="FootnoteText"/>
        <w:rPr>
          <w:rFonts w:ascii="Arial" w:hAnsi="Arial" w:cs="Arial"/>
          <w:sz w:val="14"/>
          <w:szCs w:val="14"/>
          <w:lang w:val="en-CA"/>
        </w:rPr>
      </w:pPr>
      <w:r>
        <w:rPr>
          <w:rStyle w:val="FootnoteReference"/>
          <w:rFonts w:ascii="Arial" w:hAnsi="Arial" w:cs="Arial"/>
          <w:sz w:val="16"/>
          <w:szCs w:val="16"/>
        </w:rPr>
        <w:footnoteRef/>
      </w:r>
      <w:r>
        <w:rPr>
          <w:rFonts w:ascii="Arial" w:hAnsi="Arial" w:cs="Arial"/>
          <w:sz w:val="16"/>
          <w:szCs w:val="16"/>
        </w:rPr>
        <w:t xml:space="preserve"> Capital management measure.  See "Non-IFRS and Other Financial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0900" w14:textId="77777777" w:rsidR="008843BC" w:rsidRDefault="00884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6AE6" w14:textId="77777777" w:rsidR="00184829" w:rsidRDefault="00184829" w:rsidP="00451CF4">
    <w:pPr>
      <w:pStyle w:val="Header"/>
      <w:ind w:left="540" w:hanging="540"/>
      <w:jc w:val="right"/>
    </w:pPr>
    <w:r>
      <w:rPr>
        <w:noProof/>
      </w:rPr>
      <w:drawing>
        <wp:inline distT="0" distB="0" distL="0" distR="0" wp14:anchorId="0D321E76" wp14:editId="56C7433F">
          <wp:extent cx="1697355" cy="1038860"/>
          <wp:effectExtent l="19050" t="0" r="0" b="0"/>
          <wp:docPr id="3" name="Picture 0" descr="CWV_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1CABC8E8" w14:textId="77777777" w:rsidR="00184829" w:rsidRDefault="00184829" w:rsidP="00451CF4">
    <w:pPr>
      <w:pStyle w:val="Header"/>
      <w:ind w:left="540" w:hanging="5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AF04" w14:textId="77777777" w:rsidR="008843BC" w:rsidRDefault="00884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096A"/>
    <w:multiLevelType w:val="hybridMultilevel"/>
    <w:tmpl w:val="6E6CC01C"/>
    <w:lvl w:ilvl="0" w:tplc="50B6EAAC">
      <w:start w:val="1"/>
      <w:numFmt w:val="decimal"/>
      <w:lvlText w:val="(%1)"/>
      <w:lvlJc w:val="left"/>
      <w:pPr>
        <w:ind w:left="534" w:hanging="360"/>
      </w:pPr>
      <w:rPr>
        <w:rFonts w:hint="default"/>
      </w:rPr>
    </w:lvl>
    <w:lvl w:ilvl="1" w:tplc="2C0A0019" w:tentative="1">
      <w:start w:val="1"/>
      <w:numFmt w:val="lowerLetter"/>
      <w:lvlText w:val="%2."/>
      <w:lvlJc w:val="left"/>
      <w:pPr>
        <w:ind w:left="1254" w:hanging="360"/>
      </w:pPr>
    </w:lvl>
    <w:lvl w:ilvl="2" w:tplc="2C0A001B" w:tentative="1">
      <w:start w:val="1"/>
      <w:numFmt w:val="lowerRoman"/>
      <w:lvlText w:val="%3."/>
      <w:lvlJc w:val="right"/>
      <w:pPr>
        <w:ind w:left="1974" w:hanging="180"/>
      </w:pPr>
    </w:lvl>
    <w:lvl w:ilvl="3" w:tplc="2C0A000F" w:tentative="1">
      <w:start w:val="1"/>
      <w:numFmt w:val="decimal"/>
      <w:lvlText w:val="%4."/>
      <w:lvlJc w:val="left"/>
      <w:pPr>
        <w:ind w:left="2694" w:hanging="360"/>
      </w:pPr>
    </w:lvl>
    <w:lvl w:ilvl="4" w:tplc="2C0A0019" w:tentative="1">
      <w:start w:val="1"/>
      <w:numFmt w:val="lowerLetter"/>
      <w:lvlText w:val="%5."/>
      <w:lvlJc w:val="left"/>
      <w:pPr>
        <w:ind w:left="3414" w:hanging="360"/>
      </w:pPr>
    </w:lvl>
    <w:lvl w:ilvl="5" w:tplc="2C0A001B" w:tentative="1">
      <w:start w:val="1"/>
      <w:numFmt w:val="lowerRoman"/>
      <w:lvlText w:val="%6."/>
      <w:lvlJc w:val="right"/>
      <w:pPr>
        <w:ind w:left="4134" w:hanging="180"/>
      </w:pPr>
    </w:lvl>
    <w:lvl w:ilvl="6" w:tplc="2C0A000F" w:tentative="1">
      <w:start w:val="1"/>
      <w:numFmt w:val="decimal"/>
      <w:lvlText w:val="%7."/>
      <w:lvlJc w:val="left"/>
      <w:pPr>
        <w:ind w:left="4854" w:hanging="360"/>
      </w:pPr>
    </w:lvl>
    <w:lvl w:ilvl="7" w:tplc="2C0A0019" w:tentative="1">
      <w:start w:val="1"/>
      <w:numFmt w:val="lowerLetter"/>
      <w:lvlText w:val="%8."/>
      <w:lvlJc w:val="left"/>
      <w:pPr>
        <w:ind w:left="5574" w:hanging="360"/>
      </w:pPr>
    </w:lvl>
    <w:lvl w:ilvl="8" w:tplc="2C0A001B" w:tentative="1">
      <w:start w:val="1"/>
      <w:numFmt w:val="lowerRoman"/>
      <w:lvlText w:val="%9."/>
      <w:lvlJc w:val="right"/>
      <w:pPr>
        <w:ind w:left="6294" w:hanging="180"/>
      </w:pPr>
    </w:lvl>
  </w:abstractNum>
  <w:abstractNum w:abstractNumId="1"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2" w15:restartNumberingAfterBreak="0">
    <w:nsid w:val="32FE0003"/>
    <w:multiLevelType w:val="hybridMultilevel"/>
    <w:tmpl w:val="59404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C2FCA"/>
    <w:multiLevelType w:val="multilevel"/>
    <w:tmpl w:val="4620B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A9508DC"/>
    <w:multiLevelType w:val="hybridMultilevel"/>
    <w:tmpl w:val="E5A6C3C0"/>
    <w:lvl w:ilvl="0" w:tplc="C224835C">
      <w:start w:val="4"/>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6095344">
    <w:abstractNumId w:val="1"/>
  </w:num>
  <w:num w:numId="2" w16cid:durableId="412630553">
    <w:abstractNumId w:val="2"/>
  </w:num>
  <w:num w:numId="3" w16cid:durableId="486826908">
    <w:abstractNumId w:val="3"/>
  </w:num>
  <w:num w:numId="4" w16cid:durableId="854729842">
    <w:abstractNumId w:val="2"/>
  </w:num>
  <w:num w:numId="5" w16cid:durableId="1153912817">
    <w:abstractNumId w:val="0"/>
  </w:num>
  <w:num w:numId="6" w16cid:durableId="21909854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AR"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0"/>
  <w:activeWritingStyle w:appName="MSWord" w:lang="en-US"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s-AR" w:vendorID="64" w:dllVersion="0" w:nlCheck="1" w:checkStyle="0"/>
  <w:activeWritingStyle w:appName="MSWord" w:lang="en-CA" w:vendorID="64" w:dllVersion="0" w:nlCheck="1" w:checkStyle="0"/>
  <w:activeWritingStyle w:appName="MSWord" w:lang="fr-CA" w:vendorID="64" w:dllVersion="0" w:nlCheck="1" w:checkStyle="0"/>
  <w:activeWritingStyle w:appName="MSWord" w:lang="en-CA" w:vendorID="64" w:dllVersion="4096" w:nlCheck="1" w:checkStyle="0"/>
  <w:proofState w:spelling="clean" w:grammar="clean"/>
  <w:trackRevisions/>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Ón"/>
    <w:docVar w:name="85TrailerDateField" w:val="~}šÓj"/>
    <w:docVar w:name="85TrailerDraft" w:val="~}¡Óc"/>
    <w:docVar w:name="85TrailerTime" w:val="~}›Ói"/>
    <w:docVar w:name="DMS_Work10" w:val="0~ACTIVE||1~17039252||2~2||3~Press release Q1 2026 - May 12 draft - BDP Comments V1||5~JTO||6~JTO||7~WORDX||8~DOCUMENTS||10~5/12/2026 3:30:22 PM||11~5/12/2026 3:30:22 PM||13~410802||14~False||17~public||18~JTO||19~JTO||21~True||22~True||23~False||25~069295||26~00001||27~317||28~SEC||29~GS||30~ACTIV||60~Crown Point Energy Inc.||61~General Corporate and Securities Matters||62~Oke, Jeffrey T.||63~Securities||64~General Securities||65~Active matter||74~Jeff Oke||75~Jeff Oke||76~WORD 2007||77~Documents||80~Jeff Oke||82~docx||85~5/12/2026 3:25:45 PM||99~1/1/0001 12:00:00 AM||106~C:\Users\jto\AppData\Roaming\iManage\Work\Recent\069295-00001-Crown Point Energy Inc.-General Corporate and Securities Matters\Press release Q1 2026 - May 12 draft - BDP Comments V1(17039252.2).docx||107~1/1/0001 12:00:00 AM||109~5/12/2026 3:30:24 PM||113~5/12/2026 3:30:22 PM||114~5/12/2026 3:30:22 PM||124~False||"/>
    <w:docVar w:name="DocStamp_1_OptionalControlValues" w:val="~} Ó"/>
    <w:docVar w:name="MPDocID" w:val="~}Óhiknilkjhg"/>
    <w:docVar w:name="MPDocIDTemplate" w:val="~}—Ó"/>
    <w:docVar w:name="MPDocIDTemplateDefault" w:val="~}ŸÓZ¤e]ª"/>
    <w:docVar w:name="NewDocStampType" w:val="~}¢Ói"/>
    <w:docVar w:name="zzmp10NoTrailerPromptID" w:val="ACTIVE.14357758.1"/>
  </w:docVars>
  <w:rsids>
    <w:rsidRoot w:val="00451CF4"/>
    <w:rsid w:val="00002052"/>
    <w:rsid w:val="00002555"/>
    <w:rsid w:val="00002CBC"/>
    <w:rsid w:val="00003873"/>
    <w:rsid w:val="00004044"/>
    <w:rsid w:val="000049E5"/>
    <w:rsid w:val="000064D8"/>
    <w:rsid w:val="00010DF6"/>
    <w:rsid w:val="00010F36"/>
    <w:rsid w:val="00013941"/>
    <w:rsid w:val="00016F54"/>
    <w:rsid w:val="00017090"/>
    <w:rsid w:val="00020D0D"/>
    <w:rsid w:val="0002124D"/>
    <w:rsid w:val="00021565"/>
    <w:rsid w:val="00023706"/>
    <w:rsid w:val="00023BC5"/>
    <w:rsid w:val="00023DBC"/>
    <w:rsid w:val="00025614"/>
    <w:rsid w:val="00025949"/>
    <w:rsid w:val="0002742B"/>
    <w:rsid w:val="000327A2"/>
    <w:rsid w:val="000328AA"/>
    <w:rsid w:val="00033C41"/>
    <w:rsid w:val="00033EA2"/>
    <w:rsid w:val="000359CC"/>
    <w:rsid w:val="000365C5"/>
    <w:rsid w:val="00036D51"/>
    <w:rsid w:val="00040690"/>
    <w:rsid w:val="00040FBA"/>
    <w:rsid w:val="0004158B"/>
    <w:rsid w:val="00041C80"/>
    <w:rsid w:val="00042203"/>
    <w:rsid w:val="0004284E"/>
    <w:rsid w:val="00042B65"/>
    <w:rsid w:val="00042E43"/>
    <w:rsid w:val="00043229"/>
    <w:rsid w:val="000433F8"/>
    <w:rsid w:val="00043586"/>
    <w:rsid w:val="00043C17"/>
    <w:rsid w:val="00043F8E"/>
    <w:rsid w:val="0004484E"/>
    <w:rsid w:val="0004588D"/>
    <w:rsid w:val="00045A21"/>
    <w:rsid w:val="00045B81"/>
    <w:rsid w:val="0004735E"/>
    <w:rsid w:val="0004747B"/>
    <w:rsid w:val="000504E8"/>
    <w:rsid w:val="00050555"/>
    <w:rsid w:val="00050A9F"/>
    <w:rsid w:val="00050DBD"/>
    <w:rsid w:val="000528F0"/>
    <w:rsid w:val="00057387"/>
    <w:rsid w:val="00061FDB"/>
    <w:rsid w:val="0006263A"/>
    <w:rsid w:val="00064773"/>
    <w:rsid w:val="0006526B"/>
    <w:rsid w:val="0006551B"/>
    <w:rsid w:val="000716D5"/>
    <w:rsid w:val="00071BCD"/>
    <w:rsid w:val="00071DF4"/>
    <w:rsid w:val="0007337E"/>
    <w:rsid w:val="00075E49"/>
    <w:rsid w:val="00077A03"/>
    <w:rsid w:val="00083E25"/>
    <w:rsid w:val="00084355"/>
    <w:rsid w:val="000853A5"/>
    <w:rsid w:val="00087147"/>
    <w:rsid w:val="00090E72"/>
    <w:rsid w:val="00092E13"/>
    <w:rsid w:val="000932B1"/>
    <w:rsid w:val="00094C33"/>
    <w:rsid w:val="000960C0"/>
    <w:rsid w:val="00096FA7"/>
    <w:rsid w:val="00097F5E"/>
    <w:rsid w:val="000A1EF3"/>
    <w:rsid w:val="000A74AE"/>
    <w:rsid w:val="000B0A76"/>
    <w:rsid w:val="000B11A0"/>
    <w:rsid w:val="000B18A4"/>
    <w:rsid w:val="000B2104"/>
    <w:rsid w:val="000B226F"/>
    <w:rsid w:val="000B260D"/>
    <w:rsid w:val="000B2BDD"/>
    <w:rsid w:val="000B42AC"/>
    <w:rsid w:val="000B4702"/>
    <w:rsid w:val="000B5AC7"/>
    <w:rsid w:val="000C124D"/>
    <w:rsid w:val="000C1380"/>
    <w:rsid w:val="000C3157"/>
    <w:rsid w:val="000C5953"/>
    <w:rsid w:val="000D001A"/>
    <w:rsid w:val="000D0E50"/>
    <w:rsid w:val="000D1245"/>
    <w:rsid w:val="000D3E93"/>
    <w:rsid w:val="000D45D4"/>
    <w:rsid w:val="000D51F0"/>
    <w:rsid w:val="000D7DDC"/>
    <w:rsid w:val="000E1461"/>
    <w:rsid w:val="000E1597"/>
    <w:rsid w:val="000E2B52"/>
    <w:rsid w:val="000E3366"/>
    <w:rsid w:val="000E466B"/>
    <w:rsid w:val="000E565B"/>
    <w:rsid w:val="000E6328"/>
    <w:rsid w:val="000E7F93"/>
    <w:rsid w:val="000F076D"/>
    <w:rsid w:val="000F113B"/>
    <w:rsid w:val="000F2EBB"/>
    <w:rsid w:val="000F4E28"/>
    <w:rsid w:val="000F4E68"/>
    <w:rsid w:val="000F4F65"/>
    <w:rsid w:val="000F5DC2"/>
    <w:rsid w:val="000F6D34"/>
    <w:rsid w:val="00100490"/>
    <w:rsid w:val="00103CF5"/>
    <w:rsid w:val="0010536B"/>
    <w:rsid w:val="00105738"/>
    <w:rsid w:val="00105A4A"/>
    <w:rsid w:val="0010668E"/>
    <w:rsid w:val="00106A1F"/>
    <w:rsid w:val="001079BC"/>
    <w:rsid w:val="00107F1A"/>
    <w:rsid w:val="00111924"/>
    <w:rsid w:val="00111AED"/>
    <w:rsid w:val="00111F93"/>
    <w:rsid w:val="00112F0A"/>
    <w:rsid w:val="00113A53"/>
    <w:rsid w:val="0011602C"/>
    <w:rsid w:val="001221DA"/>
    <w:rsid w:val="00124B40"/>
    <w:rsid w:val="00124CC6"/>
    <w:rsid w:val="0012698E"/>
    <w:rsid w:val="00127416"/>
    <w:rsid w:val="00130191"/>
    <w:rsid w:val="00130CE8"/>
    <w:rsid w:val="00131320"/>
    <w:rsid w:val="00133EFB"/>
    <w:rsid w:val="001340CF"/>
    <w:rsid w:val="001350B6"/>
    <w:rsid w:val="001365C2"/>
    <w:rsid w:val="001402A6"/>
    <w:rsid w:val="00143924"/>
    <w:rsid w:val="001448D4"/>
    <w:rsid w:val="00144954"/>
    <w:rsid w:val="0014699C"/>
    <w:rsid w:val="00147EB6"/>
    <w:rsid w:val="00150304"/>
    <w:rsid w:val="00150AAE"/>
    <w:rsid w:val="00150D8D"/>
    <w:rsid w:val="00151262"/>
    <w:rsid w:val="00152632"/>
    <w:rsid w:val="001548FF"/>
    <w:rsid w:val="00155CBC"/>
    <w:rsid w:val="001573D1"/>
    <w:rsid w:val="0015763C"/>
    <w:rsid w:val="00160B5D"/>
    <w:rsid w:val="0016148F"/>
    <w:rsid w:val="001619ED"/>
    <w:rsid w:val="00163687"/>
    <w:rsid w:val="00163CC7"/>
    <w:rsid w:val="00163F57"/>
    <w:rsid w:val="00165DB6"/>
    <w:rsid w:val="00165FD0"/>
    <w:rsid w:val="00166989"/>
    <w:rsid w:val="00166A46"/>
    <w:rsid w:val="0016764C"/>
    <w:rsid w:val="00171E7C"/>
    <w:rsid w:val="00172E2F"/>
    <w:rsid w:val="001736B6"/>
    <w:rsid w:val="00175025"/>
    <w:rsid w:val="001757BE"/>
    <w:rsid w:val="00175C38"/>
    <w:rsid w:val="00177A20"/>
    <w:rsid w:val="00177C5A"/>
    <w:rsid w:val="0018034E"/>
    <w:rsid w:val="00180591"/>
    <w:rsid w:val="00180AFC"/>
    <w:rsid w:val="0018209F"/>
    <w:rsid w:val="00183A2D"/>
    <w:rsid w:val="00183B25"/>
    <w:rsid w:val="0018437C"/>
    <w:rsid w:val="00184829"/>
    <w:rsid w:val="00185E59"/>
    <w:rsid w:val="00186D93"/>
    <w:rsid w:val="0019019A"/>
    <w:rsid w:val="00191DD8"/>
    <w:rsid w:val="0019349D"/>
    <w:rsid w:val="00193809"/>
    <w:rsid w:val="0019396D"/>
    <w:rsid w:val="00193DB3"/>
    <w:rsid w:val="001959BF"/>
    <w:rsid w:val="00196259"/>
    <w:rsid w:val="001962FB"/>
    <w:rsid w:val="00197745"/>
    <w:rsid w:val="001A0FBE"/>
    <w:rsid w:val="001A18FA"/>
    <w:rsid w:val="001A2143"/>
    <w:rsid w:val="001A2FFF"/>
    <w:rsid w:val="001A4C7E"/>
    <w:rsid w:val="001A4EF4"/>
    <w:rsid w:val="001A5D38"/>
    <w:rsid w:val="001A750D"/>
    <w:rsid w:val="001B1211"/>
    <w:rsid w:val="001B3527"/>
    <w:rsid w:val="001B3DD2"/>
    <w:rsid w:val="001B40D9"/>
    <w:rsid w:val="001B4784"/>
    <w:rsid w:val="001B4DA9"/>
    <w:rsid w:val="001B5749"/>
    <w:rsid w:val="001B7BBB"/>
    <w:rsid w:val="001C13CF"/>
    <w:rsid w:val="001C23B1"/>
    <w:rsid w:val="001C3A55"/>
    <w:rsid w:val="001C4321"/>
    <w:rsid w:val="001C57CC"/>
    <w:rsid w:val="001C732D"/>
    <w:rsid w:val="001D1F97"/>
    <w:rsid w:val="001D2046"/>
    <w:rsid w:val="001D3C6E"/>
    <w:rsid w:val="001D4E4B"/>
    <w:rsid w:val="001D50E7"/>
    <w:rsid w:val="001D7460"/>
    <w:rsid w:val="001D7957"/>
    <w:rsid w:val="001E04EC"/>
    <w:rsid w:val="001E082A"/>
    <w:rsid w:val="001E2415"/>
    <w:rsid w:val="001E2A4A"/>
    <w:rsid w:val="001E38D5"/>
    <w:rsid w:val="001E3AD7"/>
    <w:rsid w:val="001E5286"/>
    <w:rsid w:val="001E52F0"/>
    <w:rsid w:val="001E7429"/>
    <w:rsid w:val="001F00CF"/>
    <w:rsid w:val="001F3710"/>
    <w:rsid w:val="001F4B94"/>
    <w:rsid w:val="001F5DB2"/>
    <w:rsid w:val="001F6291"/>
    <w:rsid w:val="001F70CE"/>
    <w:rsid w:val="001F719A"/>
    <w:rsid w:val="002001A1"/>
    <w:rsid w:val="00200425"/>
    <w:rsid w:val="00201A1C"/>
    <w:rsid w:val="002026C4"/>
    <w:rsid w:val="00204799"/>
    <w:rsid w:val="0020498C"/>
    <w:rsid w:val="00204DD7"/>
    <w:rsid w:val="00205E97"/>
    <w:rsid w:val="0020731E"/>
    <w:rsid w:val="0021022C"/>
    <w:rsid w:val="0021087B"/>
    <w:rsid w:val="0021137C"/>
    <w:rsid w:val="00214319"/>
    <w:rsid w:val="0021452F"/>
    <w:rsid w:val="002150FE"/>
    <w:rsid w:val="00216E19"/>
    <w:rsid w:val="00221DD0"/>
    <w:rsid w:val="00224562"/>
    <w:rsid w:val="00224564"/>
    <w:rsid w:val="00224989"/>
    <w:rsid w:val="002250FD"/>
    <w:rsid w:val="00226578"/>
    <w:rsid w:val="00226AF8"/>
    <w:rsid w:val="00227D59"/>
    <w:rsid w:val="002300CD"/>
    <w:rsid w:val="002305ED"/>
    <w:rsid w:val="002341B7"/>
    <w:rsid w:val="0023639F"/>
    <w:rsid w:val="0023725A"/>
    <w:rsid w:val="00237B81"/>
    <w:rsid w:val="00237BD0"/>
    <w:rsid w:val="00242114"/>
    <w:rsid w:val="0024282E"/>
    <w:rsid w:val="00242953"/>
    <w:rsid w:val="00243DE1"/>
    <w:rsid w:val="00244EDD"/>
    <w:rsid w:val="002455E7"/>
    <w:rsid w:val="002455EC"/>
    <w:rsid w:val="00246DC8"/>
    <w:rsid w:val="00250882"/>
    <w:rsid w:val="00251D5C"/>
    <w:rsid w:val="0025247B"/>
    <w:rsid w:val="00254179"/>
    <w:rsid w:val="00256865"/>
    <w:rsid w:val="002574BB"/>
    <w:rsid w:val="00257531"/>
    <w:rsid w:val="00257631"/>
    <w:rsid w:val="00260431"/>
    <w:rsid w:val="0026095C"/>
    <w:rsid w:val="00260E18"/>
    <w:rsid w:val="00260E1F"/>
    <w:rsid w:val="00261490"/>
    <w:rsid w:val="00261E3B"/>
    <w:rsid w:val="00261EFE"/>
    <w:rsid w:val="0026227D"/>
    <w:rsid w:val="002649E7"/>
    <w:rsid w:val="00270E00"/>
    <w:rsid w:val="00271DD1"/>
    <w:rsid w:val="002729B8"/>
    <w:rsid w:val="002755B9"/>
    <w:rsid w:val="00276378"/>
    <w:rsid w:val="00276834"/>
    <w:rsid w:val="00276A89"/>
    <w:rsid w:val="00276D5A"/>
    <w:rsid w:val="00277BA3"/>
    <w:rsid w:val="00282185"/>
    <w:rsid w:val="00282271"/>
    <w:rsid w:val="00282EE9"/>
    <w:rsid w:val="0028761D"/>
    <w:rsid w:val="00290BF2"/>
    <w:rsid w:val="00292BEA"/>
    <w:rsid w:val="002935B9"/>
    <w:rsid w:val="00294A5A"/>
    <w:rsid w:val="002955AA"/>
    <w:rsid w:val="002A2079"/>
    <w:rsid w:val="002A3E04"/>
    <w:rsid w:val="002A49FB"/>
    <w:rsid w:val="002A5742"/>
    <w:rsid w:val="002A57E2"/>
    <w:rsid w:val="002A5FC4"/>
    <w:rsid w:val="002A671A"/>
    <w:rsid w:val="002A7212"/>
    <w:rsid w:val="002A7277"/>
    <w:rsid w:val="002B08E6"/>
    <w:rsid w:val="002B0AA5"/>
    <w:rsid w:val="002B3F93"/>
    <w:rsid w:val="002B58A2"/>
    <w:rsid w:val="002B58FA"/>
    <w:rsid w:val="002B7C4E"/>
    <w:rsid w:val="002C0819"/>
    <w:rsid w:val="002C1F1B"/>
    <w:rsid w:val="002C2184"/>
    <w:rsid w:val="002C35DF"/>
    <w:rsid w:val="002C476A"/>
    <w:rsid w:val="002C6D34"/>
    <w:rsid w:val="002D12FD"/>
    <w:rsid w:val="002D18EB"/>
    <w:rsid w:val="002D2781"/>
    <w:rsid w:val="002D2B1A"/>
    <w:rsid w:val="002D2CA8"/>
    <w:rsid w:val="002D3101"/>
    <w:rsid w:val="002D3324"/>
    <w:rsid w:val="002D437E"/>
    <w:rsid w:val="002D4926"/>
    <w:rsid w:val="002D5874"/>
    <w:rsid w:val="002D5F29"/>
    <w:rsid w:val="002D728B"/>
    <w:rsid w:val="002D77D7"/>
    <w:rsid w:val="002D7E84"/>
    <w:rsid w:val="002E10DF"/>
    <w:rsid w:val="002E1BE1"/>
    <w:rsid w:val="002E2665"/>
    <w:rsid w:val="002E3117"/>
    <w:rsid w:val="002E3BD6"/>
    <w:rsid w:val="002E4CEF"/>
    <w:rsid w:val="002E6351"/>
    <w:rsid w:val="002E696C"/>
    <w:rsid w:val="002E7F0A"/>
    <w:rsid w:val="002F1211"/>
    <w:rsid w:val="002F58C1"/>
    <w:rsid w:val="00300A6A"/>
    <w:rsid w:val="00302DB2"/>
    <w:rsid w:val="0030594E"/>
    <w:rsid w:val="00306C05"/>
    <w:rsid w:val="00310187"/>
    <w:rsid w:val="00311088"/>
    <w:rsid w:val="003111C0"/>
    <w:rsid w:val="00311748"/>
    <w:rsid w:val="00311755"/>
    <w:rsid w:val="00312941"/>
    <w:rsid w:val="00312E4A"/>
    <w:rsid w:val="0031322E"/>
    <w:rsid w:val="003136C8"/>
    <w:rsid w:val="0031396D"/>
    <w:rsid w:val="00314102"/>
    <w:rsid w:val="00314734"/>
    <w:rsid w:val="00315021"/>
    <w:rsid w:val="00315C11"/>
    <w:rsid w:val="00317357"/>
    <w:rsid w:val="003176C0"/>
    <w:rsid w:val="00317828"/>
    <w:rsid w:val="00321209"/>
    <w:rsid w:val="00321B34"/>
    <w:rsid w:val="003223CF"/>
    <w:rsid w:val="00323E38"/>
    <w:rsid w:val="00326995"/>
    <w:rsid w:val="003300CB"/>
    <w:rsid w:val="00330EAF"/>
    <w:rsid w:val="00331B5F"/>
    <w:rsid w:val="00331FEE"/>
    <w:rsid w:val="00331FFF"/>
    <w:rsid w:val="0033254F"/>
    <w:rsid w:val="00333973"/>
    <w:rsid w:val="00335EAB"/>
    <w:rsid w:val="0033680E"/>
    <w:rsid w:val="00337CD6"/>
    <w:rsid w:val="003409A2"/>
    <w:rsid w:val="0034127D"/>
    <w:rsid w:val="0034165A"/>
    <w:rsid w:val="0034194B"/>
    <w:rsid w:val="00343121"/>
    <w:rsid w:val="00347D43"/>
    <w:rsid w:val="003510F5"/>
    <w:rsid w:val="00351463"/>
    <w:rsid w:val="00351B1F"/>
    <w:rsid w:val="00352472"/>
    <w:rsid w:val="003535B4"/>
    <w:rsid w:val="00354336"/>
    <w:rsid w:val="0035496E"/>
    <w:rsid w:val="00354B81"/>
    <w:rsid w:val="00355890"/>
    <w:rsid w:val="00356261"/>
    <w:rsid w:val="003565FD"/>
    <w:rsid w:val="00360903"/>
    <w:rsid w:val="00360B79"/>
    <w:rsid w:val="00361D69"/>
    <w:rsid w:val="00362AC3"/>
    <w:rsid w:val="00363C9C"/>
    <w:rsid w:val="00363E05"/>
    <w:rsid w:val="00364347"/>
    <w:rsid w:val="003649EF"/>
    <w:rsid w:val="00364E20"/>
    <w:rsid w:val="003651A6"/>
    <w:rsid w:val="0036598D"/>
    <w:rsid w:val="003660A7"/>
    <w:rsid w:val="00366F03"/>
    <w:rsid w:val="00367986"/>
    <w:rsid w:val="00370915"/>
    <w:rsid w:val="003730CD"/>
    <w:rsid w:val="00373A5A"/>
    <w:rsid w:val="00375815"/>
    <w:rsid w:val="00376229"/>
    <w:rsid w:val="003768FD"/>
    <w:rsid w:val="00376C23"/>
    <w:rsid w:val="00377CC8"/>
    <w:rsid w:val="0038056F"/>
    <w:rsid w:val="0038118E"/>
    <w:rsid w:val="0038150D"/>
    <w:rsid w:val="00381F7A"/>
    <w:rsid w:val="003828A1"/>
    <w:rsid w:val="00382FD1"/>
    <w:rsid w:val="00384EE0"/>
    <w:rsid w:val="00385916"/>
    <w:rsid w:val="0038594F"/>
    <w:rsid w:val="003871F4"/>
    <w:rsid w:val="00387489"/>
    <w:rsid w:val="00387B39"/>
    <w:rsid w:val="00391063"/>
    <w:rsid w:val="003911F5"/>
    <w:rsid w:val="00397FCF"/>
    <w:rsid w:val="003A079D"/>
    <w:rsid w:val="003A153C"/>
    <w:rsid w:val="003A2584"/>
    <w:rsid w:val="003A364B"/>
    <w:rsid w:val="003A4861"/>
    <w:rsid w:val="003A4BAA"/>
    <w:rsid w:val="003A5D6C"/>
    <w:rsid w:val="003A6999"/>
    <w:rsid w:val="003A7F98"/>
    <w:rsid w:val="003B034C"/>
    <w:rsid w:val="003B0C94"/>
    <w:rsid w:val="003B10AC"/>
    <w:rsid w:val="003B161A"/>
    <w:rsid w:val="003B1A61"/>
    <w:rsid w:val="003B3B17"/>
    <w:rsid w:val="003B3C88"/>
    <w:rsid w:val="003B4A4C"/>
    <w:rsid w:val="003B51FA"/>
    <w:rsid w:val="003B6B71"/>
    <w:rsid w:val="003C1736"/>
    <w:rsid w:val="003C2512"/>
    <w:rsid w:val="003C3173"/>
    <w:rsid w:val="003C583F"/>
    <w:rsid w:val="003C5C0A"/>
    <w:rsid w:val="003C74EE"/>
    <w:rsid w:val="003D0414"/>
    <w:rsid w:val="003D056F"/>
    <w:rsid w:val="003D2A18"/>
    <w:rsid w:val="003D2ABA"/>
    <w:rsid w:val="003D3732"/>
    <w:rsid w:val="003D3760"/>
    <w:rsid w:val="003D3CB8"/>
    <w:rsid w:val="003D46D7"/>
    <w:rsid w:val="003D5265"/>
    <w:rsid w:val="003D6FD4"/>
    <w:rsid w:val="003E1653"/>
    <w:rsid w:val="003E2504"/>
    <w:rsid w:val="003E4CD9"/>
    <w:rsid w:val="003E72F5"/>
    <w:rsid w:val="003E749F"/>
    <w:rsid w:val="003E7896"/>
    <w:rsid w:val="003E78A4"/>
    <w:rsid w:val="003F01A7"/>
    <w:rsid w:val="003F11B9"/>
    <w:rsid w:val="003F2314"/>
    <w:rsid w:val="003F2629"/>
    <w:rsid w:val="003F2A86"/>
    <w:rsid w:val="003F2DC9"/>
    <w:rsid w:val="003F390F"/>
    <w:rsid w:val="003F3DB3"/>
    <w:rsid w:val="003F48A8"/>
    <w:rsid w:val="003F6225"/>
    <w:rsid w:val="003F6502"/>
    <w:rsid w:val="004022A2"/>
    <w:rsid w:val="004040D4"/>
    <w:rsid w:val="00404FBC"/>
    <w:rsid w:val="00406C3A"/>
    <w:rsid w:val="00410670"/>
    <w:rsid w:val="00410EAE"/>
    <w:rsid w:val="00411ECA"/>
    <w:rsid w:val="00415EE8"/>
    <w:rsid w:val="004162E7"/>
    <w:rsid w:val="0042016C"/>
    <w:rsid w:val="00420A54"/>
    <w:rsid w:val="0042130F"/>
    <w:rsid w:val="0042133D"/>
    <w:rsid w:val="00421439"/>
    <w:rsid w:val="004226A6"/>
    <w:rsid w:val="00422F75"/>
    <w:rsid w:val="004230C2"/>
    <w:rsid w:val="00424546"/>
    <w:rsid w:val="00424A5E"/>
    <w:rsid w:val="00425CF4"/>
    <w:rsid w:val="0042733B"/>
    <w:rsid w:val="00427A41"/>
    <w:rsid w:val="0043029D"/>
    <w:rsid w:val="00430A92"/>
    <w:rsid w:val="0043147E"/>
    <w:rsid w:val="00431AE5"/>
    <w:rsid w:val="00431F3A"/>
    <w:rsid w:val="00433016"/>
    <w:rsid w:val="00433408"/>
    <w:rsid w:val="0043627D"/>
    <w:rsid w:val="004365FF"/>
    <w:rsid w:val="00440E89"/>
    <w:rsid w:val="00442A8E"/>
    <w:rsid w:val="00443E7F"/>
    <w:rsid w:val="0044467D"/>
    <w:rsid w:val="00444737"/>
    <w:rsid w:val="00444BB3"/>
    <w:rsid w:val="00444BDB"/>
    <w:rsid w:val="00444DAF"/>
    <w:rsid w:val="00451504"/>
    <w:rsid w:val="00451C2D"/>
    <w:rsid w:val="00451CF4"/>
    <w:rsid w:val="004524AF"/>
    <w:rsid w:val="00454132"/>
    <w:rsid w:val="004558E2"/>
    <w:rsid w:val="004561FE"/>
    <w:rsid w:val="00456BA5"/>
    <w:rsid w:val="00456BC6"/>
    <w:rsid w:val="004606BC"/>
    <w:rsid w:val="004607BF"/>
    <w:rsid w:val="00460E23"/>
    <w:rsid w:val="0046388A"/>
    <w:rsid w:val="00467343"/>
    <w:rsid w:val="0047043F"/>
    <w:rsid w:val="004710A8"/>
    <w:rsid w:val="00471421"/>
    <w:rsid w:val="00472F63"/>
    <w:rsid w:val="00473983"/>
    <w:rsid w:val="00473BB3"/>
    <w:rsid w:val="00473DE7"/>
    <w:rsid w:val="00476357"/>
    <w:rsid w:val="004765E0"/>
    <w:rsid w:val="00476F8A"/>
    <w:rsid w:val="00477D6C"/>
    <w:rsid w:val="00481185"/>
    <w:rsid w:val="004835F9"/>
    <w:rsid w:val="004837E0"/>
    <w:rsid w:val="0048492B"/>
    <w:rsid w:val="00486ADF"/>
    <w:rsid w:val="00490BF6"/>
    <w:rsid w:val="004915EA"/>
    <w:rsid w:val="00491C14"/>
    <w:rsid w:val="00492E7A"/>
    <w:rsid w:val="004946E4"/>
    <w:rsid w:val="004951CB"/>
    <w:rsid w:val="004A125B"/>
    <w:rsid w:val="004A22F6"/>
    <w:rsid w:val="004A56D3"/>
    <w:rsid w:val="004A5E44"/>
    <w:rsid w:val="004A62EF"/>
    <w:rsid w:val="004A72E9"/>
    <w:rsid w:val="004B3239"/>
    <w:rsid w:val="004B3350"/>
    <w:rsid w:val="004B38BC"/>
    <w:rsid w:val="004B7A11"/>
    <w:rsid w:val="004B7CE2"/>
    <w:rsid w:val="004C41BA"/>
    <w:rsid w:val="004C5DAD"/>
    <w:rsid w:val="004C7547"/>
    <w:rsid w:val="004D007F"/>
    <w:rsid w:val="004D1773"/>
    <w:rsid w:val="004D30A2"/>
    <w:rsid w:val="004D43B3"/>
    <w:rsid w:val="004D53DC"/>
    <w:rsid w:val="004D7A0C"/>
    <w:rsid w:val="004E1F41"/>
    <w:rsid w:val="004E275F"/>
    <w:rsid w:val="004E670D"/>
    <w:rsid w:val="004F0CD4"/>
    <w:rsid w:val="004F1140"/>
    <w:rsid w:val="004F14A0"/>
    <w:rsid w:val="004F1A2A"/>
    <w:rsid w:val="004F23D3"/>
    <w:rsid w:val="004F3AF4"/>
    <w:rsid w:val="004F7EFE"/>
    <w:rsid w:val="00500363"/>
    <w:rsid w:val="0050093F"/>
    <w:rsid w:val="005031C4"/>
    <w:rsid w:val="00503790"/>
    <w:rsid w:val="005047CA"/>
    <w:rsid w:val="00504942"/>
    <w:rsid w:val="00504E9C"/>
    <w:rsid w:val="00505674"/>
    <w:rsid w:val="00507179"/>
    <w:rsid w:val="00507610"/>
    <w:rsid w:val="00507656"/>
    <w:rsid w:val="00510753"/>
    <w:rsid w:val="00511BFC"/>
    <w:rsid w:val="005125B4"/>
    <w:rsid w:val="00512967"/>
    <w:rsid w:val="00516385"/>
    <w:rsid w:val="00517041"/>
    <w:rsid w:val="00521406"/>
    <w:rsid w:val="00521575"/>
    <w:rsid w:val="00525A77"/>
    <w:rsid w:val="00526C37"/>
    <w:rsid w:val="00527E54"/>
    <w:rsid w:val="0053049E"/>
    <w:rsid w:val="00534994"/>
    <w:rsid w:val="00535FCD"/>
    <w:rsid w:val="00537C71"/>
    <w:rsid w:val="00540284"/>
    <w:rsid w:val="005410CE"/>
    <w:rsid w:val="00543236"/>
    <w:rsid w:val="005434BB"/>
    <w:rsid w:val="00544388"/>
    <w:rsid w:val="00545286"/>
    <w:rsid w:val="00545595"/>
    <w:rsid w:val="00545AF7"/>
    <w:rsid w:val="00550248"/>
    <w:rsid w:val="005510D2"/>
    <w:rsid w:val="0055136D"/>
    <w:rsid w:val="005530D5"/>
    <w:rsid w:val="005537C0"/>
    <w:rsid w:val="005538A3"/>
    <w:rsid w:val="005544DD"/>
    <w:rsid w:val="00554BA3"/>
    <w:rsid w:val="00556A17"/>
    <w:rsid w:val="00557B5A"/>
    <w:rsid w:val="00557EF1"/>
    <w:rsid w:val="00560BF7"/>
    <w:rsid w:val="00561698"/>
    <w:rsid w:val="00561DCA"/>
    <w:rsid w:val="0056207A"/>
    <w:rsid w:val="00562B74"/>
    <w:rsid w:val="005635F2"/>
    <w:rsid w:val="005642EA"/>
    <w:rsid w:val="00564F26"/>
    <w:rsid w:val="005650AA"/>
    <w:rsid w:val="005677EF"/>
    <w:rsid w:val="00567DAB"/>
    <w:rsid w:val="00570628"/>
    <w:rsid w:val="00570F49"/>
    <w:rsid w:val="00573E1E"/>
    <w:rsid w:val="00575C18"/>
    <w:rsid w:val="00575CCA"/>
    <w:rsid w:val="00576FAF"/>
    <w:rsid w:val="00577316"/>
    <w:rsid w:val="00580163"/>
    <w:rsid w:val="005808F2"/>
    <w:rsid w:val="00580D2A"/>
    <w:rsid w:val="0058147C"/>
    <w:rsid w:val="00582A83"/>
    <w:rsid w:val="00582E74"/>
    <w:rsid w:val="00585291"/>
    <w:rsid w:val="00585A15"/>
    <w:rsid w:val="00585AFD"/>
    <w:rsid w:val="00586159"/>
    <w:rsid w:val="00590381"/>
    <w:rsid w:val="005903FD"/>
    <w:rsid w:val="00590F21"/>
    <w:rsid w:val="00592C42"/>
    <w:rsid w:val="005955BF"/>
    <w:rsid w:val="00595CFF"/>
    <w:rsid w:val="00596803"/>
    <w:rsid w:val="005A24E4"/>
    <w:rsid w:val="005A332A"/>
    <w:rsid w:val="005A3BED"/>
    <w:rsid w:val="005A54AE"/>
    <w:rsid w:val="005A76EE"/>
    <w:rsid w:val="005A78E4"/>
    <w:rsid w:val="005B0CA0"/>
    <w:rsid w:val="005B101B"/>
    <w:rsid w:val="005B2A9F"/>
    <w:rsid w:val="005B3A0F"/>
    <w:rsid w:val="005B3B95"/>
    <w:rsid w:val="005B54CC"/>
    <w:rsid w:val="005B57D3"/>
    <w:rsid w:val="005B5DEC"/>
    <w:rsid w:val="005B66FF"/>
    <w:rsid w:val="005B6E81"/>
    <w:rsid w:val="005B7CF0"/>
    <w:rsid w:val="005C0268"/>
    <w:rsid w:val="005C1A8F"/>
    <w:rsid w:val="005C2CAA"/>
    <w:rsid w:val="005C42FD"/>
    <w:rsid w:val="005C4CA1"/>
    <w:rsid w:val="005C51FA"/>
    <w:rsid w:val="005C5F09"/>
    <w:rsid w:val="005C71F7"/>
    <w:rsid w:val="005D19BE"/>
    <w:rsid w:val="005D220E"/>
    <w:rsid w:val="005D3131"/>
    <w:rsid w:val="005D4AE2"/>
    <w:rsid w:val="005D56F8"/>
    <w:rsid w:val="005D59C7"/>
    <w:rsid w:val="005D5E6B"/>
    <w:rsid w:val="005D6CDC"/>
    <w:rsid w:val="005D7A7F"/>
    <w:rsid w:val="005E037E"/>
    <w:rsid w:val="005E10D3"/>
    <w:rsid w:val="005E150A"/>
    <w:rsid w:val="005E47B1"/>
    <w:rsid w:val="005E5C39"/>
    <w:rsid w:val="005E6FD2"/>
    <w:rsid w:val="005E7D4B"/>
    <w:rsid w:val="005E7FF4"/>
    <w:rsid w:val="005F2B3F"/>
    <w:rsid w:val="005F3BD4"/>
    <w:rsid w:val="00600AD8"/>
    <w:rsid w:val="00600F10"/>
    <w:rsid w:val="00600F1F"/>
    <w:rsid w:val="00603465"/>
    <w:rsid w:val="00604D4C"/>
    <w:rsid w:val="00612407"/>
    <w:rsid w:val="0061268E"/>
    <w:rsid w:val="006129D0"/>
    <w:rsid w:val="00614D39"/>
    <w:rsid w:val="006152F0"/>
    <w:rsid w:val="00615EAB"/>
    <w:rsid w:val="00616468"/>
    <w:rsid w:val="00616CAB"/>
    <w:rsid w:val="00620130"/>
    <w:rsid w:val="006202BD"/>
    <w:rsid w:val="006205E9"/>
    <w:rsid w:val="00621BDE"/>
    <w:rsid w:val="0062427C"/>
    <w:rsid w:val="0062710F"/>
    <w:rsid w:val="00630F44"/>
    <w:rsid w:val="00632DCB"/>
    <w:rsid w:val="00634146"/>
    <w:rsid w:val="00636042"/>
    <w:rsid w:val="0063768C"/>
    <w:rsid w:val="00641069"/>
    <w:rsid w:val="006421FB"/>
    <w:rsid w:val="006429BF"/>
    <w:rsid w:val="00643A42"/>
    <w:rsid w:val="006440C6"/>
    <w:rsid w:val="006441EC"/>
    <w:rsid w:val="006450F3"/>
    <w:rsid w:val="00647903"/>
    <w:rsid w:val="00647A3A"/>
    <w:rsid w:val="0065036C"/>
    <w:rsid w:val="00650B31"/>
    <w:rsid w:val="00651DB8"/>
    <w:rsid w:val="006525BF"/>
    <w:rsid w:val="00652FDE"/>
    <w:rsid w:val="006536A0"/>
    <w:rsid w:val="006537C6"/>
    <w:rsid w:val="00654301"/>
    <w:rsid w:val="00657FED"/>
    <w:rsid w:val="006637E1"/>
    <w:rsid w:val="0066523D"/>
    <w:rsid w:val="00665CD8"/>
    <w:rsid w:val="00665EA7"/>
    <w:rsid w:val="00666006"/>
    <w:rsid w:val="006676F8"/>
    <w:rsid w:val="00671196"/>
    <w:rsid w:val="00671597"/>
    <w:rsid w:val="006722F1"/>
    <w:rsid w:val="00673696"/>
    <w:rsid w:val="00673AE9"/>
    <w:rsid w:val="00674C25"/>
    <w:rsid w:val="006752C5"/>
    <w:rsid w:val="006761DF"/>
    <w:rsid w:val="006765D3"/>
    <w:rsid w:val="00677721"/>
    <w:rsid w:val="006804F0"/>
    <w:rsid w:val="00680B0F"/>
    <w:rsid w:val="0068141D"/>
    <w:rsid w:val="00681BAA"/>
    <w:rsid w:val="0068268A"/>
    <w:rsid w:val="00682D56"/>
    <w:rsid w:val="006865E7"/>
    <w:rsid w:val="00687575"/>
    <w:rsid w:val="0069094C"/>
    <w:rsid w:val="00691764"/>
    <w:rsid w:val="00692619"/>
    <w:rsid w:val="006927BD"/>
    <w:rsid w:val="00692DCD"/>
    <w:rsid w:val="006A00E1"/>
    <w:rsid w:val="006A05C7"/>
    <w:rsid w:val="006A0FBE"/>
    <w:rsid w:val="006A288E"/>
    <w:rsid w:val="006A35F2"/>
    <w:rsid w:val="006A49D9"/>
    <w:rsid w:val="006B0B93"/>
    <w:rsid w:val="006B19DD"/>
    <w:rsid w:val="006B1AA5"/>
    <w:rsid w:val="006B42DD"/>
    <w:rsid w:val="006B5970"/>
    <w:rsid w:val="006B76F6"/>
    <w:rsid w:val="006C31C2"/>
    <w:rsid w:val="006C3601"/>
    <w:rsid w:val="006C5430"/>
    <w:rsid w:val="006D10F4"/>
    <w:rsid w:val="006D2324"/>
    <w:rsid w:val="006D58DE"/>
    <w:rsid w:val="006D70DD"/>
    <w:rsid w:val="006E01EA"/>
    <w:rsid w:val="006E2A6A"/>
    <w:rsid w:val="006E2E70"/>
    <w:rsid w:val="006E3CA5"/>
    <w:rsid w:val="006E3DAB"/>
    <w:rsid w:val="006E4BCC"/>
    <w:rsid w:val="006E4FDF"/>
    <w:rsid w:val="006F0463"/>
    <w:rsid w:val="006F1857"/>
    <w:rsid w:val="006F2E1B"/>
    <w:rsid w:val="006F49B6"/>
    <w:rsid w:val="006F574E"/>
    <w:rsid w:val="006F6422"/>
    <w:rsid w:val="006F79CF"/>
    <w:rsid w:val="007017C7"/>
    <w:rsid w:val="00702424"/>
    <w:rsid w:val="007035D8"/>
    <w:rsid w:val="00704C4B"/>
    <w:rsid w:val="007051B2"/>
    <w:rsid w:val="0070547D"/>
    <w:rsid w:val="00705876"/>
    <w:rsid w:val="007068A8"/>
    <w:rsid w:val="00706B11"/>
    <w:rsid w:val="00710380"/>
    <w:rsid w:val="007107B9"/>
    <w:rsid w:val="00710E87"/>
    <w:rsid w:val="00712DEE"/>
    <w:rsid w:val="00714855"/>
    <w:rsid w:val="00715734"/>
    <w:rsid w:val="00716692"/>
    <w:rsid w:val="00717482"/>
    <w:rsid w:val="007176BE"/>
    <w:rsid w:val="007217F0"/>
    <w:rsid w:val="007225FB"/>
    <w:rsid w:val="0072396E"/>
    <w:rsid w:val="00723A6C"/>
    <w:rsid w:val="007250DB"/>
    <w:rsid w:val="0072716B"/>
    <w:rsid w:val="007308DC"/>
    <w:rsid w:val="00731862"/>
    <w:rsid w:val="00731CBB"/>
    <w:rsid w:val="0073215F"/>
    <w:rsid w:val="007322B7"/>
    <w:rsid w:val="007323F4"/>
    <w:rsid w:val="00732D37"/>
    <w:rsid w:val="00732E00"/>
    <w:rsid w:val="00733B9A"/>
    <w:rsid w:val="007350C5"/>
    <w:rsid w:val="007359BD"/>
    <w:rsid w:val="00736E1F"/>
    <w:rsid w:val="00736F26"/>
    <w:rsid w:val="0073723B"/>
    <w:rsid w:val="00737588"/>
    <w:rsid w:val="00740735"/>
    <w:rsid w:val="00741B18"/>
    <w:rsid w:val="00742571"/>
    <w:rsid w:val="007476F4"/>
    <w:rsid w:val="00747799"/>
    <w:rsid w:val="007513DE"/>
    <w:rsid w:val="007541AF"/>
    <w:rsid w:val="0075488C"/>
    <w:rsid w:val="00756921"/>
    <w:rsid w:val="00760643"/>
    <w:rsid w:val="007607DA"/>
    <w:rsid w:val="007623D2"/>
    <w:rsid w:val="00763017"/>
    <w:rsid w:val="00764D43"/>
    <w:rsid w:val="007664BA"/>
    <w:rsid w:val="007706BB"/>
    <w:rsid w:val="0077216A"/>
    <w:rsid w:val="00772EDD"/>
    <w:rsid w:val="00774F93"/>
    <w:rsid w:val="00780C91"/>
    <w:rsid w:val="00782B0E"/>
    <w:rsid w:val="007841B4"/>
    <w:rsid w:val="00784275"/>
    <w:rsid w:val="007902A7"/>
    <w:rsid w:val="0079101C"/>
    <w:rsid w:val="00791696"/>
    <w:rsid w:val="007916CE"/>
    <w:rsid w:val="007926D8"/>
    <w:rsid w:val="00792DE7"/>
    <w:rsid w:val="00794110"/>
    <w:rsid w:val="007943B5"/>
    <w:rsid w:val="007965EC"/>
    <w:rsid w:val="00796733"/>
    <w:rsid w:val="007967A2"/>
    <w:rsid w:val="00796FBE"/>
    <w:rsid w:val="007A0BC2"/>
    <w:rsid w:val="007B11AF"/>
    <w:rsid w:val="007B1463"/>
    <w:rsid w:val="007B278E"/>
    <w:rsid w:val="007B2A35"/>
    <w:rsid w:val="007B3383"/>
    <w:rsid w:val="007B3EA0"/>
    <w:rsid w:val="007B41F2"/>
    <w:rsid w:val="007B608F"/>
    <w:rsid w:val="007C0668"/>
    <w:rsid w:val="007C0984"/>
    <w:rsid w:val="007C2985"/>
    <w:rsid w:val="007C5641"/>
    <w:rsid w:val="007C5BC3"/>
    <w:rsid w:val="007C6484"/>
    <w:rsid w:val="007C6832"/>
    <w:rsid w:val="007D1BFB"/>
    <w:rsid w:val="007D2EC1"/>
    <w:rsid w:val="007D3FA8"/>
    <w:rsid w:val="007D4AFB"/>
    <w:rsid w:val="007D5D2D"/>
    <w:rsid w:val="007D6B05"/>
    <w:rsid w:val="007E009C"/>
    <w:rsid w:val="007E148B"/>
    <w:rsid w:val="007E266C"/>
    <w:rsid w:val="007E4CAF"/>
    <w:rsid w:val="007E51B9"/>
    <w:rsid w:val="007E7C6B"/>
    <w:rsid w:val="007F029A"/>
    <w:rsid w:val="007F073E"/>
    <w:rsid w:val="007F1B62"/>
    <w:rsid w:val="007F1D70"/>
    <w:rsid w:val="007F3D26"/>
    <w:rsid w:val="007F4A31"/>
    <w:rsid w:val="007F59BC"/>
    <w:rsid w:val="007F60DD"/>
    <w:rsid w:val="007F7102"/>
    <w:rsid w:val="007F7668"/>
    <w:rsid w:val="00801187"/>
    <w:rsid w:val="00803BC6"/>
    <w:rsid w:val="00804AC8"/>
    <w:rsid w:val="00804B41"/>
    <w:rsid w:val="008077EB"/>
    <w:rsid w:val="008100FA"/>
    <w:rsid w:val="00810E7B"/>
    <w:rsid w:val="008120DC"/>
    <w:rsid w:val="0081326E"/>
    <w:rsid w:val="00813ACB"/>
    <w:rsid w:val="008152FC"/>
    <w:rsid w:val="00815A2C"/>
    <w:rsid w:val="00816866"/>
    <w:rsid w:val="00817879"/>
    <w:rsid w:val="00821524"/>
    <w:rsid w:val="0082234E"/>
    <w:rsid w:val="00824AF3"/>
    <w:rsid w:val="00824B0A"/>
    <w:rsid w:val="00825896"/>
    <w:rsid w:val="00826004"/>
    <w:rsid w:val="008262F6"/>
    <w:rsid w:val="008275CC"/>
    <w:rsid w:val="00830029"/>
    <w:rsid w:val="0083289B"/>
    <w:rsid w:val="0083377B"/>
    <w:rsid w:val="00834882"/>
    <w:rsid w:val="0083503B"/>
    <w:rsid w:val="00835906"/>
    <w:rsid w:val="008359E3"/>
    <w:rsid w:val="00836849"/>
    <w:rsid w:val="0083782D"/>
    <w:rsid w:val="00841A1C"/>
    <w:rsid w:val="008424E2"/>
    <w:rsid w:val="008438D6"/>
    <w:rsid w:val="00843B59"/>
    <w:rsid w:val="00844E6E"/>
    <w:rsid w:val="00845B2D"/>
    <w:rsid w:val="008464E0"/>
    <w:rsid w:val="008475F8"/>
    <w:rsid w:val="008527B2"/>
    <w:rsid w:val="00855332"/>
    <w:rsid w:val="008560CA"/>
    <w:rsid w:val="008562E0"/>
    <w:rsid w:val="00856984"/>
    <w:rsid w:val="008573AF"/>
    <w:rsid w:val="00857C65"/>
    <w:rsid w:val="00857CD0"/>
    <w:rsid w:val="00860011"/>
    <w:rsid w:val="00860260"/>
    <w:rsid w:val="00860FDB"/>
    <w:rsid w:val="00861EBD"/>
    <w:rsid w:val="008624FE"/>
    <w:rsid w:val="00862703"/>
    <w:rsid w:val="0086643A"/>
    <w:rsid w:val="00866799"/>
    <w:rsid w:val="008667EA"/>
    <w:rsid w:val="0087035E"/>
    <w:rsid w:val="00870BD2"/>
    <w:rsid w:val="00870C86"/>
    <w:rsid w:val="0087165C"/>
    <w:rsid w:val="0087217B"/>
    <w:rsid w:val="00875D8F"/>
    <w:rsid w:val="00876008"/>
    <w:rsid w:val="008805F3"/>
    <w:rsid w:val="008809C0"/>
    <w:rsid w:val="0088103E"/>
    <w:rsid w:val="00882412"/>
    <w:rsid w:val="00882EDA"/>
    <w:rsid w:val="00883EA8"/>
    <w:rsid w:val="008843BC"/>
    <w:rsid w:val="008872D7"/>
    <w:rsid w:val="00890F97"/>
    <w:rsid w:val="00893629"/>
    <w:rsid w:val="00895F23"/>
    <w:rsid w:val="008A143F"/>
    <w:rsid w:val="008A4513"/>
    <w:rsid w:val="008A47FB"/>
    <w:rsid w:val="008A49FA"/>
    <w:rsid w:val="008A56D8"/>
    <w:rsid w:val="008A624E"/>
    <w:rsid w:val="008A75ED"/>
    <w:rsid w:val="008B2B13"/>
    <w:rsid w:val="008B5CC5"/>
    <w:rsid w:val="008B69C7"/>
    <w:rsid w:val="008B78DC"/>
    <w:rsid w:val="008C0F33"/>
    <w:rsid w:val="008C1019"/>
    <w:rsid w:val="008C1295"/>
    <w:rsid w:val="008C20EC"/>
    <w:rsid w:val="008C3591"/>
    <w:rsid w:val="008C4810"/>
    <w:rsid w:val="008C53A2"/>
    <w:rsid w:val="008D091D"/>
    <w:rsid w:val="008D1042"/>
    <w:rsid w:val="008D19C4"/>
    <w:rsid w:val="008D292B"/>
    <w:rsid w:val="008D2C84"/>
    <w:rsid w:val="008D3D4A"/>
    <w:rsid w:val="008D41B2"/>
    <w:rsid w:val="008D470D"/>
    <w:rsid w:val="008D4C13"/>
    <w:rsid w:val="008D650E"/>
    <w:rsid w:val="008D7AFB"/>
    <w:rsid w:val="008E0951"/>
    <w:rsid w:val="008E0F22"/>
    <w:rsid w:val="008E16E3"/>
    <w:rsid w:val="008E2129"/>
    <w:rsid w:val="008E49CD"/>
    <w:rsid w:val="008E509D"/>
    <w:rsid w:val="008E65F1"/>
    <w:rsid w:val="008E71FD"/>
    <w:rsid w:val="008F120E"/>
    <w:rsid w:val="008F1BFD"/>
    <w:rsid w:val="008F51EB"/>
    <w:rsid w:val="008F70DB"/>
    <w:rsid w:val="008F7A9E"/>
    <w:rsid w:val="00900B13"/>
    <w:rsid w:val="00900F80"/>
    <w:rsid w:val="0090187F"/>
    <w:rsid w:val="00902562"/>
    <w:rsid w:val="00907AB0"/>
    <w:rsid w:val="00912885"/>
    <w:rsid w:val="009146FE"/>
    <w:rsid w:val="00914CAA"/>
    <w:rsid w:val="009202BA"/>
    <w:rsid w:val="009204F7"/>
    <w:rsid w:val="00920EEF"/>
    <w:rsid w:val="0092254F"/>
    <w:rsid w:val="009238DC"/>
    <w:rsid w:val="00925A81"/>
    <w:rsid w:val="00925C49"/>
    <w:rsid w:val="00927936"/>
    <w:rsid w:val="00930A9B"/>
    <w:rsid w:val="00930BAD"/>
    <w:rsid w:val="00931679"/>
    <w:rsid w:val="00932E22"/>
    <w:rsid w:val="009334C4"/>
    <w:rsid w:val="00934D3A"/>
    <w:rsid w:val="00937176"/>
    <w:rsid w:val="00937B82"/>
    <w:rsid w:val="00937CED"/>
    <w:rsid w:val="00940DC8"/>
    <w:rsid w:val="00941B64"/>
    <w:rsid w:val="009448CC"/>
    <w:rsid w:val="0095091C"/>
    <w:rsid w:val="00950AA0"/>
    <w:rsid w:val="0095155B"/>
    <w:rsid w:val="009515BD"/>
    <w:rsid w:val="00951EC6"/>
    <w:rsid w:val="00953B3F"/>
    <w:rsid w:val="00955565"/>
    <w:rsid w:val="00955FCA"/>
    <w:rsid w:val="00957300"/>
    <w:rsid w:val="00957E3D"/>
    <w:rsid w:val="00961051"/>
    <w:rsid w:val="00963AA7"/>
    <w:rsid w:val="00964AD4"/>
    <w:rsid w:val="00964D5E"/>
    <w:rsid w:val="0096680F"/>
    <w:rsid w:val="0096744F"/>
    <w:rsid w:val="00971D7F"/>
    <w:rsid w:val="0097313E"/>
    <w:rsid w:val="009749C3"/>
    <w:rsid w:val="00975594"/>
    <w:rsid w:val="00975DCF"/>
    <w:rsid w:val="00976250"/>
    <w:rsid w:val="009766F4"/>
    <w:rsid w:val="00980261"/>
    <w:rsid w:val="00980A99"/>
    <w:rsid w:val="009825E3"/>
    <w:rsid w:val="00982DAA"/>
    <w:rsid w:val="00982DAE"/>
    <w:rsid w:val="00982F0A"/>
    <w:rsid w:val="009839F3"/>
    <w:rsid w:val="0098509E"/>
    <w:rsid w:val="009851ED"/>
    <w:rsid w:val="009857AA"/>
    <w:rsid w:val="00986FC7"/>
    <w:rsid w:val="00987DDD"/>
    <w:rsid w:val="009906BB"/>
    <w:rsid w:val="00990C4D"/>
    <w:rsid w:val="009919C2"/>
    <w:rsid w:val="009934F9"/>
    <w:rsid w:val="00995198"/>
    <w:rsid w:val="009963AA"/>
    <w:rsid w:val="00996D4E"/>
    <w:rsid w:val="00997C3F"/>
    <w:rsid w:val="00997CEA"/>
    <w:rsid w:val="00997E77"/>
    <w:rsid w:val="009A0939"/>
    <w:rsid w:val="009A0D1D"/>
    <w:rsid w:val="009A1BB3"/>
    <w:rsid w:val="009A1FA6"/>
    <w:rsid w:val="009A5786"/>
    <w:rsid w:val="009A6AD7"/>
    <w:rsid w:val="009A6CC7"/>
    <w:rsid w:val="009A6E28"/>
    <w:rsid w:val="009A734E"/>
    <w:rsid w:val="009B046E"/>
    <w:rsid w:val="009B0F06"/>
    <w:rsid w:val="009B2468"/>
    <w:rsid w:val="009B2F2C"/>
    <w:rsid w:val="009B438D"/>
    <w:rsid w:val="009B45DF"/>
    <w:rsid w:val="009C2921"/>
    <w:rsid w:val="009C336C"/>
    <w:rsid w:val="009C3391"/>
    <w:rsid w:val="009C60DE"/>
    <w:rsid w:val="009C61D9"/>
    <w:rsid w:val="009C6B6E"/>
    <w:rsid w:val="009C7150"/>
    <w:rsid w:val="009D02A2"/>
    <w:rsid w:val="009D0669"/>
    <w:rsid w:val="009D0A2C"/>
    <w:rsid w:val="009D1B61"/>
    <w:rsid w:val="009D2A23"/>
    <w:rsid w:val="009D2DAF"/>
    <w:rsid w:val="009D3314"/>
    <w:rsid w:val="009D4F66"/>
    <w:rsid w:val="009D5D36"/>
    <w:rsid w:val="009D5DEE"/>
    <w:rsid w:val="009D7168"/>
    <w:rsid w:val="009D775B"/>
    <w:rsid w:val="009E0261"/>
    <w:rsid w:val="009E0282"/>
    <w:rsid w:val="009E04DE"/>
    <w:rsid w:val="009E0594"/>
    <w:rsid w:val="009E250B"/>
    <w:rsid w:val="009E387C"/>
    <w:rsid w:val="009E3C33"/>
    <w:rsid w:val="009E3CE6"/>
    <w:rsid w:val="009E4841"/>
    <w:rsid w:val="009E6871"/>
    <w:rsid w:val="009E6B86"/>
    <w:rsid w:val="009E6C8A"/>
    <w:rsid w:val="009F126E"/>
    <w:rsid w:val="009F2B34"/>
    <w:rsid w:val="009F2BBE"/>
    <w:rsid w:val="009F2F45"/>
    <w:rsid w:val="009F4905"/>
    <w:rsid w:val="009F4DF7"/>
    <w:rsid w:val="009F4FC6"/>
    <w:rsid w:val="009F4FE5"/>
    <w:rsid w:val="009F6EE0"/>
    <w:rsid w:val="009F7CDA"/>
    <w:rsid w:val="00A0003C"/>
    <w:rsid w:val="00A002C0"/>
    <w:rsid w:val="00A016C1"/>
    <w:rsid w:val="00A0323B"/>
    <w:rsid w:val="00A07A7F"/>
    <w:rsid w:val="00A07EAA"/>
    <w:rsid w:val="00A10A15"/>
    <w:rsid w:val="00A10EE0"/>
    <w:rsid w:val="00A11329"/>
    <w:rsid w:val="00A125CB"/>
    <w:rsid w:val="00A12654"/>
    <w:rsid w:val="00A12697"/>
    <w:rsid w:val="00A15A97"/>
    <w:rsid w:val="00A15D9F"/>
    <w:rsid w:val="00A1643D"/>
    <w:rsid w:val="00A212BB"/>
    <w:rsid w:val="00A213E0"/>
    <w:rsid w:val="00A21573"/>
    <w:rsid w:val="00A218C5"/>
    <w:rsid w:val="00A21C71"/>
    <w:rsid w:val="00A22450"/>
    <w:rsid w:val="00A24966"/>
    <w:rsid w:val="00A249C0"/>
    <w:rsid w:val="00A2750B"/>
    <w:rsid w:val="00A30DB3"/>
    <w:rsid w:val="00A31745"/>
    <w:rsid w:val="00A31BB0"/>
    <w:rsid w:val="00A32499"/>
    <w:rsid w:val="00A326BF"/>
    <w:rsid w:val="00A3369F"/>
    <w:rsid w:val="00A344A6"/>
    <w:rsid w:val="00A34FD5"/>
    <w:rsid w:val="00A35913"/>
    <w:rsid w:val="00A36152"/>
    <w:rsid w:val="00A363A1"/>
    <w:rsid w:val="00A365D0"/>
    <w:rsid w:val="00A36BB4"/>
    <w:rsid w:val="00A4393E"/>
    <w:rsid w:val="00A44435"/>
    <w:rsid w:val="00A446AA"/>
    <w:rsid w:val="00A44C95"/>
    <w:rsid w:val="00A45E49"/>
    <w:rsid w:val="00A46D20"/>
    <w:rsid w:val="00A47544"/>
    <w:rsid w:val="00A47572"/>
    <w:rsid w:val="00A476CC"/>
    <w:rsid w:val="00A52F91"/>
    <w:rsid w:val="00A53AD2"/>
    <w:rsid w:val="00A546C2"/>
    <w:rsid w:val="00A54FD7"/>
    <w:rsid w:val="00A55D2F"/>
    <w:rsid w:val="00A61F67"/>
    <w:rsid w:val="00A66D89"/>
    <w:rsid w:val="00A72479"/>
    <w:rsid w:val="00A72D81"/>
    <w:rsid w:val="00A73130"/>
    <w:rsid w:val="00A734A8"/>
    <w:rsid w:val="00A741EC"/>
    <w:rsid w:val="00A74753"/>
    <w:rsid w:val="00A75555"/>
    <w:rsid w:val="00A75E12"/>
    <w:rsid w:val="00A762A3"/>
    <w:rsid w:val="00A76D43"/>
    <w:rsid w:val="00A77C94"/>
    <w:rsid w:val="00A80E42"/>
    <w:rsid w:val="00A82B43"/>
    <w:rsid w:val="00A83AEC"/>
    <w:rsid w:val="00A84AA5"/>
    <w:rsid w:val="00A8504D"/>
    <w:rsid w:val="00A85457"/>
    <w:rsid w:val="00A85E85"/>
    <w:rsid w:val="00A87FDE"/>
    <w:rsid w:val="00A90252"/>
    <w:rsid w:val="00A90797"/>
    <w:rsid w:val="00A9353F"/>
    <w:rsid w:val="00A93FB5"/>
    <w:rsid w:val="00A9662C"/>
    <w:rsid w:val="00AA2730"/>
    <w:rsid w:val="00AA4346"/>
    <w:rsid w:val="00AA66CD"/>
    <w:rsid w:val="00AA7D73"/>
    <w:rsid w:val="00AB182C"/>
    <w:rsid w:val="00AB3773"/>
    <w:rsid w:val="00AB6A54"/>
    <w:rsid w:val="00AB6DBB"/>
    <w:rsid w:val="00AB6FE7"/>
    <w:rsid w:val="00AC0F50"/>
    <w:rsid w:val="00AC201D"/>
    <w:rsid w:val="00AC45A0"/>
    <w:rsid w:val="00AC4EEE"/>
    <w:rsid w:val="00AC53DA"/>
    <w:rsid w:val="00AC59F9"/>
    <w:rsid w:val="00AC5CAE"/>
    <w:rsid w:val="00AD14A5"/>
    <w:rsid w:val="00AD2147"/>
    <w:rsid w:val="00AD38C1"/>
    <w:rsid w:val="00AD7F91"/>
    <w:rsid w:val="00AE5142"/>
    <w:rsid w:val="00AE5DA5"/>
    <w:rsid w:val="00AF1A68"/>
    <w:rsid w:val="00AF23D5"/>
    <w:rsid w:val="00AF3043"/>
    <w:rsid w:val="00AF42C9"/>
    <w:rsid w:val="00AF4E1D"/>
    <w:rsid w:val="00AF66E4"/>
    <w:rsid w:val="00B0030C"/>
    <w:rsid w:val="00B00BA3"/>
    <w:rsid w:val="00B02E3F"/>
    <w:rsid w:val="00B0359B"/>
    <w:rsid w:val="00B03885"/>
    <w:rsid w:val="00B03A0B"/>
    <w:rsid w:val="00B05DB1"/>
    <w:rsid w:val="00B06CFC"/>
    <w:rsid w:val="00B07920"/>
    <w:rsid w:val="00B10579"/>
    <w:rsid w:val="00B1286D"/>
    <w:rsid w:val="00B129BD"/>
    <w:rsid w:val="00B145D2"/>
    <w:rsid w:val="00B14E53"/>
    <w:rsid w:val="00B15372"/>
    <w:rsid w:val="00B163C7"/>
    <w:rsid w:val="00B2026E"/>
    <w:rsid w:val="00B20521"/>
    <w:rsid w:val="00B208CB"/>
    <w:rsid w:val="00B20A89"/>
    <w:rsid w:val="00B20E9D"/>
    <w:rsid w:val="00B21283"/>
    <w:rsid w:val="00B21FD1"/>
    <w:rsid w:val="00B22415"/>
    <w:rsid w:val="00B24ED2"/>
    <w:rsid w:val="00B272C4"/>
    <w:rsid w:val="00B30EEA"/>
    <w:rsid w:val="00B32A34"/>
    <w:rsid w:val="00B32D87"/>
    <w:rsid w:val="00B37CCC"/>
    <w:rsid w:val="00B40C29"/>
    <w:rsid w:val="00B40D56"/>
    <w:rsid w:val="00B41DBE"/>
    <w:rsid w:val="00B43BA6"/>
    <w:rsid w:val="00B44BBA"/>
    <w:rsid w:val="00B46408"/>
    <w:rsid w:val="00B466D5"/>
    <w:rsid w:val="00B46C42"/>
    <w:rsid w:val="00B47767"/>
    <w:rsid w:val="00B47815"/>
    <w:rsid w:val="00B47D8A"/>
    <w:rsid w:val="00B47EA8"/>
    <w:rsid w:val="00B50C29"/>
    <w:rsid w:val="00B50F3F"/>
    <w:rsid w:val="00B51400"/>
    <w:rsid w:val="00B524E4"/>
    <w:rsid w:val="00B53113"/>
    <w:rsid w:val="00B53F36"/>
    <w:rsid w:val="00B54BBA"/>
    <w:rsid w:val="00B54EFC"/>
    <w:rsid w:val="00B56B58"/>
    <w:rsid w:val="00B5754A"/>
    <w:rsid w:val="00B604C4"/>
    <w:rsid w:val="00B6129D"/>
    <w:rsid w:val="00B6188C"/>
    <w:rsid w:val="00B628D2"/>
    <w:rsid w:val="00B62AB6"/>
    <w:rsid w:val="00B62CEA"/>
    <w:rsid w:val="00B64644"/>
    <w:rsid w:val="00B66255"/>
    <w:rsid w:val="00B67EB4"/>
    <w:rsid w:val="00B713C4"/>
    <w:rsid w:val="00B72977"/>
    <w:rsid w:val="00B7311C"/>
    <w:rsid w:val="00B734E0"/>
    <w:rsid w:val="00B744E9"/>
    <w:rsid w:val="00B7467A"/>
    <w:rsid w:val="00B7529F"/>
    <w:rsid w:val="00B75759"/>
    <w:rsid w:val="00B75916"/>
    <w:rsid w:val="00B77E63"/>
    <w:rsid w:val="00B820F8"/>
    <w:rsid w:val="00B8387B"/>
    <w:rsid w:val="00B8398E"/>
    <w:rsid w:val="00B83F6A"/>
    <w:rsid w:val="00B84147"/>
    <w:rsid w:val="00B843E6"/>
    <w:rsid w:val="00B84B7A"/>
    <w:rsid w:val="00B85175"/>
    <w:rsid w:val="00B85508"/>
    <w:rsid w:val="00B87D06"/>
    <w:rsid w:val="00B90333"/>
    <w:rsid w:val="00B9156C"/>
    <w:rsid w:val="00B91B60"/>
    <w:rsid w:val="00B91D54"/>
    <w:rsid w:val="00B91F97"/>
    <w:rsid w:val="00B939F8"/>
    <w:rsid w:val="00B97B6E"/>
    <w:rsid w:val="00BA093B"/>
    <w:rsid w:val="00BA0AC9"/>
    <w:rsid w:val="00BA1356"/>
    <w:rsid w:val="00BA18DD"/>
    <w:rsid w:val="00BA2110"/>
    <w:rsid w:val="00BA2BD6"/>
    <w:rsid w:val="00BA6974"/>
    <w:rsid w:val="00BA6EB7"/>
    <w:rsid w:val="00BA7370"/>
    <w:rsid w:val="00BA74B6"/>
    <w:rsid w:val="00BB0385"/>
    <w:rsid w:val="00BB0B76"/>
    <w:rsid w:val="00BB25C6"/>
    <w:rsid w:val="00BB2EDC"/>
    <w:rsid w:val="00BB411D"/>
    <w:rsid w:val="00BB5EFE"/>
    <w:rsid w:val="00BB6649"/>
    <w:rsid w:val="00BB733D"/>
    <w:rsid w:val="00BB73D8"/>
    <w:rsid w:val="00BC1A5C"/>
    <w:rsid w:val="00BC1CE6"/>
    <w:rsid w:val="00BC2840"/>
    <w:rsid w:val="00BC482A"/>
    <w:rsid w:val="00BC4C21"/>
    <w:rsid w:val="00BC6A34"/>
    <w:rsid w:val="00BC6D9F"/>
    <w:rsid w:val="00BD1797"/>
    <w:rsid w:val="00BD20B6"/>
    <w:rsid w:val="00BD4608"/>
    <w:rsid w:val="00BD48C2"/>
    <w:rsid w:val="00BD4CB6"/>
    <w:rsid w:val="00BD5A44"/>
    <w:rsid w:val="00BD7BD6"/>
    <w:rsid w:val="00BE1E11"/>
    <w:rsid w:val="00BE2F7C"/>
    <w:rsid w:val="00BE3F49"/>
    <w:rsid w:val="00BE4A40"/>
    <w:rsid w:val="00BE4AA1"/>
    <w:rsid w:val="00BE520E"/>
    <w:rsid w:val="00BE6F17"/>
    <w:rsid w:val="00BE71CE"/>
    <w:rsid w:val="00BF16F1"/>
    <w:rsid w:val="00BF3B4C"/>
    <w:rsid w:val="00BF685C"/>
    <w:rsid w:val="00C001D5"/>
    <w:rsid w:val="00C016BA"/>
    <w:rsid w:val="00C024AD"/>
    <w:rsid w:val="00C033B3"/>
    <w:rsid w:val="00C03807"/>
    <w:rsid w:val="00C03A84"/>
    <w:rsid w:val="00C03A8B"/>
    <w:rsid w:val="00C0453E"/>
    <w:rsid w:val="00C05133"/>
    <w:rsid w:val="00C051EA"/>
    <w:rsid w:val="00C0574C"/>
    <w:rsid w:val="00C117F8"/>
    <w:rsid w:val="00C1193D"/>
    <w:rsid w:val="00C125DE"/>
    <w:rsid w:val="00C165D0"/>
    <w:rsid w:val="00C1690E"/>
    <w:rsid w:val="00C17119"/>
    <w:rsid w:val="00C23FE6"/>
    <w:rsid w:val="00C25EC1"/>
    <w:rsid w:val="00C26D1C"/>
    <w:rsid w:val="00C27448"/>
    <w:rsid w:val="00C27578"/>
    <w:rsid w:val="00C31778"/>
    <w:rsid w:val="00C31CFF"/>
    <w:rsid w:val="00C33202"/>
    <w:rsid w:val="00C350CF"/>
    <w:rsid w:val="00C353BD"/>
    <w:rsid w:val="00C35452"/>
    <w:rsid w:val="00C36867"/>
    <w:rsid w:val="00C36EF0"/>
    <w:rsid w:val="00C3730E"/>
    <w:rsid w:val="00C37B50"/>
    <w:rsid w:val="00C40AD6"/>
    <w:rsid w:val="00C4389A"/>
    <w:rsid w:val="00C462DD"/>
    <w:rsid w:val="00C4796D"/>
    <w:rsid w:val="00C47CAE"/>
    <w:rsid w:val="00C50795"/>
    <w:rsid w:val="00C51199"/>
    <w:rsid w:val="00C522C0"/>
    <w:rsid w:val="00C5462A"/>
    <w:rsid w:val="00C551D6"/>
    <w:rsid w:val="00C57E87"/>
    <w:rsid w:val="00C60DD9"/>
    <w:rsid w:val="00C6129A"/>
    <w:rsid w:val="00C6135D"/>
    <w:rsid w:val="00C6173E"/>
    <w:rsid w:val="00C61838"/>
    <w:rsid w:val="00C63C73"/>
    <w:rsid w:val="00C6415E"/>
    <w:rsid w:val="00C643FD"/>
    <w:rsid w:val="00C64F6E"/>
    <w:rsid w:val="00C65BCB"/>
    <w:rsid w:val="00C65F29"/>
    <w:rsid w:val="00C6794D"/>
    <w:rsid w:val="00C67CBE"/>
    <w:rsid w:val="00C67F9C"/>
    <w:rsid w:val="00C70EF5"/>
    <w:rsid w:val="00C71323"/>
    <w:rsid w:val="00C714F9"/>
    <w:rsid w:val="00C7270D"/>
    <w:rsid w:val="00C73804"/>
    <w:rsid w:val="00C744A5"/>
    <w:rsid w:val="00C75AAF"/>
    <w:rsid w:val="00C76DC8"/>
    <w:rsid w:val="00C77492"/>
    <w:rsid w:val="00C84483"/>
    <w:rsid w:val="00C85965"/>
    <w:rsid w:val="00C868DF"/>
    <w:rsid w:val="00C86E04"/>
    <w:rsid w:val="00C8703F"/>
    <w:rsid w:val="00C871FB"/>
    <w:rsid w:val="00C8794C"/>
    <w:rsid w:val="00C90410"/>
    <w:rsid w:val="00C90D58"/>
    <w:rsid w:val="00C91765"/>
    <w:rsid w:val="00C919C8"/>
    <w:rsid w:val="00C91C19"/>
    <w:rsid w:val="00C931ED"/>
    <w:rsid w:val="00C9330E"/>
    <w:rsid w:val="00C93AFF"/>
    <w:rsid w:val="00C94358"/>
    <w:rsid w:val="00C95348"/>
    <w:rsid w:val="00C95640"/>
    <w:rsid w:val="00C96065"/>
    <w:rsid w:val="00C973CC"/>
    <w:rsid w:val="00C97550"/>
    <w:rsid w:val="00CA0093"/>
    <w:rsid w:val="00CA0BD2"/>
    <w:rsid w:val="00CA15D4"/>
    <w:rsid w:val="00CA243A"/>
    <w:rsid w:val="00CA24A5"/>
    <w:rsid w:val="00CA50E3"/>
    <w:rsid w:val="00CA5506"/>
    <w:rsid w:val="00CA63BD"/>
    <w:rsid w:val="00CA79AF"/>
    <w:rsid w:val="00CB02DF"/>
    <w:rsid w:val="00CB0FB8"/>
    <w:rsid w:val="00CB4013"/>
    <w:rsid w:val="00CC163C"/>
    <w:rsid w:val="00CC2CB8"/>
    <w:rsid w:val="00CC48C2"/>
    <w:rsid w:val="00CC540D"/>
    <w:rsid w:val="00CC5A37"/>
    <w:rsid w:val="00CC64F1"/>
    <w:rsid w:val="00CC671F"/>
    <w:rsid w:val="00CC6996"/>
    <w:rsid w:val="00CC6AE6"/>
    <w:rsid w:val="00CC7BD0"/>
    <w:rsid w:val="00CD082C"/>
    <w:rsid w:val="00CD148F"/>
    <w:rsid w:val="00CD177E"/>
    <w:rsid w:val="00CD19BB"/>
    <w:rsid w:val="00CD1CFB"/>
    <w:rsid w:val="00CD2E31"/>
    <w:rsid w:val="00CD3687"/>
    <w:rsid w:val="00CD5312"/>
    <w:rsid w:val="00CD57B9"/>
    <w:rsid w:val="00CD5EA2"/>
    <w:rsid w:val="00CD751F"/>
    <w:rsid w:val="00CE0655"/>
    <w:rsid w:val="00CE0AEF"/>
    <w:rsid w:val="00CF2A04"/>
    <w:rsid w:val="00CF3A31"/>
    <w:rsid w:val="00CF4AFF"/>
    <w:rsid w:val="00CF5F3F"/>
    <w:rsid w:val="00CF672F"/>
    <w:rsid w:val="00CF6772"/>
    <w:rsid w:val="00D00130"/>
    <w:rsid w:val="00D0069E"/>
    <w:rsid w:val="00D00DC9"/>
    <w:rsid w:val="00D013CF"/>
    <w:rsid w:val="00D01F85"/>
    <w:rsid w:val="00D02275"/>
    <w:rsid w:val="00D02E6F"/>
    <w:rsid w:val="00D03E33"/>
    <w:rsid w:val="00D0432A"/>
    <w:rsid w:val="00D04A7A"/>
    <w:rsid w:val="00D07811"/>
    <w:rsid w:val="00D078E0"/>
    <w:rsid w:val="00D10386"/>
    <w:rsid w:val="00D10D0B"/>
    <w:rsid w:val="00D10FF0"/>
    <w:rsid w:val="00D116BB"/>
    <w:rsid w:val="00D11834"/>
    <w:rsid w:val="00D11851"/>
    <w:rsid w:val="00D127F8"/>
    <w:rsid w:val="00D134FD"/>
    <w:rsid w:val="00D15381"/>
    <w:rsid w:val="00D15AC3"/>
    <w:rsid w:val="00D15F09"/>
    <w:rsid w:val="00D15F20"/>
    <w:rsid w:val="00D16D84"/>
    <w:rsid w:val="00D17181"/>
    <w:rsid w:val="00D178B9"/>
    <w:rsid w:val="00D21BFD"/>
    <w:rsid w:val="00D239B9"/>
    <w:rsid w:val="00D2517E"/>
    <w:rsid w:val="00D25E5A"/>
    <w:rsid w:val="00D271C5"/>
    <w:rsid w:val="00D30079"/>
    <w:rsid w:val="00D33C6D"/>
    <w:rsid w:val="00D34593"/>
    <w:rsid w:val="00D347E1"/>
    <w:rsid w:val="00D351E9"/>
    <w:rsid w:val="00D3561F"/>
    <w:rsid w:val="00D40B65"/>
    <w:rsid w:val="00D41AD7"/>
    <w:rsid w:val="00D464B0"/>
    <w:rsid w:val="00D46869"/>
    <w:rsid w:val="00D4741F"/>
    <w:rsid w:val="00D52DA9"/>
    <w:rsid w:val="00D5314B"/>
    <w:rsid w:val="00D534F5"/>
    <w:rsid w:val="00D53534"/>
    <w:rsid w:val="00D53638"/>
    <w:rsid w:val="00D5388A"/>
    <w:rsid w:val="00D54876"/>
    <w:rsid w:val="00D54F6A"/>
    <w:rsid w:val="00D5656C"/>
    <w:rsid w:val="00D57D43"/>
    <w:rsid w:val="00D602DD"/>
    <w:rsid w:val="00D61746"/>
    <w:rsid w:val="00D621C0"/>
    <w:rsid w:val="00D6325B"/>
    <w:rsid w:val="00D63ECF"/>
    <w:rsid w:val="00D6512F"/>
    <w:rsid w:val="00D65626"/>
    <w:rsid w:val="00D67B09"/>
    <w:rsid w:val="00D7143A"/>
    <w:rsid w:val="00D71A86"/>
    <w:rsid w:val="00D72981"/>
    <w:rsid w:val="00D73D44"/>
    <w:rsid w:val="00D747D0"/>
    <w:rsid w:val="00D75BB8"/>
    <w:rsid w:val="00D75DB3"/>
    <w:rsid w:val="00D75FFB"/>
    <w:rsid w:val="00D76676"/>
    <w:rsid w:val="00D80268"/>
    <w:rsid w:val="00D80B98"/>
    <w:rsid w:val="00D815F6"/>
    <w:rsid w:val="00D83897"/>
    <w:rsid w:val="00D85098"/>
    <w:rsid w:val="00D86F16"/>
    <w:rsid w:val="00D87A46"/>
    <w:rsid w:val="00D91329"/>
    <w:rsid w:val="00D91DD5"/>
    <w:rsid w:val="00D929FE"/>
    <w:rsid w:val="00D92D24"/>
    <w:rsid w:val="00D93084"/>
    <w:rsid w:val="00D93AE6"/>
    <w:rsid w:val="00D93BC1"/>
    <w:rsid w:val="00D94005"/>
    <w:rsid w:val="00D94365"/>
    <w:rsid w:val="00D9493A"/>
    <w:rsid w:val="00D96670"/>
    <w:rsid w:val="00D97909"/>
    <w:rsid w:val="00DA1EA3"/>
    <w:rsid w:val="00DA3A12"/>
    <w:rsid w:val="00DA73C5"/>
    <w:rsid w:val="00DA7925"/>
    <w:rsid w:val="00DA79E0"/>
    <w:rsid w:val="00DB083B"/>
    <w:rsid w:val="00DB0BA4"/>
    <w:rsid w:val="00DB282D"/>
    <w:rsid w:val="00DB2CEE"/>
    <w:rsid w:val="00DB35F2"/>
    <w:rsid w:val="00DB48CC"/>
    <w:rsid w:val="00DB491A"/>
    <w:rsid w:val="00DB4F42"/>
    <w:rsid w:val="00DB5EA5"/>
    <w:rsid w:val="00DB66AA"/>
    <w:rsid w:val="00DB6774"/>
    <w:rsid w:val="00DB755B"/>
    <w:rsid w:val="00DC0C04"/>
    <w:rsid w:val="00DC0C3A"/>
    <w:rsid w:val="00DC126D"/>
    <w:rsid w:val="00DC14CF"/>
    <w:rsid w:val="00DC19F1"/>
    <w:rsid w:val="00DC25AF"/>
    <w:rsid w:val="00DC27BA"/>
    <w:rsid w:val="00DC2AB3"/>
    <w:rsid w:val="00DC4A9C"/>
    <w:rsid w:val="00DC5521"/>
    <w:rsid w:val="00DC6A43"/>
    <w:rsid w:val="00DC72CD"/>
    <w:rsid w:val="00DC74F4"/>
    <w:rsid w:val="00DC7778"/>
    <w:rsid w:val="00DC7989"/>
    <w:rsid w:val="00DD076F"/>
    <w:rsid w:val="00DD11D4"/>
    <w:rsid w:val="00DD351A"/>
    <w:rsid w:val="00DD4275"/>
    <w:rsid w:val="00DD4691"/>
    <w:rsid w:val="00DD6711"/>
    <w:rsid w:val="00DD7381"/>
    <w:rsid w:val="00DE05E3"/>
    <w:rsid w:val="00DE0E96"/>
    <w:rsid w:val="00DE55C1"/>
    <w:rsid w:val="00DE5A84"/>
    <w:rsid w:val="00DE7180"/>
    <w:rsid w:val="00DE7D9E"/>
    <w:rsid w:val="00DF196D"/>
    <w:rsid w:val="00DF22A0"/>
    <w:rsid w:val="00DF27B2"/>
    <w:rsid w:val="00DF5EE5"/>
    <w:rsid w:val="00DF645C"/>
    <w:rsid w:val="00DF6F5C"/>
    <w:rsid w:val="00DF6F95"/>
    <w:rsid w:val="00DF7B38"/>
    <w:rsid w:val="00E01003"/>
    <w:rsid w:val="00E01E2D"/>
    <w:rsid w:val="00E0248F"/>
    <w:rsid w:val="00E0378D"/>
    <w:rsid w:val="00E03B91"/>
    <w:rsid w:val="00E0423A"/>
    <w:rsid w:val="00E059D8"/>
    <w:rsid w:val="00E06B73"/>
    <w:rsid w:val="00E1019E"/>
    <w:rsid w:val="00E10FFF"/>
    <w:rsid w:val="00E11BC1"/>
    <w:rsid w:val="00E12977"/>
    <w:rsid w:val="00E12A63"/>
    <w:rsid w:val="00E134B7"/>
    <w:rsid w:val="00E14D7F"/>
    <w:rsid w:val="00E159A8"/>
    <w:rsid w:val="00E15BD1"/>
    <w:rsid w:val="00E16611"/>
    <w:rsid w:val="00E17544"/>
    <w:rsid w:val="00E178E3"/>
    <w:rsid w:val="00E21B53"/>
    <w:rsid w:val="00E21D60"/>
    <w:rsid w:val="00E2236E"/>
    <w:rsid w:val="00E2266C"/>
    <w:rsid w:val="00E22B95"/>
    <w:rsid w:val="00E26C31"/>
    <w:rsid w:val="00E30706"/>
    <w:rsid w:val="00E30C31"/>
    <w:rsid w:val="00E31AF3"/>
    <w:rsid w:val="00E32976"/>
    <w:rsid w:val="00E34519"/>
    <w:rsid w:val="00E35696"/>
    <w:rsid w:val="00E372D8"/>
    <w:rsid w:val="00E37CDD"/>
    <w:rsid w:val="00E40952"/>
    <w:rsid w:val="00E4148A"/>
    <w:rsid w:val="00E41A68"/>
    <w:rsid w:val="00E41AA8"/>
    <w:rsid w:val="00E41E6D"/>
    <w:rsid w:val="00E42633"/>
    <w:rsid w:val="00E45203"/>
    <w:rsid w:val="00E46032"/>
    <w:rsid w:val="00E46430"/>
    <w:rsid w:val="00E47784"/>
    <w:rsid w:val="00E479EC"/>
    <w:rsid w:val="00E47E6A"/>
    <w:rsid w:val="00E50C7D"/>
    <w:rsid w:val="00E5147C"/>
    <w:rsid w:val="00E526DE"/>
    <w:rsid w:val="00E53857"/>
    <w:rsid w:val="00E53CE7"/>
    <w:rsid w:val="00E5435D"/>
    <w:rsid w:val="00E55168"/>
    <w:rsid w:val="00E55499"/>
    <w:rsid w:val="00E57ACD"/>
    <w:rsid w:val="00E6045B"/>
    <w:rsid w:val="00E60ECE"/>
    <w:rsid w:val="00E63BC0"/>
    <w:rsid w:val="00E64D98"/>
    <w:rsid w:val="00E658FA"/>
    <w:rsid w:val="00E65E38"/>
    <w:rsid w:val="00E66412"/>
    <w:rsid w:val="00E664A3"/>
    <w:rsid w:val="00E66532"/>
    <w:rsid w:val="00E66AEF"/>
    <w:rsid w:val="00E66B43"/>
    <w:rsid w:val="00E67961"/>
    <w:rsid w:val="00E70B74"/>
    <w:rsid w:val="00E71D2F"/>
    <w:rsid w:val="00E72AFE"/>
    <w:rsid w:val="00E72D0C"/>
    <w:rsid w:val="00E731C6"/>
    <w:rsid w:val="00E73243"/>
    <w:rsid w:val="00E75784"/>
    <w:rsid w:val="00E81BD7"/>
    <w:rsid w:val="00E81D40"/>
    <w:rsid w:val="00E82897"/>
    <w:rsid w:val="00E82E43"/>
    <w:rsid w:val="00E84A4C"/>
    <w:rsid w:val="00E86052"/>
    <w:rsid w:val="00E90723"/>
    <w:rsid w:val="00E924C4"/>
    <w:rsid w:val="00E9345B"/>
    <w:rsid w:val="00E94CF9"/>
    <w:rsid w:val="00E95796"/>
    <w:rsid w:val="00E95947"/>
    <w:rsid w:val="00E95D75"/>
    <w:rsid w:val="00E964CB"/>
    <w:rsid w:val="00EA0222"/>
    <w:rsid w:val="00EA460F"/>
    <w:rsid w:val="00EA5ECE"/>
    <w:rsid w:val="00EA7716"/>
    <w:rsid w:val="00EA7D4B"/>
    <w:rsid w:val="00EB1650"/>
    <w:rsid w:val="00EB3B30"/>
    <w:rsid w:val="00EB5093"/>
    <w:rsid w:val="00EB6E8D"/>
    <w:rsid w:val="00EC0979"/>
    <w:rsid w:val="00EC1D34"/>
    <w:rsid w:val="00EC2F77"/>
    <w:rsid w:val="00EC30B5"/>
    <w:rsid w:val="00EC57AF"/>
    <w:rsid w:val="00EC5899"/>
    <w:rsid w:val="00EC714A"/>
    <w:rsid w:val="00ED0BC2"/>
    <w:rsid w:val="00ED13DE"/>
    <w:rsid w:val="00ED1647"/>
    <w:rsid w:val="00ED3233"/>
    <w:rsid w:val="00ED3AE5"/>
    <w:rsid w:val="00ED44DC"/>
    <w:rsid w:val="00ED5D29"/>
    <w:rsid w:val="00ED60BC"/>
    <w:rsid w:val="00EE1188"/>
    <w:rsid w:val="00EE18BF"/>
    <w:rsid w:val="00EE32F4"/>
    <w:rsid w:val="00EE4B85"/>
    <w:rsid w:val="00EE4E4F"/>
    <w:rsid w:val="00EE5416"/>
    <w:rsid w:val="00EE63BA"/>
    <w:rsid w:val="00EE6439"/>
    <w:rsid w:val="00EE70C7"/>
    <w:rsid w:val="00EE7583"/>
    <w:rsid w:val="00EE7F3B"/>
    <w:rsid w:val="00EF06DB"/>
    <w:rsid w:val="00EF19D3"/>
    <w:rsid w:val="00EF1A5C"/>
    <w:rsid w:val="00EF20A8"/>
    <w:rsid w:val="00EF37E2"/>
    <w:rsid w:val="00EF39FD"/>
    <w:rsid w:val="00EF4DD5"/>
    <w:rsid w:val="00EF74EA"/>
    <w:rsid w:val="00F00375"/>
    <w:rsid w:val="00F01240"/>
    <w:rsid w:val="00F017CE"/>
    <w:rsid w:val="00F04DFF"/>
    <w:rsid w:val="00F04F95"/>
    <w:rsid w:val="00F053C5"/>
    <w:rsid w:val="00F05EE7"/>
    <w:rsid w:val="00F05FDE"/>
    <w:rsid w:val="00F067EE"/>
    <w:rsid w:val="00F06D7C"/>
    <w:rsid w:val="00F07203"/>
    <w:rsid w:val="00F07506"/>
    <w:rsid w:val="00F11C6C"/>
    <w:rsid w:val="00F14E87"/>
    <w:rsid w:val="00F1501D"/>
    <w:rsid w:val="00F154FC"/>
    <w:rsid w:val="00F179DD"/>
    <w:rsid w:val="00F17C86"/>
    <w:rsid w:val="00F202EE"/>
    <w:rsid w:val="00F21838"/>
    <w:rsid w:val="00F223FF"/>
    <w:rsid w:val="00F226E9"/>
    <w:rsid w:val="00F2290B"/>
    <w:rsid w:val="00F24E54"/>
    <w:rsid w:val="00F26419"/>
    <w:rsid w:val="00F26B93"/>
    <w:rsid w:val="00F276B7"/>
    <w:rsid w:val="00F3031F"/>
    <w:rsid w:val="00F322F4"/>
    <w:rsid w:val="00F35191"/>
    <w:rsid w:val="00F35240"/>
    <w:rsid w:val="00F36937"/>
    <w:rsid w:val="00F37DE2"/>
    <w:rsid w:val="00F41328"/>
    <w:rsid w:val="00F434A0"/>
    <w:rsid w:val="00F45898"/>
    <w:rsid w:val="00F458A0"/>
    <w:rsid w:val="00F5214C"/>
    <w:rsid w:val="00F535F0"/>
    <w:rsid w:val="00F53C49"/>
    <w:rsid w:val="00F53D5F"/>
    <w:rsid w:val="00F55596"/>
    <w:rsid w:val="00F56788"/>
    <w:rsid w:val="00F567D2"/>
    <w:rsid w:val="00F57A38"/>
    <w:rsid w:val="00F73237"/>
    <w:rsid w:val="00F734E1"/>
    <w:rsid w:val="00F749D0"/>
    <w:rsid w:val="00F768A1"/>
    <w:rsid w:val="00F830DB"/>
    <w:rsid w:val="00F839F3"/>
    <w:rsid w:val="00F856E9"/>
    <w:rsid w:val="00F862ED"/>
    <w:rsid w:val="00F87807"/>
    <w:rsid w:val="00F8798A"/>
    <w:rsid w:val="00F90BCF"/>
    <w:rsid w:val="00F931A9"/>
    <w:rsid w:val="00F9338B"/>
    <w:rsid w:val="00F93BA0"/>
    <w:rsid w:val="00F94B48"/>
    <w:rsid w:val="00F96519"/>
    <w:rsid w:val="00F96B4A"/>
    <w:rsid w:val="00F9711F"/>
    <w:rsid w:val="00F971C6"/>
    <w:rsid w:val="00FA0458"/>
    <w:rsid w:val="00FA4BC4"/>
    <w:rsid w:val="00FA5421"/>
    <w:rsid w:val="00FA6F10"/>
    <w:rsid w:val="00FA741E"/>
    <w:rsid w:val="00FA748C"/>
    <w:rsid w:val="00FB09DF"/>
    <w:rsid w:val="00FB1245"/>
    <w:rsid w:val="00FB2509"/>
    <w:rsid w:val="00FB3AC9"/>
    <w:rsid w:val="00FB47F0"/>
    <w:rsid w:val="00FB51AD"/>
    <w:rsid w:val="00FB7038"/>
    <w:rsid w:val="00FB723C"/>
    <w:rsid w:val="00FC1E37"/>
    <w:rsid w:val="00FC3220"/>
    <w:rsid w:val="00FC34EC"/>
    <w:rsid w:val="00FC4555"/>
    <w:rsid w:val="00FC615B"/>
    <w:rsid w:val="00FC772F"/>
    <w:rsid w:val="00FC7D20"/>
    <w:rsid w:val="00FD06B8"/>
    <w:rsid w:val="00FD14C2"/>
    <w:rsid w:val="00FD1D01"/>
    <w:rsid w:val="00FD2E11"/>
    <w:rsid w:val="00FD43DD"/>
    <w:rsid w:val="00FD5180"/>
    <w:rsid w:val="00FD5D14"/>
    <w:rsid w:val="00FD5F91"/>
    <w:rsid w:val="00FD6757"/>
    <w:rsid w:val="00FD7A6E"/>
    <w:rsid w:val="00FD7B68"/>
    <w:rsid w:val="00FD7E8D"/>
    <w:rsid w:val="00FE125B"/>
    <w:rsid w:val="00FE197F"/>
    <w:rsid w:val="00FE1B8F"/>
    <w:rsid w:val="00FE1E75"/>
    <w:rsid w:val="00FE2AF8"/>
    <w:rsid w:val="00FE2CD4"/>
    <w:rsid w:val="00FE2E48"/>
    <w:rsid w:val="00FE35CA"/>
    <w:rsid w:val="00FE3BCC"/>
    <w:rsid w:val="00FE41AD"/>
    <w:rsid w:val="00FE5DEA"/>
    <w:rsid w:val="00FE6C3B"/>
    <w:rsid w:val="00FE73FC"/>
    <w:rsid w:val="00FE7A9F"/>
    <w:rsid w:val="00FF07E6"/>
    <w:rsid w:val="00FF08CA"/>
    <w:rsid w:val="00FF14CF"/>
    <w:rsid w:val="00FF21A3"/>
    <w:rsid w:val="00FF263A"/>
    <w:rsid w:val="00FF36F5"/>
    <w:rsid w:val="00FF4451"/>
    <w:rsid w:val="00FF5428"/>
    <w:rsid w:val="2604BA06"/>
    <w:rsid w:val="2EDE7CCC"/>
    <w:rsid w:val="4787B810"/>
    <w:rsid w:val="4932A9B6"/>
    <w:rsid w:val="4D22C853"/>
    <w:rsid w:val="51D37E9D"/>
    <w:rsid w:val="7AD5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0C8D6"/>
  <w15:docId w15:val="{3E5A8A7D-DB0F-4808-91C2-1D796508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paragraph" w:styleId="FootnoteText">
    <w:name w:val="footnote text"/>
    <w:basedOn w:val="Normal"/>
    <w:link w:val="FootnoteTextChar"/>
    <w:uiPriority w:val="99"/>
    <w:semiHidden/>
    <w:unhideWhenUsed/>
    <w:rsid w:val="00F567D2"/>
    <w:rPr>
      <w:sz w:val="20"/>
      <w:szCs w:val="20"/>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1"/>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b,bullet lis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b Char,bullet lis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semiHidden/>
    <w:unhideWhenUsed/>
    <w:rsid w:val="004951CB"/>
    <w:rPr>
      <w:rFonts w:ascii="Arial" w:hAnsi="Arial"/>
      <w:sz w:val="20"/>
      <w:szCs w:val="20"/>
    </w:rPr>
  </w:style>
  <w:style w:type="character" w:customStyle="1" w:styleId="CommentTextChar">
    <w:name w:val="Comment Text Char"/>
    <w:basedOn w:val="DefaultParagraphFont"/>
    <w:link w:val="CommentText"/>
    <w:uiPriority w:val="99"/>
    <w:semiHidden/>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unhideWhenUsed/>
    <w:rsid w:val="0098509E"/>
    <w:pPr>
      <w:spacing w:before="100" w:beforeAutospacing="1" w:after="100" w:afterAutospacing="1"/>
    </w:pPr>
    <w:rPr>
      <w:rFonts w:ascii="Times New Roman" w:eastAsiaTheme="minorHAnsi" w:hAnsi="Times New Roman"/>
      <w:sz w:val="24"/>
      <w:lang w:val="es-AR" w:eastAsia="es-AR"/>
    </w:rPr>
  </w:style>
  <w:style w:type="paragraph" w:customStyle="1" w:styleId="SecurityCont3">
    <w:name w:val="Security Cont 3"/>
    <w:aliases w:val="s3"/>
    <w:basedOn w:val="SecurityCont2"/>
    <w:link w:val="SecurityCont3Char"/>
    <w:uiPriority w:val="99"/>
    <w:rsid w:val="00427A41"/>
  </w:style>
  <w:style w:type="character" w:customStyle="1" w:styleId="SecurityCont3Char">
    <w:name w:val="Security Cont 3 Char"/>
    <w:aliases w:val="s3 Char"/>
    <w:link w:val="SecurityCont3"/>
    <w:uiPriority w:val="99"/>
    <w:locked/>
    <w:rsid w:val="00427A41"/>
    <w:rPr>
      <w:rFonts w:ascii="Times New Roman" w:eastAsia="Times New Roman" w:hAnsi="Times New Roman"/>
      <w:lang w:val="en-CA"/>
    </w:rPr>
  </w:style>
  <w:style w:type="character" w:styleId="Emphasis">
    <w:name w:val="Emphasis"/>
    <w:uiPriority w:val="20"/>
    <w:qFormat/>
    <w:rsid w:val="003176C0"/>
    <w:rPr>
      <w:i/>
      <w:iCs/>
    </w:rPr>
  </w:style>
  <w:style w:type="paragraph" w:customStyle="1" w:styleId="Ne3">
    <w:name w:val="Ne3"/>
    <w:basedOn w:val="Normal"/>
    <w:link w:val="Ne3Char"/>
    <w:rsid w:val="005D19BE"/>
    <w:pPr>
      <w:overflowPunct w:val="0"/>
      <w:autoSpaceDE w:val="0"/>
      <w:autoSpaceDN w:val="0"/>
      <w:adjustRightInd w:val="0"/>
      <w:spacing w:before="120" w:line="280" w:lineRule="atLeast"/>
      <w:ind w:left="720"/>
      <w:jc w:val="both"/>
      <w:textAlignment w:val="baseline"/>
    </w:pPr>
    <w:rPr>
      <w:rFonts w:ascii="Arial" w:hAnsi="Arial"/>
      <w:sz w:val="20"/>
      <w:szCs w:val="20"/>
    </w:rPr>
  </w:style>
  <w:style w:type="character" w:customStyle="1" w:styleId="Ne3Char">
    <w:name w:val="Ne3 Char"/>
    <w:link w:val="Ne3"/>
    <w:rsid w:val="005D19BE"/>
    <w:rPr>
      <w:rFonts w:ascii="Arial" w:eastAsia="Times New Roman" w:hAnsi="Arial"/>
    </w:rPr>
  </w:style>
  <w:style w:type="paragraph" w:styleId="HTMLPreformatted">
    <w:name w:val="HTML Preformatted"/>
    <w:basedOn w:val="Normal"/>
    <w:link w:val="HTMLPreformattedChar"/>
    <w:uiPriority w:val="99"/>
    <w:rsid w:val="006429BF"/>
    <w:pPr>
      <w:jc w:val="both"/>
    </w:pPr>
    <w:rPr>
      <w:rFonts w:ascii="Courier New" w:hAnsi="Courier New"/>
      <w:sz w:val="20"/>
      <w:lang w:val="en-CA"/>
    </w:rPr>
  </w:style>
  <w:style w:type="character" w:customStyle="1" w:styleId="HTMLPreformattedChar">
    <w:name w:val="HTML Preformatted Char"/>
    <w:basedOn w:val="DefaultParagraphFont"/>
    <w:link w:val="HTMLPreformatted"/>
    <w:uiPriority w:val="99"/>
    <w:rsid w:val="006429BF"/>
    <w:rPr>
      <w:rFonts w:ascii="Courier New" w:eastAsia="Times New Roman" w:hAnsi="Courier New"/>
      <w:szCs w:val="24"/>
      <w:lang w:val="en-CA"/>
    </w:rPr>
  </w:style>
  <w:style w:type="paragraph" w:customStyle="1" w:styleId="Ne4">
    <w:name w:val="Ne4"/>
    <w:basedOn w:val="Normal"/>
    <w:rsid w:val="006B42DD"/>
    <w:pPr>
      <w:overflowPunct w:val="0"/>
      <w:autoSpaceDE w:val="0"/>
      <w:autoSpaceDN w:val="0"/>
      <w:adjustRightInd w:val="0"/>
      <w:spacing w:before="120" w:line="280" w:lineRule="atLeast"/>
      <w:ind w:left="1080"/>
      <w:jc w:val="both"/>
    </w:pPr>
    <w:rPr>
      <w:rFonts w:ascii="Arial" w:hAnsi="Arial"/>
      <w:sz w:val="20"/>
      <w:szCs w:val="20"/>
      <w:lang w:val="en-CA"/>
    </w:rPr>
  </w:style>
  <w:style w:type="paragraph" w:styleId="NoSpacing">
    <w:name w:val="No Spacing"/>
    <w:link w:val="NoSpacingChar"/>
    <w:qFormat/>
    <w:rsid w:val="00043F8E"/>
    <w:pPr>
      <w:jc w:val="both"/>
    </w:pPr>
    <w:rPr>
      <w:rFonts w:ascii="Times New Roman" w:eastAsia="Batang" w:hAnsi="Times New Roman"/>
      <w:sz w:val="22"/>
      <w:szCs w:val="24"/>
      <w:lang w:val="en-CA"/>
    </w:rPr>
  </w:style>
  <w:style w:type="character" w:customStyle="1" w:styleId="NoSpacingChar">
    <w:name w:val="No Spacing Char"/>
    <w:link w:val="NoSpacing"/>
    <w:rsid w:val="00043F8E"/>
    <w:rPr>
      <w:rFonts w:ascii="Times New Roman" w:eastAsia="Batang" w:hAnsi="Times New Roman"/>
      <w:sz w:val="22"/>
      <w:szCs w:val="24"/>
      <w:lang w:val="en-CA"/>
    </w:rPr>
  </w:style>
  <w:style w:type="paragraph" w:customStyle="1" w:styleId="LHFirmName">
    <w:name w:val="LH Firm Name"/>
    <w:basedOn w:val="Normal"/>
    <w:rsid w:val="00EE18BF"/>
    <w:pPr>
      <w:spacing w:after="120"/>
      <w:ind w:left="-720"/>
      <w:jc w:val="both"/>
    </w:pPr>
    <w:rPr>
      <w:rFonts w:ascii="EngravrsRoman BT" w:hAnsi="EngravrsRoman BT"/>
      <w:b/>
      <w:spacing w:val="10"/>
      <w:sz w:val="15"/>
      <w:lang w:val="en-CA"/>
    </w:rPr>
  </w:style>
  <w:style w:type="character" w:customStyle="1" w:styleId="FootnoteTextChar">
    <w:name w:val="Footnote Text Char"/>
    <w:basedOn w:val="DefaultParagraphFont"/>
    <w:link w:val="FootnoteText"/>
    <w:uiPriority w:val="99"/>
    <w:semiHidden/>
    <w:rsid w:val="00F567D2"/>
    <w:rPr>
      <w:rFonts w:ascii="Verdana" w:eastAsia="Times New Roman" w:hAnsi="Verdana"/>
    </w:rPr>
  </w:style>
  <w:style w:type="character" w:styleId="FootnoteReference">
    <w:name w:val="footnote reference"/>
    <w:basedOn w:val="DefaultParagraphFont"/>
    <w:uiPriority w:val="99"/>
    <w:semiHidden/>
    <w:unhideWhenUsed/>
    <w:rsid w:val="00F567D2"/>
    <w:rPr>
      <w:vertAlign w:val="superscript"/>
    </w:rPr>
  </w:style>
  <w:style w:type="character" w:styleId="UnresolvedMention">
    <w:name w:val="Unresolved Mention"/>
    <w:basedOn w:val="DefaultParagraphFont"/>
    <w:uiPriority w:val="99"/>
    <w:semiHidden/>
    <w:unhideWhenUsed/>
    <w:rsid w:val="00150304"/>
    <w:rPr>
      <w:color w:val="605E5C"/>
      <w:shd w:val="clear" w:color="auto" w:fill="E1DFDD"/>
    </w:rPr>
  </w:style>
  <w:style w:type="paragraph" w:customStyle="1" w:styleId="BDPDOCID">
    <w:name w:val="BDPDOCID"/>
    <w:basedOn w:val="Normal"/>
    <w:qFormat/>
    <w:rsid w:val="002341B7"/>
    <w:pPr>
      <w:spacing w:after="240"/>
      <w:jc w:val="both"/>
    </w:pPr>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7787">
      <w:bodyDiv w:val="1"/>
      <w:marLeft w:val="0"/>
      <w:marRight w:val="0"/>
      <w:marTop w:val="0"/>
      <w:marBottom w:val="0"/>
      <w:divBdr>
        <w:top w:val="none" w:sz="0" w:space="0" w:color="auto"/>
        <w:left w:val="none" w:sz="0" w:space="0" w:color="auto"/>
        <w:bottom w:val="none" w:sz="0" w:space="0" w:color="auto"/>
        <w:right w:val="none" w:sz="0" w:space="0" w:color="auto"/>
      </w:divBdr>
    </w:div>
    <w:div w:id="79185962">
      <w:bodyDiv w:val="1"/>
      <w:marLeft w:val="0"/>
      <w:marRight w:val="0"/>
      <w:marTop w:val="0"/>
      <w:marBottom w:val="0"/>
      <w:divBdr>
        <w:top w:val="none" w:sz="0" w:space="0" w:color="auto"/>
        <w:left w:val="none" w:sz="0" w:space="0" w:color="auto"/>
        <w:bottom w:val="none" w:sz="0" w:space="0" w:color="auto"/>
        <w:right w:val="none" w:sz="0" w:space="0" w:color="auto"/>
      </w:divBdr>
    </w:div>
    <w:div w:id="147133153">
      <w:bodyDiv w:val="1"/>
      <w:marLeft w:val="0"/>
      <w:marRight w:val="0"/>
      <w:marTop w:val="0"/>
      <w:marBottom w:val="0"/>
      <w:divBdr>
        <w:top w:val="none" w:sz="0" w:space="0" w:color="auto"/>
        <w:left w:val="none" w:sz="0" w:space="0" w:color="auto"/>
        <w:bottom w:val="none" w:sz="0" w:space="0" w:color="auto"/>
        <w:right w:val="none" w:sz="0" w:space="0" w:color="auto"/>
      </w:divBdr>
    </w:div>
    <w:div w:id="408040677">
      <w:bodyDiv w:val="1"/>
      <w:marLeft w:val="0"/>
      <w:marRight w:val="0"/>
      <w:marTop w:val="0"/>
      <w:marBottom w:val="0"/>
      <w:divBdr>
        <w:top w:val="none" w:sz="0" w:space="0" w:color="auto"/>
        <w:left w:val="none" w:sz="0" w:space="0" w:color="auto"/>
        <w:bottom w:val="none" w:sz="0" w:space="0" w:color="auto"/>
        <w:right w:val="none" w:sz="0" w:space="0" w:color="auto"/>
      </w:divBdr>
    </w:div>
    <w:div w:id="464736846">
      <w:bodyDiv w:val="1"/>
      <w:marLeft w:val="0"/>
      <w:marRight w:val="0"/>
      <w:marTop w:val="0"/>
      <w:marBottom w:val="0"/>
      <w:divBdr>
        <w:top w:val="none" w:sz="0" w:space="0" w:color="auto"/>
        <w:left w:val="none" w:sz="0" w:space="0" w:color="auto"/>
        <w:bottom w:val="none" w:sz="0" w:space="0" w:color="auto"/>
        <w:right w:val="none" w:sz="0" w:space="0" w:color="auto"/>
      </w:divBdr>
    </w:div>
    <w:div w:id="557131380">
      <w:bodyDiv w:val="1"/>
      <w:marLeft w:val="0"/>
      <w:marRight w:val="0"/>
      <w:marTop w:val="0"/>
      <w:marBottom w:val="0"/>
      <w:divBdr>
        <w:top w:val="none" w:sz="0" w:space="0" w:color="auto"/>
        <w:left w:val="none" w:sz="0" w:space="0" w:color="auto"/>
        <w:bottom w:val="none" w:sz="0" w:space="0" w:color="auto"/>
        <w:right w:val="none" w:sz="0" w:space="0" w:color="auto"/>
      </w:divBdr>
    </w:div>
    <w:div w:id="724333277">
      <w:bodyDiv w:val="1"/>
      <w:marLeft w:val="0"/>
      <w:marRight w:val="0"/>
      <w:marTop w:val="0"/>
      <w:marBottom w:val="0"/>
      <w:divBdr>
        <w:top w:val="none" w:sz="0" w:space="0" w:color="auto"/>
        <w:left w:val="none" w:sz="0" w:space="0" w:color="auto"/>
        <w:bottom w:val="none" w:sz="0" w:space="0" w:color="auto"/>
        <w:right w:val="none" w:sz="0" w:space="0" w:color="auto"/>
      </w:divBdr>
    </w:div>
    <w:div w:id="731587472">
      <w:bodyDiv w:val="1"/>
      <w:marLeft w:val="0"/>
      <w:marRight w:val="0"/>
      <w:marTop w:val="0"/>
      <w:marBottom w:val="0"/>
      <w:divBdr>
        <w:top w:val="none" w:sz="0" w:space="0" w:color="auto"/>
        <w:left w:val="none" w:sz="0" w:space="0" w:color="auto"/>
        <w:bottom w:val="none" w:sz="0" w:space="0" w:color="auto"/>
        <w:right w:val="none" w:sz="0" w:space="0" w:color="auto"/>
      </w:divBdr>
    </w:div>
    <w:div w:id="829104532">
      <w:bodyDiv w:val="1"/>
      <w:marLeft w:val="0"/>
      <w:marRight w:val="0"/>
      <w:marTop w:val="0"/>
      <w:marBottom w:val="0"/>
      <w:divBdr>
        <w:top w:val="none" w:sz="0" w:space="0" w:color="auto"/>
        <w:left w:val="none" w:sz="0" w:space="0" w:color="auto"/>
        <w:bottom w:val="none" w:sz="0" w:space="0" w:color="auto"/>
        <w:right w:val="none" w:sz="0" w:space="0" w:color="auto"/>
      </w:divBdr>
    </w:div>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45252995">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 w:id="1261718492">
      <w:bodyDiv w:val="1"/>
      <w:marLeft w:val="0"/>
      <w:marRight w:val="0"/>
      <w:marTop w:val="0"/>
      <w:marBottom w:val="0"/>
      <w:divBdr>
        <w:top w:val="none" w:sz="0" w:space="0" w:color="auto"/>
        <w:left w:val="none" w:sz="0" w:space="0" w:color="auto"/>
        <w:bottom w:val="none" w:sz="0" w:space="0" w:color="auto"/>
        <w:right w:val="none" w:sz="0" w:space="0" w:color="auto"/>
      </w:divBdr>
    </w:div>
    <w:div w:id="1286038537">
      <w:bodyDiv w:val="1"/>
      <w:marLeft w:val="0"/>
      <w:marRight w:val="0"/>
      <w:marTop w:val="0"/>
      <w:marBottom w:val="0"/>
      <w:divBdr>
        <w:top w:val="none" w:sz="0" w:space="0" w:color="auto"/>
        <w:left w:val="none" w:sz="0" w:space="0" w:color="auto"/>
        <w:bottom w:val="none" w:sz="0" w:space="0" w:color="auto"/>
        <w:right w:val="none" w:sz="0" w:space="0" w:color="auto"/>
      </w:divBdr>
    </w:div>
    <w:div w:id="1383479918">
      <w:bodyDiv w:val="1"/>
      <w:marLeft w:val="0"/>
      <w:marRight w:val="0"/>
      <w:marTop w:val="0"/>
      <w:marBottom w:val="0"/>
      <w:divBdr>
        <w:top w:val="none" w:sz="0" w:space="0" w:color="auto"/>
        <w:left w:val="none" w:sz="0" w:space="0" w:color="auto"/>
        <w:bottom w:val="none" w:sz="0" w:space="0" w:color="auto"/>
        <w:right w:val="none" w:sz="0" w:space="0" w:color="auto"/>
      </w:divBdr>
    </w:div>
    <w:div w:id="1386220001">
      <w:bodyDiv w:val="1"/>
      <w:marLeft w:val="0"/>
      <w:marRight w:val="0"/>
      <w:marTop w:val="0"/>
      <w:marBottom w:val="0"/>
      <w:divBdr>
        <w:top w:val="none" w:sz="0" w:space="0" w:color="auto"/>
        <w:left w:val="none" w:sz="0" w:space="0" w:color="auto"/>
        <w:bottom w:val="none" w:sz="0" w:space="0" w:color="auto"/>
        <w:right w:val="none" w:sz="0" w:space="0" w:color="auto"/>
      </w:divBdr>
    </w:div>
    <w:div w:id="1463039024">
      <w:bodyDiv w:val="1"/>
      <w:marLeft w:val="0"/>
      <w:marRight w:val="0"/>
      <w:marTop w:val="0"/>
      <w:marBottom w:val="0"/>
      <w:divBdr>
        <w:top w:val="none" w:sz="0" w:space="0" w:color="auto"/>
        <w:left w:val="none" w:sz="0" w:space="0" w:color="auto"/>
        <w:bottom w:val="none" w:sz="0" w:space="0" w:color="auto"/>
        <w:right w:val="none" w:sz="0" w:space="0" w:color="auto"/>
      </w:divBdr>
    </w:div>
    <w:div w:id="1570000882">
      <w:bodyDiv w:val="1"/>
      <w:marLeft w:val="0"/>
      <w:marRight w:val="0"/>
      <w:marTop w:val="0"/>
      <w:marBottom w:val="0"/>
      <w:divBdr>
        <w:top w:val="none" w:sz="0" w:space="0" w:color="auto"/>
        <w:left w:val="none" w:sz="0" w:space="0" w:color="auto"/>
        <w:bottom w:val="none" w:sz="0" w:space="0" w:color="auto"/>
        <w:right w:val="none" w:sz="0" w:space="0" w:color="auto"/>
      </w:divBdr>
    </w:div>
    <w:div w:id="1697074418">
      <w:bodyDiv w:val="1"/>
      <w:marLeft w:val="0"/>
      <w:marRight w:val="0"/>
      <w:marTop w:val="0"/>
      <w:marBottom w:val="0"/>
      <w:divBdr>
        <w:top w:val="none" w:sz="0" w:space="0" w:color="auto"/>
        <w:left w:val="none" w:sz="0" w:space="0" w:color="auto"/>
        <w:bottom w:val="none" w:sz="0" w:space="0" w:color="auto"/>
        <w:right w:val="none" w:sz="0" w:space="0" w:color="auto"/>
      </w:divBdr>
    </w:div>
    <w:div w:id="1708918851">
      <w:bodyDiv w:val="1"/>
      <w:marLeft w:val="0"/>
      <w:marRight w:val="0"/>
      <w:marTop w:val="0"/>
      <w:marBottom w:val="0"/>
      <w:divBdr>
        <w:top w:val="none" w:sz="0" w:space="0" w:color="auto"/>
        <w:left w:val="none" w:sz="0" w:space="0" w:color="auto"/>
        <w:bottom w:val="none" w:sz="0" w:space="0" w:color="auto"/>
        <w:right w:val="none" w:sz="0" w:space="0" w:color="auto"/>
      </w:divBdr>
    </w:div>
    <w:div w:id="1819490376">
      <w:bodyDiv w:val="1"/>
      <w:marLeft w:val="0"/>
      <w:marRight w:val="0"/>
      <w:marTop w:val="0"/>
      <w:marBottom w:val="0"/>
      <w:divBdr>
        <w:top w:val="none" w:sz="0" w:space="0" w:color="auto"/>
        <w:left w:val="none" w:sz="0" w:space="0" w:color="auto"/>
        <w:bottom w:val="none" w:sz="0" w:space="0" w:color="auto"/>
        <w:right w:val="none" w:sz="0" w:space="0" w:color="auto"/>
      </w:divBdr>
    </w:div>
    <w:div w:id="1868063230">
      <w:bodyDiv w:val="1"/>
      <w:marLeft w:val="0"/>
      <w:marRight w:val="0"/>
      <w:marTop w:val="0"/>
      <w:marBottom w:val="0"/>
      <w:divBdr>
        <w:top w:val="none" w:sz="0" w:space="0" w:color="auto"/>
        <w:left w:val="none" w:sz="0" w:space="0" w:color="auto"/>
        <w:bottom w:val="none" w:sz="0" w:space="0" w:color="auto"/>
        <w:right w:val="none" w:sz="0" w:space="0" w:color="auto"/>
      </w:divBdr>
    </w:div>
    <w:div w:id="1944531920">
      <w:bodyDiv w:val="1"/>
      <w:marLeft w:val="0"/>
      <w:marRight w:val="0"/>
      <w:marTop w:val="0"/>
      <w:marBottom w:val="0"/>
      <w:divBdr>
        <w:top w:val="none" w:sz="0" w:space="0" w:color="auto"/>
        <w:left w:val="none" w:sz="0" w:space="0" w:color="auto"/>
        <w:bottom w:val="none" w:sz="0" w:space="0" w:color="auto"/>
        <w:right w:val="none" w:sz="0" w:space="0" w:color="auto"/>
      </w:divBdr>
    </w:div>
    <w:div w:id="2057464658">
      <w:bodyDiv w:val="1"/>
      <w:marLeft w:val="0"/>
      <w:marRight w:val="0"/>
      <w:marTop w:val="0"/>
      <w:marBottom w:val="0"/>
      <w:divBdr>
        <w:top w:val="none" w:sz="0" w:space="0" w:color="auto"/>
        <w:left w:val="none" w:sz="0" w:space="0" w:color="auto"/>
        <w:bottom w:val="none" w:sz="0" w:space="0" w:color="auto"/>
        <w:right w:val="none" w:sz="0" w:space="0" w:color="auto"/>
      </w:divBdr>
    </w:div>
    <w:div w:id="21070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rownpointenergy.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sedarplus.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darplus.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esteves@crownpointenergy.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moss@crownpointenergy.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ACTIVE!17039252.2</documentid>
  <senderid>JTO</senderid>
  <senderemail>JTO@BDPLAW.COM</senderemail>
  <lastmodified>2026-05-12T09:33:00.0000000-06:00</lastmodified>
  <database>ACTIVE</database>
</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2C7A9-84F2-400E-A4F6-945A279FAADD}">
  <ds:schemaRefs>
    <ds:schemaRef ds:uri="http://schemas.openxmlformats.org/officeDocument/2006/bibliography"/>
  </ds:schemaRefs>
</ds:datastoreItem>
</file>

<file path=customXml/itemProps2.xml><?xml version="1.0" encoding="utf-8"?>
<ds:datastoreItem xmlns:ds="http://schemas.openxmlformats.org/officeDocument/2006/customXml" ds:itemID="{4163838C-E56F-48A4-9518-7E3B81C3E10C}">
  <ds:schemaRefs>
    <ds:schemaRef ds:uri="http://www.imanage.com/work/xmlschema"/>
  </ds:schemaRefs>
</ds:datastoreItem>
</file>

<file path=customXml/itemProps3.xml><?xml version="1.0" encoding="utf-8"?>
<ds:datastoreItem xmlns:ds="http://schemas.openxmlformats.org/officeDocument/2006/customXml" ds:itemID="{74A04C4A-571E-43A8-9E21-EC28313B176E}">
  <ds:schemaRefs>
    <ds:schemaRef ds:uri="http://schemas.openxmlformats.org/officeDocument/2006/bibliography"/>
  </ds:schemaRefs>
</ds:datastoreItem>
</file>

<file path=customXml/itemProps4.xml><?xml version="1.0" encoding="utf-8"?>
<ds:datastoreItem xmlns:ds="http://schemas.openxmlformats.org/officeDocument/2006/customXml" ds:itemID="{20234826-1A70-4D6C-9B99-A92B5DE01C73}">
  <ds:schemaRefs>
    <ds:schemaRef ds:uri="http://schemas.openxmlformats.org/officeDocument/2006/bibliography"/>
  </ds:schemaRefs>
</ds:datastoreItem>
</file>

<file path=customXml/itemProps5.xml><?xml version="1.0" encoding="utf-8"?>
<ds:datastoreItem xmlns:ds="http://schemas.openxmlformats.org/officeDocument/2006/customXml" ds:itemID="{D684B844-A9FF-4F4C-8854-89CFC363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2878</Words>
  <Characters>16405</Characters>
  <Application>Microsoft Office Word</Application>
  <DocSecurity>0</DocSecurity>
  <Lines>136</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Company>
  <LinksUpToDate>false</LinksUpToDate>
  <CharactersWithSpaces>19245</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Seifert</dc:creator>
  <cp:keywords/>
  <dc:description/>
  <cp:lastModifiedBy>Brian Moss</cp:lastModifiedBy>
  <cp:revision>2</cp:revision>
  <cp:lastPrinted>2022-11-09T19:38:00Z</cp:lastPrinted>
  <dcterms:created xsi:type="dcterms:W3CDTF">2026-06-10T21:04:00Z</dcterms:created>
  <dcterms:modified xsi:type="dcterms:W3CDTF">2026-06-10T21:04:00Z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17038295.1</vt:lpwstr>
  </property>
  <property fmtid="{D5CDD505-2E9C-101B-9397-08002B2CF9AE}" pid="3" name="DocXFormat">
    <vt:lpwstr>BDP DOCID</vt:lpwstr>
  </property>
  <property fmtid="{D5CDD505-2E9C-101B-9397-08002B2CF9AE}" pid="4" name="DocXLocation">
    <vt:lpwstr>NoDocId</vt:lpwstr>
  </property>
</Properties>
</file>