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4353F" w14:textId="77777777" w:rsidR="006F5233" w:rsidRPr="001354A6" w:rsidRDefault="006F5233" w:rsidP="005370AC">
      <w:pPr>
        <w:widowControl w:val="0"/>
        <w:spacing w:after="240"/>
        <w:jc w:val="center"/>
        <w:rPr>
          <w:rFonts w:ascii="Calibri" w:hAnsi="Calibri"/>
          <w:b/>
          <w:sz w:val="28"/>
          <w:szCs w:val="28"/>
        </w:rPr>
      </w:pPr>
      <w:r w:rsidRPr="001354A6">
        <w:rPr>
          <w:rFonts w:ascii="Calibri" w:hAnsi="Calibri"/>
          <w:b/>
          <w:sz w:val="28"/>
          <w:szCs w:val="28"/>
        </w:rPr>
        <w:t>MANAGEMENT’S DISCUSSION AND ANALYSIS</w:t>
      </w:r>
    </w:p>
    <w:p w14:paraId="530B989D" w14:textId="0041774D" w:rsidR="006F5233" w:rsidRPr="0095259B" w:rsidRDefault="006F5233" w:rsidP="005370AC">
      <w:pPr>
        <w:widowControl w:val="0"/>
        <w:ind w:right="25"/>
        <w:jc w:val="both"/>
        <w:rPr>
          <w:rFonts w:cs="Arial"/>
        </w:rPr>
      </w:pPr>
      <w:r>
        <w:rPr>
          <w:rFonts w:cs="Arial"/>
        </w:rPr>
        <w:t>The following Management’s Discussion and Analysis (“</w:t>
      </w:r>
      <w:r>
        <w:rPr>
          <w:rFonts w:cs="Arial"/>
          <w:b/>
        </w:rPr>
        <w:t>MD&amp;A</w:t>
      </w:r>
      <w:r>
        <w:rPr>
          <w:rFonts w:cs="Arial"/>
        </w:rPr>
        <w:t>”) of the consolidated financial results of Crown Point Energy Inc. (“</w:t>
      </w:r>
      <w:r>
        <w:rPr>
          <w:rFonts w:cs="Arial"/>
          <w:b/>
        </w:rPr>
        <w:t>Crown Point</w:t>
      </w:r>
      <w:r>
        <w:rPr>
          <w:rFonts w:cs="Arial"/>
        </w:rPr>
        <w:t>” or the “</w:t>
      </w:r>
      <w:r>
        <w:rPr>
          <w:rFonts w:cs="Arial"/>
          <w:b/>
        </w:rPr>
        <w:t>Company</w:t>
      </w:r>
      <w:r>
        <w:rPr>
          <w:rFonts w:cs="Arial"/>
        </w:rPr>
        <w:t xml:space="preserve">”) is at and </w:t>
      </w:r>
      <w:r w:rsidR="00896089">
        <w:rPr>
          <w:rFonts w:cs="Arial"/>
        </w:rPr>
        <w:t xml:space="preserve">for the three </w:t>
      </w:r>
      <w:r w:rsidR="00061F02">
        <w:rPr>
          <w:rFonts w:cs="Arial"/>
        </w:rPr>
        <w:t xml:space="preserve">and six </w:t>
      </w:r>
      <w:r w:rsidR="00896089">
        <w:rPr>
          <w:rFonts w:cs="Arial"/>
        </w:rPr>
        <w:t xml:space="preserve">months ended </w:t>
      </w:r>
      <w:r w:rsidR="00061F02">
        <w:rPr>
          <w:rFonts w:cs="Arial"/>
        </w:rPr>
        <w:t>June 30</w:t>
      </w:r>
      <w:r w:rsidR="00896089">
        <w:rPr>
          <w:rFonts w:cs="Arial"/>
        </w:rPr>
        <w:t>, 202</w:t>
      </w:r>
      <w:r w:rsidR="009E06AF">
        <w:rPr>
          <w:rFonts w:cs="Arial"/>
        </w:rPr>
        <w:t>6</w:t>
      </w:r>
      <w:r w:rsidR="00896089">
        <w:rPr>
          <w:rFonts w:cs="Arial"/>
        </w:rPr>
        <w:t>.</w:t>
      </w:r>
    </w:p>
    <w:p w14:paraId="0FB12D65" w14:textId="736A08EE" w:rsidR="00896089" w:rsidRDefault="00896089" w:rsidP="00896089">
      <w:pPr>
        <w:widowControl w:val="0"/>
        <w:spacing w:before="120" w:line="240" w:lineRule="atLeast"/>
        <w:ind w:right="25"/>
        <w:jc w:val="both"/>
        <w:rPr>
          <w:rFonts w:cs="Arial"/>
        </w:rPr>
      </w:pPr>
      <w:r>
        <w:rPr>
          <w:rFonts w:cs="Arial"/>
        </w:rPr>
        <w:t xml:space="preserve">This MD&amp;A is dated as of and was approved by the Company’s Board of </w:t>
      </w:r>
      <w:r w:rsidRPr="009121F8">
        <w:rPr>
          <w:rFonts w:cs="Arial"/>
        </w:rPr>
        <w:t xml:space="preserve">Directors </w:t>
      </w:r>
      <w:r w:rsidRPr="00A80421">
        <w:rPr>
          <w:rFonts w:cs="Arial"/>
        </w:rPr>
        <w:t xml:space="preserve">on </w:t>
      </w:r>
      <w:r w:rsidR="00D811F9">
        <w:rPr>
          <w:rFonts w:cs="Arial"/>
        </w:rPr>
        <w:t>August 11</w:t>
      </w:r>
      <w:r w:rsidRPr="00A80421">
        <w:rPr>
          <w:rFonts w:cs="Arial"/>
        </w:rPr>
        <w:t>,</w:t>
      </w:r>
      <w:r w:rsidRPr="009121F8">
        <w:rPr>
          <w:rFonts w:cs="Arial"/>
        </w:rPr>
        <w:t xml:space="preserve"> 202</w:t>
      </w:r>
      <w:r w:rsidR="009E06AF">
        <w:rPr>
          <w:rFonts w:cs="Arial"/>
        </w:rPr>
        <w:t>6</w:t>
      </w:r>
      <w:r>
        <w:rPr>
          <w:rFonts w:cs="Arial"/>
        </w:rPr>
        <w:t>,</w:t>
      </w:r>
      <w:r w:rsidR="00AF2D54">
        <w:rPr>
          <w:rFonts w:cs="Arial"/>
        </w:rPr>
        <w:t xml:space="preserve"> </w:t>
      </w:r>
      <w:r w:rsidRPr="003350B5">
        <w:rPr>
          <w:rFonts w:cs="Arial"/>
        </w:rPr>
        <w:t xml:space="preserve">and should be read in conjunction with </w:t>
      </w:r>
      <w:r>
        <w:rPr>
          <w:rFonts w:cs="Arial"/>
        </w:rPr>
        <w:t xml:space="preserve">the Company’s </w:t>
      </w:r>
      <w:r w:rsidR="006C4BB5">
        <w:rPr>
          <w:rFonts w:cs="Arial"/>
        </w:rPr>
        <w:t xml:space="preserve">unaudited </w:t>
      </w:r>
      <w:r w:rsidR="00D811F9">
        <w:rPr>
          <w:rFonts w:cs="Arial"/>
        </w:rPr>
        <w:t>June 30</w:t>
      </w:r>
      <w:r w:rsidR="006C4BB5">
        <w:rPr>
          <w:rFonts w:cs="Arial"/>
        </w:rPr>
        <w:t>, 202</w:t>
      </w:r>
      <w:r w:rsidR="009E06AF">
        <w:rPr>
          <w:rFonts w:cs="Arial"/>
        </w:rPr>
        <w:t>6</w:t>
      </w:r>
      <w:r w:rsidR="006C4BB5">
        <w:rPr>
          <w:rFonts w:cs="Arial"/>
        </w:rPr>
        <w:t xml:space="preserve"> condensed interim consolidated financial statements (the </w:t>
      </w:r>
      <w:r w:rsidR="006C4BB5" w:rsidRPr="006C4BB5">
        <w:rPr>
          <w:rFonts w:cs="Arial"/>
          <w:b/>
          <w:bCs/>
        </w:rPr>
        <w:t>“Q</w:t>
      </w:r>
      <w:r w:rsidR="00D811F9">
        <w:rPr>
          <w:rFonts w:cs="Arial"/>
          <w:b/>
          <w:bCs/>
        </w:rPr>
        <w:t>2</w:t>
      </w:r>
      <w:r w:rsidR="006C4BB5" w:rsidRPr="006C4BB5">
        <w:rPr>
          <w:rFonts w:cs="Arial"/>
          <w:b/>
          <w:bCs/>
        </w:rPr>
        <w:t xml:space="preserve"> Financial Statements”</w:t>
      </w:r>
      <w:r w:rsidR="006C4BB5">
        <w:rPr>
          <w:rFonts w:cs="Arial"/>
        </w:rPr>
        <w:t xml:space="preserve">) and the </w:t>
      </w:r>
      <w:r>
        <w:rPr>
          <w:rFonts w:cs="Arial"/>
        </w:rPr>
        <w:t>audited December 31, 202</w:t>
      </w:r>
      <w:r w:rsidR="009E06AF">
        <w:rPr>
          <w:rFonts w:cs="Arial"/>
        </w:rPr>
        <w:t>5</w:t>
      </w:r>
      <w:r>
        <w:rPr>
          <w:rFonts w:cs="Arial"/>
        </w:rPr>
        <w:t xml:space="preserve"> consolidated financial statements. The </w:t>
      </w:r>
      <w:r w:rsidR="006C4BB5">
        <w:rPr>
          <w:rFonts w:cs="Arial"/>
        </w:rPr>
        <w:t>Q</w:t>
      </w:r>
      <w:r w:rsidR="00A83AC9">
        <w:rPr>
          <w:rFonts w:cs="Arial"/>
        </w:rPr>
        <w:t>2</w:t>
      </w:r>
      <w:r w:rsidR="006C4BB5">
        <w:rPr>
          <w:rFonts w:cs="Arial"/>
        </w:rPr>
        <w:t xml:space="preserve"> </w:t>
      </w:r>
      <w:r>
        <w:rPr>
          <w:rFonts w:cs="Arial"/>
        </w:rPr>
        <w:t>Financial Statements of the Company have been prepared in accordance with International Financial Reporting Standards</w:t>
      </w:r>
      <w:r w:rsidR="00460220">
        <w:rPr>
          <w:rFonts w:cs="Arial"/>
        </w:rPr>
        <w:t xml:space="preserve"> </w:t>
      </w:r>
      <w:r w:rsidR="00F43291">
        <w:rPr>
          <w:rFonts w:cs="Arial"/>
        </w:rPr>
        <w:t>("</w:t>
      </w:r>
      <w:r w:rsidR="00F43291" w:rsidRPr="00F43291">
        <w:rPr>
          <w:rFonts w:cs="Arial"/>
          <w:b/>
          <w:bCs/>
        </w:rPr>
        <w:t>IFRS</w:t>
      </w:r>
      <w:r w:rsidR="00F43291">
        <w:rPr>
          <w:rFonts w:cs="Arial"/>
        </w:rPr>
        <w:t xml:space="preserve">") </w:t>
      </w:r>
      <w:r w:rsidR="00460220">
        <w:rPr>
          <w:rFonts w:cs="Arial"/>
        </w:rPr>
        <w:t>as issued by the International Accounting Standards Board</w:t>
      </w:r>
      <w:r>
        <w:rPr>
          <w:rFonts w:cs="Arial"/>
        </w:rPr>
        <w:t xml:space="preserve"> (“</w:t>
      </w:r>
      <w:r>
        <w:rPr>
          <w:rFonts w:cs="Arial"/>
          <w:b/>
        </w:rPr>
        <w:t>IFRS</w:t>
      </w:r>
      <w:r w:rsidR="00474DFB">
        <w:rPr>
          <w:rFonts w:cs="Arial"/>
          <w:b/>
        </w:rPr>
        <w:t xml:space="preserve"> Accounting Standards</w:t>
      </w:r>
      <w:r>
        <w:rPr>
          <w:rFonts w:cs="Arial"/>
        </w:rPr>
        <w:t xml:space="preserve">”). </w:t>
      </w:r>
    </w:p>
    <w:p w14:paraId="399021C4" w14:textId="0849C680" w:rsidR="00896089" w:rsidRPr="00AF48D5" w:rsidRDefault="00896089" w:rsidP="00896089">
      <w:pPr>
        <w:widowControl w:val="0"/>
        <w:spacing w:before="120" w:line="240" w:lineRule="atLeast"/>
        <w:ind w:right="25"/>
        <w:jc w:val="both"/>
        <w:rPr>
          <w:rFonts w:cs="Arial"/>
        </w:rPr>
      </w:pPr>
      <w:r>
        <w:rPr>
          <w:rFonts w:cs="Arial"/>
          <w:color w:val="000000"/>
        </w:rPr>
        <w:t xml:space="preserve">The Company’s </w:t>
      </w:r>
      <w:r w:rsidR="00013BD4">
        <w:rPr>
          <w:rFonts w:cs="Arial"/>
          <w:color w:val="000000"/>
        </w:rPr>
        <w:t>Q</w:t>
      </w:r>
      <w:r w:rsidR="00D811F9">
        <w:rPr>
          <w:rFonts w:cs="Arial"/>
          <w:color w:val="000000"/>
        </w:rPr>
        <w:t>2</w:t>
      </w:r>
      <w:r w:rsidR="00013BD4">
        <w:rPr>
          <w:rFonts w:cs="Arial"/>
          <w:color w:val="000000"/>
        </w:rPr>
        <w:t xml:space="preserve"> </w:t>
      </w:r>
      <w:r>
        <w:rPr>
          <w:rFonts w:cs="Arial"/>
          <w:color w:val="000000"/>
        </w:rPr>
        <w:t xml:space="preserve">Financial Statements include the accounts of the Company and its </w:t>
      </w:r>
      <w:proofErr w:type="gramStart"/>
      <w:r>
        <w:rPr>
          <w:rFonts w:cs="Arial"/>
          <w:color w:val="000000"/>
        </w:rPr>
        <w:t>wholly-owned</w:t>
      </w:r>
      <w:proofErr w:type="gramEnd"/>
      <w:r>
        <w:rPr>
          <w:rFonts w:cs="Arial"/>
          <w:color w:val="000000"/>
        </w:rPr>
        <w:t xml:space="preserve"> subsidiaries, </w:t>
      </w:r>
      <w:proofErr w:type="spellStart"/>
      <w:r>
        <w:rPr>
          <w:rFonts w:cs="Arial"/>
          <w:color w:val="000000"/>
        </w:rPr>
        <w:t>CanAmericas</w:t>
      </w:r>
      <w:proofErr w:type="spellEnd"/>
      <w:r>
        <w:rPr>
          <w:rFonts w:cs="Arial"/>
          <w:color w:val="000000"/>
        </w:rPr>
        <w:t xml:space="preserve"> (Argentina) Energy Ltd. and Crown Point Energía S.A.</w:t>
      </w:r>
      <w:r w:rsidR="009B3161">
        <w:rPr>
          <w:rFonts w:cs="Arial"/>
          <w:color w:val="000000"/>
        </w:rPr>
        <w:t xml:space="preserve"> ("</w:t>
      </w:r>
      <w:r w:rsidR="009B3161" w:rsidRPr="009B3161">
        <w:rPr>
          <w:rFonts w:cs="Arial"/>
          <w:b/>
          <w:bCs/>
          <w:color w:val="000000"/>
        </w:rPr>
        <w:t>CPESA</w:t>
      </w:r>
      <w:r w:rsidR="009B3161">
        <w:rPr>
          <w:rFonts w:cs="Arial"/>
          <w:color w:val="000000"/>
        </w:rPr>
        <w:t>")</w:t>
      </w:r>
      <w:r w:rsidR="00EB3B94">
        <w:rPr>
          <w:rFonts w:cs="Arial"/>
          <w:color w:val="000000"/>
        </w:rPr>
        <w:t>.</w:t>
      </w:r>
    </w:p>
    <w:p w14:paraId="14242930" w14:textId="77777777" w:rsidR="003F4333" w:rsidRPr="007D4A51" w:rsidRDefault="003F4333" w:rsidP="005370AC">
      <w:pPr>
        <w:autoSpaceDE w:val="0"/>
        <w:autoSpaceDN w:val="0"/>
        <w:adjustRightInd w:val="0"/>
        <w:spacing w:before="120"/>
        <w:ind w:right="25"/>
        <w:jc w:val="both"/>
        <w:rPr>
          <w:rFonts w:cs="Arial"/>
        </w:rPr>
      </w:pPr>
      <w:r>
        <w:t xml:space="preserve">The functional currency of the Company’s two subsidiaries is the </w:t>
      </w:r>
      <w:r>
        <w:rPr>
          <w:rFonts w:cs="Arial"/>
        </w:rPr>
        <w:t>United States dollar (“</w:t>
      </w:r>
      <w:r>
        <w:rPr>
          <w:rFonts w:cs="Arial"/>
          <w:b/>
        </w:rPr>
        <w:t>USD</w:t>
      </w:r>
      <w:r>
        <w:rPr>
          <w:rFonts w:cs="Arial"/>
        </w:rPr>
        <w:t xml:space="preserve">”); </w:t>
      </w:r>
      <w:r>
        <w:t>the functional currency of the Company is the Canadian dollar (“</w:t>
      </w:r>
      <w:r>
        <w:rPr>
          <w:b/>
        </w:rPr>
        <w:t>CAD</w:t>
      </w:r>
      <w:r>
        <w:t xml:space="preserve">”).  </w:t>
      </w:r>
      <w:r>
        <w:rPr>
          <w:rFonts w:cs="Arial"/>
        </w:rPr>
        <w:t>The Company’s presentation currency is the USD.  In this MD&amp;A, unless otherwise noted, all dollar amounts are expressed in</w:t>
      </w:r>
      <w:r>
        <w:t xml:space="preserve"> USD</w:t>
      </w:r>
      <w:r>
        <w:rPr>
          <w:rFonts w:cs="Arial"/>
        </w:rPr>
        <w:t>.  References to "</w:t>
      </w:r>
      <w:r>
        <w:rPr>
          <w:rFonts w:cs="Arial"/>
          <w:b/>
          <w:bCs/>
        </w:rPr>
        <w:t>ARS</w:t>
      </w:r>
      <w:r>
        <w:rPr>
          <w:rFonts w:cs="Arial"/>
        </w:rPr>
        <w:t>" are to Argentina Pesos.</w:t>
      </w:r>
    </w:p>
    <w:p w14:paraId="4A4CCAE3" w14:textId="60102C9A" w:rsidR="00F1738C" w:rsidRDefault="00F1738C" w:rsidP="005370AC">
      <w:pPr>
        <w:autoSpaceDE w:val="0"/>
        <w:autoSpaceDN w:val="0"/>
        <w:adjustRightInd w:val="0"/>
        <w:spacing w:before="120"/>
        <w:ind w:right="25"/>
        <w:jc w:val="both"/>
      </w:pPr>
      <w:r>
        <w:t>Throughout this MD&amp;A and in other materials disclosed by the Company, we adhere to IFRS</w:t>
      </w:r>
      <w:r w:rsidR="008A67BA">
        <w:t xml:space="preserve"> Accounting Standards</w:t>
      </w:r>
      <w:r>
        <w:t>, however the Company also employs certain non-IFRS measures to analyze financial performance, financial position, and cash flow, including "operating netback".  Additionally, other financial measures are also used to analyze performance. These non-IFRS and other financial measures do not have any standardized meaning prescribed by IFRS</w:t>
      </w:r>
      <w:r w:rsidR="008A67BA" w:rsidRPr="008A67BA">
        <w:t xml:space="preserve"> </w:t>
      </w:r>
      <w:r w:rsidR="008A67BA">
        <w:t>Accounting Standards</w:t>
      </w:r>
      <w:r>
        <w:t xml:space="preserve"> and therefore may not be comparable to similar measures provided by other issuers.  The non-IFRS and other financial measures should not be considered to be more meaningful than financial measures which are determined in accordance with IFRS</w:t>
      </w:r>
      <w:r w:rsidR="008A67BA" w:rsidRPr="008A67BA">
        <w:t xml:space="preserve"> </w:t>
      </w:r>
      <w:r w:rsidR="008A67BA">
        <w:t>Accounting Standards</w:t>
      </w:r>
      <w:r>
        <w:t xml:space="preserve">, such as </w:t>
      </w:r>
      <w:r>
        <w:rPr>
          <w:rFonts w:cs="Arial"/>
        </w:rPr>
        <w:t>net income (loss), oil and natural gas sales revenue and net cash provided by (used in) operating activities</w:t>
      </w:r>
      <w:r>
        <w:t xml:space="preserve">, as indicators of our performance.  This MD&amp;A also contains oil and natural gas information, abbreviations and forward-looking information relating to future events and the Company’s future performance.  Please refer to “Non-IFRS and Other Financial Measures”, “Abbreviations and BOE Presentation” and “Advisories” sections at the end of this MD&amp;A for further information. </w:t>
      </w:r>
    </w:p>
    <w:p w14:paraId="26B9A941" w14:textId="62CC0C90" w:rsidR="00896089" w:rsidRDefault="00896089" w:rsidP="00896089">
      <w:pPr>
        <w:widowControl w:val="0"/>
        <w:spacing w:before="120"/>
        <w:ind w:right="25"/>
        <w:jc w:val="both"/>
        <w:rPr>
          <w:rFonts w:cs="Arial"/>
        </w:rPr>
      </w:pPr>
      <w:r>
        <w:rPr>
          <w:rFonts w:cs="Arial"/>
        </w:rPr>
        <w:t xml:space="preserve">Additional information relating to Crown Point, including Crown Point’s </w:t>
      </w:r>
      <w:r w:rsidR="006C4BB5">
        <w:rPr>
          <w:rFonts w:cs="Arial"/>
        </w:rPr>
        <w:t>Q</w:t>
      </w:r>
      <w:r w:rsidR="00D811F9">
        <w:rPr>
          <w:rFonts w:cs="Arial"/>
        </w:rPr>
        <w:t>2</w:t>
      </w:r>
      <w:r w:rsidR="006C4BB5">
        <w:rPr>
          <w:rFonts w:cs="Arial"/>
        </w:rPr>
        <w:t xml:space="preserve"> Financial Statements, </w:t>
      </w:r>
      <w:r>
        <w:rPr>
          <w:rFonts w:cs="Arial"/>
        </w:rPr>
        <w:t xml:space="preserve">audited December 31, </w:t>
      </w:r>
      <w:proofErr w:type="gramStart"/>
      <w:r>
        <w:rPr>
          <w:rFonts w:cs="Arial"/>
        </w:rPr>
        <w:t>202</w:t>
      </w:r>
      <w:r w:rsidR="009E06AF">
        <w:rPr>
          <w:rFonts w:cs="Arial"/>
        </w:rPr>
        <w:t>5</w:t>
      </w:r>
      <w:proofErr w:type="gramEnd"/>
      <w:r>
        <w:rPr>
          <w:rFonts w:cs="Arial"/>
        </w:rPr>
        <w:t xml:space="preserve"> consolidated financial statements and other filings are available on SEDAR+ at </w:t>
      </w:r>
      <w:hyperlink r:id="rId56" w:history="1">
        <w:r w:rsidRPr="00520118">
          <w:rPr>
            <w:rStyle w:val="Hyperlink"/>
            <w:rFonts w:cs="Arial"/>
          </w:rPr>
          <w:t>www.sedarplus.c</w:t>
        </w:r>
      </w:hyperlink>
      <w:r>
        <w:rPr>
          <w:rStyle w:val="Hyperlink"/>
          <w:rFonts w:cs="Arial"/>
        </w:rPr>
        <w:t>a</w:t>
      </w:r>
      <w:r>
        <w:rPr>
          <w:rFonts w:cs="Arial"/>
        </w:rPr>
        <w:t xml:space="preserve">. </w:t>
      </w:r>
    </w:p>
    <w:p w14:paraId="7121BF8F" w14:textId="0498A12B" w:rsidR="00A037A1" w:rsidRDefault="00A037A1" w:rsidP="005370AC">
      <w:pPr>
        <w:widowControl w:val="0"/>
        <w:spacing w:before="120"/>
        <w:ind w:right="25"/>
        <w:jc w:val="both"/>
      </w:pPr>
      <w:r>
        <w:t xml:space="preserve">In the following discussion, the three </w:t>
      </w:r>
      <w:r w:rsidR="00821146">
        <w:t xml:space="preserve">and six </w:t>
      </w:r>
      <w:r w:rsidR="00BB52A6">
        <w:t xml:space="preserve">months </w:t>
      </w:r>
      <w:r w:rsidR="00DA2A1A">
        <w:t xml:space="preserve">ended </w:t>
      </w:r>
      <w:r w:rsidR="00D811F9">
        <w:t>June 30</w:t>
      </w:r>
      <w:r w:rsidR="006C4BB5">
        <w:t xml:space="preserve">, </w:t>
      </w:r>
      <w:proofErr w:type="gramStart"/>
      <w:r w:rsidR="006C4BB5">
        <w:t>202</w:t>
      </w:r>
      <w:r w:rsidR="009E06AF">
        <w:t>6</w:t>
      </w:r>
      <w:proofErr w:type="gramEnd"/>
      <w:r>
        <w:t xml:space="preserve"> may be referred to as “</w:t>
      </w:r>
      <w:r w:rsidRPr="005D6A6D">
        <w:rPr>
          <w:b/>
          <w:bCs/>
        </w:rPr>
        <w:t>Q</w:t>
      </w:r>
      <w:r w:rsidR="00D811F9">
        <w:rPr>
          <w:b/>
          <w:bCs/>
        </w:rPr>
        <w:t>2</w:t>
      </w:r>
      <w:r w:rsidRPr="005D6A6D">
        <w:rPr>
          <w:b/>
          <w:bCs/>
        </w:rPr>
        <w:t xml:space="preserve"> 202</w:t>
      </w:r>
      <w:r w:rsidR="009E06AF">
        <w:rPr>
          <w:b/>
          <w:bCs/>
        </w:rPr>
        <w:t>6</w:t>
      </w:r>
      <w:r>
        <w:t>”</w:t>
      </w:r>
      <w:r w:rsidR="00821146">
        <w:t xml:space="preserve"> and “</w:t>
      </w:r>
      <w:r w:rsidR="00821146" w:rsidRPr="005D6A6D">
        <w:rPr>
          <w:b/>
          <w:bCs/>
        </w:rPr>
        <w:t>the June 202</w:t>
      </w:r>
      <w:r w:rsidR="00821146">
        <w:rPr>
          <w:b/>
          <w:bCs/>
        </w:rPr>
        <w:t>6</w:t>
      </w:r>
      <w:r w:rsidR="00821146" w:rsidRPr="005D6A6D">
        <w:rPr>
          <w:b/>
          <w:bCs/>
        </w:rPr>
        <w:t xml:space="preserve"> period</w:t>
      </w:r>
      <w:r w:rsidR="00821146">
        <w:t>”, respectively, and as “</w:t>
      </w:r>
      <w:r w:rsidR="00821146" w:rsidRPr="005D6A6D">
        <w:rPr>
          <w:b/>
          <w:bCs/>
        </w:rPr>
        <w:t>the 202</w:t>
      </w:r>
      <w:r w:rsidR="00821146">
        <w:rPr>
          <w:b/>
          <w:bCs/>
        </w:rPr>
        <w:t>6</w:t>
      </w:r>
      <w:r w:rsidR="00821146" w:rsidRPr="005D6A6D">
        <w:rPr>
          <w:b/>
          <w:bCs/>
        </w:rPr>
        <w:t xml:space="preserve"> periods</w:t>
      </w:r>
      <w:r w:rsidR="00821146">
        <w:t>” collectively</w:t>
      </w:r>
      <w:r>
        <w:t xml:space="preserve">.  The comparative three </w:t>
      </w:r>
      <w:r w:rsidR="00821146">
        <w:t xml:space="preserve">and six </w:t>
      </w:r>
      <w:r w:rsidR="00BB52A6">
        <w:t xml:space="preserve">months </w:t>
      </w:r>
      <w:r w:rsidR="006C4BB5">
        <w:t xml:space="preserve">ended </w:t>
      </w:r>
      <w:r w:rsidR="00D811F9">
        <w:t>June 30</w:t>
      </w:r>
      <w:r w:rsidR="006C4BB5">
        <w:t xml:space="preserve">, </w:t>
      </w:r>
      <w:proofErr w:type="gramStart"/>
      <w:r w:rsidR="006C4BB5">
        <w:t>202</w:t>
      </w:r>
      <w:r w:rsidR="009E06AF">
        <w:t>5</w:t>
      </w:r>
      <w:proofErr w:type="gramEnd"/>
      <w:r>
        <w:t xml:space="preserve"> may be referred to as “</w:t>
      </w:r>
      <w:r w:rsidRPr="005D6A6D">
        <w:rPr>
          <w:b/>
          <w:bCs/>
        </w:rPr>
        <w:t>Q</w:t>
      </w:r>
      <w:r w:rsidR="00D811F9">
        <w:rPr>
          <w:b/>
          <w:bCs/>
        </w:rPr>
        <w:t>2</w:t>
      </w:r>
      <w:r w:rsidRPr="005D6A6D">
        <w:rPr>
          <w:b/>
          <w:bCs/>
        </w:rPr>
        <w:t xml:space="preserve"> 202</w:t>
      </w:r>
      <w:r w:rsidR="009E06AF">
        <w:rPr>
          <w:b/>
          <w:bCs/>
        </w:rPr>
        <w:t>5</w:t>
      </w:r>
      <w:r>
        <w:t>”</w:t>
      </w:r>
      <w:r w:rsidR="00821146">
        <w:t xml:space="preserve"> and “</w:t>
      </w:r>
      <w:r w:rsidR="00821146" w:rsidRPr="005D6A6D">
        <w:rPr>
          <w:b/>
          <w:bCs/>
        </w:rPr>
        <w:t>the June 202</w:t>
      </w:r>
      <w:r w:rsidR="00821146">
        <w:rPr>
          <w:b/>
          <w:bCs/>
        </w:rPr>
        <w:t>5</w:t>
      </w:r>
      <w:r w:rsidR="00821146" w:rsidRPr="005D6A6D">
        <w:rPr>
          <w:b/>
          <w:bCs/>
        </w:rPr>
        <w:t xml:space="preserve"> period</w:t>
      </w:r>
      <w:r w:rsidR="00821146">
        <w:t>”, respectively, and as “</w:t>
      </w:r>
      <w:r w:rsidR="00821146" w:rsidRPr="005D6A6D">
        <w:rPr>
          <w:b/>
          <w:bCs/>
        </w:rPr>
        <w:t>the 202</w:t>
      </w:r>
      <w:r w:rsidR="00821146">
        <w:rPr>
          <w:b/>
          <w:bCs/>
        </w:rPr>
        <w:t>5</w:t>
      </w:r>
      <w:r w:rsidR="00821146" w:rsidRPr="005D6A6D">
        <w:rPr>
          <w:b/>
          <w:bCs/>
        </w:rPr>
        <w:t xml:space="preserve"> periods</w:t>
      </w:r>
      <w:r w:rsidR="00821146">
        <w:t xml:space="preserve">” collectively.  </w:t>
      </w:r>
      <w:r>
        <w:t xml:space="preserve">The previous </w:t>
      </w:r>
      <w:r w:rsidR="00E30AB6">
        <w:t>three</w:t>
      </w:r>
      <w:r>
        <w:t xml:space="preserve">-month period ended </w:t>
      </w:r>
      <w:r w:rsidR="00D811F9">
        <w:t xml:space="preserve">March 31, </w:t>
      </w:r>
      <w:proofErr w:type="gramStart"/>
      <w:r w:rsidR="00D811F9">
        <w:t>2026</w:t>
      </w:r>
      <w:proofErr w:type="gramEnd"/>
      <w:r>
        <w:t xml:space="preserve"> may be referred to as “</w:t>
      </w:r>
      <w:r w:rsidRPr="005D6A6D">
        <w:rPr>
          <w:b/>
          <w:bCs/>
        </w:rPr>
        <w:t>Q</w:t>
      </w:r>
      <w:r w:rsidR="00D811F9">
        <w:rPr>
          <w:b/>
          <w:bCs/>
        </w:rPr>
        <w:t>1</w:t>
      </w:r>
      <w:r w:rsidR="00DA2A1A">
        <w:rPr>
          <w:b/>
          <w:bCs/>
        </w:rPr>
        <w:t xml:space="preserve"> </w:t>
      </w:r>
      <w:r w:rsidRPr="005D6A6D">
        <w:rPr>
          <w:b/>
          <w:bCs/>
        </w:rPr>
        <w:t>202</w:t>
      </w:r>
      <w:r w:rsidR="00D811F9">
        <w:rPr>
          <w:b/>
          <w:bCs/>
        </w:rPr>
        <w:t>6</w:t>
      </w:r>
      <w:r>
        <w:t xml:space="preserve">”.  </w:t>
      </w:r>
    </w:p>
    <w:p w14:paraId="562A0FF5" w14:textId="77777777" w:rsidR="00CD72E7" w:rsidRPr="000C2844" w:rsidRDefault="00CD72E7" w:rsidP="00643D6D">
      <w:pPr>
        <w:widowControl w:val="0"/>
        <w:spacing w:before="240" w:after="120"/>
        <w:ind w:right="23"/>
        <w:jc w:val="both"/>
        <w:rPr>
          <w:rFonts w:cs="Arial"/>
          <w:b/>
          <w:bCs/>
          <w:caps/>
          <w:color w:val="000000"/>
          <w:sz w:val="24"/>
          <w:szCs w:val="24"/>
        </w:rPr>
      </w:pPr>
      <w:r>
        <w:rPr>
          <w:rFonts w:cs="Arial"/>
          <w:b/>
          <w:bCs/>
          <w:caps/>
          <w:color w:val="000000"/>
          <w:sz w:val="24"/>
          <w:szCs w:val="24"/>
        </w:rPr>
        <w:t>corporate OVERVIEW AND Strategy</w:t>
      </w:r>
    </w:p>
    <w:p w14:paraId="44F44BF4" w14:textId="3C423481" w:rsidR="00782086" w:rsidRDefault="00782086" w:rsidP="00782086">
      <w:pPr>
        <w:widowControl w:val="0"/>
        <w:spacing w:before="120"/>
        <w:ind w:right="25"/>
        <w:jc w:val="both"/>
      </w:pPr>
      <w:bookmarkStart w:id="0" w:name="_Hlk160954694"/>
      <w:bookmarkStart w:id="1" w:name="_Hlk63947312"/>
      <w:bookmarkStart w:id="2" w:name="_Hlk63947042"/>
      <w:bookmarkStart w:id="3" w:name="_Hlk133913085"/>
      <w:bookmarkStart w:id="4" w:name="_Hlk158988905"/>
      <w:r>
        <w:t>Crown Point (TSX-</w:t>
      </w:r>
      <w:proofErr w:type="gramStart"/>
      <w:r>
        <w:t>V:CWV</w:t>
      </w:r>
      <w:proofErr w:type="gramEnd"/>
      <w:r>
        <w:t xml:space="preserve">) is a Calgary-based junior international oil and gas company with producing assets and an opportunity base in four producing basins in Argentina: </w:t>
      </w:r>
      <w:proofErr w:type="gramStart"/>
      <w:r>
        <w:t>the</w:t>
      </w:r>
      <w:proofErr w:type="gramEnd"/>
      <w:r>
        <w:t xml:space="preserve"> Austral basin in the Province of Tierra del Fuego (“</w:t>
      </w:r>
      <w:r>
        <w:rPr>
          <w:b/>
        </w:rPr>
        <w:t>TDF</w:t>
      </w:r>
      <w:r>
        <w:t xml:space="preserve">”), the San Jorge Basin in the provinces of Santa Cruz and Chubut, and the Neuquén and Cuyo basins, in the Province of Mendoza. </w:t>
      </w:r>
    </w:p>
    <w:p w14:paraId="6B12BB3C" w14:textId="77777777" w:rsidR="00782086" w:rsidRDefault="00782086" w:rsidP="00782086">
      <w:pPr>
        <w:widowControl w:val="0"/>
        <w:spacing w:before="120"/>
        <w:jc w:val="both"/>
      </w:pPr>
      <w:r>
        <w:t xml:space="preserve">The Company’s strategy is designed to deliver low-risk growth and capitalize on large potential exploration upside. Specifically, Crown Point is focused on increasing its production base in Santa Cruz, Chubut, TDF and Mendoza through exploration and development drilling supplemented by recompletion and fracture stimulation of select older producing wells. The Company’s production is derived from its participating interest in the Piedra </w:t>
      </w:r>
      <w:proofErr w:type="spellStart"/>
      <w:r>
        <w:t>Clavada</w:t>
      </w:r>
      <w:proofErr w:type="spellEnd"/>
      <w:r>
        <w:t xml:space="preserve"> and </w:t>
      </w:r>
      <w:proofErr w:type="spellStart"/>
      <w:r>
        <w:t>Koluel</w:t>
      </w:r>
      <w:proofErr w:type="spellEnd"/>
      <w:r>
        <w:t xml:space="preserve"> Kaike hydrocarbon exploitation concessions in Santa Cruz (the </w:t>
      </w:r>
      <w:r>
        <w:lastRenderedPageBreak/>
        <w:t>“</w:t>
      </w:r>
      <w:r w:rsidRPr="00CE5457">
        <w:rPr>
          <w:b/>
          <w:bCs/>
        </w:rPr>
        <w:t>Santa Cruz Concessions</w:t>
      </w:r>
      <w:r>
        <w:t xml:space="preserve">”), </w:t>
      </w:r>
      <w:r w:rsidRPr="003E45D9">
        <w:t xml:space="preserve">the El </w:t>
      </w:r>
      <w:proofErr w:type="spellStart"/>
      <w:r w:rsidRPr="003E45D9">
        <w:t>Tordillo</w:t>
      </w:r>
      <w:proofErr w:type="spellEnd"/>
      <w:r w:rsidRPr="003E45D9">
        <w:t xml:space="preserve">, La Tapera and Puesto Quiroga hydrocarbons exploitation concessions </w:t>
      </w:r>
      <w:r>
        <w:t>in Chubut (the "</w:t>
      </w:r>
      <w:r w:rsidRPr="006C36AF">
        <w:rPr>
          <w:b/>
          <w:bCs/>
        </w:rPr>
        <w:t>Chubut Concessions</w:t>
      </w:r>
      <w:r>
        <w:t>"), the Rio Cullen, Las Violetas and La Angostura exploitation concessions in TDF (the “</w:t>
      </w:r>
      <w:r w:rsidRPr="0509CAAE">
        <w:rPr>
          <w:b/>
          <w:bCs/>
        </w:rPr>
        <w:t>TDF Concessions</w:t>
      </w:r>
      <w:r>
        <w:t xml:space="preserve">”), the </w:t>
      </w:r>
      <w:proofErr w:type="spellStart"/>
      <w:r>
        <w:t>Chañares</w:t>
      </w:r>
      <w:proofErr w:type="spellEnd"/>
      <w:r>
        <w:t xml:space="preserve"> </w:t>
      </w:r>
      <w:proofErr w:type="spellStart"/>
      <w:r>
        <w:t>Herrados</w:t>
      </w:r>
      <w:proofErr w:type="spellEnd"/>
      <w:r>
        <w:t xml:space="preserve"> concession in Mendoza (the “</w:t>
      </w:r>
      <w:r w:rsidRPr="0509CAAE">
        <w:rPr>
          <w:b/>
          <w:bCs/>
        </w:rPr>
        <w:t>CH Concession</w:t>
      </w:r>
      <w:r>
        <w:t>” or “</w:t>
      </w:r>
      <w:r w:rsidRPr="0509CAAE">
        <w:rPr>
          <w:b/>
          <w:bCs/>
        </w:rPr>
        <w:t>CH</w:t>
      </w:r>
      <w:r>
        <w:t>”) and the Puesto Pozo Cercado Oriental concession in Mendoza (the “</w:t>
      </w:r>
      <w:r w:rsidRPr="0509CAAE">
        <w:rPr>
          <w:b/>
          <w:bCs/>
        </w:rPr>
        <w:t>PPCO Concession</w:t>
      </w:r>
      <w:r>
        <w:t>” or “</w:t>
      </w:r>
      <w:r w:rsidRPr="0509CAAE">
        <w:rPr>
          <w:b/>
          <w:bCs/>
        </w:rPr>
        <w:t>PPCO</w:t>
      </w:r>
      <w:r>
        <w:t>”).  CH and PPCO may be referred to collectively as the Mendoza Concessions.</w:t>
      </w:r>
    </w:p>
    <w:p w14:paraId="48A5E6B4" w14:textId="77777777" w:rsidR="00782086" w:rsidRDefault="00782086" w:rsidP="00782086">
      <w:pPr>
        <w:widowControl w:val="0"/>
        <w:spacing w:before="120"/>
        <w:jc w:val="both"/>
        <w:rPr>
          <w:rFonts w:cs="Arial"/>
        </w:rPr>
      </w:pPr>
      <w:r>
        <w:t>Crown Point is also conducting an exploration program in its 100% interest in the Cerro de Los Leones (“</w:t>
      </w:r>
      <w:r>
        <w:rPr>
          <w:b/>
        </w:rPr>
        <w:t>CLL</w:t>
      </w:r>
      <w:r>
        <w:t xml:space="preserve">”) exploration </w:t>
      </w:r>
      <w:r w:rsidRPr="00C00A49">
        <w:rPr>
          <w:rFonts w:cs="Arial"/>
        </w:rPr>
        <w:t xml:space="preserve">concession permit (the </w:t>
      </w:r>
      <w:r>
        <w:rPr>
          <w:rFonts w:cs="Arial"/>
        </w:rPr>
        <w:t>“</w:t>
      </w:r>
      <w:r w:rsidRPr="00C00A49">
        <w:rPr>
          <w:rFonts w:cs="Arial"/>
          <w:b/>
        </w:rPr>
        <w:t>CLL Permit</w:t>
      </w:r>
      <w:r>
        <w:rPr>
          <w:rFonts w:cs="Arial"/>
        </w:rPr>
        <w:t>”</w:t>
      </w:r>
      <w:r w:rsidRPr="00C00A49">
        <w:rPr>
          <w:rFonts w:cs="Arial"/>
        </w:rPr>
        <w:t xml:space="preserve">) in the Province of Mendoza. </w:t>
      </w:r>
    </w:p>
    <w:p w14:paraId="2E3BA390" w14:textId="1252C6C6" w:rsidR="00DF22F5" w:rsidRPr="00E73EC2" w:rsidRDefault="00DF22F5" w:rsidP="00643D6D">
      <w:pPr>
        <w:widowControl w:val="0"/>
        <w:pBdr>
          <w:top w:val="nil"/>
          <w:left w:val="nil"/>
          <w:bottom w:val="nil"/>
          <w:right w:val="nil"/>
          <w:between w:val="nil"/>
        </w:pBdr>
        <w:spacing w:before="240"/>
        <w:jc w:val="both"/>
        <w:rPr>
          <w:rFonts w:cs="Arial"/>
          <w:b/>
          <w:bCs/>
          <w:caps/>
          <w:color w:val="000000"/>
          <w:sz w:val="24"/>
          <w:szCs w:val="24"/>
        </w:rPr>
      </w:pPr>
      <w:r w:rsidRPr="00E73EC2">
        <w:rPr>
          <w:rFonts w:cs="Arial"/>
          <w:b/>
          <w:bCs/>
          <w:caps/>
          <w:color w:val="000000"/>
          <w:sz w:val="24"/>
          <w:szCs w:val="24"/>
        </w:rPr>
        <w:t>operational update</w:t>
      </w:r>
      <w:r w:rsidR="002F3472" w:rsidRPr="00E73EC2">
        <w:rPr>
          <w:rFonts w:cs="Arial"/>
          <w:b/>
          <w:bCs/>
          <w:caps/>
          <w:color w:val="000000"/>
          <w:sz w:val="24"/>
          <w:szCs w:val="24"/>
        </w:rPr>
        <w:t xml:space="preserve"> </w:t>
      </w:r>
    </w:p>
    <w:p w14:paraId="3326B527" w14:textId="77777777" w:rsidR="00E73EC2" w:rsidRPr="001A78EB" w:rsidRDefault="00E73EC2" w:rsidP="00E73EC2">
      <w:pPr>
        <w:spacing w:before="120"/>
        <w:jc w:val="both"/>
        <w:rPr>
          <w:b/>
          <w:bCs/>
          <w:u w:val="single"/>
        </w:rPr>
      </w:pPr>
      <w:r w:rsidRPr="001A78EB">
        <w:rPr>
          <w:b/>
          <w:bCs/>
          <w:u w:val="single"/>
        </w:rPr>
        <w:t>Chubut Concessions</w:t>
      </w:r>
    </w:p>
    <w:p w14:paraId="6F007973" w14:textId="031702DA" w:rsidR="00E73EC2" w:rsidRDefault="00E73EC2" w:rsidP="00E73EC2">
      <w:pPr>
        <w:spacing w:before="120"/>
        <w:jc w:val="both"/>
      </w:pPr>
      <w:r w:rsidRPr="00D00581">
        <w:t>During Q</w:t>
      </w:r>
      <w:r w:rsidR="00821146" w:rsidRPr="00D00581">
        <w:t>2</w:t>
      </w:r>
      <w:r w:rsidRPr="00D00581">
        <w:t xml:space="preserve"> 2026, El </w:t>
      </w:r>
      <w:proofErr w:type="spellStart"/>
      <w:r w:rsidRPr="00D00581">
        <w:t>Tordillo</w:t>
      </w:r>
      <w:proofErr w:type="spellEnd"/>
      <w:r w:rsidRPr="00D00581">
        <w:t xml:space="preserve"> concession oil production averaged </w:t>
      </w:r>
      <w:r w:rsidR="004E18D2" w:rsidRPr="00D00581">
        <w:t>4,</w:t>
      </w:r>
      <w:r w:rsidR="00D00581">
        <w:t>213</w:t>
      </w:r>
      <w:r w:rsidRPr="00D00581">
        <w:t xml:space="preserve"> (net </w:t>
      </w:r>
      <w:r w:rsidR="00D00581">
        <w:t>4,003</w:t>
      </w:r>
      <w:r w:rsidRPr="00D00581">
        <w:t xml:space="preserve">) </w:t>
      </w:r>
      <w:proofErr w:type="spellStart"/>
      <w:r w:rsidRPr="00D00581">
        <w:t>bbls</w:t>
      </w:r>
      <w:proofErr w:type="spellEnd"/>
      <w:r w:rsidRPr="00D00581">
        <w:t xml:space="preserve"> of oil per day, La Tapera concession oil production averaged </w:t>
      </w:r>
      <w:r w:rsidR="00D00581">
        <w:t>28</w:t>
      </w:r>
      <w:r w:rsidR="004E18D2" w:rsidRPr="00D00581">
        <w:t xml:space="preserve"> </w:t>
      </w:r>
      <w:r w:rsidRPr="00D00581">
        <w:t xml:space="preserve">(net </w:t>
      </w:r>
      <w:r w:rsidR="00D00581">
        <w:t>27</w:t>
      </w:r>
      <w:r w:rsidRPr="00D00581">
        <w:t xml:space="preserve">) </w:t>
      </w:r>
      <w:proofErr w:type="spellStart"/>
      <w:r w:rsidRPr="00D00581">
        <w:t>bbls</w:t>
      </w:r>
      <w:proofErr w:type="spellEnd"/>
      <w:r w:rsidRPr="00D00581">
        <w:t xml:space="preserve"> of oil per day and Puesto Quiroga concession oil production averaged </w:t>
      </w:r>
      <w:r w:rsidR="00D00581">
        <w:t>155</w:t>
      </w:r>
      <w:r w:rsidRPr="00D00581">
        <w:t xml:space="preserve"> (net </w:t>
      </w:r>
      <w:r w:rsidR="004E18D2" w:rsidRPr="00D00581">
        <w:t>1</w:t>
      </w:r>
      <w:r w:rsidR="00D00581">
        <w:t>47</w:t>
      </w:r>
      <w:r w:rsidRPr="00D00581">
        <w:t xml:space="preserve">) </w:t>
      </w:r>
      <w:proofErr w:type="spellStart"/>
      <w:r w:rsidRPr="00D00581">
        <w:t>bbls</w:t>
      </w:r>
      <w:proofErr w:type="spellEnd"/>
      <w:r w:rsidRPr="00D00581">
        <w:t xml:space="preserve"> of oil per day.  Natural gas production from</w:t>
      </w:r>
      <w:r w:rsidR="00BE4E0E" w:rsidRPr="00D00581">
        <w:t xml:space="preserve"> the</w:t>
      </w:r>
      <w:r w:rsidRPr="00D00581">
        <w:t xml:space="preserve"> El </w:t>
      </w:r>
      <w:proofErr w:type="spellStart"/>
      <w:r w:rsidRPr="00D00581">
        <w:t>Tordillo</w:t>
      </w:r>
      <w:proofErr w:type="spellEnd"/>
      <w:r w:rsidR="004E18D2" w:rsidRPr="00D00581">
        <w:t xml:space="preserve"> and Puesto Quiroga</w:t>
      </w:r>
      <w:r w:rsidRPr="00D00581">
        <w:t xml:space="preserve"> concession</w:t>
      </w:r>
      <w:r w:rsidR="00BE4E0E" w:rsidRPr="00D00581">
        <w:t>s</w:t>
      </w:r>
      <w:r w:rsidRPr="00D00581">
        <w:t xml:space="preserve"> averaged </w:t>
      </w:r>
      <w:r w:rsidR="004E18D2" w:rsidRPr="00D00581">
        <w:t>3</w:t>
      </w:r>
      <w:r w:rsidR="00720AB5" w:rsidRPr="00D00581">
        <w:t>,250</w:t>
      </w:r>
      <w:r w:rsidRPr="00D00581">
        <w:t xml:space="preserve"> (net </w:t>
      </w:r>
      <w:r w:rsidR="004E18D2" w:rsidRPr="00D00581">
        <w:t>3,</w:t>
      </w:r>
      <w:r w:rsidR="00720AB5" w:rsidRPr="00D00581">
        <w:t>087</w:t>
      </w:r>
      <w:r w:rsidRPr="00D00581">
        <w:t>) mcf per day</w:t>
      </w:r>
      <w:r w:rsidR="004E18D2" w:rsidRPr="00D00581">
        <w:t>.</w:t>
      </w:r>
      <w:r w:rsidR="004E18D2" w:rsidRPr="00D00581">
        <w:rPr>
          <w:rFonts w:cs="Arial"/>
          <w:color w:val="000000"/>
        </w:rPr>
        <w:t xml:space="preserve"> </w:t>
      </w:r>
      <w:r w:rsidR="00D00581" w:rsidRPr="00D00581">
        <w:rPr>
          <w:rFonts w:cs="Arial"/>
          <w:color w:val="000000"/>
        </w:rPr>
        <w:t xml:space="preserve">During Q2 2026, the Company performed workovers on eight oil producing wells in the </w:t>
      </w:r>
      <w:proofErr w:type="spellStart"/>
      <w:r w:rsidR="00D00581" w:rsidRPr="00D00581">
        <w:rPr>
          <w:rFonts w:cs="Arial"/>
          <w:color w:val="000000"/>
        </w:rPr>
        <w:t>Tordillo</w:t>
      </w:r>
      <w:proofErr w:type="spellEnd"/>
      <w:r w:rsidR="00D00581" w:rsidRPr="00D00581">
        <w:rPr>
          <w:rFonts w:cs="Arial"/>
          <w:color w:val="000000"/>
        </w:rPr>
        <w:t xml:space="preserve"> </w:t>
      </w:r>
      <w:r w:rsidR="00D00581">
        <w:rPr>
          <w:rFonts w:cs="Arial"/>
          <w:color w:val="000000"/>
        </w:rPr>
        <w:t>c</w:t>
      </w:r>
      <w:r w:rsidR="00D00581" w:rsidRPr="00D00581">
        <w:rPr>
          <w:rFonts w:cs="Arial"/>
          <w:color w:val="000000"/>
        </w:rPr>
        <w:t>oncession.</w:t>
      </w:r>
    </w:p>
    <w:p w14:paraId="23E08466" w14:textId="7B87535C" w:rsidR="00A7727E" w:rsidRPr="000E5EAD" w:rsidRDefault="00A7727E" w:rsidP="00A7727E">
      <w:pPr>
        <w:spacing w:before="120"/>
        <w:jc w:val="both"/>
        <w:rPr>
          <w:b/>
          <w:bCs/>
          <w:u w:val="single"/>
        </w:rPr>
      </w:pPr>
      <w:r w:rsidRPr="00E73EC2">
        <w:rPr>
          <w:b/>
          <w:bCs/>
          <w:u w:val="single"/>
        </w:rPr>
        <w:t>Santa Cruz Concessions</w:t>
      </w:r>
    </w:p>
    <w:p w14:paraId="5DFF9929" w14:textId="17B51CA4" w:rsidR="00D00581" w:rsidRPr="00D00581" w:rsidRDefault="00A7727E" w:rsidP="00D00581">
      <w:pPr>
        <w:spacing w:before="120"/>
        <w:jc w:val="both"/>
        <w:rPr>
          <w:rFonts w:cs="Arial"/>
          <w:bCs/>
          <w:highlight w:val="yellow"/>
          <w:lang w:val="en-US"/>
        </w:rPr>
      </w:pPr>
      <w:r w:rsidRPr="000E5EAD">
        <w:t>During Q</w:t>
      </w:r>
      <w:r w:rsidR="00821146">
        <w:t>2</w:t>
      </w:r>
      <w:r w:rsidRPr="000E5EAD">
        <w:t xml:space="preserve"> 202</w:t>
      </w:r>
      <w:r w:rsidR="000A0882">
        <w:t>6</w:t>
      </w:r>
      <w:r w:rsidRPr="000E5EAD">
        <w:t xml:space="preserve">, </w:t>
      </w:r>
      <w:r w:rsidRPr="000E5EAD">
        <w:rPr>
          <w:rFonts w:cs="Arial"/>
          <w:color w:val="000000"/>
        </w:rPr>
        <w:t xml:space="preserve">Piedra </w:t>
      </w:r>
      <w:proofErr w:type="spellStart"/>
      <w:r w:rsidRPr="000E5EAD">
        <w:rPr>
          <w:rFonts w:cs="Arial"/>
          <w:color w:val="000000"/>
        </w:rPr>
        <w:t>Clavada</w:t>
      </w:r>
      <w:proofErr w:type="spellEnd"/>
      <w:r w:rsidRPr="000E5EAD">
        <w:rPr>
          <w:rFonts w:cs="Arial"/>
          <w:color w:val="000000"/>
        </w:rPr>
        <w:t xml:space="preserve"> </w:t>
      </w:r>
      <w:r w:rsidR="00BE4E0E">
        <w:rPr>
          <w:rFonts w:cs="Arial"/>
          <w:color w:val="000000"/>
        </w:rPr>
        <w:t>c</w:t>
      </w:r>
      <w:r w:rsidR="00BE4E0E" w:rsidRPr="000E5EAD">
        <w:rPr>
          <w:rFonts w:cs="Arial"/>
          <w:color w:val="000000"/>
        </w:rPr>
        <w:t xml:space="preserve">oncession </w:t>
      </w:r>
      <w:r w:rsidRPr="000E5EAD">
        <w:rPr>
          <w:rFonts w:cs="Arial"/>
          <w:color w:val="000000"/>
        </w:rPr>
        <w:t xml:space="preserve">oil production averaged </w:t>
      </w:r>
      <w:r w:rsidR="00720AB5">
        <w:rPr>
          <w:rFonts w:cs="Arial"/>
          <w:color w:val="000000"/>
        </w:rPr>
        <w:t>1,675</w:t>
      </w:r>
      <w:r w:rsidR="006A2622">
        <w:rPr>
          <w:rFonts w:cs="Arial"/>
          <w:color w:val="000000"/>
        </w:rPr>
        <w:t xml:space="preserve"> </w:t>
      </w:r>
      <w:proofErr w:type="spellStart"/>
      <w:r w:rsidRPr="000E5EAD">
        <w:rPr>
          <w:rFonts w:cs="Arial"/>
          <w:color w:val="000000"/>
        </w:rPr>
        <w:t>bbls</w:t>
      </w:r>
      <w:proofErr w:type="spellEnd"/>
      <w:r w:rsidRPr="000E5EAD">
        <w:rPr>
          <w:rFonts w:cs="Arial"/>
          <w:color w:val="000000"/>
        </w:rPr>
        <w:t xml:space="preserve"> of oil per day and </w:t>
      </w:r>
      <w:proofErr w:type="spellStart"/>
      <w:r w:rsidRPr="000E5EAD">
        <w:rPr>
          <w:rFonts w:cs="Arial"/>
          <w:color w:val="000000"/>
        </w:rPr>
        <w:t>Koluel</w:t>
      </w:r>
      <w:proofErr w:type="spellEnd"/>
      <w:r w:rsidRPr="000E5EAD">
        <w:rPr>
          <w:rFonts w:cs="Arial"/>
          <w:color w:val="000000"/>
        </w:rPr>
        <w:t xml:space="preserve"> Kaike concession oil production averaged </w:t>
      </w:r>
      <w:r w:rsidR="00720AB5">
        <w:rPr>
          <w:rFonts w:cs="Arial"/>
          <w:color w:val="000000"/>
        </w:rPr>
        <w:t>891</w:t>
      </w:r>
      <w:r w:rsidR="006A2622">
        <w:rPr>
          <w:rFonts w:cs="Arial"/>
          <w:color w:val="000000"/>
        </w:rPr>
        <w:t xml:space="preserve"> </w:t>
      </w:r>
      <w:proofErr w:type="spellStart"/>
      <w:r w:rsidRPr="000E5EAD">
        <w:rPr>
          <w:rFonts w:cs="Arial"/>
          <w:color w:val="000000"/>
        </w:rPr>
        <w:t>bbls</w:t>
      </w:r>
      <w:proofErr w:type="spellEnd"/>
      <w:r w:rsidRPr="000E5EAD">
        <w:rPr>
          <w:rFonts w:cs="Arial"/>
          <w:color w:val="000000"/>
        </w:rPr>
        <w:t xml:space="preserve"> of oil per day</w:t>
      </w:r>
      <w:r w:rsidRPr="00D00581">
        <w:rPr>
          <w:rFonts w:cs="Arial"/>
          <w:color w:val="000000"/>
        </w:rPr>
        <w:t>.</w:t>
      </w:r>
      <w:r w:rsidR="006A2622" w:rsidRPr="00D00581">
        <w:rPr>
          <w:rFonts w:cs="Arial"/>
          <w:color w:val="000000"/>
        </w:rPr>
        <w:t xml:space="preserve"> </w:t>
      </w:r>
      <w:bookmarkEnd w:id="0"/>
      <w:r w:rsidR="00D00581" w:rsidRPr="00D00581">
        <w:rPr>
          <w:rFonts w:cs="Arial"/>
          <w:bCs/>
          <w:lang w:val="en-US"/>
        </w:rPr>
        <w:t xml:space="preserve">During Q2 2026, the Company completed several interventions on oil wells in both the </w:t>
      </w:r>
      <w:proofErr w:type="spellStart"/>
      <w:r w:rsidR="00D00581" w:rsidRPr="00D00581">
        <w:rPr>
          <w:rFonts w:cs="Arial"/>
          <w:bCs/>
          <w:lang w:val="en-US"/>
        </w:rPr>
        <w:t>Koluel</w:t>
      </w:r>
      <w:proofErr w:type="spellEnd"/>
      <w:r w:rsidR="00D00581" w:rsidRPr="00D00581">
        <w:rPr>
          <w:rFonts w:cs="Arial"/>
          <w:bCs/>
          <w:lang w:val="en-US"/>
        </w:rPr>
        <w:t xml:space="preserve"> Kaike and Piedra </w:t>
      </w:r>
      <w:proofErr w:type="spellStart"/>
      <w:r w:rsidR="00D00581" w:rsidRPr="00D00581">
        <w:rPr>
          <w:rFonts w:cs="Arial"/>
          <w:bCs/>
          <w:lang w:val="en-US"/>
        </w:rPr>
        <w:t>Clavada</w:t>
      </w:r>
      <w:proofErr w:type="spellEnd"/>
      <w:r w:rsidR="00D00581" w:rsidRPr="00D00581">
        <w:rPr>
          <w:rFonts w:cs="Arial"/>
          <w:bCs/>
          <w:lang w:val="en-US"/>
        </w:rPr>
        <w:t xml:space="preserve"> concessions.</w:t>
      </w:r>
    </w:p>
    <w:p w14:paraId="4664411A" w14:textId="31A39AC7" w:rsidR="00E73EC2" w:rsidRDefault="00E73EC2" w:rsidP="00E73EC2">
      <w:pPr>
        <w:spacing w:before="120"/>
        <w:jc w:val="both"/>
        <w:rPr>
          <w:b/>
          <w:u w:val="single"/>
        </w:rPr>
      </w:pPr>
      <w:r w:rsidRPr="007515D4">
        <w:rPr>
          <w:b/>
          <w:u w:val="single"/>
        </w:rPr>
        <w:t>Mendoza Concessions</w:t>
      </w:r>
      <w:r w:rsidRPr="007515D4">
        <w:rPr>
          <w:b/>
          <w:u w:val="single"/>
        </w:rPr>
        <w:tab/>
      </w:r>
    </w:p>
    <w:p w14:paraId="31159501" w14:textId="0B42C933" w:rsidR="00D81C4A" w:rsidRDefault="00E73EC2" w:rsidP="00CA706A">
      <w:pPr>
        <w:spacing w:before="120"/>
        <w:jc w:val="both"/>
      </w:pPr>
      <w:r w:rsidRPr="007D3ECE">
        <w:t>Oil production for Q</w:t>
      </w:r>
      <w:r w:rsidR="00821146">
        <w:t>2</w:t>
      </w:r>
      <w:r w:rsidRPr="007D3ECE">
        <w:t xml:space="preserve"> 2026 averaged </w:t>
      </w:r>
      <w:r w:rsidR="00986C67">
        <w:t>728</w:t>
      </w:r>
      <w:r w:rsidRPr="007D3ECE">
        <w:t xml:space="preserve"> (net </w:t>
      </w:r>
      <w:r w:rsidR="00986C67">
        <w:t>364</w:t>
      </w:r>
      <w:r w:rsidRPr="007D3ECE">
        <w:t xml:space="preserve">) </w:t>
      </w:r>
      <w:proofErr w:type="spellStart"/>
      <w:r w:rsidRPr="007D3ECE">
        <w:t>bbls</w:t>
      </w:r>
      <w:proofErr w:type="spellEnd"/>
      <w:r w:rsidRPr="007D3ECE">
        <w:t xml:space="preserve"> of oil per day from the CH Concession and </w:t>
      </w:r>
      <w:r w:rsidR="00986C67">
        <w:t>162</w:t>
      </w:r>
      <w:r w:rsidRPr="007D3ECE">
        <w:t xml:space="preserve"> (net </w:t>
      </w:r>
      <w:r w:rsidR="00986C67">
        <w:t>81</w:t>
      </w:r>
      <w:r w:rsidRPr="007D3ECE">
        <w:t xml:space="preserve">) </w:t>
      </w:r>
      <w:proofErr w:type="spellStart"/>
      <w:r w:rsidRPr="007D3ECE">
        <w:t>bbls</w:t>
      </w:r>
      <w:proofErr w:type="spellEnd"/>
      <w:r w:rsidRPr="007D3ECE">
        <w:t xml:space="preserve"> of oil per day from the PPCO Concession</w:t>
      </w:r>
      <w:r w:rsidR="0096720D">
        <w:t>.</w:t>
      </w:r>
      <w:r w:rsidR="008E6571">
        <w:t xml:space="preserve"> </w:t>
      </w:r>
    </w:p>
    <w:p w14:paraId="40FEA394" w14:textId="07285370" w:rsidR="00DF22F5" w:rsidRPr="007A0977" w:rsidRDefault="00DF22F5" w:rsidP="00CA706A">
      <w:pPr>
        <w:spacing w:before="120"/>
        <w:jc w:val="both"/>
        <w:rPr>
          <w:rFonts w:cs="Arial"/>
          <w:b/>
          <w:u w:val="single"/>
          <w:lang w:val="it-IT"/>
        </w:rPr>
      </w:pPr>
      <w:r w:rsidRPr="007A0977">
        <w:rPr>
          <w:rFonts w:cs="Arial"/>
          <w:b/>
          <w:u w:val="single"/>
        </w:rPr>
        <w:t xml:space="preserve">TDF </w:t>
      </w:r>
      <w:r w:rsidRPr="007A0977">
        <w:rPr>
          <w:rFonts w:cs="Arial"/>
          <w:b/>
          <w:u w:val="single"/>
          <w:lang w:val="it-IT"/>
        </w:rPr>
        <w:t>Concessions</w:t>
      </w:r>
    </w:p>
    <w:p w14:paraId="222A458F" w14:textId="3A0CB3D8" w:rsidR="00D00581" w:rsidRPr="00D00581" w:rsidRDefault="00470FBA" w:rsidP="00D00581">
      <w:pPr>
        <w:spacing w:before="120"/>
        <w:jc w:val="both"/>
        <w:rPr>
          <w:lang w:val="en-US"/>
        </w:rPr>
      </w:pPr>
      <w:r w:rsidRPr="001359C9">
        <w:t xml:space="preserve">During </w:t>
      </w:r>
      <w:r w:rsidRPr="006A2622">
        <w:t>Q</w:t>
      </w:r>
      <w:r w:rsidR="00821146">
        <w:t>2</w:t>
      </w:r>
      <w:r w:rsidRPr="006A2622">
        <w:t xml:space="preserve"> 202</w:t>
      </w:r>
      <w:r w:rsidR="00CA706A">
        <w:t>6</w:t>
      </w:r>
      <w:r w:rsidRPr="006A2622">
        <w:t xml:space="preserve">, San Martin oil production </w:t>
      </w:r>
      <w:r w:rsidRPr="00DB54C1">
        <w:t xml:space="preserve">averaged </w:t>
      </w:r>
      <w:r w:rsidR="00986C67" w:rsidRPr="00DB54C1">
        <w:t>432</w:t>
      </w:r>
      <w:r w:rsidR="0096720D" w:rsidRPr="00DB54C1">
        <w:t xml:space="preserve"> </w:t>
      </w:r>
      <w:r w:rsidRPr="00DB54C1">
        <w:t>(net</w:t>
      </w:r>
      <w:r w:rsidRPr="00D00581">
        <w:t xml:space="preserve"> </w:t>
      </w:r>
      <w:r w:rsidR="00986C67" w:rsidRPr="00D00581">
        <w:t>209</w:t>
      </w:r>
      <w:r w:rsidRPr="00D00581">
        <w:t xml:space="preserve">) </w:t>
      </w:r>
      <w:proofErr w:type="spellStart"/>
      <w:r w:rsidRPr="00D00581">
        <w:t>bbls</w:t>
      </w:r>
      <w:proofErr w:type="spellEnd"/>
      <w:r w:rsidRPr="00D00581">
        <w:t xml:space="preserve"> of oil per day; Las Violetas concession natural gas production averaged </w:t>
      </w:r>
      <w:r w:rsidR="00986C67" w:rsidRPr="00D00581">
        <w:t>7,664</w:t>
      </w:r>
      <w:r w:rsidRPr="00D00581">
        <w:t xml:space="preserve"> (net </w:t>
      </w:r>
      <w:r w:rsidR="0096720D" w:rsidRPr="00D00581">
        <w:t>3,7</w:t>
      </w:r>
      <w:r w:rsidR="00986C67" w:rsidRPr="00D00581">
        <w:t>04</w:t>
      </w:r>
      <w:r w:rsidRPr="00D00581">
        <w:t xml:space="preserve">) </w:t>
      </w:r>
      <w:bookmarkStart w:id="5" w:name="_Hlk47529783"/>
      <w:bookmarkEnd w:id="1"/>
      <w:bookmarkEnd w:id="2"/>
      <w:r w:rsidR="00D00581" w:rsidRPr="00D00581">
        <w:rPr>
          <w:lang w:val="en-US"/>
        </w:rPr>
        <w:t xml:space="preserve">mcf per day and associated oil production averaged 166 (net 80) </w:t>
      </w:r>
      <w:proofErr w:type="spellStart"/>
      <w:r w:rsidR="00D00581" w:rsidRPr="00D00581">
        <w:rPr>
          <w:lang w:val="en-US"/>
        </w:rPr>
        <w:t>bbls</w:t>
      </w:r>
      <w:proofErr w:type="spellEnd"/>
      <w:r w:rsidR="00D00581" w:rsidRPr="00D00581">
        <w:rPr>
          <w:lang w:val="en-US"/>
        </w:rPr>
        <w:t xml:space="preserve"> of oil per day.</w:t>
      </w:r>
      <w:r w:rsidR="008420D2">
        <w:rPr>
          <w:lang w:val="en-US"/>
        </w:rPr>
        <w:t xml:space="preserve"> </w:t>
      </w:r>
    </w:p>
    <w:p w14:paraId="3BC01A17" w14:textId="775DD32B" w:rsidR="00DF22F5" w:rsidRPr="007515D4" w:rsidRDefault="00DF22F5" w:rsidP="00DF22F5">
      <w:pPr>
        <w:spacing w:before="120"/>
        <w:jc w:val="both"/>
        <w:rPr>
          <w:b/>
          <w:u w:val="single"/>
        </w:rPr>
      </w:pPr>
      <w:r w:rsidRPr="00D00581">
        <w:rPr>
          <w:b/>
          <w:u w:val="single"/>
        </w:rPr>
        <w:t>CLL Permit</w:t>
      </w:r>
    </w:p>
    <w:p w14:paraId="6C6EC166" w14:textId="2B760147" w:rsidR="00AD01B5" w:rsidRDefault="00AD01B5" w:rsidP="00AD01B5">
      <w:pPr>
        <w:spacing w:before="120"/>
        <w:jc w:val="both"/>
      </w:pPr>
      <w:bookmarkStart w:id="6" w:name="_heading=h.30j0zll"/>
      <w:bookmarkStart w:id="7" w:name="_Hlk129512454"/>
      <w:bookmarkEnd w:id="6"/>
      <w:r>
        <w:t xml:space="preserve">On May 18, 2026, the Ministry of Energy and Environment of the Province of Mendoza issued Resolution No. 86/2026, which </w:t>
      </w:r>
      <w:r w:rsidR="00821146">
        <w:t xml:space="preserve">granted the Company </w:t>
      </w:r>
      <w:r>
        <w:t xml:space="preserve">a one-year extension of the term of the CLL Permit </w:t>
      </w:r>
      <w:r w:rsidR="006A0E93">
        <w:t>until</w:t>
      </w:r>
      <w:r>
        <w:t xml:space="preserve"> May 18, </w:t>
      </w:r>
      <w:r w:rsidR="006A0E93">
        <w:t>2027</w:t>
      </w:r>
      <w:r>
        <w:t xml:space="preserve">.  </w:t>
      </w:r>
      <w:r w:rsidR="00DB54C1">
        <w:tab/>
      </w:r>
    </w:p>
    <w:bookmarkEnd w:id="3"/>
    <w:bookmarkEnd w:id="4"/>
    <w:bookmarkEnd w:id="5"/>
    <w:bookmarkEnd w:id="7"/>
    <w:p w14:paraId="3EC2B100" w14:textId="3645DBC7" w:rsidR="00DF22F5" w:rsidRPr="00E4577F" w:rsidRDefault="00DF22F5" w:rsidP="00DF22F5">
      <w:pPr>
        <w:widowControl w:val="0"/>
        <w:spacing w:before="240" w:after="120"/>
        <w:jc w:val="both"/>
        <w:rPr>
          <w:rFonts w:cs="Arial"/>
        </w:rPr>
      </w:pPr>
      <w:r w:rsidRPr="004534F3">
        <w:rPr>
          <w:b/>
          <w:caps/>
          <w:color w:val="000000"/>
          <w:sz w:val="24"/>
        </w:rPr>
        <w:t>OUTLOOK</w:t>
      </w:r>
      <w:r w:rsidRPr="001961E5">
        <w:rPr>
          <w:b/>
          <w:caps/>
          <w:color w:val="000000"/>
          <w:sz w:val="24"/>
        </w:rPr>
        <w:t xml:space="preserve"> </w:t>
      </w:r>
    </w:p>
    <w:p w14:paraId="3C7CA211" w14:textId="301FD89F" w:rsidR="003C0E2A" w:rsidRDefault="003C0E2A" w:rsidP="005D3C24">
      <w:pPr>
        <w:widowControl w:val="0"/>
        <w:spacing w:before="120" w:after="120"/>
        <w:jc w:val="both"/>
        <w:rPr>
          <w:u w:val="single"/>
        </w:rPr>
      </w:pPr>
      <w:bookmarkStart w:id="8" w:name="_Hlk129458458"/>
      <w:r w:rsidRPr="00F65CF2">
        <w:rPr>
          <w:u w:val="single"/>
        </w:rPr>
        <w:t xml:space="preserve">Capital Spending – Developed and Producing Assets included in Property and Equipment </w:t>
      </w:r>
    </w:p>
    <w:tbl>
      <w:tblPr>
        <w:tblW w:w="9214" w:type="dxa"/>
        <w:jc w:val="center"/>
        <w:tblLayout w:type="fixed"/>
        <w:tblLook w:val="04A0" w:firstRow="1" w:lastRow="0" w:firstColumn="1" w:lastColumn="0" w:noHBand="0" w:noVBand="1"/>
      </w:tblPr>
      <w:tblGrid>
        <w:gridCol w:w="2410"/>
        <w:gridCol w:w="1276"/>
        <w:gridCol w:w="1276"/>
        <w:gridCol w:w="4252"/>
      </w:tblGrid>
      <w:tr w:rsidR="00B245D4" w:rsidRPr="00952869" w14:paraId="1E5738EA" w14:textId="77777777" w:rsidTr="00A83AC9">
        <w:trPr>
          <w:trHeight w:val="561"/>
          <w:jc w:val="center"/>
        </w:trPr>
        <w:tc>
          <w:tcPr>
            <w:tcW w:w="2410" w:type="dxa"/>
            <w:tcBorders>
              <w:top w:val="single" w:sz="12" w:space="0" w:color="auto"/>
              <w:left w:val="nil"/>
              <w:bottom w:val="single" w:sz="4" w:space="0" w:color="auto"/>
              <w:right w:val="nil"/>
            </w:tcBorders>
            <w:vAlign w:val="bottom"/>
          </w:tcPr>
          <w:p w14:paraId="564800AF" w14:textId="77777777" w:rsidR="00B245D4" w:rsidRPr="00952869" w:rsidRDefault="00B245D4">
            <w:pPr>
              <w:pStyle w:val="BodyText"/>
              <w:widowControl w:val="0"/>
              <w:spacing w:before="60"/>
              <w:ind w:right="-198"/>
              <w:jc w:val="left"/>
              <w:rPr>
                <w:rFonts w:cs="Arial"/>
                <w:sz w:val="18"/>
                <w:szCs w:val="18"/>
              </w:rPr>
            </w:pPr>
          </w:p>
        </w:tc>
        <w:tc>
          <w:tcPr>
            <w:tcW w:w="1276" w:type="dxa"/>
            <w:tcBorders>
              <w:top w:val="single" w:sz="12" w:space="0" w:color="auto"/>
              <w:left w:val="nil"/>
              <w:bottom w:val="single" w:sz="4" w:space="0" w:color="auto"/>
              <w:right w:val="nil"/>
            </w:tcBorders>
            <w:vAlign w:val="bottom"/>
            <w:hideMark/>
          </w:tcPr>
          <w:p w14:paraId="234F2F97" w14:textId="145C4288" w:rsidR="00B245D4" w:rsidRPr="00952869" w:rsidRDefault="00B245D4">
            <w:pPr>
              <w:pStyle w:val="BodyText"/>
              <w:widowControl w:val="0"/>
              <w:jc w:val="right"/>
              <w:rPr>
                <w:rFonts w:cs="Arial"/>
                <w:b/>
                <w:sz w:val="18"/>
                <w:szCs w:val="18"/>
              </w:rPr>
            </w:pPr>
            <w:r w:rsidRPr="00952869">
              <w:rPr>
                <w:rFonts w:cs="Arial"/>
                <w:b/>
                <w:sz w:val="18"/>
                <w:szCs w:val="18"/>
              </w:rPr>
              <w:t xml:space="preserve">Previous guidance for </w:t>
            </w:r>
            <w:r w:rsidR="00BA6099" w:rsidRPr="00952869">
              <w:rPr>
                <w:rFonts w:cs="Arial"/>
                <w:b/>
                <w:sz w:val="18"/>
                <w:szCs w:val="18"/>
              </w:rPr>
              <w:t>202</w:t>
            </w:r>
            <w:r w:rsidR="00BA6099">
              <w:rPr>
                <w:rFonts w:cs="Arial"/>
                <w:b/>
                <w:sz w:val="18"/>
                <w:szCs w:val="18"/>
              </w:rPr>
              <w:t>6</w:t>
            </w:r>
          </w:p>
        </w:tc>
        <w:tc>
          <w:tcPr>
            <w:tcW w:w="1276" w:type="dxa"/>
            <w:tcBorders>
              <w:top w:val="single" w:sz="12" w:space="0" w:color="auto"/>
              <w:left w:val="nil"/>
              <w:bottom w:val="single" w:sz="4" w:space="0" w:color="auto"/>
              <w:right w:val="nil"/>
            </w:tcBorders>
            <w:vAlign w:val="bottom"/>
            <w:hideMark/>
          </w:tcPr>
          <w:p w14:paraId="2FE16A8E" w14:textId="327125D0" w:rsidR="00B245D4" w:rsidRPr="00952869" w:rsidRDefault="00B245D4">
            <w:pPr>
              <w:pStyle w:val="BodyText"/>
              <w:widowControl w:val="0"/>
              <w:jc w:val="right"/>
              <w:rPr>
                <w:rFonts w:cs="Arial"/>
                <w:b/>
                <w:sz w:val="18"/>
                <w:szCs w:val="18"/>
              </w:rPr>
            </w:pPr>
            <w:r w:rsidRPr="00952869">
              <w:rPr>
                <w:rFonts w:cs="Arial"/>
                <w:b/>
                <w:sz w:val="18"/>
                <w:szCs w:val="18"/>
              </w:rPr>
              <w:t xml:space="preserve">Updated guidance for </w:t>
            </w:r>
            <w:r w:rsidR="00BA6099" w:rsidRPr="00952869">
              <w:rPr>
                <w:rFonts w:cs="Arial"/>
                <w:b/>
                <w:sz w:val="18"/>
                <w:szCs w:val="18"/>
              </w:rPr>
              <w:t>202</w:t>
            </w:r>
            <w:r w:rsidR="00BA6099">
              <w:rPr>
                <w:rFonts w:cs="Arial"/>
                <w:b/>
                <w:sz w:val="18"/>
                <w:szCs w:val="18"/>
              </w:rPr>
              <w:t>6</w:t>
            </w:r>
          </w:p>
        </w:tc>
        <w:tc>
          <w:tcPr>
            <w:tcW w:w="4252" w:type="dxa"/>
            <w:tcBorders>
              <w:top w:val="single" w:sz="12" w:space="0" w:color="auto"/>
              <w:left w:val="nil"/>
              <w:bottom w:val="single" w:sz="4" w:space="0" w:color="auto"/>
              <w:right w:val="nil"/>
            </w:tcBorders>
            <w:vAlign w:val="bottom"/>
            <w:hideMark/>
          </w:tcPr>
          <w:p w14:paraId="75C193FD" w14:textId="77777777" w:rsidR="00B245D4" w:rsidRPr="00952869" w:rsidRDefault="00B245D4" w:rsidP="00A83AC9">
            <w:pPr>
              <w:pStyle w:val="BodyText"/>
              <w:widowControl w:val="0"/>
              <w:ind w:left="31" w:right="-16" w:hanging="7"/>
              <w:jc w:val="left"/>
              <w:rPr>
                <w:rFonts w:cs="Arial"/>
                <w:b/>
                <w:sz w:val="18"/>
                <w:szCs w:val="18"/>
              </w:rPr>
            </w:pPr>
            <w:r w:rsidRPr="00952869">
              <w:rPr>
                <w:rFonts w:cs="Arial"/>
                <w:b/>
                <w:sz w:val="18"/>
                <w:szCs w:val="18"/>
              </w:rPr>
              <w:t>Explanation</w:t>
            </w:r>
          </w:p>
        </w:tc>
      </w:tr>
      <w:tr w:rsidR="00952869" w:rsidRPr="00952869" w14:paraId="3972EE13" w14:textId="77777777" w:rsidTr="00A83AC9">
        <w:trPr>
          <w:trHeight w:val="45"/>
          <w:jc w:val="center"/>
        </w:trPr>
        <w:tc>
          <w:tcPr>
            <w:tcW w:w="2410" w:type="dxa"/>
            <w:tcBorders>
              <w:top w:val="single" w:sz="4" w:space="0" w:color="auto"/>
              <w:left w:val="nil"/>
              <w:right w:val="nil"/>
            </w:tcBorders>
            <w:hideMark/>
          </w:tcPr>
          <w:p w14:paraId="132F20FB" w14:textId="73568A95" w:rsidR="00952869" w:rsidRPr="00952869" w:rsidRDefault="00952869" w:rsidP="00952869">
            <w:pPr>
              <w:pStyle w:val="BodyText2"/>
              <w:widowControl w:val="0"/>
              <w:spacing w:before="120"/>
              <w:ind w:right="-198"/>
              <w:jc w:val="left"/>
              <w:rPr>
                <w:rFonts w:cs="Arial"/>
                <w:sz w:val="18"/>
                <w:szCs w:val="18"/>
              </w:rPr>
            </w:pPr>
            <w:r w:rsidRPr="00952869">
              <w:rPr>
                <w:rFonts w:cs="Arial"/>
                <w:sz w:val="18"/>
                <w:szCs w:val="18"/>
              </w:rPr>
              <w:t>Chubut Concessions ($)</w:t>
            </w:r>
          </w:p>
        </w:tc>
        <w:tc>
          <w:tcPr>
            <w:tcW w:w="1276" w:type="dxa"/>
            <w:tcBorders>
              <w:top w:val="single" w:sz="4" w:space="0" w:color="auto"/>
              <w:left w:val="nil"/>
              <w:right w:val="nil"/>
            </w:tcBorders>
            <w:hideMark/>
          </w:tcPr>
          <w:p w14:paraId="12110AF6" w14:textId="1AF9D222" w:rsidR="00952869" w:rsidRPr="00952869" w:rsidRDefault="00952869" w:rsidP="00952869">
            <w:pPr>
              <w:pStyle w:val="BodyText2"/>
              <w:widowControl w:val="0"/>
              <w:spacing w:before="120"/>
              <w:jc w:val="right"/>
              <w:rPr>
                <w:rFonts w:cs="Arial"/>
                <w:sz w:val="18"/>
                <w:szCs w:val="18"/>
              </w:rPr>
            </w:pPr>
            <w:r w:rsidRPr="00952869">
              <w:rPr>
                <w:rFonts w:cs="Arial"/>
                <w:sz w:val="18"/>
                <w:szCs w:val="18"/>
              </w:rPr>
              <w:t>42.1 million</w:t>
            </w:r>
          </w:p>
        </w:tc>
        <w:tc>
          <w:tcPr>
            <w:tcW w:w="1276" w:type="dxa"/>
            <w:tcBorders>
              <w:top w:val="single" w:sz="4" w:space="0" w:color="auto"/>
              <w:left w:val="nil"/>
              <w:right w:val="nil"/>
            </w:tcBorders>
            <w:vAlign w:val="center"/>
          </w:tcPr>
          <w:p w14:paraId="32DE47AD" w14:textId="6F559008" w:rsidR="00952869" w:rsidRPr="00952869" w:rsidRDefault="004534F3" w:rsidP="00952869">
            <w:pPr>
              <w:pStyle w:val="BodyText2"/>
              <w:widowControl w:val="0"/>
              <w:spacing w:before="120"/>
              <w:jc w:val="right"/>
              <w:rPr>
                <w:rFonts w:cs="Arial"/>
                <w:sz w:val="18"/>
                <w:szCs w:val="18"/>
              </w:rPr>
            </w:pPr>
            <w:r>
              <w:rPr>
                <w:rFonts w:cs="Arial"/>
                <w:sz w:val="18"/>
                <w:szCs w:val="18"/>
              </w:rPr>
              <w:t>37.8 million</w:t>
            </w:r>
          </w:p>
        </w:tc>
        <w:tc>
          <w:tcPr>
            <w:tcW w:w="4252" w:type="dxa"/>
            <w:tcBorders>
              <w:top w:val="single" w:sz="4" w:space="0" w:color="auto"/>
              <w:left w:val="nil"/>
              <w:right w:val="nil"/>
            </w:tcBorders>
            <w:vAlign w:val="center"/>
          </w:tcPr>
          <w:p w14:paraId="14707631" w14:textId="45E594B0" w:rsidR="00952869" w:rsidRPr="00952869" w:rsidRDefault="00BD4C2D" w:rsidP="00952869">
            <w:pPr>
              <w:pStyle w:val="BodyText2"/>
              <w:widowControl w:val="0"/>
              <w:spacing w:before="120"/>
              <w:ind w:right="-45"/>
              <w:jc w:val="left"/>
              <w:rPr>
                <w:rFonts w:cs="Arial"/>
                <w:sz w:val="18"/>
                <w:szCs w:val="18"/>
                <w:lang w:val="en-US"/>
              </w:rPr>
            </w:pPr>
            <w:r>
              <w:rPr>
                <w:rFonts w:cs="Arial"/>
                <w:sz w:val="18"/>
                <w:szCs w:val="18"/>
              </w:rPr>
              <w:t>R</w:t>
            </w:r>
            <w:r w:rsidRPr="00BD4C2D">
              <w:rPr>
                <w:rFonts w:cs="Arial"/>
                <w:sz w:val="18"/>
                <w:szCs w:val="18"/>
              </w:rPr>
              <w:t>escheduling of three drilling wells to 2027</w:t>
            </w:r>
          </w:p>
        </w:tc>
      </w:tr>
      <w:tr w:rsidR="00952869" w:rsidRPr="00952869" w14:paraId="596B76F3" w14:textId="77777777" w:rsidTr="00A83AC9">
        <w:trPr>
          <w:trHeight w:val="289"/>
          <w:jc w:val="center"/>
        </w:trPr>
        <w:tc>
          <w:tcPr>
            <w:tcW w:w="2410" w:type="dxa"/>
            <w:tcBorders>
              <w:left w:val="nil"/>
              <w:right w:val="nil"/>
            </w:tcBorders>
            <w:vAlign w:val="center"/>
          </w:tcPr>
          <w:p w14:paraId="3C7ED88E" w14:textId="7CFF2230" w:rsidR="00952869" w:rsidRPr="00952869" w:rsidRDefault="00952869" w:rsidP="00952869">
            <w:pPr>
              <w:pStyle w:val="BodyText2"/>
              <w:widowControl w:val="0"/>
              <w:spacing w:before="120"/>
              <w:ind w:right="-198"/>
              <w:jc w:val="left"/>
              <w:rPr>
                <w:rFonts w:cs="Arial"/>
                <w:sz w:val="18"/>
                <w:szCs w:val="18"/>
              </w:rPr>
            </w:pPr>
            <w:r w:rsidRPr="00952869">
              <w:rPr>
                <w:rFonts w:cs="Arial"/>
                <w:sz w:val="18"/>
                <w:szCs w:val="18"/>
              </w:rPr>
              <w:t>Santa Cruz Concessions ($)</w:t>
            </w:r>
          </w:p>
        </w:tc>
        <w:tc>
          <w:tcPr>
            <w:tcW w:w="1276" w:type="dxa"/>
            <w:tcBorders>
              <w:left w:val="nil"/>
              <w:right w:val="nil"/>
            </w:tcBorders>
            <w:vAlign w:val="center"/>
          </w:tcPr>
          <w:p w14:paraId="69468F28" w14:textId="62CF8259" w:rsidR="00952869" w:rsidRPr="00952869" w:rsidRDefault="00952869" w:rsidP="00952869">
            <w:pPr>
              <w:pStyle w:val="BodyText2"/>
              <w:widowControl w:val="0"/>
              <w:spacing w:before="120"/>
              <w:jc w:val="right"/>
              <w:rPr>
                <w:rFonts w:cs="Arial"/>
                <w:sz w:val="18"/>
                <w:szCs w:val="18"/>
              </w:rPr>
            </w:pPr>
            <w:r w:rsidRPr="00952869">
              <w:rPr>
                <w:rFonts w:cs="Arial"/>
                <w:sz w:val="18"/>
                <w:szCs w:val="18"/>
              </w:rPr>
              <w:t>28.0 million</w:t>
            </w:r>
          </w:p>
        </w:tc>
        <w:tc>
          <w:tcPr>
            <w:tcW w:w="1276" w:type="dxa"/>
            <w:tcBorders>
              <w:left w:val="nil"/>
              <w:right w:val="nil"/>
            </w:tcBorders>
            <w:vAlign w:val="center"/>
          </w:tcPr>
          <w:p w14:paraId="52EEEDFC" w14:textId="05BA3999" w:rsidR="00952869" w:rsidRPr="00952869" w:rsidRDefault="004534F3" w:rsidP="00952869">
            <w:pPr>
              <w:pStyle w:val="BodyText2"/>
              <w:widowControl w:val="0"/>
              <w:spacing w:before="120"/>
              <w:jc w:val="right"/>
              <w:rPr>
                <w:rFonts w:cs="Arial"/>
                <w:sz w:val="18"/>
                <w:szCs w:val="18"/>
              </w:rPr>
            </w:pPr>
            <w:r>
              <w:rPr>
                <w:rFonts w:cs="Arial"/>
                <w:sz w:val="18"/>
                <w:szCs w:val="18"/>
              </w:rPr>
              <w:t>13.7 million</w:t>
            </w:r>
          </w:p>
        </w:tc>
        <w:tc>
          <w:tcPr>
            <w:tcW w:w="4252" w:type="dxa"/>
            <w:tcBorders>
              <w:left w:val="nil"/>
              <w:right w:val="nil"/>
            </w:tcBorders>
            <w:vAlign w:val="center"/>
          </w:tcPr>
          <w:p w14:paraId="332CD170" w14:textId="1385F217" w:rsidR="00952869" w:rsidRPr="00952869" w:rsidRDefault="00BD4C2D" w:rsidP="00A83AC9">
            <w:pPr>
              <w:pStyle w:val="BodyText2"/>
              <w:widowControl w:val="0"/>
              <w:spacing w:before="120"/>
              <w:ind w:right="-45"/>
              <w:jc w:val="left"/>
              <w:rPr>
                <w:rFonts w:cs="Arial"/>
                <w:sz w:val="18"/>
                <w:szCs w:val="18"/>
              </w:rPr>
            </w:pPr>
            <w:r w:rsidRPr="00BD4C2D">
              <w:rPr>
                <w:rFonts w:cs="Arial"/>
                <w:sz w:val="18"/>
                <w:szCs w:val="18"/>
              </w:rPr>
              <w:t>Rescheduling of one drilling well and</w:t>
            </w:r>
            <w:r>
              <w:rPr>
                <w:rFonts w:cs="Arial"/>
                <w:sz w:val="18"/>
                <w:szCs w:val="18"/>
              </w:rPr>
              <w:t xml:space="preserve"> part of</w:t>
            </w:r>
            <w:r w:rsidRPr="00BD4C2D">
              <w:rPr>
                <w:rFonts w:cs="Arial"/>
                <w:sz w:val="18"/>
                <w:szCs w:val="18"/>
              </w:rPr>
              <w:t xml:space="preserve"> the workover program to 2027</w:t>
            </w:r>
          </w:p>
        </w:tc>
      </w:tr>
      <w:tr w:rsidR="00DB60A6" w:rsidRPr="00952869" w14:paraId="31A9F3B9" w14:textId="77777777" w:rsidTr="00A83AC9">
        <w:trPr>
          <w:trHeight w:val="289"/>
          <w:jc w:val="center"/>
        </w:trPr>
        <w:tc>
          <w:tcPr>
            <w:tcW w:w="2410" w:type="dxa"/>
            <w:tcBorders>
              <w:left w:val="nil"/>
              <w:right w:val="nil"/>
            </w:tcBorders>
          </w:tcPr>
          <w:p w14:paraId="5FAD7C25" w14:textId="6171A7B3" w:rsidR="00DB60A6" w:rsidRPr="00952869" w:rsidRDefault="00DB60A6" w:rsidP="00DB60A6">
            <w:pPr>
              <w:pStyle w:val="BodyText2"/>
              <w:widowControl w:val="0"/>
              <w:spacing w:before="120"/>
              <w:ind w:right="-198"/>
              <w:jc w:val="left"/>
              <w:rPr>
                <w:rFonts w:cs="Arial"/>
                <w:sz w:val="18"/>
                <w:szCs w:val="18"/>
              </w:rPr>
            </w:pPr>
            <w:r w:rsidRPr="00952869">
              <w:rPr>
                <w:rFonts w:cs="Arial"/>
                <w:sz w:val="18"/>
                <w:szCs w:val="18"/>
              </w:rPr>
              <w:t>Mendoza Concessions ($)</w:t>
            </w:r>
          </w:p>
        </w:tc>
        <w:tc>
          <w:tcPr>
            <w:tcW w:w="1276" w:type="dxa"/>
            <w:tcBorders>
              <w:left w:val="nil"/>
              <w:right w:val="nil"/>
            </w:tcBorders>
          </w:tcPr>
          <w:p w14:paraId="1D808F7B" w14:textId="603B57DD" w:rsidR="00DB60A6" w:rsidRPr="00952869" w:rsidRDefault="00DB60A6" w:rsidP="00DB60A6">
            <w:pPr>
              <w:pStyle w:val="BodyText2"/>
              <w:widowControl w:val="0"/>
              <w:spacing w:before="120"/>
              <w:jc w:val="right"/>
              <w:rPr>
                <w:rFonts w:cs="Arial"/>
                <w:sz w:val="18"/>
                <w:szCs w:val="18"/>
              </w:rPr>
            </w:pPr>
            <w:r w:rsidRPr="00952869">
              <w:rPr>
                <w:rFonts w:cs="Arial"/>
                <w:sz w:val="18"/>
                <w:szCs w:val="18"/>
              </w:rPr>
              <w:t>1.3 million</w:t>
            </w:r>
          </w:p>
        </w:tc>
        <w:tc>
          <w:tcPr>
            <w:tcW w:w="1276" w:type="dxa"/>
            <w:tcBorders>
              <w:left w:val="nil"/>
              <w:right w:val="nil"/>
            </w:tcBorders>
            <w:vAlign w:val="bottom"/>
          </w:tcPr>
          <w:p w14:paraId="680D14B5" w14:textId="5FA6B152" w:rsidR="00DB60A6" w:rsidRDefault="00DB60A6" w:rsidP="00DB60A6">
            <w:pPr>
              <w:pStyle w:val="BodyText2"/>
              <w:widowControl w:val="0"/>
              <w:spacing w:before="120"/>
              <w:jc w:val="right"/>
              <w:rPr>
                <w:rFonts w:cs="Arial"/>
                <w:sz w:val="18"/>
                <w:szCs w:val="18"/>
              </w:rPr>
            </w:pPr>
            <w:r>
              <w:rPr>
                <w:rFonts w:cs="Arial"/>
                <w:sz w:val="18"/>
                <w:szCs w:val="18"/>
              </w:rPr>
              <w:t>0.8 million</w:t>
            </w:r>
          </w:p>
        </w:tc>
        <w:tc>
          <w:tcPr>
            <w:tcW w:w="4252" w:type="dxa"/>
            <w:tcBorders>
              <w:left w:val="nil"/>
              <w:right w:val="nil"/>
            </w:tcBorders>
            <w:vAlign w:val="center"/>
          </w:tcPr>
          <w:p w14:paraId="58E05857" w14:textId="14A52125" w:rsidR="00DB60A6" w:rsidRPr="00BD4C2D" w:rsidRDefault="00DB60A6" w:rsidP="00DB60A6">
            <w:pPr>
              <w:pStyle w:val="BodyText2"/>
              <w:widowControl w:val="0"/>
              <w:spacing w:before="120"/>
              <w:ind w:right="-45"/>
              <w:jc w:val="left"/>
              <w:rPr>
                <w:rFonts w:cs="Arial"/>
                <w:sz w:val="18"/>
                <w:szCs w:val="18"/>
              </w:rPr>
            </w:pPr>
            <w:r>
              <w:rPr>
                <w:rFonts w:cs="Arial"/>
                <w:sz w:val="18"/>
                <w:szCs w:val="18"/>
              </w:rPr>
              <w:t>Revision of facilities investments</w:t>
            </w:r>
          </w:p>
        </w:tc>
      </w:tr>
      <w:tr w:rsidR="00952869" w:rsidRPr="00952869" w14:paraId="1EE0C9C0" w14:textId="77777777" w:rsidTr="00A83AC9">
        <w:trPr>
          <w:trHeight w:val="298"/>
          <w:jc w:val="center"/>
        </w:trPr>
        <w:tc>
          <w:tcPr>
            <w:tcW w:w="2410" w:type="dxa"/>
            <w:tcBorders>
              <w:left w:val="nil"/>
              <w:right w:val="nil"/>
            </w:tcBorders>
          </w:tcPr>
          <w:p w14:paraId="09241231" w14:textId="1E24DA12" w:rsidR="00952869" w:rsidRPr="00952869" w:rsidRDefault="00952869" w:rsidP="00952869">
            <w:pPr>
              <w:pStyle w:val="BodyText2"/>
              <w:widowControl w:val="0"/>
              <w:spacing w:before="120"/>
              <w:ind w:right="-198"/>
              <w:jc w:val="left"/>
              <w:rPr>
                <w:rFonts w:cs="Arial"/>
                <w:sz w:val="18"/>
                <w:szCs w:val="18"/>
              </w:rPr>
            </w:pPr>
            <w:r w:rsidRPr="00952869">
              <w:rPr>
                <w:rFonts w:cs="Arial"/>
                <w:sz w:val="18"/>
                <w:szCs w:val="18"/>
              </w:rPr>
              <w:t>TDF Concessions ($)</w:t>
            </w:r>
          </w:p>
        </w:tc>
        <w:tc>
          <w:tcPr>
            <w:tcW w:w="1276" w:type="dxa"/>
            <w:tcBorders>
              <w:left w:val="nil"/>
              <w:right w:val="nil"/>
            </w:tcBorders>
          </w:tcPr>
          <w:p w14:paraId="47DA999F" w14:textId="40D84A09" w:rsidR="00952869" w:rsidRPr="00952869" w:rsidRDefault="00952869" w:rsidP="00952869">
            <w:pPr>
              <w:pStyle w:val="BodyText2"/>
              <w:widowControl w:val="0"/>
              <w:spacing w:before="120"/>
              <w:jc w:val="right"/>
              <w:rPr>
                <w:rFonts w:cs="Arial"/>
                <w:sz w:val="18"/>
                <w:szCs w:val="18"/>
              </w:rPr>
            </w:pPr>
            <w:r w:rsidRPr="00952869">
              <w:rPr>
                <w:rFonts w:cs="Arial"/>
                <w:sz w:val="18"/>
                <w:szCs w:val="18"/>
              </w:rPr>
              <w:t>1.2 million</w:t>
            </w:r>
          </w:p>
        </w:tc>
        <w:tc>
          <w:tcPr>
            <w:tcW w:w="1276" w:type="dxa"/>
            <w:tcBorders>
              <w:left w:val="nil"/>
              <w:right w:val="nil"/>
            </w:tcBorders>
            <w:vAlign w:val="bottom"/>
          </w:tcPr>
          <w:p w14:paraId="28444EF7" w14:textId="1F24D771" w:rsidR="00952869" w:rsidRPr="00952869" w:rsidRDefault="004534F3" w:rsidP="00952869">
            <w:pPr>
              <w:pStyle w:val="BodyText2"/>
              <w:widowControl w:val="0"/>
              <w:spacing w:before="120"/>
              <w:jc w:val="right"/>
              <w:rPr>
                <w:rFonts w:cs="Arial"/>
                <w:sz w:val="18"/>
                <w:szCs w:val="18"/>
              </w:rPr>
            </w:pPr>
            <w:r>
              <w:rPr>
                <w:rFonts w:cs="Arial"/>
                <w:sz w:val="18"/>
                <w:szCs w:val="18"/>
              </w:rPr>
              <w:t>1.2 million</w:t>
            </w:r>
          </w:p>
        </w:tc>
        <w:tc>
          <w:tcPr>
            <w:tcW w:w="4252" w:type="dxa"/>
            <w:tcBorders>
              <w:left w:val="nil"/>
              <w:right w:val="nil"/>
            </w:tcBorders>
            <w:vAlign w:val="center"/>
          </w:tcPr>
          <w:p w14:paraId="5F962A47" w14:textId="77777777" w:rsidR="00952869" w:rsidRPr="00952869" w:rsidRDefault="00952869" w:rsidP="00952869">
            <w:pPr>
              <w:pStyle w:val="BodyText2"/>
              <w:widowControl w:val="0"/>
              <w:spacing w:before="120"/>
              <w:ind w:right="-45"/>
              <w:jc w:val="left"/>
              <w:rPr>
                <w:rFonts w:cs="Arial"/>
                <w:sz w:val="18"/>
                <w:szCs w:val="18"/>
              </w:rPr>
            </w:pPr>
          </w:p>
        </w:tc>
      </w:tr>
      <w:tr w:rsidR="00952869" w:rsidRPr="00952869" w14:paraId="1EFC9A1D" w14:textId="77777777" w:rsidTr="00A83AC9">
        <w:trPr>
          <w:trHeight w:val="109"/>
          <w:jc w:val="center"/>
        </w:trPr>
        <w:tc>
          <w:tcPr>
            <w:tcW w:w="2410" w:type="dxa"/>
            <w:tcBorders>
              <w:top w:val="single" w:sz="4" w:space="0" w:color="auto"/>
              <w:left w:val="nil"/>
              <w:bottom w:val="single" w:sz="12" w:space="0" w:color="auto"/>
              <w:right w:val="nil"/>
            </w:tcBorders>
          </w:tcPr>
          <w:p w14:paraId="5A94B3EB" w14:textId="77777777" w:rsidR="00952869" w:rsidRPr="00952869" w:rsidRDefault="00952869" w:rsidP="00952869">
            <w:pPr>
              <w:pStyle w:val="BodyText2"/>
              <w:widowControl w:val="0"/>
              <w:spacing w:before="120"/>
              <w:ind w:right="-198"/>
              <w:jc w:val="left"/>
              <w:rPr>
                <w:rFonts w:cs="Arial"/>
                <w:sz w:val="18"/>
                <w:szCs w:val="18"/>
              </w:rPr>
            </w:pPr>
          </w:p>
        </w:tc>
        <w:tc>
          <w:tcPr>
            <w:tcW w:w="1276" w:type="dxa"/>
            <w:tcBorders>
              <w:top w:val="single" w:sz="4" w:space="0" w:color="auto"/>
              <w:left w:val="nil"/>
              <w:bottom w:val="single" w:sz="12" w:space="0" w:color="auto"/>
              <w:right w:val="nil"/>
            </w:tcBorders>
          </w:tcPr>
          <w:p w14:paraId="15C71451" w14:textId="31ACECD1" w:rsidR="00952869" w:rsidRPr="00952869" w:rsidRDefault="00952869" w:rsidP="00952869">
            <w:pPr>
              <w:pStyle w:val="BodyText2"/>
              <w:widowControl w:val="0"/>
              <w:spacing w:before="120"/>
              <w:jc w:val="right"/>
              <w:rPr>
                <w:rFonts w:cs="Arial"/>
                <w:sz w:val="18"/>
                <w:szCs w:val="18"/>
              </w:rPr>
            </w:pPr>
            <w:r w:rsidRPr="00952869">
              <w:rPr>
                <w:rFonts w:cs="Arial"/>
                <w:sz w:val="18"/>
                <w:szCs w:val="18"/>
              </w:rPr>
              <w:t>72.6 million</w:t>
            </w:r>
          </w:p>
        </w:tc>
        <w:tc>
          <w:tcPr>
            <w:tcW w:w="1276" w:type="dxa"/>
            <w:tcBorders>
              <w:top w:val="single" w:sz="4" w:space="0" w:color="auto"/>
              <w:left w:val="nil"/>
              <w:bottom w:val="single" w:sz="12" w:space="0" w:color="auto"/>
              <w:right w:val="nil"/>
            </w:tcBorders>
            <w:vAlign w:val="bottom"/>
          </w:tcPr>
          <w:p w14:paraId="11632804" w14:textId="24E9BEB5" w:rsidR="00952869" w:rsidRPr="00952869" w:rsidRDefault="004534F3" w:rsidP="00952869">
            <w:pPr>
              <w:pStyle w:val="BodyText2"/>
              <w:widowControl w:val="0"/>
              <w:spacing w:before="120"/>
              <w:jc w:val="right"/>
              <w:rPr>
                <w:rFonts w:cs="Arial"/>
                <w:sz w:val="18"/>
                <w:szCs w:val="18"/>
              </w:rPr>
            </w:pPr>
            <w:r>
              <w:rPr>
                <w:rFonts w:cs="Arial"/>
                <w:sz w:val="18"/>
                <w:szCs w:val="18"/>
              </w:rPr>
              <w:t>53.5 million</w:t>
            </w:r>
          </w:p>
        </w:tc>
        <w:tc>
          <w:tcPr>
            <w:tcW w:w="4252" w:type="dxa"/>
            <w:tcBorders>
              <w:top w:val="single" w:sz="4" w:space="0" w:color="auto"/>
              <w:left w:val="nil"/>
              <w:bottom w:val="single" w:sz="12" w:space="0" w:color="auto"/>
              <w:right w:val="nil"/>
            </w:tcBorders>
            <w:vAlign w:val="bottom"/>
          </w:tcPr>
          <w:p w14:paraId="2402EAF6" w14:textId="77777777" w:rsidR="00952869" w:rsidRPr="00952869" w:rsidRDefault="00952869" w:rsidP="00952869">
            <w:pPr>
              <w:pStyle w:val="BodyText2"/>
              <w:widowControl w:val="0"/>
              <w:spacing w:before="120"/>
              <w:ind w:right="-45"/>
              <w:jc w:val="left"/>
              <w:rPr>
                <w:rFonts w:cs="Arial"/>
                <w:sz w:val="18"/>
                <w:szCs w:val="18"/>
              </w:rPr>
            </w:pPr>
          </w:p>
        </w:tc>
      </w:tr>
    </w:tbl>
    <w:p w14:paraId="1D814F51" w14:textId="16507B5A" w:rsidR="00952869" w:rsidRPr="00952869" w:rsidRDefault="00952869" w:rsidP="00952869">
      <w:pPr>
        <w:widowControl w:val="0"/>
        <w:spacing w:before="120" w:after="60"/>
        <w:jc w:val="both"/>
        <w:rPr>
          <w:color w:val="000000"/>
        </w:rPr>
      </w:pPr>
      <w:bookmarkStart w:id="9" w:name="_Hlk149919223"/>
      <w:r w:rsidRPr="004534F3">
        <w:rPr>
          <w:color w:val="000000"/>
        </w:rPr>
        <w:t>The Company’s capital spending on developed and producing assets for fiscal 2026 is budgeted at approximately $</w:t>
      </w:r>
      <w:r w:rsidR="004534F3" w:rsidRPr="004534F3">
        <w:rPr>
          <w:color w:val="000000"/>
        </w:rPr>
        <w:t>53.5</w:t>
      </w:r>
      <w:r w:rsidRPr="00952869">
        <w:rPr>
          <w:color w:val="000000"/>
        </w:rPr>
        <w:t xml:space="preserve"> million. During the June 2026 period, the Company incurred $7.3 million of capital </w:t>
      </w:r>
      <w:r w:rsidRPr="00952869">
        <w:rPr>
          <w:color w:val="000000"/>
        </w:rPr>
        <w:lastRenderedPageBreak/>
        <w:t>expenditures in the Chubut Concessions, $2.1 million on the Santa Cruz Concessions and $0.3 million on the Mendoza Concessions</w:t>
      </w:r>
      <w:r w:rsidR="00C340B1">
        <w:rPr>
          <w:color w:val="000000"/>
        </w:rPr>
        <w:t>.</w:t>
      </w:r>
    </w:p>
    <w:p w14:paraId="04CCA508" w14:textId="42DB46DE" w:rsidR="00952869" w:rsidRPr="00952869" w:rsidRDefault="00952869" w:rsidP="00952869">
      <w:pPr>
        <w:widowControl w:val="0"/>
        <w:spacing w:before="120" w:after="60"/>
        <w:jc w:val="both"/>
        <w:rPr>
          <w:color w:val="000000"/>
        </w:rPr>
      </w:pPr>
      <w:r w:rsidRPr="00952869">
        <w:rPr>
          <w:color w:val="000000"/>
        </w:rPr>
        <w:t>The Company will spend the remaining $</w:t>
      </w:r>
      <w:r w:rsidR="004534F3">
        <w:rPr>
          <w:color w:val="000000"/>
        </w:rPr>
        <w:t xml:space="preserve">43.8 </w:t>
      </w:r>
      <w:r w:rsidRPr="004534F3">
        <w:rPr>
          <w:color w:val="000000"/>
        </w:rPr>
        <w:t>million during the balance of 2026 on expenditures for the following proposed activities:</w:t>
      </w:r>
      <w:r w:rsidRPr="00952869">
        <w:rPr>
          <w:color w:val="000000"/>
        </w:rPr>
        <w:t xml:space="preserve"> </w:t>
      </w:r>
    </w:p>
    <w:p w14:paraId="6C5D442D" w14:textId="39C45E33" w:rsidR="004534F3" w:rsidRPr="004534F3" w:rsidRDefault="004534F3" w:rsidP="004534F3">
      <w:pPr>
        <w:widowControl w:val="0"/>
        <w:numPr>
          <w:ilvl w:val="0"/>
          <w:numId w:val="36"/>
        </w:numPr>
        <w:spacing w:before="120" w:after="60"/>
        <w:jc w:val="both"/>
        <w:rPr>
          <w:color w:val="000000"/>
          <w:lang w:val="en-US"/>
        </w:rPr>
      </w:pPr>
      <w:r w:rsidRPr="004534F3">
        <w:rPr>
          <w:color w:val="000000"/>
        </w:rPr>
        <w:t>$30.5 million in the Chubut Concessions of which $8.9 million will be spent on well workovers, facilities improvements and well abandonment and $21.6 million will be spent in a drilling campaign comprised of 5 wells</w:t>
      </w:r>
      <w:r w:rsidR="008420D2">
        <w:rPr>
          <w:color w:val="000000"/>
        </w:rPr>
        <w:t>;</w:t>
      </w:r>
    </w:p>
    <w:p w14:paraId="71E80037" w14:textId="3D5EA8DD" w:rsidR="004534F3" w:rsidRPr="004534F3" w:rsidRDefault="004534F3" w:rsidP="004534F3">
      <w:pPr>
        <w:widowControl w:val="0"/>
        <w:numPr>
          <w:ilvl w:val="0"/>
          <w:numId w:val="36"/>
        </w:numPr>
        <w:spacing w:before="120" w:after="60"/>
        <w:jc w:val="both"/>
        <w:rPr>
          <w:color w:val="000000"/>
        </w:rPr>
      </w:pPr>
      <w:r w:rsidRPr="00952869">
        <w:rPr>
          <w:color w:val="000000"/>
        </w:rPr>
        <w:t>$</w:t>
      </w:r>
      <w:r w:rsidRPr="004534F3">
        <w:rPr>
          <w:color w:val="000000"/>
        </w:rPr>
        <w:t>11.6 million in the</w:t>
      </w:r>
      <w:r w:rsidRPr="00952869">
        <w:rPr>
          <w:color w:val="000000"/>
        </w:rPr>
        <w:t xml:space="preserve"> Santa Cruz </w:t>
      </w:r>
      <w:r w:rsidRPr="004534F3">
        <w:rPr>
          <w:color w:val="000000"/>
        </w:rPr>
        <w:t>Concessions of which $3.8 million will be spent on well workovers and facilities improvements and $7.8 million will be spent in a drilling campaign comprised of 3 wells;</w:t>
      </w:r>
    </w:p>
    <w:p w14:paraId="72271AAA" w14:textId="1782EED8" w:rsidR="00952869" w:rsidRDefault="00952869" w:rsidP="00952869">
      <w:pPr>
        <w:widowControl w:val="0"/>
        <w:numPr>
          <w:ilvl w:val="0"/>
          <w:numId w:val="36"/>
        </w:numPr>
        <w:spacing w:before="120" w:after="60"/>
        <w:jc w:val="both"/>
        <w:rPr>
          <w:color w:val="000000"/>
        </w:rPr>
      </w:pPr>
      <w:r w:rsidRPr="00952869">
        <w:rPr>
          <w:color w:val="000000"/>
        </w:rPr>
        <w:t>$</w:t>
      </w:r>
      <w:r w:rsidR="004534F3">
        <w:rPr>
          <w:color w:val="000000"/>
        </w:rPr>
        <w:t xml:space="preserve">0.5 </w:t>
      </w:r>
      <w:r w:rsidRPr="00952869">
        <w:rPr>
          <w:color w:val="000000"/>
        </w:rPr>
        <w:t>million on well workovers, facilities improvements, and optimization in the Mendoza Concessions;</w:t>
      </w:r>
      <w:r w:rsidR="008420D2">
        <w:rPr>
          <w:color w:val="000000"/>
        </w:rPr>
        <w:t xml:space="preserve"> and</w:t>
      </w:r>
    </w:p>
    <w:p w14:paraId="0B627179" w14:textId="3890D339" w:rsidR="004534F3" w:rsidRPr="00952869" w:rsidRDefault="004534F3" w:rsidP="004534F3">
      <w:pPr>
        <w:widowControl w:val="0"/>
        <w:numPr>
          <w:ilvl w:val="0"/>
          <w:numId w:val="36"/>
        </w:numPr>
        <w:spacing w:before="120" w:after="60"/>
        <w:jc w:val="both"/>
        <w:rPr>
          <w:color w:val="000000"/>
        </w:rPr>
      </w:pPr>
      <w:r w:rsidRPr="00952869">
        <w:rPr>
          <w:color w:val="000000"/>
        </w:rPr>
        <w:t>$</w:t>
      </w:r>
      <w:r w:rsidRPr="004534F3">
        <w:rPr>
          <w:color w:val="000000"/>
        </w:rPr>
        <w:t xml:space="preserve">1.2 </w:t>
      </w:r>
      <w:r w:rsidRPr="00952869">
        <w:rPr>
          <w:color w:val="000000"/>
        </w:rPr>
        <w:t xml:space="preserve">million on </w:t>
      </w:r>
      <w:r w:rsidR="00066D43">
        <w:rPr>
          <w:color w:val="000000"/>
        </w:rPr>
        <w:t xml:space="preserve">an </w:t>
      </w:r>
      <w:r w:rsidRPr="00952869">
        <w:rPr>
          <w:color w:val="000000"/>
        </w:rPr>
        <w:t xml:space="preserve">extension fee </w:t>
      </w:r>
      <w:r w:rsidR="008420D2">
        <w:rPr>
          <w:color w:val="000000"/>
        </w:rPr>
        <w:t>for</w:t>
      </w:r>
      <w:r w:rsidR="008420D2" w:rsidRPr="00952869">
        <w:rPr>
          <w:color w:val="000000"/>
        </w:rPr>
        <w:t xml:space="preserve"> </w:t>
      </w:r>
      <w:r w:rsidRPr="00952869">
        <w:rPr>
          <w:color w:val="000000"/>
        </w:rPr>
        <w:t>the TDF Concessions</w:t>
      </w:r>
      <w:r w:rsidR="008420D2">
        <w:rPr>
          <w:color w:val="000000"/>
        </w:rPr>
        <w:t>.</w:t>
      </w:r>
      <w:r w:rsidRPr="00952869">
        <w:rPr>
          <w:color w:val="000000"/>
        </w:rPr>
        <w:t xml:space="preserve"> </w:t>
      </w:r>
      <w:r w:rsidR="00CD48E0">
        <w:rPr>
          <w:color w:val="000000"/>
        </w:rPr>
        <w:t>See "Commitments – TDF Concessions".</w:t>
      </w:r>
    </w:p>
    <w:p w14:paraId="2A376988" w14:textId="77777777" w:rsidR="00F65CF2" w:rsidRPr="006E5A6C" w:rsidRDefault="00F65CF2" w:rsidP="00F65CF2">
      <w:pPr>
        <w:widowControl w:val="0"/>
        <w:spacing w:before="120" w:after="60"/>
        <w:jc w:val="both"/>
        <w:rPr>
          <w:u w:val="single"/>
        </w:rPr>
      </w:pPr>
      <w:r w:rsidRPr="002B5B94">
        <w:rPr>
          <w:u w:val="single"/>
        </w:rPr>
        <w:t>Capital Spending – Exploration and Evaluation Assets</w:t>
      </w:r>
      <w:r w:rsidRPr="006E5A6C">
        <w:rPr>
          <w:u w:val="single"/>
        </w:rPr>
        <w:t xml:space="preserve"> </w:t>
      </w:r>
    </w:p>
    <w:p w14:paraId="2AD860B2" w14:textId="6AC8CF00" w:rsidR="00F65CF2" w:rsidRPr="000C3D48" w:rsidRDefault="00F65CF2" w:rsidP="00F65CF2">
      <w:pPr>
        <w:widowControl w:val="0"/>
        <w:spacing w:before="120"/>
        <w:ind w:right="25"/>
        <w:jc w:val="both"/>
        <w:rPr>
          <w:color w:val="000000"/>
        </w:rPr>
      </w:pPr>
      <w:r w:rsidRPr="000B7B51">
        <w:rPr>
          <w:color w:val="000000"/>
        </w:rPr>
        <w:t xml:space="preserve">The Company </w:t>
      </w:r>
      <w:r>
        <w:rPr>
          <w:color w:val="000000"/>
        </w:rPr>
        <w:t xml:space="preserve">plans to spend </w:t>
      </w:r>
      <w:r w:rsidRPr="000C3D48">
        <w:rPr>
          <w:color w:val="000000"/>
        </w:rPr>
        <w:t>$0.8 million on</w:t>
      </w:r>
      <w:r w:rsidRPr="000B7B51">
        <w:rPr>
          <w:color w:val="000000"/>
        </w:rPr>
        <w:t xml:space="preserve"> the testing of the gas bearing sandstone layers of the Neuquén Group at CLL </w:t>
      </w:r>
      <w:r>
        <w:rPr>
          <w:color w:val="000000"/>
        </w:rPr>
        <w:t>in fiscal 202</w:t>
      </w:r>
      <w:r w:rsidR="00381080">
        <w:rPr>
          <w:color w:val="000000"/>
        </w:rPr>
        <w:t>6</w:t>
      </w:r>
      <w:r>
        <w:rPr>
          <w:color w:val="000000"/>
        </w:rPr>
        <w:t xml:space="preserve">. </w:t>
      </w:r>
      <w:r>
        <w:rPr>
          <w:color w:val="000000"/>
        </w:rPr>
        <w:tab/>
      </w:r>
      <w:r>
        <w:rPr>
          <w:color w:val="000000"/>
        </w:rPr>
        <w:tab/>
      </w:r>
    </w:p>
    <w:p w14:paraId="4A0261C8" w14:textId="5ED87FC8" w:rsidR="00F65CF2" w:rsidRDefault="00F65CF2" w:rsidP="00F65CF2">
      <w:pPr>
        <w:widowControl w:val="0"/>
        <w:spacing w:before="120"/>
        <w:ind w:right="25"/>
        <w:jc w:val="both"/>
        <w:rPr>
          <w:color w:val="000000"/>
        </w:rPr>
      </w:pPr>
      <w:r w:rsidRPr="006E5A6C">
        <w:rPr>
          <w:color w:val="000000"/>
        </w:rPr>
        <w:t>Crown Point expects to fund its capital spending, along with its other anticipated expenses, using cash held in bank accounts, cash flow from operations</w:t>
      </w:r>
      <w:r w:rsidR="00F515C2">
        <w:rPr>
          <w:color w:val="000000"/>
        </w:rPr>
        <w:t>, equity financings</w:t>
      </w:r>
      <w:r w:rsidRPr="006E5A6C">
        <w:rPr>
          <w:color w:val="000000"/>
        </w:rPr>
        <w:t xml:space="preserve"> and/or new debt. See </w:t>
      </w:r>
      <w:r>
        <w:rPr>
          <w:color w:val="000000"/>
        </w:rPr>
        <w:t>“</w:t>
      </w:r>
      <w:r w:rsidRPr="006E5A6C">
        <w:rPr>
          <w:color w:val="000000"/>
        </w:rPr>
        <w:t>Liquidity and Capital Resources</w:t>
      </w:r>
      <w:r>
        <w:rPr>
          <w:color w:val="000000"/>
        </w:rPr>
        <w:t>”.</w:t>
      </w:r>
    </w:p>
    <w:p w14:paraId="0E73E798" w14:textId="3E174087" w:rsidR="00BF4F70" w:rsidRPr="00EF0E26" w:rsidRDefault="00BF4F70" w:rsidP="005370AC">
      <w:pPr>
        <w:widowControl w:val="0"/>
        <w:autoSpaceDE w:val="0"/>
        <w:autoSpaceDN w:val="0"/>
        <w:spacing w:before="120"/>
        <w:ind w:right="-302"/>
        <w:jc w:val="both"/>
        <w:rPr>
          <w:rFonts w:cs="Arial"/>
          <w:u w:val="single"/>
        </w:rPr>
      </w:pPr>
      <w:bookmarkStart w:id="10" w:name="bookmark=id.2et92p0" w:colFirst="0" w:colLast="0"/>
      <w:bookmarkStart w:id="11" w:name="_Hlk133913246"/>
      <w:bookmarkStart w:id="12" w:name="_Hlk158989440"/>
      <w:bookmarkEnd w:id="8"/>
      <w:bookmarkEnd w:id="9"/>
      <w:bookmarkEnd w:id="10"/>
      <w:r w:rsidRPr="00E87E36">
        <w:rPr>
          <w:rFonts w:cs="Arial"/>
          <w:u w:val="single"/>
        </w:rPr>
        <w:t>Argentina – Economic Summary</w:t>
      </w:r>
      <w:r w:rsidRPr="00EF0E26">
        <w:rPr>
          <w:rFonts w:cs="Arial"/>
          <w:u w:val="single"/>
        </w:rPr>
        <w:t xml:space="preserve"> </w:t>
      </w:r>
    </w:p>
    <w:bookmarkEnd w:id="11"/>
    <w:bookmarkEnd w:id="12"/>
    <w:p w14:paraId="39B91D68" w14:textId="389CCEE5" w:rsidR="008234F6" w:rsidRPr="008234F6" w:rsidRDefault="008234F6" w:rsidP="008234F6">
      <w:pPr>
        <w:spacing w:before="120"/>
        <w:jc w:val="both"/>
        <w:rPr>
          <w:color w:val="000000"/>
        </w:rPr>
      </w:pPr>
      <w:r w:rsidRPr="008234F6">
        <w:rPr>
          <w:color w:val="000000"/>
        </w:rPr>
        <w:t xml:space="preserve">On May 21, 2026, the </w:t>
      </w:r>
      <w:r w:rsidRPr="00444E26">
        <w:rPr>
          <w:color w:val="000000"/>
        </w:rPr>
        <w:t xml:space="preserve">International Monetary Fund </w:t>
      </w:r>
      <w:r>
        <w:rPr>
          <w:color w:val="000000"/>
          <w:lang w:val="en-US"/>
        </w:rPr>
        <w:t>(“</w:t>
      </w:r>
      <w:r>
        <w:rPr>
          <w:b/>
          <w:bCs/>
          <w:color w:val="000000"/>
          <w:lang w:val="en-US"/>
        </w:rPr>
        <w:t>IMF</w:t>
      </w:r>
      <w:r>
        <w:rPr>
          <w:color w:val="000000"/>
          <w:lang w:val="en-US"/>
        </w:rPr>
        <w:t>”</w:t>
      </w:r>
      <w:r w:rsidRPr="00F515C2">
        <w:rPr>
          <w:color w:val="000000"/>
          <w:lang w:val="en-US"/>
        </w:rPr>
        <w:t>)</w:t>
      </w:r>
      <w:r w:rsidRPr="00F515C2">
        <w:rPr>
          <w:color w:val="000000"/>
        </w:rPr>
        <w:t xml:space="preserve"> </w:t>
      </w:r>
      <w:r w:rsidRPr="008234F6">
        <w:rPr>
          <w:color w:val="000000"/>
        </w:rPr>
        <w:t>Executive Board completed the second review of Argentina's economic reform program under the 48-month Extended Fund Facility (</w:t>
      </w:r>
      <w:r w:rsidR="00333775">
        <w:rPr>
          <w:color w:val="000000"/>
        </w:rPr>
        <w:t>"</w:t>
      </w:r>
      <w:r w:rsidRPr="00333775">
        <w:rPr>
          <w:b/>
          <w:bCs/>
          <w:color w:val="000000"/>
        </w:rPr>
        <w:t>EFF</w:t>
      </w:r>
      <w:r w:rsidR="00333775">
        <w:rPr>
          <w:color w:val="000000"/>
        </w:rPr>
        <w:t>"</w:t>
      </w:r>
      <w:r w:rsidRPr="008234F6">
        <w:rPr>
          <w:color w:val="000000"/>
        </w:rPr>
        <w:t>) arrangement</w:t>
      </w:r>
      <w:r w:rsidR="00066D43">
        <w:rPr>
          <w:color w:val="000000"/>
        </w:rPr>
        <w:t xml:space="preserve"> which </w:t>
      </w:r>
      <w:r w:rsidRPr="008234F6">
        <w:rPr>
          <w:color w:val="000000"/>
        </w:rPr>
        <w:t xml:space="preserve">formally </w:t>
      </w:r>
      <w:r w:rsidR="00333775" w:rsidRPr="008234F6">
        <w:rPr>
          <w:color w:val="000000"/>
        </w:rPr>
        <w:t>ratifi</w:t>
      </w:r>
      <w:r w:rsidR="00333775">
        <w:rPr>
          <w:color w:val="000000"/>
        </w:rPr>
        <w:t>ed</w:t>
      </w:r>
      <w:r w:rsidRPr="008234F6">
        <w:rPr>
          <w:color w:val="000000"/>
        </w:rPr>
        <w:t xml:space="preserve"> the staff-level agreement reached in April </w:t>
      </w:r>
      <w:r w:rsidR="00066D43">
        <w:rPr>
          <w:color w:val="000000"/>
        </w:rPr>
        <w:t xml:space="preserve">2026 </w:t>
      </w:r>
      <w:r w:rsidRPr="008234F6">
        <w:rPr>
          <w:color w:val="000000"/>
        </w:rPr>
        <w:t xml:space="preserve">and concluded the 2026 Article IV Consultation. The </w:t>
      </w:r>
      <w:r w:rsidR="00E131CA">
        <w:rPr>
          <w:color w:val="000000"/>
        </w:rPr>
        <w:t xml:space="preserve">IMF Executive </w:t>
      </w:r>
      <w:r w:rsidRPr="008234F6">
        <w:rPr>
          <w:color w:val="000000"/>
        </w:rPr>
        <w:t xml:space="preserve">Board's approval unlocked </w:t>
      </w:r>
      <w:r w:rsidR="00066D43">
        <w:rPr>
          <w:color w:val="000000"/>
        </w:rPr>
        <w:t xml:space="preserve">a </w:t>
      </w:r>
      <w:r w:rsidRPr="008234F6">
        <w:rPr>
          <w:color w:val="000000"/>
        </w:rPr>
        <w:t>disbursement of approximately $1 billion. With this tranche, Argentina has received approximately $15.8 billion of the $20 billion available under the EFF arrangement approved in April 2025.</w:t>
      </w:r>
    </w:p>
    <w:p w14:paraId="0DA9E717" w14:textId="77777777" w:rsidR="008234F6" w:rsidRPr="008234F6" w:rsidRDefault="008234F6" w:rsidP="008234F6">
      <w:pPr>
        <w:spacing w:before="120"/>
        <w:jc w:val="both"/>
        <w:rPr>
          <w:color w:val="000000"/>
        </w:rPr>
      </w:pPr>
      <w:r w:rsidRPr="008234F6">
        <w:rPr>
          <w:color w:val="000000"/>
        </w:rPr>
        <w:t>The IMF reaffirmed a generally favorable, though somewhat more measured, outlook for Argentina's economy, now projecting GDP growth of approximately 3.5% in 2026, with end-of-period inflation expected to decline to around 25%.</w:t>
      </w:r>
    </w:p>
    <w:p w14:paraId="4A131BB2" w14:textId="3E023E1E" w:rsidR="008234F6" w:rsidRPr="008234F6" w:rsidRDefault="008234F6" w:rsidP="008234F6">
      <w:pPr>
        <w:spacing w:before="120"/>
        <w:jc w:val="both"/>
        <w:rPr>
          <w:color w:val="000000"/>
        </w:rPr>
      </w:pPr>
      <w:r w:rsidRPr="008234F6">
        <w:rPr>
          <w:color w:val="000000"/>
        </w:rPr>
        <w:t>Economic reform momentum has significantly strengthened in recent months. The administration secured congressional approval of the 2026 Budget and critical legislation aimed at formalizing holdings of financial assets by residents, enhancing labor market flexibility, ratifying key trade agreements, and unlocking investments in mining. Enhancements to the monetary and foreign exchange framework have continued to strengthen reserve buffers: central bank foreign exchange purchases surpassed the government's full-year target of $10 billion by early June 202</w:t>
      </w:r>
      <w:r w:rsidR="00280AEA">
        <w:rPr>
          <w:color w:val="000000"/>
        </w:rPr>
        <w:t>6.</w:t>
      </w:r>
    </w:p>
    <w:p w14:paraId="40A08E88" w14:textId="4E325F39" w:rsidR="00280AEA" w:rsidRDefault="00280AEA" w:rsidP="00280AEA">
      <w:pPr>
        <w:spacing w:before="120"/>
        <w:jc w:val="both"/>
        <w:rPr>
          <w:color w:val="000000"/>
        </w:rPr>
      </w:pPr>
      <w:r w:rsidRPr="00280AEA">
        <w:rPr>
          <w:color w:val="000000"/>
        </w:rPr>
        <w:t xml:space="preserve">The inflation rate during the first half of 2026 showed a monthly slowdown, </w:t>
      </w:r>
      <w:r w:rsidR="00066D43">
        <w:rPr>
          <w:color w:val="000000"/>
        </w:rPr>
        <w:t>reported at</w:t>
      </w:r>
      <w:r w:rsidR="00066D43" w:rsidRPr="00280AEA">
        <w:rPr>
          <w:color w:val="000000"/>
        </w:rPr>
        <w:t xml:space="preserve"> </w:t>
      </w:r>
      <w:r w:rsidRPr="00280AEA">
        <w:rPr>
          <w:color w:val="000000"/>
        </w:rPr>
        <w:t xml:space="preserve">1.9% in June, while the cumulative inflation </w:t>
      </w:r>
      <w:r w:rsidR="00BD34E3">
        <w:rPr>
          <w:color w:val="000000"/>
        </w:rPr>
        <w:t xml:space="preserve">rate </w:t>
      </w:r>
      <w:r w:rsidRPr="00280AEA">
        <w:rPr>
          <w:color w:val="000000"/>
        </w:rPr>
        <w:t>from January to June reached 16.8% and the year-</w:t>
      </w:r>
      <w:r w:rsidR="00066D43">
        <w:rPr>
          <w:color w:val="000000"/>
        </w:rPr>
        <w:t>over-</w:t>
      </w:r>
      <w:r w:rsidRPr="00280AEA">
        <w:rPr>
          <w:color w:val="000000"/>
        </w:rPr>
        <w:t xml:space="preserve">year variation was 33.5% as of June 2026. </w:t>
      </w:r>
    </w:p>
    <w:p w14:paraId="4C82C35A" w14:textId="77777777" w:rsidR="00066D43" w:rsidRDefault="00066D43">
      <w:pPr>
        <w:rPr>
          <w:rFonts w:cs="Arial"/>
          <w:u w:val="single"/>
        </w:rPr>
      </w:pPr>
      <w:r>
        <w:rPr>
          <w:rFonts w:cs="Arial"/>
          <w:u w:val="single"/>
        </w:rPr>
        <w:br w:type="page"/>
      </w:r>
    </w:p>
    <w:p w14:paraId="14C092C5" w14:textId="64D7F945" w:rsidR="004E5EFF" w:rsidRPr="003D0964" w:rsidRDefault="004E5EFF" w:rsidP="005370AC">
      <w:pPr>
        <w:widowControl w:val="0"/>
        <w:autoSpaceDE w:val="0"/>
        <w:autoSpaceDN w:val="0"/>
        <w:spacing w:before="120"/>
        <w:jc w:val="both"/>
        <w:rPr>
          <w:rFonts w:cs="Arial"/>
          <w:u w:val="single"/>
        </w:rPr>
      </w:pPr>
      <w:r>
        <w:rPr>
          <w:rFonts w:cs="Arial"/>
          <w:u w:val="single"/>
        </w:rPr>
        <w:lastRenderedPageBreak/>
        <w:t>Commodity Prices</w:t>
      </w:r>
    </w:p>
    <w:p w14:paraId="533A9E82" w14:textId="4F288946" w:rsidR="00405C5E" w:rsidRDefault="00A44030" w:rsidP="00A44030">
      <w:pPr>
        <w:spacing w:before="120" w:after="120"/>
        <w:jc w:val="both"/>
      </w:pPr>
      <w:r>
        <w:t>The Company received the following average prices for oil and natural gas sales during Q</w:t>
      </w:r>
      <w:r w:rsidR="00E91EF5">
        <w:t>2</w:t>
      </w:r>
      <w:r>
        <w:t xml:space="preserve"> 2026:</w:t>
      </w:r>
    </w:p>
    <w:tbl>
      <w:tblPr>
        <w:tblW w:w="7159" w:type="dxa"/>
        <w:tblLayout w:type="fixed"/>
        <w:tblLook w:val="04A0" w:firstRow="1" w:lastRow="0" w:firstColumn="1" w:lastColumn="0" w:noHBand="0" w:noVBand="1"/>
      </w:tblPr>
      <w:tblGrid>
        <w:gridCol w:w="4395"/>
        <w:gridCol w:w="1382"/>
        <w:gridCol w:w="1382"/>
      </w:tblGrid>
      <w:tr w:rsidR="00CD668E" w14:paraId="291A3EC0" w14:textId="77777777" w:rsidTr="00CD668E">
        <w:trPr>
          <w:trHeight w:val="234"/>
        </w:trPr>
        <w:tc>
          <w:tcPr>
            <w:tcW w:w="4395" w:type="dxa"/>
            <w:tcBorders>
              <w:top w:val="single" w:sz="12" w:space="0" w:color="auto"/>
            </w:tcBorders>
            <w:vAlign w:val="bottom"/>
          </w:tcPr>
          <w:p w14:paraId="560776CE" w14:textId="29D1A929" w:rsidR="00CD668E" w:rsidRPr="009F4B9D" w:rsidRDefault="00CD668E" w:rsidP="00FE6A82">
            <w:pPr>
              <w:pStyle w:val="BodyText"/>
              <w:widowControl w:val="0"/>
              <w:jc w:val="left"/>
              <w:rPr>
                <w:rFonts w:cs="Arial"/>
                <w:sz w:val="18"/>
                <w:szCs w:val="18"/>
              </w:rPr>
            </w:pPr>
          </w:p>
        </w:tc>
        <w:tc>
          <w:tcPr>
            <w:tcW w:w="1382" w:type="dxa"/>
            <w:tcBorders>
              <w:top w:val="single" w:sz="12" w:space="0" w:color="auto"/>
            </w:tcBorders>
            <w:vAlign w:val="bottom"/>
          </w:tcPr>
          <w:p w14:paraId="2392CE16" w14:textId="682DA3E6" w:rsidR="00CD668E" w:rsidRPr="009F4B9D" w:rsidRDefault="00CD668E" w:rsidP="00FE6A82">
            <w:pPr>
              <w:pStyle w:val="BodyText"/>
              <w:widowControl w:val="0"/>
              <w:jc w:val="center"/>
              <w:rPr>
                <w:rFonts w:cs="Arial"/>
                <w:b/>
                <w:sz w:val="16"/>
                <w:szCs w:val="16"/>
              </w:rPr>
            </w:pPr>
            <w:r>
              <w:rPr>
                <w:rFonts w:cs="Arial"/>
                <w:b/>
                <w:sz w:val="16"/>
                <w:szCs w:val="16"/>
              </w:rPr>
              <w:t>Oil</w:t>
            </w:r>
          </w:p>
        </w:tc>
        <w:tc>
          <w:tcPr>
            <w:tcW w:w="1382" w:type="dxa"/>
            <w:tcBorders>
              <w:top w:val="single" w:sz="12" w:space="0" w:color="auto"/>
            </w:tcBorders>
            <w:vAlign w:val="bottom"/>
          </w:tcPr>
          <w:p w14:paraId="7765B16C" w14:textId="7759F61A" w:rsidR="00CD668E" w:rsidRPr="009F4B9D" w:rsidRDefault="00CD668E" w:rsidP="00FE6A82">
            <w:pPr>
              <w:pStyle w:val="BodyText"/>
              <w:widowControl w:val="0"/>
              <w:jc w:val="center"/>
              <w:rPr>
                <w:rFonts w:cs="Arial"/>
                <w:b/>
                <w:sz w:val="16"/>
                <w:szCs w:val="16"/>
              </w:rPr>
            </w:pPr>
            <w:r>
              <w:rPr>
                <w:rFonts w:cs="Arial"/>
                <w:b/>
                <w:sz w:val="16"/>
                <w:szCs w:val="16"/>
              </w:rPr>
              <w:t>Natural Gas</w:t>
            </w:r>
          </w:p>
        </w:tc>
      </w:tr>
      <w:tr w:rsidR="00CD668E" w14:paraId="2D9FFD86" w14:textId="77777777" w:rsidTr="00CD668E">
        <w:trPr>
          <w:trHeight w:val="182"/>
        </w:trPr>
        <w:tc>
          <w:tcPr>
            <w:tcW w:w="4395" w:type="dxa"/>
            <w:tcBorders>
              <w:bottom w:val="single" w:sz="4" w:space="0" w:color="auto"/>
            </w:tcBorders>
          </w:tcPr>
          <w:p w14:paraId="6EE60D3C" w14:textId="77559A5F" w:rsidR="00CD668E" w:rsidRPr="009F4B9D" w:rsidRDefault="00CD668E">
            <w:pPr>
              <w:pStyle w:val="BodyText"/>
              <w:widowControl w:val="0"/>
              <w:rPr>
                <w:rFonts w:cs="Arial"/>
                <w:sz w:val="18"/>
                <w:szCs w:val="18"/>
              </w:rPr>
            </w:pPr>
            <w:r>
              <w:rPr>
                <w:rFonts w:cs="Arial"/>
                <w:sz w:val="18"/>
                <w:szCs w:val="18"/>
              </w:rPr>
              <w:t>Concession</w:t>
            </w:r>
          </w:p>
        </w:tc>
        <w:tc>
          <w:tcPr>
            <w:tcW w:w="1382" w:type="dxa"/>
            <w:tcBorders>
              <w:bottom w:val="single" w:sz="4" w:space="0" w:color="auto"/>
            </w:tcBorders>
            <w:vAlign w:val="bottom"/>
          </w:tcPr>
          <w:p w14:paraId="41A8BFE4" w14:textId="6AE02D49" w:rsidR="00CD668E" w:rsidRPr="009F4B9D" w:rsidRDefault="00CD668E">
            <w:pPr>
              <w:pStyle w:val="BodyText"/>
              <w:widowControl w:val="0"/>
              <w:jc w:val="center"/>
              <w:rPr>
                <w:rFonts w:cs="Arial"/>
                <w:b/>
                <w:sz w:val="16"/>
                <w:szCs w:val="16"/>
              </w:rPr>
            </w:pPr>
            <w:r>
              <w:rPr>
                <w:rFonts w:cs="Arial"/>
                <w:b/>
                <w:sz w:val="16"/>
                <w:szCs w:val="16"/>
              </w:rPr>
              <w:t xml:space="preserve">$ per </w:t>
            </w:r>
            <w:proofErr w:type="spellStart"/>
            <w:r>
              <w:rPr>
                <w:rFonts w:cs="Arial"/>
                <w:b/>
                <w:sz w:val="16"/>
                <w:szCs w:val="16"/>
              </w:rPr>
              <w:t>bbl</w:t>
            </w:r>
            <w:proofErr w:type="spellEnd"/>
          </w:p>
        </w:tc>
        <w:tc>
          <w:tcPr>
            <w:tcW w:w="1382" w:type="dxa"/>
            <w:tcBorders>
              <w:bottom w:val="single" w:sz="4" w:space="0" w:color="auto"/>
            </w:tcBorders>
            <w:vAlign w:val="bottom"/>
          </w:tcPr>
          <w:p w14:paraId="0A96AD90" w14:textId="4C257E81" w:rsidR="00CD668E" w:rsidRPr="009F4B9D" w:rsidRDefault="00CD668E">
            <w:pPr>
              <w:pStyle w:val="BodyText"/>
              <w:widowControl w:val="0"/>
              <w:jc w:val="center"/>
              <w:rPr>
                <w:rFonts w:cs="Arial"/>
                <w:b/>
                <w:sz w:val="16"/>
                <w:szCs w:val="16"/>
              </w:rPr>
            </w:pPr>
            <w:r>
              <w:rPr>
                <w:rFonts w:cs="Arial"/>
                <w:b/>
                <w:sz w:val="16"/>
                <w:szCs w:val="16"/>
              </w:rPr>
              <w:t>$ per mcf</w:t>
            </w:r>
          </w:p>
        </w:tc>
      </w:tr>
      <w:tr w:rsidR="00CD668E" w:rsidRPr="00A137E2" w14:paraId="2156FC29" w14:textId="77777777" w:rsidTr="00811E8B">
        <w:tblPrEx>
          <w:tblLook w:val="01E0" w:firstRow="1" w:lastRow="1" w:firstColumn="1" w:lastColumn="1" w:noHBand="0" w:noVBand="0"/>
        </w:tblPrEx>
        <w:trPr>
          <w:trHeight w:val="177"/>
        </w:trPr>
        <w:tc>
          <w:tcPr>
            <w:tcW w:w="4395" w:type="dxa"/>
            <w:vAlign w:val="bottom"/>
          </w:tcPr>
          <w:p w14:paraId="0F4965D7" w14:textId="657C7FA8" w:rsidR="00CD668E" w:rsidRPr="00594B85" w:rsidRDefault="00CD668E">
            <w:pPr>
              <w:pStyle w:val="BodyText2"/>
              <w:widowControl w:val="0"/>
              <w:spacing w:line="240" w:lineRule="atLeast"/>
              <w:jc w:val="left"/>
              <w:rPr>
                <w:rFonts w:cs="Arial"/>
                <w:sz w:val="18"/>
                <w:szCs w:val="18"/>
              </w:rPr>
            </w:pPr>
            <w:r>
              <w:rPr>
                <w:rFonts w:cs="Arial"/>
                <w:sz w:val="18"/>
                <w:szCs w:val="18"/>
              </w:rPr>
              <w:t xml:space="preserve">TDF </w:t>
            </w:r>
          </w:p>
        </w:tc>
        <w:tc>
          <w:tcPr>
            <w:tcW w:w="1382" w:type="dxa"/>
            <w:vAlign w:val="bottom"/>
          </w:tcPr>
          <w:p w14:paraId="0DD4B4B6" w14:textId="7F2006B1" w:rsidR="00CD668E" w:rsidRPr="00811E8B" w:rsidRDefault="00811E8B" w:rsidP="00FE6A82">
            <w:pPr>
              <w:pStyle w:val="BodyText2"/>
              <w:widowControl w:val="0"/>
              <w:tabs>
                <w:tab w:val="decimal" w:pos="603"/>
              </w:tabs>
              <w:spacing w:line="240" w:lineRule="atLeast"/>
              <w:ind w:left="-18"/>
              <w:jc w:val="left"/>
              <w:rPr>
                <w:rFonts w:cs="Arial"/>
                <w:sz w:val="18"/>
                <w:szCs w:val="18"/>
              </w:rPr>
            </w:pPr>
            <w:r>
              <w:rPr>
                <w:rFonts w:cs="Arial"/>
                <w:sz w:val="18"/>
                <w:szCs w:val="18"/>
              </w:rPr>
              <w:t>74.09</w:t>
            </w:r>
          </w:p>
        </w:tc>
        <w:tc>
          <w:tcPr>
            <w:tcW w:w="1382" w:type="dxa"/>
            <w:vAlign w:val="bottom"/>
          </w:tcPr>
          <w:p w14:paraId="34256829" w14:textId="0CAB0476" w:rsidR="00CD668E" w:rsidRPr="00811E8B" w:rsidRDefault="00811E8B" w:rsidP="00FE6A82">
            <w:pPr>
              <w:pStyle w:val="BodyText2"/>
              <w:widowControl w:val="0"/>
              <w:tabs>
                <w:tab w:val="decimal" w:pos="641"/>
              </w:tabs>
              <w:spacing w:line="240" w:lineRule="atLeast"/>
              <w:ind w:left="-18"/>
              <w:jc w:val="left"/>
              <w:rPr>
                <w:rFonts w:cs="Arial"/>
                <w:sz w:val="18"/>
                <w:szCs w:val="18"/>
              </w:rPr>
            </w:pPr>
            <w:r>
              <w:rPr>
                <w:rFonts w:cs="Arial"/>
                <w:sz w:val="18"/>
                <w:szCs w:val="18"/>
              </w:rPr>
              <w:t>3.79</w:t>
            </w:r>
          </w:p>
        </w:tc>
      </w:tr>
      <w:tr w:rsidR="00CD668E" w:rsidRPr="00631AB8" w14:paraId="2386E6EE" w14:textId="77777777" w:rsidTr="00811E8B">
        <w:tblPrEx>
          <w:tblLook w:val="01E0" w:firstRow="1" w:lastRow="1" w:firstColumn="1" w:lastColumn="1" w:noHBand="0" w:noVBand="0"/>
        </w:tblPrEx>
        <w:trPr>
          <w:trHeight w:val="203"/>
        </w:trPr>
        <w:tc>
          <w:tcPr>
            <w:tcW w:w="4395" w:type="dxa"/>
            <w:vAlign w:val="bottom"/>
          </w:tcPr>
          <w:p w14:paraId="21147ED2" w14:textId="15400976" w:rsidR="00CD668E" w:rsidRPr="00996BCF" w:rsidRDefault="00CD668E">
            <w:pPr>
              <w:pStyle w:val="BodyText2"/>
              <w:widowControl w:val="0"/>
              <w:spacing w:line="240" w:lineRule="atLeast"/>
              <w:jc w:val="left"/>
              <w:rPr>
                <w:rFonts w:cs="Arial"/>
                <w:sz w:val="18"/>
                <w:szCs w:val="18"/>
              </w:rPr>
            </w:pPr>
            <w:r>
              <w:rPr>
                <w:rFonts w:cs="Arial"/>
                <w:sz w:val="18"/>
                <w:szCs w:val="18"/>
              </w:rPr>
              <w:t xml:space="preserve">Mendoza </w:t>
            </w:r>
          </w:p>
        </w:tc>
        <w:tc>
          <w:tcPr>
            <w:tcW w:w="1382" w:type="dxa"/>
            <w:vAlign w:val="bottom"/>
          </w:tcPr>
          <w:p w14:paraId="2A521488" w14:textId="536834F6" w:rsidR="00CD668E" w:rsidRPr="00811E8B" w:rsidRDefault="00811E8B" w:rsidP="00FE6A82">
            <w:pPr>
              <w:pStyle w:val="BodyText2"/>
              <w:widowControl w:val="0"/>
              <w:tabs>
                <w:tab w:val="decimal" w:pos="603"/>
              </w:tabs>
              <w:spacing w:line="240" w:lineRule="atLeast"/>
              <w:ind w:left="-18"/>
              <w:jc w:val="left"/>
              <w:rPr>
                <w:rFonts w:cs="Arial"/>
                <w:sz w:val="18"/>
                <w:szCs w:val="18"/>
              </w:rPr>
            </w:pPr>
            <w:r>
              <w:rPr>
                <w:rFonts w:cs="Arial"/>
                <w:sz w:val="18"/>
                <w:szCs w:val="18"/>
              </w:rPr>
              <w:t>90.23</w:t>
            </w:r>
          </w:p>
        </w:tc>
        <w:tc>
          <w:tcPr>
            <w:tcW w:w="1382" w:type="dxa"/>
            <w:vAlign w:val="bottom"/>
          </w:tcPr>
          <w:p w14:paraId="29EA81DF" w14:textId="14772478" w:rsidR="00CD668E" w:rsidRPr="00811E8B" w:rsidRDefault="00CD668E" w:rsidP="005C47AC">
            <w:pPr>
              <w:pStyle w:val="BodyText2"/>
              <w:widowControl w:val="0"/>
              <w:tabs>
                <w:tab w:val="decimal" w:pos="783"/>
              </w:tabs>
              <w:spacing w:line="240" w:lineRule="atLeast"/>
              <w:ind w:left="-18"/>
              <w:jc w:val="left"/>
              <w:rPr>
                <w:rFonts w:cs="Arial"/>
                <w:sz w:val="18"/>
                <w:szCs w:val="18"/>
              </w:rPr>
            </w:pPr>
            <w:r w:rsidRPr="00811E8B">
              <w:rPr>
                <w:rFonts w:cs="Arial"/>
                <w:sz w:val="18"/>
                <w:szCs w:val="18"/>
              </w:rPr>
              <w:t>–</w:t>
            </w:r>
          </w:p>
        </w:tc>
      </w:tr>
      <w:tr w:rsidR="00CD668E" w:rsidRPr="006622D5" w14:paraId="3630B2F3" w14:textId="77777777" w:rsidTr="00811E8B">
        <w:tblPrEx>
          <w:tblLook w:val="01E0" w:firstRow="1" w:lastRow="1" w:firstColumn="1" w:lastColumn="1" w:noHBand="0" w:noVBand="0"/>
        </w:tblPrEx>
        <w:trPr>
          <w:trHeight w:val="207"/>
        </w:trPr>
        <w:tc>
          <w:tcPr>
            <w:tcW w:w="4395" w:type="dxa"/>
            <w:vAlign w:val="bottom"/>
          </w:tcPr>
          <w:p w14:paraId="0955FC0D" w14:textId="0A2266FD" w:rsidR="00CD668E" w:rsidRPr="003A52DC" w:rsidRDefault="00CD668E" w:rsidP="00477E41">
            <w:pPr>
              <w:pStyle w:val="BodyText2"/>
              <w:widowControl w:val="0"/>
              <w:spacing w:line="240" w:lineRule="atLeast"/>
              <w:ind w:right="-38"/>
              <w:jc w:val="left"/>
              <w:rPr>
                <w:rFonts w:cs="Arial"/>
                <w:sz w:val="18"/>
                <w:szCs w:val="18"/>
              </w:rPr>
            </w:pPr>
            <w:r>
              <w:rPr>
                <w:rFonts w:cs="Arial"/>
                <w:sz w:val="18"/>
                <w:szCs w:val="18"/>
              </w:rPr>
              <w:t>Santa Cruz</w:t>
            </w:r>
          </w:p>
        </w:tc>
        <w:tc>
          <w:tcPr>
            <w:tcW w:w="1382" w:type="dxa"/>
            <w:vAlign w:val="bottom"/>
          </w:tcPr>
          <w:p w14:paraId="42B32C0E" w14:textId="36FC57E6" w:rsidR="00CD668E" w:rsidRPr="00811E8B" w:rsidRDefault="00811E8B" w:rsidP="00FE6A82">
            <w:pPr>
              <w:pStyle w:val="BodyText2"/>
              <w:widowControl w:val="0"/>
              <w:tabs>
                <w:tab w:val="decimal" w:pos="603"/>
              </w:tabs>
              <w:spacing w:line="240" w:lineRule="atLeast"/>
              <w:ind w:left="-18"/>
              <w:jc w:val="left"/>
              <w:rPr>
                <w:rFonts w:cs="Arial"/>
                <w:sz w:val="18"/>
                <w:szCs w:val="18"/>
              </w:rPr>
            </w:pPr>
            <w:r>
              <w:rPr>
                <w:rFonts w:cs="Arial"/>
                <w:sz w:val="18"/>
                <w:szCs w:val="18"/>
              </w:rPr>
              <w:t>100.19</w:t>
            </w:r>
          </w:p>
        </w:tc>
        <w:tc>
          <w:tcPr>
            <w:tcW w:w="1382" w:type="dxa"/>
            <w:vAlign w:val="bottom"/>
          </w:tcPr>
          <w:p w14:paraId="6EADEACD" w14:textId="7F4391FD" w:rsidR="00CD668E" w:rsidRPr="00811E8B" w:rsidRDefault="00CD668E" w:rsidP="005C47AC">
            <w:pPr>
              <w:pStyle w:val="BodyText2"/>
              <w:widowControl w:val="0"/>
              <w:tabs>
                <w:tab w:val="decimal" w:pos="783"/>
              </w:tabs>
              <w:spacing w:line="240" w:lineRule="atLeast"/>
              <w:ind w:left="-18"/>
              <w:jc w:val="left"/>
              <w:rPr>
                <w:rFonts w:cs="Arial"/>
                <w:sz w:val="18"/>
                <w:szCs w:val="18"/>
              </w:rPr>
            </w:pPr>
            <w:r w:rsidRPr="00811E8B">
              <w:rPr>
                <w:rFonts w:cs="Arial"/>
                <w:sz w:val="18"/>
                <w:szCs w:val="18"/>
              </w:rPr>
              <w:t>–</w:t>
            </w:r>
          </w:p>
        </w:tc>
      </w:tr>
      <w:tr w:rsidR="00CD668E" w:rsidRPr="00804452" w14:paraId="50AE752C" w14:textId="77777777" w:rsidTr="00811E8B">
        <w:tblPrEx>
          <w:tblLook w:val="01E0" w:firstRow="1" w:lastRow="1" w:firstColumn="1" w:lastColumn="1" w:noHBand="0" w:noVBand="0"/>
        </w:tblPrEx>
        <w:trPr>
          <w:trHeight w:val="153"/>
        </w:trPr>
        <w:tc>
          <w:tcPr>
            <w:tcW w:w="4395" w:type="dxa"/>
            <w:vAlign w:val="bottom"/>
          </w:tcPr>
          <w:p w14:paraId="054DDDC9" w14:textId="2EA19296" w:rsidR="00CD668E" w:rsidRPr="003A52DC" w:rsidRDefault="00CD668E" w:rsidP="001365B8">
            <w:pPr>
              <w:pStyle w:val="BodyText2"/>
              <w:widowControl w:val="0"/>
              <w:spacing w:line="240" w:lineRule="atLeast"/>
              <w:ind w:right="-38"/>
              <w:jc w:val="left"/>
              <w:rPr>
                <w:rFonts w:cs="Arial"/>
                <w:sz w:val="18"/>
                <w:szCs w:val="18"/>
              </w:rPr>
            </w:pPr>
            <w:r>
              <w:rPr>
                <w:rFonts w:cs="Arial"/>
                <w:sz w:val="18"/>
                <w:szCs w:val="18"/>
              </w:rPr>
              <w:t>Chubut</w:t>
            </w:r>
          </w:p>
        </w:tc>
        <w:tc>
          <w:tcPr>
            <w:tcW w:w="1382" w:type="dxa"/>
            <w:vAlign w:val="bottom"/>
          </w:tcPr>
          <w:p w14:paraId="174222C4" w14:textId="337DC8ED" w:rsidR="00CD668E" w:rsidRPr="00811E8B" w:rsidRDefault="00811E8B" w:rsidP="00FE6A82">
            <w:pPr>
              <w:pStyle w:val="BodyText2"/>
              <w:widowControl w:val="0"/>
              <w:tabs>
                <w:tab w:val="decimal" w:pos="603"/>
              </w:tabs>
              <w:spacing w:line="240" w:lineRule="atLeast"/>
              <w:ind w:left="-18"/>
              <w:jc w:val="left"/>
              <w:rPr>
                <w:rFonts w:cs="Arial"/>
                <w:sz w:val="18"/>
                <w:szCs w:val="18"/>
              </w:rPr>
            </w:pPr>
            <w:r>
              <w:rPr>
                <w:rFonts w:cs="Arial"/>
                <w:sz w:val="18"/>
                <w:szCs w:val="18"/>
              </w:rPr>
              <w:t>86.11</w:t>
            </w:r>
          </w:p>
        </w:tc>
        <w:tc>
          <w:tcPr>
            <w:tcW w:w="1382" w:type="dxa"/>
            <w:vAlign w:val="bottom"/>
          </w:tcPr>
          <w:p w14:paraId="5F3C7C43" w14:textId="16909C4C" w:rsidR="00CD668E" w:rsidRPr="00811E8B" w:rsidRDefault="00066D43" w:rsidP="00FE6A82">
            <w:pPr>
              <w:pStyle w:val="BodyText2"/>
              <w:widowControl w:val="0"/>
              <w:tabs>
                <w:tab w:val="decimal" w:pos="641"/>
              </w:tabs>
              <w:spacing w:line="240" w:lineRule="atLeast"/>
              <w:ind w:left="-18"/>
              <w:jc w:val="left"/>
              <w:rPr>
                <w:rFonts w:cs="Arial"/>
                <w:sz w:val="18"/>
                <w:szCs w:val="18"/>
              </w:rPr>
            </w:pPr>
            <w:r>
              <w:rPr>
                <w:rFonts w:cs="Arial"/>
                <w:sz w:val="18"/>
                <w:szCs w:val="18"/>
              </w:rPr>
              <w:t>6.44</w:t>
            </w:r>
          </w:p>
        </w:tc>
      </w:tr>
      <w:tr w:rsidR="00CD668E" w:rsidRPr="006B4896" w14:paraId="21BA9D94" w14:textId="77777777" w:rsidTr="00CD668E">
        <w:tblPrEx>
          <w:tblLook w:val="01E0" w:firstRow="1" w:lastRow="1" w:firstColumn="1" w:lastColumn="1" w:noHBand="0" w:noVBand="0"/>
        </w:tblPrEx>
        <w:trPr>
          <w:trHeight w:val="80"/>
        </w:trPr>
        <w:tc>
          <w:tcPr>
            <w:tcW w:w="4395" w:type="dxa"/>
            <w:tcBorders>
              <w:bottom w:val="single" w:sz="12" w:space="0" w:color="auto"/>
            </w:tcBorders>
            <w:vAlign w:val="bottom"/>
          </w:tcPr>
          <w:p w14:paraId="3CF6BAC5" w14:textId="6FEA22DD" w:rsidR="00CD668E" w:rsidRPr="00CD668E" w:rsidRDefault="00CD668E" w:rsidP="00CD668E">
            <w:pPr>
              <w:pStyle w:val="BodyText2"/>
              <w:widowControl w:val="0"/>
              <w:jc w:val="left"/>
              <w:rPr>
                <w:rFonts w:cs="Arial"/>
                <w:color w:val="000000"/>
                <w:sz w:val="4"/>
                <w:szCs w:val="4"/>
              </w:rPr>
            </w:pPr>
          </w:p>
        </w:tc>
        <w:tc>
          <w:tcPr>
            <w:tcW w:w="1382" w:type="dxa"/>
            <w:tcBorders>
              <w:bottom w:val="single" w:sz="12" w:space="0" w:color="auto"/>
            </w:tcBorders>
            <w:vAlign w:val="bottom"/>
          </w:tcPr>
          <w:p w14:paraId="6067E6D7" w14:textId="77777777" w:rsidR="00CD668E" w:rsidRPr="00CD668E" w:rsidRDefault="00CD668E" w:rsidP="00CD668E">
            <w:pPr>
              <w:pStyle w:val="BodyText2"/>
              <w:widowControl w:val="0"/>
              <w:tabs>
                <w:tab w:val="decimal" w:pos="882"/>
              </w:tabs>
              <w:ind w:left="-18"/>
              <w:jc w:val="left"/>
              <w:rPr>
                <w:rFonts w:cs="Arial"/>
                <w:sz w:val="4"/>
                <w:szCs w:val="4"/>
              </w:rPr>
            </w:pPr>
          </w:p>
        </w:tc>
        <w:tc>
          <w:tcPr>
            <w:tcW w:w="1382" w:type="dxa"/>
            <w:tcBorders>
              <w:bottom w:val="single" w:sz="12" w:space="0" w:color="auto"/>
            </w:tcBorders>
            <w:vAlign w:val="bottom"/>
          </w:tcPr>
          <w:p w14:paraId="0D0FA6B1" w14:textId="77777777" w:rsidR="00CD668E" w:rsidRPr="00CD668E" w:rsidRDefault="00CD668E" w:rsidP="00CD668E">
            <w:pPr>
              <w:pStyle w:val="BodyText2"/>
              <w:widowControl w:val="0"/>
              <w:tabs>
                <w:tab w:val="decimal" w:pos="882"/>
              </w:tabs>
              <w:ind w:left="-18"/>
              <w:jc w:val="left"/>
              <w:rPr>
                <w:rFonts w:cs="Arial"/>
                <w:sz w:val="4"/>
                <w:szCs w:val="4"/>
              </w:rPr>
            </w:pPr>
          </w:p>
        </w:tc>
      </w:tr>
    </w:tbl>
    <w:p w14:paraId="6692BA8A" w14:textId="383189AC" w:rsidR="001365B8" w:rsidRDefault="001365B8" w:rsidP="001365B8">
      <w:pPr>
        <w:spacing w:before="120"/>
        <w:jc w:val="both"/>
        <w:rPr>
          <w:color w:val="000000"/>
        </w:rPr>
      </w:pPr>
      <w:r w:rsidRPr="00D53EF3">
        <w:rPr>
          <w:color w:val="000000"/>
        </w:rPr>
        <w:t xml:space="preserve">Oil from the Company’s Chubut, Santa Cruz and TDF Concessions is sold at a discount to Brent prices, while oil from the Company’s Mendoza Concessions is sold at a discount to </w:t>
      </w:r>
      <w:proofErr w:type="spellStart"/>
      <w:r w:rsidRPr="00D53EF3">
        <w:rPr>
          <w:color w:val="000000"/>
        </w:rPr>
        <w:t>Medanito</w:t>
      </w:r>
      <w:proofErr w:type="spellEnd"/>
      <w:r w:rsidRPr="00D53EF3">
        <w:rPr>
          <w:color w:val="000000"/>
        </w:rPr>
        <w:t xml:space="preserve"> crude reference prices.</w:t>
      </w:r>
      <w:r>
        <w:rPr>
          <w:color w:val="000000"/>
        </w:rPr>
        <w:t xml:space="preserve">  During Q</w:t>
      </w:r>
      <w:r w:rsidR="00E91EF5">
        <w:rPr>
          <w:color w:val="000000"/>
        </w:rPr>
        <w:t>2</w:t>
      </w:r>
      <w:r>
        <w:rPr>
          <w:color w:val="000000"/>
        </w:rPr>
        <w:t xml:space="preserve"> 2026</w:t>
      </w:r>
      <w:r w:rsidR="0048291F">
        <w:rPr>
          <w:color w:val="000000"/>
        </w:rPr>
        <w:t xml:space="preserve">, the majority of TDF oil sales were exported; oil sales from all other concessions was </w:t>
      </w:r>
      <w:r w:rsidR="00BD525B">
        <w:rPr>
          <w:color w:val="000000"/>
        </w:rPr>
        <w:t>sold to the domestic market.</w:t>
      </w:r>
    </w:p>
    <w:p w14:paraId="260B2045" w14:textId="77777777" w:rsidR="001365B8" w:rsidRDefault="001365B8" w:rsidP="001365B8">
      <w:pPr>
        <w:spacing w:before="120"/>
        <w:jc w:val="both"/>
        <w:rPr>
          <w:color w:val="000000"/>
        </w:rPr>
      </w:pPr>
      <w:r w:rsidRPr="004352CB">
        <w:t xml:space="preserve">Crown Point can sell its natural </w:t>
      </w:r>
      <w:r w:rsidRPr="00CD11B9">
        <w:t xml:space="preserve">gas production to both industrial and residential consumers. Crown Point has sold </w:t>
      </w:r>
      <w:proofErr w:type="gramStart"/>
      <w:r w:rsidRPr="00CD11B9">
        <w:t>all of</w:t>
      </w:r>
      <w:proofErr w:type="gramEnd"/>
      <w:r w:rsidRPr="00CD11B9">
        <w:t xml:space="preserve"> its natural gas production to the industrial market since 2020.</w:t>
      </w:r>
    </w:p>
    <w:p w14:paraId="5A471ED0" w14:textId="5F7B6DA4" w:rsidR="0005427A" w:rsidRDefault="00CB1222" w:rsidP="00643D6D">
      <w:pPr>
        <w:spacing w:before="240"/>
        <w:jc w:val="both"/>
        <w:rPr>
          <w:rFonts w:cs="Arial"/>
          <w:b/>
          <w:bCs/>
          <w:caps/>
          <w:color w:val="000000"/>
          <w:sz w:val="24"/>
          <w:szCs w:val="24"/>
        </w:rPr>
      </w:pPr>
      <w:r>
        <w:rPr>
          <w:rFonts w:cs="Arial"/>
          <w:b/>
          <w:bCs/>
          <w:caps/>
          <w:color w:val="000000"/>
          <w:sz w:val="24"/>
          <w:szCs w:val="24"/>
        </w:rPr>
        <w:t xml:space="preserve">FINANCIAL INFORMATION </w:t>
      </w:r>
    </w:p>
    <w:p w14:paraId="757606BF" w14:textId="77777777" w:rsidR="006D5BD6" w:rsidRDefault="004115D7" w:rsidP="005370AC">
      <w:pPr>
        <w:widowControl w:val="0"/>
        <w:spacing w:before="240" w:after="120"/>
        <w:ind w:left="288" w:hanging="288"/>
        <w:jc w:val="both"/>
        <w:outlineLvl w:val="8"/>
        <w:rPr>
          <w:rFonts w:cs="Arial"/>
          <w:sz w:val="18"/>
          <w:szCs w:val="18"/>
        </w:rPr>
      </w:pPr>
      <w:r>
        <w:rPr>
          <w:rFonts w:cs="Arial"/>
          <w:b/>
          <w:bCs/>
          <w:caps/>
          <w:color w:val="000000"/>
          <w:sz w:val="22"/>
          <w:szCs w:val="22"/>
        </w:rPr>
        <w:t>SUMMARY OF FINANCIAL INFORMATION</w:t>
      </w:r>
      <w:r>
        <w:rPr>
          <w:rFonts w:cs="Arial"/>
          <w:sz w:val="18"/>
          <w:szCs w:val="18"/>
        </w:rPr>
        <w:t xml:space="preserve"> </w:t>
      </w:r>
    </w:p>
    <w:tbl>
      <w:tblPr>
        <w:tblW w:w="9900" w:type="dxa"/>
        <w:tblLayout w:type="fixed"/>
        <w:tblLook w:val="04A0" w:firstRow="1" w:lastRow="0" w:firstColumn="1" w:lastColumn="0" w:noHBand="0" w:noVBand="1"/>
      </w:tblPr>
      <w:tblGrid>
        <w:gridCol w:w="5752"/>
        <w:gridCol w:w="1382"/>
        <w:gridCol w:w="1383"/>
        <w:gridCol w:w="1383"/>
      </w:tblGrid>
      <w:tr w:rsidR="00B24869" w:rsidRPr="009F4B9D" w14:paraId="14EFBBEB" w14:textId="77777777" w:rsidTr="00853A2C">
        <w:trPr>
          <w:trHeight w:val="340"/>
        </w:trPr>
        <w:tc>
          <w:tcPr>
            <w:tcW w:w="5752" w:type="dxa"/>
            <w:tcBorders>
              <w:top w:val="single" w:sz="12" w:space="0" w:color="auto"/>
              <w:bottom w:val="single" w:sz="4" w:space="0" w:color="auto"/>
            </w:tcBorders>
          </w:tcPr>
          <w:p w14:paraId="26764D45" w14:textId="77777777" w:rsidR="00B24869" w:rsidRPr="009F4B9D" w:rsidRDefault="00B24869" w:rsidP="00631AB8">
            <w:pPr>
              <w:pStyle w:val="BodyText"/>
              <w:widowControl w:val="0"/>
              <w:spacing w:before="60"/>
              <w:rPr>
                <w:rFonts w:cs="Arial"/>
                <w:sz w:val="18"/>
                <w:szCs w:val="18"/>
              </w:rPr>
            </w:pPr>
            <w:r>
              <w:rPr>
                <w:rFonts w:cs="Arial"/>
                <w:sz w:val="18"/>
                <w:szCs w:val="18"/>
              </w:rPr>
              <w:t>(expressed in $, except shares outstanding)</w:t>
            </w:r>
          </w:p>
        </w:tc>
        <w:tc>
          <w:tcPr>
            <w:tcW w:w="1382" w:type="dxa"/>
            <w:tcBorders>
              <w:top w:val="single" w:sz="12" w:space="0" w:color="auto"/>
              <w:bottom w:val="single" w:sz="4" w:space="0" w:color="auto"/>
            </w:tcBorders>
            <w:vAlign w:val="bottom"/>
          </w:tcPr>
          <w:p w14:paraId="237F1873" w14:textId="56D2CC78" w:rsidR="00B24869" w:rsidRPr="00F21539" w:rsidRDefault="00E91EF5" w:rsidP="00F21539">
            <w:pPr>
              <w:pStyle w:val="BodyText2"/>
              <w:widowControl w:val="0"/>
              <w:tabs>
                <w:tab w:val="decimal" w:pos="1062"/>
              </w:tabs>
              <w:spacing w:before="60"/>
              <w:jc w:val="left"/>
              <w:rPr>
                <w:rFonts w:cs="Arial"/>
                <w:b/>
                <w:bCs/>
                <w:sz w:val="16"/>
                <w:szCs w:val="16"/>
              </w:rPr>
            </w:pPr>
            <w:r>
              <w:rPr>
                <w:rFonts w:cs="Arial"/>
                <w:b/>
                <w:bCs/>
                <w:sz w:val="16"/>
                <w:szCs w:val="16"/>
              </w:rPr>
              <w:t>June 30</w:t>
            </w:r>
          </w:p>
          <w:p w14:paraId="5DD9B916" w14:textId="0F1416A8" w:rsidR="00B24869" w:rsidRPr="00F21539" w:rsidRDefault="00B24869" w:rsidP="00F21539">
            <w:pPr>
              <w:pStyle w:val="BodyText2"/>
              <w:widowControl w:val="0"/>
              <w:tabs>
                <w:tab w:val="decimal" w:pos="1062"/>
              </w:tabs>
              <w:jc w:val="left"/>
              <w:rPr>
                <w:rFonts w:cs="Arial"/>
                <w:b/>
                <w:bCs/>
                <w:sz w:val="16"/>
                <w:szCs w:val="16"/>
              </w:rPr>
            </w:pPr>
            <w:r w:rsidRPr="00F21539">
              <w:rPr>
                <w:rFonts w:cs="Arial"/>
                <w:b/>
                <w:bCs/>
                <w:sz w:val="16"/>
                <w:szCs w:val="16"/>
              </w:rPr>
              <w:t>202</w:t>
            </w:r>
            <w:r w:rsidR="00643D6D">
              <w:rPr>
                <w:rFonts w:cs="Arial"/>
                <w:b/>
                <w:bCs/>
                <w:sz w:val="16"/>
                <w:szCs w:val="16"/>
              </w:rPr>
              <w:t>6</w:t>
            </w:r>
          </w:p>
        </w:tc>
        <w:tc>
          <w:tcPr>
            <w:tcW w:w="1383" w:type="dxa"/>
            <w:tcBorders>
              <w:top w:val="single" w:sz="12" w:space="0" w:color="auto"/>
              <w:bottom w:val="single" w:sz="4" w:space="0" w:color="auto"/>
            </w:tcBorders>
            <w:vAlign w:val="bottom"/>
          </w:tcPr>
          <w:p w14:paraId="049E5B82" w14:textId="77777777" w:rsidR="00B24869" w:rsidRPr="00F21539" w:rsidRDefault="00B24869" w:rsidP="00F21539">
            <w:pPr>
              <w:pStyle w:val="BodyText2"/>
              <w:widowControl w:val="0"/>
              <w:tabs>
                <w:tab w:val="decimal" w:pos="1062"/>
              </w:tabs>
              <w:jc w:val="left"/>
              <w:rPr>
                <w:rFonts w:cs="Arial"/>
                <w:b/>
                <w:bCs/>
                <w:sz w:val="16"/>
                <w:szCs w:val="16"/>
              </w:rPr>
            </w:pPr>
            <w:r w:rsidRPr="00F21539">
              <w:rPr>
                <w:rFonts w:cs="Arial"/>
                <w:b/>
                <w:bCs/>
                <w:sz w:val="16"/>
                <w:szCs w:val="16"/>
              </w:rPr>
              <w:t>December 31</w:t>
            </w:r>
          </w:p>
          <w:p w14:paraId="4A294DE3" w14:textId="4F45AFA9" w:rsidR="00B24869" w:rsidRPr="00F21539" w:rsidRDefault="00B24869" w:rsidP="00F21539">
            <w:pPr>
              <w:pStyle w:val="BodyText2"/>
              <w:widowControl w:val="0"/>
              <w:tabs>
                <w:tab w:val="decimal" w:pos="1062"/>
              </w:tabs>
              <w:jc w:val="left"/>
              <w:rPr>
                <w:rFonts w:cs="Arial"/>
                <w:b/>
                <w:bCs/>
                <w:sz w:val="16"/>
                <w:szCs w:val="16"/>
              </w:rPr>
            </w:pPr>
            <w:r w:rsidRPr="00F21539">
              <w:rPr>
                <w:rFonts w:cs="Arial"/>
                <w:b/>
                <w:bCs/>
                <w:sz w:val="16"/>
                <w:szCs w:val="16"/>
              </w:rPr>
              <w:t>202</w:t>
            </w:r>
            <w:r w:rsidR="00643D6D">
              <w:rPr>
                <w:rFonts w:cs="Arial"/>
                <w:b/>
                <w:bCs/>
                <w:sz w:val="16"/>
                <w:szCs w:val="16"/>
              </w:rPr>
              <w:t>5</w:t>
            </w:r>
          </w:p>
        </w:tc>
        <w:tc>
          <w:tcPr>
            <w:tcW w:w="1383" w:type="dxa"/>
            <w:tcBorders>
              <w:top w:val="single" w:sz="12" w:space="0" w:color="auto"/>
              <w:bottom w:val="single" w:sz="4" w:space="0" w:color="auto"/>
            </w:tcBorders>
            <w:vAlign w:val="bottom"/>
          </w:tcPr>
          <w:p w14:paraId="2D9DD821" w14:textId="77777777" w:rsidR="00B24869" w:rsidRPr="00F21539" w:rsidRDefault="00B24869" w:rsidP="00F21539">
            <w:pPr>
              <w:pStyle w:val="BodyText2"/>
              <w:widowControl w:val="0"/>
              <w:tabs>
                <w:tab w:val="decimal" w:pos="1062"/>
              </w:tabs>
              <w:jc w:val="left"/>
              <w:rPr>
                <w:rFonts w:cs="Arial"/>
                <w:b/>
                <w:bCs/>
                <w:sz w:val="16"/>
                <w:szCs w:val="16"/>
              </w:rPr>
            </w:pPr>
            <w:r w:rsidRPr="00F21539">
              <w:rPr>
                <w:rFonts w:cs="Arial"/>
                <w:b/>
                <w:bCs/>
                <w:sz w:val="16"/>
                <w:szCs w:val="16"/>
              </w:rPr>
              <w:t>December 31</w:t>
            </w:r>
          </w:p>
          <w:p w14:paraId="1B793B96" w14:textId="5141930F" w:rsidR="00B24869" w:rsidRPr="00F21539" w:rsidRDefault="00B24869" w:rsidP="00F21539">
            <w:pPr>
              <w:pStyle w:val="BodyText2"/>
              <w:widowControl w:val="0"/>
              <w:tabs>
                <w:tab w:val="decimal" w:pos="1062"/>
              </w:tabs>
              <w:jc w:val="left"/>
              <w:rPr>
                <w:rFonts w:cs="Arial"/>
                <w:sz w:val="18"/>
                <w:szCs w:val="18"/>
              </w:rPr>
            </w:pPr>
            <w:r w:rsidRPr="00F21539">
              <w:rPr>
                <w:rFonts w:cs="Arial"/>
                <w:b/>
                <w:bCs/>
                <w:sz w:val="16"/>
                <w:szCs w:val="16"/>
              </w:rPr>
              <w:t>202</w:t>
            </w:r>
            <w:r w:rsidR="00643D6D">
              <w:rPr>
                <w:rFonts w:cs="Arial"/>
                <w:b/>
                <w:bCs/>
                <w:sz w:val="16"/>
                <w:szCs w:val="16"/>
              </w:rPr>
              <w:t>4</w:t>
            </w:r>
          </w:p>
        </w:tc>
      </w:tr>
      <w:tr w:rsidR="009F0FEC" w14:paraId="2C0056F6" w14:textId="77777777" w:rsidTr="00E877FF">
        <w:tblPrEx>
          <w:tblLook w:val="01E0" w:firstRow="1" w:lastRow="1" w:firstColumn="1" w:lastColumn="1" w:noHBand="0" w:noVBand="0"/>
        </w:tblPrEx>
        <w:trPr>
          <w:trHeight w:val="150"/>
        </w:trPr>
        <w:tc>
          <w:tcPr>
            <w:tcW w:w="5752" w:type="dxa"/>
            <w:tcBorders>
              <w:top w:val="single" w:sz="4" w:space="0" w:color="auto"/>
            </w:tcBorders>
            <w:vAlign w:val="bottom"/>
          </w:tcPr>
          <w:p w14:paraId="4C08D25B" w14:textId="77777777" w:rsidR="009F0FEC" w:rsidRDefault="009F0FEC" w:rsidP="00E877FF">
            <w:pPr>
              <w:pStyle w:val="BodyText2"/>
              <w:widowControl w:val="0"/>
              <w:jc w:val="left"/>
              <w:rPr>
                <w:rFonts w:cs="Arial"/>
                <w:sz w:val="18"/>
                <w:szCs w:val="18"/>
              </w:rPr>
            </w:pPr>
            <w:r>
              <w:rPr>
                <w:rFonts w:cs="Arial"/>
                <w:sz w:val="18"/>
                <w:szCs w:val="18"/>
              </w:rPr>
              <w:t>Current assets</w:t>
            </w:r>
          </w:p>
        </w:tc>
        <w:tc>
          <w:tcPr>
            <w:tcW w:w="1382" w:type="dxa"/>
            <w:tcBorders>
              <w:top w:val="single" w:sz="4" w:space="0" w:color="auto"/>
            </w:tcBorders>
            <w:vAlign w:val="bottom"/>
          </w:tcPr>
          <w:p w14:paraId="097AB871" w14:textId="52F19B7D" w:rsidR="009F0FEC" w:rsidRPr="00324544" w:rsidRDefault="00811E8B" w:rsidP="00E877FF">
            <w:pPr>
              <w:pStyle w:val="BodyText2"/>
              <w:widowControl w:val="0"/>
              <w:tabs>
                <w:tab w:val="decimal" w:pos="1062"/>
              </w:tabs>
              <w:jc w:val="left"/>
              <w:rPr>
                <w:rFonts w:cs="Arial"/>
                <w:sz w:val="18"/>
                <w:szCs w:val="18"/>
              </w:rPr>
            </w:pPr>
            <w:r>
              <w:rPr>
                <w:rFonts w:cs="Arial"/>
                <w:sz w:val="18"/>
                <w:szCs w:val="18"/>
              </w:rPr>
              <w:t>52,563,</w:t>
            </w:r>
            <w:r w:rsidR="00B068B2">
              <w:rPr>
                <w:rFonts w:cs="Arial"/>
                <w:sz w:val="18"/>
                <w:szCs w:val="18"/>
              </w:rPr>
              <w:t>086</w:t>
            </w:r>
          </w:p>
        </w:tc>
        <w:tc>
          <w:tcPr>
            <w:tcW w:w="1383" w:type="dxa"/>
            <w:tcBorders>
              <w:top w:val="single" w:sz="4" w:space="0" w:color="auto"/>
            </w:tcBorders>
            <w:vAlign w:val="bottom"/>
          </w:tcPr>
          <w:p w14:paraId="44027030" w14:textId="11BBC2DD" w:rsidR="009F0FEC" w:rsidRDefault="009F0FEC" w:rsidP="00E877FF">
            <w:pPr>
              <w:pStyle w:val="BodyText2"/>
              <w:widowControl w:val="0"/>
              <w:tabs>
                <w:tab w:val="decimal" w:pos="1062"/>
              </w:tabs>
              <w:jc w:val="left"/>
              <w:rPr>
                <w:rFonts w:cs="Arial"/>
                <w:sz w:val="18"/>
                <w:szCs w:val="18"/>
              </w:rPr>
            </w:pPr>
            <w:r>
              <w:rPr>
                <w:rFonts w:cs="Arial"/>
                <w:sz w:val="18"/>
                <w:szCs w:val="18"/>
              </w:rPr>
              <w:t>50,655,402</w:t>
            </w:r>
          </w:p>
        </w:tc>
        <w:tc>
          <w:tcPr>
            <w:tcW w:w="1383" w:type="dxa"/>
            <w:tcBorders>
              <w:top w:val="single" w:sz="4" w:space="0" w:color="auto"/>
            </w:tcBorders>
            <w:vAlign w:val="bottom"/>
          </w:tcPr>
          <w:p w14:paraId="2C96B090" w14:textId="2C6295DD" w:rsidR="009F0FEC" w:rsidRDefault="009F0FEC" w:rsidP="00E877FF">
            <w:pPr>
              <w:pStyle w:val="BodyText2"/>
              <w:widowControl w:val="0"/>
              <w:tabs>
                <w:tab w:val="decimal" w:pos="1062"/>
              </w:tabs>
              <w:jc w:val="left"/>
              <w:rPr>
                <w:rFonts w:cs="Arial"/>
                <w:sz w:val="18"/>
                <w:szCs w:val="18"/>
              </w:rPr>
            </w:pPr>
            <w:r>
              <w:rPr>
                <w:rFonts w:cs="Arial"/>
                <w:sz w:val="18"/>
                <w:szCs w:val="18"/>
              </w:rPr>
              <w:t>28,129,766</w:t>
            </w:r>
          </w:p>
        </w:tc>
      </w:tr>
      <w:tr w:rsidR="009F0FEC" w14:paraId="1E00AC18" w14:textId="77777777">
        <w:tblPrEx>
          <w:tblLook w:val="01E0" w:firstRow="1" w:lastRow="1" w:firstColumn="1" w:lastColumn="1" w:noHBand="0" w:noVBand="0"/>
        </w:tblPrEx>
        <w:trPr>
          <w:trHeight w:val="254"/>
        </w:trPr>
        <w:tc>
          <w:tcPr>
            <w:tcW w:w="5752" w:type="dxa"/>
            <w:tcBorders>
              <w:bottom w:val="single" w:sz="4" w:space="0" w:color="auto"/>
            </w:tcBorders>
            <w:vAlign w:val="bottom"/>
          </w:tcPr>
          <w:p w14:paraId="2414DC42" w14:textId="77777777" w:rsidR="009F0FEC" w:rsidRDefault="009F0FEC" w:rsidP="009F0FEC">
            <w:pPr>
              <w:pStyle w:val="BodyText2"/>
              <w:widowControl w:val="0"/>
              <w:jc w:val="left"/>
              <w:rPr>
                <w:rFonts w:cs="Arial"/>
                <w:sz w:val="18"/>
                <w:szCs w:val="18"/>
              </w:rPr>
            </w:pPr>
            <w:r>
              <w:rPr>
                <w:rFonts w:cs="Arial"/>
                <w:sz w:val="18"/>
                <w:szCs w:val="18"/>
              </w:rPr>
              <w:t>Current liabilities</w:t>
            </w:r>
          </w:p>
        </w:tc>
        <w:tc>
          <w:tcPr>
            <w:tcW w:w="1382" w:type="dxa"/>
            <w:tcBorders>
              <w:bottom w:val="single" w:sz="4" w:space="0" w:color="auto"/>
            </w:tcBorders>
          </w:tcPr>
          <w:p w14:paraId="4F528EFE" w14:textId="3FED15A6" w:rsidR="009F0FEC" w:rsidRPr="00324544" w:rsidRDefault="00B068B2" w:rsidP="009F0FEC">
            <w:pPr>
              <w:pStyle w:val="BodyText2"/>
              <w:widowControl w:val="0"/>
              <w:tabs>
                <w:tab w:val="decimal" w:pos="1062"/>
              </w:tabs>
              <w:spacing w:before="40"/>
              <w:jc w:val="left"/>
              <w:rPr>
                <w:rFonts w:cs="Arial"/>
                <w:sz w:val="18"/>
                <w:szCs w:val="18"/>
              </w:rPr>
            </w:pPr>
            <w:r>
              <w:rPr>
                <w:rFonts w:cs="Arial"/>
                <w:sz w:val="18"/>
                <w:szCs w:val="18"/>
              </w:rPr>
              <w:t>(115,920,225)</w:t>
            </w:r>
          </w:p>
        </w:tc>
        <w:tc>
          <w:tcPr>
            <w:tcW w:w="1383" w:type="dxa"/>
            <w:tcBorders>
              <w:bottom w:val="single" w:sz="4" w:space="0" w:color="auto"/>
            </w:tcBorders>
            <w:vAlign w:val="bottom"/>
          </w:tcPr>
          <w:p w14:paraId="2D4476E6" w14:textId="141ABFBE" w:rsidR="009F0FEC" w:rsidRDefault="009F0FEC" w:rsidP="009F0FEC">
            <w:pPr>
              <w:pStyle w:val="BodyText2"/>
              <w:widowControl w:val="0"/>
              <w:tabs>
                <w:tab w:val="decimal" w:pos="1062"/>
              </w:tabs>
              <w:jc w:val="left"/>
              <w:rPr>
                <w:rFonts w:cs="Arial"/>
                <w:sz w:val="18"/>
                <w:szCs w:val="18"/>
              </w:rPr>
            </w:pPr>
            <w:r>
              <w:rPr>
                <w:rFonts w:cs="Arial"/>
                <w:sz w:val="18"/>
                <w:szCs w:val="18"/>
              </w:rPr>
              <w:t>(122,470,728)</w:t>
            </w:r>
          </w:p>
        </w:tc>
        <w:tc>
          <w:tcPr>
            <w:tcW w:w="1383" w:type="dxa"/>
            <w:tcBorders>
              <w:bottom w:val="single" w:sz="4" w:space="0" w:color="auto"/>
            </w:tcBorders>
            <w:vAlign w:val="bottom"/>
          </w:tcPr>
          <w:p w14:paraId="36921A1D" w14:textId="18D49F9F" w:rsidR="009F0FEC" w:rsidRDefault="009F0FEC" w:rsidP="009F0FEC">
            <w:pPr>
              <w:pStyle w:val="BodyText2"/>
              <w:widowControl w:val="0"/>
              <w:tabs>
                <w:tab w:val="decimal" w:pos="1062"/>
              </w:tabs>
              <w:jc w:val="left"/>
              <w:rPr>
                <w:rFonts w:cs="Arial"/>
                <w:sz w:val="18"/>
                <w:szCs w:val="18"/>
              </w:rPr>
            </w:pPr>
            <w:r w:rsidRPr="00795C85">
              <w:rPr>
                <w:rFonts w:cs="Arial"/>
                <w:sz w:val="18"/>
                <w:szCs w:val="18"/>
              </w:rPr>
              <w:t xml:space="preserve"> (</w:t>
            </w:r>
            <w:r>
              <w:rPr>
                <w:rFonts w:cs="Arial"/>
                <w:sz w:val="18"/>
                <w:szCs w:val="18"/>
              </w:rPr>
              <w:t>56,945,822</w:t>
            </w:r>
            <w:r w:rsidRPr="00795C85">
              <w:rPr>
                <w:rFonts w:cs="Arial"/>
                <w:sz w:val="18"/>
                <w:szCs w:val="18"/>
              </w:rPr>
              <w:t>)</w:t>
            </w:r>
          </w:p>
        </w:tc>
      </w:tr>
      <w:tr w:rsidR="009F0FEC" w14:paraId="570F8D3E" w14:textId="77777777">
        <w:tblPrEx>
          <w:tblLook w:val="01E0" w:firstRow="1" w:lastRow="1" w:firstColumn="1" w:lastColumn="1" w:noHBand="0" w:noVBand="0"/>
        </w:tblPrEx>
        <w:trPr>
          <w:trHeight w:val="254"/>
        </w:trPr>
        <w:tc>
          <w:tcPr>
            <w:tcW w:w="5752" w:type="dxa"/>
            <w:tcBorders>
              <w:top w:val="single" w:sz="4" w:space="0" w:color="auto"/>
              <w:bottom w:val="single" w:sz="4" w:space="0" w:color="auto"/>
            </w:tcBorders>
            <w:vAlign w:val="bottom"/>
          </w:tcPr>
          <w:p w14:paraId="1AD6DB3B" w14:textId="5320620E" w:rsidR="009F0FEC" w:rsidRPr="00F56195" w:rsidRDefault="009F0FEC" w:rsidP="009F0FEC">
            <w:pPr>
              <w:pStyle w:val="BodyText2"/>
              <w:widowControl w:val="0"/>
              <w:jc w:val="left"/>
              <w:rPr>
                <w:rFonts w:cs="Arial"/>
                <w:sz w:val="18"/>
                <w:szCs w:val="18"/>
                <w:vertAlign w:val="superscript"/>
              </w:rPr>
            </w:pPr>
            <w:r>
              <w:rPr>
                <w:rFonts w:cs="Arial"/>
                <w:sz w:val="18"/>
                <w:szCs w:val="18"/>
              </w:rPr>
              <w:t xml:space="preserve">Working capital deficiency </w:t>
            </w:r>
            <w:r>
              <w:rPr>
                <w:rFonts w:cs="Arial"/>
                <w:vertAlign w:val="superscript"/>
              </w:rPr>
              <w:t>(</w:t>
            </w:r>
            <w:r w:rsidR="00AE6A6C">
              <w:rPr>
                <w:rFonts w:cs="Arial"/>
                <w:vertAlign w:val="superscript"/>
              </w:rPr>
              <w:t>2</w:t>
            </w:r>
            <w:r>
              <w:rPr>
                <w:rFonts w:cs="Arial"/>
                <w:vertAlign w:val="superscript"/>
              </w:rPr>
              <w:t>)</w:t>
            </w:r>
          </w:p>
        </w:tc>
        <w:tc>
          <w:tcPr>
            <w:tcW w:w="1382" w:type="dxa"/>
            <w:tcBorders>
              <w:top w:val="single" w:sz="4" w:space="0" w:color="auto"/>
              <w:bottom w:val="single" w:sz="4" w:space="0" w:color="auto"/>
            </w:tcBorders>
          </w:tcPr>
          <w:p w14:paraId="3FA516FD" w14:textId="04F8366D" w:rsidR="009F0FEC" w:rsidRPr="00324544" w:rsidRDefault="00B068B2" w:rsidP="009F0FEC">
            <w:pPr>
              <w:pStyle w:val="BodyText2"/>
              <w:widowControl w:val="0"/>
              <w:tabs>
                <w:tab w:val="decimal" w:pos="1062"/>
              </w:tabs>
              <w:spacing w:before="40"/>
              <w:jc w:val="left"/>
              <w:rPr>
                <w:rFonts w:cs="Arial"/>
                <w:sz w:val="18"/>
                <w:szCs w:val="18"/>
              </w:rPr>
            </w:pPr>
            <w:r>
              <w:rPr>
                <w:rFonts w:cs="Arial"/>
                <w:sz w:val="18"/>
                <w:szCs w:val="18"/>
              </w:rPr>
              <w:t>(63,357,139)</w:t>
            </w:r>
          </w:p>
        </w:tc>
        <w:tc>
          <w:tcPr>
            <w:tcW w:w="1383" w:type="dxa"/>
            <w:tcBorders>
              <w:top w:val="single" w:sz="4" w:space="0" w:color="auto"/>
              <w:bottom w:val="single" w:sz="4" w:space="0" w:color="auto"/>
            </w:tcBorders>
            <w:vAlign w:val="bottom"/>
          </w:tcPr>
          <w:p w14:paraId="3B6FB65C" w14:textId="204F1FC6" w:rsidR="009F0FEC" w:rsidRPr="00996BCF" w:rsidRDefault="009F0FEC" w:rsidP="009F0FEC">
            <w:pPr>
              <w:pStyle w:val="BodyText2"/>
              <w:widowControl w:val="0"/>
              <w:tabs>
                <w:tab w:val="decimal" w:pos="1062"/>
              </w:tabs>
              <w:jc w:val="left"/>
              <w:rPr>
                <w:rFonts w:cs="Arial"/>
                <w:sz w:val="18"/>
                <w:szCs w:val="18"/>
              </w:rPr>
            </w:pPr>
            <w:r>
              <w:rPr>
                <w:rFonts w:cs="Arial"/>
                <w:sz w:val="18"/>
                <w:szCs w:val="18"/>
              </w:rPr>
              <w:t>(71,815,326)</w:t>
            </w:r>
          </w:p>
        </w:tc>
        <w:tc>
          <w:tcPr>
            <w:tcW w:w="1383" w:type="dxa"/>
            <w:tcBorders>
              <w:top w:val="single" w:sz="4" w:space="0" w:color="auto"/>
              <w:bottom w:val="single" w:sz="4" w:space="0" w:color="auto"/>
            </w:tcBorders>
            <w:vAlign w:val="bottom"/>
          </w:tcPr>
          <w:p w14:paraId="47B3C814" w14:textId="7D067456" w:rsidR="009F0FEC" w:rsidRDefault="009F0FEC" w:rsidP="009F0FEC">
            <w:pPr>
              <w:pStyle w:val="BodyText2"/>
              <w:widowControl w:val="0"/>
              <w:tabs>
                <w:tab w:val="decimal" w:pos="1062"/>
              </w:tabs>
              <w:jc w:val="left"/>
              <w:rPr>
                <w:rFonts w:cs="Arial"/>
                <w:sz w:val="18"/>
                <w:szCs w:val="18"/>
              </w:rPr>
            </w:pPr>
            <w:r w:rsidRPr="00795C85">
              <w:rPr>
                <w:rFonts w:cs="Arial"/>
                <w:sz w:val="18"/>
                <w:szCs w:val="18"/>
              </w:rPr>
              <w:t xml:space="preserve"> (</w:t>
            </w:r>
            <w:r>
              <w:rPr>
                <w:rFonts w:cs="Arial"/>
                <w:sz w:val="18"/>
                <w:szCs w:val="18"/>
              </w:rPr>
              <w:t>28,816,056</w:t>
            </w:r>
            <w:r w:rsidRPr="00795C85">
              <w:rPr>
                <w:rFonts w:cs="Arial"/>
                <w:sz w:val="18"/>
                <w:szCs w:val="18"/>
              </w:rPr>
              <w:t>)</w:t>
            </w:r>
          </w:p>
        </w:tc>
      </w:tr>
      <w:tr w:rsidR="009F0FEC" w14:paraId="4596A5D8" w14:textId="77777777" w:rsidTr="00A0437C">
        <w:tblPrEx>
          <w:tblLook w:val="01E0" w:firstRow="1" w:lastRow="1" w:firstColumn="1" w:lastColumn="1" w:noHBand="0" w:noVBand="0"/>
        </w:tblPrEx>
        <w:trPr>
          <w:trHeight w:val="248"/>
        </w:trPr>
        <w:tc>
          <w:tcPr>
            <w:tcW w:w="5752" w:type="dxa"/>
            <w:tcBorders>
              <w:top w:val="single" w:sz="4" w:space="0" w:color="auto"/>
            </w:tcBorders>
            <w:vAlign w:val="bottom"/>
          </w:tcPr>
          <w:p w14:paraId="0AAA6589" w14:textId="77777777" w:rsidR="009F0FEC" w:rsidRPr="00996BCF" w:rsidRDefault="009F0FEC" w:rsidP="009F0FEC">
            <w:pPr>
              <w:pStyle w:val="BodyText2"/>
              <w:widowControl w:val="0"/>
              <w:rPr>
                <w:rFonts w:cs="Arial"/>
                <w:sz w:val="18"/>
                <w:szCs w:val="18"/>
              </w:rPr>
            </w:pPr>
            <w:r>
              <w:rPr>
                <w:rFonts w:cs="Arial"/>
                <w:sz w:val="18"/>
                <w:szCs w:val="18"/>
              </w:rPr>
              <w:t>Exploration and evaluation assets</w:t>
            </w:r>
          </w:p>
        </w:tc>
        <w:tc>
          <w:tcPr>
            <w:tcW w:w="1382" w:type="dxa"/>
            <w:tcBorders>
              <w:top w:val="single" w:sz="4" w:space="0" w:color="auto"/>
            </w:tcBorders>
            <w:vAlign w:val="bottom"/>
          </w:tcPr>
          <w:p w14:paraId="4605DC5C" w14:textId="6D3B2C9D" w:rsidR="009F0FEC" w:rsidRPr="00324544" w:rsidRDefault="00B068B2" w:rsidP="00A0437C">
            <w:pPr>
              <w:pStyle w:val="BodyText2"/>
              <w:widowControl w:val="0"/>
              <w:tabs>
                <w:tab w:val="decimal" w:pos="1062"/>
              </w:tabs>
              <w:spacing w:before="40"/>
              <w:jc w:val="left"/>
              <w:rPr>
                <w:rFonts w:cs="Arial"/>
                <w:sz w:val="18"/>
                <w:szCs w:val="18"/>
              </w:rPr>
            </w:pPr>
            <w:r>
              <w:rPr>
                <w:rFonts w:cs="Arial"/>
                <w:sz w:val="18"/>
                <w:szCs w:val="18"/>
              </w:rPr>
              <w:t>13,995,603</w:t>
            </w:r>
          </w:p>
        </w:tc>
        <w:tc>
          <w:tcPr>
            <w:tcW w:w="1383" w:type="dxa"/>
            <w:tcBorders>
              <w:top w:val="single" w:sz="4" w:space="0" w:color="auto"/>
            </w:tcBorders>
            <w:vAlign w:val="bottom"/>
          </w:tcPr>
          <w:p w14:paraId="69E399F9" w14:textId="31A50784" w:rsidR="009F0FEC" w:rsidRPr="00A5411A" w:rsidDel="00AB29BE" w:rsidRDefault="009F0FEC" w:rsidP="00A0437C">
            <w:pPr>
              <w:pStyle w:val="BodyText2"/>
              <w:widowControl w:val="0"/>
              <w:tabs>
                <w:tab w:val="decimal" w:pos="1062"/>
              </w:tabs>
              <w:jc w:val="left"/>
              <w:rPr>
                <w:rFonts w:cs="Arial"/>
                <w:sz w:val="18"/>
                <w:szCs w:val="18"/>
              </w:rPr>
            </w:pPr>
            <w:r>
              <w:rPr>
                <w:rFonts w:cs="Arial"/>
                <w:sz w:val="18"/>
                <w:szCs w:val="18"/>
              </w:rPr>
              <w:t>14,018,547</w:t>
            </w:r>
          </w:p>
        </w:tc>
        <w:tc>
          <w:tcPr>
            <w:tcW w:w="1383" w:type="dxa"/>
            <w:tcBorders>
              <w:top w:val="single" w:sz="4" w:space="0" w:color="auto"/>
            </w:tcBorders>
            <w:vAlign w:val="bottom"/>
          </w:tcPr>
          <w:p w14:paraId="5B96DC84" w14:textId="456DCC44" w:rsidR="009F0FEC" w:rsidRDefault="009F0FEC" w:rsidP="00A0437C">
            <w:pPr>
              <w:pStyle w:val="BodyText2"/>
              <w:widowControl w:val="0"/>
              <w:tabs>
                <w:tab w:val="decimal" w:pos="1062"/>
              </w:tabs>
              <w:jc w:val="left"/>
              <w:rPr>
                <w:rFonts w:cs="Arial"/>
                <w:sz w:val="18"/>
                <w:szCs w:val="18"/>
              </w:rPr>
            </w:pPr>
            <w:r w:rsidRPr="00795C85">
              <w:rPr>
                <w:rFonts w:cs="Arial"/>
                <w:sz w:val="18"/>
                <w:szCs w:val="18"/>
              </w:rPr>
              <w:t xml:space="preserve"> 14,052,021 </w:t>
            </w:r>
          </w:p>
        </w:tc>
      </w:tr>
      <w:tr w:rsidR="009F0FEC" w14:paraId="0D1232E9" w14:textId="77777777" w:rsidTr="00A0437C">
        <w:tblPrEx>
          <w:tblLook w:val="01E0" w:firstRow="1" w:lastRow="1" w:firstColumn="1" w:lastColumn="1" w:noHBand="0" w:noVBand="0"/>
        </w:tblPrEx>
        <w:trPr>
          <w:trHeight w:val="248"/>
        </w:trPr>
        <w:tc>
          <w:tcPr>
            <w:tcW w:w="5752" w:type="dxa"/>
            <w:vAlign w:val="bottom"/>
          </w:tcPr>
          <w:p w14:paraId="3F652CE8" w14:textId="77777777" w:rsidR="009F0FEC" w:rsidRPr="00996BCF" w:rsidRDefault="009F0FEC" w:rsidP="009F0FEC">
            <w:pPr>
              <w:pStyle w:val="BodyText2"/>
              <w:widowControl w:val="0"/>
              <w:rPr>
                <w:rFonts w:cs="Arial"/>
                <w:sz w:val="18"/>
                <w:szCs w:val="18"/>
              </w:rPr>
            </w:pPr>
            <w:r>
              <w:rPr>
                <w:rFonts w:cs="Arial"/>
                <w:sz w:val="18"/>
                <w:szCs w:val="18"/>
              </w:rPr>
              <w:t>Property and equipment</w:t>
            </w:r>
          </w:p>
        </w:tc>
        <w:tc>
          <w:tcPr>
            <w:tcW w:w="1382" w:type="dxa"/>
            <w:vAlign w:val="bottom"/>
          </w:tcPr>
          <w:p w14:paraId="2778872A" w14:textId="1F5BBC71" w:rsidR="009F0FEC" w:rsidRPr="00324544" w:rsidRDefault="00B068B2" w:rsidP="00A0437C">
            <w:pPr>
              <w:pStyle w:val="BodyText2"/>
              <w:widowControl w:val="0"/>
              <w:tabs>
                <w:tab w:val="decimal" w:pos="1062"/>
              </w:tabs>
              <w:spacing w:before="40"/>
              <w:jc w:val="left"/>
              <w:rPr>
                <w:rFonts w:cs="Arial"/>
                <w:sz w:val="18"/>
                <w:szCs w:val="18"/>
              </w:rPr>
            </w:pPr>
            <w:r>
              <w:rPr>
                <w:rFonts w:cs="Arial"/>
                <w:sz w:val="18"/>
                <w:szCs w:val="18"/>
              </w:rPr>
              <w:t>224,069,488</w:t>
            </w:r>
          </w:p>
        </w:tc>
        <w:tc>
          <w:tcPr>
            <w:tcW w:w="1383" w:type="dxa"/>
            <w:vAlign w:val="bottom"/>
          </w:tcPr>
          <w:p w14:paraId="55E629A7" w14:textId="56E00278" w:rsidR="009F0FEC" w:rsidRPr="00996BCF" w:rsidDel="00AB29BE" w:rsidRDefault="009F0FEC" w:rsidP="00A0437C">
            <w:pPr>
              <w:pStyle w:val="BodyText2"/>
              <w:widowControl w:val="0"/>
              <w:tabs>
                <w:tab w:val="decimal" w:pos="1062"/>
              </w:tabs>
              <w:jc w:val="left"/>
              <w:rPr>
                <w:rFonts w:cs="Arial"/>
                <w:sz w:val="18"/>
                <w:szCs w:val="18"/>
              </w:rPr>
            </w:pPr>
            <w:r>
              <w:rPr>
                <w:rFonts w:cs="Arial"/>
                <w:sz w:val="18"/>
                <w:szCs w:val="18"/>
              </w:rPr>
              <w:t>226,293,865</w:t>
            </w:r>
          </w:p>
        </w:tc>
        <w:tc>
          <w:tcPr>
            <w:tcW w:w="1383" w:type="dxa"/>
            <w:vAlign w:val="bottom"/>
          </w:tcPr>
          <w:p w14:paraId="79D8CBDF" w14:textId="25B369D3" w:rsidR="009F0FEC" w:rsidRDefault="009F0FEC" w:rsidP="00A0437C">
            <w:pPr>
              <w:pStyle w:val="BodyText2"/>
              <w:widowControl w:val="0"/>
              <w:tabs>
                <w:tab w:val="decimal" w:pos="1062"/>
              </w:tabs>
              <w:jc w:val="left"/>
              <w:rPr>
                <w:rFonts w:cs="Arial"/>
                <w:sz w:val="18"/>
                <w:szCs w:val="18"/>
              </w:rPr>
            </w:pPr>
            <w:r w:rsidRPr="00795C85">
              <w:rPr>
                <w:rFonts w:cs="Arial"/>
                <w:sz w:val="18"/>
                <w:szCs w:val="18"/>
              </w:rPr>
              <w:t xml:space="preserve"> </w:t>
            </w:r>
            <w:r>
              <w:rPr>
                <w:rFonts w:cs="Arial"/>
                <w:sz w:val="18"/>
                <w:szCs w:val="18"/>
              </w:rPr>
              <w:t>175,506,640</w:t>
            </w:r>
            <w:r w:rsidRPr="00795C85">
              <w:rPr>
                <w:rFonts w:cs="Arial"/>
                <w:sz w:val="18"/>
                <w:szCs w:val="18"/>
              </w:rPr>
              <w:t xml:space="preserve"> </w:t>
            </w:r>
          </w:p>
        </w:tc>
      </w:tr>
      <w:tr w:rsidR="009F0FEC" w14:paraId="4B869670" w14:textId="77777777" w:rsidTr="00A0437C">
        <w:tblPrEx>
          <w:tblLook w:val="01E0" w:firstRow="1" w:lastRow="1" w:firstColumn="1" w:lastColumn="1" w:noHBand="0" w:noVBand="0"/>
        </w:tblPrEx>
        <w:trPr>
          <w:trHeight w:val="262"/>
        </w:trPr>
        <w:tc>
          <w:tcPr>
            <w:tcW w:w="5752" w:type="dxa"/>
            <w:vAlign w:val="bottom"/>
          </w:tcPr>
          <w:p w14:paraId="0E37C2BB" w14:textId="77777777" w:rsidR="009F0FEC" w:rsidRPr="00996BCF" w:rsidRDefault="009F0FEC" w:rsidP="009F0FEC">
            <w:pPr>
              <w:pStyle w:val="BodyText2"/>
              <w:widowControl w:val="0"/>
              <w:rPr>
                <w:rFonts w:cs="Arial"/>
                <w:sz w:val="18"/>
                <w:szCs w:val="18"/>
              </w:rPr>
            </w:pPr>
            <w:r>
              <w:rPr>
                <w:rFonts w:cs="Arial"/>
                <w:sz w:val="18"/>
                <w:szCs w:val="18"/>
              </w:rPr>
              <w:t>Total assets</w:t>
            </w:r>
          </w:p>
        </w:tc>
        <w:tc>
          <w:tcPr>
            <w:tcW w:w="1382" w:type="dxa"/>
            <w:vAlign w:val="bottom"/>
          </w:tcPr>
          <w:p w14:paraId="0C362840" w14:textId="66860805" w:rsidR="009F0FEC" w:rsidRPr="00324544" w:rsidRDefault="00B068B2" w:rsidP="00A0437C">
            <w:pPr>
              <w:pStyle w:val="BodyText2"/>
              <w:widowControl w:val="0"/>
              <w:tabs>
                <w:tab w:val="decimal" w:pos="1062"/>
              </w:tabs>
              <w:spacing w:before="40"/>
              <w:jc w:val="left"/>
              <w:rPr>
                <w:rFonts w:cs="Arial"/>
                <w:sz w:val="18"/>
                <w:szCs w:val="18"/>
              </w:rPr>
            </w:pPr>
            <w:r>
              <w:rPr>
                <w:rFonts w:cs="Arial"/>
                <w:sz w:val="18"/>
                <w:szCs w:val="18"/>
              </w:rPr>
              <w:t>292,472,177</w:t>
            </w:r>
          </w:p>
        </w:tc>
        <w:tc>
          <w:tcPr>
            <w:tcW w:w="1383" w:type="dxa"/>
            <w:vAlign w:val="bottom"/>
          </w:tcPr>
          <w:p w14:paraId="14B2C817" w14:textId="2135C560" w:rsidR="009F0FEC" w:rsidRPr="00996BCF" w:rsidRDefault="009F0FEC" w:rsidP="00A0437C">
            <w:pPr>
              <w:pStyle w:val="BodyText2"/>
              <w:widowControl w:val="0"/>
              <w:tabs>
                <w:tab w:val="decimal" w:pos="1062"/>
              </w:tabs>
              <w:jc w:val="left"/>
              <w:rPr>
                <w:rFonts w:cs="Arial"/>
                <w:sz w:val="18"/>
                <w:szCs w:val="18"/>
              </w:rPr>
            </w:pPr>
            <w:r>
              <w:rPr>
                <w:rFonts w:cs="Arial"/>
                <w:sz w:val="18"/>
                <w:szCs w:val="18"/>
              </w:rPr>
              <w:t>293,165,032</w:t>
            </w:r>
          </w:p>
        </w:tc>
        <w:tc>
          <w:tcPr>
            <w:tcW w:w="1383" w:type="dxa"/>
            <w:vAlign w:val="bottom"/>
          </w:tcPr>
          <w:p w14:paraId="29B2CD9C" w14:textId="75FEA489" w:rsidR="009F0FEC" w:rsidRDefault="009F0FEC" w:rsidP="00A0437C">
            <w:pPr>
              <w:pStyle w:val="BodyText2"/>
              <w:widowControl w:val="0"/>
              <w:tabs>
                <w:tab w:val="decimal" w:pos="1062"/>
              </w:tabs>
              <w:jc w:val="left"/>
              <w:rPr>
                <w:rFonts w:cs="Arial"/>
                <w:sz w:val="18"/>
                <w:szCs w:val="18"/>
              </w:rPr>
            </w:pPr>
            <w:r w:rsidRPr="00795C85">
              <w:rPr>
                <w:rFonts w:cs="Arial"/>
                <w:sz w:val="18"/>
                <w:szCs w:val="18"/>
              </w:rPr>
              <w:t xml:space="preserve"> </w:t>
            </w:r>
            <w:r>
              <w:rPr>
                <w:rFonts w:cs="Arial"/>
                <w:sz w:val="18"/>
                <w:szCs w:val="18"/>
              </w:rPr>
              <w:t>218,188,749</w:t>
            </w:r>
            <w:r w:rsidRPr="00795C85">
              <w:rPr>
                <w:rFonts w:cs="Arial"/>
                <w:sz w:val="18"/>
                <w:szCs w:val="18"/>
              </w:rPr>
              <w:t xml:space="preserve"> </w:t>
            </w:r>
          </w:p>
        </w:tc>
      </w:tr>
      <w:tr w:rsidR="009F0FEC" w:rsidRPr="00E13832" w14:paraId="3FF0F195" w14:textId="77777777" w:rsidTr="00A0437C">
        <w:tblPrEx>
          <w:tblLook w:val="01E0" w:firstRow="1" w:lastRow="1" w:firstColumn="1" w:lastColumn="1" w:noHBand="0" w:noVBand="0"/>
        </w:tblPrEx>
        <w:trPr>
          <w:trHeight w:val="248"/>
        </w:trPr>
        <w:tc>
          <w:tcPr>
            <w:tcW w:w="5752" w:type="dxa"/>
            <w:vAlign w:val="bottom"/>
          </w:tcPr>
          <w:p w14:paraId="05462C72" w14:textId="219F3985" w:rsidR="009F0FEC" w:rsidRPr="00E13832" w:rsidRDefault="009F0FEC" w:rsidP="009F0FEC">
            <w:pPr>
              <w:pStyle w:val="BodyText2"/>
              <w:widowControl w:val="0"/>
              <w:rPr>
                <w:rFonts w:cs="Arial"/>
                <w:sz w:val="18"/>
                <w:szCs w:val="18"/>
              </w:rPr>
            </w:pPr>
            <w:r>
              <w:rPr>
                <w:rFonts w:cs="Arial"/>
                <w:sz w:val="18"/>
                <w:szCs w:val="18"/>
              </w:rPr>
              <w:t xml:space="preserve">Non-current financial liabilities </w:t>
            </w:r>
            <w:r>
              <w:rPr>
                <w:rFonts w:cs="Arial"/>
                <w:vertAlign w:val="superscript"/>
              </w:rPr>
              <w:t>(</w:t>
            </w:r>
            <w:r w:rsidR="00AE6A6C">
              <w:rPr>
                <w:rFonts w:cs="Arial"/>
                <w:vertAlign w:val="superscript"/>
              </w:rPr>
              <w:t>2</w:t>
            </w:r>
            <w:r>
              <w:rPr>
                <w:rFonts w:cs="Arial"/>
                <w:vertAlign w:val="superscript"/>
              </w:rPr>
              <w:t>)</w:t>
            </w:r>
            <w:r w:rsidR="00EA0D32">
              <w:rPr>
                <w:rFonts w:cs="Arial"/>
                <w:vertAlign w:val="superscript"/>
              </w:rPr>
              <w:t>(3)</w:t>
            </w:r>
          </w:p>
        </w:tc>
        <w:tc>
          <w:tcPr>
            <w:tcW w:w="1382" w:type="dxa"/>
            <w:vAlign w:val="bottom"/>
          </w:tcPr>
          <w:p w14:paraId="7023B826" w14:textId="32849006" w:rsidR="009F0FEC" w:rsidRPr="00324544" w:rsidRDefault="00B068B2" w:rsidP="00A0437C">
            <w:pPr>
              <w:pStyle w:val="BodyText2"/>
              <w:widowControl w:val="0"/>
              <w:tabs>
                <w:tab w:val="decimal" w:pos="1062"/>
              </w:tabs>
              <w:spacing w:before="40"/>
              <w:jc w:val="left"/>
              <w:rPr>
                <w:rFonts w:cs="Arial"/>
                <w:sz w:val="18"/>
                <w:szCs w:val="18"/>
              </w:rPr>
            </w:pPr>
            <w:r>
              <w:rPr>
                <w:rFonts w:cs="Arial"/>
                <w:sz w:val="18"/>
                <w:szCs w:val="18"/>
              </w:rPr>
              <w:t>73,625,852</w:t>
            </w:r>
          </w:p>
        </w:tc>
        <w:tc>
          <w:tcPr>
            <w:tcW w:w="1383" w:type="dxa"/>
            <w:vAlign w:val="bottom"/>
          </w:tcPr>
          <w:p w14:paraId="255C867D" w14:textId="3A39F53B" w:rsidR="009F0FEC" w:rsidRPr="00E13832" w:rsidRDefault="009F0FEC" w:rsidP="00A0437C">
            <w:pPr>
              <w:pStyle w:val="BodyText2"/>
              <w:widowControl w:val="0"/>
              <w:tabs>
                <w:tab w:val="decimal" w:pos="1062"/>
              </w:tabs>
              <w:jc w:val="left"/>
              <w:rPr>
                <w:rFonts w:cs="Arial"/>
                <w:sz w:val="18"/>
                <w:szCs w:val="18"/>
              </w:rPr>
            </w:pPr>
            <w:r>
              <w:rPr>
                <w:rFonts w:cs="Arial"/>
                <w:sz w:val="18"/>
                <w:szCs w:val="18"/>
              </w:rPr>
              <w:t>73,009,452</w:t>
            </w:r>
          </w:p>
        </w:tc>
        <w:tc>
          <w:tcPr>
            <w:tcW w:w="1383" w:type="dxa"/>
            <w:vAlign w:val="bottom"/>
          </w:tcPr>
          <w:p w14:paraId="69A02679" w14:textId="3FA1FF44" w:rsidR="009F0FEC" w:rsidRPr="00E13832" w:rsidRDefault="009F0FEC" w:rsidP="00A0437C">
            <w:pPr>
              <w:pStyle w:val="BodyText2"/>
              <w:widowControl w:val="0"/>
              <w:tabs>
                <w:tab w:val="decimal" w:pos="1062"/>
              </w:tabs>
              <w:jc w:val="left"/>
              <w:rPr>
                <w:rFonts w:cs="Arial"/>
                <w:sz w:val="18"/>
                <w:szCs w:val="18"/>
              </w:rPr>
            </w:pPr>
            <w:r w:rsidRPr="00795C85">
              <w:rPr>
                <w:rFonts w:cs="Arial"/>
                <w:sz w:val="18"/>
                <w:szCs w:val="18"/>
              </w:rPr>
              <w:t xml:space="preserve"> </w:t>
            </w:r>
            <w:r>
              <w:rPr>
                <w:rFonts w:cs="Arial"/>
                <w:sz w:val="18"/>
                <w:szCs w:val="18"/>
              </w:rPr>
              <w:t>31,945,591</w:t>
            </w:r>
            <w:r w:rsidRPr="00795C85">
              <w:rPr>
                <w:rFonts w:cs="Arial"/>
                <w:sz w:val="18"/>
                <w:szCs w:val="18"/>
              </w:rPr>
              <w:t xml:space="preserve"> </w:t>
            </w:r>
          </w:p>
        </w:tc>
      </w:tr>
      <w:tr w:rsidR="009F0FEC" w14:paraId="043D5E56" w14:textId="77777777" w:rsidTr="00A0437C">
        <w:tblPrEx>
          <w:tblLook w:val="01E0" w:firstRow="1" w:lastRow="1" w:firstColumn="1" w:lastColumn="1" w:noHBand="0" w:noVBand="0"/>
        </w:tblPrEx>
        <w:trPr>
          <w:trHeight w:val="248"/>
        </w:trPr>
        <w:tc>
          <w:tcPr>
            <w:tcW w:w="5752" w:type="dxa"/>
            <w:vAlign w:val="bottom"/>
          </w:tcPr>
          <w:p w14:paraId="1970C41D" w14:textId="77777777" w:rsidR="009F0FEC" w:rsidRPr="00996BCF" w:rsidRDefault="009F0FEC" w:rsidP="009F0FEC">
            <w:pPr>
              <w:pStyle w:val="BodyText2"/>
              <w:widowControl w:val="0"/>
              <w:rPr>
                <w:rFonts w:cs="Arial"/>
                <w:sz w:val="18"/>
                <w:szCs w:val="18"/>
              </w:rPr>
            </w:pPr>
            <w:r>
              <w:rPr>
                <w:rFonts w:cs="Arial"/>
                <w:sz w:val="18"/>
                <w:szCs w:val="18"/>
              </w:rPr>
              <w:t>Share capital</w:t>
            </w:r>
          </w:p>
        </w:tc>
        <w:tc>
          <w:tcPr>
            <w:tcW w:w="1382" w:type="dxa"/>
            <w:vAlign w:val="bottom"/>
          </w:tcPr>
          <w:p w14:paraId="16203DFE" w14:textId="11DB2B92" w:rsidR="009F0FEC" w:rsidRPr="00324544" w:rsidRDefault="005D240F" w:rsidP="00A0437C">
            <w:pPr>
              <w:pStyle w:val="BodyText2"/>
              <w:widowControl w:val="0"/>
              <w:tabs>
                <w:tab w:val="decimal" w:pos="1062"/>
              </w:tabs>
              <w:spacing w:before="40"/>
              <w:jc w:val="left"/>
              <w:rPr>
                <w:rFonts w:cs="Arial"/>
                <w:sz w:val="18"/>
                <w:szCs w:val="18"/>
              </w:rPr>
            </w:pPr>
            <w:r w:rsidRPr="00795C85">
              <w:rPr>
                <w:rFonts w:cs="Arial"/>
                <w:sz w:val="18"/>
                <w:szCs w:val="18"/>
              </w:rPr>
              <w:t>56,456,328</w:t>
            </w:r>
          </w:p>
        </w:tc>
        <w:tc>
          <w:tcPr>
            <w:tcW w:w="1383" w:type="dxa"/>
            <w:vAlign w:val="bottom"/>
          </w:tcPr>
          <w:p w14:paraId="6DF6E840" w14:textId="740BD6D8" w:rsidR="009F0FEC" w:rsidRPr="00996BCF" w:rsidRDefault="009F0FEC" w:rsidP="00A0437C">
            <w:pPr>
              <w:pStyle w:val="BodyText2"/>
              <w:widowControl w:val="0"/>
              <w:tabs>
                <w:tab w:val="decimal" w:pos="1062"/>
              </w:tabs>
              <w:jc w:val="left"/>
              <w:rPr>
                <w:rFonts w:cs="Arial"/>
                <w:sz w:val="18"/>
                <w:szCs w:val="18"/>
              </w:rPr>
            </w:pPr>
            <w:r w:rsidRPr="00795C85">
              <w:rPr>
                <w:rFonts w:cs="Arial"/>
                <w:sz w:val="18"/>
                <w:szCs w:val="18"/>
              </w:rPr>
              <w:t xml:space="preserve"> 56,456,328 </w:t>
            </w:r>
          </w:p>
        </w:tc>
        <w:tc>
          <w:tcPr>
            <w:tcW w:w="1383" w:type="dxa"/>
            <w:vAlign w:val="bottom"/>
          </w:tcPr>
          <w:p w14:paraId="3438DB2F" w14:textId="54EEAFB2" w:rsidR="009F0FEC" w:rsidRDefault="009F0FEC" w:rsidP="00A0437C">
            <w:pPr>
              <w:pStyle w:val="BodyText2"/>
              <w:widowControl w:val="0"/>
              <w:tabs>
                <w:tab w:val="decimal" w:pos="1062"/>
              </w:tabs>
              <w:jc w:val="left"/>
              <w:rPr>
                <w:rFonts w:cs="Arial"/>
                <w:sz w:val="18"/>
                <w:szCs w:val="18"/>
              </w:rPr>
            </w:pPr>
            <w:r w:rsidRPr="00795C85">
              <w:rPr>
                <w:rFonts w:cs="Arial"/>
                <w:sz w:val="18"/>
                <w:szCs w:val="18"/>
              </w:rPr>
              <w:t xml:space="preserve"> 56,456,328 </w:t>
            </w:r>
          </w:p>
        </w:tc>
      </w:tr>
      <w:tr w:rsidR="009F0FEC" w14:paraId="2B60D796" w14:textId="77777777" w:rsidTr="00A0437C">
        <w:tblPrEx>
          <w:tblLook w:val="01E0" w:firstRow="1" w:lastRow="1" w:firstColumn="1" w:lastColumn="1" w:noHBand="0" w:noVBand="0"/>
        </w:tblPrEx>
        <w:trPr>
          <w:trHeight w:val="248"/>
        </w:trPr>
        <w:tc>
          <w:tcPr>
            <w:tcW w:w="5752" w:type="dxa"/>
            <w:vAlign w:val="bottom"/>
          </w:tcPr>
          <w:p w14:paraId="4158CEED" w14:textId="059C0BFB" w:rsidR="009F0FEC" w:rsidRPr="00996BCF" w:rsidRDefault="009F0FEC" w:rsidP="009F0FEC">
            <w:pPr>
              <w:pStyle w:val="BodyText2"/>
              <w:widowControl w:val="0"/>
              <w:rPr>
                <w:rFonts w:cs="Arial"/>
                <w:sz w:val="18"/>
                <w:szCs w:val="18"/>
              </w:rPr>
            </w:pPr>
            <w:r>
              <w:rPr>
                <w:rFonts w:cs="Arial"/>
                <w:sz w:val="18"/>
                <w:szCs w:val="18"/>
              </w:rPr>
              <w:t>Total common shares outstanding</w:t>
            </w:r>
          </w:p>
        </w:tc>
        <w:tc>
          <w:tcPr>
            <w:tcW w:w="1382" w:type="dxa"/>
            <w:vAlign w:val="bottom"/>
          </w:tcPr>
          <w:p w14:paraId="07073118" w14:textId="6F38FC14" w:rsidR="009F0FEC" w:rsidRPr="00324544" w:rsidRDefault="00612A0C" w:rsidP="00A0437C">
            <w:pPr>
              <w:pStyle w:val="BodyText2"/>
              <w:widowControl w:val="0"/>
              <w:tabs>
                <w:tab w:val="decimal" w:pos="1062"/>
              </w:tabs>
              <w:spacing w:before="40"/>
              <w:jc w:val="left"/>
              <w:rPr>
                <w:rFonts w:cs="Arial"/>
                <w:sz w:val="18"/>
                <w:szCs w:val="18"/>
              </w:rPr>
            </w:pPr>
            <w:r w:rsidRPr="00795C85">
              <w:rPr>
                <w:rFonts w:cs="Arial"/>
                <w:sz w:val="18"/>
                <w:szCs w:val="18"/>
              </w:rPr>
              <w:t>72,903,038</w:t>
            </w:r>
          </w:p>
        </w:tc>
        <w:tc>
          <w:tcPr>
            <w:tcW w:w="1383" w:type="dxa"/>
            <w:vAlign w:val="bottom"/>
          </w:tcPr>
          <w:p w14:paraId="39F314C6" w14:textId="391E5868" w:rsidR="009F0FEC" w:rsidRPr="00996BCF" w:rsidRDefault="009F0FEC" w:rsidP="00A0437C">
            <w:pPr>
              <w:pStyle w:val="BodyText2"/>
              <w:widowControl w:val="0"/>
              <w:tabs>
                <w:tab w:val="decimal" w:pos="1062"/>
              </w:tabs>
              <w:jc w:val="left"/>
              <w:rPr>
                <w:rFonts w:cs="Arial"/>
                <w:sz w:val="18"/>
                <w:szCs w:val="18"/>
              </w:rPr>
            </w:pPr>
            <w:r w:rsidRPr="00795C85">
              <w:rPr>
                <w:rFonts w:cs="Arial"/>
                <w:sz w:val="18"/>
                <w:szCs w:val="18"/>
              </w:rPr>
              <w:t xml:space="preserve"> 72,903,038 </w:t>
            </w:r>
          </w:p>
        </w:tc>
        <w:tc>
          <w:tcPr>
            <w:tcW w:w="1383" w:type="dxa"/>
            <w:vAlign w:val="bottom"/>
          </w:tcPr>
          <w:p w14:paraId="3D70CC77" w14:textId="50643FBB" w:rsidR="009F0FEC" w:rsidRDefault="009F0FEC" w:rsidP="00A0437C">
            <w:pPr>
              <w:pStyle w:val="BodyText2"/>
              <w:widowControl w:val="0"/>
              <w:tabs>
                <w:tab w:val="decimal" w:pos="1062"/>
              </w:tabs>
              <w:jc w:val="left"/>
              <w:rPr>
                <w:rFonts w:cs="Arial"/>
                <w:sz w:val="18"/>
                <w:szCs w:val="18"/>
              </w:rPr>
            </w:pPr>
            <w:r w:rsidRPr="00795C85">
              <w:rPr>
                <w:rFonts w:cs="Arial"/>
                <w:sz w:val="18"/>
                <w:szCs w:val="18"/>
              </w:rPr>
              <w:t xml:space="preserve"> 72,903,038 </w:t>
            </w:r>
          </w:p>
        </w:tc>
      </w:tr>
      <w:tr w:rsidR="009F0FEC" w14:paraId="38AEC0FA" w14:textId="77777777" w:rsidTr="00FE6A82">
        <w:tblPrEx>
          <w:tblLook w:val="01E0" w:firstRow="1" w:lastRow="1" w:firstColumn="1" w:lastColumn="1" w:noHBand="0" w:noVBand="0"/>
        </w:tblPrEx>
        <w:trPr>
          <w:trHeight w:val="80"/>
        </w:trPr>
        <w:tc>
          <w:tcPr>
            <w:tcW w:w="5752" w:type="dxa"/>
            <w:tcBorders>
              <w:bottom w:val="single" w:sz="12" w:space="0" w:color="auto"/>
            </w:tcBorders>
            <w:vAlign w:val="bottom"/>
          </w:tcPr>
          <w:p w14:paraId="2285ECBB" w14:textId="77777777" w:rsidR="009F0FEC" w:rsidRPr="00632949" w:rsidRDefault="009F0FEC" w:rsidP="00632949">
            <w:pPr>
              <w:pStyle w:val="BodyText2"/>
              <w:widowControl w:val="0"/>
              <w:jc w:val="left"/>
              <w:rPr>
                <w:rFonts w:cs="Arial"/>
                <w:sz w:val="4"/>
                <w:szCs w:val="4"/>
              </w:rPr>
            </w:pPr>
          </w:p>
        </w:tc>
        <w:tc>
          <w:tcPr>
            <w:tcW w:w="1382" w:type="dxa"/>
            <w:tcBorders>
              <w:bottom w:val="single" w:sz="12" w:space="0" w:color="auto"/>
            </w:tcBorders>
            <w:vAlign w:val="bottom"/>
          </w:tcPr>
          <w:p w14:paraId="06D793D6" w14:textId="77777777" w:rsidR="009F0FEC" w:rsidRPr="00632949" w:rsidRDefault="009F0FEC" w:rsidP="00632949">
            <w:pPr>
              <w:pStyle w:val="BodyText2"/>
              <w:widowControl w:val="0"/>
              <w:tabs>
                <w:tab w:val="decimal" w:pos="1062"/>
              </w:tabs>
              <w:jc w:val="left"/>
              <w:rPr>
                <w:rFonts w:cs="Arial"/>
                <w:sz w:val="4"/>
                <w:szCs w:val="4"/>
              </w:rPr>
            </w:pPr>
          </w:p>
        </w:tc>
        <w:tc>
          <w:tcPr>
            <w:tcW w:w="1383" w:type="dxa"/>
            <w:tcBorders>
              <w:bottom w:val="single" w:sz="12" w:space="0" w:color="auto"/>
            </w:tcBorders>
            <w:vAlign w:val="bottom"/>
          </w:tcPr>
          <w:p w14:paraId="174F1A50" w14:textId="77777777" w:rsidR="009F0FEC" w:rsidRPr="00632949" w:rsidRDefault="009F0FEC" w:rsidP="00632949">
            <w:pPr>
              <w:pStyle w:val="BodyText2"/>
              <w:widowControl w:val="0"/>
              <w:tabs>
                <w:tab w:val="decimal" w:pos="1062"/>
              </w:tabs>
              <w:jc w:val="left"/>
              <w:rPr>
                <w:rFonts w:cs="Arial"/>
                <w:sz w:val="4"/>
                <w:szCs w:val="4"/>
              </w:rPr>
            </w:pPr>
          </w:p>
        </w:tc>
        <w:tc>
          <w:tcPr>
            <w:tcW w:w="1383" w:type="dxa"/>
            <w:tcBorders>
              <w:bottom w:val="single" w:sz="12" w:space="0" w:color="auto"/>
            </w:tcBorders>
            <w:vAlign w:val="bottom"/>
          </w:tcPr>
          <w:p w14:paraId="50B130EC" w14:textId="77777777" w:rsidR="009F0FEC" w:rsidRPr="00632949" w:rsidRDefault="009F0FEC" w:rsidP="00632949">
            <w:pPr>
              <w:pStyle w:val="BodyText2"/>
              <w:widowControl w:val="0"/>
              <w:tabs>
                <w:tab w:val="decimal" w:pos="1062"/>
              </w:tabs>
              <w:jc w:val="left"/>
              <w:rPr>
                <w:rFonts w:cs="Arial"/>
                <w:sz w:val="4"/>
                <w:szCs w:val="4"/>
              </w:rPr>
            </w:pPr>
          </w:p>
        </w:tc>
      </w:tr>
    </w:tbl>
    <w:p w14:paraId="5D88FA1B" w14:textId="0D6DD631" w:rsidR="00853A2C" w:rsidRDefault="00853A2C"/>
    <w:tbl>
      <w:tblPr>
        <w:tblW w:w="9923" w:type="dxa"/>
        <w:tblLayout w:type="fixed"/>
        <w:tblLook w:val="04A0" w:firstRow="1" w:lastRow="0" w:firstColumn="1" w:lastColumn="0" w:noHBand="0" w:noVBand="1"/>
      </w:tblPr>
      <w:tblGrid>
        <w:gridCol w:w="4395"/>
        <w:gridCol w:w="1382"/>
        <w:gridCol w:w="1382"/>
        <w:gridCol w:w="1382"/>
        <w:gridCol w:w="1382"/>
      </w:tblGrid>
      <w:tr w:rsidR="00A84076" w14:paraId="550FB65C" w14:textId="77777777" w:rsidTr="00A84076">
        <w:trPr>
          <w:trHeight w:val="234"/>
        </w:trPr>
        <w:tc>
          <w:tcPr>
            <w:tcW w:w="4395" w:type="dxa"/>
            <w:tcBorders>
              <w:top w:val="single" w:sz="12" w:space="0" w:color="auto"/>
            </w:tcBorders>
            <w:vAlign w:val="bottom"/>
          </w:tcPr>
          <w:p w14:paraId="54258487" w14:textId="4A6DAD12" w:rsidR="00A84076" w:rsidRPr="009F4B9D" w:rsidRDefault="00A84076" w:rsidP="00631AB8">
            <w:pPr>
              <w:pStyle w:val="BodyText"/>
              <w:widowControl w:val="0"/>
              <w:spacing w:before="60"/>
              <w:jc w:val="left"/>
              <w:rPr>
                <w:rFonts w:cs="Arial"/>
                <w:sz w:val="18"/>
                <w:szCs w:val="18"/>
              </w:rPr>
            </w:pPr>
            <w:r>
              <w:br w:type="page"/>
            </w:r>
            <w:r>
              <w:rPr>
                <w:rFonts w:cs="Arial"/>
                <w:sz w:val="18"/>
                <w:szCs w:val="18"/>
              </w:rPr>
              <w:t>(expressed in $, except shares outstanding)</w:t>
            </w:r>
          </w:p>
        </w:tc>
        <w:tc>
          <w:tcPr>
            <w:tcW w:w="2764" w:type="dxa"/>
            <w:gridSpan w:val="2"/>
            <w:tcBorders>
              <w:top w:val="single" w:sz="12" w:space="0" w:color="auto"/>
            </w:tcBorders>
            <w:vAlign w:val="bottom"/>
          </w:tcPr>
          <w:p w14:paraId="3E5A1D6A" w14:textId="6E74F9C7" w:rsidR="00A84076" w:rsidRPr="009F4B9D" w:rsidRDefault="00E91EF5" w:rsidP="00631AB8">
            <w:pPr>
              <w:pStyle w:val="BodyText"/>
              <w:widowControl w:val="0"/>
              <w:spacing w:before="60"/>
              <w:jc w:val="center"/>
              <w:rPr>
                <w:rFonts w:cs="Arial"/>
                <w:b/>
                <w:sz w:val="16"/>
                <w:szCs w:val="16"/>
              </w:rPr>
            </w:pPr>
            <w:r>
              <w:rPr>
                <w:rFonts w:cs="Arial"/>
                <w:b/>
                <w:sz w:val="16"/>
                <w:szCs w:val="16"/>
              </w:rPr>
              <w:t>Three months ended</w:t>
            </w:r>
          </w:p>
        </w:tc>
        <w:tc>
          <w:tcPr>
            <w:tcW w:w="2764" w:type="dxa"/>
            <w:gridSpan w:val="2"/>
            <w:tcBorders>
              <w:top w:val="single" w:sz="12" w:space="0" w:color="auto"/>
            </w:tcBorders>
            <w:vAlign w:val="bottom"/>
          </w:tcPr>
          <w:p w14:paraId="42213784" w14:textId="5F3402F1" w:rsidR="00A84076" w:rsidRDefault="00E91EF5" w:rsidP="00631AB8">
            <w:pPr>
              <w:pStyle w:val="BodyText"/>
              <w:widowControl w:val="0"/>
              <w:spacing w:before="60"/>
              <w:jc w:val="center"/>
              <w:rPr>
                <w:rFonts w:cs="Arial"/>
                <w:b/>
                <w:sz w:val="16"/>
                <w:szCs w:val="16"/>
              </w:rPr>
            </w:pPr>
            <w:r>
              <w:rPr>
                <w:rFonts w:cs="Arial"/>
                <w:b/>
                <w:sz w:val="16"/>
                <w:szCs w:val="16"/>
              </w:rPr>
              <w:t>Six</w:t>
            </w:r>
            <w:r w:rsidR="00A84076">
              <w:rPr>
                <w:rFonts w:cs="Arial"/>
                <w:b/>
                <w:sz w:val="16"/>
                <w:szCs w:val="16"/>
              </w:rPr>
              <w:t xml:space="preserve"> months ended</w:t>
            </w:r>
          </w:p>
        </w:tc>
      </w:tr>
      <w:tr w:rsidR="00A84076" w14:paraId="5B7530A3" w14:textId="77777777" w:rsidTr="00A84076">
        <w:trPr>
          <w:trHeight w:val="182"/>
        </w:trPr>
        <w:tc>
          <w:tcPr>
            <w:tcW w:w="4395" w:type="dxa"/>
          </w:tcPr>
          <w:p w14:paraId="56D3CF92" w14:textId="77777777" w:rsidR="00A84076" w:rsidRPr="009F4B9D" w:rsidRDefault="00A84076" w:rsidP="00631AB8">
            <w:pPr>
              <w:pStyle w:val="BodyText"/>
              <w:widowControl w:val="0"/>
              <w:rPr>
                <w:rFonts w:cs="Arial"/>
                <w:sz w:val="18"/>
                <w:szCs w:val="18"/>
              </w:rPr>
            </w:pPr>
          </w:p>
        </w:tc>
        <w:tc>
          <w:tcPr>
            <w:tcW w:w="2764" w:type="dxa"/>
            <w:gridSpan w:val="2"/>
            <w:vAlign w:val="bottom"/>
          </w:tcPr>
          <w:p w14:paraId="16CF0050" w14:textId="15752811" w:rsidR="00A84076" w:rsidRPr="009F4B9D" w:rsidRDefault="00E91EF5" w:rsidP="00631AB8">
            <w:pPr>
              <w:pStyle w:val="BodyText"/>
              <w:widowControl w:val="0"/>
              <w:jc w:val="center"/>
              <w:rPr>
                <w:rFonts w:cs="Arial"/>
                <w:b/>
                <w:sz w:val="16"/>
                <w:szCs w:val="16"/>
              </w:rPr>
            </w:pPr>
            <w:r>
              <w:rPr>
                <w:rFonts w:cs="Arial"/>
                <w:b/>
                <w:sz w:val="16"/>
                <w:szCs w:val="16"/>
              </w:rPr>
              <w:t>June 30</w:t>
            </w:r>
          </w:p>
        </w:tc>
        <w:tc>
          <w:tcPr>
            <w:tcW w:w="2764" w:type="dxa"/>
            <w:gridSpan w:val="2"/>
            <w:vAlign w:val="bottom"/>
          </w:tcPr>
          <w:p w14:paraId="0A315D76" w14:textId="0150C003" w:rsidR="00A84076" w:rsidRDefault="00E91EF5" w:rsidP="00631AB8">
            <w:pPr>
              <w:pStyle w:val="BodyText"/>
              <w:widowControl w:val="0"/>
              <w:jc w:val="center"/>
              <w:rPr>
                <w:rFonts w:cs="Arial"/>
                <w:b/>
                <w:sz w:val="16"/>
                <w:szCs w:val="16"/>
              </w:rPr>
            </w:pPr>
            <w:r>
              <w:rPr>
                <w:rFonts w:cs="Arial"/>
                <w:b/>
                <w:sz w:val="16"/>
                <w:szCs w:val="16"/>
              </w:rPr>
              <w:t>June 30</w:t>
            </w:r>
          </w:p>
        </w:tc>
      </w:tr>
      <w:tr w:rsidR="00E91EF5" w14:paraId="5E07907D" w14:textId="77777777" w:rsidTr="00A84076">
        <w:trPr>
          <w:trHeight w:val="168"/>
        </w:trPr>
        <w:tc>
          <w:tcPr>
            <w:tcW w:w="4395" w:type="dxa"/>
          </w:tcPr>
          <w:p w14:paraId="39D7BAE0" w14:textId="77777777" w:rsidR="00E91EF5" w:rsidRPr="009F4B9D" w:rsidRDefault="00E91EF5" w:rsidP="00E91EF5">
            <w:pPr>
              <w:pStyle w:val="BodyText"/>
              <w:widowControl w:val="0"/>
              <w:rPr>
                <w:rFonts w:cs="Arial"/>
                <w:sz w:val="18"/>
                <w:szCs w:val="18"/>
              </w:rPr>
            </w:pPr>
          </w:p>
        </w:tc>
        <w:tc>
          <w:tcPr>
            <w:tcW w:w="1382" w:type="dxa"/>
            <w:vAlign w:val="bottom"/>
          </w:tcPr>
          <w:p w14:paraId="2428FF2A" w14:textId="67697FF1" w:rsidR="00E91EF5" w:rsidRPr="009F4B9D" w:rsidRDefault="00E91EF5" w:rsidP="00E91EF5">
            <w:pPr>
              <w:pStyle w:val="BodyText"/>
              <w:widowControl w:val="0"/>
              <w:jc w:val="center"/>
              <w:rPr>
                <w:rFonts w:cs="Arial"/>
                <w:b/>
                <w:sz w:val="16"/>
                <w:szCs w:val="16"/>
              </w:rPr>
            </w:pPr>
            <w:r>
              <w:rPr>
                <w:rFonts w:cs="Arial"/>
                <w:b/>
                <w:sz w:val="16"/>
                <w:szCs w:val="16"/>
              </w:rPr>
              <w:t>2026</w:t>
            </w:r>
          </w:p>
        </w:tc>
        <w:tc>
          <w:tcPr>
            <w:tcW w:w="1382" w:type="dxa"/>
            <w:vAlign w:val="bottom"/>
          </w:tcPr>
          <w:p w14:paraId="53D1B54A" w14:textId="555E31C4" w:rsidR="00E91EF5" w:rsidRPr="009F4B9D" w:rsidRDefault="00E91EF5" w:rsidP="00E91EF5">
            <w:pPr>
              <w:pStyle w:val="BodyText"/>
              <w:widowControl w:val="0"/>
              <w:jc w:val="center"/>
              <w:rPr>
                <w:rFonts w:cs="Arial"/>
                <w:b/>
                <w:sz w:val="16"/>
                <w:szCs w:val="16"/>
              </w:rPr>
            </w:pPr>
            <w:r>
              <w:rPr>
                <w:rFonts w:cs="Arial"/>
                <w:b/>
                <w:sz w:val="16"/>
                <w:szCs w:val="16"/>
              </w:rPr>
              <w:t>2025</w:t>
            </w:r>
          </w:p>
        </w:tc>
        <w:tc>
          <w:tcPr>
            <w:tcW w:w="1382" w:type="dxa"/>
            <w:vAlign w:val="bottom"/>
          </w:tcPr>
          <w:p w14:paraId="2F24B937" w14:textId="7BDA2760" w:rsidR="00E91EF5" w:rsidRPr="009F4B9D" w:rsidRDefault="00E91EF5" w:rsidP="00E91EF5">
            <w:pPr>
              <w:pStyle w:val="BodyText"/>
              <w:widowControl w:val="0"/>
              <w:jc w:val="center"/>
              <w:rPr>
                <w:rFonts w:cs="Arial"/>
                <w:b/>
                <w:sz w:val="16"/>
                <w:szCs w:val="16"/>
              </w:rPr>
            </w:pPr>
            <w:r>
              <w:rPr>
                <w:rFonts w:cs="Arial"/>
                <w:b/>
                <w:sz w:val="16"/>
                <w:szCs w:val="16"/>
              </w:rPr>
              <w:t>2026</w:t>
            </w:r>
          </w:p>
        </w:tc>
        <w:tc>
          <w:tcPr>
            <w:tcW w:w="1382" w:type="dxa"/>
            <w:vAlign w:val="bottom"/>
          </w:tcPr>
          <w:p w14:paraId="2EE24AF3" w14:textId="23A02C34" w:rsidR="00E91EF5" w:rsidRPr="009F4B9D" w:rsidRDefault="00E91EF5" w:rsidP="00E91EF5">
            <w:pPr>
              <w:pStyle w:val="BodyText"/>
              <w:widowControl w:val="0"/>
              <w:jc w:val="center"/>
              <w:rPr>
                <w:rFonts w:cs="Arial"/>
                <w:b/>
                <w:sz w:val="16"/>
                <w:szCs w:val="16"/>
              </w:rPr>
            </w:pPr>
            <w:r>
              <w:rPr>
                <w:rFonts w:cs="Arial"/>
                <w:b/>
                <w:sz w:val="16"/>
                <w:szCs w:val="16"/>
              </w:rPr>
              <w:t>2025</w:t>
            </w:r>
          </w:p>
        </w:tc>
      </w:tr>
      <w:tr w:rsidR="008234F6" w14:paraId="72A5427D" w14:textId="77777777" w:rsidTr="00FF32BF">
        <w:tblPrEx>
          <w:tblLook w:val="01E0" w:firstRow="1" w:lastRow="1" w:firstColumn="1" w:lastColumn="1" w:noHBand="0" w:noVBand="0"/>
        </w:tblPrEx>
        <w:trPr>
          <w:trHeight w:val="80"/>
        </w:trPr>
        <w:tc>
          <w:tcPr>
            <w:tcW w:w="4395" w:type="dxa"/>
            <w:tcBorders>
              <w:top w:val="single" w:sz="4" w:space="0" w:color="auto"/>
            </w:tcBorders>
            <w:vAlign w:val="bottom"/>
          </w:tcPr>
          <w:p w14:paraId="633EF6A1" w14:textId="6584F928" w:rsidR="008234F6" w:rsidRPr="00996BCF" w:rsidRDefault="008234F6" w:rsidP="008234F6">
            <w:pPr>
              <w:pStyle w:val="BodyText2"/>
              <w:widowControl w:val="0"/>
              <w:spacing w:line="240" w:lineRule="atLeast"/>
              <w:jc w:val="left"/>
              <w:rPr>
                <w:rFonts w:cs="Arial"/>
                <w:sz w:val="18"/>
                <w:szCs w:val="18"/>
              </w:rPr>
            </w:pPr>
            <w:r>
              <w:rPr>
                <w:rFonts w:cs="Arial"/>
                <w:sz w:val="18"/>
                <w:szCs w:val="18"/>
              </w:rPr>
              <w:t xml:space="preserve">Oil and natural gas sales revenue </w:t>
            </w:r>
          </w:p>
        </w:tc>
        <w:tc>
          <w:tcPr>
            <w:tcW w:w="1382" w:type="dxa"/>
            <w:tcBorders>
              <w:top w:val="single" w:sz="4" w:space="0" w:color="auto"/>
            </w:tcBorders>
            <w:vAlign w:val="bottom"/>
          </w:tcPr>
          <w:p w14:paraId="01887BEC" w14:textId="19A249D7" w:rsidR="008234F6" w:rsidRPr="00996BCF" w:rsidRDefault="00B068B2" w:rsidP="00066D43">
            <w:pPr>
              <w:pStyle w:val="BodyText2"/>
              <w:widowControl w:val="0"/>
              <w:tabs>
                <w:tab w:val="decimal" w:pos="1021"/>
              </w:tabs>
              <w:spacing w:line="240" w:lineRule="atLeast"/>
              <w:ind w:left="-18"/>
              <w:jc w:val="left"/>
              <w:rPr>
                <w:rFonts w:cs="Arial"/>
                <w:sz w:val="18"/>
                <w:szCs w:val="18"/>
              </w:rPr>
            </w:pPr>
            <w:r>
              <w:rPr>
                <w:rFonts w:cs="Arial"/>
                <w:sz w:val="18"/>
                <w:szCs w:val="18"/>
              </w:rPr>
              <w:t>6</w:t>
            </w:r>
            <w:r w:rsidR="006445C9">
              <w:rPr>
                <w:rFonts w:cs="Arial"/>
                <w:sz w:val="18"/>
                <w:szCs w:val="18"/>
              </w:rPr>
              <w:t>9</w:t>
            </w:r>
            <w:r>
              <w:rPr>
                <w:rFonts w:cs="Arial"/>
                <w:sz w:val="18"/>
                <w:szCs w:val="18"/>
              </w:rPr>
              <w:t>,206,301</w:t>
            </w:r>
          </w:p>
        </w:tc>
        <w:tc>
          <w:tcPr>
            <w:tcW w:w="1382" w:type="dxa"/>
            <w:tcBorders>
              <w:top w:val="single" w:sz="4" w:space="0" w:color="auto"/>
            </w:tcBorders>
            <w:vAlign w:val="bottom"/>
          </w:tcPr>
          <w:p w14:paraId="6C06C2C1" w14:textId="47443203" w:rsidR="008234F6" w:rsidRPr="00996BCF" w:rsidRDefault="008234F6" w:rsidP="008234F6">
            <w:pPr>
              <w:pStyle w:val="BodyText2"/>
              <w:widowControl w:val="0"/>
              <w:tabs>
                <w:tab w:val="decimal" w:pos="1066"/>
              </w:tabs>
              <w:spacing w:line="240" w:lineRule="atLeast"/>
              <w:ind w:left="-18"/>
              <w:jc w:val="left"/>
              <w:rPr>
                <w:rFonts w:cs="Arial"/>
                <w:sz w:val="18"/>
                <w:szCs w:val="18"/>
              </w:rPr>
            </w:pPr>
            <w:r w:rsidRPr="00760A63">
              <w:rPr>
                <w:rFonts w:cs="Arial"/>
                <w:sz w:val="18"/>
                <w:szCs w:val="18"/>
              </w:rPr>
              <w:t>22,208,934</w:t>
            </w:r>
          </w:p>
        </w:tc>
        <w:tc>
          <w:tcPr>
            <w:tcW w:w="1382" w:type="dxa"/>
            <w:tcBorders>
              <w:top w:val="single" w:sz="4" w:space="0" w:color="auto"/>
            </w:tcBorders>
            <w:vAlign w:val="bottom"/>
          </w:tcPr>
          <w:p w14:paraId="5A6A64E4" w14:textId="4F554244" w:rsidR="008234F6" w:rsidRPr="00FF32BF" w:rsidRDefault="00B068B2" w:rsidP="008234F6">
            <w:pPr>
              <w:pStyle w:val="BodyText2"/>
              <w:widowControl w:val="0"/>
              <w:tabs>
                <w:tab w:val="decimal" w:pos="1062"/>
              </w:tabs>
              <w:jc w:val="left"/>
              <w:rPr>
                <w:rFonts w:cs="Arial"/>
                <w:sz w:val="18"/>
                <w:szCs w:val="18"/>
              </w:rPr>
            </w:pPr>
            <w:r>
              <w:rPr>
                <w:rFonts w:cs="Arial"/>
                <w:sz w:val="18"/>
                <w:szCs w:val="18"/>
              </w:rPr>
              <w:t>113,687,522</w:t>
            </w:r>
          </w:p>
        </w:tc>
        <w:tc>
          <w:tcPr>
            <w:tcW w:w="1382" w:type="dxa"/>
            <w:tcBorders>
              <w:top w:val="single" w:sz="4" w:space="0" w:color="auto"/>
            </w:tcBorders>
            <w:vAlign w:val="bottom"/>
          </w:tcPr>
          <w:p w14:paraId="3EAD7118" w14:textId="1F144F30" w:rsidR="008234F6" w:rsidRPr="003453B0" w:rsidRDefault="008234F6" w:rsidP="008234F6">
            <w:pPr>
              <w:pStyle w:val="BodyText2"/>
              <w:widowControl w:val="0"/>
              <w:tabs>
                <w:tab w:val="decimal" w:pos="1062"/>
              </w:tabs>
              <w:jc w:val="left"/>
              <w:rPr>
                <w:rFonts w:cs="Arial"/>
                <w:sz w:val="18"/>
                <w:szCs w:val="18"/>
              </w:rPr>
            </w:pPr>
            <w:r w:rsidRPr="00A85F73">
              <w:rPr>
                <w:rFonts w:cs="Arial"/>
                <w:sz w:val="18"/>
                <w:szCs w:val="18"/>
              </w:rPr>
              <w:t xml:space="preserve">45,717,428 </w:t>
            </w:r>
          </w:p>
        </w:tc>
      </w:tr>
      <w:tr w:rsidR="008234F6" w14:paraId="1773C2BF" w14:textId="77777777" w:rsidTr="00FF32BF">
        <w:tblPrEx>
          <w:tblLook w:val="01E0" w:firstRow="1" w:lastRow="1" w:firstColumn="1" w:lastColumn="1" w:noHBand="0" w:noVBand="0"/>
        </w:tblPrEx>
        <w:trPr>
          <w:trHeight w:val="177"/>
        </w:trPr>
        <w:tc>
          <w:tcPr>
            <w:tcW w:w="4395" w:type="dxa"/>
            <w:vAlign w:val="bottom"/>
          </w:tcPr>
          <w:p w14:paraId="1AAE1D27" w14:textId="5F3D696E" w:rsidR="008234F6" w:rsidRPr="00594B85" w:rsidRDefault="008234F6" w:rsidP="008234F6">
            <w:pPr>
              <w:pStyle w:val="BodyText2"/>
              <w:widowControl w:val="0"/>
              <w:spacing w:line="240" w:lineRule="atLeast"/>
              <w:jc w:val="left"/>
              <w:rPr>
                <w:rFonts w:cs="Arial"/>
                <w:sz w:val="18"/>
                <w:szCs w:val="18"/>
              </w:rPr>
            </w:pPr>
            <w:r>
              <w:rPr>
                <w:rFonts w:cs="Arial"/>
                <w:sz w:val="18"/>
                <w:szCs w:val="18"/>
              </w:rPr>
              <w:t xml:space="preserve">Income (loss) </w:t>
            </w:r>
            <w:r w:rsidRPr="00594B85">
              <w:rPr>
                <w:rFonts w:cs="Arial"/>
                <w:sz w:val="18"/>
                <w:szCs w:val="18"/>
              </w:rPr>
              <w:t>before taxes</w:t>
            </w:r>
          </w:p>
        </w:tc>
        <w:tc>
          <w:tcPr>
            <w:tcW w:w="1382" w:type="dxa"/>
            <w:vAlign w:val="bottom"/>
          </w:tcPr>
          <w:p w14:paraId="24A12847" w14:textId="782593AD" w:rsidR="008234F6" w:rsidRPr="00594B85" w:rsidRDefault="00B068B2" w:rsidP="00066D43">
            <w:pPr>
              <w:pStyle w:val="BodyText2"/>
              <w:widowControl w:val="0"/>
              <w:tabs>
                <w:tab w:val="decimal" w:pos="1021"/>
              </w:tabs>
              <w:spacing w:line="240" w:lineRule="atLeast"/>
              <w:ind w:left="-18"/>
              <w:jc w:val="left"/>
              <w:rPr>
                <w:rFonts w:cs="Arial"/>
                <w:sz w:val="18"/>
                <w:szCs w:val="18"/>
              </w:rPr>
            </w:pPr>
            <w:r>
              <w:rPr>
                <w:rFonts w:cs="Arial"/>
                <w:sz w:val="18"/>
                <w:szCs w:val="18"/>
              </w:rPr>
              <w:t>9,255,317</w:t>
            </w:r>
          </w:p>
        </w:tc>
        <w:tc>
          <w:tcPr>
            <w:tcW w:w="1382" w:type="dxa"/>
            <w:vAlign w:val="bottom"/>
          </w:tcPr>
          <w:p w14:paraId="5592EDBB" w14:textId="1E3F7D3A" w:rsidR="008234F6" w:rsidRPr="00A137E2" w:rsidRDefault="008234F6" w:rsidP="008234F6">
            <w:pPr>
              <w:pStyle w:val="BodyText2"/>
              <w:widowControl w:val="0"/>
              <w:tabs>
                <w:tab w:val="decimal" w:pos="1066"/>
              </w:tabs>
              <w:spacing w:line="240" w:lineRule="atLeast"/>
              <w:ind w:left="-18"/>
              <w:jc w:val="left"/>
              <w:rPr>
                <w:rFonts w:cs="Arial"/>
                <w:sz w:val="18"/>
                <w:szCs w:val="18"/>
              </w:rPr>
            </w:pPr>
            <w:r w:rsidRPr="00760A63">
              <w:rPr>
                <w:rFonts w:cs="Arial"/>
                <w:sz w:val="18"/>
                <w:szCs w:val="18"/>
              </w:rPr>
              <w:t>(9,069,961)</w:t>
            </w:r>
          </w:p>
        </w:tc>
        <w:tc>
          <w:tcPr>
            <w:tcW w:w="1382" w:type="dxa"/>
            <w:vAlign w:val="bottom"/>
          </w:tcPr>
          <w:p w14:paraId="00B6F2C8" w14:textId="6A0BBD18" w:rsidR="008234F6" w:rsidRPr="00FF32BF" w:rsidRDefault="00B068B2" w:rsidP="008234F6">
            <w:pPr>
              <w:pStyle w:val="BodyText2"/>
              <w:widowControl w:val="0"/>
              <w:tabs>
                <w:tab w:val="decimal" w:pos="1062"/>
              </w:tabs>
              <w:jc w:val="left"/>
              <w:rPr>
                <w:rFonts w:cs="Arial"/>
                <w:sz w:val="18"/>
                <w:szCs w:val="18"/>
              </w:rPr>
            </w:pPr>
            <w:r>
              <w:rPr>
                <w:rFonts w:cs="Arial"/>
                <w:sz w:val="18"/>
                <w:szCs w:val="18"/>
              </w:rPr>
              <w:t>9,387,661</w:t>
            </w:r>
          </w:p>
        </w:tc>
        <w:tc>
          <w:tcPr>
            <w:tcW w:w="1382" w:type="dxa"/>
            <w:vAlign w:val="bottom"/>
          </w:tcPr>
          <w:p w14:paraId="058C9FF4" w14:textId="3C6133DA" w:rsidR="008234F6" w:rsidRPr="00A137E2" w:rsidRDefault="008234F6" w:rsidP="008234F6">
            <w:pPr>
              <w:pStyle w:val="BodyText2"/>
              <w:widowControl w:val="0"/>
              <w:tabs>
                <w:tab w:val="decimal" w:pos="1062"/>
              </w:tabs>
              <w:jc w:val="left"/>
              <w:rPr>
                <w:rFonts w:cs="Arial"/>
                <w:sz w:val="18"/>
                <w:szCs w:val="18"/>
              </w:rPr>
            </w:pPr>
            <w:r w:rsidRPr="00A85F73">
              <w:rPr>
                <w:rFonts w:cs="Arial"/>
                <w:sz w:val="18"/>
                <w:szCs w:val="18"/>
              </w:rPr>
              <w:t xml:space="preserve"> (743,226)</w:t>
            </w:r>
          </w:p>
        </w:tc>
      </w:tr>
      <w:tr w:rsidR="008234F6" w14:paraId="7D8FFA45" w14:textId="77777777" w:rsidTr="00FF32BF">
        <w:tblPrEx>
          <w:tblLook w:val="01E0" w:firstRow="1" w:lastRow="1" w:firstColumn="1" w:lastColumn="1" w:noHBand="0" w:noVBand="0"/>
        </w:tblPrEx>
        <w:trPr>
          <w:trHeight w:val="203"/>
        </w:trPr>
        <w:tc>
          <w:tcPr>
            <w:tcW w:w="4395" w:type="dxa"/>
            <w:vAlign w:val="bottom"/>
          </w:tcPr>
          <w:p w14:paraId="4F02D302" w14:textId="336CA7B7" w:rsidR="008234F6" w:rsidRPr="00996BCF" w:rsidRDefault="008234F6" w:rsidP="008234F6">
            <w:pPr>
              <w:pStyle w:val="BodyText2"/>
              <w:widowControl w:val="0"/>
              <w:spacing w:line="240" w:lineRule="atLeast"/>
              <w:jc w:val="left"/>
              <w:rPr>
                <w:rFonts w:cs="Arial"/>
                <w:sz w:val="18"/>
                <w:szCs w:val="18"/>
              </w:rPr>
            </w:pPr>
            <w:r>
              <w:rPr>
                <w:rFonts w:cs="Arial"/>
                <w:sz w:val="18"/>
                <w:szCs w:val="18"/>
              </w:rPr>
              <w:t>Net income (loss)</w:t>
            </w:r>
          </w:p>
        </w:tc>
        <w:tc>
          <w:tcPr>
            <w:tcW w:w="1382" w:type="dxa"/>
            <w:vAlign w:val="bottom"/>
          </w:tcPr>
          <w:p w14:paraId="3A65C15A" w14:textId="336D4F5F" w:rsidR="008234F6" w:rsidRPr="00D46AC0" w:rsidRDefault="00B068B2" w:rsidP="00066D43">
            <w:pPr>
              <w:pStyle w:val="BodyText2"/>
              <w:widowControl w:val="0"/>
              <w:tabs>
                <w:tab w:val="decimal" w:pos="1021"/>
              </w:tabs>
              <w:spacing w:line="240" w:lineRule="atLeast"/>
              <w:ind w:left="-18"/>
              <w:jc w:val="left"/>
              <w:rPr>
                <w:rFonts w:cs="Arial"/>
                <w:sz w:val="18"/>
                <w:szCs w:val="18"/>
              </w:rPr>
            </w:pPr>
            <w:r>
              <w:rPr>
                <w:rFonts w:cs="Arial"/>
                <w:sz w:val="18"/>
                <w:szCs w:val="18"/>
              </w:rPr>
              <w:t>9,216,967</w:t>
            </w:r>
          </w:p>
        </w:tc>
        <w:tc>
          <w:tcPr>
            <w:tcW w:w="1382" w:type="dxa"/>
            <w:vAlign w:val="bottom"/>
          </w:tcPr>
          <w:p w14:paraId="6CB77A6D" w14:textId="04B3CF46" w:rsidR="008234F6" w:rsidRPr="00D46AC0" w:rsidRDefault="008234F6" w:rsidP="008234F6">
            <w:pPr>
              <w:pStyle w:val="BodyText2"/>
              <w:widowControl w:val="0"/>
              <w:tabs>
                <w:tab w:val="decimal" w:pos="1066"/>
              </w:tabs>
              <w:spacing w:line="240" w:lineRule="atLeast"/>
              <w:ind w:left="-18"/>
              <w:jc w:val="left"/>
              <w:rPr>
                <w:rFonts w:cs="Arial"/>
                <w:sz w:val="18"/>
                <w:szCs w:val="18"/>
              </w:rPr>
            </w:pPr>
            <w:r w:rsidRPr="00385458">
              <w:rPr>
                <w:rFonts w:cs="Arial"/>
                <w:sz w:val="18"/>
                <w:szCs w:val="18"/>
              </w:rPr>
              <w:t>(5,712,871)</w:t>
            </w:r>
          </w:p>
        </w:tc>
        <w:tc>
          <w:tcPr>
            <w:tcW w:w="1382" w:type="dxa"/>
            <w:vAlign w:val="bottom"/>
          </w:tcPr>
          <w:p w14:paraId="55E0948B" w14:textId="015677F1" w:rsidR="008234F6" w:rsidRPr="00FF32BF" w:rsidRDefault="00B068B2" w:rsidP="008234F6">
            <w:pPr>
              <w:pStyle w:val="BodyText2"/>
              <w:widowControl w:val="0"/>
              <w:tabs>
                <w:tab w:val="decimal" w:pos="1062"/>
              </w:tabs>
              <w:jc w:val="left"/>
              <w:rPr>
                <w:rFonts w:cs="Arial"/>
                <w:sz w:val="18"/>
                <w:szCs w:val="18"/>
              </w:rPr>
            </w:pPr>
            <w:r>
              <w:rPr>
                <w:rFonts w:cs="Arial"/>
                <w:sz w:val="18"/>
                <w:szCs w:val="18"/>
              </w:rPr>
              <w:t>14,652,</w:t>
            </w:r>
            <w:r w:rsidR="006445C9">
              <w:rPr>
                <w:rFonts w:cs="Arial"/>
                <w:sz w:val="18"/>
                <w:szCs w:val="18"/>
              </w:rPr>
              <w:t>0</w:t>
            </w:r>
            <w:r>
              <w:rPr>
                <w:rFonts w:cs="Arial"/>
                <w:sz w:val="18"/>
                <w:szCs w:val="18"/>
              </w:rPr>
              <w:t>33</w:t>
            </w:r>
          </w:p>
        </w:tc>
        <w:tc>
          <w:tcPr>
            <w:tcW w:w="1382" w:type="dxa"/>
            <w:vAlign w:val="bottom"/>
          </w:tcPr>
          <w:p w14:paraId="23AF7688" w14:textId="734AD294" w:rsidR="008234F6" w:rsidRPr="00631AB8" w:rsidRDefault="008234F6" w:rsidP="008234F6">
            <w:pPr>
              <w:pStyle w:val="BodyText2"/>
              <w:widowControl w:val="0"/>
              <w:tabs>
                <w:tab w:val="decimal" w:pos="1062"/>
              </w:tabs>
              <w:jc w:val="left"/>
              <w:rPr>
                <w:rFonts w:cs="Arial"/>
                <w:sz w:val="18"/>
                <w:szCs w:val="18"/>
              </w:rPr>
            </w:pPr>
            <w:r w:rsidRPr="00385458">
              <w:rPr>
                <w:rFonts w:cs="Arial"/>
                <w:sz w:val="18"/>
                <w:szCs w:val="18"/>
              </w:rPr>
              <w:t xml:space="preserve">5,767,929 </w:t>
            </w:r>
          </w:p>
        </w:tc>
      </w:tr>
      <w:tr w:rsidR="008234F6" w14:paraId="6EF2F34A" w14:textId="77777777" w:rsidTr="00FF32BF">
        <w:tblPrEx>
          <w:tblLook w:val="01E0" w:firstRow="1" w:lastRow="1" w:firstColumn="1" w:lastColumn="1" w:noHBand="0" w:noVBand="0"/>
        </w:tblPrEx>
        <w:trPr>
          <w:trHeight w:val="207"/>
        </w:trPr>
        <w:tc>
          <w:tcPr>
            <w:tcW w:w="4395" w:type="dxa"/>
            <w:vAlign w:val="bottom"/>
          </w:tcPr>
          <w:p w14:paraId="178132A3" w14:textId="63ADEBC8" w:rsidR="008234F6" w:rsidRPr="003A52DC" w:rsidRDefault="008234F6" w:rsidP="008234F6">
            <w:pPr>
              <w:pStyle w:val="BodyText2"/>
              <w:widowControl w:val="0"/>
              <w:tabs>
                <w:tab w:val="decimal" w:pos="702"/>
              </w:tabs>
              <w:spacing w:line="240" w:lineRule="atLeast"/>
              <w:ind w:right="-38"/>
              <w:jc w:val="left"/>
              <w:rPr>
                <w:rFonts w:cs="Arial"/>
                <w:sz w:val="18"/>
                <w:szCs w:val="18"/>
              </w:rPr>
            </w:pPr>
            <w:r>
              <w:rPr>
                <w:rFonts w:cs="Arial"/>
                <w:sz w:val="18"/>
                <w:szCs w:val="18"/>
              </w:rPr>
              <w:t xml:space="preserve">Net income (loss) per share </w:t>
            </w:r>
            <w:r>
              <w:rPr>
                <w:rFonts w:cs="Arial"/>
                <w:vertAlign w:val="superscript"/>
              </w:rPr>
              <w:t>(1)</w:t>
            </w:r>
            <w:r>
              <w:rPr>
                <w:rFonts w:cs="Arial"/>
                <w:sz w:val="18"/>
                <w:szCs w:val="18"/>
              </w:rPr>
              <w:t xml:space="preserve"> </w:t>
            </w:r>
          </w:p>
        </w:tc>
        <w:tc>
          <w:tcPr>
            <w:tcW w:w="1382" w:type="dxa"/>
            <w:vAlign w:val="bottom"/>
          </w:tcPr>
          <w:p w14:paraId="52805D92" w14:textId="67FCF8CF" w:rsidR="008234F6" w:rsidRPr="006622D5" w:rsidRDefault="00B068B2" w:rsidP="00066D43">
            <w:pPr>
              <w:pStyle w:val="BodyText2"/>
              <w:widowControl w:val="0"/>
              <w:tabs>
                <w:tab w:val="decimal" w:pos="737"/>
              </w:tabs>
              <w:spacing w:line="240" w:lineRule="atLeast"/>
              <w:ind w:left="-18"/>
              <w:jc w:val="left"/>
              <w:rPr>
                <w:rFonts w:cs="Arial"/>
                <w:sz w:val="18"/>
                <w:szCs w:val="18"/>
              </w:rPr>
            </w:pPr>
            <w:r>
              <w:rPr>
                <w:rFonts w:cs="Arial"/>
                <w:sz w:val="18"/>
                <w:szCs w:val="18"/>
              </w:rPr>
              <w:t>0.13</w:t>
            </w:r>
          </w:p>
        </w:tc>
        <w:tc>
          <w:tcPr>
            <w:tcW w:w="1382" w:type="dxa"/>
            <w:vAlign w:val="bottom"/>
          </w:tcPr>
          <w:p w14:paraId="21929962" w14:textId="3B725151" w:rsidR="008234F6" w:rsidRPr="006431ED" w:rsidRDefault="008234F6" w:rsidP="008234F6">
            <w:pPr>
              <w:pStyle w:val="BodyText2"/>
              <w:widowControl w:val="0"/>
              <w:tabs>
                <w:tab w:val="decimal" w:pos="783"/>
              </w:tabs>
              <w:spacing w:line="240" w:lineRule="atLeast"/>
              <w:ind w:left="-18"/>
              <w:jc w:val="left"/>
              <w:rPr>
                <w:rFonts w:cs="Arial"/>
                <w:sz w:val="18"/>
                <w:szCs w:val="18"/>
              </w:rPr>
            </w:pPr>
            <w:r w:rsidRPr="00385458">
              <w:rPr>
                <w:rFonts w:cs="Arial"/>
                <w:sz w:val="18"/>
                <w:szCs w:val="18"/>
              </w:rPr>
              <w:t>(0.08)</w:t>
            </w:r>
          </w:p>
        </w:tc>
        <w:tc>
          <w:tcPr>
            <w:tcW w:w="1382" w:type="dxa"/>
            <w:vAlign w:val="bottom"/>
          </w:tcPr>
          <w:p w14:paraId="10131B4C" w14:textId="2DC28245" w:rsidR="008234F6" w:rsidRPr="00FF32BF" w:rsidRDefault="00B068B2" w:rsidP="008234F6">
            <w:pPr>
              <w:pStyle w:val="BodyText2"/>
              <w:widowControl w:val="0"/>
              <w:tabs>
                <w:tab w:val="decimal" w:pos="820"/>
              </w:tabs>
              <w:jc w:val="left"/>
              <w:rPr>
                <w:rFonts w:cs="Arial"/>
                <w:sz w:val="18"/>
                <w:szCs w:val="18"/>
              </w:rPr>
            </w:pPr>
            <w:r>
              <w:rPr>
                <w:rFonts w:cs="Arial"/>
                <w:sz w:val="18"/>
                <w:szCs w:val="18"/>
              </w:rPr>
              <w:t>0.20</w:t>
            </w:r>
          </w:p>
        </w:tc>
        <w:tc>
          <w:tcPr>
            <w:tcW w:w="1382" w:type="dxa"/>
            <w:vAlign w:val="bottom"/>
          </w:tcPr>
          <w:p w14:paraId="480AEC27" w14:textId="1E764D9B" w:rsidR="008234F6" w:rsidRPr="006622D5" w:rsidRDefault="008234F6" w:rsidP="008234F6">
            <w:pPr>
              <w:pStyle w:val="BodyText2"/>
              <w:widowControl w:val="0"/>
              <w:tabs>
                <w:tab w:val="decimal" w:pos="820"/>
              </w:tabs>
              <w:jc w:val="left"/>
              <w:rPr>
                <w:rFonts w:cs="Arial"/>
                <w:sz w:val="18"/>
                <w:szCs w:val="18"/>
              </w:rPr>
            </w:pPr>
            <w:r w:rsidRPr="00385458">
              <w:rPr>
                <w:rFonts w:cs="Arial"/>
                <w:sz w:val="18"/>
                <w:szCs w:val="18"/>
              </w:rPr>
              <w:t xml:space="preserve"> 0.08 </w:t>
            </w:r>
          </w:p>
        </w:tc>
      </w:tr>
      <w:tr w:rsidR="008234F6" w14:paraId="551295AA" w14:textId="77777777" w:rsidTr="00FF32BF">
        <w:tblPrEx>
          <w:tblLook w:val="01E0" w:firstRow="1" w:lastRow="1" w:firstColumn="1" w:lastColumn="1" w:noHBand="0" w:noVBand="0"/>
        </w:tblPrEx>
        <w:trPr>
          <w:trHeight w:val="207"/>
        </w:trPr>
        <w:tc>
          <w:tcPr>
            <w:tcW w:w="4395" w:type="dxa"/>
            <w:vAlign w:val="bottom"/>
          </w:tcPr>
          <w:p w14:paraId="796C4A73" w14:textId="71202BEF" w:rsidR="008234F6" w:rsidRPr="003A52DC" w:rsidRDefault="008234F6" w:rsidP="008234F6">
            <w:pPr>
              <w:pStyle w:val="BodyText2"/>
              <w:widowControl w:val="0"/>
              <w:tabs>
                <w:tab w:val="decimal" w:pos="702"/>
              </w:tabs>
              <w:spacing w:line="240" w:lineRule="atLeast"/>
              <w:ind w:right="-38"/>
              <w:jc w:val="left"/>
              <w:rPr>
                <w:rFonts w:cs="Arial"/>
                <w:sz w:val="18"/>
                <w:szCs w:val="18"/>
              </w:rPr>
            </w:pPr>
            <w:r>
              <w:rPr>
                <w:rFonts w:cs="Arial"/>
                <w:color w:val="000000"/>
                <w:sz w:val="18"/>
                <w:szCs w:val="18"/>
              </w:rPr>
              <w:t xml:space="preserve">Net cash provided by operating activities </w:t>
            </w:r>
          </w:p>
        </w:tc>
        <w:tc>
          <w:tcPr>
            <w:tcW w:w="1382" w:type="dxa"/>
            <w:vAlign w:val="bottom"/>
          </w:tcPr>
          <w:p w14:paraId="4A71259F" w14:textId="3E77C360" w:rsidR="008234F6" w:rsidRPr="00B039D9" w:rsidRDefault="00B068B2" w:rsidP="00066D43">
            <w:pPr>
              <w:pStyle w:val="BodyText2"/>
              <w:widowControl w:val="0"/>
              <w:tabs>
                <w:tab w:val="decimal" w:pos="1021"/>
              </w:tabs>
              <w:spacing w:line="240" w:lineRule="atLeast"/>
              <w:ind w:left="-18"/>
              <w:jc w:val="left"/>
              <w:rPr>
                <w:rFonts w:cs="Arial"/>
                <w:sz w:val="18"/>
                <w:szCs w:val="18"/>
              </w:rPr>
            </w:pPr>
            <w:r>
              <w:rPr>
                <w:rFonts w:cs="Arial"/>
                <w:sz w:val="18"/>
                <w:szCs w:val="18"/>
              </w:rPr>
              <w:t>22,491,772</w:t>
            </w:r>
          </w:p>
        </w:tc>
        <w:tc>
          <w:tcPr>
            <w:tcW w:w="1382" w:type="dxa"/>
            <w:vAlign w:val="bottom"/>
          </w:tcPr>
          <w:p w14:paraId="71BD2ABD" w14:textId="5D600246" w:rsidR="008234F6" w:rsidRPr="006431ED" w:rsidRDefault="008234F6" w:rsidP="008234F6">
            <w:pPr>
              <w:pStyle w:val="BodyText2"/>
              <w:widowControl w:val="0"/>
              <w:tabs>
                <w:tab w:val="decimal" w:pos="1066"/>
              </w:tabs>
              <w:spacing w:line="240" w:lineRule="atLeast"/>
              <w:ind w:left="-18"/>
              <w:jc w:val="left"/>
              <w:rPr>
                <w:rFonts w:cs="Arial"/>
                <w:sz w:val="18"/>
                <w:szCs w:val="18"/>
              </w:rPr>
            </w:pPr>
            <w:r>
              <w:rPr>
                <w:rFonts w:cs="Arial"/>
                <w:sz w:val="18"/>
                <w:szCs w:val="18"/>
              </w:rPr>
              <w:t>5,606,060</w:t>
            </w:r>
          </w:p>
        </w:tc>
        <w:tc>
          <w:tcPr>
            <w:tcW w:w="1382" w:type="dxa"/>
            <w:vAlign w:val="bottom"/>
          </w:tcPr>
          <w:p w14:paraId="011D76AC" w14:textId="5F6DF195" w:rsidR="008234F6" w:rsidRPr="00FF32BF" w:rsidRDefault="00B068B2" w:rsidP="008234F6">
            <w:pPr>
              <w:pStyle w:val="BodyText2"/>
              <w:widowControl w:val="0"/>
              <w:tabs>
                <w:tab w:val="decimal" w:pos="1062"/>
              </w:tabs>
              <w:jc w:val="left"/>
              <w:rPr>
                <w:rFonts w:cs="Arial"/>
                <w:sz w:val="18"/>
                <w:szCs w:val="18"/>
              </w:rPr>
            </w:pPr>
            <w:r>
              <w:rPr>
                <w:rFonts w:cs="Arial"/>
                <w:sz w:val="18"/>
                <w:szCs w:val="18"/>
              </w:rPr>
              <w:t>28,951,508</w:t>
            </w:r>
          </w:p>
        </w:tc>
        <w:tc>
          <w:tcPr>
            <w:tcW w:w="1382" w:type="dxa"/>
            <w:vAlign w:val="bottom"/>
          </w:tcPr>
          <w:p w14:paraId="625E4813" w14:textId="019199A7" w:rsidR="008234F6" w:rsidRPr="00804452" w:rsidRDefault="008234F6" w:rsidP="008234F6">
            <w:pPr>
              <w:pStyle w:val="BodyText2"/>
              <w:widowControl w:val="0"/>
              <w:tabs>
                <w:tab w:val="decimal" w:pos="1062"/>
              </w:tabs>
              <w:jc w:val="left"/>
              <w:rPr>
                <w:rFonts w:cs="Arial"/>
                <w:sz w:val="18"/>
                <w:szCs w:val="18"/>
              </w:rPr>
            </w:pPr>
            <w:r>
              <w:rPr>
                <w:rFonts w:cs="Arial"/>
                <w:sz w:val="18"/>
                <w:szCs w:val="18"/>
              </w:rPr>
              <w:t>8,745,617</w:t>
            </w:r>
          </w:p>
        </w:tc>
      </w:tr>
      <w:tr w:rsidR="008234F6" w14:paraId="47613006" w14:textId="77777777" w:rsidTr="00FF32BF">
        <w:tblPrEx>
          <w:tblLook w:val="01E0" w:firstRow="1" w:lastRow="1" w:firstColumn="1" w:lastColumn="1" w:noHBand="0" w:noVBand="0"/>
        </w:tblPrEx>
        <w:trPr>
          <w:trHeight w:val="207"/>
        </w:trPr>
        <w:tc>
          <w:tcPr>
            <w:tcW w:w="4395" w:type="dxa"/>
            <w:vAlign w:val="bottom"/>
          </w:tcPr>
          <w:p w14:paraId="450484A2" w14:textId="7DA30181" w:rsidR="008234F6" w:rsidRPr="00013231" w:rsidRDefault="008234F6" w:rsidP="008234F6">
            <w:pPr>
              <w:pStyle w:val="BodyText2"/>
              <w:widowControl w:val="0"/>
              <w:tabs>
                <w:tab w:val="decimal" w:pos="702"/>
              </w:tabs>
              <w:spacing w:line="240" w:lineRule="atLeast"/>
              <w:ind w:right="-38"/>
              <w:jc w:val="left"/>
              <w:rPr>
                <w:rFonts w:cs="Arial"/>
                <w:sz w:val="18"/>
                <w:szCs w:val="18"/>
              </w:rPr>
            </w:pPr>
            <w:r>
              <w:rPr>
                <w:rFonts w:cs="Arial"/>
                <w:color w:val="000000"/>
                <w:sz w:val="18"/>
                <w:szCs w:val="18"/>
              </w:rPr>
              <w:t xml:space="preserve">Net cash per share – operating activities </w:t>
            </w:r>
            <w:r>
              <w:rPr>
                <w:rFonts w:cs="Arial"/>
                <w:vertAlign w:val="superscript"/>
              </w:rPr>
              <w:t>(1)(2)</w:t>
            </w:r>
          </w:p>
        </w:tc>
        <w:tc>
          <w:tcPr>
            <w:tcW w:w="1382" w:type="dxa"/>
            <w:vAlign w:val="bottom"/>
          </w:tcPr>
          <w:p w14:paraId="59610794" w14:textId="24DCFAC0" w:rsidR="008234F6" w:rsidRPr="00B039D9" w:rsidRDefault="00B068B2" w:rsidP="00066D43">
            <w:pPr>
              <w:pStyle w:val="BodyText2"/>
              <w:widowControl w:val="0"/>
              <w:tabs>
                <w:tab w:val="decimal" w:pos="737"/>
              </w:tabs>
              <w:spacing w:line="240" w:lineRule="atLeast"/>
              <w:ind w:left="-18"/>
              <w:jc w:val="left"/>
              <w:rPr>
                <w:rFonts w:cs="Arial"/>
                <w:sz w:val="18"/>
                <w:szCs w:val="18"/>
              </w:rPr>
            </w:pPr>
            <w:r>
              <w:rPr>
                <w:rFonts w:cs="Arial"/>
                <w:sz w:val="18"/>
                <w:szCs w:val="18"/>
              </w:rPr>
              <w:t>0.31</w:t>
            </w:r>
          </w:p>
        </w:tc>
        <w:tc>
          <w:tcPr>
            <w:tcW w:w="1382" w:type="dxa"/>
            <w:vAlign w:val="bottom"/>
          </w:tcPr>
          <w:p w14:paraId="7A6C929A" w14:textId="26BE0D1D" w:rsidR="008234F6" w:rsidRPr="006431ED" w:rsidRDefault="008234F6" w:rsidP="008234F6">
            <w:pPr>
              <w:pStyle w:val="BodyText2"/>
              <w:widowControl w:val="0"/>
              <w:tabs>
                <w:tab w:val="decimal" w:pos="783"/>
              </w:tabs>
              <w:spacing w:line="240" w:lineRule="atLeast"/>
              <w:ind w:left="-18"/>
              <w:jc w:val="left"/>
              <w:rPr>
                <w:rFonts w:cs="Arial"/>
                <w:sz w:val="18"/>
                <w:szCs w:val="18"/>
              </w:rPr>
            </w:pPr>
            <w:r w:rsidRPr="00760A63">
              <w:rPr>
                <w:rFonts w:cs="Arial"/>
                <w:sz w:val="18"/>
                <w:szCs w:val="18"/>
              </w:rPr>
              <w:t xml:space="preserve">0.08 </w:t>
            </w:r>
          </w:p>
        </w:tc>
        <w:tc>
          <w:tcPr>
            <w:tcW w:w="1382" w:type="dxa"/>
            <w:vAlign w:val="bottom"/>
          </w:tcPr>
          <w:p w14:paraId="324115FB" w14:textId="55B5FC74" w:rsidR="008234F6" w:rsidRPr="00FF32BF" w:rsidRDefault="00B068B2" w:rsidP="008234F6">
            <w:pPr>
              <w:pStyle w:val="BodyText2"/>
              <w:widowControl w:val="0"/>
              <w:tabs>
                <w:tab w:val="decimal" w:pos="820"/>
              </w:tabs>
              <w:jc w:val="left"/>
              <w:rPr>
                <w:rFonts w:cs="Arial"/>
                <w:sz w:val="18"/>
                <w:szCs w:val="18"/>
              </w:rPr>
            </w:pPr>
            <w:r>
              <w:rPr>
                <w:rFonts w:cs="Arial"/>
                <w:sz w:val="18"/>
                <w:szCs w:val="18"/>
              </w:rPr>
              <w:t>0.40</w:t>
            </w:r>
          </w:p>
        </w:tc>
        <w:tc>
          <w:tcPr>
            <w:tcW w:w="1382" w:type="dxa"/>
            <w:vAlign w:val="bottom"/>
          </w:tcPr>
          <w:p w14:paraId="05F517BA" w14:textId="7080FD6F" w:rsidR="008234F6" w:rsidRPr="00804452" w:rsidRDefault="008234F6" w:rsidP="008234F6">
            <w:pPr>
              <w:pStyle w:val="BodyText2"/>
              <w:widowControl w:val="0"/>
              <w:tabs>
                <w:tab w:val="decimal" w:pos="820"/>
              </w:tabs>
              <w:jc w:val="left"/>
              <w:rPr>
                <w:rFonts w:cs="Arial"/>
                <w:sz w:val="18"/>
                <w:szCs w:val="18"/>
              </w:rPr>
            </w:pPr>
            <w:r w:rsidRPr="00A85F73">
              <w:rPr>
                <w:rFonts w:cs="Arial"/>
                <w:sz w:val="18"/>
                <w:szCs w:val="18"/>
              </w:rPr>
              <w:t xml:space="preserve"> 0.12 </w:t>
            </w:r>
          </w:p>
        </w:tc>
      </w:tr>
      <w:tr w:rsidR="008234F6" w14:paraId="77024512" w14:textId="77777777" w:rsidTr="00FF32BF">
        <w:tblPrEx>
          <w:tblLook w:val="01E0" w:firstRow="1" w:lastRow="1" w:firstColumn="1" w:lastColumn="1" w:noHBand="0" w:noVBand="0"/>
        </w:tblPrEx>
        <w:trPr>
          <w:trHeight w:val="189"/>
        </w:trPr>
        <w:tc>
          <w:tcPr>
            <w:tcW w:w="4395" w:type="dxa"/>
            <w:vAlign w:val="bottom"/>
          </w:tcPr>
          <w:p w14:paraId="767C22E7" w14:textId="4EDEEC26" w:rsidR="008234F6" w:rsidRPr="00B142CB" w:rsidRDefault="008234F6" w:rsidP="008234F6">
            <w:pPr>
              <w:pStyle w:val="BodyText2"/>
              <w:widowControl w:val="0"/>
              <w:spacing w:line="240" w:lineRule="atLeast"/>
              <w:ind w:right="-241"/>
              <w:jc w:val="left"/>
              <w:rPr>
                <w:rFonts w:cs="Arial"/>
                <w:color w:val="000000"/>
                <w:sz w:val="18"/>
                <w:szCs w:val="18"/>
              </w:rPr>
            </w:pPr>
            <w:r>
              <w:rPr>
                <w:rFonts w:cs="Arial"/>
                <w:color w:val="000000"/>
                <w:sz w:val="18"/>
                <w:szCs w:val="18"/>
              </w:rPr>
              <w:t>Funds flow (used in) provided by operating activities</w:t>
            </w:r>
          </w:p>
        </w:tc>
        <w:tc>
          <w:tcPr>
            <w:tcW w:w="1382" w:type="dxa"/>
            <w:vAlign w:val="bottom"/>
          </w:tcPr>
          <w:p w14:paraId="1353F820" w14:textId="139BD13E" w:rsidR="008234F6" w:rsidRPr="006B4896" w:rsidRDefault="00B068B2" w:rsidP="00066D43">
            <w:pPr>
              <w:pStyle w:val="BodyText2"/>
              <w:widowControl w:val="0"/>
              <w:tabs>
                <w:tab w:val="decimal" w:pos="1021"/>
              </w:tabs>
              <w:spacing w:line="240" w:lineRule="atLeast"/>
              <w:ind w:left="-18"/>
              <w:jc w:val="left"/>
              <w:rPr>
                <w:rFonts w:cs="Arial"/>
                <w:sz w:val="18"/>
                <w:szCs w:val="18"/>
              </w:rPr>
            </w:pPr>
            <w:r>
              <w:rPr>
                <w:rFonts w:cs="Arial"/>
                <w:sz w:val="18"/>
                <w:szCs w:val="18"/>
              </w:rPr>
              <w:t>17,438,069</w:t>
            </w:r>
          </w:p>
        </w:tc>
        <w:tc>
          <w:tcPr>
            <w:tcW w:w="1382" w:type="dxa"/>
            <w:vAlign w:val="bottom"/>
          </w:tcPr>
          <w:p w14:paraId="17628F03" w14:textId="6409E4B4" w:rsidR="008234F6" w:rsidRPr="006431ED" w:rsidRDefault="008234F6" w:rsidP="008234F6">
            <w:pPr>
              <w:pStyle w:val="BodyText2"/>
              <w:widowControl w:val="0"/>
              <w:tabs>
                <w:tab w:val="decimal" w:pos="1066"/>
              </w:tabs>
              <w:spacing w:line="240" w:lineRule="atLeast"/>
              <w:ind w:left="-18"/>
              <w:jc w:val="left"/>
              <w:rPr>
                <w:rFonts w:cs="Arial"/>
                <w:sz w:val="18"/>
                <w:szCs w:val="18"/>
              </w:rPr>
            </w:pPr>
            <w:r w:rsidRPr="00760A63">
              <w:rPr>
                <w:rFonts w:cs="Arial"/>
                <w:sz w:val="18"/>
                <w:szCs w:val="18"/>
              </w:rPr>
              <w:t xml:space="preserve"> (</w:t>
            </w:r>
            <w:r>
              <w:rPr>
                <w:rFonts w:cs="Arial"/>
                <w:sz w:val="18"/>
                <w:szCs w:val="18"/>
              </w:rPr>
              <w:t>4,968,518</w:t>
            </w:r>
            <w:r w:rsidRPr="00760A63">
              <w:rPr>
                <w:rFonts w:cs="Arial"/>
                <w:sz w:val="18"/>
                <w:szCs w:val="18"/>
              </w:rPr>
              <w:t>)</w:t>
            </w:r>
          </w:p>
        </w:tc>
        <w:tc>
          <w:tcPr>
            <w:tcW w:w="1382" w:type="dxa"/>
            <w:vAlign w:val="bottom"/>
          </w:tcPr>
          <w:p w14:paraId="3B152016" w14:textId="6C03F765" w:rsidR="008234F6" w:rsidRPr="00FF32BF" w:rsidRDefault="00B068B2" w:rsidP="008234F6">
            <w:pPr>
              <w:pStyle w:val="BodyText2"/>
              <w:widowControl w:val="0"/>
              <w:tabs>
                <w:tab w:val="decimal" w:pos="1062"/>
              </w:tabs>
              <w:jc w:val="left"/>
              <w:rPr>
                <w:rFonts w:cs="Arial"/>
                <w:sz w:val="18"/>
                <w:szCs w:val="18"/>
              </w:rPr>
            </w:pPr>
            <w:r>
              <w:rPr>
                <w:rFonts w:cs="Arial"/>
                <w:sz w:val="18"/>
                <w:szCs w:val="18"/>
              </w:rPr>
              <w:t xml:space="preserve">29,101,159 </w:t>
            </w:r>
          </w:p>
        </w:tc>
        <w:tc>
          <w:tcPr>
            <w:tcW w:w="1382" w:type="dxa"/>
            <w:vAlign w:val="bottom"/>
          </w:tcPr>
          <w:p w14:paraId="347CB619" w14:textId="2A4636BA" w:rsidR="008234F6" w:rsidRPr="006B4896" w:rsidRDefault="008234F6" w:rsidP="008234F6">
            <w:pPr>
              <w:pStyle w:val="BodyText2"/>
              <w:widowControl w:val="0"/>
              <w:tabs>
                <w:tab w:val="decimal" w:pos="1062"/>
              </w:tabs>
              <w:jc w:val="left"/>
              <w:rPr>
                <w:rFonts w:cs="Arial"/>
                <w:sz w:val="18"/>
                <w:szCs w:val="18"/>
              </w:rPr>
            </w:pPr>
            <w:r>
              <w:rPr>
                <w:rFonts w:cs="Arial"/>
                <w:sz w:val="18"/>
                <w:szCs w:val="18"/>
              </w:rPr>
              <w:t>(5,315,212)</w:t>
            </w:r>
          </w:p>
        </w:tc>
      </w:tr>
      <w:tr w:rsidR="008234F6" w14:paraId="57E72FA8" w14:textId="77777777" w:rsidTr="00FF32BF">
        <w:tblPrEx>
          <w:tblLook w:val="01E0" w:firstRow="1" w:lastRow="1" w:firstColumn="1" w:lastColumn="1" w:noHBand="0" w:noVBand="0"/>
        </w:tblPrEx>
        <w:trPr>
          <w:trHeight w:val="207"/>
        </w:trPr>
        <w:tc>
          <w:tcPr>
            <w:tcW w:w="4395" w:type="dxa"/>
            <w:vAlign w:val="bottom"/>
          </w:tcPr>
          <w:p w14:paraId="2D20B62E" w14:textId="6998E1A0" w:rsidR="008234F6" w:rsidRPr="00DE4CD1" w:rsidRDefault="008234F6" w:rsidP="008234F6">
            <w:pPr>
              <w:pStyle w:val="BodyText2"/>
              <w:widowControl w:val="0"/>
              <w:tabs>
                <w:tab w:val="decimal" w:pos="702"/>
              </w:tabs>
              <w:spacing w:line="240" w:lineRule="atLeast"/>
              <w:ind w:right="-250"/>
              <w:jc w:val="left"/>
              <w:rPr>
                <w:rFonts w:cs="Arial"/>
                <w:color w:val="000000"/>
                <w:sz w:val="18"/>
                <w:szCs w:val="18"/>
              </w:rPr>
            </w:pPr>
            <w:r>
              <w:rPr>
                <w:rFonts w:cs="Arial"/>
                <w:color w:val="000000"/>
                <w:sz w:val="18"/>
                <w:szCs w:val="18"/>
              </w:rPr>
              <w:t xml:space="preserve">Funds flow per share – operating activities </w:t>
            </w:r>
            <w:r>
              <w:rPr>
                <w:rFonts w:cs="Arial"/>
                <w:vertAlign w:val="superscript"/>
              </w:rPr>
              <w:t>(1)(2)</w:t>
            </w:r>
          </w:p>
        </w:tc>
        <w:tc>
          <w:tcPr>
            <w:tcW w:w="1382" w:type="dxa"/>
            <w:vAlign w:val="bottom"/>
          </w:tcPr>
          <w:p w14:paraId="5AF9D940" w14:textId="752A757E" w:rsidR="008234F6" w:rsidRPr="006B4896" w:rsidRDefault="00B068B2" w:rsidP="00066D43">
            <w:pPr>
              <w:pStyle w:val="BodyText2"/>
              <w:widowControl w:val="0"/>
              <w:tabs>
                <w:tab w:val="decimal" w:pos="737"/>
              </w:tabs>
              <w:spacing w:line="240" w:lineRule="atLeast"/>
              <w:ind w:left="-18"/>
              <w:jc w:val="left"/>
              <w:rPr>
                <w:rFonts w:cs="Arial"/>
                <w:sz w:val="18"/>
                <w:szCs w:val="18"/>
              </w:rPr>
            </w:pPr>
            <w:r>
              <w:rPr>
                <w:rFonts w:cs="Arial"/>
                <w:sz w:val="18"/>
                <w:szCs w:val="18"/>
              </w:rPr>
              <w:t>0.24</w:t>
            </w:r>
          </w:p>
        </w:tc>
        <w:tc>
          <w:tcPr>
            <w:tcW w:w="1382" w:type="dxa"/>
            <w:vAlign w:val="bottom"/>
          </w:tcPr>
          <w:p w14:paraId="3E106496" w14:textId="6A97BF0E" w:rsidR="008234F6" w:rsidRPr="006431ED" w:rsidRDefault="008234F6" w:rsidP="008234F6">
            <w:pPr>
              <w:pStyle w:val="BodyText2"/>
              <w:widowControl w:val="0"/>
              <w:tabs>
                <w:tab w:val="decimal" w:pos="783"/>
              </w:tabs>
              <w:spacing w:line="240" w:lineRule="atLeast"/>
              <w:ind w:left="-18"/>
              <w:jc w:val="left"/>
              <w:rPr>
                <w:rFonts w:cs="Arial"/>
                <w:sz w:val="18"/>
                <w:szCs w:val="18"/>
              </w:rPr>
            </w:pPr>
            <w:r w:rsidRPr="00760A63">
              <w:rPr>
                <w:rFonts w:cs="Arial"/>
                <w:sz w:val="18"/>
                <w:szCs w:val="18"/>
              </w:rPr>
              <w:t xml:space="preserve"> (0.07)</w:t>
            </w:r>
          </w:p>
        </w:tc>
        <w:tc>
          <w:tcPr>
            <w:tcW w:w="1382" w:type="dxa"/>
            <w:vAlign w:val="bottom"/>
          </w:tcPr>
          <w:p w14:paraId="15EF9D65" w14:textId="5C84F9E9" w:rsidR="008234F6" w:rsidRPr="00FF32BF" w:rsidRDefault="00B068B2" w:rsidP="008234F6">
            <w:pPr>
              <w:pStyle w:val="BodyText2"/>
              <w:widowControl w:val="0"/>
              <w:tabs>
                <w:tab w:val="decimal" w:pos="820"/>
              </w:tabs>
              <w:jc w:val="left"/>
              <w:rPr>
                <w:rFonts w:cs="Arial"/>
                <w:sz w:val="18"/>
                <w:szCs w:val="18"/>
              </w:rPr>
            </w:pPr>
            <w:r>
              <w:rPr>
                <w:rFonts w:cs="Arial"/>
                <w:sz w:val="18"/>
                <w:szCs w:val="18"/>
              </w:rPr>
              <w:t>0.40</w:t>
            </w:r>
          </w:p>
        </w:tc>
        <w:tc>
          <w:tcPr>
            <w:tcW w:w="1382" w:type="dxa"/>
            <w:vAlign w:val="bottom"/>
          </w:tcPr>
          <w:p w14:paraId="2475E96F" w14:textId="5467D3CF" w:rsidR="008234F6" w:rsidRPr="006B4896" w:rsidRDefault="008234F6" w:rsidP="008234F6">
            <w:pPr>
              <w:pStyle w:val="BodyText2"/>
              <w:widowControl w:val="0"/>
              <w:tabs>
                <w:tab w:val="decimal" w:pos="820"/>
              </w:tabs>
              <w:jc w:val="left"/>
              <w:rPr>
                <w:rFonts w:cs="Arial"/>
                <w:sz w:val="18"/>
                <w:szCs w:val="18"/>
              </w:rPr>
            </w:pPr>
            <w:r w:rsidRPr="00A85F73">
              <w:rPr>
                <w:rFonts w:cs="Arial"/>
                <w:sz w:val="18"/>
                <w:szCs w:val="18"/>
              </w:rPr>
              <w:t xml:space="preserve"> (0.07)</w:t>
            </w:r>
          </w:p>
        </w:tc>
      </w:tr>
      <w:tr w:rsidR="008234F6" w:rsidRPr="00605813" w14:paraId="32E741CE" w14:textId="77777777" w:rsidTr="00FF32BF">
        <w:tblPrEx>
          <w:tblLook w:val="01E0" w:firstRow="1" w:lastRow="1" w:firstColumn="1" w:lastColumn="1" w:noHBand="0" w:noVBand="0"/>
        </w:tblPrEx>
        <w:trPr>
          <w:trHeight w:val="189"/>
        </w:trPr>
        <w:tc>
          <w:tcPr>
            <w:tcW w:w="4395" w:type="dxa"/>
            <w:vAlign w:val="bottom"/>
          </w:tcPr>
          <w:p w14:paraId="5B1C1B38" w14:textId="77777777" w:rsidR="008234F6" w:rsidRDefault="008234F6" w:rsidP="008234F6">
            <w:pPr>
              <w:pStyle w:val="BodyText2"/>
              <w:widowControl w:val="0"/>
              <w:spacing w:line="240" w:lineRule="atLeast"/>
              <w:jc w:val="left"/>
              <w:rPr>
                <w:rFonts w:cs="Arial"/>
                <w:color w:val="000000"/>
                <w:sz w:val="18"/>
                <w:szCs w:val="18"/>
              </w:rPr>
            </w:pPr>
            <w:r>
              <w:rPr>
                <w:rFonts w:cs="Arial"/>
                <w:color w:val="000000"/>
                <w:sz w:val="18"/>
                <w:szCs w:val="18"/>
              </w:rPr>
              <w:t>Weighted average number of shares - basic</w:t>
            </w:r>
            <w:r>
              <w:rPr>
                <w:color w:val="000000"/>
                <w:sz w:val="18"/>
                <w:szCs w:val="18"/>
              </w:rPr>
              <w:t xml:space="preserve"> </w:t>
            </w:r>
          </w:p>
        </w:tc>
        <w:tc>
          <w:tcPr>
            <w:tcW w:w="1382" w:type="dxa"/>
            <w:vAlign w:val="bottom"/>
          </w:tcPr>
          <w:p w14:paraId="604D0F5B" w14:textId="2C80751B" w:rsidR="008234F6" w:rsidRDefault="008234F6" w:rsidP="00066D43">
            <w:pPr>
              <w:pStyle w:val="BodyText2"/>
              <w:widowControl w:val="0"/>
              <w:tabs>
                <w:tab w:val="decimal" w:pos="1021"/>
              </w:tabs>
              <w:spacing w:line="240" w:lineRule="atLeast"/>
              <w:ind w:left="-18"/>
              <w:jc w:val="left"/>
              <w:rPr>
                <w:rFonts w:cs="Arial"/>
                <w:sz w:val="18"/>
                <w:szCs w:val="18"/>
              </w:rPr>
            </w:pPr>
            <w:r w:rsidRPr="00FF32BF">
              <w:rPr>
                <w:sz w:val="18"/>
                <w:szCs w:val="18"/>
              </w:rPr>
              <w:t xml:space="preserve"> 72</w:t>
            </w:r>
            <w:r>
              <w:rPr>
                <w:sz w:val="18"/>
                <w:szCs w:val="18"/>
              </w:rPr>
              <w:t>,</w:t>
            </w:r>
            <w:r w:rsidRPr="00FF32BF">
              <w:rPr>
                <w:sz w:val="18"/>
                <w:szCs w:val="18"/>
              </w:rPr>
              <w:t>903</w:t>
            </w:r>
            <w:r>
              <w:rPr>
                <w:sz w:val="18"/>
                <w:szCs w:val="18"/>
              </w:rPr>
              <w:t>,</w:t>
            </w:r>
            <w:r w:rsidRPr="00FF32BF">
              <w:rPr>
                <w:sz w:val="18"/>
                <w:szCs w:val="18"/>
              </w:rPr>
              <w:t xml:space="preserve">038 </w:t>
            </w:r>
          </w:p>
        </w:tc>
        <w:tc>
          <w:tcPr>
            <w:tcW w:w="1382" w:type="dxa"/>
            <w:vAlign w:val="bottom"/>
          </w:tcPr>
          <w:p w14:paraId="0752F200" w14:textId="06D4ACF8" w:rsidR="008234F6" w:rsidRDefault="008234F6" w:rsidP="008234F6">
            <w:pPr>
              <w:pStyle w:val="BodyText2"/>
              <w:widowControl w:val="0"/>
              <w:tabs>
                <w:tab w:val="decimal" w:pos="1066"/>
              </w:tabs>
              <w:spacing w:line="240" w:lineRule="atLeast"/>
              <w:ind w:left="-18"/>
              <w:jc w:val="left"/>
              <w:rPr>
                <w:rFonts w:cs="Arial"/>
                <w:sz w:val="18"/>
                <w:szCs w:val="18"/>
              </w:rPr>
            </w:pPr>
            <w:r w:rsidRPr="008234F6">
              <w:rPr>
                <w:rFonts w:cs="Arial"/>
                <w:sz w:val="18"/>
                <w:szCs w:val="18"/>
              </w:rPr>
              <w:t xml:space="preserve"> 72,903,038</w:t>
            </w:r>
          </w:p>
        </w:tc>
        <w:tc>
          <w:tcPr>
            <w:tcW w:w="1382" w:type="dxa"/>
            <w:vAlign w:val="bottom"/>
          </w:tcPr>
          <w:p w14:paraId="141A989C" w14:textId="537014D0" w:rsidR="008234F6" w:rsidRPr="00FF32BF" w:rsidRDefault="008234F6" w:rsidP="008234F6">
            <w:pPr>
              <w:pStyle w:val="BodyText2"/>
              <w:widowControl w:val="0"/>
              <w:tabs>
                <w:tab w:val="decimal" w:pos="1062"/>
              </w:tabs>
              <w:jc w:val="left"/>
              <w:rPr>
                <w:rFonts w:cs="Arial"/>
                <w:sz w:val="18"/>
                <w:szCs w:val="18"/>
              </w:rPr>
            </w:pPr>
            <w:r w:rsidRPr="00FF32BF">
              <w:rPr>
                <w:sz w:val="18"/>
                <w:szCs w:val="18"/>
              </w:rPr>
              <w:t xml:space="preserve"> 72</w:t>
            </w:r>
            <w:r>
              <w:rPr>
                <w:sz w:val="18"/>
                <w:szCs w:val="18"/>
              </w:rPr>
              <w:t>,</w:t>
            </w:r>
            <w:r w:rsidRPr="00FF32BF">
              <w:rPr>
                <w:sz w:val="18"/>
                <w:szCs w:val="18"/>
              </w:rPr>
              <w:t>903</w:t>
            </w:r>
            <w:r>
              <w:rPr>
                <w:sz w:val="18"/>
                <w:szCs w:val="18"/>
              </w:rPr>
              <w:t>,</w:t>
            </w:r>
            <w:r w:rsidRPr="00FF32BF">
              <w:rPr>
                <w:sz w:val="18"/>
                <w:szCs w:val="18"/>
              </w:rPr>
              <w:t xml:space="preserve">038 </w:t>
            </w:r>
          </w:p>
        </w:tc>
        <w:tc>
          <w:tcPr>
            <w:tcW w:w="1382" w:type="dxa"/>
            <w:vAlign w:val="bottom"/>
          </w:tcPr>
          <w:p w14:paraId="5B5D4B66" w14:textId="0294A8C6" w:rsidR="008234F6" w:rsidRDefault="008234F6" w:rsidP="008234F6">
            <w:pPr>
              <w:pStyle w:val="BodyText2"/>
              <w:widowControl w:val="0"/>
              <w:tabs>
                <w:tab w:val="decimal" w:pos="1062"/>
              </w:tabs>
              <w:jc w:val="left"/>
              <w:rPr>
                <w:rFonts w:cs="Arial"/>
                <w:sz w:val="18"/>
                <w:szCs w:val="18"/>
              </w:rPr>
            </w:pPr>
            <w:r w:rsidRPr="00FF32BF">
              <w:rPr>
                <w:sz w:val="18"/>
                <w:szCs w:val="18"/>
              </w:rPr>
              <w:t xml:space="preserve"> 72</w:t>
            </w:r>
            <w:r>
              <w:rPr>
                <w:sz w:val="18"/>
                <w:szCs w:val="18"/>
              </w:rPr>
              <w:t>,</w:t>
            </w:r>
            <w:r w:rsidRPr="00FF32BF">
              <w:rPr>
                <w:sz w:val="18"/>
                <w:szCs w:val="18"/>
              </w:rPr>
              <w:t>903</w:t>
            </w:r>
            <w:r>
              <w:rPr>
                <w:sz w:val="18"/>
                <w:szCs w:val="18"/>
              </w:rPr>
              <w:t>,</w:t>
            </w:r>
            <w:r w:rsidRPr="00FF32BF">
              <w:rPr>
                <w:sz w:val="18"/>
                <w:szCs w:val="18"/>
              </w:rPr>
              <w:t xml:space="preserve">038 </w:t>
            </w:r>
          </w:p>
        </w:tc>
      </w:tr>
      <w:tr w:rsidR="008234F6" w14:paraId="2812CDB8" w14:textId="77777777" w:rsidTr="00FF32BF">
        <w:tblPrEx>
          <w:tblLook w:val="01E0" w:firstRow="1" w:lastRow="1" w:firstColumn="1" w:lastColumn="1" w:noHBand="0" w:noVBand="0"/>
        </w:tblPrEx>
        <w:trPr>
          <w:trHeight w:val="189"/>
        </w:trPr>
        <w:tc>
          <w:tcPr>
            <w:tcW w:w="4395" w:type="dxa"/>
            <w:tcBorders>
              <w:bottom w:val="single" w:sz="12" w:space="0" w:color="auto"/>
            </w:tcBorders>
            <w:vAlign w:val="bottom"/>
          </w:tcPr>
          <w:p w14:paraId="6CD44650" w14:textId="77777777" w:rsidR="008234F6" w:rsidRPr="00B142CB" w:rsidRDefault="008234F6" w:rsidP="008234F6">
            <w:pPr>
              <w:pStyle w:val="BodyText2"/>
              <w:widowControl w:val="0"/>
              <w:spacing w:line="240" w:lineRule="atLeast"/>
              <w:jc w:val="left"/>
              <w:rPr>
                <w:rFonts w:cs="Arial"/>
                <w:color w:val="000000"/>
                <w:sz w:val="18"/>
                <w:szCs w:val="18"/>
              </w:rPr>
            </w:pPr>
            <w:r>
              <w:rPr>
                <w:rFonts w:cs="Arial"/>
                <w:color w:val="000000"/>
                <w:sz w:val="18"/>
                <w:szCs w:val="18"/>
              </w:rPr>
              <w:t>Weighted average number of shares - diluted</w:t>
            </w:r>
          </w:p>
        </w:tc>
        <w:tc>
          <w:tcPr>
            <w:tcW w:w="1382" w:type="dxa"/>
            <w:tcBorders>
              <w:bottom w:val="single" w:sz="12" w:space="0" w:color="auto"/>
            </w:tcBorders>
            <w:vAlign w:val="bottom"/>
          </w:tcPr>
          <w:p w14:paraId="269A5A08" w14:textId="57194B13" w:rsidR="008234F6" w:rsidRPr="006B4896" w:rsidRDefault="008234F6" w:rsidP="00066D43">
            <w:pPr>
              <w:pStyle w:val="BodyText2"/>
              <w:widowControl w:val="0"/>
              <w:tabs>
                <w:tab w:val="decimal" w:pos="1021"/>
              </w:tabs>
              <w:spacing w:line="240" w:lineRule="atLeast"/>
              <w:ind w:left="-18"/>
              <w:jc w:val="left"/>
              <w:rPr>
                <w:rFonts w:cs="Arial"/>
                <w:sz w:val="18"/>
                <w:szCs w:val="18"/>
              </w:rPr>
            </w:pPr>
            <w:r w:rsidRPr="00FF32BF">
              <w:rPr>
                <w:sz w:val="18"/>
                <w:szCs w:val="18"/>
              </w:rPr>
              <w:t xml:space="preserve"> 72</w:t>
            </w:r>
            <w:r>
              <w:rPr>
                <w:sz w:val="18"/>
                <w:szCs w:val="18"/>
              </w:rPr>
              <w:t>,</w:t>
            </w:r>
            <w:r w:rsidRPr="00FF32BF">
              <w:rPr>
                <w:sz w:val="18"/>
                <w:szCs w:val="18"/>
              </w:rPr>
              <w:t>903</w:t>
            </w:r>
            <w:r>
              <w:rPr>
                <w:sz w:val="18"/>
                <w:szCs w:val="18"/>
              </w:rPr>
              <w:t>,</w:t>
            </w:r>
            <w:r w:rsidRPr="00FF32BF">
              <w:rPr>
                <w:sz w:val="18"/>
                <w:szCs w:val="18"/>
              </w:rPr>
              <w:t>038</w:t>
            </w:r>
          </w:p>
        </w:tc>
        <w:tc>
          <w:tcPr>
            <w:tcW w:w="1382" w:type="dxa"/>
            <w:tcBorders>
              <w:bottom w:val="single" w:sz="12" w:space="0" w:color="auto"/>
            </w:tcBorders>
            <w:vAlign w:val="bottom"/>
          </w:tcPr>
          <w:p w14:paraId="0A7CBF33" w14:textId="08459767" w:rsidR="008234F6" w:rsidRPr="006B4896" w:rsidRDefault="008234F6" w:rsidP="008234F6">
            <w:pPr>
              <w:pStyle w:val="BodyText2"/>
              <w:widowControl w:val="0"/>
              <w:tabs>
                <w:tab w:val="decimal" w:pos="1066"/>
              </w:tabs>
              <w:spacing w:line="240" w:lineRule="atLeast"/>
              <w:ind w:left="-18"/>
              <w:jc w:val="left"/>
              <w:rPr>
                <w:rFonts w:cs="Arial"/>
                <w:sz w:val="18"/>
                <w:szCs w:val="18"/>
              </w:rPr>
            </w:pPr>
            <w:r w:rsidRPr="008234F6">
              <w:rPr>
                <w:rFonts w:cs="Arial"/>
                <w:sz w:val="18"/>
                <w:szCs w:val="18"/>
              </w:rPr>
              <w:t xml:space="preserve"> 72,903,038</w:t>
            </w:r>
          </w:p>
        </w:tc>
        <w:tc>
          <w:tcPr>
            <w:tcW w:w="1382" w:type="dxa"/>
            <w:tcBorders>
              <w:bottom w:val="single" w:sz="12" w:space="0" w:color="auto"/>
            </w:tcBorders>
            <w:vAlign w:val="bottom"/>
          </w:tcPr>
          <w:p w14:paraId="6EBFB648" w14:textId="7219A689" w:rsidR="008234F6" w:rsidRPr="00FF32BF" w:rsidRDefault="008234F6" w:rsidP="008234F6">
            <w:pPr>
              <w:pStyle w:val="BodyText2"/>
              <w:widowControl w:val="0"/>
              <w:tabs>
                <w:tab w:val="decimal" w:pos="1062"/>
              </w:tabs>
              <w:jc w:val="left"/>
              <w:rPr>
                <w:rFonts w:cs="Arial"/>
                <w:sz w:val="18"/>
                <w:szCs w:val="18"/>
              </w:rPr>
            </w:pPr>
            <w:r w:rsidRPr="00FF32BF">
              <w:rPr>
                <w:sz w:val="18"/>
                <w:szCs w:val="18"/>
              </w:rPr>
              <w:t>72</w:t>
            </w:r>
            <w:r>
              <w:rPr>
                <w:sz w:val="18"/>
                <w:szCs w:val="18"/>
              </w:rPr>
              <w:t>,</w:t>
            </w:r>
            <w:r w:rsidRPr="00FF32BF">
              <w:rPr>
                <w:sz w:val="18"/>
                <w:szCs w:val="18"/>
              </w:rPr>
              <w:t>903</w:t>
            </w:r>
            <w:r>
              <w:rPr>
                <w:sz w:val="18"/>
                <w:szCs w:val="18"/>
              </w:rPr>
              <w:t>,</w:t>
            </w:r>
            <w:r w:rsidRPr="00FF32BF">
              <w:rPr>
                <w:sz w:val="18"/>
                <w:szCs w:val="18"/>
              </w:rPr>
              <w:t>038</w:t>
            </w:r>
          </w:p>
        </w:tc>
        <w:tc>
          <w:tcPr>
            <w:tcW w:w="1382" w:type="dxa"/>
            <w:tcBorders>
              <w:bottom w:val="single" w:sz="12" w:space="0" w:color="auto"/>
            </w:tcBorders>
            <w:vAlign w:val="bottom"/>
          </w:tcPr>
          <w:p w14:paraId="4BC0CF2F" w14:textId="62EA8BFD" w:rsidR="008234F6" w:rsidRPr="006B4896" w:rsidRDefault="008234F6" w:rsidP="008234F6">
            <w:pPr>
              <w:pStyle w:val="BodyText2"/>
              <w:widowControl w:val="0"/>
              <w:tabs>
                <w:tab w:val="decimal" w:pos="1062"/>
              </w:tabs>
              <w:jc w:val="left"/>
              <w:rPr>
                <w:rFonts w:cs="Arial"/>
                <w:sz w:val="18"/>
                <w:szCs w:val="18"/>
              </w:rPr>
            </w:pPr>
            <w:r w:rsidRPr="00FF32BF">
              <w:rPr>
                <w:sz w:val="18"/>
                <w:szCs w:val="18"/>
              </w:rPr>
              <w:t xml:space="preserve"> 72</w:t>
            </w:r>
            <w:r>
              <w:rPr>
                <w:sz w:val="18"/>
                <w:szCs w:val="18"/>
              </w:rPr>
              <w:t>,</w:t>
            </w:r>
            <w:r w:rsidRPr="00FF32BF">
              <w:rPr>
                <w:sz w:val="18"/>
                <w:szCs w:val="18"/>
              </w:rPr>
              <w:t>903</w:t>
            </w:r>
            <w:r>
              <w:rPr>
                <w:sz w:val="18"/>
                <w:szCs w:val="18"/>
              </w:rPr>
              <w:t>,</w:t>
            </w:r>
            <w:r w:rsidRPr="00FF32BF">
              <w:rPr>
                <w:sz w:val="18"/>
                <w:szCs w:val="18"/>
              </w:rPr>
              <w:t>038</w:t>
            </w:r>
          </w:p>
        </w:tc>
      </w:tr>
    </w:tbl>
    <w:p w14:paraId="54109DC8" w14:textId="600CF9DC" w:rsidR="004E5EFF" w:rsidRDefault="004E5EFF" w:rsidP="005370AC">
      <w:pPr>
        <w:pStyle w:val="BodyTextIndent"/>
        <w:widowControl w:val="0"/>
        <w:spacing w:before="40" w:after="0"/>
        <w:ind w:left="432" w:hanging="288"/>
        <w:jc w:val="both"/>
        <w:rPr>
          <w:rFonts w:cs="Arial"/>
          <w:sz w:val="16"/>
          <w:szCs w:val="16"/>
        </w:rPr>
      </w:pPr>
      <w:r>
        <w:rPr>
          <w:rFonts w:cs="Arial"/>
          <w:sz w:val="21"/>
          <w:szCs w:val="21"/>
          <w:vertAlign w:val="superscript"/>
        </w:rPr>
        <w:t>(</w:t>
      </w:r>
      <w:r w:rsidR="00AE6A6C">
        <w:rPr>
          <w:rFonts w:cs="Arial"/>
          <w:sz w:val="21"/>
          <w:szCs w:val="21"/>
          <w:vertAlign w:val="superscript"/>
        </w:rPr>
        <w:t>1</w:t>
      </w:r>
      <w:r>
        <w:rPr>
          <w:rFonts w:cs="Arial"/>
          <w:sz w:val="21"/>
          <w:szCs w:val="21"/>
          <w:vertAlign w:val="superscript"/>
        </w:rPr>
        <w:t>)</w:t>
      </w:r>
      <w:r>
        <w:rPr>
          <w:rFonts w:cs="Arial"/>
          <w:sz w:val="16"/>
          <w:szCs w:val="16"/>
        </w:rPr>
        <w:t xml:space="preserve">  All per share figures are based on the basic weighted average number of shares outstanding in the period.  The effect of options is anti-dilutive</w:t>
      </w:r>
      <w:r w:rsidR="000D299A">
        <w:rPr>
          <w:rFonts w:cs="Arial"/>
          <w:sz w:val="16"/>
          <w:szCs w:val="16"/>
        </w:rPr>
        <w:t xml:space="preserve"> in loss periods</w:t>
      </w:r>
      <w:r>
        <w:rPr>
          <w:rFonts w:cs="Arial"/>
          <w:sz w:val="16"/>
          <w:szCs w:val="16"/>
        </w:rPr>
        <w:t>.  Per share amounts may not add due to rounding.</w:t>
      </w:r>
    </w:p>
    <w:p w14:paraId="685D3190" w14:textId="0FAF97C1" w:rsidR="00FE6A82" w:rsidRDefault="004E5EFF" w:rsidP="000D798B">
      <w:pPr>
        <w:pStyle w:val="BodyTextIndent"/>
        <w:widowControl w:val="0"/>
        <w:spacing w:after="0"/>
        <w:ind w:left="432" w:hanging="288"/>
        <w:jc w:val="both"/>
        <w:rPr>
          <w:rFonts w:cs="Arial"/>
          <w:sz w:val="16"/>
          <w:szCs w:val="16"/>
        </w:rPr>
      </w:pPr>
      <w:r>
        <w:rPr>
          <w:rFonts w:cs="Arial"/>
          <w:sz w:val="21"/>
          <w:szCs w:val="21"/>
          <w:vertAlign w:val="superscript"/>
        </w:rPr>
        <w:t>(</w:t>
      </w:r>
      <w:r w:rsidR="00AE6A6C">
        <w:rPr>
          <w:rFonts w:cs="Arial"/>
          <w:sz w:val="21"/>
          <w:szCs w:val="21"/>
          <w:vertAlign w:val="superscript"/>
        </w:rPr>
        <w:t>2</w:t>
      </w:r>
      <w:r>
        <w:rPr>
          <w:rFonts w:cs="Arial"/>
          <w:sz w:val="21"/>
          <w:szCs w:val="21"/>
          <w:vertAlign w:val="superscript"/>
        </w:rPr>
        <w:t xml:space="preserve">) </w:t>
      </w:r>
      <w:r>
        <w:rPr>
          <w:rFonts w:cs="Arial"/>
          <w:sz w:val="16"/>
          <w:szCs w:val="16"/>
        </w:rPr>
        <w:t xml:space="preserve"> "Working capital" is a capital management measure. "Non-current financial liabilities" is a supplemental financial measure. "Net cash per share – operating activities" is a supplemental financial measure.  "Funds flow per share – operating activities" is a supplemental financial measure.  See "Non-IFRS and Other Financial Measures" for additional disclosures. </w:t>
      </w:r>
    </w:p>
    <w:p w14:paraId="5E5D7C3C" w14:textId="5EB13C23" w:rsidR="00FE6A82" w:rsidRDefault="00FE6A82">
      <w:pPr>
        <w:rPr>
          <w:rFonts w:cs="Arial"/>
          <w:sz w:val="16"/>
          <w:szCs w:val="16"/>
        </w:rPr>
      </w:pPr>
    </w:p>
    <w:p w14:paraId="47FBDBCE" w14:textId="7D1FF8DE" w:rsidR="00EA0D32" w:rsidRDefault="00EA0D32" w:rsidP="000D798B">
      <w:pPr>
        <w:pStyle w:val="BodyTextIndent"/>
        <w:widowControl w:val="0"/>
        <w:spacing w:after="0"/>
        <w:ind w:left="432" w:hanging="288"/>
        <w:jc w:val="both"/>
        <w:rPr>
          <w:rFonts w:cs="Arial"/>
          <w:sz w:val="16"/>
          <w:szCs w:val="16"/>
        </w:rPr>
      </w:pPr>
      <w:r w:rsidRPr="00EA0D32">
        <w:rPr>
          <w:rFonts w:cs="Arial"/>
          <w:sz w:val="21"/>
          <w:szCs w:val="21"/>
          <w:vertAlign w:val="superscript"/>
        </w:rPr>
        <w:lastRenderedPageBreak/>
        <w:t>(3)</w:t>
      </w:r>
      <w:r>
        <w:rPr>
          <w:rFonts w:cs="Arial"/>
          <w:sz w:val="16"/>
          <w:szCs w:val="16"/>
        </w:rPr>
        <w:t xml:space="preserve"> Non-current liabilities:</w:t>
      </w: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4"/>
        <w:gridCol w:w="1372"/>
        <w:gridCol w:w="1372"/>
        <w:gridCol w:w="1372"/>
        <w:gridCol w:w="1372"/>
        <w:gridCol w:w="1373"/>
      </w:tblGrid>
      <w:tr w:rsidR="00E3631F" w14:paraId="105B9853" w14:textId="77777777" w:rsidTr="000E08C5">
        <w:tc>
          <w:tcPr>
            <w:tcW w:w="1644" w:type="dxa"/>
            <w:tcBorders>
              <w:bottom w:val="single" w:sz="4" w:space="0" w:color="auto"/>
            </w:tcBorders>
            <w:vAlign w:val="center"/>
          </w:tcPr>
          <w:p w14:paraId="609CF3B9" w14:textId="77777777" w:rsidR="00E3631F" w:rsidRDefault="00E3631F">
            <w:pPr>
              <w:pStyle w:val="BodyTextIndent"/>
              <w:widowControl w:val="0"/>
              <w:spacing w:after="0"/>
              <w:ind w:left="0"/>
              <w:rPr>
                <w:rFonts w:cs="Arial"/>
                <w:sz w:val="16"/>
                <w:szCs w:val="16"/>
              </w:rPr>
            </w:pPr>
            <w:r>
              <w:rPr>
                <w:rFonts w:cs="Arial"/>
                <w:sz w:val="16"/>
                <w:szCs w:val="16"/>
              </w:rPr>
              <w:t>Financial liabilities</w:t>
            </w:r>
          </w:p>
        </w:tc>
        <w:tc>
          <w:tcPr>
            <w:tcW w:w="1372" w:type="dxa"/>
            <w:tcBorders>
              <w:bottom w:val="single" w:sz="4" w:space="0" w:color="auto"/>
            </w:tcBorders>
            <w:vAlign w:val="bottom"/>
          </w:tcPr>
          <w:p w14:paraId="003EDBA0" w14:textId="4B20CB96" w:rsidR="00E3631F" w:rsidRDefault="00E3631F" w:rsidP="00421B6D">
            <w:pPr>
              <w:pStyle w:val="BodyTextIndent"/>
              <w:widowControl w:val="0"/>
              <w:tabs>
                <w:tab w:val="left" w:pos="1095"/>
              </w:tabs>
              <w:spacing w:after="0"/>
              <w:ind w:left="0"/>
              <w:jc w:val="center"/>
              <w:rPr>
                <w:rFonts w:cs="Arial"/>
                <w:sz w:val="16"/>
                <w:szCs w:val="16"/>
              </w:rPr>
            </w:pPr>
            <w:r>
              <w:rPr>
                <w:rFonts w:cs="Arial"/>
                <w:sz w:val="16"/>
                <w:szCs w:val="16"/>
              </w:rPr>
              <w:t>Trade and other payables</w:t>
            </w:r>
            <w:r w:rsidR="00421B6D">
              <w:rPr>
                <w:rFonts w:cs="Arial"/>
                <w:sz w:val="16"/>
                <w:szCs w:val="16"/>
              </w:rPr>
              <w:t xml:space="preserve"> </w:t>
            </w:r>
            <w:r w:rsidR="00421B6D">
              <w:rPr>
                <w:rFonts w:cs="Arial"/>
                <w:vertAlign w:val="superscript"/>
              </w:rPr>
              <w:t>(a)</w:t>
            </w:r>
          </w:p>
        </w:tc>
        <w:tc>
          <w:tcPr>
            <w:tcW w:w="1372" w:type="dxa"/>
            <w:tcBorders>
              <w:bottom w:val="single" w:sz="4" w:space="0" w:color="auto"/>
            </w:tcBorders>
            <w:vAlign w:val="bottom"/>
          </w:tcPr>
          <w:p w14:paraId="067C2D52" w14:textId="77777777" w:rsidR="00E3631F" w:rsidRDefault="00E3631F">
            <w:pPr>
              <w:pStyle w:val="BodyTextIndent"/>
              <w:widowControl w:val="0"/>
              <w:spacing w:after="0"/>
              <w:ind w:left="0"/>
              <w:jc w:val="center"/>
              <w:rPr>
                <w:rFonts w:cs="Arial"/>
                <w:sz w:val="16"/>
                <w:szCs w:val="16"/>
              </w:rPr>
            </w:pPr>
            <w:r>
              <w:rPr>
                <w:rFonts w:cs="Arial"/>
                <w:sz w:val="16"/>
                <w:szCs w:val="16"/>
              </w:rPr>
              <w:t>Loans</w:t>
            </w:r>
          </w:p>
        </w:tc>
        <w:tc>
          <w:tcPr>
            <w:tcW w:w="1372" w:type="dxa"/>
            <w:tcBorders>
              <w:bottom w:val="single" w:sz="4" w:space="0" w:color="auto"/>
            </w:tcBorders>
            <w:vAlign w:val="bottom"/>
          </w:tcPr>
          <w:p w14:paraId="64E34C00" w14:textId="77777777" w:rsidR="00E3631F" w:rsidRDefault="00E3631F">
            <w:pPr>
              <w:pStyle w:val="BodyTextIndent"/>
              <w:widowControl w:val="0"/>
              <w:spacing w:after="0"/>
              <w:ind w:left="0"/>
              <w:jc w:val="center"/>
              <w:rPr>
                <w:rFonts w:cs="Arial"/>
                <w:sz w:val="16"/>
                <w:szCs w:val="16"/>
              </w:rPr>
            </w:pPr>
            <w:r>
              <w:rPr>
                <w:rFonts w:cs="Arial"/>
                <w:sz w:val="16"/>
                <w:szCs w:val="16"/>
              </w:rPr>
              <w:t>Notes payable</w:t>
            </w:r>
          </w:p>
        </w:tc>
        <w:tc>
          <w:tcPr>
            <w:tcW w:w="1372" w:type="dxa"/>
            <w:tcBorders>
              <w:bottom w:val="single" w:sz="4" w:space="0" w:color="auto"/>
            </w:tcBorders>
            <w:vAlign w:val="bottom"/>
          </w:tcPr>
          <w:p w14:paraId="7EE78076" w14:textId="77777777" w:rsidR="00E3631F" w:rsidRDefault="00E3631F">
            <w:pPr>
              <w:pStyle w:val="BodyTextIndent"/>
              <w:widowControl w:val="0"/>
              <w:spacing w:after="0"/>
              <w:ind w:left="0"/>
              <w:jc w:val="center"/>
              <w:rPr>
                <w:rFonts w:cs="Arial"/>
                <w:sz w:val="16"/>
                <w:szCs w:val="16"/>
              </w:rPr>
            </w:pPr>
            <w:r>
              <w:rPr>
                <w:rFonts w:cs="Arial"/>
                <w:sz w:val="16"/>
                <w:szCs w:val="16"/>
              </w:rPr>
              <w:t>Lease liabilities</w:t>
            </w:r>
          </w:p>
        </w:tc>
        <w:tc>
          <w:tcPr>
            <w:tcW w:w="1373" w:type="dxa"/>
            <w:tcBorders>
              <w:bottom w:val="single" w:sz="4" w:space="0" w:color="auto"/>
            </w:tcBorders>
            <w:vAlign w:val="bottom"/>
          </w:tcPr>
          <w:p w14:paraId="12382E79" w14:textId="77777777" w:rsidR="00E3631F" w:rsidRDefault="00E3631F">
            <w:pPr>
              <w:pStyle w:val="BodyTextIndent"/>
              <w:widowControl w:val="0"/>
              <w:spacing w:after="0"/>
              <w:ind w:left="0"/>
              <w:jc w:val="center"/>
              <w:rPr>
                <w:rFonts w:cs="Arial"/>
                <w:sz w:val="16"/>
                <w:szCs w:val="16"/>
              </w:rPr>
            </w:pPr>
            <w:r>
              <w:rPr>
                <w:rFonts w:cs="Arial"/>
                <w:sz w:val="16"/>
                <w:szCs w:val="16"/>
              </w:rPr>
              <w:t>Total</w:t>
            </w:r>
          </w:p>
        </w:tc>
      </w:tr>
      <w:tr w:rsidR="00E3631F" w14:paraId="5E820D49" w14:textId="77777777" w:rsidTr="000E08C5">
        <w:tc>
          <w:tcPr>
            <w:tcW w:w="1644" w:type="dxa"/>
            <w:tcBorders>
              <w:top w:val="single" w:sz="4" w:space="0" w:color="auto"/>
            </w:tcBorders>
          </w:tcPr>
          <w:p w14:paraId="24EF5CC1" w14:textId="33B17D9A" w:rsidR="00E3631F" w:rsidRDefault="00E91EF5" w:rsidP="007804C3">
            <w:pPr>
              <w:pStyle w:val="BodyTextIndent"/>
              <w:widowControl w:val="0"/>
              <w:spacing w:after="0"/>
              <w:ind w:left="0"/>
              <w:jc w:val="both"/>
              <w:rPr>
                <w:rFonts w:cs="Arial"/>
                <w:sz w:val="16"/>
                <w:szCs w:val="16"/>
              </w:rPr>
            </w:pPr>
            <w:r>
              <w:rPr>
                <w:rFonts w:cs="Arial"/>
                <w:sz w:val="16"/>
                <w:szCs w:val="16"/>
              </w:rPr>
              <w:t>June 30, 2026</w:t>
            </w:r>
          </w:p>
        </w:tc>
        <w:tc>
          <w:tcPr>
            <w:tcW w:w="1372" w:type="dxa"/>
            <w:tcBorders>
              <w:top w:val="single" w:sz="4" w:space="0" w:color="auto"/>
            </w:tcBorders>
          </w:tcPr>
          <w:p w14:paraId="0DC61F39" w14:textId="40D1E800" w:rsidR="00E3631F" w:rsidRDefault="00E3631F" w:rsidP="007804C3">
            <w:pPr>
              <w:pStyle w:val="BodyTextIndent"/>
              <w:widowControl w:val="0"/>
              <w:spacing w:after="0"/>
              <w:ind w:left="0"/>
              <w:jc w:val="both"/>
              <w:rPr>
                <w:rFonts w:cs="Arial"/>
                <w:sz w:val="16"/>
                <w:szCs w:val="16"/>
              </w:rPr>
            </w:pPr>
          </w:p>
        </w:tc>
        <w:tc>
          <w:tcPr>
            <w:tcW w:w="1372" w:type="dxa"/>
            <w:tcBorders>
              <w:top w:val="single" w:sz="4" w:space="0" w:color="auto"/>
            </w:tcBorders>
          </w:tcPr>
          <w:p w14:paraId="04A88FA6" w14:textId="77777777" w:rsidR="00E3631F" w:rsidRDefault="00E3631F" w:rsidP="007804C3">
            <w:pPr>
              <w:pStyle w:val="BodyTextIndent"/>
              <w:widowControl w:val="0"/>
              <w:spacing w:after="0"/>
              <w:ind w:left="0"/>
              <w:jc w:val="both"/>
              <w:rPr>
                <w:rFonts w:cs="Arial"/>
                <w:sz w:val="16"/>
                <w:szCs w:val="16"/>
              </w:rPr>
            </w:pPr>
          </w:p>
        </w:tc>
        <w:tc>
          <w:tcPr>
            <w:tcW w:w="1372" w:type="dxa"/>
            <w:tcBorders>
              <w:top w:val="single" w:sz="4" w:space="0" w:color="auto"/>
            </w:tcBorders>
          </w:tcPr>
          <w:p w14:paraId="519B80C9" w14:textId="77777777" w:rsidR="00E3631F" w:rsidRDefault="00E3631F" w:rsidP="007804C3">
            <w:pPr>
              <w:pStyle w:val="BodyTextIndent"/>
              <w:widowControl w:val="0"/>
              <w:spacing w:after="0"/>
              <w:ind w:left="0"/>
              <w:jc w:val="both"/>
              <w:rPr>
                <w:rFonts w:cs="Arial"/>
                <w:sz w:val="16"/>
                <w:szCs w:val="16"/>
              </w:rPr>
            </w:pPr>
          </w:p>
        </w:tc>
        <w:tc>
          <w:tcPr>
            <w:tcW w:w="1372" w:type="dxa"/>
            <w:tcBorders>
              <w:top w:val="single" w:sz="4" w:space="0" w:color="auto"/>
            </w:tcBorders>
          </w:tcPr>
          <w:p w14:paraId="55A882AC" w14:textId="77777777" w:rsidR="00E3631F" w:rsidRDefault="00E3631F" w:rsidP="007804C3">
            <w:pPr>
              <w:pStyle w:val="BodyTextIndent"/>
              <w:widowControl w:val="0"/>
              <w:spacing w:after="0"/>
              <w:ind w:left="0"/>
              <w:jc w:val="both"/>
              <w:rPr>
                <w:rFonts w:cs="Arial"/>
                <w:sz w:val="16"/>
                <w:szCs w:val="16"/>
              </w:rPr>
            </w:pPr>
          </w:p>
        </w:tc>
        <w:tc>
          <w:tcPr>
            <w:tcW w:w="1373" w:type="dxa"/>
            <w:tcBorders>
              <w:top w:val="single" w:sz="4" w:space="0" w:color="auto"/>
            </w:tcBorders>
          </w:tcPr>
          <w:p w14:paraId="3CA9F0A7" w14:textId="77777777" w:rsidR="00E3631F" w:rsidRDefault="00E3631F" w:rsidP="007804C3">
            <w:pPr>
              <w:pStyle w:val="BodyTextIndent"/>
              <w:widowControl w:val="0"/>
              <w:spacing w:after="0"/>
              <w:ind w:left="0"/>
              <w:jc w:val="both"/>
              <w:rPr>
                <w:rFonts w:cs="Arial"/>
                <w:sz w:val="16"/>
                <w:szCs w:val="16"/>
              </w:rPr>
            </w:pPr>
          </w:p>
        </w:tc>
      </w:tr>
      <w:tr w:rsidR="00E3631F" w14:paraId="3511A5EB" w14:textId="77777777" w:rsidTr="000E08C5">
        <w:tc>
          <w:tcPr>
            <w:tcW w:w="1644" w:type="dxa"/>
          </w:tcPr>
          <w:p w14:paraId="3E448276" w14:textId="77777777" w:rsidR="00E3631F" w:rsidRDefault="00E3631F" w:rsidP="00E3631F">
            <w:pPr>
              <w:pStyle w:val="BodyTextIndent"/>
              <w:widowControl w:val="0"/>
              <w:spacing w:after="0"/>
              <w:ind w:left="169"/>
              <w:jc w:val="both"/>
              <w:rPr>
                <w:rFonts w:cs="Arial"/>
                <w:sz w:val="16"/>
                <w:szCs w:val="16"/>
              </w:rPr>
            </w:pPr>
            <w:r>
              <w:rPr>
                <w:rFonts w:cs="Arial"/>
                <w:sz w:val="16"/>
                <w:szCs w:val="16"/>
              </w:rPr>
              <w:t>Current</w:t>
            </w:r>
          </w:p>
        </w:tc>
        <w:tc>
          <w:tcPr>
            <w:tcW w:w="1372" w:type="dxa"/>
            <w:vAlign w:val="bottom"/>
          </w:tcPr>
          <w:p w14:paraId="654DB3A5" w14:textId="5519A1E0" w:rsidR="00E3631F" w:rsidRDefault="006445C9" w:rsidP="00E3631F">
            <w:pPr>
              <w:pStyle w:val="BodyTextIndent"/>
              <w:widowControl w:val="0"/>
              <w:spacing w:after="0"/>
              <w:ind w:left="0"/>
              <w:jc w:val="right"/>
              <w:rPr>
                <w:rFonts w:cs="Arial"/>
                <w:sz w:val="16"/>
                <w:szCs w:val="16"/>
              </w:rPr>
            </w:pPr>
            <w:r>
              <w:rPr>
                <w:rFonts w:cs="Arial"/>
                <w:sz w:val="16"/>
                <w:szCs w:val="16"/>
              </w:rPr>
              <w:t>41,089,884</w:t>
            </w:r>
          </w:p>
        </w:tc>
        <w:tc>
          <w:tcPr>
            <w:tcW w:w="1372" w:type="dxa"/>
            <w:vAlign w:val="bottom"/>
          </w:tcPr>
          <w:p w14:paraId="70F1A56B" w14:textId="3970DE5C" w:rsidR="00E3631F" w:rsidRDefault="00B068B2" w:rsidP="00E3631F">
            <w:pPr>
              <w:pStyle w:val="BodyTextIndent"/>
              <w:widowControl w:val="0"/>
              <w:spacing w:after="0"/>
              <w:ind w:left="0"/>
              <w:jc w:val="right"/>
              <w:rPr>
                <w:rFonts w:cs="Arial"/>
                <w:sz w:val="16"/>
                <w:szCs w:val="16"/>
              </w:rPr>
            </w:pPr>
            <w:r>
              <w:rPr>
                <w:rFonts w:cs="Arial"/>
                <w:sz w:val="16"/>
                <w:szCs w:val="16"/>
              </w:rPr>
              <w:t>29,552,863</w:t>
            </w:r>
          </w:p>
        </w:tc>
        <w:tc>
          <w:tcPr>
            <w:tcW w:w="1372" w:type="dxa"/>
            <w:vAlign w:val="bottom"/>
          </w:tcPr>
          <w:p w14:paraId="0163E9F8" w14:textId="5477B6A6" w:rsidR="00E3631F" w:rsidRDefault="00B068B2" w:rsidP="00E3631F">
            <w:pPr>
              <w:pStyle w:val="BodyTextIndent"/>
              <w:widowControl w:val="0"/>
              <w:spacing w:after="0"/>
              <w:ind w:left="0"/>
              <w:jc w:val="right"/>
              <w:rPr>
                <w:rFonts w:cs="Arial"/>
                <w:sz w:val="16"/>
                <w:szCs w:val="16"/>
              </w:rPr>
            </w:pPr>
            <w:r>
              <w:rPr>
                <w:rFonts w:cs="Arial"/>
                <w:sz w:val="16"/>
                <w:szCs w:val="16"/>
              </w:rPr>
              <w:t>38,250,460</w:t>
            </w:r>
          </w:p>
        </w:tc>
        <w:tc>
          <w:tcPr>
            <w:tcW w:w="1372" w:type="dxa"/>
            <w:vAlign w:val="bottom"/>
          </w:tcPr>
          <w:p w14:paraId="71137860" w14:textId="2291138D" w:rsidR="00E3631F" w:rsidRDefault="00B068B2" w:rsidP="00E3631F">
            <w:pPr>
              <w:pStyle w:val="BodyTextIndent"/>
              <w:widowControl w:val="0"/>
              <w:spacing w:after="0"/>
              <w:ind w:left="0"/>
              <w:jc w:val="right"/>
              <w:rPr>
                <w:rFonts w:cs="Arial"/>
                <w:sz w:val="16"/>
                <w:szCs w:val="16"/>
              </w:rPr>
            </w:pPr>
            <w:r>
              <w:rPr>
                <w:rFonts w:cs="Arial"/>
                <w:sz w:val="16"/>
                <w:szCs w:val="16"/>
              </w:rPr>
              <w:t>353,132</w:t>
            </w:r>
          </w:p>
        </w:tc>
        <w:tc>
          <w:tcPr>
            <w:tcW w:w="1373" w:type="dxa"/>
            <w:vAlign w:val="bottom"/>
          </w:tcPr>
          <w:p w14:paraId="12FDFE4E" w14:textId="1C579395" w:rsidR="00E3631F" w:rsidRDefault="006445C9" w:rsidP="00B068B2">
            <w:pPr>
              <w:pStyle w:val="BodyTextIndent"/>
              <w:widowControl w:val="0"/>
              <w:spacing w:after="0"/>
              <w:ind w:left="0"/>
              <w:jc w:val="right"/>
              <w:rPr>
                <w:rFonts w:cs="Arial"/>
                <w:sz w:val="16"/>
                <w:szCs w:val="16"/>
              </w:rPr>
            </w:pPr>
            <w:r>
              <w:rPr>
                <w:rFonts w:cs="Arial"/>
                <w:sz w:val="16"/>
                <w:szCs w:val="16"/>
              </w:rPr>
              <w:t>109,246,339</w:t>
            </w:r>
          </w:p>
        </w:tc>
      </w:tr>
      <w:tr w:rsidR="00E3631F" w14:paraId="19371AA5" w14:textId="77777777" w:rsidTr="000E08C5">
        <w:tc>
          <w:tcPr>
            <w:tcW w:w="1644" w:type="dxa"/>
            <w:tcBorders>
              <w:bottom w:val="single" w:sz="4" w:space="0" w:color="auto"/>
            </w:tcBorders>
          </w:tcPr>
          <w:p w14:paraId="0116E8F7" w14:textId="0D5CB647" w:rsidR="00E3631F" w:rsidRDefault="00421B6D" w:rsidP="00421B6D">
            <w:pPr>
              <w:pStyle w:val="BodyTextIndent"/>
              <w:widowControl w:val="0"/>
              <w:spacing w:after="0"/>
              <w:ind w:left="0"/>
              <w:jc w:val="both"/>
              <w:rPr>
                <w:rFonts w:cs="Arial"/>
                <w:sz w:val="16"/>
                <w:szCs w:val="16"/>
              </w:rPr>
            </w:pPr>
            <w:r>
              <w:rPr>
                <w:rFonts w:cs="Arial"/>
                <w:sz w:val="16"/>
                <w:szCs w:val="16"/>
              </w:rPr>
              <w:t xml:space="preserve">    Non-current</w:t>
            </w:r>
          </w:p>
        </w:tc>
        <w:tc>
          <w:tcPr>
            <w:tcW w:w="1372" w:type="dxa"/>
            <w:tcBorders>
              <w:bottom w:val="single" w:sz="4" w:space="0" w:color="auto"/>
            </w:tcBorders>
            <w:vAlign w:val="bottom"/>
          </w:tcPr>
          <w:p w14:paraId="66F3EEDF" w14:textId="20B1415F" w:rsidR="00E3631F" w:rsidRDefault="00B068B2" w:rsidP="00E3631F">
            <w:pPr>
              <w:pStyle w:val="BodyTextIndent"/>
              <w:widowControl w:val="0"/>
              <w:spacing w:after="0"/>
              <w:ind w:left="0"/>
              <w:jc w:val="right"/>
              <w:rPr>
                <w:rFonts w:cs="Arial"/>
                <w:sz w:val="16"/>
                <w:szCs w:val="16"/>
              </w:rPr>
            </w:pPr>
            <w:r>
              <w:rPr>
                <w:rFonts w:cs="Arial"/>
                <w:sz w:val="16"/>
                <w:szCs w:val="16"/>
              </w:rPr>
              <w:t>2,629,497</w:t>
            </w:r>
          </w:p>
        </w:tc>
        <w:tc>
          <w:tcPr>
            <w:tcW w:w="1372" w:type="dxa"/>
            <w:tcBorders>
              <w:bottom w:val="single" w:sz="4" w:space="0" w:color="auto"/>
            </w:tcBorders>
            <w:vAlign w:val="bottom"/>
          </w:tcPr>
          <w:p w14:paraId="371FC21F" w14:textId="6F180EBF" w:rsidR="00E3631F" w:rsidRDefault="00B068B2" w:rsidP="00E3631F">
            <w:pPr>
              <w:pStyle w:val="BodyTextIndent"/>
              <w:widowControl w:val="0"/>
              <w:spacing w:after="0"/>
              <w:ind w:left="0"/>
              <w:jc w:val="right"/>
              <w:rPr>
                <w:rFonts w:cs="Arial"/>
                <w:sz w:val="16"/>
                <w:szCs w:val="16"/>
              </w:rPr>
            </w:pPr>
            <w:r>
              <w:rPr>
                <w:rFonts w:cs="Arial"/>
                <w:sz w:val="16"/>
                <w:szCs w:val="16"/>
              </w:rPr>
              <w:t>30,313,514</w:t>
            </w:r>
          </w:p>
        </w:tc>
        <w:tc>
          <w:tcPr>
            <w:tcW w:w="1372" w:type="dxa"/>
            <w:tcBorders>
              <w:bottom w:val="single" w:sz="4" w:space="0" w:color="auto"/>
            </w:tcBorders>
            <w:vAlign w:val="bottom"/>
          </w:tcPr>
          <w:p w14:paraId="5866EDC9" w14:textId="6BF8118F" w:rsidR="00E3631F" w:rsidRDefault="00B068B2" w:rsidP="00E3631F">
            <w:pPr>
              <w:pStyle w:val="BodyTextIndent"/>
              <w:widowControl w:val="0"/>
              <w:spacing w:after="0"/>
              <w:ind w:left="0"/>
              <w:jc w:val="right"/>
              <w:rPr>
                <w:rFonts w:cs="Arial"/>
                <w:sz w:val="16"/>
                <w:szCs w:val="16"/>
              </w:rPr>
            </w:pPr>
            <w:r>
              <w:rPr>
                <w:rFonts w:cs="Arial"/>
                <w:sz w:val="16"/>
                <w:szCs w:val="16"/>
              </w:rPr>
              <w:t>40,667,907</w:t>
            </w:r>
          </w:p>
        </w:tc>
        <w:tc>
          <w:tcPr>
            <w:tcW w:w="1372" w:type="dxa"/>
            <w:tcBorders>
              <w:bottom w:val="single" w:sz="4" w:space="0" w:color="auto"/>
            </w:tcBorders>
            <w:vAlign w:val="bottom"/>
          </w:tcPr>
          <w:p w14:paraId="7FBD1FA4" w14:textId="33968AD2" w:rsidR="00E3631F" w:rsidRDefault="00B068B2" w:rsidP="00E3631F">
            <w:pPr>
              <w:pStyle w:val="BodyTextIndent"/>
              <w:widowControl w:val="0"/>
              <w:spacing w:after="0"/>
              <w:ind w:left="0"/>
              <w:jc w:val="right"/>
              <w:rPr>
                <w:rFonts w:cs="Arial"/>
                <w:sz w:val="16"/>
                <w:szCs w:val="16"/>
              </w:rPr>
            </w:pPr>
            <w:r>
              <w:rPr>
                <w:rFonts w:cs="Arial"/>
                <w:sz w:val="16"/>
                <w:szCs w:val="16"/>
              </w:rPr>
              <w:t>14,934</w:t>
            </w:r>
          </w:p>
        </w:tc>
        <w:tc>
          <w:tcPr>
            <w:tcW w:w="1373" w:type="dxa"/>
            <w:tcBorders>
              <w:bottom w:val="single" w:sz="4" w:space="0" w:color="auto"/>
            </w:tcBorders>
            <w:vAlign w:val="bottom"/>
          </w:tcPr>
          <w:p w14:paraId="1573DECD" w14:textId="2694FB73" w:rsidR="00E3631F" w:rsidRDefault="00B068B2" w:rsidP="00B068B2">
            <w:pPr>
              <w:pStyle w:val="BodyTextIndent"/>
              <w:widowControl w:val="0"/>
              <w:spacing w:after="0"/>
              <w:ind w:left="0"/>
              <w:jc w:val="right"/>
              <w:rPr>
                <w:rFonts w:cs="Arial"/>
                <w:sz w:val="16"/>
                <w:szCs w:val="16"/>
              </w:rPr>
            </w:pPr>
            <w:r>
              <w:rPr>
                <w:rFonts w:cs="Arial"/>
                <w:sz w:val="16"/>
                <w:szCs w:val="16"/>
              </w:rPr>
              <w:t>73,625,852</w:t>
            </w:r>
          </w:p>
        </w:tc>
      </w:tr>
      <w:tr w:rsidR="00E3631F" w14:paraId="5839D5CA" w14:textId="77777777" w:rsidTr="000E08C5">
        <w:tc>
          <w:tcPr>
            <w:tcW w:w="1644" w:type="dxa"/>
            <w:tcBorders>
              <w:top w:val="single" w:sz="4" w:space="0" w:color="auto"/>
              <w:bottom w:val="single" w:sz="4" w:space="0" w:color="auto"/>
            </w:tcBorders>
          </w:tcPr>
          <w:p w14:paraId="7205D9F2" w14:textId="77777777" w:rsidR="00E3631F" w:rsidRDefault="00E3631F" w:rsidP="00E3631F">
            <w:pPr>
              <w:pStyle w:val="BodyTextIndent"/>
              <w:widowControl w:val="0"/>
              <w:spacing w:after="0"/>
              <w:ind w:left="169"/>
              <w:jc w:val="both"/>
              <w:rPr>
                <w:rFonts w:cs="Arial"/>
                <w:sz w:val="16"/>
                <w:szCs w:val="16"/>
              </w:rPr>
            </w:pPr>
            <w:r>
              <w:rPr>
                <w:rFonts w:cs="Arial"/>
                <w:sz w:val="16"/>
                <w:szCs w:val="16"/>
              </w:rPr>
              <w:t>Total</w:t>
            </w:r>
          </w:p>
        </w:tc>
        <w:tc>
          <w:tcPr>
            <w:tcW w:w="1372" w:type="dxa"/>
            <w:tcBorders>
              <w:top w:val="single" w:sz="4" w:space="0" w:color="auto"/>
              <w:bottom w:val="single" w:sz="4" w:space="0" w:color="auto"/>
            </w:tcBorders>
            <w:vAlign w:val="bottom"/>
          </w:tcPr>
          <w:p w14:paraId="658706FB" w14:textId="694B720E" w:rsidR="00E3631F" w:rsidRDefault="00B068B2" w:rsidP="00E3631F">
            <w:pPr>
              <w:pStyle w:val="BodyTextIndent"/>
              <w:widowControl w:val="0"/>
              <w:spacing w:after="0"/>
              <w:ind w:left="0"/>
              <w:jc w:val="right"/>
              <w:rPr>
                <w:rFonts w:cs="Arial"/>
                <w:sz w:val="16"/>
                <w:szCs w:val="16"/>
              </w:rPr>
            </w:pPr>
            <w:r>
              <w:rPr>
                <w:rFonts w:cs="Arial"/>
                <w:sz w:val="16"/>
                <w:szCs w:val="16"/>
              </w:rPr>
              <w:t>4</w:t>
            </w:r>
            <w:r w:rsidR="006445C9">
              <w:rPr>
                <w:rFonts w:cs="Arial"/>
                <w:sz w:val="16"/>
                <w:szCs w:val="16"/>
              </w:rPr>
              <w:t>3,719,381</w:t>
            </w:r>
          </w:p>
        </w:tc>
        <w:tc>
          <w:tcPr>
            <w:tcW w:w="1372" w:type="dxa"/>
            <w:tcBorders>
              <w:top w:val="single" w:sz="4" w:space="0" w:color="auto"/>
              <w:bottom w:val="single" w:sz="4" w:space="0" w:color="auto"/>
            </w:tcBorders>
            <w:vAlign w:val="bottom"/>
          </w:tcPr>
          <w:p w14:paraId="0823C4F2" w14:textId="1CE3CE87" w:rsidR="00E3631F" w:rsidRDefault="00B068B2" w:rsidP="00E3631F">
            <w:pPr>
              <w:pStyle w:val="BodyTextIndent"/>
              <w:widowControl w:val="0"/>
              <w:spacing w:after="0"/>
              <w:ind w:left="0"/>
              <w:jc w:val="right"/>
              <w:rPr>
                <w:rFonts w:cs="Arial"/>
                <w:sz w:val="16"/>
                <w:szCs w:val="16"/>
              </w:rPr>
            </w:pPr>
            <w:r>
              <w:rPr>
                <w:rFonts w:cs="Arial"/>
                <w:sz w:val="16"/>
                <w:szCs w:val="16"/>
              </w:rPr>
              <w:t>59,866,377</w:t>
            </w:r>
          </w:p>
        </w:tc>
        <w:tc>
          <w:tcPr>
            <w:tcW w:w="1372" w:type="dxa"/>
            <w:tcBorders>
              <w:top w:val="single" w:sz="4" w:space="0" w:color="auto"/>
              <w:bottom w:val="single" w:sz="4" w:space="0" w:color="auto"/>
            </w:tcBorders>
            <w:vAlign w:val="bottom"/>
          </w:tcPr>
          <w:p w14:paraId="5F4731C2" w14:textId="2FDA443B" w:rsidR="00E3631F" w:rsidRDefault="00B068B2" w:rsidP="00E3631F">
            <w:pPr>
              <w:pStyle w:val="BodyTextIndent"/>
              <w:widowControl w:val="0"/>
              <w:spacing w:after="0"/>
              <w:ind w:left="0"/>
              <w:jc w:val="right"/>
              <w:rPr>
                <w:rFonts w:cs="Arial"/>
                <w:sz w:val="16"/>
                <w:szCs w:val="16"/>
              </w:rPr>
            </w:pPr>
            <w:r>
              <w:rPr>
                <w:rFonts w:cs="Arial"/>
                <w:sz w:val="16"/>
                <w:szCs w:val="16"/>
              </w:rPr>
              <w:t>78,918,367</w:t>
            </w:r>
          </w:p>
        </w:tc>
        <w:tc>
          <w:tcPr>
            <w:tcW w:w="1372" w:type="dxa"/>
            <w:tcBorders>
              <w:top w:val="single" w:sz="4" w:space="0" w:color="auto"/>
              <w:bottom w:val="single" w:sz="4" w:space="0" w:color="auto"/>
            </w:tcBorders>
            <w:vAlign w:val="bottom"/>
          </w:tcPr>
          <w:p w14:paraId="494CC202" w14:textId="147B468A" w:rsidR="00E3631F" w:rsidRDefault="00B068B2" w:rsidP="00E3631F">
            <w:pPr>
              <w:pStyle w:val="BodyTextIndent"/>
              <w:widowControl w:val="0"/>
              <w:spacing w:after="0"/>
              <w:ind w:left="0"/>
              <w:jc w:val="right"/>
              <w:rPr>
                <w:rFonts w:cs="Arial"/>
                <w:sz w:val="16"/>
                <w:szCs w:val="16"/>
              </w:rPr>
            </w:pPr>
            <w:r>
              <w:rPr>
                <w:rFonts w:cs="Arial"/>
                <w:sz w:val="16"/>
                <w:szCs w:val="16"/>
              </w:rPr>
              <w:t>368,066</w:t>
            </w:r>
          </w:p>
        </w:tc>
        <w:tc>
          <w:tcPr>
            <w:tcW w:w="1373" w:type="dxa"/>
            <w:tcBorders>
              <w:top w:val="single" w:sz="4" w:space="0" w:color="auto"/>
              <w:bottom w:val="single" w:sz="4" w:space="0" w:color="auto"/>
            </w:tcBorders>
            <w:vAlign w:val="bottom"/>
          </w:tcPr>
          <w:p w14:paraId="20BB9B19" w14:textId="44C8DBF6" w:rsidR="00E3631F" w:rsidRDefault="000E08C5" w:rsidP="00B068B2">
            <w:pPr>
              <w:pStyle w:val="BodyTextIndent"/>
              <w:widowControl w:val="0"/>
              <w:spacing w:after="0"/>
              <w:ind w:left="0"/>
              <w:jc w:val="right"/>
              <w:rPr>
                <w:rFonts w:cs="Arial"/>
                <w:sz w:val="16"/>
                <w:szCs w:val="16"/>
              </w:rPr>
            </w:pPr>
            <w:r>
              <w:rPr>
                <w:rFonts w:cs="Arial"/>
                <w:sz w:val="16"/>
                <w:szCs w:val="16"/>
              </w:rPr>
              <w:t>182,872,191</w:t>
            </w:r>
          </w:p>
        </w:tc>
      </w:tr>
      <w:tr w:rsidR="00E3631F" w14:paraId="42709060" w14:textId="77777777" w:rsidTr="000E08C5">
        <w:trPr>
          <w:trHeight w:val="213"/>
        </w:trPr>
        <w:tc>
          <w:tcPr>
            <w:tcW w:w="1644" w:type="dxa"/>
            <w:tcBorders>
              <w:top w:val="single" w:sz="4" w:space="0" w:color="auto"/>
            </w:tcBorders>
          </w:tcPr>
          <w:p w14:paraId="4B9FD3C9" w14:textId="77777777" w:rsidR="00421B6D" w:rsidRDefault="00421B6D" w:rsidP="00421B6D">
            <w:pPr>
              <w:pStyle w:val="BodyTextIndent"/>
              <w:widowControl w:val="0"/>
              <w:spacing w:after="0"/>
              <w:ind w:left="0" w:right="-165"/>
              <w:jc w:val="both"/>
              <w:rPr>
                <w:rFonts w:cs="Arial"/>
                <w:sz w:val="16"/>
                <w:szCs w:val="16"/>
              </w:rPr>
            </w:pPr>
          </w:p>
          <w:p w14:paraId="3DCB79B4" w14:textId="38C969BB" w:rsidR="00E3631F" w:rsidRDefault="00E3631F" w:rsidP="00421B6D">
            <w:pPr>
              <w:pStyle w:val="BodyTextIndent"/>
              <w:widowControl w:val="0"/>
              <w:spacing w:after="0"/>
              <w:ind w:left="0" w:right="-165"/>
              <w:jc w:val="both"/>
              <w:rPr>
                <w:rFonts w:cs="Arial"/>
                <w:sz w:val="16"/>
                <w:szCs w:val="16"/>
              </w:rPr>
            </w:pPr>
            <w:r>
              <w:rPr>
                <w:rFonts w:cs="Arial"/>
                <w:sz w:val="16"/>
                <w:szCs w:val="16"/>
              </w:rPr>
              <w:t>December</w:t>
            </w:r>
            <w:r w:rsidR="00421B6D">
              <w:rPr>
                <w:rFonts w:cs="Arial"/>
                <w:sz w:val="16"/>
                <w:szCs w:val="16"/>
              </w:rPr>
              <w:t xml:space="preserve"> </w:t>
            </w:r>
            <w:r>
              <w:rPr>
                <w:rFonts w:cs="Arial"/>
                <w:sz w:val="16"/>
                <w:szCs w:val="16"/>
              </w:rPr>
              <w:t>31, 202</w:t>
            </w:r>
            <w:r w:rsidR="00364DAA">
              <w:rPr>
                <w:rFonts w:cs="Arial"/>
                <w:sz w:val="16"/>
                <w:szCs w:val="16"/>
              </w:rPr>
              <w:t>5</w:t>
            </w:r>
          </w:p>
        </w:tc>
        <w:tc>
          <w:tcPr>
            <w:tcW w:w="1372" w:type="dxa"/>
            <w:tcBorders>
              <w:top w:val="single" w:sz="4" w:space="0" w:color="auto"/>
            </w:tcBorders>
            <w:vAlign w:val="bottom"/>
          </w:tcPr>
          <w:p w14:paraId="4208C7A1" w14:textId="77777777" w:rsidR="00E3631F" w:rsidRDefault="00E3631F" w:rsidP="00E3631F">
            <w:pPr>
              <w:pStyle w:val="BodyTextIndent"/>
              <w:widowControl w:val="0"/>
              <w:spacing w:after="0"/>
              <w:ind w:left="0"/>
              <w:jc w:val="right"/>
              <w:rPr>
                <w:rFonts w:cs="Arial"/>
                <w:sz w:val="16"/>
                <w:szCs w:val="16"/>
              </w:rPr>
            </w:pPr>
          </w:p>
        </w:tc>
        <w:tc>
          <w:tcPr>
            <w:tcW w:w="1372" w:type="dxa"/>
            <w:tcBorders>
              <w:top w:val="single" w:sz="4" w:space="0" w:color="auto"/>
            </w:tcBorders>
            <w:vAlign w:val="bottom"/>
          </w:tcPr>
          <w:p w14:paraId="65DF5223" w14:textId="77777777" w:rsidR="00E3631F" w:rsidRDefault="00E3631F" w:rsidP="00E3631F">
            <w:pPr>
              <w:pStyle w:val="BodyTextIndent"/>
              <w:widowControl w:val="0"/>
              <w:spacing w:after="0"/>
              <w:ind w:left="0"/>
              <w:jc w:val="right"/>
              <w:rPr>
                <w:rFonts w:cs="Arial"/>
                <w:sz w:val="16"/>
                <w:szCs w:val="16"/>
              </w:rPr>
            </w:pPr>
          </w:p>
        </w:tc>
        <w:tc>
          <w:tcPr>
            <w:tcW w:w="1372" w:type="dxa"/>
            <w:tcBorders>
              <w:top w:val="single" w:sz="4" w:space="0" w:color="auto"/>
            </w:tcBorders>
            <w:vAlign w:val="bottom"/>
          </w:tcPr>
          <w:p w14:paraId="435F0313" w14:textId="77777777" w:rsidR="00E3631F" w:rsidRDefault="00E3631F" w:rsidP="00E3631F">
            <w:pPr>
              <w:pStyle w:val="BodyTextIndent"/>
              <w:widowControl w:val="0"/>
              <w:spacing w:after="0"/>
              <w:ind w:left="0"/>
              <w:jc w:val="right"/>
              <w:rPr>
                <w:rFonts w:cs="Arial"/>
                <w:sz w:val="16"/>
                <w:szCs w:val="16"/>
              </w:rPr>
            </w:pPr>
          </w:p>
        </w:tc>
        <w:tc>
          <w:tcPr>
            <w:tcW w:w="1372" w:type="dxa"/>
            <w:tcBorders>
              <w:top w:val="single" w:sz="4" w:space="0" w:color="auto"/>
            </w:tcBorders>
            <w:vAlign w:val="bottom"/>
          </w:tcPr>
          <w:p w14:paraId="2F05BB22" w14:textId="77777777" w:rsidR="00E3631F" w:rsidRDefault="00E3631F" w:rsidP="00E3631F">
            <w:pPr>
              <w:pStyle w:val="BodyTextIndent"/>
              <w:widowControl w:val="0"/>
              <w:spacing w:after="0"/>
              <w:ind w:left="0"/>
              <w:jc w:val="right"/>
              <w:rPr>
                <w:rFonts w:cs="Arial"/>
                <w:sz w:val="16"/>
                <w:szCs w:val="16"/>
              </w:rPr>
            </w:pPr>
          </w:p>
        </w:tc>
        <w:tc>
          <w:tcPr>
            <w:tcW w:w="1373" w:type="dxa"/>
            <w:tcBorders>
              <w:top w:val="single" w:sz="4" w:space="0" w:color="auto"/>
            </w:tcBorders>
            <w:vAlign w:val="bottom"/>
          </w:tcPr>
          <w:p w14:paraId="09E8C8EB" w14:textId="77777777" w:rsidR="00E3631F" w:rsidRDefault="00E3631F" w:rsidP="00E3631F">
            <w:pPr>
              <w:pStyle w:val="BodyTextIndent"/>
              <w:widowControl w:val="0"/>
              <w:spacing w:after="0"/>
              <w:ind w:left="0"/>
              <w:jc w:val="right"/>
              <w:rPr>
                <w:rFonts w:cs="Arial"/>
                <w:sz w:val="16"/>
                <w:szCs w:val="16"/>
              </w:rPr>
            </w:pPr>
          </w:p>
        </w:tc>
      </w:tr>
      <w:tr w:rsidR="00364DAA" w14:paraId="0AFAC59E" w14:textId="77777777" w:rsidTr="000E08C5">
        <w:tc>
          <w:tcPr>
            <w:tcW w:w="1644" w:type="dxa"/>
          </w:tcPr>
          <w:p w14:paraId="735F84C5" w14:textId="77777777" w:rsidR="00364DAA" w:rsidRDefault="00364DAA" w:rsidP="00364DAA">
            <w:pPr>
              <w:pStyle w:val="BodyTextIndent"/>
              <w:widowControl w:val="0"/>
              <w:spacing w:after="0"/>
              <w:ind w:left="169"/>
              <w:jc w:val="both"/>
              <w:rPr>
                <w:rFonts w:cs="Arial"/>
                <w:sz w:val="16"/>
                <w:szCs w:val="16"/>
              </w:rPr>
            </w:pPr>
            <w:r>
              <w:rPr>
                <w:rFonts w:cs="Arial"/>
                <w:sz w:val="16"/>
                <w:szCs w:val="16"/>
              </w:rPr>
              <w:t>Current</w:t>
            </w:r>
          </w:p>
        </w:tc>
        <w:tc>
          <w:tcPr>
            <w:tcW w:w="1372" w:type="dxa"/>
            <w:vAlign w:val="bottom"/>
          </w:tcPr>
          <w:p w14:paraId="327567DD" w14:textId="10658006" w:rsidR="00364DAA" w:rsidRDefault="00364DAA" w:rsidP="00364DAA">
            <w:pPr>
              <w:pStyle w:val="BodyTextIndent"/>
              <w:widowControl w:val="0"/>
              <w:spacing w:after="0"/>
              <w:ind w:left="0"/>
              <w:jc w:val="right"/>
              <w:rPr>
                <w:rFonts w:cs="Arial"/>
                <w:sz w:val="16"/>
                <w:szCs w:val="16"/>
              </w:rPr>
            </w:pPr>
            <w:r w:rsidRPr="000507D6">
              <w:rPr>
                <w:rFonts w:cs="Arial"/>
                <w:sz w:val="16"/>
                <w:szCs w:val="16"/>
              </w:rPr>
              <w:t>48,907,881</w:t>
            </w:r>
          </w:p>
        </w:tc>
        <w:tc>
          <w:tcPr>
            <w:tcW w:w="1372" w:type="dxa"/>
            <w:vAlign w:val="bottom"/>
          </w:tcPr>
          <w:p w14:paraId="5D1E4B25" w14:textId="453CF9D7" w:rsidR="00364DAA" w:rsidRDefault="00364DAA" w:rsidP="00364DAA">
            <w:pPr>
              <w:pStyle w:val="BodyTextIndent"/>
              <w:widowControl w:val="0"/>
              <w:spacing w:after="0"/>
              <w:ind w:left="0"/>
              <w:jc w:val="right"/>
              <w:rPr>
                <w:rFonts w:cs="Arial"/>
                <w:sz w:val="16"/>
                <w:szCs w:val="16"/>
              </w:rPr>
            </w:pPr>
            <w:r>
              <w:rPr>
                <w:rFonts w:cs="Arial"/>
                <w:sz w:val="16"/>
                <w:szCs w:val="16"/>
              </w:rPr>
              <w:t>56,215,031</w:t>
            </w:r>
          </w:p>
        </w:tc>
        <w:tc>
          <w:tcPr>
            <w:tcW w:w="1372" w:type="dxa"/>
            <w:vAlign w:val="bottom"/>
          </w:tcPr>
          <w:p w14:paraId="6E35BDAE" w14:textId="4FF0A46F" w:rsidR="00364DAA" w:rsidRDefault="00364DAA" w:rsidP="00364DAA">
            <w:pPr>
              <w:pStyle w:val="BodyTextIndent"/>
              <w:widowControl w:val="0"/>
              <w:spacing w:after="0"/>
              <w:ind w:left="0"/>
              <w:jc w:val="right"/>
              <w:rPr>
                <w:rFonts w:cs="Arial"/>
                <w:sz w:val="16"/>
                <w:szCs w:val="16"/>
              </w:rPr>
            </w:pPr>
            <w:r w:rsidRPr="000507D6">
              <w:rPr>
                <w:rFonts w:cs="Arial"/>
                <w:sz w:val="16"/>
                <w:szCs w:val="16"/>
              </w:rPr>
              <w:t>16,245,738</w:t>
            </w:r>
          </w:p>
        </w:tc>
        <w:tc>
          <w:tcPr>
            <w:tcW w:w="1372" w:type="dxa"/>
            <w:vAlign w:val="bottom"/>
          </w:tcPr>
          <w:p w14:paraId="1EBAA3FD" w14:textId="1FC85AD4" w:rsidR="00364DAA" w:rsidRDefault="00364DAA" w:rsidP="00364DAA">
            <w:pPr>
              <w:pStyle w:val="BodyTextIndent"/>
              <w:widowControl w:val="0"/>
              <w:spacing w:after="0"/>
              <w:ind w:left="0"/>
              <w:jc w:val="right"/>
              <w:rPr>
                <w:rFonts w:cs="Arial"/>
                <w:sz w:val="16"/>
                <w:szCs w:val="16"/>
              </w:rPr>
            </w:pPr>
            <w:r w:rsidRPr="000507D6">
              <w:rPr>
                <w:rFonts w:cs="Arial"/>
                <w:sz w:val="16"/>
                <w:szCs w:val="16"/>
              </w:rPr>
              <w:t>795,541</w:t>
            </w:r>
          </w:p>
        </w:tc>
        <w:tc>
          <w:tcPr>
            <w:tcW w:w="1373" w:type="dxa"/>
            <w:vAlign w:val="bottom"/>
          </w:tcPr>
          <w:p w14:paraId="7931EA69" w14:textId="188D38CF" w:rsidR="00364DAA" w:rsidRDefault="00364DAA" w:rsidP="00364DAA">
            <w:pPr>
              <w:pStyle w:val="BodyTextIndent"/>
              <w:widowControl w:val="0"/>
              <w:spacing w:after="0"/>
              <w:ind w:left="0"/>
              <w:jc w:val="right"/>
              <w:rPr>
                <w:rFonts w:cs="Arial"/>
                <w:sz w:val="16"/>
                <w:szCs w:val="16"/>
              </w:rPr>
            </w:pPr>
            <w:r>
              <w:rPr>
                <w:rFonts w:cs="Arial"/>
                <w:sz w:val="16"/>
                <w:szCs w:val="16"/>
              </w:rPr>
              <w:t>122,164,191</w:t>
            </w:r>
          </w:p>
        </w:tc>
      </w:tr>
      <w:tr w:rsidR="00364DAA" w14:paraId="7FAFC73E" w14:textId="77777777" w:rsidTr="000E08C5">
        <w:tc>
          <w:tcPr>
            <w:tcW w:w="1644" w:type="dxa"/>
            <w:tcBorders>
              <w:bottom w:val="single" w:sz="4" w:space="0" w:color="auto"/>
            </w:tcBorders>
          </w:tcPr>
          <w:p w14:paraId="517C0175" w14:textId="21E9FDA8" w:rsidR="00364DAA" w:rsidRDefault="00364DAA" w:rsidP="00364DAA">
            <w:pPr>
              <w:pStyle w:val="BodyTextIndent"/>
              <w:widowControl w:val="0"/>
              <w:spacing w:after="0"/>
              <w:ind w:left="169"/>
              <w:jc w:val="both"/>
              <w:rPr>
                <w:rFonts w:cs="Arial"/>
                <w:sz w:val="16"/>
                <w:szCs w:val="16"/>
              </w:rPr>
            </w:pPr>
            <w:r>
              <w:rPr>
                <w:rFonts w:cs="Arial"/>
                <w:sz w:val="16"/>
                <w:szCs w:val="16"/>
              </w:rPr>
              <w:t>Non-current</w:t>
            </w:r>
          </w:p>
        </w:tc>
        <w:tc>
          <w:tcPr>
            <w:tcW w:w="1372" w:type="dxa"/>
            <w:tcBorders>
              <w:bottom w:val="single" w:sz="4" w:space="0" w:color="auto"/>
            </w:tcBorders>
            <w:vAlign w:val="bottom"/>
          </w:tcPr>
          <w:p w14:paraId="1D50D526" w14:textId="4D0F5ACA" w:rsidR="00364DAA" w:rsidRDefault="00364DAA" w:rsidP="00364DAA">
            <w:pPr>
              <w:pStyle w:val="BodyTextIndent"/>
              <w:widowControl w:val="0"/>
              <w:spacing w:after="0"/>
              <w:ind w:left="0"/>
              <w:jc w:val="right"/>
              <w:rPr>
                <w:rFonts w:cs="Arial"/>
                <w:sz w:val="16"/>
                <w:szCs w:val="16"/>
              </w:rPr>
            </w:pPr>
            <w:r>
              <w:rPr>
                <w:rFonts w:cs="Arial"/>
                <w:sz w:val="16"/>
                <w:szCs w:val="16"/>
              </w:rPr>
              <w:t>3,245,165</w:t>
            </w:r>
          </w:p>
        </w:tc>
        <w:tc>
          <w:tcPr>
            <w:tcW w:w="1372" w:type="dxa"/>
            <w:tcBorders>
              <w:bottom w:val="single" w:sz="4" w:space="0" w:color="auto"/>
            </w:tcBorders>
            <w:vAlign w:val="bottom"/>
          </w:tcPr>
          <w:p w14:paraId="410DDF02" w14:textId="5CFBC7D3" w:rsidR="00364DAA" w:rsidRDefault="00364DAA" w:rsidP="00364DAA">
            <w:pPr>
              <w:pStyle w:val="BodyTextIndent"/>
              <w:widowControl w:val="0"/>
              <w:spacing w:after="0"/>
              <w:ind w:left="0"/>
              <w:jc w:val="right"/>
              <w:rPr>
                <w:rFonts w:cs="Arial"/>
                <w:sz w:val="16"/>
                <w:szCs w:val="16"/>
              </w:rPr>
            </w:pPr>
            <w:r>
              <w:rPr>
                <w:rFonts w:cs="Arial"/>
                <w:sz w:val="16"/>
                <w:szCs w:val="16"/>
              </w:rPr>
              <w:t>30,207,853</w:t>
            </w:r>
          </w:p>
        </w:tc>
        <w:tc>
          <w:tcPr>
            <w:tcW w:w="1372" w:type="dxa"/>
            <w:tcBorders>
              <w:bottom w:val="single" w:sz="4" w:space="0" w:color="auto"/>
            </w:tcBorders>
            <w:vAlign w:val="bottom"/>
          </w:tcPr>
          <w:p w14:paraId="4C311F26" w14:textId="74B69C25" w:rsidR="00364DAA" w:rsidRDefault="00364DAA" w:rsidP="00364DAA">
            <w:pPr>
              <w:pStyle w:val="BodyTextIndent"/>
              <w:widowControl w:val="0"/>
              <w:spacing w:after="0"/>
              <w:ind w:left="0"/>
              <w:jc w:val="right"/>
              <w:rPr>
                <w:rFonts w:cs="Arial"/>
                <w:sz w:val="16"/>
                <w:szCs w:val="16"/>
              </w:rPr>
            </w:pPr>
            <w:r>
              <w:rPr>
                <w:rFonts w:cs="Arial"/>
                <w:sz w:val="16"/>
                <w:szCs w:val="16"/>
              </w:rPr>
              <w:t>39,526,065</w:t>
            </w:r>
          </w:p>
        </w:tc>
        <w:tc>
          <w:tcPr>
            <w:tcW w:w="1372" w:type="dxa"/>
            <w:tcBorders>
              <w:bottom w:val="single" w:sz="4" w:space="0" w:color="auto"/>
            </w:tcBorders>
            <w:vAlign w:val="bottom"/>
          </w:tcPr>
          <w:p w14:paraId="1384E354" w14:textId="075EA5BB" w:rsidR="00364DAA" w:rsidRDefault="00364DAA" w:rsidP="00364DAA">
            <w:pPr>
              <w:pStyle w:val="BodyTextIndent"/>
              <w:widowControl w:val="0"/>
              <w:spacing w:after="0"/>
              <w:ind w:left="0"/>
              <w:jc w:val="right"/>
              <w:rPr>
                <w:rFonts w:cs="Arial"/>
                <w:sz w:val="16"/>
                <w:szCs w:val="16"/>
              </w:rPr>
            </w:pPr>
            <w:r>
              <w:rPr>
                <w:rFonts w:cs="Arial"/>
                <w:sz w:val="16"/>
                <w:szCs w:val="16"/>
              </w:rPr>
              <w:t>30,369</w:t>
            </w:r>
          </w:p>
        </w:tc>
        <w:tc>
          <w:tcPr>
            <w:tcW w:w="1373" w:type="dxa"/>
            <w:tcBorders>
              <w:bottom w:val="single" w:sz="4" w:space="0" w:color="auto"/>
            </w:tcBorders>
            <w:vAlign w:val="bottom"/>
          </w:tcPr>
          <w:p w14:paraId="6C11BDEB" w14:textId="4836730D" w:rsidR="00364DAA" w:rsidRDefault="00364DAA" w:rsidP="00364DAA">
            <w:pPr>
              <w:pStyle w:val="BodyTextIndent"/>
              <w:widowControl w:val="0"/>
              <w:spacing w:after="0"/>
              <w:ind w:left="0"/>
              <w:jc w:val="right"/>
              <w:rPr>
                <w:rFonts w:cs="Arial"/>
                <w:sz w:val="16"/>
                <w:szCs w:val="16"/>
              </w:rPr>
            </w:pPr>
            <w:r>
              <w:rPr>
                <w:rFonts w:cs="Arial"/>
                <w:sz w:val="16"/>
                <w:szCs w:val="16"/>
              </w:rPr>
              <w:t>73,009,452</w:t>
            </w:r>
          </w:p>
        </w:tc>
      </w:tr>
      <w:tr w:rsidR="00364DAA" w14:paraId="16F96943" w14:textId="77777777" w:rsidTr="000E08C5">
        <w:tc>
          <w:tcPr>
            <w:tcW w:w="1644" w:type="dxa"/>
            <w:tcBorders>
              <w:top w:val="single" w:sz="4" w:space="0" w:color="auto"/>
              <w:bottom w:val="single" w:sz="4" w:space="0" w:color="auto"/>
            </w:tcBorders>
          </w:tcPr>
          <w:p w14:paraId="157BA4DD" w14:textId="77777777" w:rsidR="00364DAA" w:rsidRDefault="00364DAA" w:rsidP="00364DAA">
            <w:pPr>
              <w:pStyle w:val="BodyTextIndent"/>
              <w:widowControl w:val="0"/>
              <w:spacing w:after="0"/>
              <w:ind w:left="169"/>
              <w:jc w:val="both"/>
              <w:rPr>
                <w:rFonts w:cs="Arial"/>
                <w:sz w:val="16"/>
                <w:szCs w:val="16"/>
              </w:rPr>
            </w:pPr>
            <w:r>
              <w:rPr>
                <w:rFonts w:cs="Arial"/>
                <w:sz w:val="16"/>
                <w:szCs w:val="16"/>
              </w:rPr>
              <w:t>Total</w:t>
            </w:r>
          </w:p>
        </w:tc>
        <w:tc>
          <w:tcPr>
            <w:tcW w:w="1372" w:type="dxa"/>
            <w:tcBorders>
              <w:top w:val="single" w:sz="4" w:space="0" w:color="auto"/>
              <w:bottom w:val="single" w:sz="4" w:space="0" w:color="auto"/>
            </w:tcBorders>
            <w:vAlign w:val="bottom"/>
          </w:tcPr>
          <w:p w14:paraId="43707832" w14:textId="5291C295" w:rsidR="00364DAA" w:rsidRDefault="00364DAA" w:rsidP="00364DAA">
            <w:pPr>
              <w:pStyle w:val="BodyTextIndent"/>
              <w:widowControl w:val="0"/>
              <w:spacing w:after="0"/>
              <w:ind w:left="0"/>
              <w:jc w:val="right"/>
              <w:rPr>
                <w:rFonts w:cs="Arial"/>
                <w:sz w:val="16"/>
                <w:szCs w:val="16"/>
              </w:rPr>
            </w:pPr>
            <w:r>
              <w:rPr>
                <w:rFonts w:cs="Arial"/>
                <w:sz w:val="16"/>
                <w:szCs w:val="16"/>
              </w:rPr>
              <w:t>52,153,046</w:t>
            </w:r>
          </w:p>
        </w:tc>
        <w:tc>
          <w:tcPr>
            <w:tcW w:w="1372" w:type="dxa"/>
            <w:tcBorders>
              <w:top w:val="single" w:sz="4" w:space="0" w:color="auto"/>
              <w:bottom w:val="single" w:sz="4" w:space="0" w:color="auto"/>
            </w:tcBorders>
            <w:vAlign w:val="bottom"/>
          </w:tcPr>
          <w:p w14:paraId="4CBFDBB2" w14:textId="5DEB2B6B" w:rsidR="00364DAA" w:rsidRDefault="00364DAA" w:rsidP="00364DAA">
            <w:pPr>
              <w:pStyle w:val="BodyTextIndent"/>
              <w:widowControl w:val="0"/>
              <w:spacing w:after="0"/>
              <w:ind w:left="0"/>
              <w:jc w:val="right"/>
              <w:rPr>
                <w:rFonts w:cs="Arial"/>
                <w:sz w:val="16"/>
                <w:szCs w:val="16"/>
              </w:rPr>
            </w:pPr>
            <w:r>
              <w:rPr>
                <w:rFonts w:cs="Arial"/>
                <w:sz w:val="16"/>
                <w:szCs w:val="16"/>
              </w:rPr>
              <w:t>86,422,884</w:t>
            </w:r>
          </w:p>
        </w:tc>
        <w:tc>
          <w:tcPr>
            <w:tcW w:w="1372" w:type="dxa"/>
            <w:tcBorders>
              <w:top w:val="single" w:sz="4" w:space="0" w:color="auto"/>
              <w:bottom w:val="single" w:sz="4" w:space="0" w:color="auto"/>
            </w:tcBorders>
            <w:vAlign w:val="bottom"/>
          </w:tcPr>
          <w:p w14:paraId="775C2B14" w14:textId="3480FC25" w:rsidR="00364DAA" w:rsidRDefault="00364DAA" w:rsidP="00364DAA">
            <w:pPr>
              <w:pStyle w:val="BodyTextIndent"/>
              <w:widowControl w:val="0"/>
              <w:spacing w:after="0"/>
              <w:ind w:left="0"/>
              <w:jc w:val="right"/>
              <w:rPr>
                <w:rFonts w:cs="Arial"/>
                <w:sz w:val="16"/>
                <w:szCs w:val="16"/>
              </w:rPr>
            </w:pPr>
            <w:r w:rsidRPr="000507D6">
              <w:rPr>
                <w:rFonts w:cs="Arial"/>
                <w:sz w:val="16"/>
                <w:szCs w:val="16"/>
              </w:rPr>
              <w:t>55,771,803</w:t>
            </w:r>
          </w:p>
        </w:tc>
        <w:tc>
          <w:tcPr>
            <w:tcW w:w="1372" w:type="dxa"/>
            <w:tcBorders>
              <w:top w:val="single" w:sz="4" w:space="0" w:color="auto"/>
              <w:bottom w:val="single" w:sz="4" w:space="0" w:color="auto"/>
            </w:tcBorders>
            <w:vAlign w:val="bottom"/>
          </w:tcPr>
          <w:p w14:paraId="25EDA24B" w14:textId="22BA2CF8" w:rsidR="00364DAA" w:rsidRDefault="00364DAA" w:rsidP="00364DAA">
            <w:pPr>
              <w:pStyle w:val="BodyTextIndent"/>
              <w:widowControl w:val="0"/>
              <w:spacing w:after="0"/>
              <w:ind w:left="0"/>
              <w:jc w:val="right"/>
              <w:rPr>
                <w:rFonts w:cs="Arial"/>
                <w:sz w:val="16"/>
                <w:szCs w:val="16"/>
              </w:rPr>
            </w:pPr>
            <w:r w:rsidRPr="000507D6">
              <w:rPr>
                <w:rFonts w:cs="Arial"/>
                <w:sz w:val="16"/>
                <w:szCs w:val="16"/>
              </w:rPr>
              <w:t>825,910</w:t>
            </w:r>
          </w:p>
        </w:tc>
        <w:tc>
          <w:tcPr>
            <w:tcW w:w="1373" w:type="dxa"/>
            <w:tcBorders>
              <w:top w:val="single" w:sz="4" w:space="0" w:color="auto"/>
              <w:bottom w:val="single" w:sz="4" w:space="0" w:color="auto"/>
            </w:tcBorders>
            <w:vAlign w:val="bottom"/>
          </w:tcPr>
          <w:p w14:paraId="2877CCD2" w14:textId="70292B84" w:rsidR="00364DAA" w:rsidRDefault="00364DAA" w:rsidP="00364DAA">
            <w:pPr>
              <w:pStyle w:val="BodyTextIndent"/>
              <w:widowControl w:val="0"/>
              <w:spacing w:after="0"/>
              <w:ind w:left="0"/>
              <w:jc w:val="right"/>
              <w:rPr>
                <w:rFonts w:cs="Arial"/>
                <w:sz w:val="16"/>
                <w:szCs w:val="16"/>
              </w:rPr>
            </w:pPr>
            <w:r>
              <w:rPr>
                <w:rFonts w:cs="Arial"/>
                <w:sz w:val="16"/>
                <w:szCs w:val="16"/>
              </w:rPr>
              <w:t>195,173,643</w:t>
            </w:r>
          </w:p>
        </w:tc>
      </w:tr>
      <w:tr w:rsidR="00123F4D" w14:paraId="0D7E0ACA" w14:textId="77777777" w:rsidTr="000E08C5">
        <w:tc>
          <w:tcPr>
            <w:tcW w:w="1644" w:type="dxa"/>
            <w:tcBorders>
              <w:top w:val="single" w:sz="4" w:space="0" w:color="auto"/>
            </w:tcBorders>
          </w:tcPr>
          <w:p w14:paraId="5B3CC004" w14:textId="77777777" w:rsidR="00123F4D" w:rsidRDefault="00123F4D" w:rsidP="00364DAA">
            <w:pPr>
              <w:pStyle w:val="BodyTextIndent"/>
              <w:widowControl w:val="0"/>
              <w:spacing w:after="0"/>
              <w:ind w:left="169"/>
              <w:jc w:val="both"/>
              <w:rPr>
                <w:rFonts w:cs="Arial"/>
                <w:sz w:val="16"/>
                <w:szCs w:val="16"/>
              </w:rPr>
            </w:pPr>
          </w:p>
        </w:tc>
        <w:tc>
          <w:tcPr>
            <w:tcW w:w="1372" w:type="dxa"/>
            <w:tcBorders>
              <w:top w:val="single" w:sz="4" w:space="0" w:color="auto"/>
            </w:tcBorders>
            <w:vAlign w:val="bottom"/>
          </w:tcPr>
          <w:p w14:paraId="449F40A1" w14:textId="77777777" w:rsidR="00123F4D" w:rsidRDefault="00123F4D" w:rsidP="00364DAA">
            <w:pPr>
              <w:pStyle w:val="BodyTextIndent"/>
              <w:widowControl w:val="0"/>
              <w:spacing w:after="0"/>
              <w:ind w:left="0"/>
              <w:jc w:val="right"/>
              <w:rPr>
                <w:rFonts w:cs="Arial"/>
                <w:sz w:val="16"/>
                <w:szCs w:val="16"/>
              </w:rPr>
            </w:pPr>
          </w:p>
        </w:tc>
        <w:tc>
          <w:tcPr>
            <w:tcW w:w="1372" w:type="dxa"/>
            <w:tcBorders>
              <w:top w:val="single" w:sz="4" w:space="0" w:color="auto"/>
            </w:tcBorders>
            <w:vAlign w:val="bottom"/>
          </w:tcPr>
          <w:p w14:paraId="2C7F3EE6" w14:textId="77777777" w:rsidR="00123F4D" w:rsidRDefault="00123F4D" w:rsidP="00364DAA">
            <w:pPr>
              <w:pStyle w:val="BodyTextIndent"/>
              <w:widowControl w:val="0"/>
              <w:spacing w:after="0"/>
              <w:ind w:left="0"/>
              <w:jc w:val="right"/>
              <w:rPr>
                <w:rFonts w:cs="Arial"/>
                <w:sz w:val="16"/>
                <w:szCs w:val="16"/>
              </w:rPr>
            </w:pPr>
          </w:p>
        </w:tc>
        <w:tc>
          <w:tcPr>
            <w:tcW w:w="1372" w:type="dxa"/>
            <w:tcBorders>
              <w:top w:val="single" w:sz="4" w:space="0" w:color="auto"/>
            </w:tcBorders>
            <w:vAlign w:val="bottom"/>
          </w:tcPr>
          <w:p w14:paraId="289CD24D" w14:textId="77777777" w:rsidR="00123F4D" w:rsidRPr="000507D6" w:rsidRDefault="00123F4D" w:rsidP="00364DAA">
            <w:pPr>
              <w:pStyle w:val="BodyTextIndent"/>
              <w:widowControl w:val="0"/>
              <w:spacing w:after="0"/>
              <w:ind w:left="0"/>
              <w:jc w:val="right"/>
              <w:rPr>
                <w:rFonts w:cs="Arial"/>
                <w:sz w:val="16"/>
                <w:szCs w:val="16"/>
              </w:rPr>
            </w:pPr>
          </w:p>
        </w:tc>
        <w:tc>
          <w:tcPr>
            <w:tcW w:w="1372" w:type="dxa"/>
            <w:tcBorders>
              <w:top w:val="single" w:sz="4" w:space="0" w:color="auto"/>
            </w:tcBorders>
            <w:vAlign w:val="bottom"/>
          </w:tcPr>
          <w:p w14:paraId="233C9829" w14:textId="77777777" w:rsidR="00123F4D" w:rsidRPr="000507D6" w:rsidRDefault="00123F4D" w:rsidP="00364DAA">
            <w:pPr>
              <w:pStyle w:val="BodyTextIndent"/>
              <w:widowControl w:val="0"/>
              <w:spacing w:after="0"/>
              <w:ind w:left="0"/>
              <w:jc w:val="right"/>
              <w:rPr>
                <w:rFonts w:cs="Arial"/>
                <w:sz w:val="16"/>
                <w:szCs w:val="16"/>
              </w:rPr>
            </w:pPr>
          </w:p>
        </w:tc>
        <w:tc>
          <w:tcPr>
            <w:tcW w:w="1373" w:type="dxa"/>
            <w:tcBorders>
              <w:top w:val="single" w:sz="4" w:space="0" w:color="auto"/>
            </w:tcBorders>
            <w:vAlign w:val="bottom"/>
          </w:tcPr>
          <w:p w14:paraId="66A61B9C" w14:textId="77777777" w:rsidR="00123F4D" w:rsidRDefault="00123F4D" w:rsidP="00364DAA">
            <w:pPr>
              <w:pStyle w:val="BodyTextIndent"/>
              <w:widowControl w:val="0"/>
              <w:spacing w:after="0"/>
              <w:ind w:left="0"/>
              <w:jc w:val="right"/>
              <w:rPr>
                <w:rFonts w:cs="Arial"/>
                <w:sz w:val="16"/>
                <w:szCs w:val="16"/>
              </w:rPr>
            </w:pPr>
          </w:p>
        </w:tc>
      </w:tr>
      <w:tr w:rsidR="00364DAA" w14:paraId="7FEA5CFA" w14:textId="77777777" w:rsidTr="000E08C5">
        <w:tc>
          <w:tcPr>
            <w:tcW w:w="1644" w:type="dxa"/>
          </w:tcPr>
          <w:p w14:paraId="7947E210" w14:textId="452009EF" w:rsidR="00364DAA" w:rsidRDefault="00364DAA" w:rsidP="00364DAA">
            <w:pPr>
              <w:pStyle w:val="BodyTextIndent"/>
              <w:widowControl w:val="0"/>
              <w:spacing w:after="0"/>
              <w:ind w:left="0"/>
              <w:jc w:val="both"/>
              <w:rPr>
                <w:rFonts w:cs="Arial"/>
                <w:sz w:val="16"/>
                <w:szCs w:val="16"/>
              </w:rPr>
            </w:pPr>
            <w:r>
              <w:rPr>
                <w:rFonts w:cs="Arial"/>
                <w:sz w:val="16"/>
                <w:szCs w:val="16"/>
              </w:rPr>
              <w:t>December 31, 2024</w:t>
            </w:r>
          </w:p>
        </w:tc>
        <w:tc>
          <w:tcPr>
            <w:tcW w:w="1372" w:type="dxa"/>
            <w:vAlign w:val="bottom"/>
          </w:tcPr>
          <w:p w14:paraId="55B87EE4" w14:textId="77777777" w:rsidR="00364DAA" w:rsidRDefault="00364DAA" w:rsidP="00364DAA">
            <w:pPr>
              <w:pStyle w:val="BodyTextIndent"/>
              <w:widowControl w:val="0"/>
              <w:spacing w:after="0"/>
              <w:ind w:left="0"/>
              <w:jc w:val="right"/>
              <w:rPr>
                <w:rFonts w:cs="Arial"/>
                <w:sz w:val="16"/>
                <w:szCs w:val="16"/>
              </w:rPr>
            </w:pPr>
          </w:p>
        </w:tc>
        <w:tc>
          <w:tcPr>
            <w:tcW w:w="1372" w:type="dxa"/>
            <w:vAlign w:val="bottom"/>
          </w:tcPr>
          <w:p w14:paraId="21E8CD11" w14:textId="77777777" w:rsidR="00364DAA" w:rsidRDefault="00364DAA" w:rsidP="00364DAA">
            <w:pPr>
              <w:pStyle w:val="BodyTextIndent"/>
              <w:widowControl w:val="0"/>
              <w:spacing w:after="0"/>
              <w:ind w:left="0"/>
              <w:jc w:val="right"/>
              <w:rPr>
                <w:rFonts w:cs="Arial"/>
                <w:sz w:val="16"/>
                <w:szCs w:val="16"/>
              </w:rPr>
            </w:pPr>
          </w:p>
        </w:tc>
        <w:tc>
          <w:tcPr>
            <w:tcW w:w="1372" w:type="dxa"/>
            <w:vAlign w:val="bottom"/>
          </w:tcPr>
          <w:p w14:paraId="7B0FCFA7" w14:textId="77777777" w:rsidR="00364DAA" w:rsidRDefault="00364DAA" w:rsidP="00364DAA">
            <w:pPr>
              <w:pStyle w:val="BodyTextIndent"/>
              <w:widowControl w:val="0"/>
              <w:spacing w:after="0"/>
              <w:ind w:left="0"/>
              <w:jc w:val="right"/>
              <w:rPr>
                <w:rFonts w:cs="Arial"/>
                <w:sz w:val="16"/>
                <w:szCs w:val="16"/>
              </w:rPr>
            </w:pPr>
          </w:p>
        </w:tc>
        <w:tc>
          <w:tcPr>
            <w:tcW w:w="1372" w:type="dxa"/>
            <w:vAlign w:val="bottom"/>
          </w:tcPr>
          <w:p w14:paraId="289E28A3" w14:textId="77777777" w:rsidR="00364DAA" w:rsidRDefault="00364DAA" w:rsidP="00364DAA">
            <w:pPr>
              <w:pStyle w:val="BodyTextIndent"/>
              <w:widowControl w:val="0"/>
              <w:spacing w:after="0"/>
              <w:ind w:left="0"/>
              <w:jc w:val="right"/>
              <w:rPr>
                <w:rFonts w:cs="Arial"/>
                <w:sz w:val="16"/>
                <w:szCs w:val="16"/>
              </w:rPr>
            </w:pPr>
          </w:p>
        </w:tc>
        <w:tc>
          <w:tcPr>
            <w:tcW w:w="1373" w:type="dxa"/>
            <w:vAlign w:val="bottom"/>
          </w:tcPr>
          <w:p w14:paraId="5689CF81" w14:textId="77777777" w:rsidR="00364DAA" w:rsidRDefault="00364DAA" w:rsidP="00364DAA">
            <w:pPr>
              <w:pStyle w:val="BodyTextIndent"/>
              <w:widowControl w:val="0"/>
              <w:spacing w:after="0"/>
              <w:ind w:left="0"/>
              <w:jc w:val="right"/>
              <w:rPr>
                <w:rFonts w:cs="Arial"/>
                <w:sz w:val="16"/>
                <w:szCs w:val="16"/>
              </w:rPr>
            </w:pPr>
          </w:p>
        </w:tc>
      </w:tr>
      <w:tr w:rsidR="00364DAA" w14:paraId="29DB71ED" w14:textId="77777777" w:rsidTr="000E08C5">
        <w:tc>
          <w:tcPr>
            <w:tcW w:w="1644" w:type="dxa"/>
          </w:tcPr>
          <w:p w14:paraId="5CFDF035" w14:textId="77777777" w:rsidR="00364DAA" w:rsidRDefault="00364DAA" w:rsidP="00364DAA">
            <w:pPr>
              <w:pStyle w:val="BodyTextIndent"/>
              <w:widowControl w:val="0"/>
              <w:spacing w:after="0"/>
              <w:ind w:left="169"/>
              <w:jc w:val="both"/>
              <w:rPr>
                <w:rFonts w:cs="Arial"/>
                <w:sz w:val="16"/>
                <w:szCs w:val="16"/>
              </w:rPr>
            </w:pPr>
            <w:r>
              <w:rPr>
                <w:rFonts w:cs="Arial"/>
                <w:sz w:val="16"/>
                <w:szCs w:val="16"/>
              </w:rPr>
              <w:t>Current</w:t>
            </w:r>
          </w:p>
        </w:tc>
        <w:tc>
          <w:tcPr>
            <w:tcW w:w="1372" w:type="dxa"/>
            <w:vAlign w:val="bottom"/>
          </w:tcPr>
          <w:p w14:paraId="14F5182B" w14:textId="62CA1838" w:rsidR="00364DAA" w:rsidRDefault="00364DAA" w:rsidP="00364DAA">
            <w:pPr>
              <w:pStyle w:val="BodyTextIndent"/>
              <w:widowControl w:val="0"/>
              <w:spacing w:after="0"/>
              <w:ind w:left="0"/>
              <w:jc w:val="right"/>
              <w:rPr>
                <w:rFonts w:cs="Arial"/>
                <w:sz w:val="16"/>
                <w:szCs w:val="16"/>
              </w:rPr>
            </w:pPr>
            <w:r>
              <w:rPr>
                <w:rFonts w:cs="Arial"/>
                <w:sz w:val="16"/>
                <w:szCs w:val="16"/>
              </w:rPr>
              <w:t>17,392,358</w:t>
            </w:r>
          </w:p>
        </w:tc>
        <w:tc>
          <w:tcPr>
            <w:tcW w:w="1372" w:type="dxa"/>
            <w:vAlign w:val="bottom"/>
          </w:tcPr>
          <w:p w14:paraId="19ACE737" w14:textId="6DC5DC88" w:rsidR="00364DAA" w:rsidRDefault="00364DAA" w:rsidP="00364DAA">
            <w:pPr>
              <w:pStyle w:val="BodyTextIndent"/>
              <w:widowControl w:val="0"/>
              <w:spacing w:after="0"/>
              <w:ind w:left="0"/>
              <w:jc w:val="right"/>
              <w:rPr>
                <w:rFonts w:cs="Arial"/>
                <w:sz w:val="16"/>
                <w:szCs w:val="16"/>
              </w:rPr>
            </w:pPr>
            <w:r>
              <w:rPr>
                <w:rFonts w:cs="Arial"/>
                <w:sz w:val="16"/>
                <w:szCs w:val="16"/>
              </w:rPr>
              <w:t>19,669,011</w:t>
            </w:r>
          </w:p>
        </w:tc>
        <w:tc>
          <w:tcPr>
            <w:tcW w:w="1372" w:type="dxa"/>
            <w:vAlign w:val="bottom"/>
          </w:tcPr>
          <w:p w14:paraId="192EE84C" w14:textId="50E93D02" w:rsidR="00364DAA" w:rsidRDefault="00364DAA" w:rsidP="00364DAA">
            <w:pPr>
              <w:pStyle w:val="BodyTextIndent"/>
              <w:widowControl w:val="0"/>
              <w:spacing w:after="0"/>
              <w:ind w:left="0"/>
              <w:jc w:val="right"/>
              <w:rPr>
                <w:rFonts w:cs="Arial"/>
                <w:sz w:val="16"/>
                <w:szCs w:val="16"/>
              </w:rPr>
            </w:pPr>
            <w:r w:rsidRPr="00AB0217">
              <w:rPr>
                <w:rFonts w:cs="Arial"/>
                <w:sz w:val="16"/>
                <w:szCs w:val="16"/>
              </w:rPr>
              <w:t>16,787,098</w:t>
            </w:r>
          </w:p>
        </w:tc>
        <w:tc>
          <w:tcPr>
            <w:tcW w:w="1372" w:type="dxa"/>
            <w:vAlign w:val="bottom"/>
          </w:tcPr>
          <w:p w14:paraId="379271BE" w14:textId="1D726DF7" w:rsidR="00364DAA" w:rsidRDefault="00364DAA" w:rsidP="00364DAA">
            <w:pPr>
              <w:pStyle w:val="BodyTextIndent"/>
              <w:widowControl w:val="0"/>
              <w:spacing w:after="0"/>
              <w:ind w:left="0"/>
              <w:jc w:val="right"/>
              <w:rPr>
                <w:rFonts w:cs="Arial"/>
                <w:sz w:val="16"/>
                <w:szCs w:val="16"/>
              </w:rPr>
            </w:pPr>
            <w:r w:rsidRPr="000507D6">
              <w:rPr>
                <w:rFonts w:cs="Arial"/>
                <w:sz w:val="16"/>
                <w:szCs w:val="16"/>
              </w:rPr>
              <w:t>1,052,004</w:t>
            </w:r>
          </w:p>
        </w:tc>
        <w:tc>
          <w:tcPr>
            <w:tcW w:w="1373" w:type="dxa"/>
            <w:vAlign w:val="bottom"/>
          </w:tcPr>
          <w:p w14:paraId="08226077" w14:textId="677CD01C" w:rsidR="00364DAA" w:rsidRDefault="00364DAA" w:rsidP="00364DAA">
            <w:pPr>
              <w:pStyle w:val="BodyTextIndent"/>
              <w:widowControl w:val="0"/>
              <w:spacing w:after="0"/>
              <w:ind w:left="0"/>
              <w:jc w:val="right"/>
              <w:rPr>
                <w:rFonts w:cs="Arial"/>
                <w:sz w:val="16"/>
                <w:szCs w:val="16"/>
              </w:rPr>
            </w:pPr>
            <w:r>
              <w:rPr>
                <w:rFonts w:cs="Arial"/>
                <w:sz w:val="16"/>
                <w:szCs w:val="16"/>
              </w:rPr>
              <w:t>54,900,471</w:t>
            </w:r>
          </w:p>
        </w:tc>
      </w:tr>
      <w:tr w:rsidR="00364DAA" w14:paraId="42D48894" w14:textId="77777777" w:rsidTr="000E08C5">
        <w:tc>
          <w:tcPr>
            <w:tcW w:w="1644" w:type="dxa"/>
            <w:tcBorders>
              <w:bottom w:val="single" w:sz="4" w:space="0" w:color="auto"/>
            </w:tcBorders>
          </w:tcPr>
          <w:p w14:paraId="62AE4984" w14:textId="568D7BBF" w:rsidR="00364DAA" w:rsidRDefault="00364DAA" w:rsidP="00364DAA">
            <w:pPr>
              <w:pStyle w:val="BodyTextIndent"/>
              <w:widowControl w:val="0"/>
              <w:spacing w:after="0"/>
              <w:ind w:left="169"/>
              <w:jc w:val="both"/>
              <w:rPr>
                <w:rFonts w:cs="Arial"/>
                <w:sz w:val="16"/>
                <w:szCs w:val="16"/>
              </w:rPr>
            </w:pPr>
            <w:r>
              <w:rPr>
                <w:rFonts w:cs="Arial"/>
                <w:sz w:val="16"/>
                <w:szCs w:val="16"/>
              </w:rPr>
              <w:t>Non-current</w:t>
            </w:r>
          </w:p>
        </w:tc>
        <w:tc>
          <w:tcPr>
            <w:tcW w:w="1372" w:type="dxa"/>
            <w:tcBorders>
              <w:bottom w:val="single" w:sz="4" w:space="0" w:color="auto"/>
            </w:tcBorders>
            <w:vAlign w:val="bottom"/>
          </w:tcPr>
          <w:p w14:paraId="5347448A" w14:textId="4CE398D7" w:rsidR="00364DAA" w:rsidRDefault="00364DAA" w:rsidP="00364DAA">
            <w:pPr>
              <w:pStyle w:val="BodyTextIndent"/>
              <w:widowControl w:val="0"/>
              <w:spacing w:after="0"/>
              <w:ind w:left="0"/>
              <w:jc w:val="right"/>
              <w:rPr>
                <w:rFonts w:cs="Arial"/>
                <w:sz w:val="16"/>
                <w:szCs w:val="16"/>
              </w:rPr>
            </w:pPr>
            <w:r>
              <w:rPr>
                <w:rFonts w:cs="Arial"/>
                <w:sz w:val="16"/>
                <w:szCs w:val="16"/>
              </w:rPr>
              <w:t>1,969,047</w:t>
            </w:r>
          </w:p>
        </w:tc>
        <w:tc>
          <w:tcPr>
            <w:tcW w:w="1372" w:type="dxa"/>
            <w:tcBorders>
              <w:bottom w:val="single" w:sz="4" w:space="0" w:color="auto"/>
            </w:tcBorders>
            <w:vAlign w:val="bottom"/>
          </w:tcPr>
          <w:p w14:paraId="701D3813" w14:textId="63A9FEDC" w:rsidR="00364DAA" w:rsidRDefault="00364DAA" w:rsidP="00364DAA">
            <w:pPr>
              <w:pStyle w:val="BodyTextIndent"/>
              <w:widowControl w:val="0"/>
              <w:spacing w:after="0"/>
              <w:ind w:left="0"/>
              <w:jc w:val="right"/>
              <w:rPr>
                <w:rFonts w:cs="Arial"/>
                <w:sz w:val="16"/>
                <w:szCs w:val="16"/>
              </w:rPr>
            </w:pPr>
            <w:r>
              <w:rPr>
                <w:rFonts w:cs="Arial"/>
                <w:sz w:val="16"/>
                <w:szCs w:val="16"/>
              </w:rPr>
              <w:t>–</w:t>
            </w:r>
          </w:p>
        </w:tc>
        <w:tc>
          <w:tcPr>
            <w:tcW w:w="1372" w:type="dxa"/>
            <w:tcBorders>
              <w:bottom w:val="single" w:sz="4" w:space="0" w:color="auto"/>
            </w:tcBorders>
            <w:vAlign w:val="bottom"/>
          </w:tcPr>
          <w:p w14:paraId="2BFD17DB" w14:textId="0C4354F6" w:rsidR="00364DAA" w:rsidRDefault="00364DAA" w:rsidP="00364DAA">
            <w:pPr>
              <w:pStyle w:val="BodyTextIndent"/>
              <w:widowControl w:val="0"/>
              <w:spacing w:after="0"/>
              <w:ind w:left="0"/>
              <w:jc w:val="right"/>
              <w:rPr>
                <w:rFonts w:cs="Arial"/>
                <w:sz w:val="16"/>
                <w:szCs w:val="16"/>
              </w:rPr>
            </w:pPr>
            <w:r>
              <w:rPr>
                <w:rFonts w:cs="Arial"/>
                <w:sz w:val="16"/>
                <w:szCs w:val="16"/>
              </w:rPr>
              <w:t>29,000,428</w:t>
            </w:r>
          </w:p>
        </w:tc>
        <w:tc>
          <w:tcPr>
            <w:tcW w:w="1372" w:type="dxa"/>
            <w:tcBorders>
              <w:bottom w:val="single" w:sz="4" w:space="0" w:color="auto"/>
            </w:tcBorders>
            <w:vAlign w:val="bottom"/>
          </w:tcPr>
          <w:p w14:paraId="2788F637" w14:textId="5ACE245D" w:rsidR="00364DAA" w:rsidRDefault="00364DAA" w:rsidP="00364DAA">
            <w:pPr>
              <w:pStyle w:val="BodyTextIndent"/>
              <w:widowControl w:val="0"/>
              <w:spacing w:after="0"/>
              <w:ind w:left="0"/>
              <w:jc w:val="right"/>
              <w:rPr>
                <w:rFonts w:cs="Arial"/>
                <w:sz w:val="16"/>
                <w:szCs w:val="16"/>
              </w:rPr>
            </w:pPr>
            <w:r>
              <w:rPr>
                <w:rFonts w:cs="Arial"/>
                <w:sz w:val="16"/>
                <w:szCs w:val="16"/>
              </w:rPr>
              <w:t>976,116</w:t>
            </w:r>
          </w:p>
        </w:tc>
        <w:tc>
          <w:tcPr>
            <w:tcW w:w="1373" w:type="dxa"/>
            <w:tcBorders>
              <w:bottom w:val="single" w:sz="4" w:space="0" w:color="auto"/>
            </w:tcBorders>
            <w:vAlign w:val="bottom"/>
          </w:tcPr>
          <w:p w14:paraId="4C5A64A9" w14:textId="2E70F64B" w:rsidR="00364DAA" w:rsidRDefault="00364DAA" w:rsidP="00364DAA">
            <w:pPr>
              <w:pStyle w:val="BodyTextIndent"/>
              <w:widowControl w:val="0"/>
              <w:spacing w:after="0"/>
              <w:ind w:left="0"/>
              <w:jc w:val="right"/>
              <w:rPr>
                <w:rFonts w:cs="Arial"/>
                <w:sz w:val="16"/>
                <w:szCs w:val="16"/>
              </w:rPr>
            </w:pPr>
            <w:r>
              <w:rPr>
                <w:rFonts w:cs="Arial"/>
                <w:sz w:val="16"/>
                <w:szCs w:val="16"/>
              </w:rPr>
              <w:t>31,945,591</w:t>
            </w:r>
          </w:p>
        </w:tc>
      </w:tr>
      <w:tr w:rsidR="00364DAA" w14:paraId="4DF69E6F" w14:textId="77777777" w:rsidTr="000E08C5">
        <w:tc>
          <w:tcPr>
            <w:tcW w:w="1644" w:type="dxa"/>
            <w:tcBorders>
              <w:top w:val="single" w:sz="4" w:space="0" w:color="auto"/>
              <w:bottom w:val="single" w:sz="4" w:space="0" w:color="auto"/>
            </w:tcBorders>
          </w:tcPr>
          <w:p w14:paraId="6E885FCB" w14:textId="77777777" w:rsidR="00364DAA" w:rsidRDefault="00364DAA" w:rsidP="00364DAA">
            <w:pPr>
              <w:pStyle w:val="BodyTextIndent"/>
              <w:widowControl w:val="0"/>
              <w:spacing w:after="0"/>
              <w:ind w:left="169"/>
              <w:jc w:val="both"/>
              <w:rPr>
                <w:rFonts w:cs="Arial"/>
                <w:sz w:val="16"/>
                <w:szCs w:val="16"/>
              </w:rPr>
            </w:pPr>
            <w:r>
              <w:rPr>
                <w:rFonts w:cs="Arial"/>
                <w:sz w:val="16"/>
                <w:szCs w:val="16"/>
              </w:rPr>
              <w:t>Total</w:t>
            </w:r>
          </w:p>
        </w:tc>
        <w:tc>
          <w:tcPr>
            <w:tcW w:w="1372" w:type="dxa"/>
            <w:tcBorders>
              <w:top w:val="single" w:sz="4" w:space="0" w:color="auto"/>
              <w:bottom w:val="single" w:sz="4" w:space="0" w:color="auto"/>
            </w:tcBorders>
            <w:vAlign w:val="bottom"/>
          </w:tcPr>
          <w:p w14:paraId="00CFDA46" w14:textId="46FCC38F" w:rsidR="00364DAA" w:rsidRDefault="00364DAA" w:rsidP="00364DAA">
            <w:pPr>
              <w:pStyle w:val="BodyTextIndent"/>
              <w:widowControl w:val="0"/>
              <w:spacing w:after="0"/>
              <w:ind w:left="0"/>
              <w:jc w:val="right"/>
              <w:rPr>
                <w:rFonts w:cs="Arial"/>
                <w:sz w:val="16"/>
                <w:szCs w:val="16"/>
              </w:rPr>
            </w:pPr>
            <w:r>
              <w:rPr>
                <w:rFonts w:cs="Arial"/>
                <w:sz w:val="16"/>
                <w:szCs w:val="16"/>
              </w:rPr>
              <w:t>19,361,405</w:t>
            </w:r>
          </w:p>
        </w:tc>
        <w:tc>
          <w:tcPr>
            <w:tcW w:w="1372" w:type="dxa"/>
            <w:tcBorders>
              <w:top w:val="single" w:sz="4" w:space="0" w:color="auto"/>
              <w:bottom w:val="single" w:sz="4" w:space="0" w:color="auto"/>
            </w:tcBorders>
            <w:vAlign w:val="bottom"/>
          </w:tcPr>
          <w:p w14:paraId="40F555B8" w14:textId="6363F3BE" w:rsidR="00364DAA" w:rsidRDefault="00364DAA" w:rsidP="00364DAA">
            <w:pPr>
              <w:pStyle w:val="BodyTextIndent"/>
              <w:widowControl w:val="0"/>
              <w:spacing w:after="0"/>
              <w:ind w:left="0"/>
              <w:jc w:val="right"/>
              <w:rPr>
                <w:rFonts w:cs="Arial"/>
                <w:sz w:val="16"/>
                <w:szCs w:val="16"/>
              </w:rPr>
            </w:pPr>
            <w:r>
              <w:rPr>
                <w:rFonts w:cs="Arial"/>
                <w:sz w:val="16"/>
                <w:szCs w:val="16"/>
              </w:rPr>
              <w:t>19,669,011</w:t>
            </w:r>
          </w:p>
        </w:tc>
        <w:tc>
          <w:tcPr>
            <w:tcW w:w="1372" w:type="dxa"/>
            <w:tcBorders>
              <w:top w:val="single" w:sz="4" w:space="0" w:color="auto"/>
              <w:bottom w:val="single" w:sz="4" w:space="0" w:color="auto"/>
            </w:tcBorders>
            <w:vAlign w:val="bottom"/>
          </w:tcPr>
          <w:p w14:paraId="1EE646B8" w14:textId="3DB33425" w:rsidR="00364DAA" w:rsidRDefault="00364DAA" w:rsidP="00364DAA">
            <w:pPr>
              <w:pStyle w:val="BodyTextIndent"/>
              <w:widowControl w:val="0"/>
              <w:spacing w:after="0"/>
              <w:ind w:left="0"/>
              <w:jc w:val="right"/>
              <w:rPr>
                <w:rFonts w:cs="Arial"/>
                <w:sz w:val="16"/>
                <w:szCs w:val="16"/>
              </w:rPr>
            </w:pPr>
            <w:r w:rsidRPr="00AB0217">
              <w:rPr>
                <w:rFonts w:cs="Arial"/>
                <w:sz w:val="16"/>
                <w:szCs w:val="16"/>
              </w:rPr>
              <w:t>45,787,526</w:t>
            </w:r>
          </w:p>
        </w:tc>
        <w:tc>
          <w:tcPr>
            <w:tcW w:w="1372" w:type="dxa"/>
            <w:tcBorders>
              <w:top w:val="single" w:sz="4" w:space="0" w:color="auto"/>
              <w:bottom w:val="single" w:sz="4" w:space="0" w:color="auto"/>
            </w:tcBorders>
            <w:vAlign w:val="bottom"/>
          </w:tcPr>
          <w:p w14:paraId="0333BBBE" w14:textId="36FE9F47" w:rsidR="00364DAA" w:rsidRDefault="00364DAA" w:rsidP="00364DAA">
            <w:pPr>
              <w:pStyle w:val="BodyTextIndent"/>
              <w:widowControl w:val="0"/>
              <w:spacing w:after="0"/>
              <w:ind w:left="0"/>
              <w:jc w:val="right"/>
              <w:rPr>
                <w:rFonts w:cs="Arial"/>
                <w:sz w:val="16"/>
                <w:szCs w:val="16"/>
              </w:rPr>
            </w:pPr>
            <w:r w:rsidRPr="000507D6">
              <w:rPr>
                <w:rFonts w:cs="Arial"/>
                <w:sz w:val="16"/>
                <w:szCs w:val="16"/>
              </w:rPr>
              <w:t>2,028,120</w:t>
            </w:r>
          </w:p>
        </w:tc>
        <w:tc>
          <w:tcPr>
            <w:tcW w:w="1373" w:type="dxa"/>
            <w:tcBorders>
              <w:top w:val="single" w:sz="4" w:space="0" w:color="auto"/>
              <w:bottom w:val="single" w:sz="4" w:space="0" w:color="auto"/>
            </w:tcBorders>
            <w:vAlign w:val="bottom"/>
          </w:tcPr>
          <w:p w14:paraId="72B612A8" w14:textId="37CEAC71" w:rsidR="00364DAA" w:rsidRDefault="00364DAA" w:rsidP="00364DAA">
            <w:pPr>
              <w:pStyle w:val="BodyTextIndent"/>
              <w:widowControl w:val="0"/>
              <w:spacing w:after="0"/>
              <w:ind w:left="0"/>
              <w:jc w:val="right"/>
              <w:rPr>
                <w:rFonts w:cs="Arial"/>
                <w:sz w:val="16"/>
                <w:szCs w:val="16"/>
              </w:rPr>
            </w:pPr>
            <w:r>
              <w:rPr>
                <w:rFonts w:cs="Arial"/>
                <w:sz w:val="16"/>
                <w:szCs w:val="16"/>
              </w:rPr>
              <w:t>86,846,062</w:t>
            </w:r>
          </w:p>
        </w:tc>
      </w:tr>
    </w:tbl>
    <w:p w14:paraId="26A21183" w14:textId="209C3E5A" w:rsidR="00421B6D" w:rsidRDefault="00421B6D" w:rsidP="000E08C5">
      <w:pPr>
        <w:pStyle w:val="BodyTextIndent"/>
        <w:widowControl w:val="0"/>
        <w:spacing w:before="40" w:after="0"/>
        <w:ind w:left="567" w:right="424" w:hanging="283"/>
        <w:jc w:val="both"/>
        <w:rPr>
          <w:rFonts w:cs="Arial"/>
          <w:sz w:val="16"/>
          <w:szCs w:val="16"/>
        </w:rPr>
      </w:pPr>
      <w:r w:rsidRPr="00B068B2">
        <w:rPr>
          <w:rFonts w:cs="Arial"/>
          <w:sz w:val="21"/>
          <w:szCs w:val="21"/>
          <w:vertAlign w:val="superscript"/>
        </w:rPr>
        <w:t>(a)</w:t>
      </w:r>
      <w:r w:rsidRPr="00B068B2">
        <w:rPr>
          <w:rFonts w:cs="Arial"/>
          <w:sz w:val="16"/>
          <w:szCs w:val="16"/>
        </w:rPr>
        <w:t xml:space="preserve">  </w:t>
      </w:r>
      <w:r w:rsidR="000E08C5">
        <w:rPr>
          <w:rFonts w:cs="Arial"/>
          <w:sz w:val="16"/>
          <w:szCs w:val="16"/>
        </w:rPr>
        <w:t>Excludes</w:t>
      </w:r>
      <w:r w:rsidRPr="00B068B2">
        <w:rPr>
          <w:rFonts w:cs="Arial"/>
          <w:sz w:val="16"/>
          <w:szCs w:val="16"/>
        </w:rPr>
        <w:t xml:space="preserve"> the in-kind liability balances of $</w:t>
      </w:r>
      <w:r w:rsidR="00B068B2" w:rsidRPr="00B068B2">
        <w:rPr>
          <w:rFonts w:cs="Arial"/>
          <w:sz w:val="16"/>
          <w:szCs w:val="16"/>
        </w:rPr>
        <w:t>36,148,199</w:t>
      </w:r>
      <w:r>
        <w:rPr>
          <w:rFonts w:cs="Arial"/>
          <w:sz w:val="16"/>
          <w:szCs w:val="16"/>
        </w:rPr>
        <w:t xml:space="preserve"> as </w:t>
      </w:r>
      <w:proofErr w:type="gramStart"/>
      <w:r>
        <w:rPr>
          <w:rFonts w:cs="Arial"/>
          <w:sz w:val="16"/>
          <w:szCs w:val="16"/>
        </w:rPr>
        <w:t>at</w:t>
      </w:r>
      <w:proofErr w:type="gramEnd"/>
      <w:r>
        <w:rPr>
          <w:rFonts w:cs="Arial"/>
          <w:sz w:val="16"/>
          <w:szCs w:val="16"/>
        </w:rPr>
        <w:t xml:space="preserve"> </w:t>
      </w:r>
      <w:r w:rsidR="00E91EF5">
        <w:rPr>
          <w:rFonts w:cs="Arial"/>
          <w:sz w:val="16"/>
          <w:szCs w:val="16"/>
        </w:rPr>
        <w:t>June 30</w:t>
      </w:r>
      <w:r>
        <w:rPr>
          <w:rFonts w:cs="Arial"/>
          <w:sz w:val="16"/>
          <w:szCs w:val="16"/>
        </w:rPr>
        <w:t xml:space="preserve">, </w:t>
      </w:r>
      <w:r w:rsidRPr="00B068B2">
        <w:rPr>
          <w:rFonts w:cs="Arial"/>
          <w:sz w:val="16"/>
          <w:szCs w:val="16"/>
        </w:rPr>
        <w:t>2026</w:t>
      </w:r>
      <w:r w:rsidR="000E08C5">
        <w:rPr>
          <w:rFonts w:cs="Arial"/>
          <w:sz w:val="16"/>
          <w:szCs w:val="16"/>
        </w:rPr>
        <w:t>,</w:t>
      </w:r>
      <w:r w:rsidR="00B068B2" w:rsidRPr="00B068B2">
        <w:rPr>
          <w:rFonts w:cs="Arial"/>
          <w:sz w:val="16"/>
          <w:szCs w:val="16"/>
        </w:rPr>
        <w:t xml:space="preserve"> $37,357,369</w:t>
      </w:r>
      <w:r w:rsidR="00B068B2">
        <w:rPr>
          <w:rFonts w:cs="Arial"/>
          <w:sz w:val="16"/>
          <w:szCs w:val="16"/>
        </w:rPr>
        <w:t xml:space="preserve"> as </w:t>
      </w:r>
      <w:proofErr w:type="gramStart"/>
      <w:r w:rsidR="00B068B2">
        <w:rPr>
          <w:rFonts w:cs="Arial"/>
          <w:sz w:val="16"/>
          <w:szCs w:val="16"/>
        </w:rPr>
        <w:t>at</w:t>
      </w:r>
      <w:proofErr w:type="gramEnd"/>
      <w:r>
        <w:rPr>
          <w:rFonts w:cs="Arial"/>
          <w:sz w:val="16"/>
          <w:szCs w:val="16"/>
        </w:rPr>
        <w:t xml:space="preserve"> December 31, </w:t>
      </w:r>
      <w:proofErr w:type="gramStart"/>
      <w:r>
        <w:rPr>
          <w:rFonts w:cs="Arial"/>
          <w:sz w:val="16"/>
          <w:szCs w:val="16"/>
        </w:rPr>
        <w:t>2025</w:t>
      </w:r>
      <w:proofErr w:type="gramEnd"/>
      <w:r>
        <w:rPr>
          <w:rFonts w:cs="Arial"/>
          <w:sz w:val="16"/>
          <w:szCs w:val="16"/>
        </w:rPr>
        <w:t xml:space="preserve"> </w:t>
      </w:r>
      <w:r w:rsidR="000E08C5">
        <w:rPr>
          <w:rFonts w:cs="Arial"/>
          <w:sz w:val="16"/>
          <w:szCs w:val="16"/>
        </w:rPr>
        <w:t>and</w:t>
      </w:r>
      <w:r>
        <w:rPr>
          <w:rFonts w:cs="Arial"/>
          <w:sz w:val="16"/>
          <w:szCs w:val="16"/>
        </w:rPr>
        <w:t xml:space="preserve"> $58,412,157 as </w:t>
      </w:r>
      <w:proofErr w:type="gramStart"/>
      <w:r>
        <w:rPr>
          <w:rFonts w:cs="Arial"/>
          <w:sz w:val="16"/>
          <w:szCs w:val="16"/>
        </w:rPr>
        <w:t>at</w:t>
      </w:r>
      <w:proofErr w:type="gramEnd"/>
      <w:r>
        <w:rPr>
          <w:rFonts w:cs="Arial"/>
          <w:sz w:val="16"/>
          <w:szCs w:val="16"/>
        </w:rPr>
        <w:t xml:space="preserve"> December 31, 2024.</w:t>
      </w:r>
    </w:p>
    <w:p w14:paraId="034E6B0D" w14:textId="77777777" w:rsidR="00123F4D" w:rsidRDefault="00123F4D" w:rsidP="006F7AF1">
      <w:pPr>
        <w:rPr>
          <w:rFonts w:cs="Arial"/>
          <w:b/>
          <w:bCs/>
          <w:caps/>
          <w:color w:val="000000"/>
          <w:sz w:val="22"/>
          <w:szCs w:val="22"/>
        </w:rPr>
      </w:pPr>
    </w:p>
    <w:p w14:paraId="7E16DFF1" w14:textId="6F8E5EDF" w:rsidR="006F7AF1" w:rsidRDefault="003A481B" w:rsidP="006F7AF1">
      <w:pPr>
        <w:rPr>
          <w:rFonts w:cs="Arial"/>
          <w:b/>
          <w:bCs/>
          <w:caps/>
          <w:color w:val="000000"/>
          <w:sz w:val="22"/>
          <w:szCs w:val="22"/>
        </w:rPr>
      </w:pPr>
      <w:r>
        <w:rPr>
          <w:rFonts w:cs="Arial"/>
          <w:b/>
          <w:bCs/>
          <w:caps/>
          <w:color w:val="000000"/>
          <w:sz w:val="22"/>
          <w:szCs w:val="22"/>
        </w:rPr>
        <w:t xml:space="preserve">RESULTS OF OPERATIONS </w:t>
      </w:r>
    </w:p>
    <w:p w14:paraId="7AE78BF9" w14:textId="77777777" w:rsidR="00F37F82" w:rsidRPr="00322109" w:rsidRDefault="00F37F82" w:rsidP="006F7AF1">
      <w:pPr>
        <w:rPr>
          <w:rFonts w:cs="Arial"/>
          <w:b/>
          <w:bCs/>
          <w:caps/>
          <w:color w:val="000000"/>
          <w:sz w:val="10"/>
          <w:szCs w:val="10"/>
        </w:rPr>
      </w:pPr>
    </w:p>
    <w:p w14:paraId="053FBA80" w14:textId="3CC8CABF" w:rsidR="00CD6649" w:rsidRPr="006F7AF1" w:rsidRDefault="00CD6649" w:rsidP="006F7AF1">
      <w:pPr>
        <w:rPr>
          <w:rFonts w:cs="Arial"/>
          <w:b/>
          <w:bCs/>
          <w:caps/>
          <w:color w:val="000000"/>
          <w:sz w:val="24"/>
          <w:szCs w:val="24"/>
        </w:rPr>
      </w:pPr>
      <w:r>
        <w:rPr>
          <w:rFonts w:cs="Arial"/>
          <w:b/>
        </w:rPr>
        <w:t>Operating Netback</w:t>
      </w:r>
    </w:p>
    <w:tbl>
      <w:tblPr>
        <w:tblW w:w="9450" w:type="dxa"/>
        <w:tblLayout w:type="fixed"/>
        <w:tblLook w:val="0400" w:firstRow="0" w:lastRow="0" w:firstColumn="0" w:lastColumn="0" w:noHBand="0" w:noVBand="1"/>
      </w:tblPr>
      <w:tblGrid>
        <w:gridCol w:w="3780"/>
        <w:gridCol w:w="270"/>
        <w:gridCol w:w="1350"/>
        <w:gridCol w:w="1350"/>
        <w:gridCol w:w="1350"/>
        <w:gridCol w:w="1350"/>
      </w:tblGrid>
      <w:tr w:rsidR="00E91EF5" w14:paraId="59049198" w14:textId="77777777" w:rsidTr="001354A6">
        <w:tc>
          <w:tcPr>
            <w:tcW w:w="3780" w:type="dxa"/>
            <w:tcBorders>
              <w:top w:val="single" w:sz="12" w:space="0" w:color="000000"/>
            </w:tcBorders>
            <w:vAlign w:val="bottom"/>
          </w:tcPr>
          <w:p w14:paraId="7531D8BD" w14:textId="77777777" w:rsidR="00E91EF5" w:rsidRDefault="00E91EF5" w:rsidP="00E91EF5">
            <w:pPr>
              <w:widowControl w:val="0"/>
              <w:pBdr>
                <w:top w:val="nil"/>
                <w:left w:val="nil"/>
                <w:bottom w:val="nil"/>
                <w:right w:val="nil"/>
                <w:between w:val="nil"/>
              </w:pBdr>
              <w:spacing w:before="60"/>
              <w:jc w:val="center"/>
              <w:rPr>
                <w:b/>
                <w:color w:val="000000"/>
                <w:sz w:val="18"/>
                <w:szCs w:val="18"/>
              </w:rPr>
            </w:pPr>
          </w:p>
        </w:tc>
        <w:tc>
          <w:tcPr>
            <w:tcW w:w="270" w:type="dxa"/>
            <w:tcBorders>
              <w:top w:val="single" w:sz="12" w:space="0" w:color="000000"/>
            </w:tcBorders>
            <w:vAlign w:val="bottom"/>
          </w:tcPr>
          <w:p w14:paraId="1454CFF6" w14:textId="77777777" w:rsidR="00E91EF5" w:rsidRDefault="00E91EF5" w:rsidP="00E91EF5">
            <w:pPr>
              <w:widowControl w:val="0"/>
              <w:pBdr>
                <w:top w:val="nil"/>
                <w:left w:val="nil"/>
                <w:bottom w:val="nil"/>
                <w:right w:val="nil"/>
                <w:between w:val="nil"/>
              </w:pBdr>
              <w:spacing w:before="60"/>
              <w:jc w:val="center"/>
              <w:rPr>
                <w:b/>
                <w:color w:val="000000"/>
                <w:sz w:val="16"/>
                <w:szCs w:val="16"/>
              </w:rPr>
            </w:pPr>
          </w:p>
        </w:tc>
        <w:tc>
          <w:tcPr>
            <w:tcW w:w="2700" w:type="dxa"/>
            <w:gridSpan w:val="2"/>
            <w:tcBorders>
              <w:top w:val="single" w:sz="12" w:space="0" w:color="000000"/>
            </w:tcBorders>
            <w:vAlign w:val="bottom"/>
          </w:tcPr>
          <w:p w14:paraId="14BAC93E" w14:textId="7771CE92" w:rsidR="00E91EF5" w:rsidRDefault="00E91EF5" w:rsidP="00E91EF5">
            <w:pPr>
              <w:widowControl w:val="0"/>
              <w:pBdr>
                <w:top w:val="nil"/>
                <w:left w:val="nil"/>
                <w:bottom w:val="nil"/>
                <w:right w:val="nil"/>
                <w:between w:val="nil"/>
              </w:pBdr>
              <w:spacing w:before="60"/>
              <w:jc w:val="center"/>
              <w:rPr>
                <w:b/>
                <w:color w:val="000000"/>
                <w:sz w:val="16"/>
                <w:szCs w:val="16"/>
              </w:rPr>
            </w:pPr>
            <w:r>
              <w:rPr>
                <w:rFonts w:cs="Arial"/>
                <w:b/>
                <w:sz w:val="16"/>
                <w:szCs w:val="16"/>
              </w:rPr>
              <w:t>Three months ended</w:t>
            </w:r>
          </w:p>
        </w:tc>
        <w:tc>
          <w:tcPr>
            <w:tcW w:w="2700" w:type="dxa"/>
            <w:gridSpan w:val="2"/>
            <w:tcBorders>
              <w:top w:val="single" w:sz="12" w:space="0" w:color="000000"/>
            </w:tcBorders>
            <w:vAlign w:val="bottom"/>
          </w:tcPr>
          <w:p w14:paraId="5CC6FDD4" w14:textId="22456688" w:rsidR="00E91EF5" w:rsidRDefault="00E91EF5" w:rsidP="00E91EF5">
            <w:pPr>
              <w:widowControl w:val="0"/>
              <w:pBdr>
                <w:top w:val="nil"/>
                <w:left w:val="nil"/>
                <w:bottom w:val="nil"/>
                <w:right w:val="nil"/>
                <w:between w:val="nil"/>
              </w:pBdr>
              <w:spacing w:before="60"/>
              <w:jc w:val="center"/>
              <w:rPr>
                <w:b/>
                <w:color w:val="000000"/>
                <w:sz w:val="16"/>
                <w:szCs w:val="16"/>
              </w:rPr>
            </w:pPr>
            <w:r>
              <w:rPr>
                <w:rFonts w:cs="Arial"/>
                <w:b/>
                <w:sz w:val="16"/>
                <w:szCs w:val="16"/>
              </w:rPr>
              <w:t>Six months ended</w:t>
            </w:r>
          </w:p>
        </w:tc>
      </w:tr>
      <w:tr w:rsidR="00E91EF5" w14:paraId="501A8896" w14:textId="77777777" w:rsidTr="001354A6">
        <w:tc>
          <w:tcPr>
            <w:tcW w:w="3780" w:type="dxa"/>
            <w:vAlign w:val="bottom"/>
          </w:tcPr>
          <w:p w14:paraId="1F525D6C" w14:textId="77777777" w:rsidR="00E91EF5" w:rsidRDefault="00E91EF5" w:rsidP="00E91EF5">
            <w:pPr>
              <w:widowControl w:val="0"/>
              <w:pBdr>
                <w:top w:val="nil"/>
                <w:left w:val="nil"/>
                <w:bottom w:val="nil"/>
                <w:right w:val="nil"/>
                <w:between w:val="nil"/>
              </w:pBdr>
              <w:jc w:val="center"/>
              <w:rPr>
                <w:color w:val="000000"/>
                <w:sz w:val="18"/>
                <w:szCs w:val="18"/>
              </w:rPr>
            </w:pPr>
          </w:p>
        </w:tc>
        <w:tc>
          <w:tcPr>
            <w:tcW w:w="270" w:type="dxa"/>
            <w:vAlign w:val="bottom"/>
          </w:tcPr>
          <w:p w14:paraId="35D6AC9C" w14:textId="77777777" w:rsidR="00E91EF5" w:rsidRDefault="00E91EF5" w:rsidP="00E91EF5">
            <w:pPr>
              <w:widowControl w:val="0"/>
              <w:pBdr>
                <w:top w:val="nil"/>
                <w:left w:val="nil"/>
                <w:bottom w:val="nil"/>
                <w:right w:val="nil"/>
                <w:between w:val="nil"/>
              </w:pBdr>
              <w:ind w:left="-108" w:right="-108"/>
              <w:jc w:val="center"/>
              <w:rPr>
                <w:b/>
                <w:color w:val="000000"/>
                <w:sz w:val="16"/>
                <w:szCs w:val="16"/>
              </w:rPr>
            </w:pPr>
          </w:p>
        </w:tc>
        <w:tc>
          <w:tcPr>
            <w:tcW w:w="2700" w:type="dxa"/>
            <w:gridSpan w:val="2"/>
            <w:vAlign w:val="bottom"/>
          </w:tcPr>
          <w:p w14:paraId="07A8B53E" w14:textId="5B7B4353"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June 30</w:t>
            </w:r>
          </w:p>
        </w:tc>
        <w:tc>
          <w:tcPr>
            <w:tcW w:w="2700" w:type="dxa"/>
            <w:gridSpan w:val="2"/>
            <w:vAlign w:val="bottom"/>
          </w:tcPr>
          <w:p w14:paraId="6E3DB375" w14:textId="07FAE4FB"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June 30</w:t>
            </w:r>
          </w:p>
        </w:tc>
      </w:tr>
      <w:tr w:rsidR="00E91EF5" w14:paraId="1B25A690" w14:textId="77777777" w:rsidTr="001354A6">
        <w:tc>
          <w:tcPr>
            <w:tcW w:w="3780" w:type="dxa"/>
            <w:vAlign w:val="bottom"/>
          </w:tcPr>
          <w:p w14:paraId="24F6D0B7" w14:textId="77777777" w:rsidR="00E91EF5" w:rsidRDefault="00E91EF5" w:rsidP="00E91EF5">
            <w:pPr>
              <w:widowControl w:val="0"/>
              <w:pBdr>
                <w:top w:val="nil"/>
                <w:left w:val="nil"/>
                <w:bottom w:val="nil"/>
                <w:right w:val="nil"/>
                <w:between w:val="nil"/>
              </w:pBdr>
              <w:rPr>
                <w:color w:val="000000"/>
                <w:sz w:val="18"/>
                <w:szCs w:val="18"/>
              </w:rPr>
            </w:pPr>
          </w:p>
        </w:tc>
        <w:tc>
          <w:tcPr>
            <w:tcW w:w="270" w:type="dxa"/>
            <w:vAlign w:val="bottom"/>
          </w:tcPr>
          <w:p w14:paraId="2BB1B760" w14:textId="77777777" w:rsidR="00E91EF5" w:rsidRDefault="00E91EF5" w:rsidP="00E91EF5">
            <w:pPr>
              <w:widowControl w:val="0"/>
              <w:pBdr>
                <w:top w:val="nil"/>
                <w:left w:val="nil"/>
                <w:bottom w:val="nil"/>
                <w:right w:val="nil"/>
                <w:between w:val="nil"/>
              </w:pBdr>
              <w:jc w:val="center"/>
              <w:rPr>
                <w:b/>
                <w:color w:val="000000"/>
                <w:sz w:val="16"/>
                <w:szCs w:val="16"/>
              </w:rPr>
            </w:pPr>
          </w:p>
        </w:tc>
        <w:tc>
          <w:tcPr>
            <w:tcW w:w="1350" w:type="dxa"/>
            <w:vAlign w:val="bottom"/>
          </w:tcPr>
          <w:p w14:paraId="5BD4AEDF" w14:textId="3F2F21D0"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50" w:type="dxa"/>
            <w:vAlign w:val="bottom"/>
          </w:tcPr>
          <w:p w14:paraId="0945886B" w14:textId="0E30FDFC"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c>
          <w:tcPr>
            <w:tcW w:w="1350" w:type="dxa"/>
            <w:vAlign w:val="bottom"/>
          </w:tcPr>
          <w:p w14:paraId="4B8F1775" w14:textId="0CB41333"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50" w:type="dxa"/>
            <w:vAlign w:val="bottom"/>
          </w:tcPr>
          <w:p w14:paraId="4B83D23F" w14:textId="0F9D1305"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r>
      <w:tr w:rsidR="008234F6" w14:paraId="1C7D8A5D" w14:textId="77777777" w:rsidTr="007B113D">
        <w:tc>
          <w:tcPr>
            <w:tcW w:w="3780" w:type="dxa"/>
            <w:tcBorders>
              <w:top w:val="single" w:sz="4" w:space="0" w:color="000000"/>
            </w:tcBorders>
          </w:tcPr>
          <w:p w14:paraId="0E739677" w14:textId="77777777" w:rsidR="008234F6" w:rsidRDefault="008234F6" w:rsidP="008234F6">
            <w:pPr>
              <w:pBdr>
                <w:top w:val="nil"/>
                <w:left w:val="nil"/>
                <w:bottom w:val="nil"/>
                <w:right w:val="nil"/>
                <w:between w:val="nil"/>
              </w:pBdr>
              <w:spacing w:before="60"/>
              <w:rPr>
                <w:color w:val="000000"/>
                <w:sz w:val="18"/>
                <w:szCs w:val="18"/>
              </w:rPr>
            </w:pPr>
            <w:r>
              <w:rPr>
                <w:color w:val="000000"/>
                <w:sz w:val="18"/>
                <w:szCs w:val="18"/>
              </w:rPr>
              <w:t>Oil and natural gas sales revenue ($)</w:t>
            </w:r>
          </w:p>
        </w:tc>
        <w:tc>
          <w:tcPr>
            <w:tcW w:w="270" w:type="dxa"/>
            <w:tcBorders>
              <w:top w:val="single" w:sz="4" w:space="0" w:color="000000"/>
            </w:tcBorders>
            <w:vAlign w:val="bottom"/>
          </w:tcPr>
          <w:p w14:paraId="036016E5" w14:textId="77777777" w:rsidR="008234F6" w:rsidRDefault="008234F6" w:rsidP="008234F6">
            <w:pPr>
              <w:pBdr>
                <w:top w:val="nil"/>
                <w:left w:val="nil"/>
                <w:bottom w:val="nil"/>
                <w:right w:val="nil"/>
                <w:between w:val="nil"/>
              </w:pBdr>
              <w:spacing w:before="60"/>
              <w:rPr>
                <w:color w:val="000000"/>
                <w:sz w:val="18"/>
                <w:szCs w:val="18"/>
              </w:rPr>
            </w:pPr>
          </w:p>
        </w:tc>
        <w:tc>
          <w:tcPr>
            <w:tcW w:w="1350" w:type="dxa"/>
            <w:tcBorders>
              <w:top w:val="single" w:sz="4" w:space="0" w:color="000000"/>
            </w:tcBorders>
            <w:vAlign w:val="bottom"/>
          </w:tcPr>
          <w:p w14:paraId="185B037E" w14:textId="18FF2F89" w:rsidR="008234F6" w:rsidRPr="00E30F06" w:rsidRDefault="00B068B2" w:rsidP="008234F6">
            <w:pPr>
              <w:pBdr>
                <w:top w:val="nil"/>
                <w:left w:val="nil"/>
                <w:bottom w:val="nil"/>
                <w:right w:val="nil"/>
                <w:between w:val="nil"/>
              </w:pBdr>
              <w:tabs>
                <w:tab w:val="decimal" w:pos="1065"/>
              </w:tabs>
              <w:ind w:right="-105"/>
              <w:rPr>
                <w:color w:val="000000"/>
                <w:sz w:val="18"/>
                <w:szCs w:val="18"/>
              </w:rPr>
            </w:pPr>
            <w:r>
              <w:rPr>
                <w:color w:val="000000"/>
                <w:sz w:val="18"/>
                <w:szCs w:val="18"/>
              </w:rPr>
              <w:t>69,206,301</w:t>
            </w:r>
          </w:p>
        </w:tc>
        <w:tc>
          <w:tcPr>
            <w:tcW w:w="1350" w:type="dxa"/>
            <w:tcBorders>
              <w:top w:val="single" w:sz="4" w:space="0" w:color="000000"/>
            </w:tcBorders>
            <w:vAlign w:val="bottom"/>
          </w:tcPr>
          <w:p w14:paraId="76A1CA5E" w14:textId="68963041" w:rsidR="008234F6" w:rsidRDefault="008234F6" w:rsidP="008234F6">
            <w:pPr>
              <w:pBdr>
                <w:top w:val="nil"/>
                <w:left w:val="nil"/>
                <w:bottom w:val="nil"/>
                <w:right w:val="nil"/>
                <w:between w:val="nil"/>
              </w:pBdr>
              <w:tabs>
                <w:tab w:val="decimal" w:pos="1065"/>
              </w:tabs>
              <w:ind w:right="-105"/>
              <w:rPr>
                <w:color w:val="000000"/>
                <w:sz w:val="18"/>
                <w:szCs w:val="18"/>
              </w:rPr>
            </w:pPr>
            <w:r>
              <w:rPr>
                <w:color w:val="000000"/>
                <w:sz w:val="18"/>
                <w:szCs w:val="18"/>
              </w:rPr>
              <w:t>22,208,934</w:t>
            </w:r>
          </w:p>
        </w:tc>
        <w:tc>
          <w:tcPr>
            <w:tcW w:w="1350" w:type="dxa"/>
            <w:tcBorders>
              <w:top w:val="single" w:sz="4" w:space="0" w:color="000000"/>
            </w:tcBorders>
            <w:vAlign w:val="bottom"/>
          </w:tcPr>
          <w:p w14:paraId="37DD70EF" w14:textId="3AF84FFD" w:rsidR="008234F6" w:rsidRPr="007B113D" w:rsidRDefault="00B068B2" w:rsidP="008234F6">
            <w:pPr>
              <w:pBdr>
                <w:top w:val="nil"/>
                <w:left w:val="nil"/>
                <w:bottom w:val="nil"/>
                <w:right w:val="nil"/>
                <w:between w:val="nil"/>
              </w:pBdr>
              <w:tabs>
                <w:tab w:val="decimal" w:pos="1065"/>
              </w:tabs>
              <w:ind w:right="-105"/>
              <w:rPr>
                <w:sz w:val="18"/>
                <w:szCs w:val="18"/>
              </w:rPr>
            </w:pPr>
            <w:r>
              <w:rPr>
                <w:sz w:val="18"/>
                <w:szCs w:val="18"/>
              </w:rPr>
              <w:t>113,687,522</w:t>
            </w:r>
          </w:p>
        </w:tc>
        <w:tc>
          <w:tcPr>
            <w:tcW w:w="1350" w:type="dxa"/>
            <w:tcBorders>
              <w:top w:val="single" w:sz="4" w:space="0" w:color="000000"/>
            </w:tcBorders>
            <w:vAlign w:val="bottom"/>
          </w:tcPr>
          <w:p w14:paraId="4542532C" w14:textId="26043B02" w:rsidR="008234F6" w:rsidRDefault="008234F6" w:rsidP="008234F6">
            <w:pPr>
              <w:pBdr>
                <w:top w:val="nil"/>
                <w:left w:val="nil"/>
                <w:bottom w:val="nil"/>
                <w:right w:val="nil"/>
                <w:between w:val="nil"/>
              </w:pBdr>
              <w:tabs>
                <w:tab w:val="decimal" w:pos="1065"/>
              </w:tabs>
              <w:ind w:right="-105"/>
              <w:rPr>
                <w:color w:val="000000"/>
                <w:sz w:val="18"/>
                <w:szCs w:val="18"/>
              </w:rPr>
            </w:pPr>
            <w:r>
              <w:rPr>
                <w:color w:val="000000"/>
                <w:sz w:val="18"/>
                <w:szCs w:val="18"/>
              </w:rPr>
              <w:t>45,717,428</w:t>
            </w:r>
          </w:p>
        </w:tc>
      </w:tr>
      <w:tr w:rsidR="008234F6" w14:paraId="1361C5C3" w14:textId="77777777">
        <w:tc>
          <w:tcPr>
            <w:tcW w:w="3780" w:type="dxa"/>
          </w:tcPr>
          <w:p w14:paraId="1731E149" w14:textId="77777777" w:rsidR="008234F6" w:rsidRDefault="008234F6" w:rsidP="008234F6">
            <w:pPr>
              <w:pBdr>
                <w:top w:val="nil"/>
                <w:left w:val="nil"/>
                <w:bottom w:val="nil"/>
                <w:right w:val="nil"/>
                <w:between w:val="nil"/>
              </w:pBdr>
              <w:rPr>
                <w:color w:val="000000"/>
                <w:sz w:val="18"/>
                <w:szCs w:val="18"/>
              </w:rPr>
            </w:pPr>
            <w:r>
              <w:rPr>
                <w:color w:val="000000"/>
                <w:sz w:val="18"/>
                <w:szCs w:val="18"/>
              </w:rPr>
              <w:t>Export tax ($)</w:t>
            </w:r>
          </w:p>
        </w:tc>
        <w:tc>
          <w:tcPr>
            <w:tcW w:w="270" w:type="dxa"/>
            <w:vAlign w:val="bottom"/>
          </w:tcPr>
          <w:p w14:paraId="6F9C7CA4" w14:textId="77777777" w:rsidR="008234F6" w:rsidRDefault="008234F6" w:rsidP="008234F6">
            <w:pPr>
              <w:pBdr>
                <w:top w:val="nil"/>
                <w:left w:val="nil"/>
                <w:bottom w:val="nil"/>
                <w:right w:val="nil"/>
                <w:between w:val="nil"/>
              </w:pBdr>
              <w:rPr>
                <w:color w:val="000000"/>
                <w:sz w:val="18"/>
                <w:szCs w:val="18"/>
              </w:rPr>
            </w:pPr>
          </w:p>
        </w:tc>
        <w:tc>
          <w:tcPr>
            <w:tcW w:w="1350" w:type="dxa"/>
            <w:vAlign w:val="bottom"/>
          </w:tcPr>
          <w:p w14:paraId="61669896" w14:textId="1F86FB59" w:rsidR="008234F6" w:rsidRPr="00E30F06" w:rsidRDefault="00B068B2" w:rsidP="008234F6">
            <w:pPr>
              <w:pBdr>
                <w:top w:val="nil"/>
                <w:left w:val="nil"/>
                <w:bottom w:val="nil"/>
                <w:right w:val="nil"/>
                <w:between w:val="nil"/>
              </w:pBdr>
              <w:tabs>
                <w:tab w:val="decimal" w:pos="1065"/>
              </w:tabs>
              <w:ind w:right="-105"/>
              <w:rPr>
                <w:color w:val="000000"/>
                <w:sz w:val="18"/>
                <w:szCs w:val="18"/>
              </w:rPr>
            </w:pPr>
            <w:r>
              <w:rPr>
                <w:color w:val="000000"/>
                <w:sz w:val="18"/>
                <w:szCs w:val="18"/>
              </w:rPr>
              <w:t>(106,195)</w:t>
            </w:r>
          </w:p>
        </w:tc>
        <w:tc>
          <w:tcPr>
            <w:tcW w:w="1350" w:type="dxa"/>
          </w:tcPr>
          <w:p w14:paraId="37F899D2" w14:textId="64C618AF" w:rsidR="008234F6" w:rsidRDefault="008234F6" w:rsidP="008234F6">
            <w:pPr>
              <w:pBdr>
                <w:top w:val="nil"/>
                <w:left w:val="nil"/>
                <w:bottom w:val="nil"/>
                <w:right w:val="nil"/>
                <w:between w:val="nil"/>
              </w:pBdr>
              <w:tabs>
                <w:tab w:val="decimal" w:pos="1065"/>
              </w:tabs>
              <w:ind w:right="-105"/>
              <w:rPr>
                <w:color w:val="000000"/>
                <w:sz w:val="18"/>
                <w:szCs w:val="18"/>
              </w:rPr>
            </w:pPr>
            <w:r w:rsidRPr="00DF5587">
              <w:rPr>
                <w:sz w:val="18"/>
                <w:szCs w:val="18"/>
              </w:rPr>
              <w:t xml:space="preserve"> (101,251)</w:t>
            </w:r>
          </w:p>
        </w:tc>
        <w:tc>
          <w:tcPr>
            <w:tcW w:w="1350" w:type="dxa"/>
            <w:vAlign w:val="bottom"/>
          </w:tcPr>
          <w:p w14:paraId="5731D345" w14:textId="348D397B" w:rsidR="008234F6" w:rsidRPr="007B113D" w:rsidRDefault="00B068B2" w:rsidP="008234F6">
            <w:pPr>
              <w:pBdr>
                <w:top w:val="nil"/>
                <w:left w:val="nil"/>
                <w:bottom w:val="nil"/>
                <w:right w:val="nil"/>
                <w:between w:val="nil"/>
              </w:pBdr>
              <w:tabs>
                <w:tab w:val="decimal" w:pos="1065"/>
              </w:tabs>
              <w:ind w:right="-105"/>
              <w:rPr>
                <w:sz w:val="18"/>
                <w:szCs w:val="18"/>
              </w:rPr>
            </w:pPr>
            <w:r>
              <w:rPr>
                <w:sz w:val="18"/>
                <w:szCs w:val="18"/>
              </w:rPr>
              <w:t>(181,041)</w:t>
            </w:r>
          </w:p>
        </w:tc>
        <w:tc>
          <w:tcPr>
            <w:tcW w:w="1350" w:type="dxa"/>
          </w:tcPr>
          <w:p w14:paraId="2D82F0EF" w14:textId="5CD6D6BB" w:rsidR="008234F6" w:rsidRDefault="008234F6" w:rsidP="008234F6">
            <w:pPr>
              <w:pBdr>
                <w:top w:val="nil"/>
                <w:left w:val="nil"/>
                <w:bottom w:val="nil"/>
                <w:right w:val="nil"/>
                <w:between w:val="nil"/>
              </w:pBdr>
              <w:tabs>
                <w:tab w:val="decimal" w:pos="1065"/>
              </w:tabs>
              <w:ind w:right="-105"/>
              <w:rPr>
                <w:color w:val="000000"/>
                <w:sz w:val="18"/>
                <w:szCs w:val="18"/>
              </w:rPr>
            </w:pPr>
            <w:r w:rsidRPr="00DF5587">
              <w:rPr>
                <w:sz w:val="18"/>
                <w:szCs w:val="18"/>
              </w:rPr>
              <w:t xml:space="preserve"> (193,755)</w:t>
            </w:r>
          </w:p>
        </w:tc>
      </w:tr>
      <w:tr w:rsidR="008234F6" w14:paraId="645C1DCE" w14:textId="77777777">
        <w:tc>
          <w:tcPr>
            <w:tcW w:w="3780" w:type="dxa"/>
            <w:vAlign w:val="bottom"/>
          </w:tcPr>
          <w:p w14:paraId="28EC8183" w14:textId="77777777" w:rsidR="008234F6" w:rsidRDefault="008234F6" w:rsidP="008234F6">
            <w:pPr>
              <w:pBdr>
                <w:top w:val="nil"/>
                <w:left w:val="nil"/>
                <w:bottom w:val="nil"/>
                <w:right w:val="nil"/>
                <w:between w:val="nil"/>
              </w:pBdr>
              <w:rPr>
                <w:color w:val="000000"/>
                <w:sz w:val="18"/>
                <w:szCs w:val="18"/>
              </w:rPr>
            </w:pPr>
            <w:r>
              <w:rPr>
                <w:color w:val="000000"/>
                <w:sz w:val="18"/>
                <w:szCs w:val="18"/>
              </w:rPr>
              <w:t>Royalties and turnover tax ($)</w:t>
            </w:r>
          </w:p>
        </w:tc>
        <w:tc>
          <w:tcPr>
            <w:tcW w:w="270" w:type="dxa"/>
            <w:vAlign w:val="bottom"/>
          </w:tcPr>
          <w:p w14:paraId="143156DC" w14:textId="77777777" w:rsidR="008234F6" w:rsidRDefault="008234F6" w:rsidP="008234F6">
            <w:pPr>
              <w:pBdr>
                <w:top w:val="nil"/>
                <w:left w:val="nil"/>
                <w:bottom w:val="nil"/>
                <w:right w:val="nil"/>
                <w:between w:val="nil"/>
              </w:pBdr>
              <w:rPr>
                <w:color w:val="000000"/>
                <w:sz w:val="18"/>
                <w:szCs w:val="18"/>
              </w:rPr>
            </w:pPr>
          </w:p>
        </w:tc>
        <w:tc>
          <w:tcPr>
            <w:tcW w:w="1350" w:type="dxa"/>
            <w:vAlign w:val="bottom"/>
          </w:tcPr>
          <w:p w14:paraId="43DDE859" w14:textId="7C53F793" w:rsidR="008234F6" w:rsidRPr="00E30F06" w:rsidRDefault="00B068B2" w:rsidP="008234F6">
            <w:pPr>
              <w:pBdr>
                <w:top w:val="nil"/>
                <w:left w:val="nil"/>
                <w:bottom w:val="nil"/>
                <w:right w:val="nil"/>
                <w:between w:val="nil"/>
              </w:pBdr>
              <w:tabs>
                <w:tab w:val="decimal" w:pos="1065"/>
              </w:tabs>
              <w:ind w:right="-105"/>
              <w:rPr>
                <w:color w:val="000000"/>
                <w:sz w:val="18"/>
                <w:szCs w:val="18"/>
              </w:rPr>
            </w:pPr>
            <w:r>
              <w:rPr>
                <w:color w:val="000000"/>
                <w:sz w:val="18"/>
                <w:szCs w:val="18"/>
              </w:rPr>
              <w:t>(12,278,455)</w:t>
            </w:r>
          </w:p>
        </w:tc>
        <w:tc>
          <w:tcPr>
            <w:tcW w:w="1350" w:type="dxa"/>
          </w:tcPr>
          <w:p w14:paraId="3327818A" w14:textId="1EADE112" w:rsidR="008234F6" w:rsidRDefault="008234F6" w:rsidP="008234F6">
            <w:pPr>
              <w:pBdr>
                <w:top w:val="nil"/>
                <w:left w:val="nil"/>
                <w:bottom w:val="nil"/>
                <w:right w:val="nil"/>
                <w:between w:val="nil"/>
              </w:pBdr>
              <w:tabs>
                <w:tab w:val="decimal" w:pos="1065"/>
              </w:tabs>
              <w:ind w:right="-105"/>
              <w:rPr>
                <w:color w:val="000000"/>
                <w:sz w:val="18"/>
                <w:szCs w:val="18"/>
              </w:rPr>
            </w:pPr>
            <w:r w:rsidRPr="00DF5587">
              <w:rPr>
                <w:sz w:val="18"/>
                <w:szCs w:val="18"/>
              </w:rPr>
              <w:t xml:space="preserve"> (3,963,657)</w:t>
            </w:r>
          </w:p>
        </w:tc>
        <w:tc>
          <w:tcPr>
            <w:tcW w:w="1350" w:type="dxa"/>
            <w:vAlign w:val="bottom"/>
          </w:tcPr>
          <w:p w14:paraId="0DA1517E" w14:textId="01EBA1E1" w:rsidR="008234F6" w:rsidRPr="007B113D" w:rsidRDefault="00B068B2" w:rsidP="008234F6">
            <w:pPr>
              <w:pBdr>
                <w:top w:val="nil"/>
                <w:left w:val="nil"/>
                <w:bottom w:val="nil"/>
                <w:right w:val="nil"/>
                <w:between w:val="nil"/>
              </w:pBdr>
              <w:tabs>
                <w:tab w:val="decimal" w:pos="1065"/>
              </w:tabs>
              <w:ind w:right="-105"/>
              <w:rPr>
                <w:sz w:val="18"/>
                <w:szCs w:val="18"/>
              </w:rPr>
            </w:pPr>
            <w:r>
              <w:rPr>
                <w:sz w:val="18"/>
                <w:szCs w:val="18"/>
              </w:rPr>
              <w:t>(20,711,653)</w:t>
            </w:r>
          </w:p>
        </w:tc>
        <w:tc>
          <w:tcPr>
            <w:tcW w:w="1350" w:type="dxa"/>
          </w:tcPr>
          <w:p w14:paraId="00C017C2" w14:textId="36E02E8C" w:rsidR="008234F6" w:rsidRDefault="008234F6" w:rsidP="008234F6">
            <w:pPr>
              <w:pBdr>
                <w:top w:val="nil"/>
                <w:left w:val="nil"/>
                <w:bottom w:val="nil"/>
                <w:right w:val="nil"/>
                <w:between w:val="nil"/>
              </w:pBdr>
              <w:tabs>
                <w:tab w:val="decimal" w:pos="1065"/>
              </w:tabs>
              <w:ind w:right="-105"/>
              <w:rPr>
                <w:color w:val="000000"/>
                <w:sz w:val="18"/>
                <w:szCs w:val="18"/>
              </w:rPr>
            </w:pPr>
            <w:r w:rsidRPr="00DF5587">
              <w:rPr>
                <w:sz w:val="18"/>
                <w:szCs w:val="18"/>
              </w:rPr>
              <w:t xml:space="preserve"> (8,163,142)</w:t>
            </w:r>
          </w:p>
        </w:tc>
      </w:tr>
      <w:tr w:rsidR="008234F6" w14:paraId="0638AB36" w14:textId="77777777">
        <w:tc>
          <w:tcPr>
            <w:tcW w:w="3780" w:type="dxa"/>
            <w:tcBorders>
              <w:bottom w:val="single" w:sz="4" w:space="0" w:color="000000"/>
            </w:tcBorders>
            <w:vAlign w:val="bottom"/>
          </w:tcPr>
          <w:p w14:paraId="3CF047BF" w14:textId="77777777" w:rsidR="008234F6" w:rsidRDefault="008234F6" w:rsidP="008234F6">
            <w:pPr>
              <w:pBdr>
                <w:top w:val="nil"/>
                <w:left w:val="nil"/>
                <w:bottom w:val="nil"/>
                <w:right w:val="nil"/>
                <w:between w:val="nil"/>
              </w:pBdr>
              <w:rPr>
                <w:color w:val="000000"/>
                <w:sz w:val="18"/>
                <w:szCs w:val="18"/>
              </w:rPr>
            </w:pPr>
            <w:r>
              <w:rPr>
                <w:color w:val="000000"/>
                <w:sz w:val="18"/>
                <w:szCs w:val="18"/>
              </w:rPr>
              <w:t>Operating costs ($)</w:t>
            </w:r>
          </w:p>
        </w:tc>
        <w:tc>
          <w:tcPr>
            <w:tcW w:w="270" w:type="dxa"/>
            <w:tcBorders>
              <w:bottom w:val="single" w:sz="4" w:space="0" w:color="000000"/>
            </w:tcBorders>
            <w:vAlign w:val="bottom"/>
          </w:tcPr>
          <w:p w14:paraId="68FD3C82" w14:textId="77777777" w:rsidR="008234F6" w:rsidRDefault="008234F6" w:rsidP="008234F6">
            <w:pPr>
              <w:pBdr>
                <w:top w:val="nil"/>
                <w:left w:val="nil"/>
                <w:bottom w:val="nil"/>
                <w:right w:val="nil"/>
                <w:between w:val="nil"/>
              </w:pBdr>
              <w:rPr>
                <w:color w:val="000000"/>
                <w:sz w:val="18"/>
                <w:szCs w:val="18"/>
              </w:rPr>
            </w:pPr>
          </w:p>
        </w:tc>
        <w:tc>
          <w:tcPr>
            <w:tcW w:w="1350" w:type="dxa"/>
            <w:tcBorders>
              <w:bottom w:val="single" w:sz="4" w:space="0" w:color="000000"/>
            </w:tcBorders>
            <w:vAlign w:val="bottom"/>
          </w:tcPr>
          <w:p w14:paraId="56072410" w14:textId="6D412A6F" w:rsidR="008234F6" w:rsidRPr="00E30F06" w:rsidRDefault="00B068B2" w:rsidP="008234F6">
            <w:pPr>
              <w:pBdr>
                <w:top w:val="nil"/>
                <w:left w:val="nil"/>
                <w:bottom w:val="nil"/>
                <w:right w:val="nil"/>
                <w:between w:val="nil"/>
              </w:pBdr>
              <w:tabs>
                <w:tab w:val="decimal" w:pos="1065"/>
              </w:tabs>
              <w:ind w:right="-105"/>
              <w:rPr>
                <w:color w:val="000000"/>
                <w:sz w:val="18"/>
                <w:szCs w:val="18"/>
              </w:rPr>
            </w:pPr>
            <w:r>
              <w:rPr>
                <w:color w:val="000000"/>
                <w:sz w:val="18"/>
                <w:szCs w:val="18"/>
              </w:rPr>
              <w:t>(35,362,950)</w:t>
            </w:r>
          </w:p>
        </w:tc>
        <w:tc>
          <w:tcPr>
            <w:tcW w:w="1350" w:type="dxa"/>
            <w:tcBorders>
              <w:bottom w:val="single" w:sz="4" w:space="0" w:color="000000"/>
            </w:tcBorders>
          </w:tcPr>
          <w:p w14:paraId="6AFF55AC" w14:textId="0FA02DCF" w:rsidR="008234F6" w:rsidRDefault="008234F6" w:rsidP="008234F6">
            <w:pPr>
              <w:pBdr>
                <w:top w:val="nil"/>
                <w:left w:val="nil"/>
                <w:bottom w:val="nil"/>
                <w:right w:val="nil"/>
                <w:between w:val="nil"/>
              </w:pBdr>
              <w:tabs>
                <w:tab w:val="decimal" w:pos="1065"/>
              </w:tabs>
              <w:ind w:right="-105"/>
              <w:rPr>
                <w:color w:val="000000"/>
                <w:sz w:val="18"/>
                <w:szCs w:val="18"/>
              </w:rPr>
            </w:pPr>
            <w:r w:rsidRPr="00DF5587">
              <w:rPr>
                <w:sz w:val="18"/>
                <w:szCs w:val="18"/>
              </w:rPr>
              <w:t xml:space="preserve"> (20,927,925)</w:t>
            </w:r>
          </w:p>
        </w:tc>
        <w:tc>
          <w:tcPr>
            <w:tcW w:w="1350" w:type="dxa"/>
            <w:tcBorders>
              <w:bottom w:val="single" w:sz="4" w:space="0" w:color="000000"/>
            </w:tcBorders>
            <w:vAlign w:val="bottom"/>
          </w:tcPr>
          <w:p w14:paraId="60869BD9" w14:textId="294A77F6" w:rsidR="008234F6" w:rsidRPr="007B113D" w:rsidRDefault="00B068B2" w:rsidP="008234F6">
            <w:pPr>
              <w:pBdr>
                <w:top w:val="nil"/>
                <w:left w:val="nil"/>
                <w:bottom w:val="nil"/>
                <w:right w:val="nil"/>
                <w:between w:val="nil"/>
              </w:pBdr>
              <w:tabs>
                <w:tab w:val="decimal" w:pos="1065"/>
              </w:tabs>
              <w:ind w:right="-105"/>
              <w:rPr>
                <w:sz w:val="18"/>
                <w:szCs w:val="18"/>
              </w:rPr>
            </w:pPr>
            <w:r>
              <w:rPr>
                <w:sz w:val="18"/>
                <w:szCs w:val="18"/>
              </w:rPr>
              <w:t>(62,856,704)</w:t>
            </w:r>
          </w:p>
        </w:tc>
        <w:tc>
          <w:tcPr>
            <w:tcW w:w="1350" w:type="dxa"/>
            <w:tcBorders>
              <w:bottom w:val="single" w:sz="4" w:space="0" w:color="000000"/>
            </w:tcBorders>
          </w:tcPr>
          <w:p w14:paraId="2715B11F" w14:textId="65EF462E" w:rsidR="008234F6" w:rsidRDefault="008234F6" w:rsidP="008234F6">
            <w:pPr>
              <w:pBdr>
                <w:top w:val="nil"/>
                <w:left w:val="nil"/>
                <w:bottom w:val="nil"/>
                <w:right w:val="nil"/>
                <w:between w:val="nil"/>
              </w:pBdr>
              <w:tabs>
                <w:tab w:val="decimal" w:pos="1065"/>
              </w:tabs>
              <w:ind w:right="-105"/>
              <w:rPr>
                <w:color w:val="000000"/>
                <w:sz w:val="18"/>
                <w:szCs w:val="18"/>
              </w:rPr>
            </w:pPr>
            <w:r w:rsidRPr="00DF5587">
              <w:rPr>
                <w:sz w:val="18"/>
                <w:szCs w:val="18"/>
              </w:rPr>
              <w:t xml:space="preserve"> (39,180,510)</w:t>
            </w:r>
          </w:p>
        </w:tc>
      </w:tr>
      <w:tr w:rsidR="008234F6" w14:paraId="3B2E68C6" w14:textId="77777777" w:rsidTr="000E08C5">
        <w:trPr>
          <w:trHeight w:val="283"/>
        </w:trPr>
        <w:tc>
          <w:tcPr>
            <w:tcW w:w="3780" w:type="dxa"/>
            <w:tcBorders>
              <w:bottom w:val="single" w:sz="4" w:space="0" w:color="000000"/>
            </w:tcBorders>
            <w:vAlign w:val="center"/>
          </w:tcPr>
          <w:p w14:paraId="1A335F5F" w14:textId="668DA88B" w:rsidR="008234F6" w:rsidRDefault="008234F6" w:rsidP="008234F6">
            <w:pPr>
              <w:pBdr>
                <w:top w:val="nil"/>
                <w:left w:val="nil"/>
                <w:bottom w:val="nil"/>
                <w:right w:val="nil"/>
                <w:between w:val="nil"/>
              </w:pBdr>
              <w:rPr>
                <w:color w:val="000000"/>
                <w:sz w:val="18"/>
                <w:szCs w:val="18"/>
              </w:rPr>
            </w:pPr>
            <w:r>
              <w:rPr>
                <w:color w:val="000000"/>
                <w:sz w:val="18"/>
                <w:szCs w:val="18"/>
              </w:rPr>
              <w:t xml:space="preserve">Operating netback </w:t>
            </w:r>
            <w:r>
              <w:rPr>
                <w:color w:val="000000"/>
                <w:vertAlign w:val="superscript"/>
              </w:rPr>
              <w:t xml:space="preserve">(1) </w:t>
            </w:r>
            <w:r>
              <w:rPr>
                <w:color w:val="000000"/>
                <w:sz w:val="18"/>
                <w:szCs w:val="18"/>
              </w:rPr>
              <w:t>($)</w:t>
            </w:r>
          </w:p>
        </w:tc>
        <w:tc>
          <w:tcPr>
            <w:tcW w:w="270" w:type="dxa"/>
            <w:tcBorders>
              <w:bottom w:val="single" w:sz="4" w:space="0" w:color="000000"/>
            </w:tcBorders>
            <w:vAlign w:val="center"/>
          </w:tcPr>
          <w:p w14:paraId="3FDE8F9D" w14:textId="77777777" w:rsidR="008234F6" w:rsidRDefault="008234F6" w:rsidP="008234F6">
            <w:pPr>
              <w:pBdr>
                <w:top w:val="nil"/>
                <w:left w:val="nil"/>
                <w:bottom w:val="nil"/>
                <w:right w:val="nil"/>
                <w:between w:val="nil"/>
              </w:pBdr>
              <w:rPr>
                <w:color w:val="000000"/>
                <w:sz w:val="18"/>
                <w:szCs w:val="18"/>
              </w:rPr>
            </w:pPr>
          </w:p>
        </w:tc>
        <w:tc>
          <w:tcPr>
            <w:tcW w:w="1350" w:type="dxa"/>
            <w:tcBorders>
              <w:bottom w:val="single" w:sz="4" w:space="0" w:color="000000"/>
            </w:tcBorders>
            <w:vAlign w:val="center"/>
          </w:tcPr>
          <w:p w14:paraId="58384B2E" w14:textId="287DB8EF" w:rsidR="008234F6" w:rsidRPr="00E30F06" w:rsidRDefault="00B068B2" w:rsidP="000E08C5">
            <w:pPr>
              <w:pBdr>
                <w:top w:val="nil"/>
                <w:left w:val="nil"/>
                <w:bottom w:val="nil"/>
                <w:right w:val="nil"/>
                <w:between w:val="nil"/>
              </w:pBdr>
              <w:tabs>
                <w:tab w:val="decimal" w:pos="1065"/>
              </w:tabs>
              <w:ind w:right="-105"/>
              <w:rPr>
                <w:color w:val="000000"/>
                <w:sz w:val="18"/>
                <w:szCs w:val="18"/>
              </w:rPr>
            </w:pPr>
            <w:r>
              <w:rPr>
                <w:color w:val="000000"/>
                <w:sz w:val="18"/>
                <w:szCs w:val="18"/>
              </w:rPr>
              <w:t>21,458,701</w:t>
            </w:r>
          </w:p>
        </w:tc>
        <w:tc>
          <w:tcPr>
            <w:tcW w:w="1350" w:type="dxa"/>
            <w:tcBorders>
              <w:bottom w:val="single" w:sz="4" w:space="0" w:color="000000"/>
            </w:tcBorders>
            <w:vAlign w:val="center"/>
          </w:tcPr>
          <w:p w14:paraId="02A9190D" w14:textId="18D1D047" w:rsidR="008234F6" w:rsidRDefault="008234F6" w:rsidP="008234F6">
            <w:pPr>
              <w:pBdr>
                <w:top w:val="nil"/>
                <w:left w:val="nil"/>
                <w:bottom w:val="nil"/>
                <w:right w:val="nil"/>
                <w:between w:val="nil"/>
              </w:pBdr>
              <w:tabs>
                <w:tab w:val="decimal" w:pos="1065"/>
              </w:tabs>
              <w:ind w:right="-105"/>
              <w:rPr>
                <w:color w:val="000000"/>
                <w:sz w:val="18"/>
                <w:szCs w:val="18"/>
              </w:rPr>
            </w:pPr>
            <w:r>
              <w:rPr>
                <w:color w:val="000000"/>
                <w:sz w:val="18"/>
                <w:szCs w:val="18"/>
              </w:rPr>
              <w:t>(2,783,899)</w:t>
            </w:r>
          </w:p>
        </w:tc>
        <w:tc>
          <w:tcPr>
            <w:tcW w:w="1350" w:type="dxa"/>
            <w:tcBorders>
              <w:bottom w:val="single" w:sz="4" w:space="0" w:color="000000"/>
            </w:tcBorders>
            <w:vAlign w:val="center"/>
          </w:tcPr>
          <w:p w14:paraId="2C32CC6F" w14:textId="20D1DC3B" w:rsidR="008234F6" w:rsidRPr="005B3167" w:rsidRDefault="00B068B2" w:rsidP="008234F6">
            <w:pPr>
              <w:pBdr>
                <w:top w:val="nil"/>
                <w:left w:val="nil"/>
                <w:bottom w:val="nil"/>
                <w:right w:val="nil"/>
                <w:between w:val="nil"/>
              </w:pBdr>
              <w:tabs>
                <w:tab w:val="decimal" w:pos="1065"/>
              </w:tabs>
              <w:ind w:right="-105"/>
              <w:rPr>
                <w:color w:val="000000"/>
                <w:sz w:val="18"/>
                <w:szCs w:val="18"/>
              </w:rPr>
            </w:pPr>
            <w:r>
              <w:rPr>
                <w:color w:val="000000"/>
                <w:sz w:val="18"/>
                <w:szCs w:val="18"/>
              </w:rPr>
              <w:t>29,938,124</w:t>
            </w:r>
          </w:p>
        </w:tc>
        <w:tc>
          <w:tcPr>
            <w:tcW w:w="1350" w:type="dxa"/>
            <w:tcBorders>
              <w:bottom w:val="single" w:sz="4" w:space="0" w:color="000000"/>
            </w:tcBorders>
            <w:vAlign w:val="center"/>
          </w:tcPr>
          <w:p w14:paraId="33D98775" w14:textId="4C4409E8" w:rsidR="008234F6" w:rsidRDefault="008234F6" w:rsidP="008234F6">
            <w:pPr>
              <w:pBdr>
                <w:top w:val="nil"/>
                <w:left w:val="nil"/>
                <w:bottom w:val="nil"/>
                <w:right w:val="nil"/>
                <w:between w:val="nil"/>
              </w:pBdr>
              <w:tabs>
                <w:tab w:val="decimal" w:pos="1065"/>
              </w:tabs>
              <w:ind w:right="-105"/>
              <w:rPr>
                <w:color w:val="000000"/>
                <w:sz w:val="18"/>
                <w:szCs w:val="18"/>
              </w:rPr>
            </w:pPr>
            <w:r>
              <w:rPr>
                <w:color w:val="000000"/>
                <w:sz w:val="18"/>
                <w:szCs w:val="18"/>
              </w:rPr>
              <w:t>(1,819,979)</w:t>
            </w:r>
          </w:p>
        </w:tc>
      </w:tr>
      <w:tr w:rsidR="008234F6" w14:paraId="1E7F0A3E" w14:textId="77777777" w:rsidTr="001354A6">
        <w:trPr>
          <w:trHeight w:val="50"/>
        </w:trPr>
        <w:tc>
          <w:tcPr>
            <w:tcW w:w="9450" w:type="dxa"/>
            <w:gridSpan w:val="6"/>
            <w:tcBorders>
              <w:top w:val="single" w:sz="12" w:space="0" w:color="000000"/>
            </w:tcBorders>
            <w:vAlign w:val="bottom"/>
          </w:tcPr>
          <w:p w14:paraId="17B51689" w14:textId="77777777" w:rsidR="008234F6" w:rsidRDefault="008234F6" w:rsidP="008234F6">
            <w:pPr>
              <w:widowControl w:val="0"/>
              <w:pBdr>
                <w:top w:val="nil"/>
                <w:left w:val="nil"/>
                <w:bottom w:val="nil"/>
                <w:right w:val="nil"/>
                <w:between w:val="nil"/>
              </w:pBdr>
              <w:rPr>
                <w:color w:val="000000"/>
                <w:sz w:val="4"/>
                <w:szCs w:val="4"/>
              </w:rPr>
            </w:pPr>
          </w:p>
          <w:p w14:paraId="192E40F7" w14:textId="77777777" w:rsidR="008234F6" w:rsidRDefault="008234F6" w:rsidP="008234F6">
            <w:pPr>
              <w:widowControl w:val="0"/>
              <w:pBdr>
                <w:top w:val="nil"/>
                <w:left w:val="nil"/>
                <w:bottom w:val="nil"/>
                <w:right w:val="nil"/>
                <w:between w:val="nil"/>
              </w:pBdr>
              <w:rPr>
                <w:color w:val="000000"/>
                <w:sz w:val="4"/>
                <w:szCs w:val="4"/>
              </w:rPr>
            </w:pPr>
          </w:p>
        </w:tc>
      </w:tr>
    </w:tbl>
    <w:p w14:paraId="0AADCA42" w14:textId="19063E12" w:rsidR="00CD6649" w:rsidRPr="000E7AA5" w:rsidRDefault="00217F3B" w:rsidP="005370AC">
      <w:pPr>
        <w:widowControl w:val="0"/>
        <w:spacing w:after="120"/>
        <w:ind w:left="288" w:hanging="288"/>
        <w:jc w:val="both"/>
        <w:outlineLvl w:val="8"/>
        <w:rPr>
          <w:rFonts w:cs="Arial"/>
          <w:sz w:val="16"/>
          <w:szCs w:val="16"/>
        </w:rPr>
      </w:pPr>
      <w:r>
        <w:rPr>
          <w:rFonts w:cs="Arial"/>
          <w:color w:val="000000"/>
          <w:vertAlign w:val="superscript"/>
        </w:rPr>
        <w:t xml:space="preserve">(1) </w:t>
      </w:r>
      <w:r w:rsidR="00DA26F6" w:rsidRPr="000E7AA5">
        <w:rPr>
          <w:rFonts w:cs="Arial"/>
          <w:sz w:val="16"/>
          <w:szCs w:val="16"/>
        </w:rPr>
        <w:t>"Operating netback" is a non-IFRS measure.  See "Non-IFRS and Other Financial Measures".</w:t>
      </w:r>
    </w:p>
    <w:tbl>
      <w:tblPr>
        <w:tblW w:w="9450" w:type="dxa"/>
        <w:tblLayout w:type="fixed"/>
        <w:tblLook w:val="0400" w:firstRow="0" w:lastRow="0" w:firstColumn="0" w:lastColumn="0" w:noHBand="0" w:noVBand="1"/>
      </w:tblPr>
      <w:tblGrid>
        <w:gridCol w:w="3780"/>
        <w:gridCol w:w="270"/>
        <w:gridCol w:w="1350"/>
        <w:gridCol w:w="1350"/>
        <w:gridCol w:w="1350"/>
        <w:gridCol w:w="1350"/>
      </w:tblGrid>
      <w:tr w:rsidR="00E91EF5" w14:paraId="3B1E19A5" w14:textId="77777777" w:rsidTr="005370AC">
        <w:tc>
          <w:tcPr>
            <w:tcW w:w="3780" w:type="dxa"/>
            <w:vMerge w:val="restart"/>
            <w:tcBorders>
              <w:top w:val="single" w:sz="12" w:space="0" w:color="000000"/>
            </w:tcBorders>
            <w:vAlign w:val="center"/>
          </w:tcPr>
          <w:p w14:paraId="5980DBAE" w14:textId="77777777" w:rsidR="00E91EF5" w:rsidRDefault="00E91EF5" w:rsidP="00E91EF5">
            <w:pPr>
              <w:widowControl w:val="0"/>
              <w:pBdr>
                <w:top w:val="nil"/>
                <w:left w:val="nil"/>
                <w:bottom w:val="nil"/>
                <w:right w:val="nil"/>
                <w:between w:val="nil"/>
              </w:pBdr>
              <w:rPr>
                <w:b/>
                <w:color w:val="000000"/>
                <w:sz w:val="18"/>
                <w:szCs w:val="18"/>
              </w:rPr>
            </w:pPr>
            <w:r>
              <w:rPr>
                <w:color w:val="000000"/>
                <w:sz w:val="18"/>
                <w:szCs w:val="18"/>
              </w:rPr>
              <w:t>Per BOE, except total BOE sales volumes</w:t>
            </w:r>
          </w:p>
        </w:tc>
        <w:tc>
          <w:tcPr>
            <w:tcW w:w="270" w:type="dxa"/>
            <w:tcBorders>
              <w:top w:val="single" w:sz="12" w:space="0" w:color="000000"/>
            </w:tcBorders>
            <w:vAlign w:val="bottom"/>
          </w:tcPr>
          <w:p w14:paraId="3F789168" w14:textId="77777777" w:rsidR="00E91EF5" w:rsidRDefault="00E91EF5" w:rsidP="00E91EF5">
            <w:pPr>
              <w:widowControl w:val="0"/>
              <w:pBdr>
                <w:top w:val="nil"/>
                <w:left w:val="nil"/>
                <w:bottom w:val="nil"/>
                <w:right w:val="nil"/>
                <w:between w:val="nil"/>
              </w:pBdr>
              <w:spacing w:before="60"/>
              <w:jc w:val="center"/>
              <w:rPr>
                <w:b/>
                <w:color w:val="000000"/>
                <w:sz w:val="16"/>
                <w:szCs w:val="16"/>
              </w:rPr>
            </w:pPr>
          </w:p>
        </w:tc>
        <w:tc>
          <w:tcPr>
            <w:tcW w:w="2700" w:type="dxa"/>
            <w:gridSpan w:val="2"/>
            <w:tcBorders>
              <w:top w:val="single" w:sz="12" w:space="0" w:color="000000"/>
            </w:tcBorders>
            <w:vAlign w:val="bottom"/>
          </w:tcPr>
          <w:p w14:paraId="0F6F0B8A" w14:textId="16AF2960" w:rsidR="00E91EF5" w:rsidRDefault="00E91EF5" w:rsidP="00E91EF5">
            <w:pPr>
              <w:widowControl w:val="0"/>
              <w:pBdr>
                <w:top w:val="nil"/>
                <w:left w:val="nil"/>
                <w:bottom w:val="nil"/>
                <w:right w:val="nil"/>
                <w:between w:val="nil"/>
              </w:pBdr>
              <w:spacing w:before="60"/>
              <w:jc w:val="center"/>
              <w:rPr>
                <w:b/>
                <w:color w:val="000000"/>
                <w:sz w:val="16"/>
                <w:szCs w:val="16"/>
              </w:rPr>
            </w:pPr>
            <w:r>
              <w:rPr>
                <w:rFonts w:cs="Arial"/>
                <w:b/>
                <w:sz w:val="16"/>
                <w:szCs w:val="16"/>
              </w:rPr>
              <w:t>Three months ended</w:t>
            </w:r>
          </w:p>
        </w:tc>
        <w:tc>
          <w:tcPr>
            <w:tcW w:w="2700" w:type="dxa"/>
            <w:gridSpan w:val="2"/>
            <w:tcBorders>
              <w:top w:val="single" w:sz="12" w:space="0" w:color="000000"/>
            </w:tcBorders>
            <w:vAlign w:val="bottom"/>
          </w:tcPr>
          <w:p w14:paraId="321A6EEC" w14:textId="31C7D472" w:rsidR="00E91EF5" w:rsidRDefault="00E91EF5" w:rsidP="00E91EF5">
            <w:pPr>
              <w:widowControl w:val="0"/>
              <w:pBdr>
                <w:top w:val="nil"/>
                <w:left w:val="nil"/>
                <w:bottom w:val="nil"/>
                <w:right w:val="nil"/>
                <w:between w:val="nil"/>
              </w:pBdr>
              <w:spacing w:before="60"/>
              <w:jc w:val="center"/>
              <w:rPr>
                <w:b/>
                <w:color w:val="000000"/>
                <w:sz w:val="16"/>
                <w:szCs w:val="16"/>
              </w:rPr>
            </w:pPr>
            <w:r>
              <w:rPr>
                <w:rFonts w:cs="Arial"/>
                <w:b/>
                <w:sz w:val="16"/>
                <w:szCs w:val="16"/>
              </w:rPr>
              <w:t>Six months ended</w:t>
            </w:r>
          </w:p>
        </w:tc>
      </w:tr>
      <w:tr w:rsidR="00E91EF5" w14:paraId="546C94FB" w14:textId="77777777" w:rsidTr="001354A6">
        <w:tc>
          <w:tcPr>
            <w:tcW w:w="3780" w:type="dxa"/>
            <w:vMerge/>
            <w:tcBorders>
              <w:top w:val="single" w:sz="12" w:space="0" w:color="000000"/>
            </w:tcBorders>
            <w:vAlign w:val="center"/>
          </w:tcPr>
          <w:p w14:paraId="0CCA947A" w14:textId="77777777" w:rsidR="00E91EF5" w:rsidRDefault="00E91EF5" w:rsidP="00E91EF5">
            <w:pPr>
              <w:widowControl w:val="0"/>
              <w:pBdr>
                <w:top w:val="nil"/>
                <w:left w:val="nil"/>
                <w:bottom w:val="nil"/>
                <w:right w:val="nil"/>
                <w:between w:val="nil"/>
              </w:pBdr>
              <w:rPr>
                <w:b/>
                <w:color w:val="000000"/>
                <w:sz w:val="16"/>
                <w:szCs w:val="16"/>
              </w:rPr>
            </w:pPr>
          </w:p>
        </w:tc>
        <w:tc>
          <w:tcPr>
            <w:tcW w:w="270" w:type="dxa"/>
            <w:vAlign w:val="bottom"/>
          </w:tcPr>
          <w:p w14:paraId="52AED560" w14:textId="77777777" w:rsidR="00E91EF5" w:rsidRDefault="00E91EF5" w:rsidP="00E91EF5">
            <w:pPr>
              <w:widowControl w:val="0"/>
              <w:pBdr>
                <w:top w:val="nil"/>
                <w:left w:val="nil"/>
                <w:bottom w:val="nil"/>
                <w:right w:val="nil"/>
                <w:between w:val="nil"/>
              </w:pBdr>
              <w:ind w:left="-108" w:right="-108"/>
              <w:jc w:val="center"/>
              <w:rPr>
                <w:b/>
                <w:color w:val="000000"/>
                <w:sz w:val="16"/>
                <w:szCs w:val="16"/>
              </w:rPr>
            </w:pPr>
          </w:p>
        </w:tc>
        <w:tc>
          <w:tcPr>
            <w:tcW w:w="2700" w:type="dxa"/>
            <w:gridSpan w:val="2"/>
            <w:vAlign w:val="bottom"/>
          </w:tcPr>
          <w:p w14:paraId="183CA18A" w14:textId="5A2DE2FE"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June 30</w:t>
            </w:r>
          </w:p>
        </w:tc>
        <w:tc>
          <w:tcPr>
            <w:tcW w:w="2700" w:type="dxa"/>
            <w:gridSpan w:val="2"/>
            <w:vAlign w:val="bottom"/>
          </w:tcPr>
          <w:p w14:paraId="690DE08E" w14:textId="594EC5A2"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June 30</w:t>
            </w:r>
          </w:p>
        </w:tc>
      </w:tr>
      <w:tr w:rsidR="00E91EF5" w14:paraId="7542BB46" w14:textId="77777777" w:rsidTr="001354A6">
        <w:tc>
          <w:tcPr>
            <w:tcW w:w="3780" w:type="dxa"/>
            <w:vMerge/>
            <w:tcBorders>
              <w:top w:val="single" w:sz="12" w:space="0" w:color="000000"/>
            </w:tcBorders>
            <w:vAlign w:val="center"/>
          </w:tcPr>
          <w:p w14:paraId="649C4283" w14:textId="77777777" w:rsidR="00E91EF5" w:rsidRDefault="00E91EF5" w:rsidP="00E91EF5">
            <w:pPr>
              <w:widowControl w:val="0"/>
              <w:pBdr>
                <w:top w:val="nil"/>
                <w:left w:val="nil"/>
                <w:bottom w:val="nil"/>
                <w:right w:val="nil"/>
                <w:between w:val="nil"/>
              </w:pBdr>
              <w:rPr>
                <w:b/>
                <w:color w:val="000000"/>
                <w:sz w:val="16"/>
                <w:szCs w:val="16"/>
              </w:rPr>
            </w:pPr>
          </w:p>
        </w:tc>
        <w:tc>
          <w:tcPr>
            <w:tcW w:w="270" w:type="dxa"/>
            <w:tcBorders>
              <w:bottom w:val="single" w:sz="4" w:space="0" w:color="000000"/>
            </w:tcBorders>
            <w:vAlign w:val="bottom"/>
          </w:tcPr>
          <w:p w14:paraId="59B099EB" w14:textId="77777777" w:rsidR="00E91EF5" w:rsidRDefault="00E91EF5" w:rsidP="00E91EF5">
            <w:pPr>
              <w:widowControl w:val="0"/>
              <w:pBdr>
                <w:top w:val="nil"/>
                <w:left w:val="nil"/>
                <w:bottom w:val="nil"/>
                <w:right w:val="nil"/>
                <w:between w:val="nil"/>
              </w:pBdr>
              <w:jc w:val="center"/>
              <w:rPr>
                <w:b/>
                <w:color w:val="000000"/>
                <w:sz w:val="16"/>
                <w:szCs w:val="16"/>
              </w:rPr>
            </w:pPr>
          </w:p>
        </w:tc>
        <w:tc>
          <w:tcPr>
            <w:tcW w:w="1350" w:type="dxa"/>
            <w:tcBorders>
              <w:bottom w:val="single" w:sz="4" w:space="0" w:color="000000"/>
            </w:tcBorders>
            <w:vAlign w:val="bottom"/>
          </w:tcPr>
          <w:p w14:paraId="670DAFA6" w14:textId="3E00C7DF"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50" w:type="dxa"/>
            <w:tcBorders>
              <w:bottom w:val="single" w:sz="4" w:space="0" w:color="000000"/>
            </w:tcBorders>
            <w:vAlign w:val="bottom"/>
          </w:tcPr>
          <w:p w14:paraId="131866FF" w14:textId="3F007EB1"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c>
          <w:tcPr>
            <w:tcW w:w="1350" w:type="dxa"/>
            <w:tcBorders>
              <w:bottom w:val="single" w:sz="4" w:space="0" w:color="000000"/>
            </w:tcBorders>
            <w:vAlign w:val="bottom"/>
          </w:tcPr>
          <w:p w14:paraId="2A34097F" w14:textId="2822B814"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50" w:type="dxa"/>
            <w:tcBorders>
              <w:bottom w:val="single" w:sz="4" w:space="0" w:color="000000"/>
            </w:tcBorders>
            <w:vAlign w:val="bottom"/>
          </w:tcPr>
          <w:p w14:paraId="295D2435" w14:textId="3409CE2D"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r>
      <w:tr w:rsidR="008234F6" w14:paraId="58000121" w14:textId="77777777" w:rsidTr="005B3167">
        <w:trPr>
          <w:trHeight w:val="328"/>
        </w:trPr>
        <w:tc>
          <w:tcPr>
            <w:tcW w:w="3780" w:type="dxa"/>
            <w:vAlign w:val="bottom"/>
          </w:tcPr>
          <w:p w14:paraId="1C176B36" w14:textId="77777777" w:rsidR="008234F6" w:rsidRDefault="008234F6" w:rsidP="008234F6">
            <w:pPr>
              <w:widowControl w:val="0"/>
              <w:pBdr>
                <w:top w:val="nil"/>
                <w:left w:val="nil"/>
                <w:bottom w:val="nil"/>
                <w:right w:val="nil"/>
                <w:between w:val="nil"/>
              </w:pBdr>
              <w:rPr>
                <w:color w:val="000000"/>
                <w:sz w:val="18"/>
                <w:szCs w:val="18"/>
              </w:rPr>
            </w:pPr>
            <w:r>
              <w:rPr>
                <w:color w:val="000000"/>
                <w:sz w:val="18"/>
                <w:szCs w:val="18"/>
              </w:rPr>
              <w:t>Total BOE sales volumes</w:t>
            </w:r>
          </w:p>
        </w:tc>
        <w:tc>
          <w:tcPr>
            <w:tcW w:w="270" w:type="dxa"/>
            <w:vAlign w:val="bottom"/>
          </w:tcPr>
          <w:p w14:paraId="4978B6FB" w14:textId="77777777" w:rsidR="008234F6" w:rsidRDefault="008234F6" w:rsidP="008234F6">
            <w:pPr>
              <w:widowControl w:val="0"/>
              <w:pBdr>
                <w:top w:val="nil"/>
                <w:left w:val="nil"/>
                <w:bottom w:val="nil"/>
                <w:right w:val="nil"/>
                <w:between w:val="nil"/>
              </w:pBdr>
              <w:jc w:val="center"/>
              <w:rPr>
                <w:b/>
                <w:color w:val="000000"/>
                <w:sz w:val="16"/>
                <w:szCs w:val="16"/>
              </w:rPr>
            </w:pPr>
          </w:p>
        </w:tc>
        <w:tc>
          <w:tcPr>
            <w:tcW w:w="1350" w:type="dxa"/>
            <w:vAlign w:val="bottom"/>
          </w:tcPr>
          <w:p w14:paraId="37109626" w14:textId="5D581082" w:rsidR="008234F6" w:rsidRPr="0070366A" w:rsidRDefault="00B068B2" w:rsidP="008234F6">
            <w:pPr>
              <w:pBdr>
                <w:top w:val="nil"/>
                <w:left w:val="nil"/>
                <w:bottom w:val="nil"/>
                <w:right w:val="nil"/>
                <w:between w:val="nil"/>
              </w:pBdr>
              <w:tabs>
                <w:tab w:val="decimal" w:pos="1065"/>
              </w:tabs>
              <w:ind w:right="-105"/>
              <w:rPr>
                <w:sz w:val="18"/>
                <w:szCs w:val="18"/>
              </w:rPr>
            </w:pPr>
            <w:r>
              <w:rPr>
                <w:sz w:val="18"/>
                <w:szCs w:val="18"/>
              </w:rPr>
              <w:t>833,333</w:t>
            </w:r>
          </w:p>
        </w:tc>
        <w:tc>
          <w:tcPr>
            <w:tcW w:w="1350" w:type="dxa"/>
            <w:vAlign w:val="bottom"/>
          </w:tcPr>
          <w:p w14:paraId="125CF6EA" w14:textId="773668C2" w:rsidR="008234F6" w:rsidRPr="0070366A" w:rsidRDefault="008234F6" w:rsidP="008234F6">
            <w:pPr>
              <w:pBdr>
                <w:top w:val="nil"/>
                <w:left w:val="nil"/>
                <w:bottom w:val="nil"/>
                <w:right w:val="nil"/>
                <w:between w:val="nil"/>
              </w:pBdr>
              <w:tabs>
                <w:tab w:val="decimal" w:pos="1065"/>
              </w:tabs>
              <w:ind w:right="-105"/>
              <w:rPr>
                <w:sz w:val="18"/>
                <w:szCs w:val="18"/>
              </w:rPr>
            </w:pPr>
            <w:r w:rsidRPr="00217BCA">
              <w:rPr>
                <w:sz w:val="18"/>
                <w:szCs w:val="18"/>
              </w:rPr>
              <w:t>371,484</w:t>
            </w:r>
          </w:p>
        </w:tc>
        <w:tc>
          <w:tcPr>
            <w:tcW w:w="1350" w:type="dxa"/>
            <w:vAlign w:val="bottom"/>
          </w:tcPr>
          <w:p w14:paraId="137930F3" w14:textId="2EE46B05" w:rsidR="008234F6" w:rsidRPr="005B3167" w:rsidRDefault="00B068B2" w:rsidP="008234F6">
            <w:pPr>
              <w:pBdr>
                <w:top w:val="nil"/>
                <w:left w:val="nil"/>
                <w:bottom w:val="nil"/>
                <w:right w:val="nil"/>
                <w:between w:val="nil"/>
              </w:pBdr>
              <w:tabs>
                <w:tab w:val="decimal" w:pos="1065"/>
              </w:tabs>
              <w:ind w:right="-105"/>
              <w:rPr>
                <w:sz w:val="18"/>
                <w:szCs w:val="18"/>
              </w:rPr>
            </w:pPr>
            <w:r>
              <w:rPr>
                <w:sz w:val="18"/>
                <w:szCs w:val="18"/>
              </w:rPr>
              <w:t>1,541,991</w:t>
            </w:r>
          </w:p>
        </w:tc>
        <w:tc>
          <w:tcPr>
            <w:tcW w:w="1350" w:type="dxa"/>
            <w:vAlign w:val="bottom"/>
          </w:tcPr>
          <w:p w14:paraId="2B5787C3" w14:textId="00F22F32" w:rsidR="008234F6" w:rsidRPr="0070366A" w:rsidRDefault="008234F6" w:rsidP="008234F6">
            <w:pPr>
              <w:pBdr>
                <w:top w:val="nil"/>
                <w:left w:val="nil"/>
                <w:bottom w:val="nil"/>
                <w:right w:val="nil"/>
                <w:between w:val="nil"/>
              </w:pBdr>
              <w:tabs>
                <w:tab w:val="decimal" w:pos="1065"/>
              </w:tabs>
              <w:ind w:right="-105"/>
              <w:rPr>
                <w:sz w:val="18"/>
                <w:szCs w:val="18"/>
              </w:rPr>
            </w:pPr>
            <w:r w:rsidRPr="00DF5587">
              <w:rPr>
                <w:sz w:val="18"/>
                <w:szCs w:val="18"/>
              </w:rPr>
              <w:t xml:space="preserve"> 756,738</w:t>
            </w:r>
          </w:p>
        </w:tc>
      </w:tr>
      <w:tr w:rsidR="008234F6" w14:paraId="1D13432F" w14:textId="77777777" w:rsidTr="005B3167">
        <w:tc>
          <w:tcPr>
            <w:tcW w:w="3780" w:type="dxa"/>
            <w:tcBorders>
              <w:top w:val="single" w:sz="4" w:space="0" w:color="000000"/>
            </w:tcBorders>
          </w:tcPr>
          <w:p w14:paraId="13383F29" w14:textId="77777777" w:rsidR="008234F6" w:rsidRDefault="008234F6" w:rsidP="008234F6">
            <w:pPr>
              <w:pBdr>
                <w:top w:val="nil"/>
                <w:left w:val="nil"/>
                <w:bottom w:val="nil"/>
                <w:right w:val="nil"/>
                <w:between w:val="nil"/>
              </w:pBdr>
              <w:spacing w:before="60"/>
              <w:rPr>
                <w:color w:val="000000"/>
                <w:sz w:val="18"/>
                <w:szCs w:val="18"/>
              </w:rPr>
            </w:pPr>
            <w:r>
              <w:rPr>
                <w:color w:val="000000"/>
                <w:sz w:val="18"/>
                <w:szCs w:val="18"/>
              </w:rPr>
              <w:t>Oil and natural gas sales revenue ($)</w:t>
            </w:r>
          </w:p>
        </w:tc>
        <w:tc>
          <w:tcPr>
            <w:tcW w:w="270" w:type="dxa"/>
            <w:tcBorders>
              <w:top w:val="single" w:sz="4" w:space="0" w:color="000000"/>
            </w:tcBorders>
            <w:vAlign w:val="bottom"/>
          </w:tcPr>
          <w:p w14:paraId="6FDBB825" w14:textId="77777777" w:rsidR="008234F6" w:rsidRDefault="008234F6" w:rsidP="008234F6">
            <w:pPr>
              <w:pBdr>
                <w:top w:val="nil"/>
                <w:left w:val="nil"/>
                <w:bottom w:val="nil"/>
                <w:right w:val="nil"/>
                <w:between w:val="nil"/>
              </w:pBdr>
              <w:spacing w:before="60"/>
              <w:rPr>
                <w:color w:val="000000"/>
                <w:sz w:val="18"/>
                <w:szCs w:val="18"/>
              </w:rPr>
            </w:pPr>
          </w:p>
        </w:tc>
        <w:tc>
          <w:tcPr>
            <w:tcW w:w="1350" w:type="dxa"/>
            <w:tcBorders>
              <w:top w:val="single" w:sz="4" w:space="0" w:color="000000"/>
            </w:tcBorders>
            <w:vAlign w:val="bottom"/>
          </w:tcPr>
          <w:p w14:paraId="5B3462BE" w14:textId="47E52551" w:rsidR="008234F6" w:rsidRDefault="00B068B2" w:rsidP="008234F6">
            <w:pPr>
              <w:pBdr>
                <w:top w:val="nil"/>
                <w:left w:val="nil"/>
                <w:bottom w:val="nil"/>
                <w:right w:val="nil"/>
                <w:between w:val="nil"/>
              </w:pBdr>
              <w:tabs>
                <w:tab w:val="decimal" w:pos="795"/>
              </w:tabs>
              <w:rPr>
                <w:color w:val="000000"/>
                <w:sz w:val="18"/>
                <w:szCs w:val="18"/>
              </w:rPr>
            </w:pPr>
            <w:r>
              <w:rPr>
                <w:color w:val="000000"/>
                <w:sz w:val="18"/>
                <w:szCs w:val="18"/>
              </w:rPr>
              <w:t>83.05</w:t>
            </w:r>
          </w:p>
        </w:tc>
        <w:tc>
          <w:tcPr>
            <w:tcW w:w="1350" w:type="dxa"/>
            <w:tcBorders>
              <w:top w:val="single" w:sz="4" w:space="0" w:color="000000"/>
            </w:tcBorders>
            <w:vAlign w:val="bottom"/>
          </w:tcPr>
          <w:p w14:paraId="03BD043E" w14:textId="7D5DC2EC" w:rsidR="008234F6" w:rsidRDefault="008234F6" w:rsidP="008234F6">
            <w:pPr>
              <w:pBdr>
                <w:top w:val="nil"/>
                <w:left w:val="nil"/>
                <w:bottom w:val="nil"/>
                <w:right w:val="nil"/>
                <w:between w:val="nil"/>
              </w:pBdr>
              <w:tabs>
                <w:tab w:val="decimal" w:pos="795"/>
              </w:tabs>
              <w:rPr>
                <w:color w:val="000000"/>
                <w:sz w:val="18"/>
                <w:szCs w:val="18"/>
              </w:rPr>
            </w:pPr>
            <w:r>
              <w:rPr>
                <w:color w:val="000000"/>
                <w:sz w:val="18"/>
                <w:szCs w:val="18"/>
              </w:rPr>
              <w:t>59.78</w:t>
            </w:r>
          </w:p>
        </w:tc>
        <w:tc>
          <w:tcPr>
            <w:tcW w:w="1350" w:type="dxa"/>
            <w:tcBorders>
              <w:top w:val="single" w:sz="4" w:space="0" w:color="000000"/>
            </w:tcBorders>
            <w:vAlign w:val="bottom"/>
          </w:tcPr>
          <w:p w14:paraId="0558839C" w14:textId="14E02B92" w:rsidR="008234F6" w:rsidRPr="005B3167" w:rsidRDefault="00CD4EE5" w:rsidP="008234F6">
            <w:pPr>
              <w:pBdr>
                <w:top w:val="nil"/>
                <w:left w:val="nil"/>
                <w:bottom w:val="nil"/>
                <w:right w:val="nil"/>
                <w:between w:val="nil"/>
              </w:pBdr>
              <w:tabs>
                <w:tab w:val="decimal" w:pos="795"/>
              </w:tabs>
              <w:rPr>
                <w:color w:val="000000"/>
                <w:sz w:val="18"/>
                <w:szCs w:val="18"/>
              </w:rPr>
            </w:pPr>
            <w:r>
              <w:rPr>
                <w:color w:val="000000"/>
                <w:sz w:val="18"/>
                <w:szCs w:val="18"/>
              </w:rPr>
              <w:t>73.73</w:t>
            </w:r>
          </w:p>
        </w:tc>
        <w:tc>
          <w:tcPr>
            <w:tcW w:w="1350" w:type="dxa"/>
            <w:tcBorders>
              <w:top w:val="single" w:sz="4" w:space="0" w:color="000000"/>
            </w:tcBorders>
            <w:vAlign w:val="bottom"/>
          </w:tcPr>
          <w:p w14:paraId="2FBDBD48" w14:textId="0B958506" w:rsidR="008234F6" w:rsidRDefault="008234F6" w:rsidP="008234F6">
            <w:pPr>
              <w:pBdr>
                <w:top w:val="nil"/>
                <w:left w:val="nil"/>
                <w:bottom w:val="nil"/>
                <w:right w:val="nil"/>
                <w:between w:val="nil"/>
              </w:pBdr>
              <w:tabs>
                <w:tab w:val="decimal" w:pos="795"/>
              </w:tabs>
              <w:rPr>
                <w:color w:val="000000"/>
                <w:sz w:val="18"/>
                <w:szCs w:val="18"/>
              </w:rPr>
            </w:pPr>
            <w:r>
              <w:rPr>
                <w:color w:val="000000"/>
                <w:sz w:val="18"/>
                <w:szCs w:val="18"/>
              </w:rPr>
              <w:t>60.41</w:t>
            </w:r>
          </w:p>
        </w:tc>
      </w:tr>
      <w:tr w:rsidR="008234F6" w14:paraId="1EC2B28D" w14:textId="77777777">
        <w:tc>
          <w:tcPr>
            <w:tcW w:w="3780" w:type="dxa"/>
          </w:tcPr>
          <w:p w14:paraId="07051541" w14:textId="77777777" w:rsidR="008234F6" w:rsidRDefault="008234F6" w:rsidP="008234F6">
            <w:pPr>
              <w:pBdr>
                <w:top w:val="nil"/>
                <w:left w:val="nil"/>
                <w:bottom w:val="nil"/>
                <w:right w:val="nil"/>
                <w:between w:val="nil"/>
              </w:pBdr>
              <w:rPr>
                <w:color w:val="000000"/>
                <w:sz w:val="18"/>
                <w:szCs w:val="18"/>
              </w:rPr>
            </w:pPr>
            <w:r>
              <w:rPr>
                <w:color w:val="000000"/>
                <w:sz w:val="18"/>
                <w:szCs w:val="18"/>
              </w:rPr>
              <w:t>Export tax ($)</w:t>
            </w:r>
          </w:p>
        </w:tc>
        <w:tc>
          <w:tcPr>
            <w:tcW w:w="270" w:type="dxa"/>
            <w:vAlign w:val="bottom"/>
          </w:tcPr>
          <w:p w14:paraId="690D1469" w14:textId="77777777" w:rsidR="008234F6" w:rsidRDefault="008234F6" w:rsidP="008234F6">
            <w:pPr>
              <w:pBdr>
                <w:top w:val="nil"/>
                <w:left w:val="nil"/>
                <w:bottom w:val="nil"/>
                <w:right w:val="nil"/>
                <w:between w:val="nil"/>
              </w:pBdr>
              <w:rPr>
                <w:color w:val="000000"/>
                <w:sz w:val="18"/>
                <w:szCs w:val="18"/>
              </w:rPr>
            </w:pPr>
          </w:p>
        </w:tc>
        <w:tc>
          <w:tcPr>
            <w:tcW w:w="1350" w:type="dxa"/>
            <w:vAlign w:val="bottom"/>
          </w:tcPr>
          <w:p w14:paraId="35D4EA05" w14:textId="7B10005A" w:rsidR="008234F6" w:rsidRDefault="00B068B2" w:rsidP="008234F6">
            <w:pPr>
              <w:pBdr>
                <w:top w:val="nil"/>
                <w:left w:val="nil"/>
                <w:bottom w:val="nil"/>
                <w:right w:val="nil"/>
                <w:between w:val="nil"/>
              </w:pBdr>
              <w:tabs>
                <w:tab w:val="decimal" w:pos="795"/>
              </w:tabs>
              <w:rPr>
                <w:color w:val="000000"/>
                <w:sz w:val="18"/>
                <w:szCs w:val="18"/>
              </w:rPr>
            </w:pPr>
            <w:r>
              <w:rPr>
                <w:color w:val="000000"/>
                <w:sz w:val="18"/>
                <w:szCs w:val="18"/>
              </w:rPr>
              <w:t>(0.13)</w:t>
            </w:r>
          </w:p>
        </w:tc>
        <w:tc>
          <w:tcPr>
            <w:tcW w:w="1350" w:type="dxa"/>
          </w:tcPr>
          <w:p w14:paraId="44228E8B" w14:textId="110BE008" w:rsidR="008234F6" w:rsidRDefault="008234F6" w:rsidP="008234F6">
            <w:pPr>
              <w:pBdr>
                <w:top w:val="nil"/>
                <w:left w:val="nil"/>
                <w:bottom w:val="nil"/>
                <w:right w:val="nil"/>
                <w:between w:val="nil"/>
              </w:pBdr>
              <w:tabs>
                <w:tab w:val="decimal" w:pos="795"/>
              </w:tabs>
              <w:rPr>
                <w:color w:val="000000"/>
                <w:sz w:val="18"/>
                <w:szCs w:val="18"/>
              </w:rPr>
            </w:pPr>
            <w:r w:rsidRPr="00217BCA">
              <w:rPr>
                <w:sz w:val="18"/>
                <w:szCs w:val="18"/>
              </w:rPr>
              <w:t xml:space="preserve"> (0.27)</w:t>
            </w:r>
          </w:p>
        </w:tc>
        <w:tc>
          <w:tcPr>
            <w:tcW w:w="1350" w:type="dxa"/>
            <w:vAlign w:val="bottom"/>
          </w:tcPr>
          <w:p w14:paraId="7CC34455" w14:textId="3FCFCD0D" w:rsidR="008234F6" w:rsidRPr="005B3167" w:rsidRDefault="00CD4EE5" w:rsidP="008234F6">
            <w:pPr>
              <w:pBdr>
                <w:top w:val="nil"/>
                <w:left w:val="nil"/>
                <w:bottom w:val="nil"/>
                <w:right w:val="nil"/>
                <w:between w:val="nil"/>
              </w:pBdr>
              <w:tabs>
                <w:tab w:val="decimal" w:pos="795"/>
              </w:tabs>
              <w:rPr>
                <w:color w:val="000000"/>
                <w:sz w:val="18"/>
                <w:szCs w:val="18"/>
              </w:rPr>
            </w:pPr>
            <w:r>
              <w:rPr>
                <w:color w:val="000000"/>
                <w:sz w:val="18"/>
                <w:szCs w:val="18"/>
              </w:rPr>
              <w:t>(0.12)</w:t>
            </w:r>
          </w:p>
        </w:tc>
        <w:tc>
          <w:tcPr>
            <w:tcW w:w="1350" w:type="dxa"/>
          </w:tcPr>
          <w:p w14:paraId="6A2168E9" w14:textId="2ABEFC91" w:rsidR="008234F6" w:rsidRDefault="008234F6" w:rsidP="008234F6">
            <w:pPr>
              <w:pBdr>
                <w:top w:val="nil"/>
                <w:left w:val="nil"/>
                <w:bottom w:val="nil"/>
                <w:right w:val="nil"/>
                <w:between w:val="nil"/>
              </w:pBdr>
              <w:tabs>
                <w:tab w:val="decimal" w:pos="795"/>
              </w:tabs>
              <w:rPr>
                <w:color w:val="000000"/>
                <w:sz w:val="18"/>
                <w:szCs w:val="18"/>
              </w:rPr>
            </w:pPr>
            <w:r w:rsidRPr="00A7179D">
              <w:rPr>
                <w:color w:val="000000"/>
                <w:sz w:val="18"/>
                <w:szCs w:val="18"/>
              </w:rPr>
              <w:t xml:space="preserve"> (0.26)</w:t>
            </w:r>
          </w:p>
        </w:tc>
      </w:tr>
      <w:tr w:rsidR="008234F6" w14:paraId="765B1C83" w14:textId="77777777">
        <w:tc>
          <w:tcPr>
            <w:tcW w:w="3780" w:type="dxa"/>
            <w:vAlign w:val="bottom"/>
          </w:tcPr>
          <w:p w14:paraId="2E488106" w14:textId="77777777" w:rsidR="008234F6" w:rsidRDefault="008234F6" w:rsidP="008234F6">
            <w:pPr>
              <w:pBdr>
                <w:top w:val="nil"/>
                <w:left w:val="nil"/>
                <w:bottom w:val="nil"/>
                <w:right w:val="nil"/>
                <w:between w:val="nil"/>
              </w:pBdr>
              <w:rPr>
                <w:color w:val="000000"/>
                <w:sz w:val="18"/>
                <w:szCs w:val="18"/>
              </w:rPr>
            </w:pPr>
            <w:r>
              <w:rPr>
                <w:color w:val="000000"/>
                <w:sz w:val="18"/>
                <w:szCs w:val="18"/>
              </w:rPr>
              <w:t>Royalties and turnover tax ($)</w:t>
            </w:r>
          </w:p>
        </w:tc>
        <w:tc>
          <w:tcPr>
            <w:tcW w:w="270" w:type="dxa"/>
            <w:vAlign w:val="bottom"/>
          </w:tcPr>
          <w:p w14:paraId="2E8A86B1" w14:textId="77777777" w:rsidR="008234F6" w:rsidRDefault="008234F6" w:rsidP="008234F6">
            <w:pPr>
              <w:pBdr>
                <w:top w:val="nil"/>
                <w:left w:val="nil"/>
                <w:bottom w:val="nil"/>
                <w:right w:val="nil"/>
                <w:between w:val="nil"/>
              </w:pBdr>
              <w:rPr>
                <w:color w:val="000000"/>
                <w:sz w:val="18"/>
                <w:szCs w:val="18"/>
              </w:rPr>
            </w:pPr>
          </w:p>
        </w:tc>
        <w:tc>
          <w:tcPr>
            <w:tcW w:w="1350" w:type="dxa"/>
            <w:vAlign w:val="bottom"/>
          </w:tcPr>
          <w:p w14:paraId="135E0108" w14:textId="320D369B" w:rsidR="008234F6" w:rsidRDefault="00B068B2" w:rsidP="008234F6">
            <w:pPr>
              <w:pBdr>
                <w:top w:val="nil"/>
                <w:left w:val="nil"/>
                <w:bottom w:val="nil"/>
                <w:right w:val="nil"/>
                <w:between w:val="nil"/>
              </w:pBdr>
              <w:tabs>
                <w:tab w:val="decimal" w:pos="795"/>
              </w:tabs>
              <w:rPr>
                <w:color w:val="000000"/>
                <w:sz w:val="18"/>
                <w:szCs w:val="18"/>
              </w:rPr>
            </w:pPr>
            <w:r>
              <w:rPr>
                <w:color w:val="000000"/>
                <w:sz w:val="18"/>
                <w:szCs w:val="18"/>
              </w:rPr>
              <w:t>(14.73)</w:t>
            </w:r>
          </w:p>
        </w:tc>
        <w:tc>
          <w:tcPr>
            <w:tcW w:w="1350" w:type="dxa"/>
          </w:tcPr>
          <w:p w14:paraId="185A4362" w14:textId="0F9E55F8" w:rsidR="008234F6" w:rsidRDefault="008234F6" w:rsidP="008234F6">
            <w:pPr>
              <w:pBdr>
                <w:top w:val="nil"/>
                <w:left w:val="nil"/>
                <w:bottom w:val="nil"/>
                <w:right w:val="nil"/>
                <w:between w:val="nil"/>
              </w:pBdr>
              <w:tabs>
                <w:tab w:val="decimal" w:pos="795"/>
              </w:tabs>
              <w:rPr>
                <w:color w:val="000000"/>
                <w:sz w:val="18"/>
                <w:szCs w:val="18"/>
              </w:rPr>
            </w:pPr>
            <w:r w:rsidRPr="00217BCA">
              <w:rPr>
                <w:sz w:val="18"/>
                <w:szCs w:val="18"/>
              </w:rPr>
              <w:t xml:space="preserve"> (10.67)</w:t>
            </w:r>
          </w:p>
        </w:tc>
        <w:tc>
          <w:tcPr>
            <w:tcW w:w="1350" w:type="dxa"/>
            <w:vAlign w:val="bottom"/>
          </w:tcPr>
          <w:p w14:paraId="59D7D846" w14:textId="55EDA65B" w:rsidR="008234F6" w:rsidRPr="005B3167" w:rsidRDefault="00CD4EE5" w:rsidP="008234F6">
            <w:pPr>
              <w:pBdr>
                <w:top w:val="nil"/>
                <w:left w:val="nil"/>
                <w:bottom w:val="nil"/>
                <w:right w:val="nil"/>
                <w:between w:val="nil"/>
              </w:pBdr>
              <w:tabs>
                <w:tab w:val="decimal" w:pos="795"/>
              </w:tabs>
              <w:rPr>
                <w:color w:val="000000"/>
                <w:sz w:val="18"/>
                <w:szCs w:val="18"/>
              </w:rPr>
            </w:pPr>
            <w:r>
              <w:rPr>
                <w:color w:val="000000"/>
                <w:sz w:val="18"/>
                <w:szCs w:val="18"/>
              </w:rPr>
              <w:t>(13.43)</w:t>
            </w:r>
          </w:p>
        </w:tc>
        <w:tc>
          <w:tcPr>
            <w:tcW w:w="1350" w:type="dxa"/>
          </w:tcPr>
          <w:p w14:paraId="4890CED2" w14:textId="2A132E60" w:rsidR="008234F6" w:rsidRDefault="008234F6" w:rsidP="008234F6">
            <w:pPr>
              <w:pBdr>
                <w:top w:val="nil"/>
                <w:left w:val="nil"/>
                <w:bottom w:val="nil"/>
                <w:right w:val="nil"/>
                <w:between w:val="nil"/>
              </w:pBdr>
              <w:tabs>
                <w:tab w:val="decimal" w:pos="795"/>
              </w:tabs>
              <w:rPr>
                <w:color w:val="000000"/>
                <w:sz w:val="18"/>
                <w:szCs w:val="18"/>
              </w:rPr>
            </w:pPr>
            <w:r w:rsidRPr="00A7179D">
              <w:rPr>
                <w:color w:val="000000"/>
                <w:sz w:val="18"/>
                <w:szCs w:val="18"/>
              </w:rPr>
              <w:t xml:space="preserve"> (10.79)</w:t>
            </w:r>
          </w:p>
        </w:tc>
      </w:tr>
      <w:tr w:rsidR="008234F6" w14:paraId="4E7BA0D4" w14:textId="77777777">
        <w:tc>
          <w:tcPr>
            <w:tcW w:w="3780" w:type="dxa"/>
            <w:tcBorders>
              <w:bottom w:val="single" w:sz="4" w:space="0" w:color="000000"/>
            </w:tcBorders>
            <w:vAlign w:val="bottom"/>
          </w:tcPr>
          <w:p w14:paraId="2061BFB5" w14:textId="77777777" w:rsidR="008234F6" w:rsidRDefault="008234F6" w:rsidP="008234F6">
            <w:pPr>
              <w:pBdr>
                <w:top w:val="nil"/>
                <w:left w:val="nil"/>
                <w:bottom w:val="nil"/>
                <w:right w:val="nil"/>
                <w:between w:val="nil"/>
              </w:pBdr>
              <w:rPr>
                <w:color w:val="000000"/>
                <w:sz w:val="18"/>
                <w:szCs w:val="18"/>
              </w:rPr>
            </w:pPr>
            <w:r>
              <w:rPr>
                <w:color w:val="000000"/>
                <w:sz w:val="18"/>
                <w:szCs w:val="18"/>
              </w:rPr>
              <w:t>Operating costs ($)</w:t>
            </w:r>
          </w:p>
        </w:tc>
        <w:tc>
          <w:tcPr>
            <w:tcW w:w="270" w:type="dxa"/>
            <w:tcBorders>
              <w:bottom w:val="single" w:sz="4" w:space="0" w:color="000000"/>
            </w:tcBorders>
            <w:vAlign w:val="bottom"/>
          </w:tcPr>
          <w:p w14:paraId="61044ECE" w14:textId="77777777" w:rsidR="008234F6" w:rsidRDefault="008234F6" w:rsidP="008234F6">
            <w:pPr>
              <w:pBdr>
                <w:top w:val="nil"/>
                <w:left w:val="nil"/>
                <w:bottom w:val="nil"/>
                <w:right w:val="nil"/>
                <w:between w:val="nil"/>
              </w:pBdr>
              <w:rPr>
                <w:color w:val="000000"/>
                <w:sz w:val="18"/>
                <w:szCs w:val="18"/>
              </w:rPr>
            </w:pPr>
          </w:p>
        </w:tc>
        <w:tc>
          <w:tcPr>
            <w:tcW w:w="1350" w:type="dxa"/>
            <w:tcBorders>
              <w:bottom w:val="single" w:sz="4" w:space="0" w:color="000000"/>
            </w:tcBorders>
            <w:vAlign w:val="bottom"/>
          </w:tcPr>
          <w:p w14:paraId="7D501CAF" w14:textId="55522FAF" w:rsidR="008234F6" w:rsidRDefault="00B068B2" w:rsidP="008234F6">
            <w:pPr>
              <w:pBdr>
                <w:top w:val="nil"/>
                <w:left w:val="nil"/>
                <w:bottom w:val="nil"/>
                <w:right w:val="nil"/>
                <w:between w:val="nil"/>
              </w:pBdr>
              <w:tabs>
                <w:tab w:val="decimal" w:pos="795"/>
              </w:tabs>
              <w:rPr>
                <w:color w:val="000000"/>
                <w:sz w:val="18"/>
                <w:szCs w:val="18"/>
              </w:rPr>
            </w:pPr>
            <w:r>
              <w:rPr>
                <w:color w:val="000000"/>
                <w:sz w:val="18"/>
                <w:szCs w:val="18"/>
              </w:rPr>
              <w:t>(42.44)</w:t>
            </w:r>
          </w:p>
        </w:tc>
        <w:tc>
          <w:tcPr>
            <w:tcW w:w="1350" w:type="dxa"/>
            <w:tcBorders>
              <w:bottom w:val="single" w:sz="4" w:space="0" w:color="000000"/>
            </w:tcBorders>
          </w:tcPr>
          <w:p w14:paraId="05695C57" w14:textId="4854D460" w:rsidR="008234F6" w:rsidRDefault="008234F6" w:rsidP="008234F6">
            <w:pPr>
              <w:pBdr>
                <w:top w:val="nil"/>
                <w:left w:val="nil"/>
                <w:bottom w:val="nil"/>
                <w:right w:val="nil"/>
                <w:between w:val="nil"/>
              </w:pBdr>
              <w:tabs>
                <w:tab w:val="decimal" w:pos="795"/>
              </w:tabs>
              <w:rPr>
                <w:color w:val="000000"/>
                <w:sz w:val="18"/>
                <w:szCs w:val="18"/>
              </w:rPr>
            </w:pPr>
            <w:r w:rsidRPr="00217BCA">
              <w:rPr>
                <w:sz w:val="18"/>
                <w:szCs w:val="18"/>
              </w:rPr>
              <w:t xml:space="preserve"> (56.34)</w:t>
            </w:r>
          </w:p>
        </w:tc>
        <w:tc>
          <w:tcPr>
            <w:tcW w:w="1350" w:type="dxa"/>
            <w:tcBorders>
              <w:bottom w:val="single" w:sz="4" w:space="0" w:color="000000"/>
            </w:tcBorders>
            <w:vAlign w:val="bottom"/>
          </w:tcPr>
          <w:p w14:paraId="36082556" w14:textId="746BCC10" w:rsidR="008234F6" w:rsidRPr="005B3167" w:rsidRDefault="00CD4EE5" w:rsidP="008234F6">
            <w:pPr>
              <w:pBdr>
                <w:top w:val="nil"/>
                <w:left w:val="nil"/>
                <w:bottom w:val="nil"/>
                <w:right w:val="nil"/>
                <w:between w:val="nil"/>
              </w:pBdr>
              <w:tabs>
                <w:tab w:val="decimal" w:pos="795"/>
              </w:tabs>
              <w:rPr>
                <w:color w:val="000000"/>
                <w:sz w:val="18"/>
                <w:szCs w:val="18"/>
              </w:rPr>
            </w:pPr>
            <w:r>
              <w:rPr>
                <w:color w:val="000000"/>
                <w:sz w:val="18"/>
                <w:szCs w:val="18"/>
              </w:rPr>
              <w:t>(40.76)</w:t>
            </w:r>
          </w:p>
        </w:tc>
        <w:tc>
          <w:tcPr>
            <w:tcW w:w="1350" w:type="dxa"/>
            <w:tcBorders>
              <w:bottom w:val="single" w:sz="4" w:space="0" w:color="000000"/>
            </w:tcBorders>
          </w:tcPr>
          <w:p w14:paraId="718D22C4" w14:textId="7FE0CBD8" w:rsidR="008234F6" w:rsidRDefault="008234F6" w:rsidP="008234F6">
            <w:pPr>
              <w:pBdr>
                <w:top w:val="nil"/>
                <w:left w:val="nil"/>
                <w:bottom w:val="nil"/>
                <w:right w:val="nil"/>
                <w:between w:val="nil"/>
              </w:pBdr>
              <w:tabs>
                <w:tab w:val="decimal" w:pos="795"/>
              </w:tabs>
              <w:rPr>
                <w:color w:val="000000"/>
                <w:sz w:val="18"/>
                <w:szCs w:val="18"/>
              </w:rPr>
            </w:pPr>
            <w:r w:rsidRPr="00A7179D">
              <w:rPr>
                <w:color w:val="000000"/>
                <w:sz w:val="18"/>
                <w:szCs w:val="18"/>
              </w:rPr>
              <w:t xml:space="preserve"> (51.78)</w:t>
            </w:r>
          </w:p>
        </w:tc>
      </w:tr>
      <w:tr w:rsidR="008234F6" w14:paraId="0D1B2EFC" w14:textId="77777777" w:rsidTr="000E6B53">
        <w:trPr>
          <w:trHeight w:val="169"/>
        </w:trPr>
        <w:tc>
          <w:tcPr>
            <w:tcW w:w="3780" w:type="dxa"/>
            <w:tcBorders>
              <w:top w:val="single" w:sz="4" w:space="0" w:color="000000"/>
              <w:bottom w:val="single" w:sz="12" w:space="0" w:color="000000"/>
            </w:tcBorders>
            <w:vAlign w:val="center"/>
          </w:tcPr>
          <w:p w14:paraId="77D5C6F2" w14:textId="77777777" w:rsidR="008234F6" w:rsidRDefault="008234F6" w:rsidP="008234F6">
            <w:pPr>
              <w:pBdr>
                <w:top w:val="nil"/>
                <w:left w:val="nil"/>
                <w:bottom w:val="nil"/>
                <w:right w:val="nil"/>
                <w:between w:val="nil"/>
              </w:pBdr>
              <w:spacing w:before="60" w:after="60"/>
              <w:rPr>
                <w:color w:val="000000"/>
                <w:sz w:val="18"/>
                <w:szCs w:val="18"/>
              </w:rPr>
            </w:pPr>
            <w:r>
              <w:rPr>
                <w:color w:val="000000"/>
                <w:sz w:val="18"/>
                <w:szCs w:val="18"/>
              </w:rPr>
              <w:t xml:space="preserve">Operating netback </w:t>
            </w:r>
            <w:r>
              <w:rPr>
                <w:color w:val="000000"/>
                <w:vertAlign w:val="superscript"/>
              </w:rPr>
              <w:t xml:space="preserve">(1) </w:t>
            </w:r>
            <w:r>
              <w:rPr>
                <w:color w:val="000000"/>
                <w:sz w:val="18"/>
                <w:szCs w:val="18"/>
              </w:rPr>
              <w:t>($)</w:t>
            </w:r>
          </w:p>
        </w:tc>
        <w:tc>
          <w:tcPr>
            <w:tcW w:w="270" w:type="dxa"/>
            <w:tcBorders>
              <w:top w:val="single" w:sz="4" w:space="0" w:color="000000"/>
              <w:bottom w:val="single" w:sz="12" w:space="0" w:color="000000"/>
            </w:tcBorders>
            <w:vAlign w:val="center"/>
          </w:tcPr>
          <w:p w14:paraId="5F3E1B43" w14:textId="77777777" w:rsidR="008234F6" w:rsidRDefault="008234F6" w:rsidP="008234F6">
            <w:pPr>
              <w:pBdr>
                <w:top w:val="nil"/>
                <w:left w:val="nil"/>
                <w:bottom w:val="nil"/>
                <w:right w:val="nil"/>
                <w:between w:val="nil"/>
              </w:pBdr>
              <w:spacing w:before="60" w:after="60"/>
              <w:rPr>
                <w:color w:val="000000"/>
                <w:sz w:val="18"/>
                <w:szCs w:val="18"/>
              </w:rPr>
            </w:pPr>
          </w:p>
        </w:tc>
        <w:tc>
          <w:tcPr>
            <w:tcW w:w="1350" w:type="dxa"/>
            <w:tcBorders>
              <w:top w:val="single" w:sz="4" w:space="0" w:color="000000"/>
              <w:bottom w:val="single" w:sz="12" w:space="0" w:color="000000"/>
            </w:tcBorders>
            <w:vAlign w:val="center"/>
          </w:tcPr>
          <w:p w14:paraId="6CA8C22A" w14:textId="04BD827A" w:rsidR="008234F6" w:rsidRDefault="00B068B2" w:rsidP="008234F6">
            <w:pPr>
              <w:pBdr>
                <w:top w:val="nil"/>
                <w:left w:val="nil"/>
                <w:bottom w:val="nil"/>
                <w:right w:val="nil"/>
                <w:between w:val="nil"/>
              </w:pBdr>
              <w:tabs>
                <w:tab w:val="decimal" w:pos="795"/>
              </w:tabs>
              <w:spacing w:before="60" w:after="60"/>
              <w:rPr>
                <w:color w:val="000000"/>
                <w:sz w:val="18"/>
                <w:szCs w:val="18"/>
              </w:rPr>
            </w:pPr>
            <w:r>
              <w:rPr>
                <w:color w:val="000000"/>
                <w:sz w:val="18"/>
                <w:szCs w:val="18"/>
              </w:rPr>
              <w:t>25.75</w:t>
            </w:r>
          </w:p>
        </w:tc>
        <w:tc>
          <w:tcPr>
            <w:tcW w:w="1350" w:type="dxa"/>
            <w:tcBorders>
              <w:top w:val="single" w:sz="4" w:space="0" w:color="000000"/>
              <w:bottom w:val="single" w:sz="12" w:space="0" w:color="000000"/>
            </w:tcBorders>
            <w:vAlign w:val="center"/>
          </w:tcPr>
          <w:p w14:paraId="212DA385" w14:textId="79643313" w:rsidR="008234F6" w:rsidRDefault="008234F6" w:rsidP="000E6B53">
            <w:pPr>
              <w:pBdr>
                <w:top w:val="nil"/>
                <w:left w:val="nil"/>
                <w:bottom w:val="nil"/>
                <w:right w:val="nil"/>
                <w:between w:val="nil"/>
              </w:pBdr>
              <w:tabs>
                <w:tab w:val="decimal" w:pos="795"/>
              </w:tabs>
              <w:rPr>
                <w:color w:val="000000"/>
                <w:sz w:val="18"/>
                <w:szCs w:val="18"/>
              </w:rPr>
            </w:pPr>
            <w:r w:rsidRPr="00217BCA">
              <w:rPr>
                <w:sz w:val="18"/>
                <w:szCs w:val="18"/>
              </w:rPr>
              <w:t xml:space="preserve"> (7.50)</w:t>
            </w:r>
          </w:p>
        </w:tc>
        <w:tc>
          <w:tcPr>
            <w:tcW w:w="1350" w:type="dxa"/>
            <w:tcBorders>
              <w:top w:val="single" w:sz="4" w:space="0" w:color="000000"/>
              <w:bottom w:val="single" w:sz="12" w:space="0" w:color="000000"/>
            </w:tcBorders>
            <w:vAlign w:val="center"/>
          </w:tcPr>
          <w:p w14:paraId="6EE6EC45" w14:textId="1E04C066" w:rsidR="008234F6" w:rsidRPr="005B3167" w:rsidRDefault="00CD4EE5" w:rsidP="008234F6">
            <w:pPr>
              <w:pBdr>
                <w:top w:val="nil"/>
                <w:left w:val="nil"/>
                <w:bottom w:val="nil"/>
                <w:right w:val="nil"/>
                <w:between w:val="nil"/>
              </w:pBdr>
              <w:tabs>
                <w:tab w:val="decimal" w:pos="795"/>
              </w:tabs>
              <w:rPr>
                <w:color w:val="000000"/>
                <w:sz w:val="18"/>
                <w:szCs w:val="18"/>
              </w:rPr>
            </w:pPr>
            <w:r>
              <w:rPr>
                <w:color w:val="000000"/>
                <w:sz w:val="18"/>
                <w:szCs w:val="18"/>
              </w:rPr>
              <w:t>19.42</w:t>
            </w:r>
          </w:p>
        </w:tc>
        <w:tc>
          <w:tcPr>
            <w:tcW w:w="1350" w:type="dxa"/>
            <w:tcBorders>
              <w:top w:val="single" w:sz="4" w:space="0" w:color="000000"/>
              <w:bottom w:val="single" w:sz="12" w:space="0" w:color="000000"/>
            </w:tcBorders>
            <w:vAlign w:val="center"/>
          </w:tcPr>
          <w:p w14:paraId="2C0313CB" w14:textId="06DD794A" w:rsidR="008234F6" w:rsidRDefault="008234F6" w:rsidP="008234F6">
            <w:pPr>
              <w:pBdr>
                <w:top w:val="nil"/>
                <w:left w:val="nil"/>
                <w:bottom w:val="nil"/>
                <w:right w:val="nil"/>
                <w:between w:val="nil"/>
              </w:pBdr>
              <w:tabs>
                <w:tab w:val="decimal" w:pos="795"/>
              </w:tabs>
              <w:rPr>
                <w:color w:val="000000"/>
                <w:sz w:val="18"/>
                <w:szCs w:val="18"/>
              </w:rPr>
            </w:pPr>
            <w:r>
              <w:rPr>
                <w:color w:val="000000"/>
                <w:sz w:val="18"/>
                <w:szCs w:val="18"/>
              </w:rPr>
              <w:t>(2.42)</w:t>
            </w:r>
          </w:p>
        </w:tc>
      </w:tr>
      <w:tr w:rsidR="008234F6" w14:paraId="03B65106" w14:textId="77777777" w:rsidTr="00631AB8">
        <w:trPr>
          <w:trHeight w:val="50"/>
        </w:trPr>
        <w:tc>
          <w:tcPr>
            <w:tcW w:w="9450" w:type="dxa"/>
            <w:gridSpan w:val="6"/>
            <w:tcBorders>
              <w:top w:val="single" w:sz="12" w:space="0" w:color="000000"/>
            </w:tcBorders>
            <w:vAlign w:val="bottom"/>
          </w:tcPr>
          <w:p w14:paraId="66E64406" w14:textId="77777777" w:rsidR="008234F6" w:rsidRDefault="008234F6" w:rsidP="008234F6">
            <w:pPr>
              <w:widowControl w:val="0"/>
              <w:pBdr>
                <w:top w:val="nil"/>
                <w:left w:val="nil"/>
                <w:bottom w:val="nil"/>
                <w:right w:val="nil"/>
                <w:between w:val="nil"/>
              </w:pBdr>
              <w:rPr>
                <w:color w:val="000000"/>
                <w:sz w:val="4"/>
                <w:szCs w:val="4"/>
              </w:rPr>
            </w:pPr>
          </w:p>
          <w:p w14:paraId="2ACC8926" w14:textId="77777777" w:rsidR="008234F6" w:rsidRDefault="008234F6" w:rsidP="008234F6">
            <w:pPr>
              <w:widowControl w:val="0"/>
              <w:pBdr>
                <w:top w:val="nil"/>
                <w:left w:val="nil"/>
                <w:bottom w:val="nil"/>
                <w:right w:val="nil"/>
                <w:between w:val="nil"/>
              </w:pBdr>
              <w:rPr>
                <w:color w:val="000000"/>
                <w:sz w:val="4"/>
                <w:szCs w:val="4"/>
              </w:rPr>
            </w:pPr>
          </w:p>
        </w:tc>
      </w:tr>
    </w:tbl>
    <w:p w14:paraId="59DCE943" w14:textId="77777777" w:rsidR="003F0723" w:rsidRDefault="003F0723" w:rsidP="005370AC">
      <w:pPr>
        <w:widowControl w:val="0"/>
        <w:spacing w:after="120"/>
        <w:ind w:left="288" w:hanging="288"/>
        <w:jc w:val="both"/>
        <w:outlineLvl w:val="8"/>
        <w:rPr>
          <w:rFonts w:cs="Arial"/>
          <w:sz w:val="16"/>
          <w:szCs w:val="16"/>
        </w:rPr>
      </w:pPr>
      <w:r>
        <w:rPr>
          <w:rFonts w:cs="Arial"/>
          <w:color w:val="000000"/>
          <w:vertAlign w:val="superscript"/>
        </w:rPr>
        <w:t xml:space="preserve">(1) </w:t>
      </w:r>
      <w:r>
        <w:rPr>
          <w:rFonts w:cs="Arial"/>
          <w:sz w:val="16"/>
          <w:szCs w:val="16"/>
        </w:rPr>
        <w:t>"Operating netback per BOE" is a non-IFRS ratio.  See "Non-IFRS and Other Financial Measures".</w:t>
      </w:r>
    </w:p>
    <w:p w14:paraId="0AED9F96" w14:textId="40B9D02E" w:rsidR="00976FB9" w:rsidRDefault="000C7B03" w:rsidP="005370AC">
      <w:pPr>
        <w:pStyle w:val="Heading8"/>
        <w:keepNext w:val="0"/>
        <w:widowControl w:val="0"/>
        <w:spacing w:before="120"/>
        <w:rPr>
          <w:rFonts w:cs="Arial"/>
          <w:b w:val="0"/>
          <w:iCs/>
        </w:rPr>
      </w:pPr>
      <w:r>
        <w:rPr>
          <w:rFonts w:cs="Arial"/>
          <w:b w:val="0"/>
          <w:iCs/>
        </w:rPr>
        <w:t xml:space="preserve">Variances in the operating netback for </w:t>
      </w:r>
      <w:r w:rsidR="00436B2E">
        <w:rPr>
          <w:rFonts w:cs="Arial"/>
          <w:b w:val="0"/>
          <w:iCs/>
        </w:rPr>
        <w:t>Q</w:t>
      </w:r>
      <w:r w:rsidR="000E6B53">
        <w:rPr>
          <w:rFonts w:cs="Arial"/>
          <w:b w:val="0"/>
          <w:iCs/>
        </w:rPr>
        <w:t>2</w:t>
      </w:r>
      <w:r w:rsidR="00436B2E">
        <w:rPr>
          <w:rFonts w:cs="Arial"/>
          <w:b w:val="0"/>
          <w:iCs/>
        </w:rPr>
        <w:t xml:space="preserve"> </w:t>
      </w:r>
      <w:r>
        <w:rPr>
          <w:rFonts w:cs="Arial"/>
          <w:b w:val="0"/>
          <w:iCs/>
        </w:rPr>
        <w:t>202</w:t>
      </w:r>
      <w:r w:rsidR="00C74AFA">
        <w:rPr>
          <w:rFonts w:cs="Arial"/>
          <w:b w:val="0"/>
          <w:iCs/>
        </w:rPr>
        <w:t>6</w:t>
      </w:r>
      <w:r w:rsidR="00E30F06">
        <w:rPr>
          <w:rFonts w:cs="Arial"/>
          <w:b w:val="0"/>
          <w:iCs/>
        </w:rPr>
        <w:t xml:space="preserve"> </w:t>
      </w:r>
      <w:r>
        <w:rPr>
          <w:rFonts w:cs="Arial"/>
          <w:b w:val="0"/>
          <w:iCs/>
        </w:rPr>
        <w:t xml:space="preserve">as compared to </w:t>
      </w:r>
      <w:r w:rsidR="00436B2E">
        <w:rPr>
          <w:rFonts w:cs="Arial"/>
          <w:b w:val="0"/>
          <w:iCs/>
        </w:rPr>
        <w:t>Q</w:t>
      </w:r>
      <w:r w:rsidR="000E6B53">
        <w:rPr>
          <w:rFonts w:cs="Arial"/>
          <w:b w:val="0"/>
          <w:iCs/>
        </w:rPr>
        <w:t>2</w:t>
      </w:r>
      <w:r w:rsidR="00E30F06">
        <w:rPr>
          <w:rFonts w:cs="Arial"/>
          <w:b w:val="0"/>
          <w:iCs/>
        </w:rPr>
        <w:t xml:space="preserve"> </w:t>
      </w:r>
      <w:r>
        <w:rPr>
          <w:rFonts w:cs="Arial"/>
          <w:b w:val="0"/>
          <w:iCs/>
        </w:rPr>
        <w:t>202</w:t>
      </w:r>
      <w:r w:rsidR="00C74AFA">
        <w:rPr>
          <w:rFonts w:cs="Arial"/>
          <w:b w:val="0"/>
          <w:iCs/>
        </w:rPr>
        <w:t>5</w:t>
      </w:r>
      <w:r w:rsidR="00E30F06">
        <w:rPr>
          <w:rFonts w:cs="Arial"/>
          <w:b w:val="0"/>
          <w:iCs/>
        </w:rPr>
        <w:t xml:space="preserve"> </w:t>
      </w:r>
      <w:r>
        <w:rPr>
          <w:rFonts w:cs="Arial"/>
          <w:b w:val="0"/>
          <w:iCs/>
        </w:rPr>
        <w:t>are explained by changes in sales volumes and revenues, export taxes, royalties and turnover tax</w:t>
      </w:r>
      <w:r w:rsidR="00421B6D">
        <w:rPr>
          <w:rFonts w:cs="Arial"/>
          <w:b w:val="0"/>
          <w:iCs/>
        </w:rPr>
        <w:t>,</w:t>
      </w:r>
      <w:r>
        <w:rPr>
          <w:rFonts w:cs="Arial"/>
          <w:b w:val="0"/>
          <w:iCs/>
        </w:rPr>
        <w:t xml:space="preserve"> and operating costs as detailed below.</w:t>
      </w:r>
    </w:p>
    <w:p w14:paraId="7C1A592F" w14:textId="77777777" w:rsidR="000E08C5" w:rsidRDefault="000E08C5">
      <w:pPr>
        <w:rPr>
          <w:rFonts w:cs="Arial"/>
          <w:b/>
          <w:i/>
        </w:rPr>
      </w:pPr>
      <w:r>
        <w:rPr>
          <w:rFonts w:cs="Arial"/>
          <w:b/>
          <w:i/>
        </w:rPr>
        <w:br w:type="page"/>
      </w:r>
    </w:p>
    <w:p w14:paraId="542BE54C" w14:textId="1D19A6A2" w:rsidR="00652923" w:rsidRDefault="00CD6649" w:rsidP="005370AC">
      <w:pPr>
        <w:spacing w:before="120" w:after="120"/>
        <w:rPr>
          <w:rFonts w:cs="Arial"/>
          <w:b/>
          <w:i/>
        </w:rPr>
      </w:pPr>
      <w:r>
        <w:rPr>
          <w:rFonts w:cs="Arial"/>
          <w:b/>
          <w:i/>
        </w:rPr>
        <w:lastRenderedPageBreak/>
        <w:t>Sales Volumes and Sales Revenues</w:t>
      </w:r>
    </w:p>
    <w:tbl>
      <w:tblPr>
        <w:tblW w:w="9450" w:type="dxa"/>
        <w:tblLayout w:type="fixed"/>
        <w:tblLook w:val="0400" w:firstRow="0" w:lastRow="0" w:firstColumn="0" w:lastColumn="0" w:noHBand="0" w:noVBand="1"/>
      </w:tblPr>
      <w:tblGrid>
        <w:gridCol w:w="3816"/>
        <w:gridCol w:w="272"/>
        <w:gridCol w:w="1362"/>
        <w:gridCol w:w="1363"/>
        <w:gridCol w:w="1362"/>
        <w:gridCol w:w="1275"/>
      </w:tblGrid>
      <w:tr w:rsidR="00E91EF5" w14:paraId="58073D5C" w14:textId="77777777" w:rsidTr="00E30F06">
        <w:trPr>
          <w:trHeight w:val="155"/>
        </w:trPr>
        <w:tc>
          <w:tcPr>
            <w:tcW w:w="3816" w:type="dxa"/>
            <w:tcBorders>
              <w:top w:val="single" w:sz="12" w:space="0" w:color="000000"/>
            </w:tcBorders>
          </w:tcPr>
          <w:p w14:paraId="1A4DFE63" w14:textId="77777777" w:rsidR="00E91EF5" w:rsidRDefault="00E91EF5" w:rsidP="00E91EF5">
            <w:pPr>
              <w:widowControl w:val="0"/>
              <w:pBdr>
                <w:top w:val="nil"/>
                <w:left w:val="nil"/>
                <w:bottom w:val="nil"/>
                <w:right w:val="nil"/>
                <w:between w:val="nil"/>
              </w:pBdr>
              <w:spacing w:before="60"/>
              <w:jc w:val="both"/>
              <w:rPr>
                <w:b/>
                <w:color w:val="000000"/>
                <w:sz w:val="18"/>
                <w:szCs w:val="18"/>
              </w:rPr>
            </w:pPr>
          </w:p>
        </w:tc>
        <w:tc>
          <w:tcPr>
            <w:tcW w:w="272" w:type="dxa"/>
            <w:tcBorders>
              <w:top w:val="single" w:sz="12" w:space="0" w:color="000000"/>
            </w:tcBorders>
            <w:vAlign w:val="bottom"/>
          </w:tcPr>
          <w:p w14:paraId="3D24CE2B" w14:textId="77777777" w:rsidR="00E91EF5" w:rsidRDefault="00E91EF5" w:rsidP="00E91EF5">
            <w:pPr>
              <w:widowControl w:val="0"/>
              <w:pBdr>
                <w:top w:val="nil"/>
                <w:left w:val="nil"/>
                <w:bottom w:val="nil"/>
                <w:right w:val="nil"/>
                <w:between w:val="nil"/>
              </w:pBdr>
              <w:spacing w:before="60"/>
              <w:jc w:val="center"/>
              <w:rPr>
                <w:b/>
                <w:color w:val="000000"/>
                <w:sz w:val="16"/>
                <w:szCs w:val="16"/>
              </w:rPr>
            </w:pPr>
          </w:p>
        </w:tc>
        <w:tc>
          <w:tcPr>
            <w:tcW w:w="2725" w:type="dxa"/>
            <w:gridSpan w:val="2"/>
            <w:tcBorders>
              <w:top w:val="single" w:sz="12" w:space="0" w:color="000000"/>
            </w:tcBorders>
            <w:vAlign w:val="bottom"/>
          </w:tcPr>
          <w:p w14:paraId="480615EC" w14:textId="262FDD97" w:rsidR="00E91EF5" w:rsidRDefault="00E91EF5" w:rsidP="00E91EF5">
            <w:pPr>
              <w:widowControl w:val="0"/>
              <w:pBdr>
                <w:top w:val="nil"/>
                <w:left w:val="nil"/>
                <w:bottom w:val="nil"/>
                <w:right w:val="nil"/>
                <w:between w:val="nil"/>
              </w:pBdr>
              <w:spacing w:before="60"/>
              <w:jc w:val="center"/>
              <w:rPr>
                <w:b/>
                <w:color w:val="000000"/>
                <w:sz w:val="16"/>
                <w:szCs w:val="16"/>
              </w:rPr>
            </w:pPr>
            <w:r>
              <w:rPr>
                <w:rFonts w:cs="Arial"/>
                <w:b/>
                <w:sz w:val="16"/>
                <w:szCs w:val="16"/>
              </w:rPr>
              <w:t>Three months ended</w:t>
            </w:r>
          </w:p>
        </w:tc>
        <w:tc>
          <w:tcPr>
            <w:tcW w:w="2637" w:type="dxa"/>
            <w:gridSpan w:val="2"/>
            <w:tcBorders>
              <w:top w:val="single" w:sz="12" w:space="0" w:color="000000"/>
            </w:tcBorders>
            <w:vAlign w:val="bottom"/>
          </w:tcPr>
          <w:p w14:paraId="2C83D175" w14:textId="6A70C41F" w:rsidR="00E91EF5" w:rsidRDefault="00E91EF5" w:rsidP="00E91EF5">
            <w:pPr>
              <w:widowControl w:val="0"/>
              <w:pBdr>
                <w:top w:val="nil"/>
                <w:left w:val="nil"/>
                <w:bottom w:val="nil"/>
                <w:right w:val="nil"/>
                <w:between w:val="nil"/>
              </w:pBdr>
              <w:spacing w:before="60"/>
              <w:jc w:val="center"/>
              <w:rPr>
                <w:b/>
                <w:color w:val="000000"/>
                <w:sz w:val="16"/>
                <w:szCs w:val="16"/>
              </w:rPr>
            </w:pPr>
            <w:r>
              <w:rPr>
                <w:rFonts w:cs="Arial"/>
                <w:b/>
                <w:sz w:val="16"/>
                <w:szCs w:val="16"/>
              </w:rPr>
              <w:t>Six months ended</w:t>
            </w:r>
          </w:p>
        </w:tc>
      </w:tr>
      <w:tr w:rsidR="00E91EF5" w14:paraId="20564FEE" w14:textId="77777777" w:rsidTr="00E30F06">
        <w:trPr>
          <w:trHeight w:val="170"/>
        </w:trPr>
        <w:tc>
          <w:tcPr>
            <w:tcW w:w="3816" w:type="dxa"/>
          </w:tcPr>
          <w:p w14:paraId="28C9D3AE" w14:textId="77777777" w:rsidR="00E91EF5" w:rsidRDefault="00E91EF5" w:rsidP="00E91EF5">
            <w:pPr>
              <w:widowControl w:val="0"/>
              <w:pBdr>
                <w:top w:val="nil"/>
                <w:left w:val="nil"/>
                <w:bottom w:val="nil"/>
                <w:right w:val="nil"/>
                <w:between w:val="nil"/>
              </w:pBdr>
              <w:jc w:val="both"/>
              <w:rPr>
                <w:b/>
                <w:color w:val="000000"/>
                <w:sz w:val="18"/>
                <w:szCs w:val="18"/>
              </w:rPr>
            </w:pPr>
            <w:r>
              <w:rPr>
                <w:b/>
                <w:color w:val="000000"/>
                <w:sz w:val="18"/>
                <w:szCs w:val="18"/>
              </w:rPr>
              <w:t>Sales volumes</w:t>
            </w:r>
          </w:p>
        </w:tc>
        <w:tc>
          <w:tcPr>
            <w:tcW w:w="272" w:type="dxa"/>
            <w:vAlign w:val="bottom"/>
          </w:tcPr>
          <w:p w14:paraId="61CA8B35" w14:textId="77777777" w:rsidR="00E91EF5" w:rsidRDefault="00E91EF5" w:rsidP="00E91EF5">
            <w:pPr>
              <w:widowControl w:val="0"/>
              <w:pBdr>
                <w:top w:val="nil"/>
                <w:left w:val="nil"/>
                <w:bottom w:val="nil"/>
                <w:right w:val="nil"/>
                <w:between w:val="nil"/>
              </w:pBdr>
              <w:ind w:left="-108" w:right="-108"/>
              <w:jc w:val="center"/>
              <w:rPr>
                <w:b/>
                <w:color w:val="000000"/>
                <w:sz w:val="16"/>
                <w:szCs w:val="16"/>
              </w:rPr>
            </w:pPr>
          </w:p>
        </w:tc>
        <w:tc>
          <w:tcPr>
            <w:tcW w:w="2725" w:type="dxa"/>
            <w:gridSpan w:val="2"/>
            <w:vAlign w:val="bottom"/>
          </w:tcPr>
          <w:p w14:paraId="324B57A8" w14:textId="0320CBB8"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June 30</w:t>
            </w:r>
          </w:p>
        </w:tc>
        <w:tc>
          <w:tcPr>
            <w:tcW w:w="2637" w:type="dxa"/>
            <w:gridSpan w:val="2"/>
            <w:vAlign w:val="bottom"/>
          </w:tcPr>
          <w:p w14:paraId="0F6E94FC" w14:textId="127ACF71"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June 30</w:t>
            </w:r>
          </w:p>
        </w:tc>
      </w:tr>
      <w:tr w:rsidR="00E91EF5" w14:paraId="644F5471" w14:textId="77777777" w:rsidTr="00A84076">
        <w:trPr>
          <w:trHeight w:val="80"/>
        </w:trPr>
        <w:tc>
          <w:tcPr>
            <w:tcW w:w="3816" w:type="dxa"/>
            <w:tcBorders>
              <w:bottom w:val="single" w:sz="4" w:space="0" w:color="auto"/>
            </w:tcBorders>
          </w:tcPr>
          <w:p w14:paraId="2A4522C5" w14:textId="77777777" w:rsidR="00E91EF5" w:rsidRDefault="00E91EF5" w:rsidP="00E91EF5">
            <w:pPr>
              <w:widowControl w:val="0"/>
              <w:pBdr>
                <w:top w:val="nil"/>
                <w:left w:val="nil"/>
                <w:bottom w:val="nil"/>
                <w:right w:val="nil"/>
                <w:between w:val="nil"/>
              </w:pBdr>
              <w:jc w:val="both"/>
              <w:rPr>
                <w:color w:val="000000"/>
                <w:sz w:val="18"/>
                <w:szCs w:val="18"/>
              </w:rPr>
            </w:pPr>
          </w:p>
        </w:tc>
        <w:tc>
          <w:tcPr>
            <w:tcW w:w="272" w:type="dxa"/>
            <w:tcBorders>
              <w:bottom w:val="single" w:sz="4" w:space="0" w:color="auto"/>
            </w:tcBorders>
            <w:vAlign w:val="bottom"/>
          </w:tcPr>
          <w:p w14:paraId="3953BA15" w14:textId="77777777" w:rsidR="00E91EF5" w:rsidRDefault="00E91EF5" w:rsidP="00E91EF5">
            <w:pPr>
              <w:widowControl w:val="0"/>
              <w:pBdr>
                <w:top w:val="nil"/>
                <w:left w:val="nil"/>
                <w:bottom w:val="nil"/>
                <w:right w:val="nil"/>
                <w:between w:val="nil"/>
              </w:pBdr>
              <w:jc w:val="center"/>
              <w:rPr>
                <w:b/>
                <w:color w:val="000000"/>
                <w:sz w:val="16"/>
                <w:szCs w:val="16"/>
              </w:rPr>
            </w:pPr>
          </w:p>
        </w:tc>
        <w:tc>
          <w:tcPr>
            <w:tcW w:w="1362" w:type="dxa"/>
            <w:tcBorders>
              <w:bottom w:val="single" w:sz="4" w:space="0" w:color="auto"/>
            </w:tcBorders>
            <w:vAlign w:val="bottom"/>
          </w:tcPr>
          <w:p w14:paraId="5C167B4A" w14:textId="0C74D7C7"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63" w:type="dxa"/>
            <w:tcBorders>
              <w:bottom w:val="single" w:sz="4" w:space="0" w:color="auto"/>
            </w:tcBorders>
            <w:vAlign w:val="bottom"/>
          </w:tcPr>
          <w:p w14:paraId="6584A08B" w14:textId="7986A9D5"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c>
          <w:tcPr>
            <w:tcW w:w="1362" w:type="dxa"/>
            <w:tcBorders>
              <w:bottom w:val="single" w:sz="4" w:space="0" w:color="auto"/>
            </w:tcBorders>
            <w:vAlign w:val="bottom"/>
          </w:tcPr>
          <w:p w14:paraId="2C0FEC75" w14:textId="107D4566"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275" w:type="dxa"/>
            <w:tcBorders>
              <w:bottom w:val="single" w:sz="4" w:space="0" w:color="auto"/>
            </w:tcBorders>
            <w:vAlign w:val="bottom"/>
          </w:tcPr>
          <w:p w14:paraId="79EF16EC" w14:textId="05590813"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r>
      <w:tr w:rsidR="008234F6" w14:paraId="0E4677DB" w14:textId="77777777" w:rsidTr="008234F6">
        <w:trPr>
          <w:trHeight w:val="195"/>
        </w:trPr>
        <w:tc>
          <w:tcPr>
            <w:tcW w:w="3816" w:type="dxa"/>
            <w:tcBorders>
              <w:top w:val="single" w:sz="4" w:space="0" w:color="auto"/>
            </w:tcBorders>
          </w:tcPr>
          <w:p w14:paraId="46BBFF80" w14:textId="18BE6E15" w:rsidR="008234F6" w:rsidRDefault="008234F6" w:rsidP="008234F6">
            <w:pPr>
              <w:widowControl w:val="0"/>
              <w:pBdr>
                <w:top w:val="nil"/>
                <w:left w:val="nil"/>
                <w:bottom w:val="nil"/>
                <w:right w:val="nil"/>
                <w:between w:val="nil"/>
              </w:pBdr>
              <w:spacing w:before="60"/>
              <w:rPr>
                <w:color w:val="000000"/>
                <w:sz w:val="18"/>
                <w:szCs w:val="18"/>
              </w:rPr>
            </w:pPr>
            <w:r>
              <w:rPr>
                <w:color w:val="000000"/>
                <w:sz w:val="18"/>
                <w:szCs w:val="18"/>
              </w:rPr>
              <w:t>Crude o</w:t>
            </w:r>
            <w:r w:rsidRPr="005F288F">
              <w:rPr>
                <w:color w:val="000000"/>
                <w:sz w:val="18"/>
                <w:szCs w:val="18"/>
              </w:rPr>
              <w:t>il (</w:t>
            </w:r>
            <w:proofErr w:type="spellStart"/>
            <w:r w:rsidRPr="005F288F">
              <w:rPr>
                <w:color w:val="000000"/>
                <w:sz w:val="18"/>
                <w:szCs w:val="18"/>
              </w:rPr>
              <w:t>bbls</w:t>
            </w:r>
            <w:proofErr w:type="spellEnd"/>
            <w:r w:rsidRPr="005F288F">
              <w:rPr>
                <w:color w:val="000000"/>
                <w:sz w:val="18"/>
                <w:szCs w:val="18"/>
              </w:rPr>
              <w:t>)</w:t>
            </w:r>
            <w:r>
              <w:rPr>
                <w:color w:val="000000"/>
                <w:sz w:val="18"/>
                <w:szCs w:val="18"/>
              </w:rPr>
              <w:t xml:space="preserve"> </w:t>
            </w:r>
          </w:p>
        </w:tc>
        <w:tc>
          <w:tcPr>
            <w:tcW w:w="272" w:type="dxa"/>
            <w:tcBorders>
              <w:top w:val="single" w:sz="4" w:space="0" w:color="auto"/>
            </w:tcBorders>
            <w:vAlign w:val="bottom"/>
          </w:tcPr>
          <w:p w14:paraId="3545BF1F" w14:textId="77777777" w:rsidR="008234F6" w:rsidRDefault="008234F6" w:rsidP="008234F6">
            <w:pPr>
              <w:widowControl w:val="0"/>
              <w:pBdr>
                <w:top w:val="nil"/>
                <w:left w:val="nil"/>
                <w:bottom w:val="nil"/>
                <w:right w:val="nil"/>
                <w:between w:val="nil"/>
              </w:pBdr>
              <w:spacing w:before="60"/>
              <w:rPr>
                <w:color w:val="000000"/>
                <w:sz w:val="18"/>
                <w:szCs w:val="18"/>
              </w:rPr>
            </w:pPr>
          </w:p>
        </w:tc>
        <w:tc>
          <w:tcPr>
            <w:tcW w:w="1362" w:type="dxa"/>
            <w:tcBorders>
              <w:top w:val="single" w:sz="4" w:space="0" w:color="auto"/>
            </w:tcBorders>
            <w:vAlign w:val="bottom"/>
          </w:tcPr>
          <w:p w14:paraId="4FC1D822" w14:textId="10074BC8" w:rsidR="008234F6" w:rsidRDefault="00CD4EE5" w:rsidP="008234F6">
            <w:pPr>
              <w:pBdr>
                <w:top w:val="nil"/>
                <w:left w:val="nil"/>
                <w:bottom w:val="nil"/>
                <w:right w:val="nil"/>
                <w:between w:val="nil"/>
              </w:pBdr>
              <w:tabs>
                <w:tab w:val="decimal" w:pos="1065"/>
              </w:tabs>
              <w:spacing w:before="60"/>
              <w:ind w:right="-105"/>
              <w:rPr>
                <w:color w:val="000000"/>
                <w:sz w:val="18"/>
                <w:szCs w:val="18"/>
              </w:rPr>
            </w:pPr>
            <w:r>
              <w:rPr>
                <w:color w:val="000000"/>
                <w:sz w:val="18"/>
                <w:szCs w:val="18"/>
              </w:rPr>
              <w:t>733,930</w:t>
            </w:r>
          </w:p>
        </w:tc>
        <w:tc>
          <w:tcPr>
            <w:tcW w:w="1363" w:type="dxa"/>
            <w:tcBorders>
              <w:top w:val="single" w:sz="4" w:space="0" w:color="auto"/>
            </w:tcBorders>
            <w:vAlign w:val="bottom"/>
          </w:tcPr>
          <w:p w14:paraId="5A8D8251" w14:textId="16CBED39" w:rsidR="008234F6" w:rsidRDefault="008234F6" w:rsidP="008234F6">
            <w:pPr>
              <w:pBdr>
                <w:top w:val="nil"/>
                <w:left w:val="nil"/>
                <w:bottom w:val="nil"/>
                <w:right w:val="nil"/>
                <w:between w:val="nil"/>
              </w:pBdr>
              <w:tabs>
                <w:tab w:val="decimal" w:pos="1065"/>
              </w:tabs>
              <w:spacing w:before="60"/>
              <w:ind w:right="-105"/>
              <w:rPr>
                <w:color w:val="000000"/>
                <w:sz w:val="18"/>
                <w:szCs w:val="18"/>
              </w:rPr>
            </w:pPr>
            <w:r w:rsidRPr="00A7179D">
              <w:rPr>
                <w:color w:val="000000"/>
                <w:sz w:val="18"/>
                <w:szCs w:val="18"/>
              </w:rPr>
              <w:t xml:space="preserve"> 311,415 </w:t>
            </w:r>
          </w:p>
        </w:tc>
        <w:tc>
          <w:tcPr>
            <w:tcW w:w="1362" w:type="dxa"/>
            <w:tcBorders>
              <w:top w:val="single" w:sz="4" w:space="0" w:color="auto"/>
            </w:tcBorders>
            <w:vAlign w:val="bottom"/>
          </w:tcPr>
          <w:p w14:paraId="01CD41D5" w14:textId="051E59D8" w:rsidR="008234F6" w:rsidRPr="002623CC" w:rsidRDefault="00CD4EE5" w:rsidP="008234F6">
            <w:pPr>
              <w:pBdr>
                <w:top w:val="nil"/>
                <w:left w:val="nil"/>
                <w:bottom w:val="nil"/>
                <w:right w:val="nil"/>
                <w:between w:val="nil"/>
              </w:pBdr>
              <w:tabs>
                <w:tab w:val="decimal" w:pos="1065"/>
              </w:tabs>
              <w:spacing w:before="60"/>
              <w:ind w:right="-105"/>
              <w:rPr>
                <w:color w:val="000000"/>
                <w:sz w:val="18"/>
                <w:szCs w:val="18"/>
              </w:rPr>
            </w:pPr>
            <w:r>
              <w:rPr>
                <w:color w:val="000000"/>
                <w:sz w:val="18"/>
                <w:szCs w:val="18"/>
              </w:rPr>
              <w:t>1,331,439</w:t>
            </w:r>
          </w:p>
        </w:tc>
        <w:tc>
          <w:tcPr>
            <w:tcW w:w="1275" w:type="dxa"/>
            <w:tcBorders>
              <w:top w:val="single" w:sz="4" w:space="0" w:color="auto"/>
            </w:tcBorders>
            <w:vAlign w:val="bottom"/>
          </w:tcPr>
          <w:p w14:paraId="3A634B24" w14:textId="1EF02937" w:rsidR="008234F6" w:rsidRDefault="008234F6" w:rsidP="008234F6">
            <w:pPr>
              <w:pBdr>
                <w:top w:val="nil"/>
                <w:left w:val="nil"/>
                <w:bottom w:val="nil"/>
                <w:right w:val="nil"/>
                <w:between w:val="nil"/>
              </w:pBdr>
              <w:tabs>
                <w:tab w:val="decimal" w:pos="990"/>
              </w:tabs>
              <w:spacing w:before="60"/>
              <w:ind w:right="-105"/>
              <w:rPr>
                <w:color w:val="000000"/>
                <w:sz w:val="18"/>
                <w:szCs w:val="18"/>
              </w:rPr>
            </w:pPr>
            <w:r w:rsidRPr="009C07A7">
              <w:rPr>
                <w:sz w:val="18"/>
                <w:szCs w:val="18"/>
              </w:rPr>
              <w:t xml:space="preserve"> 635,492 </w:t>
            </w:r>
          </w:p>
        </w:tc>
      </w:tr>
      <w:tr w:rsidR="008234F6" w14:paraId="754807F9" w14:textId="77777777" w:rsidTr="008234F6">
        <w:trPr>
          <w:trHeight w:val="195"/>
        </w:trPr>
        <w:tc>
          <w:tcPr>
            <w:tcW w:w="3816" w:type="dxa"/>
            <w:vAlign w:val="bottom"/>
          </w:tcPr>
          <w:p w14:paraId="4F00EB61" w14:textId="18118572" w:rsidR="008234F6" w:rsidRDefault="008234F6" w:rsidP="008234F6">
            <w:pPr>
              <w:widowControl w:val="0"/>
              <w:pBdr>
                <w:top w:val="nil"/>
                <w:left w:val="nil"/>
                <w:bottom w:val="nil"/>
                <w:right w:val="nil"/>
                <w:between w:val="nil"/>
              </w:pBdr>
              <w:rPr>
                <w:color w:val="000000"/>
                <w:sz w:val="18"/>
                <w:szCs w:val="18"/>
              </w:rPr>
            </w:pPr>
            <w:r>
              <w:rPr>
                <w:color w:val="000000"/>
                <w:sz w:val="18"/>
                <w:szCs w:val="18"/>
              </w:rPr>
              <w:t>NGL (</w:t>
            </w:r>
            <w:proofErr w:type="spellStart"/>
            <w:r>
              <w:rPr>
                <w:color w:val="000000"/>
                <w:sz w:val="18"/>
                <w:szCs w:val="18"/>
              </w:rPr>
              <w:t>bbls</w:t>
            </w:r>
            <w:proofErr w:type="spellEnd"/>
            <w:r>
              <w:rPr>
                <w:color w:val="000000"/>
                <w:sz w:val="18"/>
                <w:szCs w:val="18"/>
              </w:rPr>
              <w:t>)</w:t>
            </w:r>
          </w:p>
        </w:tc>
        <w:tc>
          <w:tcPr>
            <w:tcW w:w="272" w:type="dxa"/>
            <w:vAlign w:val="bottom"/>
          </w:tcPr>
          <w:p w14:paraId="7152B5DC" w14:textId="77777777" w:rsidR="008234F6" w:rsidRDefault="008234F6" w:rsidP="008234F6">
            <w:pPr>
              <w:widowControl w:val="0"/>
              <w:pBdr>
                <w:top w:val="nil"/>
                <w:left w:val="nil"/>
                <w:bottom w:val="nil"/>
                <w:right w:val="nil"/>
                <w:between w:val="nil"/>
              </w:pBdr>
              <w:rPr>
                <w:color w:val="000000"/>
                <w:sz w:val="18"/>
                <w:szCs w:val="18"/>
              </w:rPr>
            </w:pPr>
          </w:p>
        </w:tc>
        <w:tc>
          <w:tcPr>
            <w:tcW w:w="1362" w:type="dxa"/>
            <w:vAlign w:val="bottom"/>
          </w:tcPr>
          <w:p w14:paraId="0D17C005" w14:textId="08D7B0CF" w:rsidR="008234F6" w:rsidRDefault="00CD4EE5" w:rsidP="008234F6">
            <w:pPr>
              <w:pBdr>
                <w:top w:val="nil"/>
                <w:left w:val="nil"/>
                <w:bottom w:val="nil"/>
                <w:right w:val="nil"/>
                <w:between w:val="nil"/>
              </w:pBdr>
              <w:tabs>
                <w:tab w:val="decimal" w:pos="1065"/>
              </w:tabs>
              <w:ind w:right="-105"/>
              <w:rPr>
                <w:color w:val="000000"/>
                <w:sz w:val="18"/>
                <w:szCs w:val="18"/>
              </w:rPr>
            </w:pPr>
            <w:r>
              <w:rPr>
                <w:color w:val="000000"/>
                <w:sz w:val="18"/>
                <w:szCs w:val="18"/>
              </w:rPr>
              <w:t>340</w:t>
            </w:r>
          </w:p>
        </w:tc>
        <w:tc>
          <w:tcPr>
            <w:tcW w:w="1363" w:type="dxa"/>
            <w:vAlign w:val="bottom"/>
          </w:tcPr>
          <w:p w14:paraId="632E4679" w14:textId="28586100" w:rsidR="008234F6" w:rsidRDefault="008234F6" w:rsidP="008234F6">
            <w:pPr>
              <w:pBdr>
                <w:top w:val="nil"/>
                <w:left w:val="nil"/>
                <w:bottom w:val="nil"/>
                <w:right w:val="nil"/>
                <w:between w:val="nil"/>
              </w:pBdr>
              <w:tabs>
                <w:tab w:val="decimal" w:pos="1065"/>
              </w:tabs>
              <w:ind w:right="-105"/>
              <w:rPr>
                <w:color w:val="000000"/>
                <w:sz w:val="18"/>
                <w:szCs w:val="18"/>
              </w:rPr>
            </w:pPr>
            <w:r w:rsidRPr="00A7179D">
              <w:rPr>
                <w:color w:val="000000"/>
                <w:sz w:val="18"/>
                <w:szCs w:val="18"/>
              </w:rPr>
              <w:t xml:space="preserve"> 1,422 </w:t>
            </w:r>
          </w:p>
        </w:tc>
        <w:tc>
          <w:tcPr>
            <w:tcW w:w="1362" w:type="dxa"/>
            <w:vAlign w:val="bottom"/>
          </w:tcPr>
          <w:p w14:paraId="015274D1" w14:textId="6F70EA77" w:rsidR="008234F6" w:rsidRPr="002623CC" w:rsidRDefault="00CD4EE5" w:rsidP="008234F6">
            <w:pPr>
              <w:pBdr>
                <w:top w:val="nil"/>
                <w:left w:val="nil"/>
                <w:bottom w:val="nil"/>
                <w:right w:val="nil"/>
                <w:between w:val="nil"/>
              </w:pBdr>
              <w:tabs>
                <w:tab w:val="decimal" w:pos="1065"/>
              </w:tabs>
              <w:ind w:right="-105"/>
              <w:rPr>
                <w:color w:val="000000"/>
                <w:sz w:val="18"/>
                <w:szCs w:val="18"/>
              </w:rPr>
            </w:pPr>
            <w:r>
              <w:rPr>
                <w:color w:val="000000"/>
                <w:sz w:val="18"/>
                <w:szCs w:val="18"/>
              </w:rPr>
              <w:t>656</w:t>
            </w:r>
          </w:p>
        </w:tc>
        <w:tc>
          <w:tcPr>
            <w:tcW w:w="1275" w:type="dxa"/>
            <w:vAlign w:val="bottom"/>
          </w:tcPr>
          <w:p w14:paraId="535815C5" w14:textId="41F842C4" w:rsidR="008234F6" w:rsidRDefault="008234F6" w:rsidP="008234F6">
            <w:pPr>
              <w:pBdr>
                <w:top w:val="nil"/>
                <w:left w:val="nil"/>
                <w:bottom w:val="nil"/>
                <w:right w:val="nil"/>
                <w:between w:val="nil"/>
              </w:pBdr>
              <w:tabs>
                <w:tab w:val="decimal" w:pos="990"/>
              </w:tabs>
              <w:ind w:right="-105"/>
              <w:rPr>
                <w:color w:val="000000"/>
                <w:sz w:val="18"/>
                <w:szCs w:val="18"/>
              </w:rPr>
            </w:pPr>
            <w:r w:rsidRPr="009C07A7">
              <w:rPr>
                <w:sz w:val="18"/>
                <w:szCs w:val="18"/>
              </w:rPr>
              <w:t xml:space="preserve"> 2,186 </w:t>
            </w:r>
          </w:p>
        </w:tc>
      </w:tr>
      <w:tr w:rsidR="008234F6" w14:paraId="3900BF55" w14:textId="77777777" w:rsidTr="008234F6">
        <w:trPr>
          <w:trHeight w:val="195"/>
        </w:trPr>
        <w:tc>
          <w:tcPr>
            <w:tcW w:w="3816" w:type="dxa"/>
            <w:tcBorders>
              <w:bottom w:val="single" w:sz="4" w:space="0" w:color="000000"/>
            </w:tcBorders>
            <w:vAlign w:val="bottom"/>
          </w:tcPr>
          <w:p w14:paraId="4070B386" w14:textId="77777777" w:rsidR="008234F6" w:rsidRDefault="008234F6" w:rsidP="008234F6">
            <w:pPr>
              <w:widowControl w:val="0"/>
              <w:pBdr>
                <w:top w:val="nil"/>
                <w:left w:val="nil"/>
                <w:bottom w:val="nil"/>
                <w:right w:val="nil"/>
                <w:between w:val="nil"/>
              </w:pBdr>
              <w:rPr>
                <w:color w:val="000000"/>
                <w:sz w:val="18"/>
                <w:szCs w:val="18"/>
              </w:rPr>
            </w:pPr>
            <w:r>
              <w:rPr>
                <w:color w:val="000000"/>
                <w:sz w:val="18"/>
                <w:szCs w:val="18"/>
              </w:rPr>
              <w:t>Natural gas (mcf)</w:t>
            </w:r>
          </w:p>
        </w:tc>
        <w:tc>
          <w:tcPr>
            <w:tcW w:w="272" w:type="dxa"/>
            <w:tcBorders>
              <w:bottom w:val="single" w:sz="4" w:space="0" w:color="000000"/>
            </w:tcBorders>
            <w:vAlign w:val="bottom"/>
          </w:tcPr>
          <w:p w14:paraId="3EA3E08A" w14:textId="77777777" w:rsidR="008234F6" w:rsidRDefault="008234F6" w:rsidP="008234F6">
            <w:pPr>
              <w:widowControl w:val="0"/>
              <w:pBdr>
                <w:top w:val="nil"/>
                <w:left w:val="nil"/>
                <w:bottom w:val="nil"/>
                <w:right w:val="nil"/>
                <w:between w:val="nil"/>
              </w:pBdr>
              <w:rPr>
                <w:color w:val="000000"/>
                <w:sz w:val="18"/>
                <w:szCs w:val="18"/>
              </w:rPr>
            </w:pPr>
          </w:p>
        </w:tc>
        <w:tc>
          <w:tcPr>
            <w:tcW w:w="1362" w:type="dxa"/>
            <w:tcBorders>
              <w:bottom w:val="single" w:sz="4" w:space="0" w:color="000000"/>
            </w:tcBorders>
            <w:vAlign w:val="bottom"/>
          </w:tcPr>
          <w:p w14:paraId="2FE9E533" w14:textId="7E3F3C98" w:rsidR="008234F6" w:rsidRDefault="00CD4EE5" w:rsidP="008234F6">
            <w:pPr>
              <w:pBdr>
                <w:top w:val="nil"/>
                <w:left w:val="nil"/>
                <w:bottom w:val="nil"/>
                <w:right w:val="nil"/>
                <w:between w:val="nil"/>
              </w:pBdr>
              <w:tabs>
                <w:tab w:val="decimal" w:pos="1065"/>
              </w:tabs>
              <w:ind w:right="-105"/>
              <w:rPr>
                <w:color w:val="000000"/>
                <w:sz w:val="18"/>
                <w:szCs w:val="18"/>
              </w:rPr>
            </w:pPr>
            <w:r>
              <w:rPr>
                <w:color w:val="000000"/>
                <w:sz w:val="18"/>
                <w:szCs w:val="18"/>
              </w:rPr>
              <w:t>594,378</w:t>
            </w:r>
          </w:p>
        </w:tc>
        <w:tc>
          <w:tcPr>
            <w:tcW w:w="1363" w:type="dxa"/>
            <w:tcBorders>
              <w:bottom w:val="single" w:sz="4" w:space="0" w:color="000000"/>
            </w:tcBorders>
            <w:vAlign w:val="bottom"/>
          </w:tcPr>
          <w:p w14:paraId="3B0AB1EA" w14:textId="618E06CD" w:rsidR="008234F6" w:rsidRDefault="008234F6" w:rsidP="008234F6">
            <w:pPr>
              <w:pBdr>
                <w:top w:val="nil"/>
                <w:left w:val="nil"/>
                <w:bottom w:val="nil"/>
                <w:right w:val="nil"/>
                <w:between w:val="nil"/>
              </w:pBdr>
              <w:tabs>
                <w:tab w:val="decimal" w:pos="1065"/>
              </w:tabs>
              <w:ind w:right="-105"/>
              <w:rPr>
                <w:color w:val="000000"/>
                <w:sz w:val="18"/>
                <w:szCs w:val="18"/>
              </w:rPr>
            </w:pPr>
            <w:r w:rsidRPr="00A7179D">
              <w:rPr>
                <w:color w:val="000000"/>
                <w:sz w:val="18"/>
                <w:szCs w:val="18"/>
              </w:rPr>
              <w:t xml:space="preserve"> 351,883 </w:t>
            </w:r>
          </w:p>
        </w:tc>
        <w:tc>
          <w:tcPr>
            <w:tcW w:w="1362" w:type="dxa"/>
            <w:tcBorders>
              <w:bottom w:val="single" w:sz="4" w:space="0" w:color="000000"/>
            </w:tcBorders>
            <w:vAlign w:val="bottom"/>
          </w:tcPr>
          <w:p w14:paraId="2458366D" w14:textId="3445A250" w:rsidR="008234F6" w:rsidRPr="002623CC" w:rsidRDefault="00CD4EE5" w:rsidP="008234F6">
            <w:pPr>
              <w:pBdr>
                <w:top w:val="nil"/>
                <w:left w:val="nil"/>
                <w:bottom w:val="nil"/>
                <w:right w:val="nil"/>
                <w:between w:val="nil"/>
              </w:pBdr>
              <w:tabs>
                <w:tab w:val="decimal" w:pos="1065"/>
              </w:tabs>
              <w:ind w:right="-105"/>
              <w:rPr>
                <w:color w:val="000000"/>
                <w:sz w:val="18"/>
                <w:szCs w:val="18"/>
              </w:rPr>
            </w:pPr>
            <w:r>
              <w:rPr>
                <w:color w:val="000000"/>
                <w:sz w:val="18"/>
                <w:szCs w:val="18"/>
              </w:rPr>
              <w:t>1,259,374</w:t>
            </w:r>
          </w:p>
        </w:tc>
        <w:tc>
          <w:tcPr>
            <w:tcW w:w="1275" w:type="dxa"/>
            <w:tcBorders>
              <w:bottom w:val="single" w:sz="4" w:space="0" w:color="000000"/>
            </w:tcBorders>
            <w:vAlign w:val="bottom"/>
          </w:tcPr>
          <w:p w14:paraId="672CB3F6" w14:textId="0E591780" w:rsidR="008234F6" w:rsidRDefault="008234F6" w:rsidP="008234F6">
            <w:pPr>
              <w:pBdr>
                <w:top w:val="nil"/>
                <w:left w:val="nil"/>
                <w:bottom w:val="nil"/>
                <w:right w:val="nil"/>
                <w:between w:val="nil"/>
              </w:pBdr>
              <w:tabs>
                <w:tab w:val="decimal" w:pos="990"/>
              </w:tabs>
              <w:ind w:right="-105"/>
              <w:rPr>
                <w:color w:val="000000"/>
                <w:sz w:val="18"/>
                <w:szCs w:val="18"/>
              </w:rPr>
            </w:pPr>
            <w:r w:rsidRPr="009C07A7">
              <w:rPr>
                <w:sz w:val="18"/>
                <w:szCs w:val="18"/>
              </w:rPr>
              <w:t xml:space="preserve"> 714,359 </w:t>
            </w:r>
          </w:p>
        </w:tc>
      </w:tr>
      <w:tr w:rsidR="008234F6" w14:paraId="1BAA1862" w14:textId="77777777" w:rsidTr="008234F6">
        <w:trPr>
          <w:trHeight w:val="293"/>
        </w:trPr>
        <w:tc>
          <w:tcPr>
            <w:tcW w:w="3816" w:type="dxa"/>
            <w:tcBorders>
              <w:bottom w:val="single" w:sz="4" w:space="0" w:color="000000"/>
            </w:tcBorders>
            <w:vAlign w:val="center"/>
          </w:tcPr>
          <w:p w14:paraId="6CB8E6FC" w14:textId="77777777" w:rsidR="008234F6" w:rsidRDefault="008234F6" w:rsidP="008234F6">
            <w:pPr>
              <w:widowControl w:val="0"/>
              <w:pBdr>
                <w:top w:val="nil"/>
                <w:left w:val="nil"/>
                <w:bottom w:val="nil"/>
                <w:right w:val="nil"/>
                <w:between w:val="nil"/>
              </w:pBdr>
              <w:spacing w:before="60" w:after="60"/>
              <w:rPr>
                <w:color w:val="000000"/>
                <w:sz w:val="18"/>
                <w:szCs w:val="18"/>
              </w:rPr>
            </w:pPr>
            <w:r>
              <w:rPr>
                <w:color w:val="000000"/>
                <w:sz w:val="18"/>
                <w:szCs w:val="18"/>
              </w:rPr>
              <w:t>Total BOE</w:t>
            </w:r>
          </w:p>
        </w:tc>
        <w:tc>
          <w:tcPr>
            <w:tcW w:w="272" w:type="dxa"/>
            <w:tcBorders>
              <w:bottom w:val="single" w:sz="4" w:space="0" w:color="000000"/>
            </w:tcBorders>
            <w:vAlign w:val="center"/>
          </w:tcPr>
          <w:p w14:paraId="0C8239DA" w14:textId="77777777" w:rsidR="008234F6" w:rsidRDefault="008234F6" w:rsidP="008234F6">
            <w:pPr>
              <w:widowControl w:val="0"/>
              <w:pBdr>
                <w:top w:val="nil"/>
                <w:left w:val="nil"/>
                <w:bottom w:val="nil"/>
                <w:right w:val="nil"/>
                <w:between w:val="nil"/>
              </w:pBdr>
              <w:spacing w:before="60" w:after="60"/>
              <w:rPr>
                <w:color w:val="000000"/>
                <w:sz w:val="18"/>
                <w:szCs w:val="18"/>
              </w:rPr>
            </w:pPr>
          </w:p>
        </w:tc>
        <w:tc>
          <w:tcPr>
            <w:tcW w:w="1362" w:type="dxa"/>
            <w:tcBorders>
              <w:bottom w:val="single" w:sz="4" w:space="0" w:color="000000"/>
            </w:tcBorders>
            <w:vAlign w:val="center"/>
          </w:tcPr>
          <w:p w14:paraId="7AF20DAC" w14:textId="2CE762A8" w:rsidR="008234F6" w:rsidRDefault="00CD4EE5" w:rsidP="008234F6">
            <w:pPr>
              <w:pBdr>
                <w:top w:val="nil"/>
                <w:left w:val="nil"/>
                <w:bottom w:val="nil"/>
                <w:right w:val="nil"/>
                <w:between w:val="nil"/>
              </w:pBdr>
              <w:tabs>
                <w:tab w:val="decimal" w:pos="1065"/>
              </w:tabs>
              <w:ind w:right="-105"/>
              <w:rPr>
                <w:color w:val="000000"/>
                <w:sz w:val="18"/>
                <w:szCs w:val="18"/>
              </w:rPr>
            </w:pPr>
            <w:r>
              <w:rPr>
                <w:color w:val="000000"/>
                <w:sz w:val="18"/>
                <w:szCs w:val="18"/>
              </w:rPr>
              <w:t>833,333</w:t>
            </w:r>
          </w:p>
        </w:tc>
        <w:tc>
          <w:tcPr>
            <w:tcW w:w="1363" w:type="dxa"/>
            <w:tcBorders>
              <w:bottom w:val="single" w:sz="4" w:space="0" w:color="000000"/>
            </w:tcBorders>
            <w:vAlign w:val="center"/>
          </w:tcPr>
          <w:p w14:paraId="33038981" w14:textId="20A7E375" w:rsidR="008234F6" w:rsidRDefault="008234F6" w:rsidP="008234F6">
            <w:pPr>
              <w:pBdr>
                <w:top w:val="nil"/>
                <w:left w:val="nil"/>
                <w:bottom w:val="nil"/>
                <w:right w:val="nil"/>
                <w:between w:val="nil"/>
              </w:pBdr>
              <w:tabs>
                <w:tab w:val="decimal" w:pos="1065"/>
              </w:tabs>
              <w:ind w:right="-105"/>
              <w:rPr>
                <w:color w:val="000000"/>
                <w:sz w:val="18"/>
                <w:szCs w:val="18"/>
              </w:rPr>
            </w:pPr>
            <w:r w:rsidRPr="00A7179D">
              <w:rPr>
                <w:color w:val="000000"/>
                <w:sz w:val="18"/>
                <w:szCs w:val="18"/>
              </w:rPr>
              <w:t xml:space="preserve"> 371,484 </w:t>
            </w:r>
          </w:p>
        </w:tc>
        <w:tc>
          <w:tcPr>
            <w:tcW w:w="1362" w:type="dxa"/>
            <w:tcBorders>
              <w:bottom w:val="single" w:sz="4" w:space="0" w:color="000000"/>
            </w:tcBorders>
            <w:vAlign w:val="center"/>
          </w:tcPr>
          <w:p w14:paraId="29BEE3D2" w14:textId="4DC7A33D" w:rsidR="008234F6" w:rsidRPr="002623CC" w:rsidRDefault="00CD4EE5" w:rsidP="008234F6">
            <w:pPr>
              <w:pBdr>
                <w:top w:val="nil"/>
                <w:left w:val="nil"/>
                <w:bottom w:val="nil"/>
                <w:right w:val="nil"/>
                <w:between w:val="nil"/>
              </w:pBdr>
              <w:tabs>
                <w:tab w:val="decimal" w:pos="1065"/>
              </w:tabs>
              <w:ind w:right="-105"/>
              <w:rPr>
                <w:color w:val="000000"/>
                <w:sz w:val="18"/>
                <w:szCs w:val="18"/>
              </w:rPr>
            </w:pPr>
            <w:r>
              <w:rPr>
                <w:color w:val="000000"/>
                <w:sz w:val="18"/>
                <w:szCs w:val="18"/>
              </w:rPr>
              <w:t>1,541,991</w:t>
            </w:r>
          </w:p>
        </w:tc>
        <w:tc>
          <w:tcPr>
            <w:tcW w:w="1275" w:type="dxa"/>
            <w:tcBorders>
              <w:bottom w:val="single" w:sz="4" w:space="0" w:color="000000"/>
            </w:tcBorders>
            <w:vAlign w:val="center"/>
          </w:tcPr>
          <w:p w14:paraId="1B36AD7B" w14:textId="67A76BA0" w:rsidR="008234F6" w:rsidRDefault="008234F6" w:rsidP="008234F6">
            <w:pPr>
              <w:pBdr>
                <w:top w:val="nil"/>
                <w:left w:val="nil"/>
                <w:bottom w:val="nil"/>
                <w:right w:val="nil"/>
                <w:between w:val="nil"/>
              </w:pBdr>
              <w:tabs>
                <w:tab w:val="decimal" w:pos="990"/>
              </w:tabs>
              <w:ind w:right="-105"/>
              <w:rPr>
                <w:color w:val="000000"/>
                <w:sz w:val="18"/>
                <w:szCs w:val="18"/>
              </w:rPr>
            </w:pPr>
            <w:r w:rsidRPr="009C07A7">
              <w:rPr>
                <w:sz w:val="18"/>
                <w:szCs w:val="18"/>
              </w:rPr>
              <w:t xml:space="preserve"> 756,738 </w:t>
            </w:r>
          </w:p>
        </w:tc>
      </w:tr>
      <w:tr w:rsidR="008234F6" w14:paraId="12C4DEC8" w14:textId="77777777" w:rsidTr="008234F6">
        <w:trPr>
          <w:trHeight w:val="281"/>
        </w:trPr>
        <w:tc>
          <w:tcPr>
            <w:tcW w:w="3816" w:type="dxa"/>
            <w:vAlign w:val="bottom"/>
          </w:tcPr>
          <w:p w14:paraId="67763321" w14:textId="1AFC3A4A" w:rsidR="008234F6" w:rsidRDefault="008234F6" w:rsidP="008234F6">
            <w:pPr>
              <w:widowControl w:val="0"/>
              <w:pBdr>
                <w:top w:val="nil"/>
                <w:left w:val="nil"/>
                <w:bottom w:val="nil"/>
                <w:right w:val="nil"/>
                <w:between w:val="nil"/>
              </w:pBdr>
              <w:spacing w:before="60"/>
              <w:rPr>
                <w:color w:val="000000"/>
                <w:sz w:val="18"/>
                <w:szCs w:val="18"/>
              </w:rPr>
            </w:pPr>
            <w:r w:rsidRPr="005F288F">
              <w:rPr>
                <w:color w:val="000000"/>
                <w:sz w:val="18"/>
                <w:szCs w:val="18"/>
              </w:rPr>
              <w:t xml:space="preserve">Oil </w:t>
            </w:r>
            <w:proofErr w:type="spellStart"/>
            <w:r w:rsidRPr="005F288F">
              <w:rPr>
                <w:color w:val="000000"/>
                <w:sz w:val="18"/>
                <w:szCs w:val="18"/>
              </w:rPr>
              <w:t>bbls</w:t>
            </w:r>
            <w:proofErr w:type="spellEnd"/>
            <w:r w:rsidRPr="005F288F">
              <w:rPr>
                <w:color w:val="000000"/>
                <w:sz w:val="18"/>
                <w:szCs w:val="18"/>
              </w:rPr>
              <w:t xml:space="preserve"> per day</w:t>
            </w:r>
            <w:r>
              <w:rPr>
                <w:color w:val="000000"/>
                <w:sz w:val="18"/>
                <w:szCs w:val="18"/>
              </w:rPr>
              <w:t xml:space="preserve"> </w:t>
            </w:r>
          </w:p>
        </w:tc>
        <w:tc>
          <w:tcPr>
            <w:tcW w:w="272" w:type="dxa"/>
            <w:vAlign w:val="bottom"/>
          </w:tcPr>
          <w:p w14:paraId="3C94566D" w14:textId="77777777" w:rsidR="008234F6" w:rsidRDefault="008234F6" w:rsidP="008234F6">
            <w:pPr>
              <w:widowControl w:val="0"/>
              <w:pBdr>
                <w:top w:val="nil"/>
                <w:left w:val="nil"/>
                <w:bottom w:val="nil"/>
                <w:right w:val="nil"/>
                <w:between w:val="nil"/>
              </w:pBdr>
              <w:spacing w:before="60"/>
              <w:rPr>
                <w:color w:val="000000"/>
                <w:sz w:val="18"/>
                <w:szCs w:val="18"/>
              </w:rPr>
            </w:pPr>
          </w:p>
        </w:tc>
        <w:tc>
          <w:tcPr>
            <w:tcW w:w="1362" w:type="dxa"/>
            <w:vAlign w:val="bottom"/>
          </w:tcPr>
          <w:p w14:paraId="21C45A7B" w14:textId="79AADCF9" w:rsidR="008234F6" w:rsidRDefault="00CD4EE5" w:rsidP="008234F6">
            <w:pPr>
              <w:pBdr>
                <w:top w:val="nil"/>
                <w:left w:val="nil"/>
                <w:bottom w:val="nil"/>
                <w:right w:val="nil"/>
                <w:between w:val="nil"/>
              </w:pBdr>
              <w:tabs>
                <w:tab w:val="decimal" w:pos="1065"/>
              </w:tabs>
              <w:spacing w:before="60"/>
              <w:ind w:right="-105"/>
              <w:rPr>
                <w:color w:val="000000"/>
                <w:sz w:val="18"/>
                <w:szCs w:val="18"/>
              </w:rPr>
            </w:pPr>
            <w:r>
              <w:rPr>
                <w:color w:val="000000"/>
                <w:sz w:val="18"/>
                <w:szCs w:val="18"/>
              </w:rPr>
              <w:t>8,065</w:t>
            </w:r>
          </w:p>
        </w:tc>
        <w:tc>
          <w:tcPr>
            <w:tcW w:w="1363" w:type="dxa"/>
            <w:vAlign w:val="bottom"/>
          </w:tcPr>
          <w:p w14:paraId="04CFF415" w14:textId="63CDB214" w:rsidR="008234F6" w:rsidRDefault="008234F6" w:rsidP="008234F6">
            <w:pPr>
              <w:pBdr>
                <w:top w:val="nil"/>
                <w:left w:val="nil"/>
                <w:bottom w:val="nil"/>
                <w:right w:val="nil"/>
                <w:between w:val="nil"/>
              </w:pBdr>
              <w:tabs>
                <w:tab w:val="decimal" w:pos="1065"/>
              </w:tabs>
              <w:spacing w:before="60"/>
              <w:ind w:right="-105"/>
              <w:rPr>
                <w:color w:val="000000"/>
                <w:sz w:val="18"/>
                <w:szCs w:val="18"/>
              </w:rPr>
            </w:pPr>
            <w:r w:rsidRPr="00A7179D">
              <w:rPr>
                <w:color w:val="000000"/>
                <w:sz w:val="18"/>
                <w:szCs w:val="18"/>
              </w:rPr>
              <w:t xml:space="preserve"> 3,422 </w:t>
            </w:r>
          </w:p>
        </w:tc>
        <w:tc>
          <w:tcPr>
            <w:tcW w:w="1362" w:type="dxa"/>
            <w:vAlign w:val="bottom"/>
          </w:tcPr>
          <w:p w14:paraId="38D38379" w14:textId="0AA9696B" w:rsidR="008234F6" w:rsidRPr="002623CC" w:rsidRDefault="00CD4EE5" w:rsidP="008234F6">
            <w:pPr>
              <w:pBdr>
                <w:top w:val="nil"/>
                <w:left w:val="nil"/>
                <w:bottom w:val="nil"/>
                <w:right w:val="nil"/>
                <w:between w:val="nil"/>
              </w:pBdr>
              <w:tabs>
                <w:tab w:val="decimal" w:pos="1065"/>
              </w:tabs>
              <w:spacing w:before="60"/>
              <w:ind w:right="-105"/>
              <w:rPr>
                <w:color w:val="000000"/>
                <w:sz w:val="18"/>
                <w:szCs w:val="18"/>
              </w:rPr>
            </w:pPr>
            <w:r>
              <w:rPr>
                <w:color w:val="000000"/>
                <w:sz w:val="18"/>
                <w:szCs w:val="18"/>
              </w:rPr>
              <w:t>7,356</w:t>
            </w:r>
          </w:p>
        </w:tc>
        <w:tc>
          <w:tcPr>
            <w:tcW w:w="1275" w:type="dxa"/>
            <w:vAlign w:val="bottom"/>
          </w:tcPr>
          <w:p w14:paraId="25679B7D" w14:textId="4095BC8F" w:rsidR="008234F6" w:rsidRDefault="008234F6" w:rsidP="008234F6">
            <w:pPr>
              <w:pBdr>
                <w:top w:val="nil"/>
                <w:left w:val="nil"/>
                <w:bottom w:val="nil"/>
                <w:right w:val="nil"/>
                <w:between w:val="nil"/>
              </w:pBdr>
              <w:tabs>
                <w:tab w:val="decimal" w:pos="990"/>
              </w:tabs>
              <w:spacing w:before="60"/>
              <w:ind w:right="-105"/>
              <w:rPr>
                <w:color w:val="000000"/>
                <w:sz w:val="18"/>
                <w:szCs w:val="18"/>
              </w:rPr>
            </w:pPr>
            <w:r w:rsidRPr="009C07A7">
              <w:rPr>
                <w:sz w:val="18"/>
                <w:szCs w:val="18"/>
              </w:rPr>
              <w:t xml:space="preserve"> 3,511 </w:t>
            </w:r>
          </w:p>
        </w:tc>
      </w:tr>
      <w:tr w:rsidR="008234F6" w14:paraId="1F113724" w14:textId="77777777" w:rsidTr="008234F6">
        <w:trPr>
          <w:trHeight w:val="195"/>
        </w:trPr>
        <w:tc>
          <w:tcPr>
            <w:tcW w:w="3816" w:type="dxa"/>
            <w:vAlign w:val="bottom"/>
          </w:tcPr>
          <w:p w14:paraId="25A3665D" w14:textId="77777777" w:rsidR="008234F6" w:rsidRDefault="008234F6" w:rsidP="008234F6">
            <w:pPr>
              <w:widowControl w:val="0"/>
              <w:pBdr>
                <w:top w:val="nil"/>
                <w:left w:val="nil"/>
                <w:bottom w:val="nil"/>
                <w:right w:val="nil"/>
                <w:between w:val="nil"/>
              </w:pBdr>
              <w:rPr>
                <w:color w:val="000000"/>
                <w:sz w:val="18"/>
                <w:szCs w:val="18"/>
              </w:rPr>
            </w:pPr>
            <w:r>
              <w:rPr>
                <w:color w:val="000000"/>
                <w:sz w:val="18"/>
                <w:szCs w:val="18"/>
              </w:rPr>
              <w:t xml:space="preserve">NGL </w:t>
            </w:r>
            <w:proofErr w:type="spellStart"/>
            <w:r>
              <w:rPr>
                <w:color w:val="000000"/>
                <w:sz w:val="18"/>
                <w:szCs w:val="18"/>
              </w:rPr>
              <w:t>bbls</w:t>
            </w:r>
            <w:proofErr w:type="spellEnd"/>
            <w:r>
              <w:rPr>
                <w:color w:val="000000"/>
                <w:sz w:val="18"/>
                <w:szCs w:val="18"/>
              </w:rPr>
              <w:t xml:space="preserve"> per day </w:t>
            </w:r>
          </w:p>
        </w:tc>
        <w:tc>
          <w:tcPr>
            <w:tcW w:w="272" w:type="dxa"/>
            <w:vAlign w:val="bottom"/>
          </w:tcPr>
          <w:p w14:paraId="089AD11C" w14:textId="77777777" w:rsidR="008234F6" w:rsidRDefault="008234F6" w:rsidP="008234F6">
            <w:pPr>
              <w:widowControl w:val="0"/>
              <w:pBdr>
                <w:top w:val="nil"/>
                <w:left w:val="nil"/>
                <w:bottom w:val="nil"/>
                <w:right w:val="nil"/>
                <w:between w:val="nil"/>
              </w:pBdr>
              <w:rPr>
                <w:color w:val="000000"/>
                <w:sz w:val="18"/>
                <w:szCs w:val="18"/>
              </w:rPr>
            </w:pPr>
          </w:p>
        </w:tc>
        <w:tc>
          <w:tcPr>
            <w:tcW w:w="1362" w:type="dxa"/>
            <w:vAlign w:val="bottom"/>
          </w:tcPr>
          <w:p w14:paraId="3654D20D" w14:textId="203DE7CB" w:rsidR="008234F6" w:rsidRDefault="00CD4EE5" w:rsidP="008234F6">
            <w:pPr>
              <w:pBdr>
                <w:top w:val="nil"/>
                <w:left w:val="nil"/>
                <w:bottom w:val="nil"/>
                <w:right w:val="nil"/>
                <w:between w:val="nil"/>
              </w:pBdr>
              <w:tabs>
                <w:tab w:val="decimal" w:pos="1065"/>
              </w:tabs>
              <w:ind w:right="-105"/>
              <w:rPr>
                <w:color w:val="000000"/>
                <w:sz w:val="18"/>
                <w:szCs w:val="18"/>
              </w:rPr>
            </w:pPr>
            <w:r>
              <w:rPr>
                <w:color w:val="000000"/>
                <w:sz w:val="18"/>
                <w:szCs w:val="18"/>
              </w:rPr>
              <w:t>4</w:t>
            </w:r>
          </w:p>
        </w:tc>
        <w:tc>
          <w:tcPr>
            <w:tcW w:w="1363" w:type="dxa"/>
            <w:vAlign w:val="bottom"/>
          </w:tcPr>
          <w:p w14:paraId="6F0AFD02" w14:textId="65359A68" w:rsidR="008234F6" w:rsidRDefault="008234F6" w:rsidP="008234F6">
            <w:pPr>
              <w:pBdr>
                <w:top w:val="nil"/>
                <w:left w:val="nil"/>
                <w:bottom w:val="nil"/>
                <w:right w:val="nil"/>
                <w:between w:val="nil"/>
              </w:pBdr>
              <w:tabs>
                <w:tab w:val="decimal" w:pos="1065"/>
              </w:tabs>
              <w:ind w:right="-105"/>
              <w:rPr>
                <w:color w:val="000000"/>
                <w:sz w:val="18"/>
                <w:szCs w:val="18"/>
              </w:rPr>
            </w:pPr>
            <w:r w:rsidRPr="00A7179D">
              <w:rPr>
                <w:color w:val="000000"/>
                <w:sz w:val="18"/>
                <w:szCs w:val="18"/>
              </w:rPr>
              <w:t xml:space="preserve"> 16 </w:t>
            </w:r>
          </w:p>
        </w:tc>
        <w:tc>
          <w:tcPr>
            <w:tcW w:w="1362" w:type="dxa"/>
            <w:vAlign w:val="bottom"/>
          </w:tcPr>
          <w:p w14:paraId="13993016" w14:textId="01F219E3" w:rsidR="008234F6" w:rsidRPr="002623CC" w:rsidRDefault="00CD4EE5" w:rsidP="008234F6">
            <w:pPr>
              <w:pBdr>
                <w:top w:val="nil"/>
                <w:left w:val="nil"/>
                <w:bottom w:val="nil"/>
                <w:right w:val="nil"/>
                <w:between w:val="nil"/>
              </w:pBdr>
              <w:tabs>
                <w:tab w:val="decimal" w:pos="1065"/>
              </w:tabs>
              <w:ind w:right="-105"/>
              <w:rPr>
                <w:color w:val="000000"/>
                <w:sz w:val="18"/>
                <w:szCs w:val="18"/>
              </w:rPr>
            </w:pPr>
            <w:r>
              <w:rPr>
                <w:color w:val="000000"/>
                <w:sz w:val="18"/>
                <w:szCs w:val="18"/>
              </w:rPr>
              <w:t>4</w:t>
            </w:r>
          </w:p>
        </w:tc>
        <w:tc>
          <w:tcPr>
            <w:tcW w:w="1275" w:type="dxa"/>
            <w:vAlign w:val="bottom"/>
          </w:tcPr>
          <w:p w14:paraId="76D6874B" w14:textId="105D96E3" w:rsidR="008234F6" w:rsidRDefault="008234F6" w:rsidP="008234F6">
            <w:pPr>
              <w:pBdr>
                <w:top w:val="nil"/>
                <w:left w:val="nil"/>
                <w:bottom w:val="nil"/>
                <w:right w:val="nil"/>
                <w:between w:val="nil"/>
              </w:pBdr>
              <w:tabs>
                <w:tab w:val="decimal" w:pos="990"/>
              </w:tabs>
              <w:ind w:right="-105"/>
              <w:rPr>
                <w:color w:val="000000"/>
                <w:sz w:val="18"/>
                <w:szCs w:val="18"/>
              </w:rPr>
            </w:pPr>
            <w:r w:rsidRPr="009C07A7">
              <w:rPr>
                <w:sz w:val="18"/>
                <w:szCs w:val="18"/>
              </w:rPr>
              <w:t xml:space="preserve"> 12 </w:t>
            </w:r>
          </w:p>
        </w:tc>
      </w:tr>
      <w:tr w:rsidR="008234F6" w14:paraId="32534157" w14:textId="77777777" w:rsidTr="008234F6">
        <w:trPr>
          <w:trHeight w:val="195"/>
        </w:trPr>
        <w:tc>
          <w:tcPr>
            <w:tcW w:w="3816" w:type="dxa"/>
            <w:tcBorders>
              <w:bottom w:val="single" w:sz="4" w:space="0" w:color="000000"/>
            </w:tcBorders>
            <w:vAlign w:val="bottom"/>
          </w:tcPr>
          <w:p w14:paraId="727D3352" w14:textId="77777777" w:rsidR="008234F6" w:rsidRDefault="008234F6" w:rsidP="008234F6">
            <w:pPr>
              <w:widowControl w:val="0"/>
              <w:pBdr>
                <w:top w:val="nil"/>
                <w:left w:val="nil"/>
                <w:bottom w:val="nil"/>
                <w:right w:val="nil"/>
                <w:between w:val="nil"/>
              </w:pBdr>
              <w:rPr>
                <w:color w:val="000000"/>
                <w:sz w:val="18"/>
                <w:szCs w:val="18"/>
              </w:rPr>
            </w:pPr>
            <w:r>
              <w:rPr>
                <w:color w:val="000000"/>
                <w:sz w:val="18"/>
                <w:szCs w:val="18"/>
              </w:rPr>
              <w:t xml:space="preserve">Natural gas mcf per day </w:t>
            </w:r>
          </w:p>
        </w:tc>
        <w:tc>
          <w:tcPr>
            <w:tcW w:w="272" w:type="dxa"/>
            <w:tcBorders>
              <w:bottom w:val="single" w:sz="4" w:space="0" w:color="000000"/>
            </w:tcBorders>
            <w:vAlign w:val="bottom"/>
          </w:tcPr>
          <w:p w14:paraId="4826C96C" w14:textId="77777777" w:rsidR="008234F6" w:rsidRDefault="008234F6" w:rsidP="008234F6">
            <w:pPr>
              <w:widowControl w:val="0"/>
              <w:pBdr>
                <w:top w:val="nil"/>
                <w:left w:val="nil"/>
                <w:bottom w:val="nil"/>
                <w:right w:val="nil"/>
                <w:between w:val="nil"/>
              </w:pBdr>
              <w:rPr>
                <w:color w:val="000000"/>
                <w:sz w:val="18"/>
                <w:szCs w:val="18"/>
              </w:rPr>
            </w:pPr>
          </w:p>
        </w:tc>
        <w:tc>
          <w:tcPr>
            <w:tcW w:w="1362" w:type="dxa"/>
            <w:tcBorders>
              <w:bottom w:val="single" w:sz="4" w:space="0" w:color="000000"/>
            </w:tcBorders>
            <w:vAlign w:val="bottom"/>
          </w:tcPr>
          <w:p w14:paraId="130A1F29" w14:textId="4B18CF2D" w:rsidR="008234F6" w:rsidRDefault="00CD4EE5" w:rsidP="008234F6">
            <w:pPr>
              <w:pBdr>
                <w:top w:val="nil"/>
                <w:left w:val="nil"/>
                <w:bottom w:val="nil"/>
                <w:right w:val="nil"/>
                <w:between w:val="nil"/>
              </w:pBdr>
              <w:tabs>
                <w:tab w:val="decimal" w:pos="1065"/>
              </w:tabs>
              <w:ind w:right="-105"/>
              <w:rPr>
                <w:color w:val="000000"/>
                <w:sz w:val="18"/>
                <w:szCs w:val="18"/>
              </w:rPr>
            </w:pPr>
            <w:r>
              <w:rPr>
                <w:color w:val="000000"/>
                <w:sz w:val="18"/>
                <w:szCs w:val="18"/>
              </w:rPr>
              <w:t>6,532</w:t>
            </w:r>
          </w:p>
        </w:tc>
        <w:tc>
          <w:tcPr>
            <w:tcW w:w="1363" w:type="dxa"/>
            <w:tcBorders>
              <w:bottom w:val="single" w:sz="4" w:space="0" w:color="000000"/>
            </w:tcBorders>
            <w:vAlign w:val="bottom"/>
          </w:tcPr>
          <w:p w14:paraId="065A2317" w14:textId="54716C42" w:rsidR="008234F6" w:rsidRDefault="008234F6" w:rsidP="008234F6">
            <w:pPr>
              <w:pBdr>
                <w:top w:val="nil"/>
                <w:left w:val="nil"/>
                <w:bottom w:val="nil"/>
                <w:right w:val="nil"/>
                <w:between w:val="nil"/>
              </w:pBdr>
              <w:tabs>
                <w:tab w:val="decimal" w:pos="1065"/>
              </w:tabs>
              <w:ind w:right="-105"/>
              <w:rPr>
                <w:color w:val="000000"/>
                <w:sz w:val="18"/>
                <w:szCs w:val="18"/>
              </w:rPr>
            </w:pPr>
            <w:r w:rsidRPr="00A7179D">
              <w:rPr>
                <w:color w:val="000000"/>
                <w:sz w:val="18"/>
                <w:szCs w:val="18"/>
              </w:rPr>
              <w:t xml:space="preserve"> 3,867 </w:t>
            </w:r>
          </w:p>
        </w:tc>
        <w:tc>
          <w:tcPr>
            <w:tcW w:w="1362" w:type="dxa"/>
            <w:tcBorders>
              <w:bottom w:val="single" w:sz="4" w:space="0" w:color="000000"/>
            </w:tcBorders>
            <w:vAlign w:val="bottom"/>
          </w:tcPr>
          <w:p w14:paraId="4B00EFDD" w14:textId="62905E5E" w:rsidR="008234F6" w:rsidRPr="002623CC" w:rsidRDefault="00CD4EE5" w:rsidP="008234F6">
            <w:pPr>
              <w:pBdr>
                <w:top w:val="nil"/>
                <w:left w:val="nil"/>
                <w:bottom w:val="nil"/>
                <w:right w:val="nil"/>
                <w:between w:val="nil"/>
              </w:pBdr>
              <w:tabs>
                <w:tab w:val="decimal" w:pos="1065"/>
              </w:tabs>
              <w:ind w:right="-105"/>
              <w:rPr>
                <w:color w:val="000000"/>
                <w:sz w:val="18"/>
                <w:szCs w:val="18"/>
              </w:rPr>
            </w:pPr>
            <w:r>
              <w:rPr>
                <w:color w:val="000000"/>
                <w:sz w:val="18"/>
                <w:szCs w:val="18"/>
              </w:rPr>
              <w:t>6,958</w:t>
            </w:r>
          </w:p>
        </w:tc>
        <w:tc>
          <w:tcPr>
            <w:tcW w:w="1275" w:type="dxa"/>
            <w:tcBorders>
              <w:bottom w:val="single" w:sz="4" w:space="0" w:color="000000"/>
            </w:tcBorders>
            <w:vAlign w:val="bottom"/>
          </w:tcPr>
          <w:p w14:paraId="7DFEC833" w14:textId="4912C79D" w:rsidR="008234F6" w:rsidRDefault="008234F6" w:rsidP="008234F6">
            <w:pPr>
              <w:pBdr>
                <w:top w:val="nil"/>
                <w:left w:val="nil"/>
                <w:bottom w:val="nil"/>
                <w:right w:val="nil"/>
                <w:between w:val="nil"/>
              </w:pBdr>
              <w:tabs>
                <w:tab w:val="decimal" w:pos="990"/>
              </w:tabs>
              <w:ind w:right="-105"/>
              <w:rPr>
                <w:color w:val="000000"/>
                <w:sz w:val="18"/>
                <w:szCs w:val="18"/>
              </w:rPr>
            </w:pPr>
            <w:r w:rsidRPr="009C07A7">
              <w:rPr>
                <w:sz w:val="18"/>
                <w:szCs w:val="18"/>
              </w:rPr>
              <w:t xml:space="preserve"> 3,947 </w:t>
            </w:r>
          </w:p>
        </w:tc>
      </w:tr>
      <w:tr w:rsidR="008234F6" w14:paraId="69B94196" w14:textId="77777777" w:rsidTr="008234F6">
        <w:trPr>
          <w:trHeight w:val="282"/>
        </w:trPr>
        <w:tc>
          <w:tcPr>
            <w:tcW w:w="3816" w:type="dxa"/>
            <w:tcBorders>
              <w:top w:val="single" w:sz="4" w:space="0" w:color="000000"/>
              <w:bottom w:val="single" w:sz="12" w:space="0" w:color="000000"/>
            </w:tcBorders>
            <w:vAlign w:val="center"/>
          </w:tcPr>
          <w:p w14:paraId="3EFE8757" w14:textId="77777777" w:rsidR="008234F6" w:rsidRDefault="008234F6" w:rsidP="008234F6">
            <w:pPr>
              <w:widowControl w:val="0"/>
              <w:pBdr>
                <w:top w:val="nil"/>
                <w:left w:val="nil"/>
                <w:bottom w:val="nil"/>
                <w:right w:val="nil"/>
                <w:between w:val="nil"/>
              </w:pBdr>
              <w:spacing w:before="60" w:after="60"/>
              <w:rPr>
                <w:color w:val="000000"/>
                <w:sz w:val="18"/>
                <w:szCs w:val="18"/>
              </w:rPr>
            </w:pPr>
            <w:r>
              <w:rPr>
                <w:color w:val="000000"/>
                <w:sz w:val="18"/>
                <w:szCs w:val="18"/>
              </w:rPr>
              <w:t xml:space="preserve">Total BOE per day </w:t>
            </w:r>
          </w:p>
        </w:tc>
        <w:tc>
          <w:tcPr>
            <w:tcW w:w="272" w:type="dxa"/>
            <w:tcBorders>
              <w:top w:val="single" w:sz="4" w:space="0" w:color="000000"/>
              <w:bottom w:val="single" w:sz="12" w:space="0" w:color="000000"/>
            </w:tcBorders>
            <w:vAlign w:val="center"/>
          </w:tcPr>
          <w:p w14:paraId="459ADB30" w14:textId="77777777" w:rsidR="008234F6" w:rsidRDefault="008234F6" w:rsidP="008234F6">
            <w:pPr>
              <w:widowControl w:val="0"/>
              <w:pBdr>
                <w:top w:val="nil"/>
                <w:left w:val="nil"/>
                <w:bottom w:val="nil"/>
                <w:right w:val="nil"/>
                <w:between w:val="nil"/>
              </w:pBdr>
              <w:spacing w:before="60" w:after="60"/>
              <w:rPr>
                <w:color w:val="000000"/>
                <w:sz w:val="18"/>
                <w:szCs w:val="18"/>
              </w:rPr>
            </w:pPr>
          </w:p>
        </w:tc>
        <w:tc>
          <w:tcPr>
            <w:tcW w:w="1362" w:type="dxa"/>
            <w:tcBorders>
              <w:top w:val="single" w:sz="4" w:space="0" w:color="000000"/>
              <w:bottom w:val="single" w:sz="12" w:space="0" w:color="000000"/>
            </w:tcBorders>
            <w:vAlign w:val="center"/>
          </w:tcPr>
          <w:p w14:paraId="60D79E52" w14:textId="18690285" w:rsidR="008234F6" w:rsidRDefault="00CD4EE5" w:rsidP="008234F6">
            <w:pPr>
              <w:pBdr>
                <w:top w:val="nil"/>
                <w:left w:val="nil"/>
                <w:bottom w:val="nil"/>
                <w:right w:val="nil"/>
                <w:between w:val="nil"/>
              </w:pBdr>
              <w:tabs>
                <w:tab w:val="decimal" w:pos="1065"/>
              </w:tabs>
              <w:ind w:right="-105"/>
              <w:rPr>
                <w:color w:val="000000"/>
                <w:sz w:val="18"/>
                <w:szCs w:val="18"/>
              </w:rPr>
            </w:pPr>
            <w:r>
              <w:rPr>
                <w:color w:val="000000"/>
                <w:sz w:val="18"/>
                <w:szCs w:val="18"/>
              </w:rPr>
              <w:t>9,158</w:t>
            </w:r>
          </w:p>
        </w:tc>
        <w:tc>
          <w:tcPr>
            <w:tcW w:w="1363" w:type="dxa"/>
            <w:tcBorders>
              <w:top w:val="single" w:sz="4" w:space="0" w:color="000000"/>
              <w:bottom w:val="single" w:sz="12" w:space="0" w:color="000000"/>
            </w:tcBorders>
            <w:vAlign w:val="center"/>
          </w:tcPr>
          <w:p w14:paraId="4AE1A07B" w14:textId="1E531012" w:rsidR="008234F6" w:rsidRDefault="008234F6" w:rsidP="008234F6">
            <w:pPr>
              <w:pBdr>
                <w:top w:val="nil"/>
                <w:left w:val="nil"/>
                <w:bottom w:val="nil"/>
                <w:right w:val="nil"/>
                <w:between w:val="nil"/>
              </w:pBdr>
              <w:tabs>
                <w:tab w:val="decimal" w:pos="1065"/>
              </w:tabs>
              <w:ind w:right="-105"/>
              <w:rPr>
                <w:color w:val="000000"/>
                <w:sz w:val="18"/>
                <w:szCs w:val="18"/>
              </w:rPr>
            </w:pPr>
            <w:r w:rsidRPr="00A7179D">
              <w:rPr>
                <w:color w:val="000000"/>
                <w:sz w:val="18"/>
                <w:szCs w:val="18"/>
              </w:rPr>
              <w:t xml:space="preserve"> 4,083 </w:t>
            </w:r>
          </w:p>
        </w:tc>
        <w:tc>
          <w:tcPr>
            <w:tcW w:w="1362" w:type="dxa"/>
            <w:tcBorders>
              <w:top w:val="single" w:sz="4" w:space="0" w:color="000000"/>
              <w:bottom w:val="single" w:sz="12" w:space="0" w:color="000000"/>
            </w:tcBorders>
            <w:vAlign w:val="center"/>
          </w:tcPr>
          <w:p w14:paraId="4CD66FB7" w14:textId="6D386A23" w:rsidR="008234F6" w:rsidRPr="002623CC" w:rsidRDefault="00CD4EE5" w:rsidP="008234F6">
            <w:pPr>
              <w:pBdr>
                <w:top w:val="nil"/>
                <w:left w:val="nil"/>
                <w:bottom w:val="nil"/>
                <w:right w:val="nil"/>
                <w:between w:val="nil"/>
              </w:pBdr>
              <w:tabs>
                <w:tab w:val="decimal" w:pos="1065"/>
              </w:tabs>
              <w:ind w:right="-105"/>
              <w:rPr>
                <w:color w:val="000000"/>
                <w:sz w:val="18"/>
                <w:szCs w:val="18"/>
              </w:rPr>
            </w:pPr>
            <w:r>
              <w:rPr>
                <w:color w:val="000000"/>
                <w:sz w:val="18"/>
                <w:szCs w:val="18"/>
              </w:rPr>
              <w:t>8,520</w:t>
            </w:r>
          </w:p>
        </w:tc>
        <w:tc>
          <w:tcPr>
            <w:tcW w:w="1275" w:type="dxa"/>
            <w:tcBorders>
              <w:top w:val="single" w:sz="4" w:space="0" w:color="000000"/>
              <w:bottom w:val="single" w:sz="12" w:space="0" w:color="000000"/>
            </w:tcBorders>
            <w:vAlign w:val="center"/>
          </w:tcPr>
          <w:p w14:paraId="5988A1EF" w14:textId="14C9F0FB" w:rsidR="008234F6" w:rsidRDefault="008234F6" w:rsidP="008234F6">
            <w:pPr>
              <w:pBdr>
                <w:top w:val="nil"/>
                <w:left w:val="nil"/>
                <w:bottom w:val="nil"/>
                <w:right w:val="nil"/>
                <w:between w:val="nil"/>
              </w:pBdr>
              <w:tabs>
                <w:tab w:val="decimal" w:pos="990"/>
              </w:tabs>
              <w:ind w:right="-105"/>
              <w:rPr>
                <w:color w:val="000000"/>
                <w:sz w:val="18"/>
                <w:szCs w:val="18"/>
              </w:rPr>
            </w:pPr>
            <w:r w:rsidRPr="009C07A7">
              <w:rPr>
                <w:sz w:val="18"/>
                <w:szCs w:val="18"/>
              </w:rPr>
              <w:t xml:space="preserve"> 4,181 </w:t>
            </w:r>
          </w:p>
        </w:tc>
      </w:tr>
      <w:tr w:rsidR="008234F6" w14:paraId="346ED068" w14:textId="77777777" w:rsidTr="00510CFD">
        <w:trPr>
          <w:trHeight w:val="155"/>
        </w:trPr>
        <w:tc>
          <w:tcPr>
            <w:tcW w:w="3816" w:type="dxa"/>
            <w:tcBorders>
              <w:top w:val="single" w:sz="12" w:space="0" w:color="000000"/>
            </w:tcBorders>
          </w:tcPr>
          <w:p w14:paraId="797514B4" w14:textId="62D68B76" w:rsidR="008234F6" w:rsidRDefault="008234F6" w:rsidP="008234F6">
            <w:pPr>
              <w:widowControl w:val="0"/>
              <w:pBdr>
                <w:top w:val="nil"/>
                <w:left w:val="nil"/>
                <w:bottom w:val="nil"/>
                <w:right w:val="nil"/>
                <w:between w:val="nil"/>
              </w:pBdr>
              <w:spacing w:before="60"/>
              <w:jc w:val="both"/>
              <w:rPr>
                <w:b/>
                <w:color w:val="000000"/>
                <w:sz w:val="18"/>
                <w:szCs w:val="18"/>
              </w:rPr>
            </w:pPr>
            <w:r>
              <w:br w:type="page"/>
            </w:r>
          </w:p>
        </w:tc>
        <w:tc>
          <w:tcPr>
            <w:tcW w:w="272" w:type="dxa"/>
            <w:tcBorders>
              <w:top w:val="single" w:sz="12" w:space="0" w:color="000000"/>
            </w:tcBorders>
            <w:vAlign w:val="bottom"/>
          </w:tcPr>
          <w:p w14:paraId="1BA83577" w14:textId="77777777" w:rsidR="008234F6" w:rsidRDefault="008234F6" w:rsidP="008234F6">
            <w:pPr>
              <w:widowControl w:val="0"/>
              <w:pBdr>
                <w:top w:val="nil"/>
                <w:left w:val="nil"/>
                <w:bottom w:val="nil"/>
                <w:right w:val="nil"/>
                <w:between w:val="nil"/>
              </w:pBdr>
              <w:spacing w:before="60"/>
              <w:jc w:val="center"/>
              <w:rPr>
                <w:b/>
                <w:color w:val="000000"/>
                <w:sz w:val="16"/>
                <w:szCs w:val="16"/>
              </w:rPr>
            </w:pPr>
          </w:p>
        </w:tc>
        <w:tc>
          <w:tcPr>
            <w:tcW w:w="2725" w:type="dxa"/>
            <w:gridSpan w:val="2"/>
            <w:tcBorders>
              <w:top w:val="single" w:sz="12" w:space="0" w:color="000000"/>
            </w:tcBorders>
            <w:vAlign w:val="bottom"/>
          </w:tcPr>
          <w:p w14:paraId="1F17E00A" w14:textId="757595FF" w:rsidR="008234F6" w:rsidRDefault="008234F6" w:rsidP="008234F6">
            <w:pPr>
              <w:widowControl w:val="0"/>
              <w:pBdr>
                <w:top w:val="nil"/>
                <w:left w:val="nil"/>
                <w:bottom w:val="nil"/>
                <w:right w:val="nil"/>
                <w:between w:val="nil"/>
              </w:pBdr>
              <w:spacing w:before="60"/>
              <w:jc w:val="center"/>
              <w:rPr>
                <w:b/>
                <w:color w:val="000000"/>
                <w:sz w:val="16"/>
                <w:szCs w:val="16"/>
              </w:rPr>
            </w:pPr>
            <w:r>
              <w:rPr>
                <w:rFonts w:cs="Arial"/>
                <w:b/>
                <w:sz w:val="16"/>
                <w:szCs w:val="16"/>
              </w:rPr>
              <w:t>Three months ended</w:t>
            </w:r>
          </w:p>
        </w:tc>
        <w:tc>
          <w:tcPr>
            <w:tcW w:w="2637" w:type="dxa"/>
            <w:gridSpan w:val="2"/>
            <w:tcBorders>
              <w:top w:val="single" w:sz="12" w:space="0" w:color="000000"/>
            </w:tcBorders>
            <w:vAlign w:val="bottom"/>
          </w:tcPr>
          <w:p w14:paraId="71FA8FE2" w14:textId="4A9FFEF5" w:rsidR="008234F6" w:rsidRDefault="008234F6" w:rsidP="008234F6">
            <w:pPr>
              <w:widowControl w:val="0"/>
              <w:pBdr>
                <w:top w:val="nil"/>
                <w:left w:val="nil"/>
                <w:bottom w:val="nil"/>
                <w:right w:val="nil"/>
                <w:between w:val="nil"/>
              </w:pBdr>
              <w:spacing w:before="60"/>
              <w:jc w:val="center"/>
              <w:rPr>
                <w:b/>
                <w:color w:val="000000"/>
                <w:sz w:val="16"/>
                <w:szCs w:val="16"/>
              </w:rPr>
            </w:pPr>
            <w:r>
              <w:rPr>
                <w:rFonts w:cs="Arial"/>
                <w:b/>
                <w:sz w:val="16"/>
                <w:szCs w:val="16"/>
              </w:rPr>
              <w:t>Six months ended</w:t>
            </w:r>
          </w:p>
        </w:tc>
      </w:tr>
      <w:tr w:rsidR="008234F6" w14:paraId="7C82B6B4" w14:textId="77777777" w:rsidTr="00217308">
        <w:trPr>
          <w:trHeight w:val="170"/>
        </w:trPr>
        <w:tc>
          <w:tcPr>
            <w:tcW w:w="3816" w:type="dxa"/>
          </w:tcPr>
          <w:p w14:paraId="1A3DF0A3" w14:textId="5141B7E5" w:rsidR="008234F6" w:rsidRDefault="008234F6" w:rsidP="008234F6">
            <w:pPr>
              <w:widowControl w:val="0"/>
              <w:pBdr>
                <w:top w:val="nil"/>
                <w:left w:val="nil"/>
                <w:bottom w:val="nil"/>
                <w:right w:val="nil"/>
                <w:between w:val="nil"/>
              </w:pBdr>
              <w:jc w:val="both"/>
              <w:rPr>
                <w:b/>
                <w:color w:val="000000"/>
                <w:sz w:val="18"/>
                <w:szCs w:val="18"/>
              </w:rPr>
            </w:pPr>
            <w:r>
              <w:rPr>
                <w:b/>
                <w:color w:val="000000"/>
                <w:sz w:val="18"/>
                <w:szCs w:val="18"/>
              </w:rPr>
              <w:t>Sales revenue</w:t>
            </w:r>
          </w:p>
        </w:tc>
        <w:tc>
          <w:tcPr>
            <w:tcW w:w="272" w:type="dxa"/>
            <w:vAlign w:val="bottom"/>
          </w:tcPr>
          <w:p w14:paraId="5545624C" w14:textId="77777777" w:rsidR="008234F6" w:rsidRDefault="008234F6" w:rsidP="008234F6">
            <w:pPr>
              <w:widowControl w:val="0"/>
              <w:pBdr>
                <w:top w:val="nil"/>
                <w:left w:val="nil"/>
                <w:bottom w:val="nil"/>
                <w:right w:val="nil"/>
                <w:between w:val="nil"/>
              </w:pBdr>
              <w:ind w:left="-108" w:right="-108"/>
              <w:jc w:val="center"/>
              <w:rPr>
                <w:b/>
                <w:color w:val="000000"/>
                <w:sz w:val="16"/>
                <w:szCs w:val="16"/>
              </w:rPr>
            </w:pPr>
          </w:p>
        </w:tc>
        <w:tc>
          <w:tcPr>
            <w:tcW w:w="2725" w:type="dxa"/>
            <w:gridSpan w:val="2"/>
            <w:vAlign w:val="bottom"/>
          </w:tcPr>
          <w:p w14:paraId="61D8E994" w14:textId="7704DCC2" w:rsidR="008234F6" w:rsidRDefault="008234F6" w:rsidP="008234F6">
            <w:pPr>
              <w:widowControl w:val="0"/>
              <w:pBdr>
                <w:top w:val="nil"/>
                <w:left w:val="nil"/>
                <w:bottom w:val="nil"/>
                <w:right w:val="nil"/>
                <w:between w:val="nil"/>
              </w:pBdr>
              <w:jc w:val="center"/>
              <w:rPr>
                <w:b/>
                <w:color w:val="000000"/>
                <w:sz w:val="16"/>
                <w:szCs w:val="16"/>
              </w:rPr>
            </w:pPr>
            <w:r>
              <w:rPr>
                <w:rFonts w:cs="Arial"/>
                <w:b/>
                <w:sz w:val="16"/>
                <w:szCs w:val="16"/>
              </w:rPr>
              <w:t>June 30</w:t>
            </w:r>
          </w:p>
        </w:tc>
        <w:tc>
          <w:tcPr>
            <w:tcW w:w="2637" w:type="dxa"/>
            <w:gridSpan w:val="2"/>
            <w:vAlign w:val="bottom"/>
          </w:tcPr>
          <w:p w14:paraId="5985C927" w14:textId="662161E7" w:rsidR="008234F6" w:rsidRDefault="008234F6" w:rsidP="008234F6">
            <w:pPr>
              <w:widowControl w:val="0"/>
              <w:pBdr>
                <w:top w:val="nil"/>
                <w:left w:val="nil"/>
                <w:bottom w:val="nil"/>
                <w:right w:val="nil"/>
                <w:between w:val="nil"/>
              </w:pBdr>
              <w:jc w:val="center"/>
              <w:rPr>
                <w:b/>
                <w:color w:val="000000"/>
                <w:sz w:val="16"/>
                <w:szCs w:val="16"/>
              </w:rPr>
            </w:pPr>
            <w:r>
              <w:rPr>
                <w:rFonts w:cs="Arial"/>
                <w:b/>
                <w:sz w:val="16"/>
                <w:szCs w:val="16"/>
              </w:rPr>
              <w:t>June 30</w:t>
            </w:r>
          </w:p>
        </w:tc>
      </w:tr>
      <w:tr w:rsidR="008234F6" w14:paraId="2549412C" w14:textId="77777777" w:rsidTr="00510CFD">
        <w:trPr>
          <w:trHeight w:val="158"/>
        </w:trPr>
        <w:tc>
          <w:tcPr>
            <w:tcW w:w="3816" w:type="dxa"/>
            <w:tcBorders>
              <w:bottom w:val="single" w:sz="4" w:space="0" w:color="auto"/>
            </w:tcBorders>
          </w:tcPr>
          <w:p w14:paraId="3DA819EB" w14:textId="77777777" w:rsidR="008234F6" w:rsidRDefault="008234F6" w:rsidP="008234F6">
            <w:pPr>
              <w:widowControl w:val="0"/>
              <w:pBdr>
                <w:top w:val="nil"/>
                <w:left w:val="nil"/>
                <w:bottom w:val="nil"/>
                <w:right w:val="nil"/>
                <w:between w:val="nil"/>
              </w:pBdr>
              <w:jc w:val="both"/>
              <w:rPr>
                <w:color w:val="000000"/>
                <w:sz w:val="18"/>
                <w:szCs w:val="18"/>
              </w:rPr>
            </w:pPr>
          </w:p>
        </w:tc>
        <w:tc>
          <w:tcPr>
            <w:tcW w:w="272" w:type="dxa"/>
            <w:tcBorders>
              <w:bottom w:val="single" w:sz="4" w:space="0" w:color="auto"/>
            </w:tcBorders>
            <w:vAlign w:val="bottom"/>
          </w:tcPr>
          <w:p w14:paraId="74F71007" w14:textId="77777777" w:rsidR="008234F6" w:rsidRDefault="008234F6" w:rsidP="008234F6">
            <w:pPr>
              <w:widowControl w:val="0"/>
              <w:pBdr>
                <w:top w:val="nil"/>
                <w:left w:val="nil"/>
                <w:bottom w:val="nil"/>
                <w:right w:val="nil"/>
                <w:between w:val="nil"/>
              </w:pBdr>
              <w:jc w:val="center"/>
              <w:rPr>
                <w:b/>
                <w:color w:val="000000"/>
                <w:sz w:val="16"/>
                <w:szCs w:val="16"/>
              </w:rPr>
            </w:pPr>
          </w:p>
        </w:tc>
        <w:tc>
          <w:tcPr>
            <w:tcW w:w="1362" w:type="dxa"/>
            <w:tcBorders>
              <w:bottom w:val="single" w:sz="4" w:space="0" w:color="auto"/>
            </w:tcBorders>
            <w:vAlign w:val="bottom"/>
          </w:tcPr>
          <w:p w14:paraId="452EDD92" w14:textId="29B5CDB6" w:rsidR="008234F6" w:rsidRDefault="008234F6" w:rsidP="008234F6">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63" w:type="dxa"/>
            <w:tcBorders>
              <w:bottom w:val="single" w:sz="4" w:space="0" w:color="auto"/>
            </w:tcBorders>
            <w:vAlign w:val="bottom"/>
          </w:tcPr>
          <w:p w14:paraId="31F6FBC9" w14:textId="3EA17D15" w:rsidR="008234F6" w:rsidRDefault="008234F6" w:rsidP="008234F6">
            <w:pPr>
              <w:widowControl w:val="0"/>
              <w:pBdr>
                <w:top w:val="nil"/>
                <w:left w:val="nil"/>
                <w:bottom w:val="nil"/>
                <w:right w:val="nil"/>
                <w:between w:val="nil"/>
              </w:pBdr>
              <w:jc w:val="center"/>
              <w:rPr>
                <w:b/>
                <w:color w:val="000000"/>
                <w:sz w:val="16"/>
                <w:szCs w:val="16"/>
              </w:rPr>
            </w:pPr>
            <w:r>
              <w:rPr>
                <w:rFonts w:cs="Arial"/>
                <w:b/>
                <w:sz w:val="16"/>
                <w:szCs w:val="16"/>
              </w:rPr>
              <w:t>2025</w:t>
            </w:r>
          </w:p>
        </w:tc>
        <w:tc>
          <w:tcPr>
            <w:tcW w:w="1362" w:type="dxa"/>
            <w:tcBorders>
              <w:bottom w:val="single" w:sz="4" w:space="0" w:color="auto"/>
            </w:tcBorders>
            <w:vAlign w:val="bottom"/>
          </w:tcPr>
          <w:p w14:paraId="6B262E60" w14:textId="7A1BA6E8" w:rsidR="008234F6" w:rsidRDefault="008234F6" w:rsidP="008234F6">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275" w:type="dxa"/>
            <w:tcBorders>
              <w:bottom w:val="single" w:sz="4" w:space="0" w:color="auto"/>
            </w:tcBorders>
            <w:vAlign w:val="bottom"/>
          </w:tcPr>
          <w:p w14:paraId="32CE0958" w14:textId="3633CC74" w:rsidR="008234F6" w:rsidRDefault="008234F6" w:rsidP="008234F6">
            <w:pPr>
              <w:widowControl w:val="0"/>
              <w:pBdr>
                <w:top w:val="nil"/>
                <w:left w:val="nil"/>
                <w:bottom w:val="nil"/>
                <w:right w:val="nil"/>
                <w:between w:val="nil"/>
              </w:pBdr>
              <w:jc w:val="center"/>
              <w:rPr>
                <w:b/>
                <w:color w:val="000000"/>
                <w:sz w:val="16"/>
                <w:szCs w:val="16"/>
              </w:rPr>
            </w:pPr>
            <w:r>
              <w:rPr>
                <w:rFonts w:cs="Arial"/>
                <w:b/>
                <w:sz w:val="16"/>
                <w:szCs w:val="16"/>
              </w:rPr>
              <w:t>2025</w:t>
            </w:r>
          </w:p>
        </w:tc>
      </w:tr>
      <w:tr w:rsidR="00AF5AA6" w14:paraId="48BD41CC" w14:textId="77777777" w:rsidTr="00AF5AA6">
        <w:trPr>
          <w:trHeight w:val="195"/>
        </w:trPr>
        <w:tc>
          <w:tcPr>
            <w:tcW w:w="3816" w:type="dxa"/>
            <w:tcBorders>
              <w:top w:val="single" w:sz="4" w:space="0" w:color="auto"/>
            </w:tcBorders>
            <w:vAlign w:val="bottom"/>
          </w:tcPr>
          <w:p w14:paraId="640215B3" w14:textId="1C5F2C8C" w:rsidR="00AF5AA6" w:rsidRPr="00E16A39" w:rsidRDefault="00AF5AA6" w:rsidP="00AF5AA6">
            <w:pPr>
              <w:widowControl w:val="0"/>
              <w:pBdr>
                <w:top w:val="nil"/>
                <w:left w:val="nil"/>
                <w:bottom w:val="nil"/>
                <w:right w:val="nil"/>
                <w:between w:val="nil"/>
              </w:pBdr>
              <w:spacing w:before="60"/>
              <w:rPr>
                <w:color w:val="000000"/>
                <w:sz w:val="18"/>
                <w:szCs w:val="18"/>
                <w:highlight w:val="yellow"/>
              </w:rPr>
            </w:pPr>
            <w:r>
              <w:rPr>
                <w:color w:val="000000"/>
                <w:sz w:val="18"/>
                <w:szCs w:val="18"/>
              </w:rPr>
              <w:t>Crude o</w:t>
            </w:r>
            <w:r w:rsidRPr="005F288F">
              <w:rPr>
                <w:color w:val="000000"/>
                <w:sz w:val="18"/>
                <w:szCs w:val="18"/>
              </w:rPr>
              <w:t>il ($)</w:t>
            </w:r>
          </w:p>
        </w:tc>
        <w:tc>
          <w:tcPr>
            <w:tcW w:w="272" w:type="dxa"/>
            <w:tcBorders>
              <w:top w:val="single" w:sz="4" w:space="0" w:color="auto"/>
            </w:tcBorders>
            <w:vAlign w:val="bottom"/>
          </w:tcPr>
          <w:p w14:paraId="3F0755A9" w14:textId="77777777" w:rsidR="00AF5AA6" w:rsidRDefault="00AF5AA6" w:rsidP="00AF5AA6">
            <w:pPr>
              <w:widowControl w:val="0"/>
              <w:pBdr>
                <w:top w:val="nil"/>
                <w:left w:val="nil"/>
                <w:bottom w:val="nil"/>
                <w:right w:val="nil"/>
                <w:between w:val="nil"/>
              </w:pBdr>
              <w:spacing w:before="60"/>
              <w:rPr>
                <w:color w:val="000000"/>
                <w:sz w:val="18"/>
                <w:szCs w:val="18"/>
              </w:rPr>
            </w:pPr>
          </w:p>
        </w:tc>
        <w:tc>
          <w:tcPr>
            <w:tcW w:w="1362" w:type="dxa"/>
            <w:tcBorders>
              <w:top w:val="single" w:sz="4" w:space="0" w:color="auto"/>
            </w:tcBorders>
            <w:vAlign w:val="bottom"/>
          </w:tcPr>
          <w:p w14:paraId="176E01E0" w14:textId="415FE150" w:rsidR="00AF5AA6" w:rsidRDefault="00CD4EE5" w:rsidP="00AF5AA6">
            <w:pPr>
              <w:pBdr>
                <w:top w:val="nil"/>
                <w:left w:val="nil"/>
                <w:bottom w:val="nil"/>
                <w:right w:val="nil"/>
                <w:between w:val="nil"/>
              </w:pBdr>
              <w:tabs>
                <w:tab w:val="decimal" w:pos="1065"/>
              </w:tabs>
              <w:spacing w:before="60"/>
              <w:ind w:right="-105"/>
              <w:rPr>
                <w:color w:val="000000"/>
                <w:sz w:val="18"/>
                <w:szCs w:val="18"/>
              </w:rPr>
            </w:pPr>
            <w:r>
              <w:rPr>
                <w:color w:val="000000"/>
                <w:sz w:val="18"/>
                <w:szCs w:val="18"/>
              </w:rPr>
              <w:t>66,227,360</w:t>
            </w:r>
          </w:p>
        </w:tc>
        <w:tc>
          <w:tcPr>
            <w:tcW w:w="1363" w:type="dxa"/>
            <w:tcBorders>
              <w:top w:val="single" w:sz="4" w:space="0" w:color="auto"/>
            </w:tcBorders>
            <w:vAlign w:val="bottom"/>
          </w:tcPr>
          <w:p w14:paraId="724A9ACE" w14:textId="621BABD0" w:rsidR="00AF5AA6" w:rsidRDefault="00AF5AA6" w:rsidP="00AF5AA6">
            <w:pPr>
              <w:pBdr>
                <w:top w:val="nil"/>
                <w:left w:val="nil"/>
                <w:bottom w:val="nil"/>
                <w:right w:val="nil"/>
                <w:between w:val="nil"/>
              </w:pBdr>
              <w:tabs>
                <w:tab w:val="decimal" w:pos="1065"/>
              </w:tabs>
              <w:spacing w:before="60"/>
              <w:ind w:right="-105"/>
              <w:rPr>
                <w:color w:val="000000"/>
                <w:sz w:val="18"/>
                <w:szCs w:val="18"/>
              </w:rPr>
            </w:pPr>
            <w:r w:rsidRPr="00A7179D">
              <w:rPr>
                <w:color w:val="000000"/>
                <w:sz w:val="18"/>
                <w:szCs w:val="18"/>
              </w:rPr>
              <w:t xml:space="preserve"> 20,946,649 </w:t>
            </w:r>
          </w:p>
        </w:tc>
        <w:tc>
          <w:tcPr>
            <w:tcW w:w="1362" w:type="dxa"/>
            <w:tcBorders>
              <w:top w:val="single" w:sz="4" w:space="0" w:color="auto"/>
            </w:tcBorders>
            <w:vAlign w:val="bottom"/>
          </w:tcPr>
          <w:p w14:paraId="3321C606" w14:textId="75E4C359" w:rsidR="00AF5AA6" w:rsidRPr="007B113D" w:rsidRDefault="00CD4EE5" w:rsidP="000E08C5">
            <w:pPr>
              <w:pBdr>
                <w:top w:val="nil"/>
                <w:left w:val="nil"/>
                <w:bottom w:val="nil"/>
                <w:right w:val="nil"/>
                <w:between w:val="nil"/>
              </w:pBdr>
              <w:tabs>
                <w:tab w:val="decimal" w:pos="1139"/>
              </w:tabs>
              <w:spacing w:before="60"/>
              <w:ind w:right="-105"/>
              <w:rPr>
                <w:sz w:val="18"/>
                <w:szCs w:val="18"/>
              </w:rPr>
            </w:pPr>
            <w:r>
              <w:rPr>
                <w:sz w:val="18"/>
                <w:szCs w:val="18"/>
              </w:rPr>
              <w:t>108,571,920</w:t>
            </w:r>
          </w:p>
        </w:tc>
        <w:tc>
          <w:tcPr>
            <w:tcW w:w="1275" w:type="dxa"/>
            <w:tcBorders>
              <w:top w:val="single" w:sz="4" w:space="0" w:color="auto"/>
            </w:tcBorders>
            <w:vAlign w:val="bottom"/>
          </w:tcPr>
          <w:p w14:paraId="31B6B151" w14:textId="78B842C7" w:rsidR="00AF5AA6" w:rsidRDefault="00AF5AA6" w:rsidP="00AF5AA6">
            <w:pPr>
              <w:pBdr>
                <w:top w:val="nil"/>
                <w:left w:val="nil"/>
                <w:bottom w:val="nil"/>
                <w:right w:val="nil"/>
                <w:between w:val="nil"/>
              </w:pBdr>
              <w:tabs>
                <w:tab w:val="decimal" w:pos="990"/>
              </w:tabs>
              <w:spacing w:before="60"/>
              <w:ind w:right="-105"/>
              <w:rPr>
                <w:color w:val="000000"/>
                <w:sz w:val="18"/>
                <w:szCs w:val="18"/>
              </w:rPr>
            </w:pPr>
            <w:r w:rsidRPr="00A7179D">
              <w:rPr>
                <w:color w:val="000000"/>
                <w:sz w:val="18"/>
                <w:szCs w:val="18"/>
              </w:rPr>
              <w:t xml:space="preserve"> 43,543,469 </w:t>
            </w:r>
          </w:p>
        </w:tc>
      </w:tr>
      <w:tr w:rsidR="00AF5AA6" w14:paraId="50F6FB3A" w14:textId="77777777" w:rsidTr="00AF5AA6">
        <w:trPr>
          <w:trHeight w:val="195"/>
        </w:trPr>
        <w:tc>
          <w:tcPr>
            <w:tcW w:w="3816" w:type="dxa"/>
            <w:vAlign w:val="bottom"/>
          </w:tcPr>
          <w:p w14:paraId="28B7AB87" w14:textId="00C1C00B" w:rsidR="00AF5AA6" w:rsidRDefault="00AF5AA6" w:rsidP="00AF5AA6">
            <w:pPr>
              <w:widowControl w:val="0"/>
              <w:pBdr>
                <w:top w:val="nil"/>
                <w:left w:val="nil"/>
                <w:bottom w:val="nil"/>
                <w:right w:val="nil"/>
                <w:between w:val="nil"/>
              </w:pBdr>
              <w:rPr>
                <w:color w:val="000000"/>
                <w:sz w:val="18"/>
                <w:szCs w:val="18"/>
              </w:rPr>
            </w:pPr>
            <w:r>
              <w:rPr>
                <w:color w:val="000000"/>
                <w:sz w:val="18"/>
                <w:szCs w:val="18"/>
              </w:rPr>
              <w:t>NGL ($)</w:t>
            </w:r>
          </w:p>
        </w:tc>
        <w:tc>
          <w:tcPr>
            <w:tcW w:w="272" w:type="dxa"/>
            <w:vAlign w:val="bottom"/>
          </w:tcPr>
          <w:p w14:paraId="293C1324" w14:textId="77777777" w:rsidR="00AF5AA6" w:rsidRDefault="00AF5AA6" w:rsidP="00AF5AA6">
            <w:pPr>
              <w:widowControl w:val="0"/>
              <w:pBdr>
                <w:top w:val="nil"/>
                <w:left w:val="nil"/>
                <w:bottom w:val="nil"/>
                <w:right w:val="nil"/>
                <w:between w:val="nil"/>
              </w:pBdr>
              <w:rPr>
                <w:color w:val="000000"/>
                <w:sz w:val="18"/>
                <w:szCs w:val="18"/>
              </w:rPr>
            </w:pPr>
          </w:p>
        </w:tc>
        <w:tc>
          <w:tcPr>
            <w:tcW w:w="1362" w:type="dxa"/>
            <w:vAlign w:val="bottom"/>
          </w:tcPr>
          <w:p w14:paraId="00B70F4B" w14:textId="10413484" w:rsidR="00AF5AA6" w:rsidRDefault="00CD4EE5" w:rsidP="00AF5AA6">
            <w:pPr>
              <w:pBdr>
                <w:top w:val="nil"/>
                <w:left w:val="nil"/>
                <w:bottom w:val="nil"/>
                <w:right w:val="nil"/>
                <w:between w:val="nil"/>
              </w:pBdr>
              <w:tabs>
                <w:tab w:val="decimal" w:pos="1065"/>
              </w:tabs>
              <w:ind w:right="-105"/>
              <w:rPr>
                <w:color w:val="000000"/>
                <w:sz w:val="18"/>
                <w:szCs w:val="18"/>
              </w:rPr>
            </w:pPr>
            <w:r>
              <w:rPr>
                <w:color w:val="000000"/>
                <w:sz w:val="18"/>
                <w:szCs w:val="18"/>
              </w:rPr>
              <w:t>12,093</w:t>
            </w:r>
          </w:p>
        </w:tc>
        <w:tc>
          <w:tcPr>
            <w:tcW w:w="1363" w:type="dxa"/>
            <w:vAlign w:val="bottom"/>
          </w:tcPr>
          <w:p w14:paraId="09D2611A" w14:textId="5A9B3A0E" w:rsidR="00AF5AA6" w:rsidRDefault="00AF5AA6" w:rsidP="00AF5AA6">
            <w:pPr>
              <w:pBdr>
                <w:top w:val="nil"/>
                <w:left w:val="nil"/>
                <w:bottom w:val="nil"/>
                <w:right w:val="nil"/>
                <w:between w:val="nil"/>
              </w:pBdr>
              <w:tabs>
                <w:tab w:val="decimal" w:pos="1065"/>
              </w:tabs>
              <w:ind w:right="-105"/>
              <w:rPr>
                <w:color w:val="000000"/>
                <w:sz w:val="18"/>
                <w:szCs w:val="18"/>
              </w:rPr>
            </w:pPr>
            <w:r w:rsidRPr="00A7179D">
              <w:rPr>
                <w:color w:val="000000"/>
                <w:sz w:val="18"/>
                <w:szCs w:val="18"/>
              </w:rPr>
              <w:t xml:space="preserve"> 47,244 </w:t>
            </w:r>
          </w:p>
        </w:tc>
        <w:tc>
          <w:tcPr>
            <w:tcW w:w="1362" w:type="dxa"/>
            <w:vAlign w:val="bottom"/>
          </w:tcPr>
          <w:p w14:paraId="66E3E668" w14:textId="3C852AF2" w:rsidR="00AF5AA6" w:rsidRPr="007B113D" w:rsidRDefault="00CD4EE5" w:rsidP="000E08C5">
            <w:pPr>
              <w:pBdr>
                <w:top w:val="nil"/>
                <w:left w:val="nil"/>
                <w:bottom w:val="nil"/>
                <w:right w:val="nil"/>
                <w:between w:val="nil"/>
              </w:pBdr>
              <w:tabs>
                <w:tab w:val="decimal" w:pos="1139"/>
              </w:tabs>
              <w:ind w:right="-105"/>
              <w:rPr>
                <w:sz w:val="18"/>
                <w:szCs w:val="18"/>
              </w:rPr>
            </w:pPr>
            <w:r>
              <w:rPr>
                <w:sz w:val="18"/>
                <w:szCs w:val="18"/>
              </w:rPr>
              <w:t>21,314</w:t>
            </w:r>
          </w:p>
        </w:tc>
        <w:tc>
          <w:tcPr>
            <w:tcW w:w="1275" w:type="dxa"/>
            <w:vAlign w:val="bottom"/>
          </w:tcPr>
          <w:p w14:paraId="500AFF75" w14:textId="611B25A2" w:rsidR="00AF5AA6" w:rsidRDefault="00AF5AA6" w:rsidP="00AF5AA6">
            <w:pPr>
              <w:pBdr>
                <w:top w:val="nil"/>
                <w:left w:val="nil"/>
                <w:bottom w:val="nil"/>
                <w:right w:val="nil"/>
                <w:between w:val="nil"/>
              </w:pBdr>
              <w:tabs>
                <w:tab w:val="decimal" w:pos="990"/>
              </w:tabs>
              <w:ind w:right="-105"/>
              <w:rPr>
                <w:color w:val="000000"/>
                <w:sz w:val="18"/>
                <w:szCs w:val="18"/>
              </w:rPr>
            </w:pPr>
            <w:r w:rsidRPr="00A7179D">
              <w:rPr>
                <w:color w:val="000000"/>
                <w:sz w:val="18"/>
                <w:szCs w:val="18"/>
              </w:rPr>
              <w:t xml:space="preserve"> 67,650 </w:t>
            </w:r>
          </w:p>
        </w:tc>
      </w:tr>
      <w:tr w:rsidR="00AF5AA6" w14:paraId="1F76ECAD" w14:textId="77777777" w:rsidTr="00AF5AA6">
        <w:trPr>
          <w:trHeight w:val="195"/>
        </w:trPr>
        <w:tc>
          <w:tcPr>
            <w:tcW w:w="3816" w:type="dxa"/>
            <w:tcBorders>
              <w:bottom w:val="single" w:sz="4" w:space="0" w:color="000000"/>
            </w:tcBorders>
            <w:vAlign w:val="bottom"/>
          </w:tcPr>
          <w:p w14:paraId="1F9212FE" w14:textId="65C802B8" w:rsidR="00AF5AA6" w:rsidRDefault="00AF5AA6" w:rsidP="00AF5AA6">
            <w:pPr>
              <w:widowControl w:val="0"/>
              <w:pBdr>
                <w:top w:val="nil"/>
                <w:left w:val="nil"/>
                <w:bottom w:val="nil"/>
                <w:right w:val="nil"/>
                <w:between w:val="nil"/>
              </w:pBdr>
              <w:rPr>
                <w:color w:val="000000"/>
                <w:sz w:val="18"/>
                <w:szCs w:val="18"/>
              </w:rPr>
            </w:pPr>
            <w:r>
              <w:rPr>
                <w:color w:val="000000"/>
                <w:sz w:val="18"/>
                <w:szCs w:val="18"/>
              </w:rPr>
              <w:t>Natural gas ($)</w:t>
            </w:r>
          </w:p>
        </w:tc>
        <w:tc>
          <w:tcPr>
            <w:tcW w:w="272" w:type="dxa"/>
            <w:tcBorders>
              <w:bottom w:val="single" w:sz="4" w:space="0" w:color="000000"/>
            </w:tcBorders>
            <w:vAlign w:val="bottom"/>
          </w:tcPr>
          <w:p w14:paraId="41EF529F" w14:textId="77777777" w:rsidR="00AF5AA6" w:rsidRDefault="00AF5AA6" w:rsidP="00AF5AA6">
            <w:pPr>
              <w:widowControl w:val="0"/>
              <w:pBdr>
                <w:top w:val="nil"/>
                <w:left w:val="nil"/>
                <w:bottom w:val="nil"/>
                <w:right w:val="nil"/>
                <w:between w:val="nil"/>
              </w:pBdr>
              <w:rPr>
                <w:color w:val="000000"/>
                <w:sz w:val="18"/>
                <w:szCs w:val="18"/>
              </w:rPr>
            </w:pPr>
          </w:p>
        </w:tc>
        <w:tc>
          <w:tcPr>
            <w:tcW w:w="1362" w:type="dxa"/>
            <w:tcBorders>
              <w:bottom w:val="single" w:sz="4" w:space="0" w:color="000000"/>
            </w:tcBorders>
            <w:vAlign w:val="bottom"/>
          </w:tcPr>
          <w:p w14:paraId="15416805" w14:textId="05057E1E" w:rsidR="00AF5AA6" w:rsidRDefault="00CD4EE5" w:rsidP="00AF5AA6">
            <w:pPr>
              <w:pBdr>
                <w:top w:val="nil"/>
                <w:left w:val="nil"/>
                <w:bottom w:val="nil"/>
                <w:right w:val="nil"/>
                <w:between w:val="nil"/>
              </w:pBdr>
              <w:tabs>
                <w:tab w:val="decimal" w:pos="1065"/>
              </w:tabs>
              <w:ind w:right="-105"/>
              <w:rPr>
                <w:color w:val="000000"/>
                <w:sz w:val="18"/>
                <w:szCs w:val="18"/>
              </w:rPr>
            </w:pPr>
            <w:r>
              <w:rPr>
                <w:color w:val="000000"/>
                <w:sz w:val="18"/>
                <w:szCs w:val="18"/>
              </w:rPr>
              <w:t>2,966,848</w:t>
            </w:r>
          </w:p>
        </w:tc>
        <w:tc>
          <w:tcPr>
            <w:tcW w:w="1363" w:type="dxa"/>
            <w:tcBorders>
              <w:bottom w:val="single" w:sz="4" w:space="0" w:color="000000"/>
            </w:tcBorders>
            <w:vAlign w:val="bottom"/>
          </w:tcPr>
          <w:p w14:paraId="09403B85" w14:textId="100F0FB8" w:rsidR="00AF5AA6" w:rsidRDefault="00AF5AA6" w:rsidP="00AF5AA6">
            <w:pPr>
              <w:pBdr>
                <w:top w:val="nil"/>
                <w:left w:val="nil"/>
                <w:bottom w:val="nil"/>
                <w:right w:val="nil"/>
                <w:between w:val="nil"/>
              </w:pBdr>
              <w:tabs>
                <w:tab w:val="decimal" w:pos="1065"/>
              </w:tabs>
              <w:ind w:right="-105"/>
              <w:rPr>
                <w:color w:val="000000"/>
                <w:sz w:val="18"/>
                <w:szCs w:val="18"/>
              </w:rPr>
            </w:pPr>
            <w:r w:rsidRPr="00A7179D">
              <w:rPr>
                <w:color w:val="000000"/>
                <w:sz w:val="18"/>
                <w:szCs w:val="18"/>
              </w:rPr>
              <w:t xml:space="preserve"> 1,215,041 </w:t>
            </w:r>
          </w:p>
        </w:tc>
        <w:tc>
          <w:tcPr>
            <w:tcW w:w="1362" w:type="dxa"/>
            <w:tcBorders>
              <w:bottom w:val="single" w:sz="4" w:space="0" w:color="000000"/>
            </w:tcBorders>
            <w:vAlign w:val="bottom"/>
          </w:tcPr>
          <w:p w14:paraId="00381D89" w14:textId="6CFEAB62" w:rsidR="00AF5AA6" w:rsidRPr="007B113D" w:rsidRDefault="00CD4EE5" w:rsidP="000E08C5">
            <w:pPr>
              <w:pBdr>
                <w:top w:val="nil"/>
                <w:left w:val="nil"/>
                <w:bottom w:val="nil"/>
                <w:right w:val="nil"/>
                <w:between w:val="nil"/>
              </w:pBdr>
              <w:tabs>
                <w:tab w:val="decimal" w:pos="1139"/>
              </w:tabs>
              <w:ind w:right="-105"/>
              <w:rPr>
                <w:sz w:val="18"/>
                <w:szCs w:val="18"/>
              </w:rPr>
            </w:pPr>
            <w:r>
              <w:rPr>
                <w:sz w:val="18"/>
                <w:szCs w:val="18"/>
              </w:rPr>
              <w:t>5,094,288</w:t>
            </w:r>
          </w:p>
        </w:tc>
        <w:tc>
          <w:tcPr>
            <w:tcW w:w="1275" w:type="dxa"/>
            <w:tcBorders>
              <w:bottom w:val="single" w:sz="4" w:space="0" w:color="000000"/>
            </w:tcBorders>
            <w:vAlign w:val="bottom"/>
          </w:tcPr>
          <w:p w14:paraId="03D1B770" w14:textId="5F49D65B" w:rsidR="00AF5AA6" w:rsidRDefault="00AF5AA6" w:rsidP="00AF5AA6">
            <w:pPr>
              <w:pBdr>
                <w:top w:val="nil"/>
                <w:left w:val="nil"/>
                <w:bottom w:val="nil"/>
                <w:right w:val="nil"/>
                <w:between w:val="nil"/>
              </w:pBdr>
              <w:tabs>
                <w:tab w:val="decimal" w:pos="990"/>
              </w:tabs>
              <w:ind w:right="-105"/>
              <w:rPr>
                <w:color w:val="000000"/>
                <w:sz w:val="18"/>
                <w:szCs w:val="18"/>
              </w:rPr>
            </w:pPr>
            <w:r w:rsidRPr="00A7179D">
              <w:rPr>
                <w:color w:val="000000"/>
                <w:sz w:val="18"/>
                <w:szCs w:val="18"/>
              </w:rPr>
              <w:t xml:space="preserve"> 2,106,309 </w:t>
            </w:r>
          </w:p>
        </w:tc>
      </w:tr>
      <w:tr w:rsidR="00AF5AA6" w14:paraId="2D01D62A" w14:textId="77777777" w:rsidTr="00AF5AA6">
        <w:trPr>
          <w:trHeight w:val="293"/>
        </w:trPr>
        <w:tc>
          <w:tcPr>
            <w:tcW w:w="3816" w:type="dxa"/>
            <w:tcBorders>
              <w:bottom w:val="single" w:sz="4" w:space="0" w:color="000000"/>
            </w:tcBorders>
            <w:vAlign w:val="bottom"/>
          </w:tcPr>
          <w:p w14:paraId="30627869" w14:textId="321F0381" w:rsidR="00AF5AA6" w:rsidRDefault="00AF5AA6" w:rsidP="00AF5AA6">
            <w:pPr>
              <w:widowControl w:val="0"/>
              <w:pBdr>
                <w:top w:val="nil"/>
                <w:left w:val="nil"/>
                <w:bottom w:val="nil"/>
                <w:right w:val="nil"/>
                <w:between w:val="nil"/>
              </w:pBdr>
              <w:spacing w:before="60" w:after="60"/>
              <w:rPr>
                <w:color w:val="000000"/>
                <w:sz w:val="18"/>
                <w:szCs w:val="18"/>
              </w:rPr>
            </w:pPr>
            <w:r>
              <w:rPr>
                <w:color w:val="000000"/>
                <w:sz w:val="18"/>
                <w:szCs w:val="18"/>
              </w:rPr>
              <w:t>Total sales revenue</w:t>
            </w:r>
          </w:p>
        </w:tc>
        <w:tc>
          <w:tcPr>
            <w:tcW w:w="272" w:type="dxa"/>
            <w:tcBorders>
              <w:bottom w:val="single" w:sz="4" w:space="0" w:color="000000"/>
            </w:tcBorders>
            <w:vAlign w:val="bottom"/>
          </w:tcPr>
          <w:p w14:paraId="4CB21359" w14:textId="77777777" w:rsidR="00AF5AA6" w:rsidRDefault="00AF5AA6" w:rsidP="00AF5AA6">
            <w:pPr>
              <w:widowControl w:val="0"/>
              <w:pBdr>
                <w:top w:val="nil"/>
                <w:left w:val="nil"/>
                <w:bottom w:val="nil"/>
                <w:right w:val="nil"/>
                <w:between w:val="nil"/>
              </w:pBdr>
              <w:spacing w:before="60" w:after="60"/>
              <w:rPr>
                <w:color w:val="000000"/>
                <w:sz w:val="18"/>
                <w:szCs w:val="18"/>
              </w:rPr>
            </w:pPr>
          </w:p>
        </w:tc>
        <w:tc>
          <w:tcPr>
            <w:tcW w:w="1362" w:type="dxa"/>
            <w:tcBorders>
              <w:bottom w:val="single" w:sz="4" w:space="0" w:color="000000"/>
            </w:tcBorders>
            <w:vAlign w:val="center"/>
          </w:tcPr>
          <w:p w14:paraId="669D0C31" w14:textId="5B083E28" w:rsidR="00AF5AA6" w:rsidRDefault="00CD4EE5" w:rsidP="00AF5AA6">
            <w:pPr>
              <w:pBdr>
                <w:top w:val="nil"/>
                <w:left w:val="nil"/>
                <w:bottom w:val="nil"/>
                <w:right w:val="nil"/>
                <w:between w:val="nil"/>
              </w:pBdr>
              <w:tabs>
                <w:tab w:val="decimal" w:pos="1065"/>
              </w:tabs>
              <w:ind w:right="-105"/>
              <w:rPr>
                <w:color w:val="000000"/>
                <w:sz w:val="18"/>
                <w:szCs w:val="18"/>
              </w:rPr>
            </w:pPr>
            <w:r>
              <w:rPr>
                <w:color w:val="000000"/>
                <w:sz w:val="18"/>
                <w:szCs w:val="18"/>
              </w:rPr>
              <w:t>69,206,301</w:t>
            </w:r>
          </w:p>
        </w:tc>
        <w:tc>
          <w:tcPr>
            <w:tcW w:w="1363" w:type="dxa"/>
            <w:tcBorders>
              <w:bottom w:val="single" w:sz="4" w:space="0" w:color="000000"/>
            </w:tcBorders>
            <w:vAlign w:val="center"/>
          </w:tcPr>
          <w:p w14:paraId="31E9A7A4" w14:textId="2CDAB726" w:rsidR="00AF5AA6" w:rsidRDefault="00AF5AA6" w:rsidP="00AF5AA6">
            <w:pPr>
              <w:pBdr>
                <w:top w:val="nil"/>
                <w:left w:val="nil"/>
                <w:bottom w:val="nil"/>
                <w:right w:val="nil"/>
                <w:between w:val="nil"/>
              </w:pBdr>
              <w:tabs>
                <w:tab w:val="decimal" w:pos="1065"/>
              </w:tabs>
              <w:ind w:right="-105"/>
              <w:rPr>
                <w:color w:val="000000"/>
                <w:sz w:val="18"/>
                <w:szCs w:val="18"/>
              </w:rPr>
            </w:pPr>
            <w:r w:rsidRPr="00A7179D">
              <w:rPr>
                <w:color w:val="000000"/>
                <w:sz w:val="18"/>
                <w:szCs w:val="18"/>
              </w:rPr>
              <w:t xml:space="preserve"> 22,208,934 </w:t>
            </w:r>
          </w:p>
        </w:tc>
        <w:tc>
          <w:tcPr>
            <w:tcW w:w="1362" w:type="dxa"/>
            <w:tcBorders>
              <w:bottom w:val="single" w:sz="4" w:space="0" w:color="000000"/>
            </w:tcBorders>
            <w:vAlign w:val="center"/>
          </w:tcPr>
          <w:p w14:paraId="6BD1115F" w14:textId="6CEFC650" w:rsidR="00AF5AA6" w:rsidRPr="002623CC" w:rsidRDefault="00CD4EE5" w:rsidP="000E08C5">
            <w:pPr>
              <w:pBdr>
                <w:top w:val="nil"/>
                <w:left w:val="nil"/>
                <w:bottom w:val="nil"/>
                <w:right w:val="nil"/>
                <w:between w:val="nil"/>
              </w:pBdr>
              <w:tabs>
                <w:tab w:val="decimal" w:pos="1139"/>
              </w:tabs>
              <w:ind w:right="-105"/>
              <w:rPr>
                <w:color w:val="000000"/>
                <w:sz w:val="18"/>
                <w:szCs w:val="18"/>
              </w:rPr>
            </w:pPr>
            <w:r>
              <w:rPr>
                <w:color w:val="000000"/>
                <w:sz w:val="18"/>
                <w:szCs w:val="18"/>
              </w:rPr>
              <w:t>113,687,522</w:t>
            </w:r>
          </w:p>
        </w:tc>
        <w:tc>
          <w:tcPr>
            <w:tcW w:w="1275" w:type="dxa"/>
            <w:tcBorders>
              <w:bottom w:val="single" w:sz="4" w:space="0" w:color="000000"/>
            </w:tcBorders>
            <w:vAlign w:val="center"/>
          </w:tcPr>
          <w:p w14:paraId="4E945EB3" w14:textId="650FC2F8" w:rsidR="00AF5AA6" w:rsidRDefault="00AF5AA6" w:rsidP="00AF5AA6">
            <w:pPr>
              <w:pBdr>
                <w:top w:val="nil"/>
                <w:left w:val="nil"/>
                <w:bottom w:val="nil"/>
                <w:right w:val="nil"/>
                <w:between w:val="nil"/>
              </w:pBdr>
              <w:tabs>
                <w:tab w:val="decimal" w:pos="990"/>
              </w:tabs>
              <w:ind w:right="-105"/>
              <w:rPr>
                <w:color w:val="000000"/>
                <w:sz w:val="18"/>
                <w:szCs w:val="18"/>
              </w:rPr>
            </w:pPr>
            <w:r w:rsidRPr="00A7179D">
              <w:rPr>
                <w:color w:val="000000"/>
                <w:sz w:val="18"/>
                <w:szCs w:val="18"/>
              </w:rPr>
              <w:t xml:space="preserve"> 45,717,428 </w:t>
            </w:r>
          </w:p>
        </w:tc>
      </w:tr>
      <w:tr w:rsidR="00AF5AA6" w:rsidRPr="002D50ED" w14:paraId="4B86D19C" w14:textId="77777777" w:rsidTr="00AF5AA6">
        <w:trPr>
          <w:trHeight w:val="50"/>
        </w:trPr>
        <w:tc>
          <w:tcPr>
            <w:tcW w:w="3816" w:type="dxa"/>
            <w:vAlign w:val="bottom"/>
          </w:tcPr>
          <w:p w14:paraId="27413CA6" w14:textId="7CEEA0F6" w:rsidR="00AF5AA6" w:rsidRPr="002D50ED" w:rsidRDefault="00AF5AA6" w:rsidP="00AF5AA6">
            <w:pPr>
              <w:widowControl w:val="0"/>
              <w:pBdr>
                <w:top w:val="nil"/>
                <w:left w:val="nil"/>
                <w:bottom w:val="nil"/>
                <w:right w:val="nil"/>
                <w:between w:val="nil"/>
              </w:pBdr>
              <w:rPr>
                <w:color w:val="000000"/>
                <w:sz w:val="8"/>
                <w:szCs w:val="8"/>
              </w:rPr>
            </w:pPr>
          </w:p>
        </w:tc>
        <w:tc>
          <w:tcPr>
            <w:tcW w:w="272" w:type="dxa"/>
            <w:vAlign w:val="bottom"/>
          </w:tcPr>
          <w:p w14:paraId="0CC07C42" w14:textId="77777777" w:rsidR="00AF5AA6" w:rsidRPr="002D50ED" w:rsidRDefault="00AF5AA6" w:rsidP="00AF5AA6">
            <w:pPr>
              <w:widowControl w:val="0"/>
              <w:pBdr>
                <w:top w:val="nil"/>
                <w:left w:val="nil"/>
                <w:bottom w:val="nil"/>
                <w:right w:val="nil"/>
                <w:between w:val="nil"/>
              </w:pBdr>
              <w:rPr>
                <w:color w:val="000000"/>
                <w:sz w:val="8"/>
                <w:szCs w:val="8"/>
              </w:rPr>
            </w:pPr>
          </w:p>
        </w:tc>
        <w:tc>
          <w:tcPr>
            <w:tcW w:w="1362" w:type="dxa"/>
            <w:vAlign w:val="bottom"/>
          </w:tcPr>
          <w:p w14:paraId="4F6B9C2F" w14:textId="4F8EA22E" w:rsidR="00AF5AA6" w:rsidRPr="002D50ED" w:rsidRDefault="00AF5AA6" w:rsidP="00AF5AA6">
            <w:pPr>
              <w:widowControl w:val="0"/>
              <w:pBdr>
                <w:top w:val="nil"/>
                <w:left w:val="nil"/>
                <w:bottom w:val="nil"/>
                <w:right w:val="nil"/>
                <w:between w:val="nil"/>
              </w:pBdr>
              <w:jc w:val="center"/>
              <w:rPr>
                <w:color w:val="000000"/>
                <w:sz w:val="8"/>
                <w:szCs w:val="8"/>
              </w:rPr>
            </w:pPr>
          </w:p>
        </w:tc>
        <w:tc>
          <w:tcPr>
            <w:tcW w:w="1363" w:type="dxa"/>
            <w:vAlign w:val="bottom"/>
          </w:tcPr>
          <w:p w14:paraId="6E53975B" w14:textId="0147293C" w:rsidR="00AF5AA6" w:rsidRPr="002D50ED" w:rsidRDefault="00AF5AA6" w:rsidP="00AF5AA6">
            <w:pPr>
              <w:widowControl w:val="0"/>
              <w:pBdr>
                <w:top w:val="nil"/>
                <w:left w:val="nil"/>
                <w:bottom w:val="nil"/>
                <w:right w:val="nil"/>
                <w:between w:val="nil"/>
              </w:pBdr>
              <w:rPr>
                <w:color w:val="000000"/>
                <w:sz w:val="8"/>
                <w:szCs w:val="8"/>
              </w:rPr>
            </w:pPr>
          </w:p>
        </w:tc>
        <w:tc>
          <w:tcPr>
            <w:tcW w:w="1362" w:type="dxa"/>
            <w:vAlign w:val="bottom"/>
          </w:tcPr>
          <w:p w14:paraId="17E2678F" w14:textId="60FDA0BB" w:rsidR="00AF5AA6" w:rsidRPr="002623CC" w:rsidRDefault="00AF5AA6" w:rsidP="00AF5AA6">
            <w:pPr>
              <w:widowControl w:val="0"/>
              <w:pBdr>
                <w:top w:val="nil"/>
                <w:left w:val="nil"/>
                <w:bottom w:val="nil"/>
                <w:right w:val="nil"/>
                <w:between w:val="nil"/>
              </w:pBdr>
              <w:ind w:right="-98"/>
              <w:jc w:val="center"/>
              <w:rPr>
                <w:color w:val="000000"/>
                <w:sz w:val="18"/>
                <w:szCs w:val="18"/>
              </w:rPr>
            </w:pPr>
          </w:p>
        </w:tc>
        <w:tc>
          <w:tcPr>
            <w:tcW w:w="1275" w:type="dxa"/>
            <w:vAlign w:val="bottom"/>
          </w:tcPr>
          <w:p w14:paraId="63ABA932" w14:textId="1A2EF8C8" w:rsidR="00AF5AA6" w:rsidRPr="002D50ED" w:rsidRDefault="00AF5AA6" w:rsidP="00AF5AA6">
            <w:pPr>
              <w:widowControl w:val="0"/>
              <w:pBdr>
                <w:top w:val="nil"/>
                <w:left w:val="nil"/>
                <w:bottom w:val="nil"/>
                <w:right w:val="nil"/>
                <w:between w:val="nil"/>
              </w:pBdr>
              <w:ind w:right="-98"/>
              <w:rPr>
                <w:color w:val="000000"/>
                <w:sz w:val="8"/>
                <w:szCs w:val="8"/>
              </w:rPr>
            </w:pPr>
          </w:p>
        </w:tc>
      </w:tr>
      <w:tr w:rsidR="00AF5AA6" w14:paraId="254CD715" w14:textId="77777777" w:rsidTr="00AF5AA6">
        <w:trPr>
          <w:trHeight w:val="195"/>
        </w:trPr>
        <w:tc>
          <w:tcPr>
            <w:tcW w:w="3816" w:type="dxa"/>
            <w:vAlign w:val="bottom"/>
          </w:tcPr>
          <w:p w14:paraId="692606DF" w14:textId="23E89D63" w:rsidR="00AF5AA6" w:rsidRDefault="00AF5AA6" w:rsidP="00AF5AA6">
            <w:pPr>
              <w:widowControl w:val="0"/>
              <w:pBdr>
                <w:top w:val="nil"/>
                <w:left w:val="nil"/>
                <w:bottom w:val="nil"/>
                <w:right w:val="nil"/>
                <w:between w:val="nil"/>
              </w:pBdr>
              <w:rPr>
                <w:color w:val="000000"/>
                <w:sz w:val="18"/>
                <w:szCs w:val="18"/>
              </w:rPr>
            </w:pPr>
            <w:r>
              <w:rPr>
                <w:color w:val="000000"/>
                <w:sz w:val="18"/>
                <w:szCs w:val="18"/>
              </w:rPr>
              <w:t>Crude o</w:t>
            </w:r>
            <w:r w:rsidRPr="005F288F">
              <w:rPr>
                <w:color w:val="000000"/>
                <w:sz w:val="18"/>
                <w:szCs w:val="18"/>
              </w:rPr>
              <w:t xml:space="preserve">il per </w:t>
            </w:r>
            <w:proofErr w:type="spellStart"/>
            <w:r w:rsidRPr="005F288F">
              <w:rPr>
                <w:color w:val="000000"/>
                <w:sz w:val="18"/>
                <w:szCs w:val="18"/>
              </w:rPr>
              <w:t>bbl</w:t>
            </w:r>
            <w:proofErr w:type="spellEnd"/>
            <w:r w:rsidRPr="005F288F">
              <w:rPr>
                <w:color w:val="000000"/>
                <w:sz w:val="18"/>
                <w:szCs w:val="18"/>
              </w:rPr>
              <w:t xml:space="preserve"> ($)</w:t>
            </w:r>
          </w:p>
        </w:tc>
        <w:tc>
          <w:tcPr>
            <w:tcW w:w="272" w:type="dxa"/>
            <w:vAlign w:val="bottom"/>
          </w:tcPr>
          <w:p w14:paraId="72E28D26" w14:textId="77777777" w:rsidR="00AF5AA6" w:rsidRDefault="00AF5AA6" w:rsidP="00AF5AA6">
            <w:pPr>
              <w:widowControl w:val="0"/>
              <w:pBdr>
                <w:top w:val="nil"/>
                <w:left w:val="nil"/>
                <w:bottom w:val="nil"/>
                <w:right w:val="nil"/>
                <w:between w:val="nil"/>
              </w:pBdr>
              <w:rPr>
                <w:color w:val="000000"/>
                <w:sz w:val="18"/>
                <w:szCs w:val="18"/>
              </w:rPr>
            </w:pPr>
          </w:p>
        </w:tc>
        <w:tc>
          <w:tcPr>
            <w:tcW w:w="1362" w:type="dxa"/>
            <w:vAlign w:val="bottom"/>
          </w:tcPr>
          <w:p w14:paraId="784DD978" w14:textId="6152F5DC" w:rsidR="00AF5AA6" w:rsidRDefault="00CD4EE5" w:rsidP="00AF5AA6">
            <w:pPr>
              <w:pBdr>
                <w:top w:val="nil"/>
                <w:left w:val="nil"/>
                <w:bottom w:val="nil"/>
                <w:right w:val="nil"/>
                <w:between w:val="nil"/>
              </w:pBdr>
              <w:tabs>
                <w:tab w:val="decimal" w:pos="795"/>
              </w:tabs>
              <w:jc w:val="center"/>
              <w:rPr>
                <w:color w:val="000000"/>
                <w:sz w:val="18"/>
                <w:szCs w:val="18"/>
              </w:rPr>
            </w:pPr>
            <w:r>
              <w:rPr>
                <w:color w:val="000000"/>
                <w:sz w:val="18"/>
                <w:szCs w:val="18"/>
              </w:rPr>
              <w:t>90.24</w:t>
            </w:r>
          </w:p>
        </w:tc>
        <w:tc>
          <w:tcPr>
            <w:tcW w:w="1363" w:type="dxa"/>
            <w:vAlign w:val="bottom"/>
          </w:tcPr>
          <w:p w14:paraId="5D9CDBBC" w14:textId="5E9F7C6B" w:rsidR="00AF5AA6" w:rsidRDefault="00AF5AA6" w:rsidP="00AF5AA6">
            <w:pPr>
              <w:pBdr>
                <w:top w:val="nil"/>
                <w:left w:val="nil"/>
                <w:bottom w:val="nil"/>
                <w:right w:val="nil"/>
                <w:between w:val="nil"/>
              </w:pBdr>
              <w:tabs>
                <w:tab w:val="decimal" w:pos="795"/>
              </w:tabs>
              <w:rPr>
                <w:color w:val="000000"/>
                <w:sz w:val="18"/>
                <w:szCs w:val="18"/>
              </w:rPr>
            </w:pPr>
            <w:r w:rsidRPr="00A7179D">
              <w:rPr>
                <w:sz w:val="18"/>
                <w:szCs w:val="18"/>
              </w:rPr>
              <w:t xml:space="preserve"> 67.26 </w:t>
            </w:r>
          </w:p>
        </w:tc>
        <w:tc>
          <w:tcPr>
            <w:tcW w:w="1362" w:type="dxa"/>
            <w:vAlign w:val="bottom"/>
          </w:tcPr>
          <w:p w14:paraId="65A6A0F9" w14:textId="0ED21CB1" w:rsidR="00AF5AA6" w:rsidRPr="002623CC" w:rsidRDefault="00CD4EE5" w:rsidP="000E08C5">
            <w:pPr>
              <w:pBdr>
                <w:top w:val="nil"/>
                <w:left w:val="nil"/>
                <w:bottom w:val="nil"/>
                <w:right w:val="nil"/>
                <w:between w:val="nil"/>
              </w:pBdr>
              <w:tabs>
                <w:tab w:val="decimal" w:pos="795"/>
              </w:tabs>
              <w:ind w:right="-98"/>
              <w:jc w:val="center"/>
              <w:rPr>
                <w:color w:val="000000"/>
                <w:sz w:val="18"/>
                <w:szCs w:val="18"/>
              </w:rPr>
            </w:pPr>
            <w:r>
              <w:rPr>
                <w:color w:val="000000"/>
                <w:sz w:val="18"/>
                <w:szCs w:val="18"/>
              </w:rPr>
              <w:t>81.54</w:t>
            </w:r>
          </w:p>
        </w:tc>
        <w:tc>
          <w:tcPr>
            <w:tcW w:w="1275" w:type="dxa"/>
            <w:vAlign w:val="bottom"/>
          </w:tcPr>
          <w:p w14:paraId="447A5CF4" w14:textId="27A93E9C" w:rsidR="00AF5AA6" w:rsidRPr="0014132F" w:rsidRDefault="00AF5AA6" w:rsidP="00AF5AA6">
            <w:pPr>
              <w:pBdr>
                <w:top w:val="nil"/>
                <w:left w:val="nil"/>
                <w:bottom w:val="nil"/>
                <w:right w:val="nil"/>
                <w:between w:val="nil"/>
              </w:pBdr>
              <w:tabs>
                <w:tab w:val="decimal" w:pos="651"/>
              </w:tabs>
              <w:rPr>
                <w:rFonts w:cs="Arial"/>
                <w:color w:val="000000"/>
                <w:sz w:val="18"/>
                <w:szCs w:val="18"/>
              </w:rPr>
            </w:pPr>
            <w:r w:rsidRPr="00A7179D">
              <w:rPr>
                <w:sz w:val="18"/>
                <w:szCs w:val="18"/>
              </w:rPr>
              <w:t xml:space="preserve"> 68.52 </w:t>
            </w:r>
          </w:p>
        </w:tc>
      </w:tr>
      <w:tr w:rsidR="00AF5AA6" w14:paraId="7F5805B8" w14:textId="77777777" w:rsidTr="00AF5AA6">
        <w:trPr>
          <w:trHeight w:val="195"/>
        </w:trPr>
        <w:tc>
          <w:tcPr>
            <w:tcW w:w="3816" w:type="dxa"/>
            <w:vAlign w:val="bottom"/>
          </w:tcPr>
          <w:p w14:paraId="4AA0280E" w14:textId="51EA4686" w:rsidR="00AF5AA6" w:rsidRDefault="00AF5AA6" w:rsidP="00AF5AA6">
            <w:pPr>
              <w:widowControl w:val="0"/>
              <w:pBdr>
                <w:top w:val="nil"/>
                <w:left w:val="nil"/>
                <w:bottom w:val="nil"/>
                <w:right w:val="nil"/>
                <w:between w:val="nil"/>
              </w:pBdr>
              <w:rPr>
                <w:color w:val="000000"/>
                <w:sz w:val="18"/>
                <w:szCs w:val="18"/>
              </w:rPr>
            </w:pPr>
            <w:r>
              <w:rPr>
                <w:color w:val="000000"/>
                <w:sz w:val="18"/>
                <w:szCs w:val="18"/>
              </w:rPr>
              <w:t xml:space="preserve">NGL per </w:t>
            </w:r>
            <w:proofErr w:type="spellStart"/>
            <w:r>
              <w:rPr>
                <w:color w:val="000000"/>
                <w:sz w:val="18"/>
                <w:szCs w:val="18"/>
              </w:rPr>
              <w:t>bbl</w:t>
            </w:r>
            <w:proofErr w:type="spellEnd"/>
            <w:r>
              <w:rPr>
                <w:color w:val="000000"/>
                <w:sz w:val="18"/>
                <w:szCs w:val="18"/>
              </w:rPr>
              <w:t xml:space="preserve"> ($)</w:t>
            </w:r>
          </w:p>
        </w:tc>
        <w:tc>
          <w:tcPr>
            <w:tcW w:w="272" w:type="dxa"/>
            <w:vAlign w:val="bottom"/>
          </w:tcPr>
          <w:p w14:paraId="7D2D8569" w14:textId="77777777" w:rsidR="00AF5AA6" w:rsidRDefault="00AF5AA6" w:rsidP="00AF5AA6">
            <w:pPr>
              <w:widowControl w:val="0"/>
              <w:pBdr>
                <w:top w:val="nil"/>
                <w:left w:val="nil"/>
                <w:bottom w:val="nil"/>
                <w:right w:val="nil"/>
                <w:between w:val="nil"/>
              </w:pBdr>
              <w:rPr>
                <w:color w:val="000000"/>
                <w:sz w:val="18"/>
                <w:szCs w:val="18"/>
              </w:rPr>
            </w:pPr>
          </w:p>
        </w:tc>
        <w:tc>
          <w:tcPr>
            <w:tcW w:w="1362" w:type="dxa"/>
            <w:vAlign w:val="bottom"/>
          </w:tcPr>
          <w:p w14:paraId="566415AA" w14:textId="4E2167F5" w:rsidR="00AF5AA6" w:rsidRDefault="00CD4EE5" w:rsidP="00AF5AA6">
            <w:pPr>
              <w:pBdr>
                <w:top w:val="nil"/>
                <w:left w:val="nil"/>
                <w:bottom w:val="nil"/>
                <w:right w:val="nil"/>
                <w:between w:val="nil"/>
              </w:pBdr>
              <w:tabs>
                <w:tab w:val="decimal" w:pos="795"/>
              </w:tabs>
              <w:jc w:val="center"/>
              <w:rPr>
                <w:color w:val="000000"/>
                <w:sz w:val="18"/>
                <w:szCs w:val="18"/>
              </w:rPr>
            </w:pPr>
            <w:r>
              <w:rPr>
                <w:color w:val="000000"/>
                <w:sz w:val="18"/>
                <w:szCs w:val="18"/>
              </w:rPr>
              <w:t>35.57</w:t>
            </w:r>
          </w:p>
        </w:tc>
        <w:tc>
          <w:tcPr>
            <w:tcW w:w="1363" w:type="dxa"/>
            <w:vAlign w:val="bottom"/>
          </w:tcPr>
          <w:p w14:paraId="589FF2CC" w14:textId="4DED9728" w:rsidR="00AF5AA6" w:rsidRDefault="00AF5AA6" w:rsidP="00AF5AA6">
            <w:pPr>
              <w:pBdr>
                <w:top w:val="nil"/>
                <w:left w:val="nil"/>
                <w:bottom w:val="nil"/>
                <w:right w:val="nil"/>
                <w:between w:val="nil"/>
              </w:pBdr>
              <w:tabs>
                <w:tab w:val="decimal" w:pos="795"/>
              </w:tabs>
              <w:rPr>
                <w:color w:val="000000"/>
                <w:sz w:val="18"/>
                <w:szCs w:val="18"/>
              </w:rPr>
            </w:pPr>
            <w:r w:rsidRPr="00A7179D">
              <w:rPr>
                <w:sz w:val="18"/>
                <w:szCs w:val="18"/>
              </w:rPr>
              <w:t xml:space="preserve"> 33.22 </w:t>
            </w:r>
          </w:p>
        </w:tc>
        <w:tc>
          <w:tcPr>
            <w:tcW w:w="1362" w:type="dxa"/>
            <w:vAlign w:val="bottom"/>
          </w:tcPr>
          <w:p w14:paraId="0B32665C" w14:textId="01BE610A" w:rsidR="00AF5AA6" w:rsidRPr="002623CC" w:rsidRDefault="00CD4EE5" w:rsidP="000E08C5">
            <w:pPr>
              <w:pBdr>
                <w:top w:val="nil"/>
                <w:left w:val="nil"/>
                <w:bottom w:val="nil"/>
                <w:right w:val="nil"/>
                <w:between w:val="nil"/>
              </w:pBdr>
              <w:tabs>
                <w:tab w:val="decimal" w:pos="795"/>
              </w:tabs>
              <w:ind w:right="-98"/>
              <w:jc w:val="center"/>
              <w:rPr>
                <w:color w:val="000000"/>
                <w:sz w:val="18"/>
                <w:szCs w:val="18"/>
              </w:rPr>
            </w:pPr>
            <w:r>
              <w:rPr>
                <w:color w:val="000000"/>
                <w:sz w:val="18"/>
                <w:szCs w:val="18"/>
              </w:rPr>
              <w:t>32.49</w:t>
            </w:r>
          </w:p>
        </w:tc>
        <w:tc>
          <w:tcPr>
            <w:tcW w:w="1275" w:type="dxa"/>
            <w:vAlign w:val="bottom"/>
          </w:tcPr>
          <w:p w14:paraId="278DA0A1" w14:textId="2F28C34D" w:rsidR="00AF5AA6" w:rsidRPr="0014132F" w:rsidRDefault="00AF5AA6" w:rsidP="00AF5AA6">
            <w:pPr>
              <w:pBdr>
                <w:top w:val="nil"/>
                <w:left w:val="nil"/>
                <w:bottom w:val="nil"/>
                <w:right w:val="nil"/>
                <w:between w:val="nil"/>
              </w:pBdr>
              <w:tabs>
                <w:tab w:val="decimal" w:pos="651"/>
              </w:tabs>
              <w:rPr>
                <w:rFonts w:cs="Arial"/>
                <w:color w:val="000000"/>
                <w:sz w:val="18"/>
                <w:szCs w:val="18"/>
              </w:rPr>
            </w:pPr>
            <w:r w:rsidRPr="00A7179D">
              <w:rPr>
                <w:sz w:val="18"/>
                <w:szCs w:val="18"/>
              </w:rPr>
              <w:t xml:space="preserve"> 30.95 </w:t>
            </w:r>
          </w:p>
        </w:tc>
      </w:tr>
      <w:tr w:rsidR="00AF5AA6" w14:paraId="4834931F" w14:textId="77777777" w:rsidTr="00AF5AA6">
        <w:trPr>
          <w:trHeight w:val="195"/>
        </w:trPr>
        <w:tc>
          <w:tcPr>
            <w:tcW w:w="3816" w:type="dxa"/>
            <w:tcBorders>
              <w:bottom w:val="single" w:sz="4" w:space="0" w:color="000000"/>
            </w:tcBorders>
            <w:vAlign w:val="bottom"/>
          </w:tcPr>
          <w:p w14:paraId="0E241D79" w14:textId="5EA4D2E3" w:rsidR="00AF5AA6" w:rsidRDefault="00AF5AA6" w:rsidP="00AF5AA6">
            <w:pPr>
              <w:widowControl w:val="0"/>
              <w:pBdr>
                <w:top w:val="nil"/>
                <w:left w:val="nil"/>
                <w:bottom w:val="nil"/>
                <w:right w:val="nil"/>
                <w:between w:val="nil"/>
              </w:pBdr>
              <w:rPr>
                <w:color w:val="000000"/>
                <w:sz w:val="18"/>
                <w:szCs w:val="18"/>
              </w:rPr>
            </w:pPr>
            <w:r>
              <w:rPr>
                <w:color w:val="000000"/>
                <w:sz w:val="18"/>
                <w:szCs w:val="18"/>
              </w:rPr>
              <w:t>Natural gas per mcf ($)</w:t>
            </w:r>
          </w:p>
        </w:tc>
        <w:tc>
          <w:tcPr>
            <w:tcW w:w="272" w:type="dxa"/>
            <w:tcBorders>
              <w:bottom w:val="single" w:sz="4" w:space="0" w:color="000000"/>
            </w:tcBorders>
            <w:vAlign w:val="bottom"/>
          </w:tcPr>
          <w:p w14:paraId="1A8B6F98" w14:textId="77777777" w:rsidR="00AF5AA6" w:rsidRDefault="00AF5AA6" w:rsidP="00AF5AA6">
            <w:pPr>
              <w:widowControl w:val="0"/>
              <w:pBdr>
                <w:top w:val="nil"/>
                <w:left w:val="nil"/>
                <w:bottom w:val="nil"/>
                <w:right w:val="nil"/>
                <w:between w:val="nil"/>
              </w:pBdr>
              <w:rPr>
                <w:color w:val="000000"/>
                <w:sz w:val="18"/>
                <w:szCs w:val="18"/>
              </w:rPr>
            </w:pPr>
          </w:p>
        </w:tc>
        <w:tc>
          <w:tcPr>
            <w:tcW w:w="1362" w:type="dxa"/>
            <w:tcBorders>
              <w:bottom w:val="single" w:sz="4" w:space="0" w:color="000000"/>
            </w:tcBorders>
            <w:vAlign w:val="bottom"/>
          </w:tcPr>
          <w:p w14:paraId="7244DC61" w14:textId="1E7974E7" w:rsidR="00AF5AA6" w:rsidRDefault="00CD4EE5" w:rsidP="00AF5AA6">
            <w:pPr>
              <w:pBdr>
                <w:top w:val="nil"/>
                <w:left w:val="nil"/>
                <w:bottom w:val="nil"/>
                <w:right w:val="nil"/>
                <w:between w:val="nil"/>
              </w:pBdr>
              <w:tabs>
                <w:tab w:val="decimal" w:pos="795"/>
              </w:tabs>
              <w:jc w:val="center"/>
              <w:rPr>
                <w:color w:val="000000"/>
                <w:sz w:val="18"/>
                <w:szCs w:val="18"/>
              </w:rPr>
            </w:pPr>
            <w:r>
              <w:rPr>
                <w:color w:val="000000"/>
                <w:sz w:val="18"/>
                <w:szCs w:val="18"/>
              </w:rPr>
              <w:t>4.99</w:t>
            </w:r>
          </w:p>
        </w:tc>
        <w:tc>
          <w:tcPr>
            <w:tcW w:w="1363" w:type="dxa"/>
            <w:tcBorders>
              <w:bottom w:val="single" w:sz="4" w:space="0" w:color="000000"/>
            </w:tcBorders>
            <w:vAlign w:val="bottom"/>
          </w:tcPr>
          <w:p w14:paraId="56C75DFD" w14:textId="7F20E8A3" w:rsidR="00AF5AA6" w:rsidRDefault="00AF5AA6" w:rsidP="00AF5AA6">
            <w:pPr>
              <w:pBdr>
                <w:top w:val="nil"/>
                <w:left w:val="nil"/>
                <w:bottom w:val="nil"/>
                <w:right w:val="nil"/>
                <w:between w:val="nil"/>
              </w:pBdr>
              <w:tabs>
                <w:tab w:val="decimal" w:pos="795"/>
              </w:tabs>
              <w:rPr>
                <w:color w:val="000000"/>
                <w:sz w:val="18"/>
                <w:szCs w:val="18"/>
              </w:rPr>
            </w:pPr>
            <w:r w:rsidRPr="00A7179D">
              <w:rPr>
                <w:sz w:val="18"/>
                <w:szCs w:val="18"/>
              </w:rPr>
              <w:t xml:space="preserve"> 3.45 </w:t>
            </w:r>
          </w:p>
        </w:tc>
        <w:tc>
          <w:tcPr>
            <w:tcW w:w="1362" w:type="dxa"/>
            <w:tcBorders>
              <w:bottom w:val="single" w:sz="4" w:space="0" w:color="000000"/>
            </w:tcBorders>
            <w:vAlign w:val="bottom"/>
          </w:tcPr>
          <w:p w14:paraId="396D8A5A" w14:textId="3DC7F36C" w:rsidR="00AF5AA6" w:rsidRPr="002623CC" w:rsidRDefault="00CD4EE5" w:rsidP="000E08C5">
            <w:pPr>
              <w:pBdr>
                <w:top w:val="nil"/>
                <w:left w:val="nil"/>
                <w:bottom w:val="nil"/>
                <w:right w:val="nil"/>
                <w:between w:val="nil"/>
              </w:pBdr>
              <w:tabs>
                <w:tab w:val="decimal" w:pos="795"/>
              </w:tabs>
              <w:ind w:right="-98"/>
              <w:jc w:val="center"/>
              <w:rPr>
                <w:color w:val="000000"/>
                <w:sz w:val="18"/>
                <w:szCs w:val="18"/>
              </w:rPr>
            </w:pPr>
            <w:r>
              <w:rPr>
                <w:color w:val="000000"/>
                <w:sz w:val="18"/>
                <w:szCs w:val="18"/>
              </w:rPr>
              <w:t>4.05</w:t>
            </w:r>
          </w:p>
        </w:tc>
        <w:tc>
          <w:tcPr>
            <w:tcW w:w="1275" w:type="dxa"/>
            <w:tcBorders>
              <w:bottom w:val="single" w:sz="4" w:space="0" w:color="000000"/>
            </w:tcBorders>
            <w:vAlign w:val="bottom"/>
          </w:tcPr>
          <w:p w14:paraId="3A617790" w14:textId="29B87D04" w:rsidR="00AF5AA6" w:rsidRPr="0014132F" w:rsidRDefault="00AF5AA6" w:rsidP="00AF5AA6">
            <w:pPr>
              <w:pBdr>
                <w:top w:val="nil"/>
                <w:left w:val="nil"/>
                <w:bottom w:val="nil"/>
                <w:right w:val="nil"/>
                <w:between w:val="nil"/>
              </w:pBdr>
              <w:tabs>
                <w:tab w:val="decimal" w:pos="651"/>
              </w:tabs>
              <w:rPr>
                <w:rFonts w:cs="Arial"/>
                <w:color w:val="000000"/>
                <w:sz w:val="18"/>
                <w:szCs w:val="18"/>
              </w:rPr>
            </w:pPr>
            <w:r w:rsidRPr="00A7179D">
              <w:rPr>
                <w:sz w:val="18"/>
                <w:szCs w:val="18"/>
              </w:rPr>
              <w:t xml:space="preserve"> 2.95 </w:t>
            </w:r>
          </w:p>
        </w:tc>
      </w:tr>
      <w:tr w:rsidR="00AF5AA6" w14:paraId="4F66F980" w14:textId="77777777" w:rsidTr="00AF5AA6">
        <w:trPr>
          <w:trHeight w:val="342"/>
        </w:trPr>
        <w:tc>
          <w:tcPr>
            <w:tcW w:w="3816" w:type="dxa"/>
            <w:tcBorders>
              <w:top w:val="single" w:sz="4" w:space="0" w:color="000000"/>
              <w:bottom w:val="single" w:sz="12" w:space="0" w:color="000000"/>
            </w:tcBorders>
            <w:vAlign w:val="center"/>
          </w:tcPr>
          <w:p w14:paraId="7CBAEB38" w14:textId="606BB78B" w:rsidR="00AF5AA6" w:rsidRDefault="00AF5AA6" w:rsidP="00AF5AA6">
            <w:pPr>
              <w:widowControl w:val="0"/>
              <w:pBdr>
                <w:top w:val="nil"/>
                <w:left w:val="nil"/>
                <w:bottom w:val="nil"/>
                <w:right w:val="nil"/>
                <w:between w:val="nil"/>
              </w:pBdr>
              <w:rPr>
                <w:color w:val="000000"/>
                <w:sz w:val="18"/>
                <w:szCs w:val="18"/>
              </w:rPr>
            </w:pPr>
            <w:r>
              <w:rPr>
                <w:color w:val="000000"/>
                <w:sz w:val="18"/>
                <w:szCs w:val="18"/>
              </w:rPr>
              <w:t>Total sales revenue per BOE ($)</w:t>
            </w:r>
          </w:p>
        </w:tc>
        <w:tc>
          <w:tcPr>
            <w:tcW w:w="272" w:type="dxa"/>
            <w:tcBorders>
              <w:top w:val="single" w:sz="4" w:space="0" w:color="000000"/>
              <w:bottom w:val="single" w:sz="12" w:space="0" w:color="000000"/>
            </w:tcBorders>
            <w:vAlign w:val="center"/>
          </w:tcPr>
          <w:p w14:paraId="29DEBC6E" w14:textId="77777777" w:rsidR="00AF5AA6" w:rsidRDefault="00AF5AA6" w:rsidP="00AF5AA6">
            <w:pPr>
              <w:widowControl w:val="0"/>
              <w:pBdr>
                <w:top w:val="nil"/>
                <w:left w:val="nil"/>
                <w:bottom w:val="nil"/>
                <w:right w:val="nil"/>
                <w:between w:val="nil"/>
              </w:pBdr>
              <w:rPr>
                <w:color w:val="000000"/>
                <w:sz w:val="18"/>
                <w:szCs w:val="18"/>
              </w:rPr>
            </w:pPr>
          </w:p>
        </w:tc>
        <w:tc>
          <w:tcPr>
            <w:tcW w:w="1362" w:type="dxa"/>
            <w:tcBorders>
              <w:top w:val="single" w:sz="4" w:space="0" w:color="000000"/>
              <w:bottom w:val="single" w:sz="12" w:space="0" w:color="000000"/>
            </w:tcBorders>
            <w:vAlign w:val="center"/>
          </w:tcPr>
          <w:p w14:paraId="60EF8FD1" w14:textId="2F22E74D" w:rsidR="00AF5AA6" w:rsidRDefault="00CD4EE5" w:rsidP="00AF5AA6">
            <w:pPr>
              <w:pBdr>
                <w:top w:val="nil"/>
                <w:left w:val="nil"/>
                <w:bottom w:val="nil"/>
                <w:right w:val="nil"/>
                <w:between w:val="nil"/>
              </w:pBdr>
              <w:tabs>
                <w:tab w:val="decimal" w:pos="795"/>
              </w:tabs>
              <w:jc w:val="center"/>
              <w:rPr>
                <w:color w:val="000000"/>
                <w:sz w:val="18"/>
                <w:szCs w:val="18"/>
              </w:rPr>
            </w:pPr>
            <w:r>
              <w:rPr>
                <w:color w:val="000000"/>
                <w:sz w:val="18"/>
                <w:szCs w:val="18"/>
              </w:rPr>
              <w:t>83.05</w:t>
            </w:r>
          </w:p>
        </w:tc>
        <w:tc>
          <w:tcPr>
            <w:tcW w:w="1363" w:type="dxa"/>
            <w:tcBorders>
              <w:top w:val="single" w:sz="4" w:space="0" w:color="000000"/>
              <w:bottom w:val="single" w:sz="12" w:space="0" w:color="000000"/>
            </w:tcBorders>
            <w:vAlign w:val="center"/>
          </w:tcPr>
          <w:p w14:paraId="616D262E" w14:textId="2C89A4DC" w:rsidR="00AF5AA6" w:rsidRDefault="00AF5AA6" w:rsidP="00AF5AA6">
            <w:pPr>
              <w:pBdr>
                <w:top w:val="nil"/>
                <w:left w:val="nil"/>
                <w:bottom w:val="nil"/>
                <w:right w:val="nil"/>
                <w:between w:val="nil"/>
              </w:pBdr>
              <w:tabs>
                <w:tab w:val="decimal" w:pos="795"/>
              </w:tabs>
              <w:rPr>
                <w:color w:val="000000"/>
                <w:sz w:val="18"/>
                <w:szCs w:val="18"/>
              </w:rPr>
            </w:pPr>
            <w:r w:rsidRPr="00A7179D">
              <w:rPr>
                <w:sz w:val="18"/>
                <w:szCs w:val="18"/>
              </w:rPr>
              <w:t xml:space="preserve"> 59.78 </w:t>
            </w:r>
          </w:p>
        </w:tc>
        <w:tc>
          <w:tcPr>
            <w:tcW w:w="1362" w:type="dxa"/>
            <w:tcBorders>
              <w:top w:val="single" w:sz="4" w:space="0" w:color="000000"/>
              <w:bottom w:val="single" w:sz="12" w:space="0" w:color="000000"/>
            </w:tcBorders>
            <w:vAlign w:val="center"/>
          </w:tcPr>
          <w:p w14:paraId="335EAA13" w14:textId="747A4EF9" w:rsidR="00AF5AA6" w:rsidRPr="002623CC" w:rsidRDefault="00CD4EE5" w:rsidP="000E08C5">
            <w:pPr>
              <w:pBdr>
                <w:top w:val="nil"/>
                <w:left w:val="nil"/>
                <w:bottom w:val="nil"/>
                <w:right w:val="nil"/>
                <w:between w:val="nil"/>
              </w:pBdr>
              <w:tabs>
                <w:tab w:val="decimal" w:pos="795"/>
              </w:tabs>
              <w:ind w:right="-98"/>
              <w:jc w:val="center"/>
              <w:rPr>
                <w:color w:val="000000"/>
                <w:sz w:val="18"/>
                <w:szCs w:val="18"/>
              </w:rPr>
            </w:pPr>
            <w:r>
              <w:rPr>
                <w:color w:val="000000"/>
                <w:sz w:val="18"/>
                <w:szCs w:val="18"/>
              </w:rPr>
              <w:t>73.73</w:t>
            </w:r>
          </w:p>
        </w:tc>
        <w:tc>
          <w:tcPr>
            <w:tcW w:w="1275" w:type="dxa"/>
            <w:tcBorders>
              <w:top w:val="single" w:sz="4" w:space="0" w:color="000000"/>
              <w:bottom w:val="single" w:sz="12" w:space="0" w:color="000000"/>
            </w:tcBorders>
            <w:vAlign w:val="center"/>
          </w:tcPr>
          <w:p w14:paraId="51AF5BF0" w14:textId="2746F9E3" w:rsidR="00AF5AA6" w:rsidRPr="0014132F" w:rsidRDefault="00AF5AA6" w:rsidP="00AF5AA6">
            <w:pPr>
              <w:pBdr>
                <w:top w:val="nil"/>
                <w:left w:val="nil"/>
                <w:bottom w:val="nil"/>
                <w:right w:val="nil"/>
                <w:between w:val="nil"/>
              </w:pBdr>
              <w:tabs>
                <w:tab w:val="decimal" w:pos="651"/>
              </w:tabs>
              <w:rPr>
                <w:rFonts w:cs="Arial"/>
                <w:color w:val="000000"/>
                <w:sz w:val="18"/>
                <w:szCs w:val="18"/>
              </w:rPr>
            </w:pPr>
            <w:r w:rsidRPr="00A7179D">
              <w:rPr>
                <w:sz w:val="18"/>
                <w:szCs w:val="18"/>
              </w:rPr>
              <w:t xml:space="preserve"> 60.41 </w:t>
            </w:r>
          </w:p>
        </w:tc>
      </w:tr>
    </w:tbl>
    <w:p w14:paraId="27F73ECD" w14:textId="77777777" w:rsidR="0056646E" w:rsidRDefault="0056646E" w:rsidP="00591EC8">
      <w:pPr>
        <w:widowControl w:val="0"/>
        <w:autoSpaceDE w:val="0"/>
        <w:autoSpaceDN w:val="0"/>
        <w:adjustRightInd w:val="0"/>
        <w:spacing w:before="240"/>
        <w:jc w:val="both"/>
        <w:rPr>
          <w:rFonts w:cs="Arial"/>
          <w:sz w:val="24"/>
          <w:u w:val="single"/>
        </w:rPr>
      </w:pPr>
      <w:r>
        <w:rPr>
          <w:rFonts w:cs="Arial"/>
          <w:u w:val="single"/>
        </w:rPr>
        <w:t>Sales Volumes</w:t>
      </w:r>
    </w:p>
    <w:p w14:paraId="1E5F49D6" w14:textId="1A717C60" w:rsidR="000E6F39" w:rsidRDefault="0056646E" w:rsidP="000E6F39">
      <w:pPr>
        <w:widowControl w:val="0"/>
        <w:spacing w:before="120"/>
        <w:jc w:val="both"/>
        <w:rPr>
          <w:rFonts w:cs="Arial"/>
        </w:rPr>
      </w:pPr>
      <w:r w:rsidRPr="001077DE">
        <w:rPr>
          <w:rFonts w:cs="Arial"/>
        </w:rPr>
        <w:t xml:space="preserve">During </w:t>
      </w:r>
      <w:r w:rsidR="00D95F81" w:rsidRPr="001077DE">
        <w:rPr>
          <w:rFonts w:cs="Arial"/>
        </w:rPr>
        <w:t>Q</w:t>
      </w:r>
      <w:r w:rsidR="00406F8C">
        <w:rPr>
          <w:rFonts w:cs="Arial"/>
        </w:rPr>
        <w:t>2</w:t>
      </w:r>
      <w:r w:rsidR="00D95F81" w:rsidRPr="001077DE">
        <w:rPr>
          <w:rFonts w:cs="Arial"/>
        </w:rPr>
        <w:t xml:space="preserve"> 202</w:t>
      </w:r>
      <w:r w:rsidR="00E47FB4">
        <w:rPr>
          <w:rFonts w:cs="Arial"/>
        </w:rPr>
        <w:t>6</w:t>
      </w:r>
      <w:r w:rsidRPr="001077DE">
        <w:rPr>
          <w:rFonts w:cs="Arial"/>
        </w:rPr>
        <w:t xml:space="preserve">, the Company’s average daily sales volumes </w:t>
      </w:r>
      <w:r w:rsidRPr="006F7AF1">
        <w:rPr>
          <w:rFonts w:cs="Arial"/>
        </w:rPr>
        <w:t xml:space="preserve">were </w:t>
      </w:r>
      <w:r w:rsidR="00604C45">
        <w:rPr>
          <w:rFonts w:cs="Arial"/>
        </w:rPr>
        <w:t>9,158</w:t>
      </w:r>
      <w:r w:rsidR="00AB2544">
        <w:rPr>
          <w:rFonts w:cs="Arial"/>
        </w:rPr>
        <w:t xml:space="preserve"> </w:t>
      </w:r>
      <w:r w:rsidRPr="006F7AF1">
        <w:rPr>
          <w:rFonts w:cs="Arial"/>
        </w:rPr>
        <w:t>BOE</w:t>
      </w:r>
      <w:r w:rsidR="006F7AF1">
        <w:rPr>
          <w:rFonts w:cs="Arial"/>
        </w:rPr>
        <w:t xml:space="preserve"> </w:t>
      </w:r>
      <w:r w:rsidRPr="001077DE">
        <w:rPr>
          <w:rFonts w:cs="Arial"/>
        </w:rPr>
        <w:t>per day</w:t>
      </w:r>
      <w:r w:rsidRPr="005932F0">
        <w:rPr>
          <w:rFonts w:cs="Arial"/>
        </w:rPr>
        <w:t xml:space="preserve">, </w:t>
      </w:r>
      <w:r w:rsidR="0014132F" w:rsidRPr="005932F0">
        <w:rPr>
          <w:rFonts w:cs="Arial"/>
        </w:rPr>
        <w:t>higher</w:t>
      </w:r>
      <w:r w:rsidRPr="005932F0">
        <w:rPr>
          <w:rFonts w:cs="Arial"/>
        </w:rPr>
        <w:t xml:space="preserve"> than</w:t>
      </w:r>
      <w:r w:rsidRPr="001077DE">
        <w:rPr>
          <w:rFonts w:cs="Arial"/>
        </w:rPr>
        <w:t xml:space="preserve"> </w:t>
      </w:r>
      <w:r w:rsidR="00406F8C">
        <w:rPr>
          <w:rFonts w:cs="Arial"/>
        </w:rPr>
        <w:t xml:space="preserve">7,875 </w:t>
      </w:r>
      <w:r w:rsidRPr="001077DE">
        <w:rPr>
          <w:rFonts w:cs="Arial"/>
        </w:rPr>
        <w:t>BOE per day in Q</w:t>
      </w:r>
      <w:r w:rsidR="00406F8C">
        <w:rPr>
          <w:rFonts w:cs="Arial"/>
        </w:rPr>
        <w:t>1</w:t>
      </w:r>
      <w:r w:rsidRPr="001077DE">
        <w:rPr>
          <w:rFonts w:cs="Arial"/>
        </w:rPr>
        <w:t xml:space="preserve"> </w:t>
      </w:r>
      <w:r w:rsidR="00452649" w:rsidRPr="001077DE">
        <w:rPr>
          <w:rFonts w:cs="Arial"/>
        </w:rPr>
        <w:t>202</w:t>
      </w:r>
      <w:r w:rsidR="00406F8C">
        <w:rPr>
          <w:rFonts w:cs="Arial"/>
        </w:rPr>
        <w:t>6</w:t>
      </w:r>
      <w:r w:rsidR="006F588A">
        <w:rPr>
          <w:rFonts w:cs="Arial"/>
        </w:rPr>
        <w:t xml:space="preserve"> </w:t>
      </w:r>
      <w:r w:rsidR="0039382F">
        <w:rPr>
          <w:rFonts w:cs="Arial"/>
        </w:rPr>
        <w:t xml:space="preserve">and higher than </w:t>
      </w:r>
      <w:r w:rsidR="00E47FB4">
        <w:rPr>
          <w:rFonts w:cs="Arial"/>
        </w:rPr>
        <w:t>4,</w:t>
      </w:r>
      <w:r w:rsidR="00406F8C">
        <w:rPr>
          <w:rFonts w:cs="Arial"/>
        </w:rPr>
        <w:t>083</w:t>
      </w:r>
      <w:r w:rsidR="0039382F">
        <w:rPr>
          <w:rFonts w:cs="Arial"/>
        </w:rPr>
        <w:t xml:space="preserve"> BOE per day in Q</w:t>
      </w:r>
      <w:r w:rsidR="00406F8C">
        <w:rPr>
          <w:rFonts w:cs="Arial"/>
        </w:rPr>
        <w:t>2</w:t>
      </w:r>
      <w:r w:rsidR="0039382F">
        <w:rPr>
          <w:rFonts w:cs="Arial"/>
        </w:rPr>
        <w:t xml:space="preserve"> 202</w:t>
      </w:r>
      <w:r w:rsidR="00E47FB4">
        <w:rPr>
          <w:rFonts w:cs="Arial"/>
        </w:rPr>
        <w:t>5</w:t>
      </w:r>
      <w:r w:rsidR="0039382F">
        <w:rPr>
          <w:rFonts w:cs="Arial"/>
        </w:rPr>
        <w:t xml:space="preserve"> </w:t>
      </w:r>
      <w:r w:rsidR="000E6F39" w:rsidRPr="00C80689">
        <w:rPr>
          <w:rFonts w:cs="Arial"/>
        </w:rPr>
        <w:t xml:space="preserve">due to oil sales volumes </w:t>
      </w:r>
      <w:r w:rsidR="000E6F39">
        <w:rPr>
          <w:rFonts w:cs="Arial"/>
        </w:rPr>
        <w:t>from</w:t>
      </w:r>
      <w:r w:rsidR="000E6F39" w:rsidRPr="00C80689">
        <w:rPr>
          <w:rFonts w:cs="Arial"/>
        </w:rPr>
        <w:t xml:space="preserve"> </w:t>
      </w:r>
      <w:r w:rsidR="000E6F39">
        <w:rPr>
          <w:rFonts w:cs="Arial"/>
        </w:rPr>
        <w:t xml:space="preserve">the Chubut </w:t>
      </w:r>
      <w:r w:rsidR="000E6F39" w:rsidRPr="00C80689">
        <w:rPr>
          <w:rFonts w:cs="Arial"/>
        </w:rPr>
        <w:t xml:space="preserve">Concessions </w:t>
      </w:r>
      <w:r w:rsidR="00470E5C">
        <w:rPr>
          <w:rFonts w:cs="Arial"/>
        </w:rPr>
        <w:t>acquired</w:t>
      </w:r>
      <w:r w:rsidR="000E6F39">
        <w:rPr>
          <w:rFonts w:cs="Arial"/>
        </w:rPr>
        <w:t xml:space="preserve"> in Q4 2025.</w:t>
      </w:r>
    </w:p>
    <w:p w14:paraId="195416B8" w14:textId="48A04CB1" w:rsidR="00211DEF" w:rsidRDefault="00DB68A6" w:rsidP="000E6F39">
      <w:pPr>
        <w:widowControl w:val="0"/>
        <w:spacing w:before="120"/>
        <w:jc w:val="both"/>
        <w:rPr>
          <w:rFonts w:cs="Arial"/>
        </w:rPr>
      </w:pPr>
      <w:r>
        <w:rPr>
          <w:rFonts w:cs="Arial"/>
        </w:rPr>
        <w:t>Sales volumes were weighted as follows:</w:t>
      </w:r>
    </w:p>
    <w:tbl>
      <w:tblPr>
        <w:tblW w:w="9450" w:type="dxa"/>
        <w:tblLayout w:type="fixed"/>
        <w:tblLook w:val="04A0" w:firstRow="1" w:lastRow="0" w:firstColumn="1" w:lastColumn="0" w:noHBand="0" w:noVBand="1"/>
      </w:tblPr>
      <w:tblGrid>
        <w:gridCol w:w="3780"/>
        <w:gridCol w:w="270"/>
        <w:gridCol w:w="1350"/>
        <w:gridCol w:w="1350"/>
        <w:gridCol w:w="1350"/>
        <w:gridCol w:w="1350"/>
      </w:tblGrid>
      <w:tr w:rsidR="00E91EF5" w14:paraId="6C9E5A9F" w14:textId="77777777" w:rsidTr="000F543C">
        <w:tc>
          <w:tcPr>
            <w:tcW w:w="3780" w:type="dxa"/>
            <w:tcBorders>
              <w:top w:val="single" w:sz="12" w:space="0" w:color="auto"/>
            </w:tcBorders>
          </w:tcPr>
          <w:p w14:paraId="04511352" w14:textId="77777777" w:rsidR="00E91EF5" w:rsidRPr="00452649" w:rsidRDefault="00E91EF5" w:rsidP="00E91EF5">
            <w:pPr>
              <w:pStyle w:val="BodyText"/>
              <w:rPr>
                <w:rFonts w:cs="Arial"/>
                <w:b/>
                <w:color w:val="000000"/>
                <w:sz w:val="18"/>
                <w:szCs w:val="18"/>
              </w:rPr>
            </w:pPr>
          </w:p>
        </w:tc>
        <w:tc>
          <w:tcPr>
            <w:tcW w:w="270" w:type="dxa"/>
            <w:tcBorders>
              <w:top w:val="single" w:sz="12" w:space="0" w:color="auto"/>
            </w:tcBorders>
            <w:vAlign w:val="bottom"/>
          </w:tcPr>
          <w:p w14:paraId="355EDC06" w14:textId="77777777" w:rsidR="00E91EF5" w:rsidRPr="00452649" w:rsidRDefault="00E91EF5" w:rsidP="00E91EF5">
            <w:pPr>
              <w:pStyle w:val="BodyText"/>
              <w:rPr>
                <w:rFonts w:cs="Arial"/>
                <w:b/>
                <w:color w:val="000000"/>
                <w:sz w:val="16"/>
                <w:szCs w:val="16"/>
              </w:rPr>
            </w:pPr>
          </w:p>
        </w:tc>
        <w:tc>
          <w:tcPr>
            <w:tcW w:w="2700" w:type="dxa"/>
            <w:gridSpan w:val="2"/>
            <w:tcBorders>
              <w:top w:val="single" w:sz="12" w:space="0" w:color="auto"/>
            </w:tcBorders>
            <w:vAlign w:val="bottom"/>
          </w:tcPr>
          <w:p w14:paraId="132BA49B" w14:textId="4926D6AC" w:rsidR="00E91EF5" w:rsidRPr="00452649" w:rsidRDefault="00E91EF5" w:rsidP="00E91EF5">
            <w:pPr>
              <w:pStyle w:val="BodyText"/>
              <w:jc w:val="center"/>
              <w:rPr>
                <w:rFonts w:cs="Arial"/>
                <w:b/>
                <w:sz w:val="16"/>
                <w:szCs w:val="16"/>
              </w:rPr>
            </w:pPr>
            <w:r>
              <w:rPr>
                <w:rFonts w:cs="Arial"/>
                <w:b/>
                <w:sz w:val="16"/>
                <w:szCs w:val="16"/>
              </w:rPr>
              <w:t>Three months ended</w:t>
            </w:r>
          </w:p>
        </w:tc>
        <w:tc>
          <w:tcPr>
            <w:tcW w:w="2700" w:type="dxa"/>
            <w:gridSpan w:val="2"/>
            <w:tcBorders>
              <w:top w:val="single" w:sz="12" w:space="0" w:color="auto"/>
            </w:tcBorders>
            <w:vAlign w:val="bottom"/>
          </w:tcPr>
          <w:p w14:paraId="0C567A4C" w14:textId="772FC0E9" w:rsidR="00E91EF5" w:rsidRPr="00452649" w:rsidRDefault="00E91EF5" w:rsidP="00E91EF5">
            <w:pPr>
              <w:pStyle w:val="BodyText"/>
              <w:jc w:val="center"/>
              <w:rPr>
                <w:rFonts w:cs="Arial"/>
                <w:b/>
                <w:sz w:val="16"/>
                <w:szCs w:val="16"/>
              </w:rPr>
            </w:pPr>
            <w:r>
              <w:rPr>
                <w:rFonts w:cs="Arial"/>
                <w:b/>
                <w:sz w:val="16"/>
                <w:szCs w:val="16"/>
              </w:rPr>
              <w:t>Six months ended</w:t>
            </w:r>
          </w:p>
        </w:tc>
      </w:tr>
      <w:tr w:rsidR="00E91EF5" w14:paraId="325745A2" w14:textId="77777777" w:rsidTr="000F543C">
        <w:tc>
          <w:tcPr>
            <w:tcW w:w="3780" w:type="dxa"/>
          </w:tcPr>
          <w:p w14:paraId="12077BA1" w14:textId="77777777" w:rsidR="00E91EF5" w:rsidRPr="00452649" w:rsidRDefault="00E91EF5" w:rsidP="00E91EF5">
            <w:pPr>
              <w:pStyle w:val="BodyText"/>
              <w:rPr>
                <w:rFonts w:cs="Arial"/>
                <w:b/>
                <w:color w:val="000000"/>
                <w:sz w:val="18"/>
                <w:szCs w:val="18"/>
              </w:rPr>
            </w:pPr>
          </w:p>
        </w:tc>
        <w:tc>
          <w:tcPr>
            <w:tcW w:w="270" w:type="dxa"/>
            <w:vAlign w:val="bottom"/>
          </w:tcPr>
          <w:p w14:paraId="441E7853" w14:textId="77777777" w:rsidR="00E91EF5" w:rsidRPr="00452649" w:rsidRDefault="00E91EF5" w:rsidP="00E91EF5">
            <w:pPr>
              <w:pStyle w:val="BodyText"/>
              <w:rPr>
                <w:rFonts w:cs="Arial"/>
                <w:b/>
                <w:color w:val="000000"/>
                <w:sz w:val="16"/>
                <w:szCs w:val="16"/>
              </w:rPr>
            </w:pPr>
          </w:p>
        </w:tc>
        <w:tc>
          <w:tcPr>
            <w:tcW w:w="2700" w:type="dxa"/>
            <w:gridSpan w:val="2"/>
            <w:vAlign w:val="bottom"/>
          </w:tcPr>
          <w:p w14:paraId="5FFAE1C4" w14:textId="7E08A440" w:rsidR="00E91EF5" w:rsidRPr="00452649" w:rsidRDefault="00E91EF5" w:rsidP="00E91EF5">
            <w:pPr>
              <w:pStyle w:val="BodyText"/>
              <w:jc w:val="center"/>
              <w:rPr>
                <w:rFonts w:cs="Arial"/>
                <w:b/>
                <w:sz w:val="16"/>
                <w:szCs w:val="16"/>
              </w:rPr>
            </w:pPr>
            <w:r>
              <w:rPr>
                <w:rFonts w:cs="Arial"/>
                <w:b/>
                <w:sz w:val="16"/>
                <w:szCs w:val="16"/>
              </w:rPr>
              <w:t>June 30</w:t>
            </w:r>
          </w:p>
        </w:tc>
        <w:tc>
          <w:tcPr>
            <w:tcW w:w="2700" w:type="dxa"/>
            <w:gridSpan w:val="2"/>
            <w:vAlign w:val="bottom"/>
          </w:tcPr>
          <w:p w14:paraId="36B3FF56" w14:textId="7D7A5FD1" w:rsidR="00E91EF5" w:rsidRPr="00452649" w:rsidRDefault="00E91EF5" w:rsidP="00E91EF5">
            <w:pPr>
              <w:pStyle w:val="BodyText"/>
              <w:jc w:val="center"/>
              <w:rPr>
                <w:rFonts w:cs="Arial"/>
                <w:b/>
                <w:sz w:val="16"/>
                <w:szCs w:val="16"/>
              </w:rPr>
            </w:pPr>
            <w:r>
              <w:rPr>
                <w:rFonts w:cs="Arial"/>
                <w:b/>
                <w:sz w:val="16"/>
                <w:szCs w:val="16"/>
              </w:rPr>
              <w:t>June 30</w:t>
            </w:r>
          </w:p>
        </w:tc>
      </w:tr>
      <w:tr w:rsidR="00E91EF5" w14:paraId="58A41846" w14:textId="77777777" w:rsidTr="001354A6">
        <w:tblPrEx>
          <w:tblLook w:val="0400" w:firstRow="0" w:lastRow="0" w:firstColumn="0" w:lastColumn="0" w:noHBand="0" w:noVBand="1"/>
        </w:tblPrEx>
        <w:tc>
          <w:tcPr>
            <w:tcW w:w="3780" w:type="dxa"/>
          </w:tcPr>
          <w:p w14:paraId="591724F4" w14:textId="77777777" w:rsidR="00E91EF5" w:rsidRDefault="00E91EF5" w:rsidP="00E91EF5">
            <w:pPr>
              <w:widowControl w:val="0"/>
              <w:pBdr>
                <w:top w:val="nil"/>
                <w:left w:val="nil"/>
                <w:bottom w:val="nil"/>
                <w:right w:val="nil"/>
                <w:between w:val="nil"/>
              </w:pBdr>
              <w:jc w:val="both"/>
              <w:rPr>
                <w:color w:val="000000"/>
                <w:sz w:val="18"/>
                <w:szCs w:val="18"/>
              </w:rPr>
            </w:pPr>
          </w:p>
        </w:tc>
        <w:tc>
          <w:tcPr>
            <w:tcW w:w="270" w:type="dxa"/>
            <w:vAlign w:val="bottom"/>
          </w:tcPr>
          <w:p w14:paraId="67F17AF5" w14:textId="77777777" w:rsidR="00E91EF5" w:rsidRDefault="00E91EF5" w:rsidP="00E91EF5">
            <w:pPr>
              <w:widowControl w:val="0"/>
              <w:pBdr>
                <w:top w:val="nil"/>
                <w:left w:val="nil"/>
                <w:bottom w:val="nil"/>
                <w:right w:val="nil"/>
                <w:between w:val="nil"/>
              </w:pBdr>
              <w:jc w:val="center"/>
              <w:rPr>
                <w:b/>
                <w:color w:val="000000"/>
                <w:sz w:val="16"/>
                <w:szCs w:val="16"/>
              </w:rPr>
            </w:pPr>
          </w:p>
        </w:tc>
        <w:tc>
          <w:tcPr>
            <w:tcW w:w="1350" w:type="dxa"/>
            <w:vAlign w:val="bottom"/>
          </w:tcPr>
          <w:p w14:paraId="3606EC6F" w14:textId="5ABAD1C1"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50" w:type="dxa"/>
            <w:vAlign w:val="bottom"/>
          </w:tcPr>
          <w:p w14:paraId="42A93996" w14:textId="4C0DCAA1"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c>
          <w:tcPr>
            <w:tcW w:w="1350" w:type="dxa"/>
            <w:vAlign w:val="bottom"/>
          </w:tcPr>
          <w:p w14:paraId="71131278" w14:textId="10AAE7E8"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50" w:type="dxa"/>
            <w:vAlign w:val="bottom"/>
          </w:tcPr>
          <w:p w14:paraId="03B883C7" w14:textId="218D6C81"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r>
      <w:tr w:rsidR="00AF5AA6" w14:paraId="0A6416F2" w14:textId="77777777">
        <w:tblPrEx>
          <w:tblLook w:val="0400" w:firstRow="0" w:lastRow="0" w:firstColumn="0" w:lastColumn="0" w:noHBand="0" w:noVBand="1"/>
        </w:tblPrEx>
        <w:trPr>
          <w:trHeight w:val="60"/>
        </w:trPr>
        <w:tc>
          <w:tcPr>
            <w:tcW w:w="3780" w:type="dxa"/>
            <w:tcBorders>
              <w:top w:val="single" w:sz="4" w:space="0" w:color="000000"/>
            </w:tcBorders>
          </w:tcPr>
          <w:p w14:paraId="2A440B00" w14:textId="63AE3FBB" w:rsidR="00AF5AA6" w:rsidRDefault="00AF5AA6" w:rsidP="00AF5AA6">
            <w:pPr>
              <w:widowControl w:val="0"/>
              <w:pBdr>
                <w:top w:val="nil"/>
                <w:left w:val="nil"/>
                <w:bottom w:val="nil"/>
                <w:right w:val="nil"/>
                <w:between w:val="nil"/>
              </w:pBdr>
              <w:spacing w:before="60"/>
              <w:rPr>
                <w:color w:val="000000"/>
                <w:sz w:val="18"/>
                <w:szCs w:val="18"/>
              </w:rPr>
            </w:pPr>
            <w:r>
              <w:rPr>
                <w:color w:val="000000"/>
                <w:sz w:val="18"/>
                <w:szCs w:val="18"/>
              </w:rPr>
              <w:t>Crude o</w:t>
            </w:r>
            <w:r w:rsidRPr="005F288F">
              <w:rPr>
                <w:color w:val="000000"/>
                <w:sz w:val="18"/>
                <w:szCs w:val="18"/>
              </w:rPr>
              <w:t>il</w:t>
            </w:r>
            <w:r>
              <w:rPr>
                <w:color w:val="000000"/>
                <w:sz w:val="18"/>
                <w:szCs w:val="18"/>
              </w:rPr>
              <w:t xml:space="preserve"> </w:t>
            </w:r>
          </w:p>
        </w:tc>
        <w:tc>
          <w:tcPr>
            <w:tcW w:w="270" w:type="dxa"/>
            <w:tcBorders>
              <w:top w:val="single" w:sz="4" w:space="0" w:color="000000"/>
            </w:tcBorders>
            <w:vAlign w:val="bottom"/>
          </w:tcPr>
          <w:p w14:paraId="0F66C31D" w14:textId="77777777" w:rsidR="00AF5AA6" w:rsidRDefault="00AF5AA6" w:rsidP="00AF5AA6">
            <w:pPr>
              <w:pBdr>
                <w:top w:val="nil"/>
                <w:left w:val="nil"/>
                <w:bottom w:val="nil"/>
                <w:right w:val="nil"/>
                <w:between w:val="nil"/>
              </w:pBdr>
              <w:spacing w:before="60"/>
              <w:rPr>
                <w:color w:val="000000"/>
                <w:sz w:val="18"/>
                <w:szCs w:val="18"/>
              </w:rPr>
            </w:pPr>
          </w:p>
        </w:tc>
        <w:tc>
          <w:tcPr>
            <w:tcW w:w="1350" w:type="dxa"/>
            <w:tcBorders>
              <w:top w:val="single" w:sz="4" w:space="0" w:color="000000"/>
            </w:tcBorders>
            <w:vAlign w:val="bottom"/>
          </w:tcPr>
          <w:p w14:paraId="7457E747" w14:textId="694A5417" w:rsidR="00AF5AA6" w:rsidRDefault="00604C45" w:rsidP="00AF5AA6">
            <w:pPr>
              <w:pBdr>
                <w:top w:val="nil"/>
                <w:left w:val="nil"/>
                <w:bottom w:val="nil"/>
                <w:right w:val="nil"/>
                <w:between w:val="nil"/>
              </w:pBdr>
              <w:spacing w:before="60"/>
              <w:ind w:right="72"/>
              <w:jc w:val="right"/>
              <w:rPr>
                <w:color w:val="000000"/>
                <w:sz w:val="18"/>
                <w:szCs w:val="18"/>
              </w:rPr>
            </w:pPr>
            <w:r>
              <w:rPr>
                <w:color w:val="000000"/>
                <w:sz w:val="18"/>
                <w:szCs w:val="18"/>
              </w:rPr>
              <w:t>88%</w:t>
            </w:r>
          </w:p>
        </w:tc>
        <w:tc>
          <w:tcPr>
            <w:tcW w:w="1350" w:type="dxa"/>
            <w:tcBorders>
              <w:top w:val="single" w:sz="4" w:space="0" w:color="000000"/>
            </w:tcBorders>
          </w:tcPr>
          <w:p w14:paraId="6B509463" w14:textId="6456A374" w:rsidR="00AF5AA6" w:rsidRDefault="00AF5AA6" w:rsidP="00AF5AA6">
            <w:pPr>
              <w:pBdr>
                <w:top w:val="nil"/>
                <w:left w:val="nil"/>
                <w:bottom w:val="nil"/>
                <w:right w:val="nil"/>
                <w:between w:val="nil"/>
              </w:pBdr>
              <w:spacing w:before="60"/>
              <w:ind w:right="72"/>
              <w:jc w:val="right"/>
              <w:rPr>
                <w:color w:val="000000"/>
                <w:sz w:val="18"/>
                <w:szCs w:val="18"/>
              </w:rPr>
            </w:pPr>
            <w:r w:rsidRPr="00AB0312">
              <w:rPr>
                <w:sz w:val="18"/>
                <w:szCs w:val="18"/>
              </w:rPr>
              <w:t>84%</w:t>
            </w:r>
          </w:p>
        </w:tc>
        <w:tc>
          <w:tcPr>
            <w:tcW w:w="1350" w:type="dxa"/>
            <w:tcBorders>
              <w:top w:val="single" w:sz="4" w:space="0" w:color="000000"/>
            </w:tcBorders>
          </w:tcPr>
          <w:p w14:paraId="0D599513" w14:textId="08E2DEC5" w:rsidR="00AF5AA6" w:rsidRPr="00AB0312" w:rsidRDefault="00604C45" w:rsidP="00AF5AA6">
            <w:pPr>
              <w:pBdr>
                <w:top w:val="nil"/>
                <w:left w:val="nil"/>
                <w:bottom w:val="nil"/>
                <w:right w:val="nil"/>
                <w:between w:val="nil"/>
              </w:pBdr>
              <w:spacing w:before="60"/>
              <w:ind w:right="320"/>
              <w:jc w:val="right"/>
              <w:rPr>
                <w:color w:val="000000"/>
                <w:sz w:val="18"/>
                <w:szCs w:val="18"/>
              </w:rPr>
            </w:pPr>
            <w:r>
              <w:rPr>
                <w:color w:val="000000"/>
                <w:sz w:val="18"/>
                <w:szCs w:val="18"/>
              </w:rPr>
              <w:t>86%</w:t>
            </w:r>
          </w:p>
        </w:tc>
        <w:tc>
          <w:tcPr>
            <w:tcW w:w="1350" w:type="dxa"/>
            <w:tcBorders>
              <w:top w:val="single" w:sz="4" w:space="0" w:color="000000"/>
            </w:tcBorders>
          </w:tcPr>
          <w:p w14:paraId="40B8BE2A" w14:textId="060DC7A0" w:rsidR="00AF5AA6" w:rsidRDefault="00AF5AA6" w:rsidP="00AF5AA6">
            <w:pPr>
              <w:pBdr>
                <w:top w:val="nil"/>
                <w:left w:val="nil"/>
                <w:bottom w:val="nil"/>
                <w:right w:val="nil"/>
                <w:between w:val="nil"/>
              </w:pBdr>
              <w:spacing w:before="60"/>
              <w:ind w:right="273"/>
              <w:jc w:val="right"/>
              <w:rPr>
                <w:color w:val="000000"/>
                <w:sz w:val="18"/>
                <w:szCs w:val="18"/>
              </w:rPr>
            </w:pPr>
            <w:r w:rsidRPr="00AB0312">
              <w:rPr>
                <w:sz w:val="18"/>
                <w:szCs w:val="18"/>
              </w:rPr>
              <w:t>84%</w:t>
            </w:r>
          </w:p>
        </w:tc>
      </w:tr>
      <w:tr w:rsidR="00AF5AA6" w14:paraId="4B7BB924" w14:textId="77777777">
        <w:tblPrEx>
          <w:tblLook w:val="0400" w:firstRow="0" w:lastRow="0" w:firstColumn="0" w:lastColumn="0" w:noHBand="0" w:noVBand="1"/>
        </w:tblPrEx>
        <w:tc>
          <w:tcPr>
            <w:tcW w:w="3780" w:type="dxa"/>
            <w:vAlign w:val="bottom"/>
          </w:tcPr>
          <w:p w14:paraId="3CD0F28B" w14:textId="77777777" w:rsidR="00AF5AA6" w:rsidRDefault="00AF5AA6" w:rsidP="00AF5AA6">
            <w:pPr>
              <w:widowControl w:val="0"/>
              <w:pBdr>
                <w:top w:val="nil"/>
                <w:left w:val="nil"/>
                <w:bottom w:val="nil"/>
                <w:right w:val="nil"/>
                <w:between w:val="nil"/>
              </w:pBdr>
              <w:rPr>
                <w:color w:val="000000"/>
                <w:sz w:val="18"/>
                <w:szCs w:val="18"/>
              </w:rPr>
            </w:pPr>
            <w:r>
              <w:rPr>
                <w:color w:val="000000"/>
                <w:sz w:val="18"/>
                <w:szCs w:val="18"/>
              </w:rPr>
              <w:t xml:space="preserve">NGL </w:t>
            </w:r>
          </w:p>
        </w:tc>
        <w:tc>
          <w:tcPr>
            <w:tcW w:w="270" w:type="dxa"/>
            <w:vAlign w:val="bottom"/>
          </w:tcPr>
          <w:p w14:paraId="36F593EA" w14:textId="77777777" w:rsidR="00AF5AA6" w:rsidRDefault="00AF5AA6" w:rsidP="00AF5AA6">
            <w:pPr>
              <w:pBdr>
                <w:top w:val="nil"/>
                <w:left w:val="nil"/>
                <w:bottom w:val="nil"/>
                <w:right w:val="nil"/>
                <w:between w:val="nil"/>
              </w:pBdr>
              <w:rPr>
                <w:color w:val="000000"/>
                <w:sz w:val="18"/>
                <w:szCs w:val="18"/>
              </w:rPr>
            </w:pPr>
          </w:p>
        </w:tc>
        <w:tc>
          <w:tcPr>
            <w:tcW w:w="1350" w:type="dxa"/>
            <w:vAlign w:val="bottom"/>
          </w:tcPr>
          <w:p w14:paraId="0638548C" w14:textId="14F52554" w:rsidR="00AF5AA6" w:rsidRDefault="00604C45" w:rsidP="00AF5AA6">
            <w:pPr>
              <w:pBdr>
                <w:top w:val="nil"/>
                <w:left w:val="nil"/>
                <w:bottom w:val="nil"/>
                <w:right w:val="nil"/>
                <w:between w:val="nil"/>
              </w:pBdr>
              <w:ind w:right="72"/>
              <w:jc w:val="right"/>
              <w:rPr>
                <w:color w:val="000000"/>
                <w:sz w:val="18"/>
                <w:szCs w:val="18"/>
              </w:rPr>
            </w:pPr>
            <w:r>
              <w:rPr>
                <w:color w:val="000000"/>
                <w:sz w:val="18"/>
                <w:szCs w:val="18"/>
              </w:rPr>
              <w:t>0%</w:t>
            </w:r>
          </w:p>
        </w:tc>
        <w:tc>
          <w:tcPr>
            <w:tcW w:w="1350" w:type="dxa"/>
          </w:tcPr>
          <w:p w14:paraId="3A103ED9" w14:textId="6AC98183" w:rsidR="00AF5AA6" w:rsidRDefault="00AF5AA6" w:rsidP="00AF5AA6">
            <w:pPr>
              <w:pBdr>
                <w:top w:val="nil"/>
                <w:left w:val="nil"/>
                <w:bottom w:val="nil"/>
                <w:right w:val="nil"/>
                <w:between w:val="nil"/>
              </w:pBdr>
              <w:ind w:right="72"/>
              <w:jc w:val="right"/>
              <w:rPr>
                <w:color w:val="000000"/>
                <w:sz w:val="18"/>
                <w:szCs w:val="18"/>
              </w:rPr>
            </w:pPr>
            <w:r w:rsidRPr="00AB0312">
              <w:rPr>
                <w:sz w:val="18"/>
                <w:szCs w:val="18"/>
              </w:rPr>
              <w:t>0%</w:t>
            </w:r>
          </w:p>
        </w:tc>
        <w:tc>
          <w:tcPr>
            <w:tcW w:w="1350" w:type="dxa"/>
          </w:tcPr>
          <w:p w14:paraId="1C47E952" w14:textId="5A120173" w:rsidR="00AF5AA6" w:rsidRPr="00AB0312" w:rsidRDefault="00604C45" w:rsidP="00AF5AA6">
            <w:pPr>
              <w:pBdr>
                <w:top w:val="nil"/>
                <w:left w:val="nil"/>
                <w:bottom w:val="nil"/>
                <w:right w:val="nil"/>
                <w:between w:val="nil"/>
              </w:pBdr>
              <w:ind w:right="320"/>
              <w:jc w:val="right"/>
              <w:rPr>
                <w:color w:val="000000"/>
                <w:sz w:val="18"/>
                <w:szCs w:val="18"/>
              </w:rPr>
            </w:pPr>
            <w:r>
              <w:rPr>
                <w:color w:val="000000"/>
                <w:sz w:val="18"/>
                <w:szCs w:val="18"/>
              </w:rPr>
              <w:t>0%</w:t>
            </w:r>
          </w:p>
        </w:tc>
        <w:tc>
          <w:tcPr>
            <w:tcW w:w="1350" w:type="dxa"/>
          </w:tcPr>
          <w:p w14:paraId="0DCEA424" w14:textId="4EFADC74" w:rsidR="00AF5AA6" w:rsidRDefault="00AF5AA6" w:rsidP="00AF5AA6">
            <w:pPr>
              <w:pBdr>
                <w:top w:val="nil"/>
                <w:left w:val="nil"/>
                <w:bottom w:val="nil"/>
                <w:right w:val="nil"/>
                <w:between w:val="nil"/>
              </w:pBdr>
              <w:ind w:right="273"/>
              <w:jc w:val="right"/>
              <w:rPr>
                <w:color w:val="000000"/>
                <w:sz w:val="18"/>
                <w:szCs w:val="18"/>
              </w:rPr>
            </w:pPr>
            <w:r w:rsidRPr="00AB0312">
              <w:rPr>
                <w:sz w:val="18"/>
                <w:szCs w:val="18"/>
              </w:rPr>
              <w:t>0%</w:t>
            </w:r>
          </w:p>
        </w:tc>
      </w:tr>
      <w:tr w:rsidR="00AF5AA6" w14:paraId="6AE50C2D" w14:textId="77777777">
        <w:tblPrEx>
          <w:tblLook w:val="0400" w:firstRow="0" w:lastRow="0" w:firstColumn="0" w:lastColumn="0" w:noHBand="0" w:noVBand="1"/>
        </w:tblPrEx>
        <w:tc>
          <w:tcPr>
            <w:tcW w:w="3780" w:type="dxa"/>
            <w:tcBorders>
              <w:bottom w:val="single" w:sz="4" w:space="0" w:color="000000"/>
            </w:tcBorders>
            <w:vAlign w:val="bottom"/>
          </w:tcPr>
          <w:p w14:paraId="647A7F87" w14:textId="77777777" w:rsidR="00AF5AA6" w:rsidRDefault="00AF5AA6" w:rsidP="00AF5AA6">
            <w:pPr>
              <w:widowControl w:val="0"/>
              <w:pBdr>
                <w:top w:val="nil"/>
                <w:left w:val="nil"/>
                <w:bottom w:val="nil"/>
                <w:right w:val="nil"/>
                <w:between w:val="nil"/>
              </w:pBdr>
              <w:rPr>
                <w:color w:val="000000"/>
                <w:sz w:val="18"/>
                <w:szCs w:val="18"/>
              </w:rPr>
            </w:pPr>
            <w:r>
              <w:rPr>
                <w:color w:val="000000"/>
                <w:sz w:val="18"/>
                <w:szCs w:val="18"/>
              </w:rPr>
              <w:t xml:space="preserve">Natural gas </w:t>
            </w:r>
          </w:p>
        </w:tc>
        <w:tc>
          <w:tcPr>
            <w:tcW w:w="270" w:type="dxa"/>
            <w:tcBorders>
              <w:bottom w:val="single" w:sz="4" w:space="0" w:color="000000"/>
            </w:tcBorders>
            <w:vAlign w:val="bottom"/>
          </w:tcPr>
          <w:p w14:paraId="4A7B5BFF" w14:textId="77777777" w:rsidR="00AF5AA6" w:rsidRDefault="00AF5AA6" w:rsidP="00AF5AA6">
            <w:pPr>
              <w:pBdr>
                <w:top w:val="nil"/>
                <w:left w:val="nil"/>
                <w:bottom w:val="nil"/>
                <w:right w:val="nil"/>
                <w:between w:val="nil"/>
              </w:pBdr>
              <w:rPr>
                <w:color w:val="000000"/>
                <w:sz w:val="18"/>
                <w:szCs w:val="18"/>
              </w:rPr>
            </w:pPr>
          </w:p>
        </w:tc>
        <w:tc>
          <w:tcPr>
            <w:tcW w:w="1350" w:type="dxa"/>
            <w:tcBorders>
              <w:bottom w:val="single" w:sz="4" w:space="0" w:color="000000"/>
            </w:tcBorders>
            <w:vAlign w:val="bottom"/>
          </w:tcPr>
          <w:p w14:paraId="79852C6F" w14:textId="0CD6DC2A" w:rsidR="00AF5AA6" w:rsidRDefault="00604C45" w:rsidP="00AF5AA6">
            <w:pPr>
              <w:pBdr>
                <w:top w:val="nil"/>
                <w:left w:val="nil"/>
                <w:bottom w:val="nil"/>
                <w:right w:val="nil"/>
                <w:between w:val="nil"/>
              </w:pBdr>
              <w:ind w:right="72"/>
              <w:jc w:val="right"/>
              <w:rPr>
                <w:color w:val="000000"/>
                <w:sz w:val="18"/>
                <w:szCs w:val="18"/>
              </w:rPr>
            </w:pPr>
            <w:r>
              <w:rPr>
                <w:color w:val="000000"/>
                <w:sz w:val="18"/>
                <w:szCs w:val="18"/>
              </w:rPr>
              <w:t>12%</w:t>
            </w:r>
          </w:p>
        </w:tc>
        <w:tc>
          <w:tcPr>
            <w:tcW w:w="1350" w:type="dxa"/>
            <w:tcBorders>
              <w:bottom w:val="single" w:sz="4" w:space="0" w:color="000000"/>
            </w:tcBorders>
          </w:tcPr>
          <w:p w14:paraId="0506A69F" w14:textId="4F7A7FC4" w:rsidR="00AF5AA6" w:rsidRDefault="00AF5AA6" w:rsidP="00AF5AA6">
            <w:pPr>
              <w:pBdr>
                <w:top w:val="nil"/>
                <w:left w:val="nil"/>
                <w:bottom w:val="nil"/>
                <w:right w:val="nil"/>
                <w:between w:val="nil"/>
              </w:pBdr>
              <w:ind w:right="72"/>
              <w:jc w:val="right"/>
              <w:rPr>
                <w:color w:val="000000"/>
                <w:sz w:val="18"/>
                <w:szCs w:val="18"/>
              </w:rPr>
            </w:pPr>
            <w:r w:rsidRPr="00AB0312">
              <w:rPr>
                <w:sz w:val="18"/>
                <w:szCs w:val="18"/>
              </w:rPr>
              <w:t>1</w:t>
            </w:r>
            <w:r>
              <w:rPr>
                <w:sz w:val="18"/>
                <w:szCs w:val="18"/>
              </w:rPr>
              <w:t>6</w:t>
            </w:r>
            <w:r w:rsidRPr="00AB0312">
              <w:rPr>
                <w:sz w:val="18"/>
                <w:szCs w:val="18"/>
              </w:rPr>
              <w:t>%</w:t>
            </w:r>
          </w:p>
        </w:tc>
        <w:tc>
          <w:tcPr>
            <w:tcW w:w="1350" w:type="dxa"/>
            <w:tcBorders>
              <w:bottom w:val="single" w:sz="4" w:space="0" w:color="000000"/>
            </w:tcBorders>
          </w:tcPr>
          <w:p w14:paraId="6B32E4D2" w14:textId="42A65914" w:rsidR="00AF5AA6" w:rsidRPr="00AB0312" w:rsidRDefault="00604C45" w:rsidP="00AF5AA6">
            <w:pPr>
              <w:pBdr>
                <w:top w:val="nil"/>
                <w:left w:val="nil"/>
                <w:bottom w:val="nil"/>
                <w:right w:val="nil"/>
                <w:between w:val="nil"/>
              </w:pBdr>
              <w:ind w:right="320"/>
              <w:jc w:val="right"/>
              <w:rPr>
                <w:color w:val="000000"/>
                <w:sz w:val="18"/>
                <w:szCs w:val="18"/>
              </w:rPr>
            </w:pPr>
            <w:r>
              <w:rPr>
                <w:color w:val="000000"/>
                <w:sz w:val="18"/>
                <w:szCs w:val="18"/>
              </w:rPr>
              <w:t>14%</w:t>
            </w:r>
          </w:p>
        </w:tc>
        <w:tc>
          <w:tcPr>
            <w:tcW w:w="1350" w:type="dxa"/>
            <w:tcBorders>
              <w:bottom w:val="single" w:sz="4" w:space="0" w:color="000000"/>
            </w:tcBorders>
          </w:tcPr>
          <w:p w14:paraId="1A813BEF" w14:textId="4D72386F" w:rsidR="00AF5AA6" w:rsidRDefault="00AF5AA6" w:rsidP="00AF5AA6">
            <w:pPr>
              <w:pBdr>
                <w:top w:val="nil"/>
                <w:left w:val="nil"/>
                <w:bottom w:val="nil"/>
                <w:right w:val="nil"/>
                <w:between w:val="nil"/>
              </w:pBdr>
              <w:ind w:right="273"/>
              <w:jc w:val="right"/>
              <w:rPr>
                <w:color w:val="000000"/>
                <w:sz w:val="18"/>
                <w:szCs w:val="18"/>
              </w:rPr>
            </w:pPr>
            <w:r w:rsidRPr="00AB0312">
              <w:rPr>
                <w:sz w:val="18"/>
                <w:szCs w:val="18"/>
              </w:rPr>
              <w:t>1</w:t>
            </w:r>
            <w:r>
              <w:rPr>
                <w:sz w:val="18"/>
                <w:szCs w:val="18"/>
              </w:rPr>
              <w:t>6</w:t>
            </w:r>
            <w:r w:rsidRPr="00AB0312">
              <w:rPr>
                <w:sz w:val="18"/>
                <w:szCs w:val="18"/>
              </w:rPr>
              <w:t>%</w:t>
            </w:r>
          </w:p>
        </w:tc>
      </w:tr>
      <w:tr w:rsidR="00AF5AA6" w14:paraId="310E8560" w14:textId="77777777">
        <w:tblPrEx>
          <w:tblLook w:val="0400" w:firstRow="0" w:lastRow="0" w:firstColumn="0" w:lastColumn="0" w:noHBand="0" w:noVBand="1"/>
        </w:tblPrEx>
        <w:trPr>
          <w:trHeight w:val="347"/>
        </w:trPr>
        <w:tc>
          <w:tcPr>
            <w:tcW w:w="3780" w:type="dxa"/>
            <w:tcBorders>
              <w:top w:val="single" w:sz="4" w:space="0" w:color="000000"/>
              <w:bottom w:val="single" w:sz="12" w:space="0" w:color="000000"/>
            </w:tcBorders>
            <w:vAlign w:val="bottom"/>
          </w:tcPr>
          <w:p w14:paraId="7010F7B5" w14:textId="77777777" w:rsidR="00AF5AA6" w:rsidRDefault="00AF5AA6" w:rsidP="00AF5AA6">
            <w:pPr>
              <w:pBdr>
                <w:top w:val="nil"/>
                <w:left w:val="nil"/>
                <w:bottom w:val="nil"/>
                <w:right w:val="nil"/>
                <w:between w:val="nil"/>
              </w:pBdr>
              <w:spacing w:before="60" w:after="60"/>
              <w:rPr>
                <w:color w:val="000000"/>
                <w:sz w:val="18"/>
                <w:szCs w:val="18"/>
              </w:rPr>
            </w:pPr>
            <w:r>
              <w:rPr>
                <w:color w:val="000000"/>
                <w:sz w:val="18"/>
                <w:szCs w:val="18"/>
              </w:rPr>
              <w:t>Total</w:t>
            </w:r>
          </w:p>
        </w:tc>
        <w:tc>
          <w:tcPr>
            <w:tcW w:w="270" w:type="dxa"/>
            <w:tcBorders>
              <w:top w:val="single" w:sz="4" w:space="0" w:color="000000"/>
              <w:bottom w:val="single" w:sz="12" w:space="0" w:color="000000"/>
            </w:tcBorders>
            <w:vAlign w:val="bottom"/>
          </w:tcPr>
          <w:p w14:paraId="55FBC12E" w14:textId="77777777" w:rsidR="00AF5AA6" w:rsidRDefault="00AF5AA6" w:rsidP="00AF5AA6">
            <w:pPr>
              <w:pBdr>
                <w:top w:val="nil"/>
                <w:left w:val="nil"/>
                <w:bottom w:val="nil"/>
                <w:right w:val="nil"/>
                <w:between w:val="nil"/>
              </w:pBdr>
              <w:spacing w:before="60" w:after="60"/>
              <w:rPr>
                <w:color w:val="000000"/>
                <w:sz w:val="18"/>
                <w:szCs w:val="18"/>
              </w:rPr>
            </w:pPr>
          </w:p>
        </w:tc>
        <w:tc>
          <w:tcPr>
            <w:tcW w:w="1350" w:type="dxa"/>
            <w:tcBorders>
              <w:top w:val="single" w:sz="4" w:space="0" w:color="000000"/>
              <w:bottom w:val="single" w:sz="12" w:space="0" w:color="000000"/>
            </w:tcBorders>
            <w:vAlign w:val="bottom"/>
          </w:tcPr>
          <w:p w14:paraId="362EE73D" w14:textId="6885E86C" w:rsidR="00AF5AA6" w:rsidRDefault="00604C45" w:rsidP="00AF5AA6">
            <w:pPr>
              <w:pBdr>
                <w:top w:val="nil"/>
                <w:left w:val="nil"/>
                <w:bottom w:val="nil"/>
                <w:right w:val="nil"/>
                <w:between w:val="nil"/>
              </w:pBdr>
              <w:spacing w:before="60" w:after="60"/>
              <w:ind w:right="72"/>
              <w:jc w:val="right"/>
              <w:rPr>
                <w:color w:val="000000"/>
                <w:sz w:val="18"/>
                <w:szCs w:val="18"/>
              </w:rPr>
            </w:pPr>
            <w:r>
              <w:rPr>
                <w:color w:val="000000"/>
                <w:sz w:val="18"/>
                <w:szCs w:val="18"/>
              </w:rPr>
              <w:t>100%</w:t>
            </w:r>
          </w:p>
        </w:tc>
        <w:tc>
          <w:tcPr>
            <w:tcW w:w="1350" w:type="dxa"/>
            <w:tcBorders>
              <w:top w:val="single" w:sz="4" w:space="0" w:color="000000"/>
              <w:bottom w:val="single" w:sz="12" w:space="0" w:color="000000"/>
            </w:tcBorders>
          </w:tcPr>
          <w:p w14:paraId="4069EDB8" w14:textId="298461BD" w:rsidR="00AF5AA6" w:rsidRDefault="00AF5AA6" w:rsidP="00AF5AA6">
            <w:pPr>
              <w:pBdr>
                <w:top w:val="nil"/>
                <w:left w:val="nil"/>
                <w:bottom w:val="nil"/>
                <w:right w:val="nil"/>
                <w:between w:val="nil"/>
              </w:pBdr>
              <w:spacing w:before="60" w:after="60"/>
              <w:ind w:right="72"/>
              <w:jc w:val="right"/>
              <w:rPr>
                <w:color w:val="000000"/>
                <w:sz w:val="18"/>
                <w:szCs w:val="18"/>
              </w:rPr>
            </w:pPr>
            <w:r w:rsidRPr="00AB0312">
              <w:rPr>
                <w:sz w:val="18"/>
                <w:szCs w:val="18"/>
              </w:rPr>
              <w:t>100%</w:t>
            </w:r>
          </w:p>
        </w:tc>
        <w:tc>
          <w:tcPr>
            <w:tcW w:w="1350" w:type="dxa"/>
            <w:tcBorders>
              <w:top w:val="single" w:sz="4" w:space="0" w:color="000000"/>
              <w:bottom w:val="single" w:sz="12" w:space="0" w:color="000000"/>
            </w:tcBorders>
          </w:tcPr>
          <w:p w14:paraId="3AD18E86" w14:textId="3D082882" w:rsidR="00AF5AA6" w:rsidRPr="00AB0312" w:rsidRDefault="00AF5AA6" w:rsidP="00AF5AA6">
            <w:pPr>
              <w:pBdr>
                <w:top w:val="nil"/>
                <w:left w:val="nil"/>
                <w:bottom w:val="nil"/>
                <w:right w:val="nil"/>
                <w:between w:val="nil"/>
              </w:pBdr>
              <w:spacing w:before="60" w:after="60"/>
              <w:ind w:right="320"/>
              <w:jc w:val="right"/>
              <w:rPr>
                <w:color w:val="000000"/>
                <w:sz w:val="18"/>
                <w:szCs w:val="18"/>
              </w:rPr>
            </w:pPr>
            <w:r w:rsidRPr="00AB0312">
              <w:rPr>
                <w:sz w:val="18"/>
                <w:szCs w:val="18"/>
              </w:rPr>
              <w:t>100%</w:t>
            </w:r>
          </w:p>
        </w:tc>
        <w:tc>
          <w:tcPr>
            <w:tcW w:w="1350" w:type="dxa"/>
            <w:tcBorders>
              <w:top w:val="single" w:sz="4" w:space="0" w:color="000000"/>
              <w:bottom w:val="single" w:sz="12" w:space="0" w:color="000000"/>
            </w:tcBorders>
          </w:tcPr>
          <w:p w14:paraId="14558CFD" w14:textId="3E1A8DBC" w:rsidR="00AF5AA6" w:rsidRDefault="00AF5AA6" w:rsidP="00AF5AA6">
            <w:pPr>
              <w:pBdr>
                <w:top w:val="nil"/>
                <w:left w:val="nil"/>
                <w:bottom w:val="nil"/>
                <w:right w:val="nil"/>
                <w:between w:val="nil"/>
              </w:pBdr>
              <w:spacing w:before="60" w:after="60"/>
              <w:ind w:right="273"/>
              <w:jc w:val="right"/>
              <w:rPr>
                <w:color w:val="000000"/>
                <w:sz w:val="18"/>
                <w:szCs w:val="18"/>
              </w:rPr>
            </w:pPr>
            <w:r w:rsidRPr="00AB0312">
              <w:rPr>
                <w:sz w:val="18"/>
                <w:szCs w:val="18"/>
              </w:rPr>
              <w:t>100%</w:t>
            </w:r>
          </w:p>
        </w:tc>
      </w:tr>
      <w:tr w:rsidR="00AF5AA6" w14:paraId="14551202" w14:textId="77777777">
        <w:tblPrEx>
          <w:tblLook w:val="01E0" w:firstRow="1" w:lastRow="1" w:firstColumn="1" w:lastColumn="1" w:noHBand="0" w:noVBand="0"/>
        </w:tblPrEx>
        <w:trPr>
          <w:trHeight w:val="50"/>
        </w:trPr>
        <w:tc>
          <w:tcPr>
            <w:tcW w:w="3780" w:type="dxa"/>
            <w:tcBorders>
              <w:top w:val="single" w:sz="12" w:space="0" w:color="auto"/>
            </w:tcBorders>
            <w:vAlign w:val="bottom"/>
          </w:tcPr>
          <w:p w14:paraId="7BCFEBCF" w14:textId="77777777" w:rsidR="00AF5AA6" w:rsidRPr="009A5578" w:rsidRDefault="00AF5AA6" w:rsidP="00AF5AA6">
            <w:pPr>
              <w:pStyle w:val="BodyText2"/>
              <w:jc w:val="left"/>
              <w:rPr>
                <w:rFonts w:cs="Arial"/>
                <w:color w:val="000000"/>
                <w:sz w:val="4"/>
                <w:szCs w:val="4"/>
              </w:rPr>
            </w:pPr>
          </w:p>
        </w:tc>
        <w:tc>
          <w:tcPr>
            <w:tcW w:w="270" w:type="dxa"/>
            <w:tcBorders>
              <w:top w:val="single" w:sz="12" w:space="0" w:color="auto"/>
            </w:tcBorders>
            <w:vAlign w:val="bottom"/>
          </w:tcPr>
          <w:p w14:paraId="72964FF2" w14:textId="77777777" w:rsidR="00AF5AA6" w:rsidRPr="009A5578" w:rsidRDefault="00AF5AA6" w:rsidP="00AF5AA6">
            <w:pPr>
              <w:pStyle w:val="BodyText2"/>
              <w:tabs>
                <w:tab w:val="decimal" w:pos="702"/>
              </w:tabs>
              <w:jc w:val="left"/>
              <w:rPr>
                <w:rFonts w:cs="Arial"/>
                <w:color w:val="000000"/>
                <w:sz w:val="4"/>
                <w:szCs w:val="4"/>
              </w:rPr>
            </w:pPr>
          </w:p>
        </w:tc>
        <w:tc>
          <w:tcPr>
            <w:tcW w:w="1350" w:type="dxa"/>
            <w:tcBorders>
              <w:top w:val="single" w:sz="12" w:space="0" w:color="auto"/>
            </w:tcBorders>
            <w:vAlign w:val="bottom"/>
          </w:tcPr>
          <w:p w14:paraId="0B85E3F0" w14:textId="77777777" w:rsidR="00AF5AA6" w:rsidRPr="009A5578" w:rsidRDefault="00AF5AA6" w:rsidP="00AF5AA6">
            <w:pPr>
              <w:pStyle w:val="BodyText2"/>
              <w:tabs>
                <w:tab w:val="decimal" w:pos="635"/>
              </w:tabs>
              <w:ind w:right="72"/>
              <w:jc w:val="left"/>
              <w:rPr>
                <w:rFonts w:cs="Arial"/>
                <w:color w:val="000000"/>
                <w:sz w:val="4"/>
                <w:szCs w:val="4"/>
              </w:rPr>
            </w:pPr>
          </w:p>
        </w:tc>
        <w:tc>
          <w:tcPr>
            <w:tcW w:w="1350" w:type="dxa"/>
            <w:tcBorders>
              <w:top w:val="single" w:sz="12" w:space="0" w:color="auto"/>
            </w:tcBorders>
            <w:vAlign w:val="bottom"/>
          </w:tcPr>
          <w:p w14:paraId="2A862CC1" w14:textId="77777777" w:rsidR="00AF5AA6" w:rsidRPr="009A5578" w:rsidRDefault="00AF5AA6" w:rsidP="00AF5AA6">
            <w:pPr>
              <w:pStyle w:val="BodyText2"/>
              <w:tabs>
                <w:tab w:val="decimal" w:pos="635"/>
              </w:tabs>
              <w:ind w:right="72"/>
              <w:jc w:val="left"/>
              <w:rPr>
                <w:rFonts w:cs="Arial"/>
                <w:color w:val="000000"/>
                <w:sz w:val="4"/>
                <w:szCs w:val="4"/>
              </w:rPr>
            </w:pPr>
          </w:p>
        </w:tc>
        <w:tc>
          <w:tcPr>
            <w:tcW w:w="1350" w:type="dxa"/>
            <w:tcBorders>
              <w:top w:val="single" w:sz="12" w:space="0" w:color="auto"/>
            </w:tcBorders>
            <w:vAlign w:val="bottom"/>
          </w:tcPr>
          <w:p w14:paraId="786FB549" w14:textId="77777777" w:rsidR="00AF5AA6" w:rsidRPr="009A5578" w:rsidRDefault="00AF5AA6" w:rsidP="00AF5AA6">
            <w:pPr>
              <w:pStyle w:val="BodyText2"/>
              <w:tabs>
                <w:tab w:val="decimal" w:pos="614"/>
              </w:tabs>
              <w:ind w:right="72"/>
              <w:jc w:val="left"/>
              <w:rPr>
                <w:rFonts w:cs="Arial"/>
                <w:color w:val="000000"/>
                <w:sz w:val="4"/>
                <w:szCs w:val="4"/>
              </w:rPr>
            </w:pPr>
          </w:p>
        </w:tc>
        <w:tc>
          <w:tcPr>
            <w:tcW w:w="1350" w:type="dxa"/>
            <w:tcBorders>
              <w:top w:val="single" w:sz="12" w:space="0" w:color="auto"/>
            </w:tcBorders>
            <w:vAlign w:val="bottom"/>
          </w:tcPr>
          <w:p w14:paraId="708AB52A" w14:textId="77777777" w:rsidR="00AF5AA6" w:rsidRPr="009A5578" w:rsidRDefault="00AF5AA6" w:rsidP="00AF5AA6">
            <w:pPr>
              <w:pStyle w:val="BodyText2"/>
              <w:tabs>
                <w:tab w:val="decimal" w:pos="614"/>
              </w:tabs>
              <w:ind w:right="72"/>
              <w:jc w:val="left"/>
              <w:rPr>
                <w:rFonts w:cs="Arial"/>
                <w:color w:val="000000"/>
                <w:sz w:val="4"/>
                <w:szCs w:val="4"/>
              </w:rPr>
            </w:pPr>
          </w:p>
        </w:tc>
      </w:tr>
    </w:tbl>
    <w:p w14:paraId="1EA0930C" w14:textId="77777777" w:rsidR="00E03B81" w:rsidRDefault="00E03B81" w:rsidP="00591EC8">
      <w:pPr>
        <w:rPr>
          <w:u w:val="single"/>
        </w:rPr>
      </w:pPr>
    </w:p>
    <w:p w14:paraId="7161CADF" w14:textId="77777777" w:rsidR="000E08C5" w:rsidRDefault="000E08C5">
      <w:pPr>
        <w:rPr>
          <w:u w:val="single"/>
        </w:rPr>
      </w:pPr>
      <w:r>
        <w:rPr>
          <w:u w:val="single"/>
        </w:rPr>
        <w:br w:type="page"/>
      </w:r>
    </w:p>
    <w:p w14:paraId="1135EF4E" w14:textId="739334E9" w:rsidR="00211DEF" w:rsidRPr="00BF2273" w:rsidRDefault="00211DEF" w:rsidP="00591EC8">
      <w:pPr>
        <w:rPr>
          <w:u w:val="single"/>
        </w:rPr>
      </w:pPr>
      <w:r>
        <w:rPr>
          <w:u w:val="single"/>
        </w:rPr>
        <w:lastRenderedPageBreak/>
        <w:t>Production Volumes</w:t>
      </w:r>
    </w:p>
    <w:p w14:paraId="46C38398" w14:textId="65837497" w:rsidR="00713AE8" w:rsidRDefault="00FF0F81" w:rsidP="00591EC8">
      <w:pPr>
        <w:widowControl w:val="0"/>
        <w:spacing w:before="120" w:after="120"/>
        <w:jc w:val="both"/>
      </w:pPr>
      <w:r w:rsidRPr="001D4ACC">
        <w:t xml:space="preserve">Average daily production volumes for </w:t>
      </w:r>
      <w:r w:rsidR="009A722F" w:rsidRPr="001D4ACC">
        <w:t>Q</w:t>
      </w:r>
      <w:r w:rsidR="00406F8C">
        <w:t>2</w:t>
      </w:r>
      <w:r w:rsidR="009A722F" w:rsidRPr="001D4ACC">
        <w:t xml:space="preserve"> </w:t>
      </w:r>
      <w:r w:rsidRPr="001D4ACC">
        <w:t>202</w:t>
      </w:r>
      <w:r w:rsidR="003641A4">
        <w:t>6</w:t>
      </w:r>
      <w:r w:rsidRPr="001D4ACC">
        <w:t xml:space="preserve"> </w:t>
      </w:r>
      <w:r w:rsidRPr="00492AC3">
        <w:t xml:space="preserve">were </w:t>
      </w:r>
      <w:r w:rsidR="00604C45">
        <w:t>8,531</w:t>
      </w:r>
      <w:r w:rsidR="006F588A" w:rsidRPr="00492AC3">
        <w:t xml:space="preserve"> </w:t>
      </w:r>
      <w:r w:rsidRPr="00492AC3">
        <w:t>BOE per</w:t>
      </w:r>
      <w:r w:rsidRPr="001D4ACC">
        <w:t xml:space="preserve"> day</w:t>
      </w:r>
      <w:r w:rsidR="00D172B2">
        <w:t>, which was</w:t>
      </w:r>
      <w:r w:rsidR="00DB54C1">
        <w:t xml:space="preserve"> comparable to </w:t>
      </w:r>
      <w:r w:rsidR="00406F8C">
        <w:t>8,672</w:t>
      </w:r>
      <w:r w:rsidR="00406F8C" w:rsidRPr="00492AC3">
        <w:t xml:space="preserve"> </w:t>
      </w:r>
      <w:r w:rsidRPr="001D4ACC">
        <w:t xml:space="preserve">BOE per day </w:t>
      </w:r>
      <w:r w:rsidR="000E08C5">
        <w:t xml:space="preserve">in Q1 2026 </w:t>
      </w:r>
      <w:r w:rsidR="00801275" w:rsidRPr="001D4ACC">
        <w:t xml:space="preserve">and </w:t>
      </w:r>
      <w:r w:rsidR="004D4EC1">
        <w:t>higher</w:t>
      </w:r>
      <w:r w:rsidR="00121483" w:rsidRPr="001D4ACC">
        <w:t xml:space="preserve"> than </w:t>
      </w:r>
      <w:r w:rsidR="003641A4" w:rsidRPr="00492AC3">
        <w:t>4,</w:t>
      </w:r>
      <w:r w:rsidR="00406F8C">
        <w:t>366</w:t>
      </w:r>
      <w:r w:rsidR="003641A4" w:rsidRPr="00492AC3">
        <w:t xml:space="preserve"> </w:t>
      </w:r>
      <w:r w:rsidR="000D4E3E" w:rsidRPr="001D4ACC">
        <w:t xml:space="preserve">BOE per day </w:t>
      </w:r>
      <w:r w:rsidR="00801275" w:rsidRPr="001D4ACC">
        <w:t>in Q</w:t>
      </w:r>
      <w:r w:rsidR="00406F8C">
        <w:t>2</w:t>
      </w:r>
      <w:r w:rsidR="00801275" w:rsidRPr="001D4ACC">
        <w:t xml:space="preserve"> 202</w:t>
      </w:r>
      <w:r w:rsidR="003641A4">
        <w:t>5</w:t>
      </w:r>
      <w:r w:rsidR="00801275" w:rsidRPr="001D4ACC">
        <w:t xml:space="preserve"> </w:t>
      </w:r>
      <w:r w:rsidRPr="001D4ACC">
        <w:t xml:space="preserve">mainly </w:t>
      </w:r>
      <w:r w:rsidRPr="00831335">
        <w:t xml:space="preserve">due </w:t>
      </w:r>
      <w:r w:rsidR="006F588A" w:rsidRPr="00831335">
        <w:t xml:space="preserve">to </w:t>
      </w:r>
      <w:r w:rsidR="00652107" w:rsidRPr="00831335">
        <w:t xml:space="preserve">oil </w:t>
      </w:r>
      <w:r w:rsidRPr="00831335">
        <w:t xml:space="preserve">production </w:t>
      </w:r>
      <w:r w:rsidR="0011417B" w:rsidRPr="00831335">
        <w:t xml:space="preserve">volumes </w:t>
      </w:r>
      <w:r w:rsidR="00831335">
        <w:t>from the</w:t>
      </w:r>
      <w:r w:rsidR="00652107" w:rsidRPr="00831335">
        <w:t xml:space="preserve"> </w:t>
      </w:r>
      <w:r w:rsidR="00911EF1">
        <w:t xml:space="preserve">Chubut </w:t>
      </w:r>
      <w:r w:rsidR="00652107" w:rsidRPr="00831335">
        <w:t>Concessions</w:t>
      </w:r>
      <w:r w:rsidR="00AF5B46" w:rsidRPr="00AF5B46">
        <w:t>.</w:t>
      </w:r>
      <w:r w:rsidR="00A22BA1">
        <w:t xml:space="preserve"> </w:t>
      </w:r>
    </w:p>
    <w:tbl>
      <w:tblPr>
        <w:tblW w:w="9450" w:type="dxa"/>
        <w:tblLayout w:type="fixed"/>
        <w:tblLook w:val="0400" w:firstRow="0" w:lastRow="0" w:firstColumn="0" w:lastColumn="0" w:noHBand="0" w:noVBand="1"/>
      </w:tblPr>
      <w:tblGrid>
        <w:gridCol w:w="3934"/>
        <w:gridCol w:w="283"/>
        <w:gridCol w:w="1357"/>
        <w:gridCol w:w="1354"/>
        <w:gridCol w:w="1261"/>
        <w:gridCol w:w="1261"/>
      </w:tblGrid>
      <w:tr w:rsidR="00E91EF5" w:rsidRPr="005E3DA0" w14:paraId="796A4905" w14:textId="77777777" w:rsidTr="005E3DA0">
        <w:tc>
          <w:tcPr>
            <w:tcW w:w="3934" w:type="dxa"/>
            <w:tcBorders>
              <w:top w:val="single" w:sz="12" w:space="0" w:color="000000"/>
            </w:tcBorders>
          </w:tcPr>
          <w:p w14:paraId="7C7502FA" w14:textId="77777777" w:rsidR="00E91EF5" w:rsidRPr="005E3DA0" w:rsidRDefault="00E91EF5" w:rsidP="00E91EF5">
            <w:pPr>
              <w:widowControl w:val="0"/>
              <w:pBdr>
                <w:top w:val="nil"/>
                <w:left w:val="nil"/>
                <w:bottom w:val="nil"/>
                <w:right w:val="nil"/>
                <w:between w:val="nil"/>
              </w:pBdr>
              <w:spacing w:before="60"/>
              <w:jc w:val="both"/>
              <w:rPr>
                <w:rFonts w:cs="Arial"/>
                <w:b/>
                <w:color w:val="000000"/>
                <w:sz w:val="16"/>
                <w:szCs w:val="16"/>
              </w:rPr>
            </w:pPr>
          </w:p>
        </w:tc>
        <w:tc>
          <w:tcPr>
            <w:tcW w:w="283" w:type="dxa"/>
            <w:tcBorders>
              <w:top w:val="single" w:sz="12" w:space="0" w:color="000000"/>
            </w:tcBorders>
            <w:vAlign w:val="bottom"/>
          </w:tcPr>
          <w:p w14:paraId="30003C43" w14:textId="77777777" w:rsidR="00E91EF5" w:rsidRPr="005E3DA0" w:rsidRDefault="00E91EF5" w:rsidP="00E91EF5">
            <w:pPr>
              <w:widowControl w:val="0"/>
              <w:pBdr>
                <w:top w:val="nil"/>
                <w:left w:val="nil"/>
                <w:bottom w:val="nil"/>
                <w:right w:val="nil"/>
                <w:between w:val="nil"/>
              </w:pBdr>
              <w:spacing w:before="60"/>
              <w:jc w:val="center"/>
              <w:rPr>
                <w:rFonts w:cs="Arial"/>
                <w:b/>
                <w:color w:val="000000"/>
                <w:sz w:val="16"/>
                <w:szCs w:val="16"/>
              </w:rPr>
            </w:pPr>
          </w:p>
        </w:tc>
        <w:tc>
          <w:tcPr>
            <w:tcW w:w="2711" w:type="dxa"/>
            <w:gridSpan w:val="2"/>
            <w:tcBorders>
              <w:top w:val="single" w:sz="12" w:space="0" w:color="000000"/>
            </w:tcBorders>
            <w:vAlign w:val="bottom"/>
          </w:tcPr>
          <w:p w14:paraId="1414B188" w14:textId="385FC051" w:rsidR="00E91EF5" w:rsidRPr="005E3DA0" w:rsidRDefault="00E91EF5" w:rsidP="00E91EF5">
            <w:pPr>
              <w:widowControl w:val="0"/>
              <w:pBdr>
                <w:top w:val="nil"/>
                <w:left w:val="nil"/>
                <w:bottom w:val="nil"/>
                <w:right w:val="nil"/>
                <w:between w:val="nil"/>
              </w:pBdr>
              <w:spacing w:before="60"/>
              <w:jc w:val="center"/>
              <w:rPr>
                <w:rFonts w:cs="Arial"/>
                <w:b/>
                <w:color w:val="000000"/>
                <w:sz w:val="16"/>
                <w:szCs w:val="16"/>
              </w:rPr>
            </w:pPr>
            <w:r>
              <w:rPr>
                <w:rFonts w:cs="Arial"/>
                <w:b/>
                <w:sz w:val="16"/>
                <w:szCs w:val="16"/>
              </w:rPr>
              <w:t>Three months ended</w:t>
            </w:r>
          </w:p>
        </w:tc>
        <w:tc>
          <w:tcPr>
            <w:tcW w:w="2522" w:type="dxa"/>
            <w:gridSpan w:val="2"/>
            <w:tcBorders>
              <w:top w:val="single" w:sz="12" w:space="0" w:color="000000"/>
            </w:tcBorders>
            <w:vAlign w:val="bottom"/>
          </w:tcPr>
          <w:p w14:paraId="78EB640D" w14:textId="5C1CB195" w:rsidR="00E91EF5" w:rsidRPr="005E3DA0" w:rsidRDefault="00E91EF5" w:rsidP="00E91EF5">
            <w:pPr>
              <w:widowControl w:val="0"/>
              <w:pBdr>
                <w:top w:val="nil"/>
                <w:left w:val="nil"/>
                <w:bottom w:val="nil"/>
                <w:right w:val="nil"/>
                <w:between w:val="nil"/>
              </w:pBdr>
              <w:spacing w:before="60"/>
              <w:jc w:val="center"/>
              <w:rPr>
                <w:rFonts w:cs="Arial"/>
                <w:b/>
                <w:color w:val="000000"/>
                <w:sz w:val="16"/>
                <w:szCs w:val="16"/>
              </w:rPr>
            </w:pPr>
            <w:r>
              <w:rPr>
                <w:rFonts w:cs="Arial"/>
                <w:b/>
                <w:sz w:val="16"/>
                <w:szCs w:val="16"/>
              </w:rPr>
              <w:t>Six months ended</w:t>
            </w:r>
          </w:p>
        </w:tc>
      </w:tr>
      <w:tr w:rsidR="00E91EF5" w:rsidRPr="005E3DA0" w14:paraId="164E8D43" w14:textId="77777777" w:rsidTr="001354A6">
        <w:tc>
          <w:tcPr>
            <w:tcW w:w="3934" w:type="dxa"/>
          </w:tcPr>
          <w:p w14:paraId="7D804038" w14:textId="77777777" w:rsidR="00E91EF5" w:rsidRPr="005E3DA0" w:rsidRDefault="00E91EF5" w:rsidP="00E91EF5">
            <w:pPr>
              <w:widowControl w:val="0"/>
              <w:pBdr>
                <w:top w:val="nil"/>
                <w:left w:val="nil"/>
                <w:bottom w:val="nil"/>
                <w:right w:val="nil"/>
                <w:between w:val="nil"/>
              </w:pBdr>
              <w:jc w:val="both"/>
              <w:rPr>
                <w:rFonts w:cs="Arial"/>
                <w:b/>
                <w:color w:val="000000"/>
                <w:sz w:val="16"/>
                <w:szCs w:val="16"/>
              </w:rPr>
            </w:pPr>
            <w:r w:rsidRPr="005E3DA0">
              <w:rPr>
                <w:rFonts w:cs="Arial"/>
                <w:b/>
                <w:color w:val="000000"/>
                <w:sz w:val="16"/>
                <w:szCs w:val="16"/>
              </w:rPr>
              <w:t>Production volumes</w:t>
            </w:r>
          </w:p>
        </w:tc>
        <w:tc>
          <w:tcPr>
            <w:tcW w:w="283" w:type="dxa"/>
            <w:vAlign w:val="bottom"/>
          </w:tcPr>
          <w:p w14:paraId="3C2CAAD7" w14:textId="77777777" w:rsidR="00E91EF5" w:rsidRPr="005E3DA0" w:rsidRDefault="00E91EF5" w:rsidP="00E91EF5">
            <w:pPr>
              <w:widowControl w:val="0"/>
              <w:pBdr>
                <w:top w:val="nil"/>
                <w:left w:val="nil"/>
                <w:bottom w:val="nil"/>
                <w:right w:val="nil"/>
                <w:between w:val="nil"/>
              </w:pBdr>
              <w:ind w:left="-108" w:right="-108"/>
              <w:jc w:val="center"/>
              <w:rPr>
                <w:rFonts w:cs="Arial"/>
                <w:b/>
                <w:color w:val="000000"/>
                <w:sz w:val="16"/>
                <w:szCs w:val="16"/>
              </w:rPr>
            </w:pPr>
          </w:p>
        </w:tc>
        <w:tc>
          <w:tcPr>
            <w:tcW w:w="2711" w:type="dxa"/>
            <w:gridSpan w:val="2"/>
            <w:vAlign w:val="bottom"/>
          </w:tcPr>
          <w:p w14:paraId="18A2D5BF" w14:textId="53D58083" w:rsidR="00E91EF5" w:rsidRPr="005E3DA0" w:rsidRDefault="00E91EF5" w:rsidP="00E91EF5">
            <w:pPr>
              <w:widowControl w:val="0"/>
              <w:pBdr>
                <w:top w:val="nil"/>
                <w:left w:val="nil"/>
                <w:bottom w:val="nil"/>
                <w:right w:val="nil"/>
                <w:between w:val="nil"/>
              </w:pBdr>
              <w:jc w:val="center"/>
              <w:rPr>
                <w:rFonts w:cs="Arial"/>
                <w:b/>
                <w:color w:val="000000"/>
                <w:sz w:val="16"/>
                <w:szCs w:val="16"/>
              </w:rPr>
            </w:pPr>
            <w:r>
              <w:rPr>
                <w:rFonts w:cs="Arial"/>
                <w:b/>
                <w:sz w:val="16"/>
                <w:szCs w:val="16"/>
              </w:rPr>
              <w:t>June 30</w:t>
            </w:r>
          </w:p>
        </w:tc>
        <w:tc>
          <w:tcPr>
            <w:tcW w:w="2522" w:type="dxa"/>
            <w:gridSpan w:val="2"/>
            <w:vAlign w:val="bottom"/>
          </w:tcPr>
          <w:p w14:paraId="39EEB97C" w14:textId="3B9DCD81" w:rsidR="00E91EF5" w:rsidRPr="005E3DA0" w:rsidRDefault="00E91EF5" w:rsidP="00E91EF5">
            <w:pPr>
              <w:widowControl w:val="0"/>
              <w:pBdr>
                <w:top w:val="nil"/>
                <w:left w:val="nil"/>
                <w:bottom w:val="nil"/>
                <w:right w:val="nil"/>
                <w:between w:val="nil"/>
              </w:pBdr>
              <w:jc w:val="center"/>
              <w:rPr>
                <w:rFonts w:cs="Arial"/>
                <w:b/>
                <w:color w:val="000000"/>
                <w:sz w:val="16"/>
                <w:szCs w:val="16"/>
              </w:rPr>
            </w:pPr>
            <w:r>
              <w:rPr>
                <w:rFonts w:cs="Arial"/>
                <w:b/>
                <w:sz w:val="16"/>
                <w:szCs w:val="16"/>
              </w:rPr>
              <w:t>June 30</w:t>
            </w:r>
          </w:p>
        </w:tc>
      </w:tr>
      <w:tr w:rsidR="00E91EF5" w:rsidRPr="005E3DA0" w14:paraId="32F8AD40" w14:textId="77777777" w:rsidTr="005E3DA0">
        <w:tc>
          <w:tcPr>
            <w:tcW w:w="3934" w:type="dxa"/>
            <w:tcBorders>
              <w:bottom w:val="single" w:sz="4" w:space="0" w:color="auto"/>
            </w:tcBorders>
          </w:tcPr>
          <w:p w14:paraId="5E8DF431" w14:textId="77777777" w:rsidR="00E91EF5" w:rsidRPr="005E3DA0" w:rsidRDefault="00E91EF5" w:rsidP="00E91EF5">
            <w:pPr>
              <w:widowControl w:val="0"/>
              <w:pBdr>
                <w:top w:val="nil"/>
                <w:left w:val="nil"/>
                <w:bottom w:val="nil"/>
                <w:right w:val="nil"/>
                <w:between w:val="nil"/>
              </w:pBdr>
              <w:jc w:val="both"/>
              <w:rPr>
                <w:rFonts w:cs="Arial"/>
                <w:color w:val="000000"/>
                <w:sz w:val="16"/>
                <w:szCs w:val="16"/>
              </w:rPr>
            </w:pPr>
          </w:p>
        </w:tc>
        <w:tc>
          <w:tcPr>
            <w:tcW w:w="283" w:type="dxa"/>
            <w:tcBorders>
              <w:bottom w:val="single" w:sz="4" w:space="0" w:color="auto"/>
            </w:tcBorders>
            <w:vAlign w:val="bottom"/>
          </w:tcPr>
          <w:p w14:paraId="06DDE621" w14:textId="77777777" w:rsidR="00E91EF5" w:rsidRPr="005E3DA0" w:rsidRDefault="00E91EF5" w:rsidP="00E91EF5">
            <w:pPr>
              <w:widowControl w:val="0"/>
              <w:pBdr>
                <w:top w:val="nil"/>
                <w:left w:val="nil"/>
                <w:bottom w:val="nil"/>
                <w:right w:val="nil"/>
                <w:between w:val="nil"/>
              </w:pBdr>
              <w:jc w:val="center"/>
              <w:rPr>
                <w:rFonts w:cs="Arial"/>
                <w:b/>
                <w:color w:val="000000"/>
                <w:sz w:val="16"/>
                <w:szCs w:val="16"/>
              </w:rPr>
            </w:pPr>
          </w:p>
        </w:tc>
        <w:tc>
          <w:tcPr>
            <w:tcW w:w="1357" w:type="dxa"/>
            <w:tcBorders>
              <w:bottom w:val="single" w:sz="4" w:space="0" w:color="auto"/>
            </w:tcBorders>
            <w:vAlign w:val="bottom"/>
          </w:tcPr>
          <w:p w14:paraId="09D229CD" w14:textId="2FE19173" w:rsidR="00E91EF5" w:rsidRPr="005E3DA0" w:rsidRDefault="00E91EF5" w:rsidP="00E91EF5">
            <w:pPr>
              <w:widowControl w:val="0"/>
              <w:pBdr>
                <w:top w:val="nil"/>
                <w:left w:val="nil"/>
                <w:bottom w:val="nil"/>
                <w:right w:val="nil"/>
                <w:between w:val="nil"/>
              </w:pBdr>
              <w:jc w:val="center"/>
              <w:rPr>
                <w:rFonts w:cs="Arial"/>
                <w:b/>
                <w:color w:val="000000"/>
                <w:sz w:val="16"/>
                <w:szCs w:val="16"/>
              </w:rPr>
            </w:pPr>
            <w:r>
              <w:rPr>
                <w:rFonts w:cs="Arial"/>
                <w:b/>
                <w:sz w:val="16"/>
                <w:szCs w:val="16"/>
              </w:rPr>
              <w:t>2026</w:t>
            </w:r>
          </w:p>
        </w:tc>
        <w:tc>
          <w:tcPr>
            <w:tcW w:w="1354" w:type="dxa"/>
            <w:tcBorders>
              <w:bottom w:val="single" w:sz="4" w:space="0" w:color="auto"/>
            </w:tcBorders>
            <w:vAlign w:val="bottom"/>
          </w:tcPr>
          <w:p w14:paraId="5E9A5E95" w14:textId="7B95BC78" w:rsidR="00E91EF5" w:rsidRPr="005E3DA0" w:rsidRDefault="00E91EF5" w:rsidP="00E91EF5">
            <w:pPr>
              <w:widowControl w:val="0"/>
              <w:pBdr>
                <w:top w:val="nil"/>
                <w:left w:val="nil"/>
                <w:bottom w:val="nil"/>
                <w:right w:val="nil"/>
                <w:between w:val="nil"/>
              </w:pBdr>
              <w:jc w:val="center"/>
              <w:rPr>
                <w:rFonts w:cs="Arial"/>
                <w:b/>
                <w:color w:val="000000"/>
                <w:sz w:val="16"/>
                <w:szCs w:val="16"/>
              </w:rPr>
            </w:pPr>
            <w:r>
              <w:rPr>
                <w:rFonts w:cs="Arial"/>
                <w:b/>
                <w:sz w:val="16"/>
                <w:szCs w:val="16"/>
              </w:rPr>
              <w:t>2025</w:t>
            </w:r>
          </w:p>
        </w:tc>
        <w:tc>
          <w:tcPr>
            <w:tcW w:w="1261" w:type="dxa"/>
            <w:tcBorders>
              <w:bottom w:val="single" w:sz="4" w:space="0" w:color="auto"/>
            </w:tcBorders>
            <w:vAlign w:val="bottom"/>
          </w:tcPr>
          <w:p w14:paraId="632B7469" w14:textId="666D15E4" w:rsidR="00E91EF5" w:rsidRPr="005E3DA0" w:rsidRDefault="00E91EF5" w:rsidP="00E91EF5">
            <w:pPr>
              <w:widowControl w:val="0"/>
              <w:pBdr>
                <w:top w:val="nil"/>
                <w:left w:val="nil"/>
                <w:bottom w:val="nil"/>
                <w:right w:val="nil"/>
                <w:between w:val="nil"/>
              </w:pBdr>
              <w:jc w:val="center"/>
              <w:rPr>
                <w:rFonts w:cs="Arial"/>
                <w:b/>
                <w:color w:val="000000"/>
                <w:sz w:val="16"/>
                <w:szCs w:val="16"/>
              </w:rPr>
            </w:pPr>
            <w:r>
              <w:rPr>
                <w:rFonts w:cs="Arial"/>
                <w:b/>
                <w:sz w:val="16"/>
                <w:szCs w:val="16"/>
              </w:rPr>
              <w:t>2026</w:t>
            </w:r>
          </w:p>
        </w:tc>
        <w:tc>
          <w:tcPr>
            <w:tcW w:w="1261" w:type="dxa"/>
            <w:tcBorders>
              <w:bottom w:val="single" w:sz="4" w:space="0" w:color="auto"/>
            </w:tcBorders>
            <w:vAlign w:val="bottom"/>
          </w:tcPr>
          <w:p w14:paraId="151DCAC5" w14:textId="1A20C76F" w:rsidR="00E91EF5" w:rsidRPr="005E3DA0" w:rsidRDefault="00E91EF5" w:rsidP="00E91EF5">
            <w:pPr>
              <w:widowControl w:val="0"/>
              <w:pBdr>
                <w:top w:val="nil"/>
                <w:left w:val="nil"/>
                <w:bottom w:val="nil"/>
                <w:right w:val="nil"/>
                <w:between w:val="nil"/>
              </w:pBdr>
              <w:jc w:val="center"/>
              <w:rPr>
                <w:rFonts w:cs="Arial"/>
                <w:b/>
                <w:color w:val="000000"/>
                <w:sz w:val="16"/>
                <w:szCs w:val="16"/>
              </w:rPr>
            </w:pPr>
            <w:r>
              <w:rPr>
                <w:rFonts w:cs="Arial"/>
                <w:b/>
                <w:sz w:val="16"/>
                <w:szCs w:val="16"/>
              </w:rPr>
              <w:t>2025</w:t>
            </w:r>
          </w:p>
        </w:tc>
      </w:tr>
      <w:tr w:rsidR="00AF5AA6" w:rsidRPr="005E3DA0" w14:paraId="5C60D5B5" w14:textId="77777777" w:rsidTr="00AF5AA6">
        <w:tc>
          <w:tcPr>
            <w:tcW w:w="3934" w:type="dxa"/>
            <w:tcBorders>
              <w:top w:val="single" w:sz="4" w:space="0" w:color="auto"/>
            </w:tcBorders>
            <w:vAlign w:val="bottom"/>
          </w:tcPr>
          <w:p w14:paraId="136A40AE" w14:textId="1B6E67CB" w:rsidR="00AF5AA6" w:rsidRPr="00A22BA1" w:rsidRDefault="00AF5AA6" w:rsidP="00AF5AA6">
            <w:pPr>
              <w:widowControl w:val="0"/>
              <w:pBdr>
                <w:top w:val="nil"/>
                <w:left w:val="nil"/>
                <w:bottom w:val="nil"/>
                <w:right w:val="nil"/>
                <w:between w:val="nil"/>
              </w:pBdr>
              <w:spacing w:before="60"/>
              <w:rPr>
                <w:rFonts w:cs="Arial"/>
                <w:color w:val="000000"/>
                <w:sz w:val="18"/>
                <w:szCs w:val="18"/>
                <w:highlight w:val="yellow"/>
              </w:rPr>
            </w:pPr>
            <w:r>
              <w:rPr>
                <w:rFonts w:cs="Arial"/>
                <w:color w:val="000000"/>
                <w:sz w:val="18"/>
                <w:szCs w:val="18"/>
              </w:rPr>
              <w:t>Crude o</w:t>
            </w:r>
            <w:r w:rsidRPr="005F288F">
              <w:rPr>
                <w:rFonts w:cs="Arial"/>
                <w:color w:val="000000"/>
                <w:sz w:val="18"/>
                <w:szCs w:val="18"/>
              </w:rPr>
              <w:t>il (</w:t>
            </w:r>
            <w:proofErr w:type="spellStart"/>
            <w:r w:rsidRPr="005F288F">
              <w:rPr>
                <w:rFonts w:cs="Arial"/>
                <w:color w:val="000000"/>
                <w:sz w:val="18"/>
                <w:szCs w:val="18"/>
              </w:rPr>
              <w:t>bbls</w:t>
            </w:r>
            <w:proofErr w:type="spellEnd"/>
            <w:r w:rsidRPr="005F288F">
              <w:rPr>
                <w:rFonts w:cs="Arial"/>
                <w:color w:val="000000"/>
                <w:sz w:val="18"/>
                <w:szCs w:val="18"/>
              </w:rPr>
              <w:t>)</w:t>
            </w:r>
          </w:p>
        </w:tc>
        <w:tc>
          <w:tcPr>
            <w:tcW w:w="283" w:type="dxa"/>
            <w:tcBorders>
              <w:top w:val="single" w:sz="4" w:space="0" w:color="auto"/>
            </w:tcBorders>
            <w:vAlign w:val="bottom"/>
          </w:tcPr>
          <w:p w14:paraId="6E40130C" w14:textId="77777777" w:rsidR="00AF5AA6" w:rsidRPr="005E3DA0" w:rsidRDefault="00AF5AA6" w:rsidP="00AF5AA6">
            <w:pPr>
              <w:widowControl w:val="0"/>
              <w:pBdr>
                <w:top w:val="nil"/>
                <w:left w:val="nil"/>
                <w:bottom w:val="nil"/>
                <w:right w:val="nil"/>
                <w:between w:val="nil"/>
              </w:pBdr>
              <w:spacing w:before="60"/>
              <w:rPr>
                <w:rFonts w:cs="Arial"/>
                <w:color w:val="000000"/>
                <w:sz w:val="18"/>
                <w:szCs w:val="18"/>
              </w:rPr>
            </w:pPr>
          </w:p>
        </w:tc>
        <w:tc>
          <w:tcPr>
            <w:tcW w:w="1357" w:type="dxa"/>
            <w:tcBorders>
              <w:top w:val="single" w:sz="4" w:space="0" w:color="auto"/>
            </w:tcBorders>
            <w:vAlign w:val="bottom"/>
          </w:tcPr>
          <w:p w14:paraId="2B27AA46" w14:textId="61A264E4" w:rsidR="00AF5AA6" w:rsidRPr="005E3DA0" w:rsidRDefault="00A542C1" w:rsidP="00AF5AA6">
            <w:pPr>
              <w:pBdr>
                <w:top w:val="nil"/>
                <w:left w:val="nil"/>
                <w:bottom w:val="nil"/>
                <w:right w:val="nil"/>
                <w:between w:val="nil"/>
              </w:pBdr>
              <w:tabs>
                <w:tab w:val="decimal" w:pos="1065"/>
              </w:tabs>
              <w:spacing w:before="60"/>
              <w:ind w:right="-105"/>
              <w:rPr>
                <w:rFonts w:cs="Arial"/>
                <w:color w:val="000000"/>
                <w:sz w:val="18"/>
                <w:szCs w:val="18"/>
              </w:rPr>
            </w:pPr>
            <w:r>
              <w:rPr>
                <w:rFonts w:cs="Arial"/>
                <w:color w:val="000000"/>
                <w:sz w:val="18"/>
                <w:szCs w:val="18"/>
              </w:rPr>
              <w:t>673,021</w:t>
            </w:r>
          </w:p>
        </w:tc>
        <w:tc>
          <w:tcPr>
            <w:tcW w:w="1354" w:type="dxa"/>
            <w:tcBorders>
              <w:top w:val="single" w:sz="4" w:space="0" w:color="auto"/>
            </w:tcBorders>
            <w:vAlign w:val="bottom"/>
          </w:tcPr>
          <w:p w14:paraId="2BBBFD19" w14:textId="513C497D" w:rsidR="00AF5AA6" w:rsidRPr="005E3DA0" w:rsidRDefault="00AF5AA6" w:rsidP="00AF5AA6">
            <w:pPr>
              <w:pBdr>
                <w:top w:val="nil"/>
                <w:left w:val="nil"/>
                <w:bottom w:val="nil"/>
                <w:right w:val="nil"/>
                <w:between w:val="nil"/>
              </w:pBdr>
              <w:tabs>
                <w:tab w:val="decimal" w:pos="1065"/>
              </w:tabs>
              <w:spacing w:before="60"/>
              <w:ind w:right="-105"/>
              <w:rPr>
                <w:rFonts w:cs="Arial"/>
                <w:color w:val="000000"/>
                <w:sz w:val="18"/>
                <w:szCs w:val="18"/>
              </w:rPr>
            </w:pPr>
            <w:r w:rsidRPr="009C07A7">
              <w:rPr>
                <w:sz w:val="18"/>
                <w:szCs w:val="18"/>
              </w:rPr>
              <w:t>338,421</w:t>
            </w:r>
          </w:p>
        </w:tc>
        <w:tc>
          <w:tcPr>
            <w:tcW w:w="1261" w:type="dxa"/>
            <w:tcBorders>
              <w:top w:val="single" w:sz="4" w:space="0" w:color="auto"/>
            </w:tcBorders>
            <w:vAlign w:val="bottom"/>
          </w:tcPr>
          <w:p w14:paraId="65E96E5D" w14:textId="68ACFD19" w:rsidR="00AF5AA6" w:rsidRPr="00195F59" w:rsidRDefault="00A542C1" w:rsidP="00AF5AA6">
            <w:pPr>
              <w:pBdr>
                <w:top w:val="nil"/>
                <w:left w:val="nil"/>
                <w:bottom w:val="nil"/>
                <w:right w:val="nil"/>
                <w:between w:val="nil"/>
              </w:pBdr>
              <w:tabs>
                <w:tab w:val="decimal" w:pos="1065"/>
              </w:tabs>
              <w:spacing w:before="60"/>
              <w:ind w:right="-105"/>
              <w:rPr>
                <w:rFonts w:cs="Arial"/>
                <w:color w:val="000000"/>
                <w:sz w:val="18"/>
                <w:szCs w:val="18"/>
              </w:rPr>
            </w:pPr>
            <w:r>
              <w:rPr>
                <w:rFonts w:cs="Arial"/>
                <w:color w:val="000000"/>
                <w:sz w:val="18"/>
                <w:szCs w:val="18"/>
              </w:rPr>
              <w:t>1,344,000</w:t>
            </w:r>
          </w:p>
        </w:tc>
        <w:tc>
          <w:tcPr>
            <w:tcW w:w="1261" w:type="dxa"/>
            <w:tcBorders>
              <w:top w:val="single" w:sz="4" w:space="0" w:color="auto"/>
            </w:tcBorders>
            <w:vAlign w:val="bottom"/>
          </w:tcPr>
          <w:p w14:paraId="473BCE29" w14:textId="6E42B116" w:rsidR="00AF5AA6" w:rsidRPr="00492AC3" w:rsidRDefault="00AF5AA6" w:rsidP="00AF5AA6">
            <w:pPr>
              <w:pBdr>
                <w:top w:val="nil"/>
                <w:left w:val="nil"/>
                <w:bottom w:val="nil"/>
                <w:right w:val="nil"/>
                <w:between w:val="nil"/>
              </w:pBdr>
              <w:tabs>
                <w:tab w:val="decimal" w:pos="975"/>
              </w:tabs>
              <w:spacing w:before="60"/>
              <w:ind w:right="-105"/>
              <w:rPr>
                <w:rFonts w:cs="Arial"/>
                <w:color w:val="000000"/>
                <w:sz w:val="18"/>
                <w:szCs w:val="18"/>
              </w:rPr>
            </w:pPr>
            <w:r w:rsidRPr="009C07A7">
              <w:rPr>
                <w:sz w:val="18"/>
                <w:szCs w:val="18"/>
              </w:rPr>
              <w:t>686,377</w:t>
            </w:r>
          </w:p>
        </w:tc>
      </w:tr>
      <w:tr w:rsidR="00AF5AA6" w:rsidRPr="005E3DA0" w14:paraId="59884CF3" w14:textId="77777777" w:rsidTr="00AF5AA6">
        <w:tc>
          <w:tcPr>
            <w:tcW w:w="3934" w:type="dxa"/>
            <w:vAlign w:val="bottom"/>
          </w:tcPr>
          <w:p w14:paraId="60C3574D" w14:textId="5A2929C6" w:rsidR="00AF5AA6" w:rsidRPr="005E3DA0" w:rsidRDefault="00AF5AA6" w:rsidP="00AF5AA6">
            <w:pPr>
              <w:widowControl w:val="0"/>
              <w:pBdr>
                <w:top w:val="nil"/>
                <w:left w:val="nil"/>
                <w:bottom w:val="nil"/>
                <w:right w:val="nil"/>
                <w:between w:val="nil"/>
              </w:pBdr>
              <w:rPr>
                <w:rFonts w:cs="Arial"/>
                <w:color w:val="000000"/>
                <w:sz w:val="18"/>
                <w:szCs w:val="18"/>
              </w:rPr>
            </w:pPr>
            <w:r w:rsidRPr="005E3DA0">
              <w:rPr>
                <w:rFonts w:cs="Arial"/>
                <w:color w:val="000000"/>
                <w:sz w:val="18"/>
                <w:szCs w:val="18"/>
              </w:rPr>
              <w:t>NGL (</w:t>
            </w:r>
            <w:proofErr w:type="spellStart"/>
            <w:r w:rsidRPr="005E3DA0">
              <w:rPr>
                <w:rFonts w:cs="Arial"/>
                <w:color w:val="000000"/>
                <w:sz w:val="18"/>
                <w:szCs w:val="18"/>
              </w:rPr>
              <w:t>bbls</w:t>
            </w:r>
            <w:proofErr w:type="spellEnd"/>
            <w:r w:rsidRPr="005E3DA0">
              <w:rPr>
                <w:rFonts w:cs="Arial"/>
                <w:color w:val="000000"/>
                <w:sz w:val="18"/>
                <w:szCs w:val="18"/>
              </w:rPr>
              <w:t>)</w:t>
            </w:r>
          </w:p>
        </w:tc>
        <w:tc>
          <w:tcPr>
            <w:tcW w:w="283" w:type="dxa"/>
            <w:vAlign w:val="bottom"/>
          </w:tcPr>
          <w:p w14:paraId="40F90508" w14:textId="77777777" w:rsidR="00AF5AA6" w:rsidRPr="005E3DA0" w:rsidRDefault="00AF5AA6" w:rsidP="00AF5AA6">
            <w:pPr>
              <w:widowControl w:val="0"/>
              <w:pBdr>
                <w:top w:val="nil"/>
                <w:left w:val="nil"/>
                <w:bottom w:val="nil"/>
                <w:right w:val="nil"/>
                <w:between w:val="nil"/>
              </w:pBdr>
              <w:rPr>
                <w:rFonts w:cs="Arial"/>
                <w:color w:val="000000"/>
                <w:sz w:val="18"/>
                <w:szCs w:val="18"/>
              </w:rPr>
            </w:pPr>
          </w:p>
        </w:tc>
        <w:tc>
          <w:tcPr>
            <w:tcW w:w="1357" w:type="dxa"/>
            <w:vAlign w:val="bottom"/>
          </w:tcPr>
          <w:p w14:paraId="2C42D880" w14:textId="65469936" w:rsidR="00AF5AA6" w:rsidRPr="005E3DA0" w:rsidRDefault="00A542C1" w:rsidP="00AF5AA6">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288</w:t>
            </w:r>
          </w:p>
        </w:tc>
        <w:tc>
          <w:tcPr>
            <w:tcW w:w="1354" w:type="dxa"/>
            <w:vAlign w:val="bottom"/>
          </w:tcPr>
          <w:p w14:paraId="1B78831D" w14:textId="10DC269E" w:rsidR="00AF5AA6" w:rsidRPr="005E3DA0" w:rsidRDefault="00AF5AA6" w:rsidP="00AF5AA6">
            <w:pPr>
              <w:pBdr>
                <w:top w:val="nil"/>
                <w:left w:val="nil"/>
                <w:bottom w:val="nil"/>
                <w:right w:val="nil"/>
                <w:between w:val="nil"/>
              </w:pBdr>
              <w:tabs>
                <w:tab w:val="decimal" w:pos="1065"/>
              </w:tabs>
              <w:ind w:right="-105"/>
              <w:rPr>
                <w:rFonts w:cs="Arial"/>
                <w:color w:val="000000"/>
                <w:sz w:val="18"/>
                <w:szCs w:val="18"/>
              </w:rPr>
            </w:pPr>
            <w:r w:rsidRPr="009C07A7">
              <w:rPr>
                <w:sz w:val="18"/>
                <w:szCs w:val="18"/>
              </w:rPr>
              <w:t>1,798</w:t>
            </w:r>
          </w:p>
        </w:tc>
        <w:tc>
          <w:tcPr>
            <w:tcW w:w="1261" w:type="dxa"/>
            <w:vAlign w:val="bottom"/>
          </w:tcPr>
          <w:p w14:paraId="794AB67D" w14:textId="38646DFF" w:rsidR="00AF5AA6" w:rsidRPr="00195F59" w:rsidRDefault="00A542C1" w:rsidP="00AF5AA6">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640</w:t>
            </w:r>
          </w:p>
        </w:tc>
        <w:tc>
          <w:tcPr>
            <w:tcW w:w="1261" w:type="dxa"/>
            <w:vAlign w:val="bottom"/>
          </w:tcPr>
          <w:p w14:paraId="4247DA23" w14:textId="3788D966" w:rsidR="00AF5AA6" w:rsidRPr="00492AC3" w:rsidRDefault="00AF5AA6" w:rsidP="00AF5AA6">
            <w:pPr>
              <w:pBdr>
                <w:top w:val="nil"/>
                <w:left w:val="nil"/>
                <w:bottom w:val="nil"/>
                <w:right w:val="nil"/>
                <w:between w:val="nil"/>
              </w:pBdr>
              <w:tabs>
                <w:tab w:val="decimal" w:pos="975"/>
              </w:tabs>
              <w:ind w:right="-105"/>
              <w:rPr>
                <w:rFonts w:cs="Arial"/>
                <w:color w:val="000000"/>
                <w:sz w:val="18"/>
                <w:szCs w:val="18"/>
              </w:rPr>
            </w:pPr>
            <w:r w:rsidRPr="009C07A7">
              <w:rPr>
                <w:sz w:val="18"/>
                <w:szCs w:val="18"/>
              </w:rPr>
              <w:t>2,469</w:t>
            </w:r>
          </w:p>
        </w:tc>
      </w:tr>
      <w:tr w:rsidR="00AF5AA6" w:rsidRPr="005E3DA0" w14:paraId="19564CB4" w14:textId="77777777" w:rsidTr="00AF5AA6">
        <w:tc>
          <w:tcPr>
            <w:tcW w:w="3934" w:type="dxa"/>
            <w:tcBorders>
              <w:bottom w:val="single" w:sz="4" w:space="0" w:color="000000"/>
            </w:tcBorders>
            <w:vAlign w:val="bottom"/>
          </w:tcPr>
          <w:p w14:paraId="09F3604B" w14:textId="77777777" w:rsidR="00AF5AA6" w:rsidRPr="005E3DA0" w:rsidRDefault="00AF5AA6" w:rsidP="00AF5AA6">
            <w:pPr>
              <w:widowControl w:val="0"/>
              <w:pBdr>
                <w:top w:val="nil"/>
                <w:left w:val="nil"/>
                <w:bottom w:val="nil"/>
                <w:right w:val="nil"/>
                <w:between w:val="nil"/>
              </w:pBdr>
              <w:rPr>
                <w:rFonts w:cs="Arial"/>
                <w:color w:val="000000"/>
                <w:sz w:val="18"/>
                <w:szCs w:val="18"/>
              </w:rPr>
            </w:pPr>
            <w:r w:rsidRPr="005E3DA0">
              <w:rPr>
                <w:rFonts w:cs="Arial"/>
                <w:color w:val="000000"/>
                <w:sz w:val="18"/>
                <w:szCs w:val="18"/>
              </w:rPr>
              <w:t>Natural gas (mcf)</w:t>
            </w:r>
          </w:p>
        </w:tc>
        <w:tc>
          <w:tcPr>
            <w:tcW w:w="283" w:type="dxa"/>
            <w:tcBorders>
              <w:bottom w:val="single" w:sz="4" w:space="0" w:color="000000"/>
            </w:tcBorders>
            <w:vAlign w:val="bottom"/>
          </w:tcPr>
          <w:p w14:paraId="58C1C110" w14:textId="77777777" w:rsidR="00AF5AA6" w:rsidRPr="005E3DA0" w:rsidRDefault="00AF5AA6" w:rsidP="00AF5AA6">
            <w:pPr>
              <w:widowControl w:val="0"/>
              <w:pBdr>
                <w:top w:val="nil"/>
                <w:left w:val="nil"/>
                <w:bottom w:val="nil"/>
                <w:right w:val="nil"/>
                <w:between w:val="nil"/>
              </w:pBdr>
              <w:rPr>
                <w:rFonts w:cs="Arial"/>
                <w:color w:val="000000"/>
                <w:sz w:val="18"/>
                <w:szCs w:val="18"/>
              </w:rPr>
            </w:pPr>
          </w:p>
        </w:tc>
        <w:tc>
          <w:tcPr>
            <w:tcW w:w="1357" w:type="dxa"/>
            <w:tcBorders>
              <w:bottom w:val="single" w:sz="4" w:space="0" w:color="000000"/>
            </w:tcBorders>
            <w:vAlign w:val="bottom"/>
          </w:tcPr>
          <w:p w14:paraId="1C1855E9" w14:textId="2536773D" w:rsidR="00AF5AA6" w:rsidRPr="005E3DA0" w:rsidRDefault="00A542C1" w:rsidP="00AF5AA6">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617,993</w:t>
            </w:r>
          </w:p>
        </w:tc>
        <w:tc>
          <w:tcPr>
            <w:tcW w:w="1354" w:type="dxa"/>
            <w:tcBorders>
              <w:bottom w:val="single" w:sz="4" w:space="0" w:color="000000"/>
            </w:tcBorders>
            <w:vAlign w:val="bottom"/>
          </w:tcPr>
          <w:p w14:paraId="6CA48FFA" w14:textId="68C22595" w:rsidR="00AF5AA6" w:rsidRPr="005E3DA0" w:rsidRDefault="00AF5AA6" w:rsidP="00AF5AA6">
            <w:pPr>
              <w:pBdr>
                <w:top w:val="nil"/>
                <w:left w:val="nil"/>
                <w:bottom w:val="nil"/>
                <w:right w:val="nil"/>
                <w:between w:val="nil"/>
              </w:pBdr>
              <w:tabs>
                <w:tab w:val="decimal" w:pos="1065"/>
              </w:tabs>
              <w:ind w:right="-105"/>
              <w:rPr>
                <w:rFonts w:cs="Arial"/>
                <w:color w:val="000000"/>
                <w:sz w:val="18"/>
                <w:szCs w:val="18"/>
              </w:rPr>
            </w:pPr>
            <w:r w:rsidRPr="009C07A7">
              <w:rPr>
                <w:sz w:val="18"/>
                <w:szCs w:val="18"/>
              </w:rPr>
              <w:t>342,224</w:t>
            </w:r>
          </w:p>
        </w:tc>
        <w:tc>
          <w:tcPr>
            <w:tcW w:w="1261" w:type="dxa"/>
            <w:tcBorders>
              <w:bottom w:val="single" w:sz="4" w:space="0" w:color="000000"/>
            </w:tcBorders>
            <w:vAlign w:val="bottom"/>
          </w:tcPr>
          <w:p w14:paraId="00345CD7" w14:textId="0E93357E" w:rsidR="00AF5AA6" w:rsidRPr="00195F59" w:rsidRDefault="00A542C1" w:rsidP="00AF5AA6">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1,272,527</w:t>
            </w:r>
          </w:p>
        </w:tc>
        <w:tc>
          <w:tcPr>
            <w:tcW w:w="1261" w:type="dxa"/>
            <w:tcBorders>
              <w:bottom w:val="single" w:sz="4" w:space="0" w:color="000000"/>
            </w:tcBorders>
            <w:vAlign w:val="bottom"/>
          </w:tcPr>
          <w:p w14:paraId="73DA50AF" w14:textId="2B7F7957" w:rsidR="00AF5AA6" w:rsidRPr="00492AC3" w:rsidRDefault="00AF5AA6" w:rsidP="00AF5AA6">
            <w:pPr>
              <w:pBdr>
                <w:top w:val="nil"/>
                <w:left w:val="nil"/>
                <w:bottom w:val="nil"/>
                <w:right w:val="nil"/>
                <w:between w:val="nil"/>
              </w:pBdr>
              <w:tabs>
                <w:tab w:val="decimal" w:pos="975"/>
              </w:tabs>
              <w:ind w:right="-105"/>
              <w:rPr>
                <w:rFonts w:cs="Arial"/>
                <w:color w:val="000000"/>
                <w:sz w:val="18"/>
                <w:szCs w:val="18"/>
              </w:rPr>
            </w:pPr>
            <w:r w:rsidRPr="009C07A7">
              <w:rPr>
                <w:sz w:val="18"/>
                <w:szCs w:val="18"/>
              </w:rPr>
              <w:t>702,622</w:t>
            </w:r>
          </w:p>
        </w:tc>
      </w:tr>
      <w:tr w:rsidR="00AF5AA6" w:rsidRPr="005E3DA0" w14:paraId="103C1964" w14:textId="77777777" w:rsidTr="00AF5AA6">
        <w:tc>
          <w:tcPr>
            <w:tcW w:w="3934" w:type="dxa"/>
            <w:tcBorders>
              <w:top w:val="single" w:sz="4" w:space="0" w:color="000000"/>
              <w:bottom w:val="single" w:sz="4" w:space="0" w:color="auto"/>
            </w:tcBorders>
            <w:vAlign w:val="center"/>
          </w:tcPr>
          <w:p w14:paraId="1EC9524F" w14:textId="77777777" w:rsidR="00AF5AA6" w:rsidRPr="005E3DA0" w:rsidRDefault="00AF5AA6" w:rsidP="00AF5AA6">
            <w:pPr>
              <w:widowControl w:val="0"/>
              <w:pBdr>
                <w:top w:val="nil"/>
                <w:left w:val="nil"/>
                <w:bottom w:val="nil"/>
                <w:right w:val="nil"/>
                <w:between w:val="nil"/>
              </w:pBdr>
              <w:spacing w:before="60" w:after="60"/>
              <w:rPr>
                <w:rFonts w:cs="Arial"/>
                <w:color w:val="000000"/>
                <w:sz w:val="18"/>
                <w:szCs w:val="18"/>
              </w:rPr>
            </w:pPr>
            <w:r w:rsidRPr="005E3DA0">
              <w:rPr>
                <w:rFonts w:cs="Arial"/>
                <w:color w:val="000000"/>
                <w:sz w:val="18"/>
                <w:szCs w:val="18"/>
              </w:rPr>
              <w:t>Total BOE</w:t>
            </w:r>
          </w:p>
        </w:tc>
        <w:tc>
          <w:tcPr>
            <w:tcW w:w="283" w:type="dxa"/>
            <w:tcBorders>
              <w:top w:val="single" w:sz="4" w:space="0" w:color="000000"/>
              <w:bottom w:val="single" w:sz="4" w:space="0" w:color="auto"/>
            </w:tcBorders>
            <w:vAlign w:val="center"/>
          </w:tcPr>
          <w:p w14:paraId="2C676E07" w14:textId="77777777" w:rsidR="00AF5AA6" w:rsidRPr="005E3DA0" w:rsidRDefault="00AF5AA6" w:rsidP="00AF5AA6">
            <w:pPr>
              <w:widowControl w:val="0"/>
              <w:pBdr>
                <w:top w:val="nil"/>
                <w:left w:val="nil"/>
                <w:bottom w:val="nil"/>
                <w:right w:val="nil"/>
                <w:between w:val="nil"/>
              </w:pBdr>
              <w:spacing w:before="60" w:after="60"/>
              <w:rPr>
                <w:rFonts w:cs="Arial"/>
                <w:color w:val="000000"/>
                <w:sz w:val="18"/>
                <w:szCs w:val="18"/>
              </w:rPr>
            </w:pPr>
          </w:p>
        </w:tc>
        <w:tc>
          <w:tcPr>
            <w:tcW w:w="1357" w:type="dxa"/>
            <w:tcBorders>
              <w:top w:val="single" w:sz="4" w:space="0" w:color="000000"/>
              <w:bottom w:val="single" w:sz="4" w:space="0" w:color="auto"/>
            </w:tcBorders>
            <w:vAlign w:val="center"/>
          </w:tcPr>
          <w:p w14:paraId="16F4C768" w14:textId="7259C9A5" w:rsidR="00AF5AA6" w:rsidRPr="005E3DA0" w:rsidRDefault="00A542C1" w:rsidP="00AF5AA6">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776,308</w:t>
            </w:r>
          </w:p>
        </w:tc>
        <w:tc>
          <w:tcPr>
            <w:tcW w:w="1354" w:type="dxa"/>
            <w:tcBorders>
              <w:top w:val="single" w:sz="4" w:space="0" w:color="000000"/>
              <w:bottom w:val="single" w:sz="4" w:space="0" w:color="auto"/>
            </w:tcBorders>
            <w:vAlign w:val="center"/>
          </w:tcPr>
          <w:p w14:paraId="4792917C" w14:textId="7B28A914" w:rsidR="00AF5AA6" w:rsidRPr="005E3DA0" w:rsidRDefault="00AF5AA6" w:rsidP="00AF5AA6">
            <w:pPr>
              <w:pBdr>
                <w:top w:val="nil"/>
                <w:left w:val="nil"/>
                <w:bottom w:val="nil"/>
                <w:right w:val="nil"/>
                <w:between w:val="nil"/>
              </w:pBdr>
              <w:tabs>
                <w:tab w:val="decimal" w:pos="1065"/>
              </w:tabs>
              <w:ind w:right="-105"/>
              <w:rPr>
                <w:rFonts w:cs="Arial"/>
                <w:color w:val="000000"/>
                <w:sz w:val="18"/>
                <w:szCs w:val="18"/>
              </w:rPr>
            </w:pPr>
            <w:r w:rsidRPr="009C07A7">
              <w:rPr>
                <w:sz w:val="18"/>
                <w:szCs w:val="18"/>
              </w:rPr>
              <w:t>397,256</w:t>
            </w:r>
          </w:p>
        </w:tc>
        <w:tc>
          <w:tcPr>
            <w:tcW w:w="1261" w:type="dxa"/>
            <w:tcBorders>
              <w:top w:val="single" w:sz="4" w:space="0" w:color="000000"/>
              <w:bottom w:val="single" w:sz="4" w:space="0" w:color="auto"/>
            </w:tcBorders>
            <w:vAlign w:val="center"/>
          </w:tcPr>
          <w:p w14:paraId="5CE41E6F" w14:textId="64C13279" w:rsidR="00AF5AA6" w:rsidRPr="00195F59" w:rsidRDefault="00A542C1" w:rsidP="00AF5AA6">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1,556,727</w:t>
            </w:r>
          </w:p>
        </w:tc>
        <w:tc>
          <w:tcPr>
            <w:tcW w:w="1261" w:type="dxa"/>
            <w:tcBorders>
              <w:top w:val="single" w:sz="4" w:space="0" w:color="000000"/>
              <w:bottom w:val="single" w:sz="4" w:space="0" w:color="auto"/>
            </w:tcBorders>
            <w:vAlign w:val="center"/>
          </w:tcPr>
          <w:p w14:paraId="367060BE" w14:textId="5132F22B" w:rsidR="00AF5AA6" w:rsidRPr="00492AC3" w:rsidRDefault="00AF5AA6" w:rsidP="00AF5AA6">
            <w:pPr>
              <w:pBdr>
                <w:top w:val="nil"/>
                <w:left w:val="nil"/>
                <w:bottom w:val="nil"/>
                <w:right w:val="nil"/>
                <w:between w:val="nil"/>
              </w:pBdr>
              <w:tabs>
                <w:tab w:val="decimal" w:pos="975"/>
              </w:tabs>
              <w:ind w:right="-105"/>
              <w:rPr>
                <w:rFonts w:cs="Arial"/>
                <w:color w:val="000000"/>
                <w:sz w:val="18"/>
                <w:szCs w:val="18"/>
              </w:rPr>
            </w:pPr>
            <w:r w:rsidRPr="009C07A7">
              <w:rPr>
                <w:sz w:val="18"/>
                <w:szCs w:val="18"/>
              </w:rPr>
              <w:t>805,950</w:t>
            </w:r>
          </w:p>
        </w:tc>
      </w:tr>
      <w:tr w:rsidR="00AF5AA6" w:rsidRPr="005E3DA0" w14:paraId="62F0D7FA" w14:textId="77777777" w:rsidTr="00AF5AA6">
        <w:tc>
          <w:tcPr>
            <w:tcW w:w="3934" w:type="dxa"/>
            <w:vAlign w:val="bottom"/>
          </w:tcPr>
          <w:p w14:paraId="4DAB490F" w14:textId="6E44696F" w:rsidR="00AF5AA6" w:rsidRPr="005E3DA0" w:rsidRDefault="00AF5AA6" w:rsidP="00AF5AA6">
            <w:pPr>
              <w:widowControl w:val="0"/>
              <w:pBdr>
                <w:top w:val="nil"/>
                <w:left w:val="nil"/>
                <w:bottom w:val="nil"/>
                <w:right w:val="nil"/>
                <w:between w:val="nil"/>
              </w:pBdr>
              <w:rPr>
                <w:rFonts w:cs="Arial"/>
                <w:color w:val="000000"/>
                <w:sz w:val="18"/>
                <w:szCs w:val="18"/>
              </w:rPr>
            </w:pPr>
          </w:p>
        </w:tc>
        <w:tc>
          <w:tcPr>
            <w:tcW w:w="283" w:type="dxa"/>
            <w:vAlign w:val="bottom"/>
          </w:tcPr>
          <w:p w14:paraId="3F1E911A" w14:textId="77777777" w:rsidR="00AF5AA6" w:rsidRPr="005E3DA0" w:rsidRDefault="00AF5AA6" w:rsidP="00AF5AA6">
            <w:pPr>
              <w:widowControl w:val="0"/>
              <w:pBdr>
                <w:top w:val="nil"/>
                <w:left w:val="nil"/>
                <w:bottom w:val="nil"/>
                <w:right w:val="nil"/>
                <w:between w:val="nil"/>
              </w:pBdr>
              <w:rPr>
                <w:rFonts w:cs="Arial"/>
                <w:color w:val="000000"/>
                <w:sz w:val="18"/>
                <w:szCs w:val="18"/>
              </w:rPr>
            </w:pPr>
          </w:p>
        </w:tc>
        <w:tc>
          <w:tcPr>
            <w:tcW w:w="1357" w:type="dxa"/>
            <w:vAlign w:val="bottom"/>
          </w:tcPr>
          <w:p w14:paraId="12B16552" w14:textId="5CA12FED" w:rsidR="00AF5AA6" w:rsidRPr="005E3DA0" w:rsidRDefault="00AF5AA6" w:rsidP="00AF5AA6">
            <w:pPr>
              <w:pBdr>
                <w:top w:val="nil"/>
                <w:left w:val="nil"/>
                <w:bottom w:val="nil"/>
                <w:right w:val="nil"/>
                <w:between w:val="nil"/>
              </w:pBdr>
              <w:tabs>
                <w:tab w:val="decimal" w:pos="1065"/>
              </w:tabs>
              <w:ind w:right="-105"/>
              <w:rPr>
                <w:rFonts w:cs="Arial"/>
                <w:color w:val="000000"/>
                <w:sz w:val="18"/>
                <w:szCs w:val="18"/>
              </w:rPr>
            </w:pPr>
          </w:p>
        </w:tc>
        <w:tc>
          <w:tcPr>
            <w:tcW w:w="1354" w:type="dxa"/>
            <w:vAlign w:val="bottom"/>
          </w:tcPr>
          <w:p w14:paraId="3A88AA38" w14:textId="7C600C5E" w:rsidR="00AF5AA6" w:rsidRPr="005E3DA0" w:rsidRDefault="00AF5AA6" w:rsidP="00AF5AA6">
            <w:pPr>
              <w:pBdr>
                <w:top w:val="nil"/>
                <w:left w:val="nil"/>
                <w:bottom w:val="nil"/>
                <w:right w:val="nil"/>
                <w:between w:val="nil"/>
              </w:pBdr>
              <w:tabs>
                <w:tab w:val="decimal" w:pos="1065"/>
              </w:tabs>
              <w:ind w:right="-105"/>
              <w:rPr>
                <w:rFonts w:cs="Arial"/>
                <w:color w:val="000000"/>
                <w:sz w:val="18"/>
                <w:szCs w:val="18"/>
              </w:rPr>
            </w:pPr>
          </w:p>
        </w:tc>
        <w:tc>
          <w:tcPr>
            <w:tcW w:w="1261" w:type="dxa"/>
          </w:tcPr>
          <w:p w14:paraId="27F6FF5C" w14:textId="4E99B20A" w:rsidR="00AF5AA6" w:rsidRPr="005E3DA0" w:rsidRDefault="00AF5AA6" w:rsidP="00AF5AA6">
            <w:pPr>
              <w:pBdr>
                <w:top w:val="nil"/>
                <w:left w:val="nil"/>
                <w:bottom w:val="nil"/>
                <w:right w:val="nil"/>
                <w:between w:val="nil"/>
              </w:pBdr>
              <w:tabs>
                <w:tab w:val="decimal" w:pos="1065"/>
              </w:tabs>
              <w:ind w:right="-105"/>
              <w:rPr>
                <w:rFonts w:cs="Arial"/>
                <w:color w:val="000000"/>
                <w:sz w:val="18"/>
                <w:szCs w:val="18"/>
              </w:rPr>
            </w:pPr>
          </w:p>
        </w:tc>
        <w:tc>
          <w:tcPr>
            <w:tcW w:w="1261" w:type="dxa"/>
            <w:vAlign w:val="bottom"/>
          </w:tcPr>
          <w:p w14:paraId="49AF3E2B" w14:textId="39A268F9" w:rsidR="00AF5AA6" w:rsidRPr="005E3DA0" w:rsidRDefault="00AF5AA6" w:rsidP="00AF5AA6">
            <w:pPr>
              <w:pBdr>
                <w:top w:val="nil"/>
                <w:left w:val="nil"/>
                <w:bottom w:val="nil"/>
                <w:right w:val="nil"/>
                <w:between w:val="nil"/>
              </w:pBdr>
              <w:tabs>
                <w:tab w:val="decimal" w:pos="975"/>
              </w:tabs>
              <w:ind w:right="-105"/>
              <w:rPr>
                <w:rFonts w:cs="Arial"/>
                <w:color w:val="000000"/>
                <w:sz w:val="18"/>
                <w:szCs w:val="18"/>
              </w:rPr>
            </w:pPr>
          </w:p>
        </w:tc>
      </w:tr>
      <w:tr w:rsidR="00AF5AA6" w:rsidRPr="005E3DA0" w14:paraId="2087D0A8" w14:textId="77777777" w:rsidTr="00AF5AA6">
        <w:tc>
          <w:tcPr>
            <w:tcW w:w="3934" w:type="dxa"/>
            <w:vAlign w:val="bottom"/>
          </w:tcPr>
          <w:p w14:paraId="22796C01" w14:textId="5F25EFD8" w:rsidR="00AF5AA6" w:rsidRPr="00A22BA1" w:rsidRDefault="00AF5AA6" w:rsidP="00AF5AA6">
            <w:pPr>
              <w:widowControl w:val="0"/>
              <w:pBdr>
                <w:top w:val="nil"/>
                <w:left w:val="nil"/>
                <w:bottom w:val="nil"/>
                <w:right w:val="nil"/>
                <w:between w:val="nil"/>
              </w:pBdr>
              <w:rPr>
                <w:rFonts w:cs="Arial"/>
                <w:color w:val="000000"/>
                <w:sz w:val="18"/>
                <w:szCs w:val="18"/>
                <w:highlight w:val="yellow"/>
              </w:rPr>
            </w:pPr>
            <w:r>
              <w:rPr>
                <w:rFonts w:cs="Arial"/>
                <w:color w:val="000000"/>
                <w:sz w:val="18"/>
                <w:szCs w:val="18"/>
              </w:rPr>
              <w:t>Crude o</w:t>
            </w:r>
            <w:r w:rsidRPr="005F288F">
              <w:rPr>
                <w:rFonts w:cs="Arial"/>
                <w:color w:val="000000"/>
                <w:sz w:val="18"/>
                <w:szCs w:val="18"/>
              </w:rPr>
              <w:t xml:space="preserve">il </w:t>
            </w:r>
            <w:proofErr w:type="spellStart"/>
            <w:r w:rsidRPr="005F288F">
              <w:rPr>
                <w:rFonts w:cs="Arial"/>
                <w:color w:val="000000"/>
                <w:sz w:val="18"/>
                <w:szCs w:val="18"/>
              </w:rPr>
              <w:t>bbls</w:t>
            </w:r>
            <w:proofErr w:type="spellEnd"/>
            <w:r w:rsidRPr="005F288F">
              <w:rPr>
                <w:rFonts w:cs="Arial"/>
                <w:color w:val="000000"/>
                <w:sz w:val="18"/>
                <w:szCs w:val="18"/>
              </w:rPr>
              <w:t xml:space="preserve"> per day</w:t>
            </w:r>
          </w:p>
        </w:tc>
        <w:tc>
          <w:tcPr>
            <w:tcW w:w="283" w:type="dxa"/>
            <w:vAlign w:val="bottom"/>
          </w:tcPr>
          <w:p w14:paraId="27311D42" w14:textId="77777777" w:rsidR="00AF5AA6" w:rsidRPr="005E3DA0" w:rsidRDefault="00AF5AA6" w:rsidP="00AF5AA6">
            <w:pPr>
              <w:widowControl w:val="0"/>
              <w:pBdr>
                <w:top w:val="nil"/>
                <w:left w:val="nil"/>
                <w:bottom w:val="nil"/>
                <w:right w:val="nil"/>
                <w:between w:val="nil"/>
              </w:pBdr>
              <w:rPr>
                <w:rFonts w:cs="Arial"/>
                <w:color w:val="000000"/>
                <w:sz w:val="18"/>
                <w:szCs w:val="18"/>
              </w:rPr>
            </w:pPr>
          </w:p>
        </w:tc>
        <w:tc>
          <w:tcPr>
            <w:tcW w:w="1357" w:type="dxa"/>
            <w:vAlign w:val="bottom"/>
          </w:tcPr>
          <w:p w14:paraId="223C3DFA" w14:textId="3FF89F5A" w:rsidR="00AF5AA6" w:rsidRPr="005E3DA0" w:rsidRDefault="00A542C1" w:rsidP="00AF5AA6">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7,396</w:t>
            </w:r>
          </w:p>
        </w:tc>
        <w:tc>
          <w:tcPr>
            <w:tcW w:w="1354" w:type="dxa"/>
            <w:vAlign w:val="bottom"/>
          </w:tcPr>
          <w:p w14:paraId="7C2260DB" w14:textId="3955F000" w:rsidR="00AF5AA6" w:rsidRPr="005E3DA0" w:rsidRDefault="00AF5AA6" w:rsidP="00AF5AA6">
            <w:pPr>
              <w:pBdr>
                <w:top w:val="nil"/>
                <w:left w:val="nil"/>
                <w:bottom w:val="nil"/>
                <w:right w:val="nil"/>
                <w:between w:val="nil"/>
              </w:pBdr>
              <w:tabs>
                <w:tab w:val="decimal" w:pos="1065"/>
              </w:tabs>
              <w:ind w:right="-105"/>
              <w:rPr>
                <w:rFonts w:cs="Arial"/>
                <w:color w:val="000000"/>
                <w:sz w:val="18"/>
                <w:szCs w:val="18"/>
              </w:rPr>
            </w:pPr>
            <w:r w:rsidRPr="009C07A7">
              <w:rPr>
                <w:sz w:val="18"/>
                <w:szCs w:val="18"/>
              </w:rPr>
              <w:t>3,719</w:t>
            </w:r>
          </w:p>
        </w:tc>
        <w:tc>
          <w:tcPr>
            <w:tcW w:w="1261" w:type="dxa"/>
          </w:tcPr>
          <w:p w14:paraId="4DEAA4DF" w14:textId="70F8B561" w:rsidR="00AF5AA6" w:rsidRPr="00195F59" w:rsidRDefault="00A542C1" w:rsidP="00AF5AA6">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7,425</w:t>
            </w:r>
          </w:p>
        </w:tc>
        <w:tc>
          <w:tcPr>
            <w:tcW w:w="1261" w:type="dxa"/>
            <w:vAlign w:val="bottom"/>
          </w:tcPr>
          <w:p w14:paraId="3DC3EDD5" w14:textId="2ACA22BA" w:rsidR="00AF5AA6" w:rsidRPr="005E3DA0" w:rsidRDefault="00AF5AA6" w:rsidP="00AF5AA6">
            <w:pPr>
              <w:pBdr>
                <w:top w:val="nil"/>
                <w:left w:val="nil"/>
                <w:bottom w:val="nil"/>
                <w:right w:val="nil"/>
                <w:between w:val="nil"/>
              </w:pBdr>
              <w:tabs>
                <w:tab w:val="decimal" w:pos="975"/>
              </w:tabs>
              <w:ind w:right="-105"/>
              <w:rPr>
                <w:rFonts w:cs="Arial"/>
                <w:color w:val="000000"/>
                <w:sz w:val="18"/>
                <w:szCs w:val="18"/>
              </w:rPr>
            </w:pPr>
            <w:r w:rsidRPr="009C07A7">
              <w:rPr>
                <w:sz w:val="18"/>
                <w:szCs w:val="18"/>
              </w:rPr>
              <w:t>3,792</w:t>
            </w:r>
          </w:p>
        </w:tc>
      </w:tr>
      <w:tr w:rsidR="00AF5AA6" w:rsidRPr="005E3DA0" w14:paraId="569C17F4" w14:textId="77777777" w:rsidTr="00AF5AA6">
        <w:tc>
          <w:tcPr>
            <w:tcW w:w="3934" w:type="dxa"/>
            <w:vAlign w:val="bottom"/>
          </w:tcPr>
          <w:p w14:paraId="38375C8E" w14:textId="49AFF67E" w:rsidR="00AF5AA6" w:rsidRPr="005E3DA0" w:rsidRDefault="00AF5AA6" w:rsidP="00AF5AA6">
            <w:pPr>
              <w:widowControl w:val="0"/>
              <w:pBdr>
                <w:top w:val="nil"/>
                <w:left w:val="nil"/>
                <w:bottom w:val="nil"/>
                <w:right w:val="nil"/>
                <w:between w:val="nil"/>
              </w:pBdr>
              <w:rPr>
                <w:rFonts w:cs="Arial"/>
                <w:color w:val="000000"/>
                <w:sz w:val="18"/>
                <w:szCs w:val="18"/>
              </w:rPr>
            </w:pPr>
            <w:r w:rsidRPr="005E3DA0">
              <w:rPr>
                <w:rFonts w:cs="Arial"/>
                <w:color w:val="000000"/>
                <w:sz w:val="18"/>
                <w:szCs w:val="18"/>
              </w:rPr>
              <w:t xml:space="preserve">NGL </w:t>
            </w:r>
            <w:proofErr w:type="spellStart"/>
            <w:r w:rsidRPr="005E3DA0">
              <w:rPr>
                <w:rFonts w:cs="Arial"/>
                <w:color w:val="000000"/>
                <w:sz w:val="18"/>
                <w:szCs w:val="18"/>
              </w:rPr>
              <w:t>bbls</w:t>
            </w:r>
            <w:proofErr w:type="spellEnd"/>
            <w:r w:rsidRPr="005E3DA0">
              <w:rPr>
                <w:rFonts w:cs="Arial"/>
                <w:color w:val="000000"/>
                <w:sz w:val="18"/>
                <w:szCs w:val="18"/>
              </w:rPr>
              <w:t xml:space="preserve"> per day </w:t>
            </w:r>
          </w:p>
        </w:tc>
        <w:tc>
          <w:tcPr>
            <w:tcW w:w="283" w:type="dxa"/>
            <w:vAlign w:val="bottom"/>
          </w:tcPr>
          <w:p w14:paraId="3EE68495" w14:textId="77777777" w:rsidR="00AF5AA6" w:rsidRPr="005E3DA0" w:rsidRDefault="00AF5AA6" w:rsidP="00AF5AA6">
            <w:pPr>
              <w:widowControl w:val="0"/>
              <w:pBdr>
                <w:top w:val="nil"/>
                <w:left w:val="nil"/>
                <w:bottom w:val="nil"/>
                <w:right w:val="nil"/>
                <w:between w:val="nil"/>
              </w:pBdr>
              <w:rPr>
                <w:rFonts w:cs="Arial"/>
                <w:color w:val="000000"/>
                <w:sz w:val="18"/>
                <w:szCs w:val="18"/>
              </w:rPr>
            </w:pPr>
          </w:p>
        </w:tc>
        <w:tc>
          <w:tcPr>
            <w:tcW w:w="1357" w:type="dxa"/>
            <w:vAlign w:val="bottom"/>
          </w:tcPr>
          <w:p w14:paraId="2C792F88" w14:textId="40061843" w:rsidR="00AF5AA6" w:rsidRPr="005E3DA0" w:rsidRDefault="00A542C1" w:rsidP="00AF5AA6">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3</w:t>
            </w:r>
          </w:p>
        </w:tc>
        <w:tc>
          <w:tcPr>
            <w:tcW w:w="1354" w:type="dxa"/>
            <w:vAlign w:val="bottom"/>
          </w:tcPr>
          <w:p w14:paraId="4021415C" w14:textId="5ACED045" w:rsidR="00AF5AA6" w:rsidRPr="005E3DA0" w:rsidRDefault="00AF5AA6" w:rsidP="00AF5AA6">
            <w:pPr>
              <w:pBdr>
                <w:top w:val="nil"/>
                <w:left w:val="nil"/>
                <w:bottom w:val="nil"/>
                <w:right w:val="nil"/>
                <w:between w:val="nil"/>
              </w:pBdr>
              <w:tabs>
                <w:tab w:val="decimal" w:pos="1065"/>
              </w:tabs>
              <w:ind w:right="-105"/>
              <w:rPr>
                <w:rFonts w:cs="Arial"/>
                <w:color w:val="000000"/>
                <w:sz w:val="18"/>
                <w:szCs w:val="18"/>
              </w:rPr>
            </w:pPr>
            <w:r w:rsidRPr="009C07A7">
              <w:rPr>
                <w:sz w:val="18"/>
                <w:szCs w:val="18"/>
              </w:rPr>
              <w:t>20</w:t>
            </w:r>
          </w:p>
        </w:tc>
        <w:tc>
          <w:tcPr>
            <w:tcW w:w="1261" w:type="dxa"/>
          </w:tcPr>
          <w:p w14:paraId="56D52ECD" w14:textId="105344E6" w:rsidR="00AF5AA6" w:rsidRPr="00195F59" w:rsidRDefault="00A542C1" w:rsidP="00AF5AA6">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4</w:t>
            </w:r>
          </w:p>
        </w:tc>
        <w:tc>
          <w:tcPr>
            <w:tcW w:w="1261" w:type="dxa"/>
            <w:vAlign w:val="bottom"/>
          </w:tcPr>
          <w:p w14:paraId="4B715A25" w14:textId="34802816" w:rsidR="00AF5AA6" w:rsidRPr="005E3DA0" w:rsidRDefault="00AF5AA6" w:rsidP="00AF5AA6">
            <w:pPr>
              <w:pBdr>
                <w:top w:val="nil"/>
                <w:left w:val="nil"/>
                <w:bottom w:val="nil"/>
                <w:right w:val="nil"/>
                <w:between w:val="nil"/>
              </w:pBdr>
              <w:tabs>
                <w:tab w:val="decimal" w:pos="975"/>
              </w:tabs>
              <w:ind w:right="-105"/>
              <w:rPr>
                <w:rFonts w:cs="Arial"/>
                <w:color w:val="000000"/>
                <w:sz w:val="18"/>
                <w:szCs w:val="18"/>
              </w:rPr>
            </w:pPr>
            <w:r w:rsidRPr="009C07A7">
              <w:rPr>
                <w:sz w:val="18"/>
                <w:szCs w:val="18"/>
              </w:rPr>
              <w:t>14</w:t>
            </w:r>
          </w:p>
        </w:tc>
      </w:tr>
      <w:tr w:rsidR="00AF5AA6" w:rsidRPr="005E3DA0" w14:paraId="6BA88A65" w14:textId="77777777" w:rsidTr="00AF5AA6">
        <w:tc>
          <w:tcPr>
            <w:tcW w:w="3934" w:type="dxa"/>
            <w:tcBorders>
              <w:bottom w:val="single" w:sz="4" w:space="0" w:color="000000"/>
            </w:tcBorders>
            <w:vAlign w:val="bottom"/>
          </w:tcPr>
          <w:p w14:paraId="4C9A824A" w14:textId="77777777" w:rsidR="00AF5AA6" w:rsidRPr="005E3DA0" w:rsidRDefault="00AF5AA6" w:rsidP="00AF5AA6">
            <w:pPr>
              <w:widowControl w:val="0"/>
              <w:pBdr>
                <w:top w:val="nil"/>
                <w:left w:val="nil"/>
                <w:bottom w:val="nil"/>
                <w:right w:val="nil"/>
                <w:between w:val="nil"/>
              </w:pBdr>
              <w:rPr>
                <w:rFonts w:cs="Arial"/>
                <w:color w:val="000000"/>
                <w:sz w:val="18"/>
                <w:szCs w:val="18"/>
              </w:rPr>
            </w:pPr>
            <w:r w:rsidRPr="005E3DA0">
              <w:rPr>
                <w:rFonts w:cs="Arial"/>
                <w:color w:val="000000"/>
                <w:sz w:val="18"/>
                <w:szCs w:val="18"/>
              </w:rPr>
              <w:t xml:space="preserve">Natural gas mcf per day </w:t>
            </w:r>
          </w:p>
        </w:tc>
        <w:tc>
          <w:tcPr>
            <w:tcW w:w="283" w:type="dxa"/>
            <w:tcBorders>
              <w:bottom w:val="single" w:sz="4" w:space="0" w:color="000000"/>
            </w:tcBorders>
            <w:vAlign w:val="bottom"/>
          </w:tcPr>
          <w:p w14:paraId="5E851D02" w14:textId="77777777" w:rsidR="00AF5AA6" w:rsidRPr="005E3DA0" w:rsidRDefault="00AF5AA6" w:rsidP="00AF5AA6">
            <w:pPr>
              <w:widowControl w:val="0"/>
              <w:pBdr>
                <w:top w:val="nil"/>
                <w:left w:val="nil"/>
                <w:bottom w:val="nil"/>
                <w:right w:val="nil"/>
                <w:between w:val="nil"/>
              </w:pBdr>
              <w:rPr>
                <w:rFonts w:cs="Arial"/>
                <w:color w:val="000000"/>
                <w:sz w:val="18"/>
                <w:szCs w:val="18"/>
              </w:rPr>
            </w:pPr>
          </w:p>
        </w:tc>
        <w:tc>
          <w:tcPr>
            <w:tcW w:w="1357" w:type="dxa"/>
            <w:tcBorders>
              <w:bottom w:val="single" w:sz="4" w:space="0" w:color="000000"/>
            </w:tcBorders>
            <w:vAlign w:val="bottom"/>
          </w:tcPr>
          <w:p w14:paraId="33B6C48C" w14:textId="7315DA6D" w:rsidR="00AF5AA6" w:rsidRPr="005E3DA0" w:rsidRDefault="00A542C1" w:rsidP="00AF5AA6">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6,791</w:t>
            </w:r>
          </w:p>
        </w:tc>
        <w:tc>
          <w:tcPr>
            <w:tcW w:w="1354" w:type="dxa"/>
            <w:tcBorders>
              <w:bottom w:val="single" w:sz="4" w:space="0" w:color="000000"/>
            </w:tcBorders>
            <w:vAlign w:val="bottom"/>
          </w:tcPr>
          <w:p w14:paraId="059EFB24" w14:textId="14564049" w:rsidR="00AF5AA6" w:rsidRPr="005E3DA0" w:rsidRDefault="00AF5AA6" w:rsidP="00AF5AA6">
            <w:pPr>
              <w:pBdr>
                <w:top w:val="nil"/>
                <w:left w:val="nil"/>
                <w:bottom w:val="nil"/>
                <w:right w:val="nil"/>
                <w:between w:val="nil"/>
              </w:pBdr>
              <w:tabs>
                <w:tab w:val="decimal" w:pos="1065"/>
              </w:tabs>
              <w:ind w:right="-105"/>
              <w:rPr>
                <w:rFonts w:cs="Arial"/>
                <w:color w:val="000000"/>
                <w:sz w:val="18"/>
                <w:szCs w:val="18"/>
              </w:rPr>
            </w:pPr>
            <w:r w:rsidRPr="009C07A7">
              <w:rPr>
                <w:sz w:val="18"/>
                <w:szCs w:val="18"/>
              </w:rPr>
              <w:t>3,761</w:t>
            </w:r>
          </w:p>
        </w:tc>
        <w:tc>
          <w:tcPr>
            <w:tcW w:w="1261" w:type="dxa"/>
            <w:tcBorders>
              <w:bottom w:val="single" w:sz="4" w:space="0" w:color="000000"/>
            </w:tcBorders>
          </w:tcPr>
          <w:p w14:paraId="3F15441C" w14:textId="7ECAEB84" w:rsidR="00AF5AA6" w:rsidRPr="00195F59" w:rsidRDefault="00A542C1" w:rsidP="00AF5AA6">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7,031</w:t>
            </w:r>
          </w:p>
        </w:tc>
        <w:tc>
          <w:tcPr>
            <w:tcW w:w="1261" w:type="dxa"/>
            <w:tcBorders>
              <w:bottom w:val="single" w:sz="4" w:space="0" w:color="000000"/>
            </w:tcBorders>
            <w:vAlign w:val="bottom"/>
          </w:tcPr>
          <w:p w14:paraId="2DE2AA35" w14:textId="03A6F671" w:rsidR="00AF5AA6" w:rsidRPr="005E3DA0" w:rsidRDefault="00AF5AA6" w:rsidP="00AF5AA6">
            <w:pPr>
              <w:pBdr>
                <w:top w:val="nil"/>
                <w:left w:val="nil"/>
                <w:bottom w:val="nil"/>
                <w:right w:val="nil"/>
                <w:between w:val="nil"/>
              </w:pBdr>
              <w:tabs>
                <w:tab w:val="decimal" w:pos="975"/>
              </w:tabs>
              <w:ind w:right="-105"/>
              <w:rPr>
                <w:rFonts w:cs="Arial"/>
                <w:color w:val="000000"/>
                <w:sz w:val="18"/>
                <w:szCs w:val="18"/>
              </w:rPr>
            </w:pPr>
            <w:r w:rsidRPr="009C07A7">
              <w:rPr>
                <w:sz w:val="18"/>
                <w:szCs w:val="18"/>
              </w:rPr>
              <w:t>3,882</w:t>
            </w:r>
          </w:p>
        </w:tc>
      </w:tr>
      <w:tr w:rsidR="00AF5AA6" w:rsidRPr="005E3DA0" w14:paraId="18E65CF5" w14:textId="77777777" w:rsidTr="00AF5AA6">
        <w:trPr>
          <w:trHeight w:val="347"/>
        </w:trPr>
        <w:tc>
          <w:tcPr>
            <w:tcW w:w="3934" w:type="dxa"/>
            <w:tcBorders>
              <w:top w:val="single" w:sz="4" w:space="0" w:color="000000"/>
              <w:bottom w:val="single" w:sz="12" w:space="0" w:color="000000"/>
            </w:tcBorders>
            <w:vAlign w:val="center"/>
          </w:tcPr>
          <w:p w14:paraId="3BD2280C" w14:textId="77777777" w:rsidR="00AF5AA6" w:rsidRPr="005E3DA0" w:rsidRDefault="00AF5AA6" w:rsidP="00AF5AA6">
            <w:pPr>
              <w:widowControl w:val="0"/>
              <w:pBdr>
                <w:top w:val="nil"/>
                <w:left w:val="nil"/>
                <w:bottom w:val="nil"/>
                <w:right w:val="nil"/>
                <w:between w:val="nil"/>
              </w:pBdr>
              <w:spacing w:before="60" w:after="60"/>
              <w:rPr>
                <w:rFonts w:cs="Arial"/>
                <w:color w:val="000000"/>
                <w:sz w:val="18"/>
                <w:szCs w:val="18"/>
              </w:rPr>
            </w:pPr>
            <w:r w:rsidRPr="005E3DA0">
              <w:rPr>
                <w:rFonts w:cs="Arial"/>
                <w:color w:val="000000"/>
                <w:sz w:val="18"/>
                <w:szCs w:val="18"/>
              </w:rPr>
              <w:t>Total BOE per day</w:t>
            </w:r>
          </w:p>
        </w:tc>
        <w:tc>
          <w:tcPr>
            <w:tcW w:w="283" w:type="dxa"/>
            <w:tcBorders>
              <w:top w:val="single" w:sz="4" w:space="0" w:color="000000"/>
              <w:bottom w:val="single" w:sz="12" w:space="0" w:color="000000"/>
            </w:tcBorders>
            <w:vAlign w:val="center"/>
          </w:tcPr>
          <w:p w14:paraId="085728CF" w14:textId="77777777" w:rsidR="00AF5AA6" w:rsidRPr="005E3DA0" w:rsidRDefault="00AF5AA6" w:rsidP="00AF5AA6">
            <w:pPr>
              <w:widowControl w:val="0"/>
              <w:pBdr>
                <w:top w:val="nil"/>
                <w:left w:val="nil"/>
                <w:bottom w:val="nil"/>
                <w:right w:val="nil"/>
                <w:between w:val="nil"/>
              </w:pBdr>
              <w:spacing w:before="60" w:after="60"/>
              <w:rPr>
                <w:rFonts w:cs="Arial"/>
                <w:color w:val="000000"/>
                <w:sz w:val="18"/>
                <w:szCs w:val="18"/>
              </w:rPr>
            </w:pPr>
          </w:p>
        </w:tc>
        <w:tc>
          <w:tcPr>
            <w:tcW w:w="1357" w:type="dxa"/>
            <w:tcBorders>
              <w:top w:val="single" w:sz="4" w:space="0" w:color="000000"/>
              <w:bottom w:val="single" w:sz="12" w:space="0" w:color="000000"/>
            </w:tcBorders>
            <w:vAlign w:val="center"/>
          </w:tcPr>
          <w:p w14:paraId="12C53584" w14:textId="3D443225" w:rsidR="00AF5AA6" w:rsidRPr="005E3DA0" w:rsidRDefault="00A542C1" w:rsidP="00AF5AA6">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8,531</w:t>
            </w:r>
          </w:p>
        </w:tc>
        <w:tc>
          <w:tcPr>
            <w:tcW w:w="1354" w:type="dxa"/>
            <w:tcBorders>
              <w:top w:val="single" w:sz="4" w:space="0" w:color="000000"/>
              <w:bottom w:val="single" w:sz="12" w:space="0" w:color="000000"/>
            </w:tcBorders>
            <w:vAlign w:val="center"/>
          </w:tcPr>
          <w:p w14:paraId="32A2B1CA" w14:textId="4BECF3A8" w:rsidR="00AF5AA6" w:rsidRPr="005E3DA0" w:rsidRDefault="00AF5AA6" w:rsidP="00AF5AA6">
            <w:pPr>
              <w:pBdr>
                <w:top w:val="nil"/>
                <w:left w:val="nil"/>
                <w:bottom w:val="nil"/>
                <w:right w:val="nil"/>
                <w:between w:val="nil"/>
              </w:pBdr>
              <w:tabs>
                <w:tab w:val="decimal" w:pos="1065"/>
              </w:tabs>
              <w:ind w:right="-105"/>
              <w:rPr>
                <w:rFonts w:cs="Arial"/>
                <w:color w:val="000000"/>
                <w:sz w:val="18"/>
                <w:szCs w:val="18"/>
              </w:rPr>
            </w:pPr>
            <w:r w:rsidRPr="009C07A7">
              <w:rPr>
                <w:sz w:val="18"/>
                <w:szCs w:val="18"/>
              </w:rPr>
              <w:t xml:space="preserve"> 4,366 </w:t>
            </w:r>
          </w:p>
        </w:tc>
        <w:tc>
          <w:tcPr>
            <w:tcW w:w="1261" w:type="dxa"/>
            <w:tcBorders>
              <w:top w:val="single" w:sz="4" w:space="0" w:color="000000"/>
              <w:bottom w:val="single" w:sz="12" w:space="0" w:color="000000"/>
            </w:tcBorders>
            <w:vAlign w:val="center"/>
          </w:tcPr>
          <w:p w14:paraId="268B6C00" w14:textId="1CCDD264" w:rsidR="00AF5AA6" w:rsidRPr="00195F59" w:rsidRDefault="00A542C1" w:rsidP="00AF5AA6">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8,601</w:t>
            </w:r>
          </w:p>
        </w:tc>
        <w:tc>
          <w:tcPr>
            <w:tcW w:w="1261" w:type="dxa"/>
            <w:tcBorders>
              <w:top w:val="single" w:sz="4" w:space="0" w:color="000000"/>
              <w:bottom w:val="single" w:sz="12" w:space="0" w:color="000000"/>
            </w:tcBorders>
            <w:vAlign w:val="center"/>
          </w:tcPr>
          <w:p w14:paraId="4DBAF8C4" w14:textId="086F1828" w:rsidR="00AF5AA6" w:rsidRPr="005E3DA0" w:rsidRDefault="00AF5AA6" w:rsidP="00AF5AA6">
            <w:pPr>
              <w:pBdr>
                <w:top w:val="nil"/>
                <w:left w:val="nil"/>
                <w:bottom w:val="nil"/>
                <w:right w:val="nil"/>
                <w:between w:val="nil"/>
              </w:pBdr>
              <w:tabs>
                <w:tab w:val="decimal" w:pos="975"/>
              </w:tabs>
              <w:ind w:right="-105"/>
              <w:rPr>
                <w:rFonts w:cs="Arial"/>
                <w:color w:val="000000"/>
                <w:sz w:val="18"/>
                <w:szCs w:val="18"/>
              </w:rPr>
            </w:pPr>
            <w:r w:rsidRPr="009C07A7">
              <w:rPr>
                <w:sz w:val="18"/>
                <w:szCs w:val="18"/>
              </w:rPr>
              <w:t>4,453</w:t>
            </w:r>
          </w:p>
        </w:tc>
      </w:tr>
      <w:tr w:rsidR="00AF5AA6" w:rsidRPr="005E3DA0" w14:paraId="5F167EF3" w14:textId="77777777" w:rsidTr="001354A6">
        <w:trPr>
          <w:trHeight w:val="70"/>
        </w:trPr>
        <w:tc>
          <w:tcPr>
            <w:tcW w:w="3934" w:type="dxa"/>
            <w:tcBorders>
              <w:top w:val="single" w:sz="12" w:space="0" w:color="000000"/>
            </w:tcBorders>
            <w:vAlign w:val="bottom"/>
          </w:tcPr>
          <w:p w14:paraId="5888F01B" w14:textId="77777777" w:rsidR="00AF5AA6" w:rsidRPr="00A84076" w:rsidRDefault="00AF5AA6" w:rsidP="00AF5AA6">
            <w:pPr>
              <w:widowControl w:val="0"/>
              <w:pBdr>
                <w:top w:val="nil"/>
                <w:left w:val="nil"/>
                <w:bottom w:val="nil"/>
                <w:right w:val="nil"/>
                <w:between w:val="nil"/>
              </w:pBdr>
              <w:rPr>
                <w:rFonts w:cs="Arial"/>
                <w:color w:val="000000"/>
                <w:sz w:val="4"/>
                <w:szCs w:val="4"/>
              </w:rPr>
            </w:pPr>
          </w:p>
        </w:tc>
        <w:tc>
          <w:tcPr>
            <w:tcW w:w="283" w:type="dxa"/>
            <w:tcBorders>
              <w:top w:val="single" w:sz="12" w:space="0" w:color="000000"/>
            </w:tcBorders>
            <w:vAlign w:val="bottom"/>
          </w:tcPr>
          <w:p w14:paraId="18701221" w14:textId="77777777" w:rsidR="00AF5AA6" w:rsidRPr="00A84076" w:rsidRDefault="00AF5AA6" w:rsidP="00AF5AA6">
            <w:pPr>
              <w:widowControl w:val="0"/>
              <w:pBdr>
                <w:top w:val="nil"/>
                <w:left w:val="nil"/>
                <w:bottom w:val="nil"/>
                <w:right w:val="nil"/>
                <w:between w:val="nil"/>
              </w:pBdr>
              <w:rPr>
                <w:rFonts w:cs="Arial"/>
                <w:color w:val="000000"/>
                <w:sz w:val="4"/>
                <w:szCs w:val="4"/>
              </w:rPr>
            </w:pPr>
          </w:p>
        </w:tc>
        <w:tc>
          <w:tcPr>
            <w:tcW w:w="1357" w:type="dxa"/>
            <w:tcBorders>
              <w:top w:val="single" w:sz="12" w:space="0" w:color="000000"/>
            </w:tcBorders>
            <w:vAlign w:val="bottom"/>
          </w:tcPr>
          <w:p w14:paraId="1E74390F" w14:textId="77777777" w:rsidR="00AF5AA6" w:rsidRPr="00A84076" w:rsidRDefault="00AF5AA6" w:rsidP="00AF5AA6">
            <w:pPr>
              <w:widowControl w:val="0"/>
              <w:pBdr>
                <w:top w:val="nil"/>
                <w:left w:val="nil"/>
                <w:bottom w:val="nil"/>
                <w:right w:val="nil"/>
                <w:between w:val="nil"/>
              </w:pBdr>
              <w:rPr>
                <w:rFonts w:cs="Arial"/>
                <w:color w:val="000000"/>
                <w:sz w:val="4"/>
                <w:szCs w:val="4"/>
              </w:rPr>
            </w:pPr>
          </w:p>
        </w:tc>
        <w:tc>
          <w:tcPr>
            <w:tcW w:w="1354" w:type="dxa"/>
            <w:tcBorders>
              <w:top w:val="single" w:sz="12" w:space="0" w:color="000000"/>
            </w:tcBorders>
            <w:vAlign w:val="bottom"/>
          </w:tcPr>
          <w:p w14:paraId="6BBDA959" w14:textId="77777777" w:rsidR="00AF5AA6" w:rsidRPr="00A84076" w:rsidRDefault="00AF5AA6" w:rsidP="00AF5AA6">
            <w:pPr>
              <w:widowControl w:val="0"/>
              <w:pBdr>
                <w:top w:val="nil"/>
                <w:left w:val="nil"/>
                <w:bottom w:val="nil"/>
                <w:right w:val="nil"/>
                <w:between w:val="nil"/>
              </w:pBdr>
              <w:rPr>
                <w:rFonts w:cs="Arial"/>
                <w:color w:val="000000"/>
                <w:sz w:val="4"/>
                <w:szCs w:val="4"/>
              </w:rPr>
            </w:pPr>
          </w:p>
        </w:tc>
        <w:tc>
          <w:tcPr>
            <w:tcW w:w="1261" w:type="dxa"/>
            <w:tcBorders>
              <w:top w:val="single" w:sz="12" w:space="0" w:color="000000"/>
            </w:tcBorders>
            <w:vAlign w:val="bottom"/>
          </w:tcPr>
          <w:p w14:paraId="66169E4F" w14:textId="77777777" w:rsidR="00AF5AA6" w:rsidRPr="00A84076" w:rsidRDefault="00AF5AA6" w:rsidP="00AF5AA6">
            <w:pPr>
              <w:widowControl w:val="0"/>
              <w:pBdr>
                <w:top w:val="nil"/>
                <w:left w:val="nil"/>
                <w:bottom w:val="nil"/>
                <w:right w:val="nil"/>
                <w:between w:val="nil"/>
              </w:pBdr>
              <w:rPr>
                <w:rFonts w:cs="Arial"/>
                <w:color w:val="000000"/>
                <w:sz w:val="4"/>
                <w:szCs w:val="4"/>
              </w:rPr>
            </w:pPr>
          </w:p>
        </w:tc>
        <w:tc>
          <w:tcPr>
            <w:tcW w:w="1261" w:type="dxa"/>
            <w:tcBorders>
              <w:top w:val="single" w:sz="12" w:space="0" w:color="000000"/>
            </w:tcBorders>
            <w:vAlign w:val="bottom"/>
          </w:tcPr>
          <w:p w14:paraId="0CC43AF5" w14:textId="77777777" w:rsidR="00AF5AA6" w:rsidRPr="00A84076" w:rsidRDefault="00AF5AA6" w:rsidP="00AF5AA6">
            <w:pPr>
              <w:widowControl w:val="0"/>
              <w:pBdr>
                <w:top w:val="nil"/>
                <w:left w:val="nil"/>
                <w:bottom w:val="nil"/>
                <w:right w:val="nil"/>
                <w:between w:val="nil"/>
              </w:pBdr>
              <w:rPr>
                <w:rFonts w:cs="Arial"/>
                <w:color w:val="000000"/>
                <w:sz w:val="4"/>
                <w:szCs w:val="4"/>
              </w:rPr>
            </w:pPr>
          </w:p>
        </w:tc>
      </w:tr>
    </w:tbl>
    <w:p w14:paraId="2CAF63FF" w14:textId="2EE91229" w:rsidR="00B034B0" w:rsidRDefault="00B034B0" w:rsidP="00591EC8">
      <w:pPr>
        <w:widowControl w:val="0"/>
        <w:spacing w:before="120" w:after="120"/>
        <w:jc w:val="both"/>
      </w:pPr>
      <w:r>
        <w:t xml:space="preserve">Oil (and related NGL) production from TDF may be either (1) stored then shipped for sale to the domestic market and/or international brokers for export or (2) trucked and sold to Chile. The sale of crude oil transported by ship from TDF can be impacted by intermittent shipments due to storage levels and weather conditions and/or by delivery restrictions arising </w:t>
      </w:r>
      <w:r w:rsidR="009316BC">
        <w:t>due to</w:t>
      </w:r>
      <w:r>
        <w:t xml:space="preserve"> repair and maintenance activities at the shipping terminal. </w:t>
      </w:r>
    </w:p>
    <w:p w14:paraId="5F9BF2CB" w14:textId="77E10324" w:rsidR="00B034B0" w:rsidRDefault="00B034B0" w:rsidP="00591EC8">
      <w:pPr>
        <w:widowControl w:val="0"/>
        <w:spacing w:before="120" w:after="120"/>
        <w:jc w:val="both"/>
        <w:rPr>
          <w:color w:val="000000"/>
        </w:rPr>
      </w:pPr>
      <w:r>
        <w:t>Oil production from the Mendoza Concessions</w:t>
      </w:r>
      <w:r w:rsidR="00361870">
        <w:t xml:space="preserve"> is sold to the domestic market and</w:t>
      </w:r>
      <w:r>
        <w:t xml:space="preserve"> may be stored and then trucked to</w:t>
      </w:r>
      <w:r>
        <w:rPr>
          <w:color w:val="000000"/>
        </w:rPr>
        <w:t xml:space="preserve"> the delivery point in Tupungato, Mendoza</w:t>
      </w:r>
      <w:r w:rsidR="00361870">
        <w:rPr>
          <w:color w:val="000000"/>
        </w:rPr>
        <w:t>.</w:t>
      </w:r>
    </w:p>
    <w:p w14:paraId="18198733" w14:textId="449C054D" w:rsidR="00656BC2" w:rsidRDefault="00656BC2" w:rsidP="00656BC2">
      <w:pPr>
        <w:widowControl w:val="0"/>
        <w:spacing w:before="120" w:after="120"/>
        <w:jc w:val="both"/>
        <w:rPr>
          <w:color w:val="000000"/>
        </w:rPr>
      </w:pPr>
      <w:r w:rsidRPr="00A5768B">
        <w:rPr>
          <w:color w:val="000000"/>
        </w:rPr>
        <w:t xml:space="preserve">Oil production from the Santa Cruz Concessions is sold to the domestic market, stored in the </w:t>
      </w:r>
      <w:r>
        <w:rPr>
          <w:color w:val="000000"/>
        </w:rPr>
        <w:t>C</w:t>
      </w:r>
      <w:r w:rsidRPr="00A5768B">
        <w:rPr>
          <w:color w:val="000000"/>
        </w:rPr>
        <w:t xml:space="preserve">ompany's own tanks, and then delivered to the </w:t>
      </w:r>
      <w:proofErr w:type="spellStart"/>
      <w:r w:rsidR="00D94EFD" w:rsidRPr="00D902FC">
        <w:rPr>
          <w:color w:val="000000"/>
        </w:rPr>
        <w:t>TerMaP</w:t>
      </w:r>
      <w:proofErr w:type="spellEnd"/>
      <w:r w:rsidRPr="00A5768B">
        <w:rPr>
          <w:color w:val="000000"/>
        </w:rPr>
        <w:t xml:space="preserve"> Terminal in Caleta Olivia, Santa Cruz, via pipeline.</w:t>
      </w:r>
      <w:r>
        <w:rPr>
          <w:color w:val="000000"/>
        </w:rPr>
        <w:t xml:space="preserve"> </w:t>
      </w:r>
    </w:p>
    <w:p w14:paraId="5E1AF6B1" w14:textId="4AD7DA5F" w:rsidR="005932F0" w:rsidRDefault="005932F0" w:rsidP="005932F0">
      <w:pPr>
        <w:widowControl w:val="0"/>
        <w:spacing w:before="120" w:after="120"/>
        <w:jc w:val="both"/>
        <w:rPr>
          <w:color w:val="000000"/>
        </w:rPr>
      </w:pPr>
      <w:r w:rsidRPr="00B20AED">
        <w:rPr>
          <w:color w:val="000000"/>
        </w:rPr>
        <w:t xml:space="preserve">Oil production from the Chubut Concessions is sold to the domestic market, stored in the Company's own tanks, and then delivered to the </w:t>
      </w:r>
      <w:proofErr w:type="spellStart"/>
      <w:r w:rsidRPr="00D902FC">
        <w:rPr>
          <w:color w:val="000000"/>
        </w:rPr>
        <w:t>TerMaP</w:t>
      </w:r>
      <w:proofErr w:type="spellEnd"/>
      <w:r w:rsidRPr="00B20AED">
        <w:rPr>
          <w:color w:val="000000"/>
        </w:rPr>
        <w:t xml:space="preserve"> Terminal in Caleta Córdova, Chubut, via pipeline.</w:t>
      </w:r>
      <w:r>
        <w:rPr>
          <w:color w:val="000000"/>
        </w:rPr>
        <w:t xml:space="preserve"> </w:t>
      </w:r>
    </w:p>
    <w:p w14:paraId="7CBE48AF" w14:textId="2EC5A9FF" w:rsidR="00B034B0" w:rsidRDefault="00A22BA1" w:rsidP="00591EC8">
      <w:pPr>
        <w:widowControl w:val="0"/>
        <w:spacing w:before="120" w:after="120"/>
        <w:jc w:val="both"/>
        <w:rPr>
          <w:rFonts w:cs="Arial"/>
        </w:rPr>
      </w:pPr>
      <w:r>
        <w:rPr>
          <w:rFonts w:cs="Arial"/>
        </w:rPr>
        <w:t>S</w:t>
      </w:r>
      <w:r w:rsidR="00B034B0">
        <w:rPr>
          <w:rFonts w:cs="Arial"/>
        </w:rPr>
        <w:t>ales volumes may include both previously inventoried volumes as well as current period production</w:t>
      </w:r>
      <w:r w:rsidR="00B034B0" w:rsidRPr="00797090">
        <w:rPr>
          <w:rFonts w:cs="Arial"/>
        </w:rPr>
        <w:t>.</w:t>
      </w:r>
    </w:p>
    <w:p w14:paraId="3C70AC38" w14:textId="24ECF833" w:rsidR="003F2DE4" w:rsidRDefault="00996F66" w:rsidP="00591EC8">
      <w:pPr>
        <w:widowControl w:val="0"/>
        <w:spacing w:before="120" w:after="120"/>
        <w:jc w:val="both"/>
        <w:rPr>
          <w:rFonts w:cs="Arial"/>
        </w:rPr>
      </w:pPr>
      <w:r w:rsidRPr="00180CE2">
        <w:rPr>
          <w:rFonts w:cs="Arial"/>
        </w:rPr>
        <w:t xml:space="preserve">As </w:t>
      </w:r>
      <w:proofErr w:type="gramStart"/>
      <w:r w:rsidRPr="00180CE2">
        <w:rPr>
          <w:rFonts w:cs="Arial"/>
        </w:rPr>
        <w:t>at</w:t>
      </w:r>
      <w:proofErr w:type="gramEnd"/>
      <w:r w:rsidRPr="00180CE2">
        <w:rPr>
          <w:rFonts w:cs="Arial"/>
        </w:rPr>
        <w:t xml:space="preserve"> </w:t>
      </w:r>
      <w:r w:rsidR="00E91EF5">
        <w:rPr>
          <w:rFonts w:cs="Arial"/>
        </w:rPr>
        <w:t>June 30</w:t>
      </w:r>
      <w:r w:rsidRPr="00180CE2">
        <w:rPr>
          <w:rFonts w:cs="Arial"/>
        </w:rPr>
        <w:t>, 202</w:t>
      </w:r>
      <w:r w:rsidR="0088462A">
        <w:rPr>
          <w:rFonts w:cs="Arial"/>
        </w:rPr>
        <w:t>6</w:t>
      </w:r>
      <w:r w:rsidRPr="00180CE2">
        <w:rPr>
          <w:rFonts w:cs="Arial"/>
        </w:rPr>
        <w:t xml:space="preserve">, all previously inventoried oil production had been sold as well as a portion of oil produced in </w:t>
      </w:r>
      <w:r w:rsidR="009851C5" w:rsidRPr="00180CE2">
        <w:rPr>
          <w:rFonts w:cs="Arial"/>
        </w:rPr>
        <w:t>Q</w:t>
      </w:r>
      <w:r w:rsidR="00E91EF5">
        <w:rPr>
          <w:rFonts w:cs="Arial"/>
        </w:rPr>
        <w:t>2</w:t>
      </w:r>
      <w:r w:rsidR="009851C5" w:rsidRPr="00180CE2">
        <w:rPr>
          <w:rFonts w:cs="Arial"/>
        </w:rPr>
        <w:t xml:space="preserve"> </w:t>
      </w:r>
      <w:r w:rsidRPr="00180CE2">
        <w:rPr>
          <w:rFonts w:cs="Arial"/>
        </w:rPr>
        <w:t>202</w:t>
      </w:r>
      <w:r w:rsidR="0088462A">
        <w:rPr>
          <w:rFonts w:cs="Arial"/>
        </w:rPr>
        <w:t>6</w:t>
      </w:r>
      <w:r w:rsidRPr="00180CE2">
        <w:rPr>
          <w:rFonts w:cs="Arial"/>
        </w:rPr>
        <w:t>, with excess oil production stored in inventory for sale in subsequent months.</w:t>
      </w:r>
      <w:r w:rsidR="005932F0">
        <w:rPr>
          <w:rFonts w:cs="Arial"/>
        </w:rPr>
        <w:t xml:space="preserve"> </w:t>
      </w:r>
    </w:p>
    <w:tbl>
      <w:tblPr>
        <w:tblW w:w="9639" w:type="dxa"/>
        <w:tblLayout w:type="fixed"/>
        <w:tblCellMar>
          <w:top w:w="15" w:type="dxa"/>
          <w:left w:w="115" w:type="dxa"/>
          <w:bottom w:w="15" w:type="dxa"/>
          <w:right w:w="115" w:type="dxa"/>
        </w:tblCellMar>
        <w:tblLook w:val="04A0" w:firstRow="1" w:lastRow="0" w:firstColumn="1" w:lastColumn="0" w:noHBand="0" w:noVBand="1"/>
      </w:tblPr>
      <w:tblGrid>
        <w:gridCol w:w="2127"/>
        <w:gridCol w:w="1134"/>
        <w:gridCol w:w="708"/>
        <w:gridCol w:w="284"/>
        <w:gridCol w:w="992"/>
        <w:gridCol w:w="709"/>
        <w:gridCol w:w="283"/>
        <w:gridCol w:w="851"/>
        <w:gridCol w:w="709"/>
        <w:gridCol w:w="283"/>
        <w:gridCol w:w="851"/>
        <w:gridCol w:w="708"/>
      </w:tblGrid>
      <w:tr w:rsidR="00E72DAF" w14:paraId="285FA453" w14:textId="77777777" w:rsidTr="00B92A8A">
        <w:trPr>
          <w:trHeight w:val="130"/>
        </w:trPr>
        <w:tc>
          <w:tcPr>
            <w:tcW w:w="2127" w:type="dxa"/>
            <w:tcBorders>
              <w:top w:val="single" w:sz="12" w:space="0" w:color="auto"/>
              <w:left w:val="nil"/>
              <w:bottom w:val="nil"/>
              <w:right w:val="nil"/>
            </w:tcBorders>
            <w:noWrap/>
            <w:vAlign w:val="bottom"/>
            <w:hideMark/>
          </w:tcPr>
          <w:p w14:paraId="4D37DD48" w14:textId="020A1C8E" w:rsidR="009A5578" w:rsidRPr="00B47245" w:rsidRDefault="009A5578" w:rsidP="00591EC8">
            <w:pPr>
              <w:ind w:left="-115" w:right="-115"/>
              <w:rPr>
                <w:rFonts w:ascii="Times New Roman" w:hAnsi="Times New Roman"/>
                <w:sz w:val="24"/>
                <w:szCs w:val="24"/>
                <w:lang w:eastAsia="en-CA"/>
              </w:rPr>
            </w:pPr>
            <w:r>
              <w:rPr>
                <w:rFonts w:cs="Arial"/>
                <w:b/>
                <w:bCs/>
                <w:sz w:val="16"/>
                <w:szCs w:val="16"/>
                <w:lang w:eastAsia="en-CA"/>
              </w:rPr>
              <w:t xml:space="preserve">For the </w:t>
            </w:r>
            <w:r w:rsidR="00E91EF5">
              <w:rPr>
                <w:rFonts w:cs="Arial"/>
                <w:b/>
                <w:bCs/>
                <w:sz w:val="16"/>
                <w:szCs w:val="16"/>
                <w:lang w:eastAsia="en-CA"/>
              </w:rPr>
              <w:t xml:space="preserve">six </w:t>
            </w:r>
            <w:r w:rsidR="0082588E">
              <w:rPr>
                <w:rFonts w:cs="Arial"/>
                <w:b/>
                <w:bCs/>
                <w:sz w:val="16"/>
                <w:szCs w:val="16"/>
                <w:lang w:eastAsia="en-CA"/>
              </w:rPr>
              <w:t>months</w:t>
            </w:r>
            <w:r>
              <w:rPr>
                <w:rFonts w:cs="Arial"/>
                <w:b/>
                <w:bCs/>
                <w:sz w:val="16"/>
                <w:szCs w:val="16"/>
                <w:lang w:eastAsia="en-CA"/>
              </w:rPr>
              <w:t xml:space="preserve"> ended</w:t>
            </w:r>
          </w:p>
        </w:tc>
        <w:tc>
          <w:tcPr>
            <w:tcW w:w="3827" w:type="dxa"/>
            <w:gridSpan w:val="5"/>
            <w:tcBorders>
              <w:top w:val="single" w:sz="12" w:space="0" w:color="auto"/>
              <w:left w:val="nil"/>
              <w:bottom w:val="single" w:sz="4" w:space="0" w:color="auto"/>
              <w:right w:val="nil"/>
            </w:tcBorders>
            <w:noWrap/>
            <w:vAlign w:val="bottom"/>
            <w:hideMark/>
          </w:tcPr>
          <w:p w14:paraId="73310498" w14:textId="77777777" w:rsidR="009A5578" w:rsidRPr="00B47245" w:rsidRDefault="009A5578" w:rsidP="00591EC8">
            <w:pPr>
              <w:jc w:val="center"/>
              <w:rPr>
                <w:rFonts w:cs="Arial"/>
                <w:b/>
                <w:bCs/>
                <w:sz w:val="18"/>
                <w:szCs w:val="18"/>
                <w:lang w:eastAsia="en-CA"/>
              </w:rPr>
            </w:pPr>
            <w:r>
              <w:rPr>
                <w:rFonts w:cs="Arial"/>
                <w:b/>
                <w:bCs/>
                <w:sz w:val="18"/>
                <w:szCs w:val="18"/>
                <w:lang w:eastAsia="en-CA"/>
              </w:rPr>
              <w:t>Oil</w:t>
            </w:r>
          </w:p>
        </w:tc>
        <w:tc>
          <w:tcPr>
            <w:tcW w:w="283" w:type="dxa"/>
            <w:tcBorders>
              <w:top w:val="single" w:sz="12" w:space="0" w:color="auto"/>
              <w:left w:val="nil"/>
              <w:bottom w:val="nil"/>
              <w:right w:val="nil"/>
            </w:tcBorders>
            <w:noWrap/>
            <w:vAlign w:val="bottom"/>
            <w:hideMark/>
          </w:tcPr>
          <w:p w14:paraId="3A8A3B92" w14:textId="77777777" w:rsidR="009A5578" w:rsidRPr="00B47245" w:rsidRDefault="009A5578" w:rsidP="00591EC8">
            <w:pPr>
              <w:jc w:val="center"/>
              <w:rPr>
                <w:rFonts w:cs="Arial"/>
                <w:b/>
                <w:bCs/>
                <w:sz w:val="18"/>
                <w:szCs w:val="18"/>
                <w:lang w:eastAsia="en-CA"/>
              </w:rPr>
            </w:pPr>
          </w:p>
        </w:tc>
        <w:tc>
          <w:tcPr>
            <w:tcW w:w="3402" w:type="dxa"/>
            <w:gridSpan w:val="5"/>
            <w:tcBorders>
              <w:top w:val="single" w:sz="12" w:space="0" w:color="auto"/>
              <w:left w:val="nil"/>
              <w:bottom w:val="single" w:sz="4" w:space="0" w:color="auto"/>
              <w:right w:val="nil"/>
            </w:tcBorders>
            <w:noWrap/>
            <w:vAlign w:val="bottom"/>
            <w:hideMark/>
          </w:tcPr>
          <w:p w14:paraId="641C2FB8" w14:textId="77777777" w:rsidR="009A5578" w:rsidRPr="00B47245" w:rsidRDefault="009A5578" w:rsidP="00591EC8">
            <w:pPr>
              <w:jc w:val="center"/>
              <w:rPr>
                <w:rFonts w:cs="Arial"/>
                <w:b/>
                <w:bCs/>
                <w:sz w:val="18"/>
                <w:szCs w:val="18"/>
                <w:lang w:eastAsia="en-CA"/>
              </w:rPr>
            </w:pPr>
            <w:r>
              <w:rPr>
                <w:rFonts w:cs="Arial"/>
                <w:b/>
                <w:bCs/>
                <w:sz w:val="18"/>
                <w:szCs w:val="18"/>
                <w:lang w:eastAsia="en-CA"/>
              </w:rPr>
              <w:t>NGL</w:t>
            </w:r>
          </w:p>
        </w:tc>
      </w:tr>
      <w:tr w:rsidR="00E72DAF" w14:paraId="519958A6" w14:textId="77777777" w:rsidTr="00B92A8A">
        <w:trPr>
          <w:trHeight w:val="130"/>
        </w:trPr>
        <w:tc>
          <w:tcPr>
            <w:tcW w:w="2127" w:type="dxa"/>
            <w:tcBorders>
              <w:top w:val="nil"/>
              <w:left w:val="nil"/>
              <w:bottom w:val="single" w:sz="4" w:space="0" w:color="auto"/>
              <w:right w:val="nil"/>
            </w:tcBorders>
            <w:noWrap/>
            <w:vAlign w:val="bottom"/>
            <w:hideMark/>
          </w:tcPr>
          <w:p w14:paraId="782FCF01" w14:textId="3BDBC92A" w:rsidR="009A5578" w:rsidRPr="00B47245" w:rsidRDefault="00E91EF5" w:rsidP="00591EC8">
            <w:pPr>
              <w:ind w:left="-115"/>
              <w:rPr>
                <w:rFonts w:cs="Arial"/>
                <w:b/>
                <w:bCs/>
                <w:sz w:val="16"/>
                <w:szCs w:val="16"/>
                <w:lang w:eastAsia="en-CA"/>
              </w:rPr>
            </w:pPr>
            <w:r>
              <w:rPr>
                <w:rFonts w:cs="Arial"/>
                <w:b/>
                <w:sz w:val="16"/>
                <w:szCs w:val="16"/>
              </w:rPr>
              <w:t>June 30</w:t>
            </w:r>
          </w:p>
        </w:tc>
        <w:tc>
          <w:tcPr>
            <w:tcW w:w="1842" w:type="dxa"/>
            <w:gridSpan w:val="2"/>
            <w:tcBorders>
              <w:top w:val="nil"/>
              <w:left w:val="nil"/>
              <w:bottom w:val="single" w:sz="4" w:space="0" w:color="auto"/>
              <w:right w:val="nil"/>
            </w:tcBorders>
            <w:noWrap/>
            <w:vAlign w:val="bottom"/>
            <w:hideMark/>
          </w:tcPr>
          <w:p w14:paraId="5D2544CF" w14:textId="018159E2" w:rsidR="009A5578" w:rsidRPr="00B47245" w:rsidRDefault="009A5578" w:rsidP="00591EC8">
            <w:pPr>
              <w:jc w:val="center"/>
              <w:rPr>
                <w:rFonts w:cs="Arial"/>
                <w:b/>
                <w:bCs/>
                <w:sz w:val="16"/>
                <w:szCs w:val="16"/>
                <w:lang w:eastAsia="en-CA"/>
              </w:rPr>
            </w:pPr>
            <w:r>
              <w:rPr>
                <w:rFonts w:cs="Arial"/>
                <w:b/>
                <w:bCs/>
                <w:sz w:val="16"/>
                <w:szCs w:val="16"/>
                <w:lang w:eastAsia="en-CA"/>
              </w:rPr>
              <w:t>202</w:t>
            </w:r>
            <w:r w:rsidR="00812908">
              <w:rPr>
                <w:rFonts w:cs="Arial"/>
                <w:b/>
                <w:bCs/>
                <w:sz w:val="16"/>
                <w:szCs w:val="16"/>
                <w:lang w:eastAsia="en-CA"/>
              </w:rPr>
              <w:t>6</w:t>
            </w:r>
          </w:p>
        </w:tc>
        <w:tc>
          <w:tcPr>
            <w:tcW w:w="284" w:type="dxa"/>
            <w:tcBorders>
              <w:top w:val="nil"/>
              <w:left w:val="nil"/>
              <w:bottom w:val="single" w:sz="4" w:space="0" w:color="auto"/>
              <w:right w:val="nil"/>
            </w:tcBorders>
            <w:noWrap/>
            <w:vAlign w:val="bottom"/>
            <w:hideMark/>
          </w:tcPr>
          <w:p w14:paraId="79CDA551" w14:textId="77777777" w:rsidR="009A5578" w:rsidRPr="00B47245" w:rsidRDefault="009A5578" w:rsidP="00591EC8">
            <w:pPr>
              <w:jc w:val="center"/>
              <w:rPr>
                <w:rFonts w:cs="Arial"/>
                <w:b/>
                <w:bCs/>
                <w:sz w:val="16"/>
                <w:szCs w:val="16"/>
                <w:lang w:eastAsia="en-CA"/>
              </w:rPr>
            </w:pPr>
          </w:p>
        </w:tc>
        <w:tc>
          <w:tcPr>
            <w:tcW w:w="1701" w:type="dxa"/>
            <w:gridSpan w:val="2"/>
            <w:tcBorders>
              <w:top w:val="nil"/>
              <w:left w:val="nil"/>
              <w:bottom w:val="single" w:sz="4" w:space="0" w:color="auto"/>
              <w:right w:val="nil"/>
            </w:tcBorders>
            <w:noWrap/>
            <w:vAlign w:val="bottom"/>
            <w:hideMark/>
          </w:tcPr>
          <w:p w14:paraId="614C18BF" w14:textId="778A1C70" w:rsidR="009A5578" w:rsidRPr="00B47245" w:rsidRDefault="009A5578" w:rsidP="00591EC8">
            <w:pPr>
              <w:jc w:val="center"/>
              <w:rPr>
                <w:rFonts w:cs="Arial"/>
                <w:b/>
                <w:bCs/>
                <w:sz w:val="16"/>
                <w:szCs w:val="16"/>
                <w:lang w:eastAsia="en-CA"/>
              </w:rPr>
            </w:pPr>
            <w:r>
              <w:rPr>
                <w:rFonts w:cs="Arial"/>
                <w:b/>
                <w:bCs/>
                <w:sz w:val="16"/>
                <w:szCs w:val="16"/>
                <w:lang w:eastAsia="en-CA"/>
              </w:rPr>
              <w:t>202</w:t>
            </w:r>
            <w:r w:rsidR="00812908">
              <w:rPr>
                <w:rFonts w:cs="Arial"/>
                <w:b/>
                <w:bCs/>
                <w:sz w:val="16"/>
                <w:szCs w:val="16"/>
                <w:lang w:eastAsia="en-CA"/>
              </w:rPr>
              <w:t>5</w:t>
            </w:r>
          </w:p>
        </w:tc>
        <w:tc>
          <w:tcPr>
            <w:tcW w:w="283" w:type="dxa"/>
            <w:tcBorders>
              <w:top w:val="nil"/>
              <w:left w:val="nil"/>
              <w:bottom w:val="single" w:sz="4" w:space="0" w:color="auto"/>
              <w:right w:val="nil"/>
            </w:tcBorders>
            <w:noWrap/>
            <w:vAlign w:val="bottom"/>
            <w:hideMark/>
          </w:tcPr>
          <w:p w14:paraId="3F5E4F33" w14:textId="77777777" w:rsidR="009A5578" w:rsidRPr="00B47245" w:rsidRDefault="009A5578" w:rsidP="00591EC8">
            <w:pPr>
              <w:jc w:val="center"/>
              <w:rPr>
                <w:rFonts w:cs="Arial"/>
                <w:b/>
                <w:bCs/>
                <w:sz w:val="16"/>
                <w:szCs w:val="16"/>
                <w:lang w:eastAsia="en-CA"/>
              </w:rPr>
            </w:pPr>
          </w:p>
        </w:tc>
        <w:tc>
          <w:tcPr>
            <w:tcW w:w="1560" w:type="dxa"/>
            <w:gridSpan w:val="2"/>
            <w:tcBorders>
              <w:top w:val="nil"/>
              <w:left w:val="nil"/>
              <w:bottom w:val="single" w:sz="4" w:space="0" w:color="auto"/>
              <w:right w:val="nil"/>
            </w:tcBorders>
            <w:noWrap/>
            <w:vAlign w:val="bottom"/>
            <w:hideMark/>
          </w:tcPr>
          <w:p w14:paraId="20111C04" w14:textId="1559D156" w:rsidR="009A5578" w:rsidRPr="00B47245" w:rsidRDefault="009A5578" w:rsidP="00591EC8">
            <w:pPr>
              <w:jc w:val="center"/>
              <w:rPr>
                <w:rFonts w:cs="Arial"/>
                <w:b/>
                <w:bCs/>
                <w:sz w:val="16"/>
                <w:szCs w:val="16"/>
                <w:lang w:eastAsia="en-CA"/>
              </w:rPr>
            </w:pPr>
            <w:r>
              <w:rPr>
                <w:rFonts w:cs="Arial"/>
                <w:b/>
                <w:bCs/>
                <w:sz w:val="16"/>
                <w:szCs w:val="16"/>
                <w:lang w:eastAsia="en-CA"/>
              </w:rPr>
              <w:t>202</w:t>
            </w:r>
            <w:r w:rsidR="00812908">
              <w:rPr>
                <w:rFonts w:cs="Arial"/>
                <w:b/>
                <w:bCs/>
                <w:sz w:val="16"/>
                <w:szCs w:val="16"/>
                <w:lang w:eastAsia="en-CA"/>
              </w:rPr>
              <w:t>6</w:t>
            </w:r>
          </w:p>
        </w:tc>
        <w:tc>
          <w:tcPr>
            <w:tcW w:w="283" w:type="dxa"/>
            <w:tcBorders>
              <w:top w:val="nil"/>
              <w:left w:val="nil"/>
              <w:bottom w:val="single" w:sz="4" w:space="0" w:color="auto"/>
              <w:right w:val="nil"/>
            </w:tcBorders>
            <w:noWrap/>
            <w:vAlign w:val="bottom"/>
            <w:hideMark/>
          </w:tcPr>
          <w:p w14:paraId="4B6C79AE" w14:textId="77777777" w:rsidR="009A5578" w:rsidRPr="00B47245" w:rsidRDefault="009A5578" w:rsidP="00591EC8">
            <w:pPr>
              <w:jc w:val="center"/>
              <w:rPr>
                <w:rFonts w:cs="Arial"/>
                <w:b/>
                <w:bCs/>
                <w:sz w:val="16"/>
                <w:szCs w:val="16"/>
                <w:lang w:eastAsia="en-CA"/>
              </w:rPr>
            </w:pPr>
          </w:p>
        </w:tc>
        <w:tc>
          <w:tcPr>
            <w:tcW w:w="1559" w:type="dxa"/>
            <w:gridSpan w:val="2"/>
            <w:tcBorders>
              <w:top w:val="nil"/>
              <w:left w:val="nil"/>
              <w:bottom w:val="single" w:sz="4" w:space="0" w:color="auto"/>
              <w:right w:val="nil"/>
            </w:tcBorders>
            <w:noWrap/>
            <w:vAlign w:val="bottom"/>
            <w:hideMark/>
          </w:tcPr>
          <w:p w14:paraId="1B84D2D8" w14:textId="42BD8DAE" w:rsidR="009A5578" w:rsidRPr="00B47245" w:rsidRDefault="009A5578" w:rsidP="00591EC8">
            <w:pPr>
              <w:jc w:val="center"/>
              <w:rPr>
                <w:rFonts w:cs="Arial"/>
                <w:b/>
                <w:bCs/>
                <w:sz w:val="16"/>
                <w:szCs w:val="16"/>
                <w:lang w:eastAsia="en-CA"/>
              </w:rPr>
            </w:pPr>
            <w:r>
              <w:rPr>
                <w:rFonts w:cs="Arial"/>
                <w:b/>
                <w:bCs/>
                <w:sz w:val="16"/>
                <w:szCs w:val="16"/>
                <w:lang w:eastAsia="en-CA"/>
              </w:rPr>
              <w:t>202</w:t>
            </w:r>
            <w:r w:rsidR="00812908">
              <w:rPr>
                <w:rFonts w:cs="Arial"/>
                <w:b/>
                <w:bCs/>
                <w:sz w:val="16"/>
                <w:szCs w:val="16"/>
                <w:lang w:eastAsia="en-CA"/>
              </w:rPr>
              <w:t>5</w:t>
            </w:r>
          </w:p>
        </w:tc>
      </w:tr>
      <w:tr w:rsidR="00E72DAF" w14:paraId="385A67B8" w14:textId="77777777" w:rsidTr="00B92A8A">
        <w:trPr>
          <w:trHeight w:val="254"/>
        </w:trPr>
        <w:tc>
          <w:tcPr>
            <w:tcW w:w="2127" w:type="dxa"/>
            <w:tcBorders>
              <w:top w:val="nil"/>
              <w:left w:val="nil"/>
              <w:bottom w:val="single" w:sz="4" w:space="0" w:color="auto"/>
              <w:right w:val="nil"/>
            </w:tcBorders>
            <w:noWrap/>
            <w:vAlign w:val="bottom"/>
            <w:hideMark/>
          </w:tcPr>
          <w:p w14:paraId="02EAAA48" w14:textId="77777777" w:rsidR="009A5578" w:rsidRPr="00B47245" w:rsidRDefault="009A5578" w:rsidP="00591EC8">
            <w:pPr>
              <w:jc w:val="center"/>
              <w:rPr>
                <w:rFonts w:cs="Arial"/>
                <w:b/>
                <w:bCs/>
                <w:sz w:val="16"/>
                <w:szCs w:val="16"/>
                <w:lang w:eastAsia="en-CA"/>
              </w:rPr>
            </w:pPr>
          </w:p>
        </w:tc>
        <w:tc>
          <w:tcPr>
            <w:tcW w:w="1134" w:type="dxa"/>
            <w:tcBorders>
              <w:top w:val="nil"/>
              <w:left w:val="nil"/>
              <w:bottom w:val="single" w:sz="4" w:space="0" w:color="auto"/>
              <w:right w:val="nil"/>
            </w:tcBorders>
            <w:vAlign w:val="center"/>
            <w:hideMark/>
          </w:tcPr>
          <w:p w14:paraId="7F9334B0" w14:textId="77777777" w:rsidR="009A5578" w:rsidRPr="00B47245" w:rsidRDefault="00680A95" w:rsidP="00591EC8">
            <w:pPr>
              <w:jc w:val="center"/>
              <w:rPr>
                <w:rFonts w:cs="Arial"/>
                <w:color w:val="000000"/>
                <w:sz w:val="16"/>
                <w:szCs w:val="16"/>
                <w:lang w:eastAsia="en-CA"/>
              </w:rPr>
            </w:pPr>
            <w:proofErr w:type="spellStart"/>
            <w:r>
              <w:rPr>
                <w:rFonts w:cs="Arial"/>
                <w:color w:val="000000"/>
                <w:sz w:val="16"/>
                <w:szCs w:val="16"/>
                <w:lang w:eastAsia="en-CA"/>
              </w:rPr>
              <w:t>bbls</w:t>
            </w:r>
            <w:proofErr w:type="spellEnd"/>
          </w:p>
        </w:tc>
        <w:tc>
          <w:tcPr>
            <w:tcW w:w="708" w:type="dxa"/>
            <w:tcBorders>
              <w:top w:val="nil"/>
              <w:left w:val="nil"/>
              <w:bottom w:val="single" w:sz="4" w:space="0" w:color="auto"/>
              <w:right w:val="nil"/>
            </w:tcBorders>
            <w:vAlign w:val="center"/>
            <w:hideMark/>
          </w:tcPr>
          <w:p w14:paraId="4D594E68" w14:textId="77777777" w:rsidR="009A5578" w:rsidRPr="00B47245" w:rsidRDefault="009A5578" w:rsidP="00591EC8">
            <w:pPr>
              <w:ind w:left="-25" w:right="-115"/>
              <w:rPr>
                <w:rFonts w:cs="Arial"/>
                <w:color w:val="000000"/>
                <w:sz w:val="16"/>
                <w:szCs w:val="16"/>
                <w:lang w:eastAsia="en-CA"/>
              </w:rPr>
            </w:pPr>
            <w:proofErr w:type="spellStart"/>
            <w:r>
              <w:rPr>
                <w:rFonts w:cs="Arial"/>
                <w:color w:val="000000"/>
                <w:sz w:val="16"/>
                <w:szCs w:val="16"/>
                <w:lang w:eastAsia="en-CA"/>
              </w:rPr>
              <w:t>bbls</w:t>
            </w:r>
            <w:proofErr w:type="spellEnd"/>
            <w:r>
              <w:rPr>
                <w:rFonts w:cs="Arial"/>
                <w:color w:val="000000"/>
                <w:sz w:val="16"/>
                <w:szCs w:val="16"/>
                <w:lang w:eastAsia="en-CA"/>
              </w:rPr>
              <w:t xml:space="preserve"> per day</w:t>
            </w:r>
          </w:p>
        </w:tc>
        <w:tc>
          <w:tcPr>
            <w:tcW w:w="284" w:type="dxa"/>
            <w:tcBorders>
              <w:top w:val="nil"/>
              <w:left w:val="nil"/>
              <w:bottom w:val="single" w:sz="4" w:space="0" w:color="auto"/>
              <w:right w:val="nil"/>
            </w:tcBorders>
            <w:noWrap/>
            <w:vAlign w:val="center"/>
            <w:hideMark/>
          </w:tcPr>
          <w:p w14:paraId="7621D01B" w14:textId="77777777" w:rsidR="009A5578" w:rsidRPr="00B47245" w:rsidRDefault="009A5578" w:rsidP="00591EC8">
            <w:pPr>
              <w:jc w:val="center"/>
              <w:rPr>
                <w:rFonts w:cs="Arial"/>
                <w:color w:val="000000"/>
                <w:sz w:val="16"/>
                <w:szCs w:val="16"/>
                <w:lang w:eastAsia="en-CA"/>
              </w:rPr>
            </w:pPr>
          </w:p>
        </w:tc>
        <w:tc>
          <w:tcPr>
            <w:tcW w:w="992" w:type="dxa"/>
            <w:tcBorders>
              <w:top w:val="nil"/>
              <w:left w:val="nil"/>
              <w:bottom w:val="single" w:sz="4" w:space="0" w:color="auto"/>
              <w:right w:val="nil"/>
            </w:tcBorders>
            <w:vAlign w:val="center"/>
            <w:hideMark/>
          </w:tcPr>
          <w:p w14:paraId="0A39A455" w14:textId="77777777" w:rsidR="009A5578" w:rsidRPr="00B47245" w:rsidRDefault="009A5578" w:rsidP="00591EC8">
            <w:pPr>
              <w:jc w:val="center"/>
              <w:rPr>
                <w:rFonts w:cs="Arial"/>
                <w:color w:val="000000"/>
                <w:sz w:val="16"/>
                <w:szCs w:val="16"/>
                <w:lang w:eastAsia="en-CA"/>
              </w:rPr>
            </w:pPr>
            <w:proofErr w:type="spellStart"/>
            <w:r>
              <w:rPr>
                <w:rFonts w:cs="Arial"/>
                <w:color w:val="000000"/>
                <w:sz w:val="16"/>
                <w:szCs w:val="16"/>
                <w:lang w:eastAsia="en-CA"/>
              </w:rPr>
              <w:t>bbls</w:t>
            </w:r>
            <w:proofErr w:type="spellEnd"/>
          </w:p>
        </w:tc>
        <w:tc>
          <w:tcPr>
            <w:tcW w:w="709" w:type="dxa"/>
            <w:tcBorders>
              <w:top w:val="nil"/>
              <w:left w:val="nil"/>
              <w:bottom w:val="single" w:sz="4" w:space="0" w:color="auto"/>
              <w:right w:val="nil"/>
            </w:tcBorders>
            <w:vAlign w:val="center"/>
            <w:hideMark/>
          </w:tcPr>
          <w:p w14:paraId="6062028E" w14:textId="77777777" w:rsidR="009A5578" w:rsidRPr="00B47245" w:rsidRDefault="009A5578" w:rsidP="00591EC8">
            <w:pPr>
              <w:ind w:left="-25" w:right="-115"/>
              <w:rPr>
                <w:rFonts w:cs="Arial"/>
                <w:color w:val="000000"/>
                <w:sz w:val="16"/>
                <w:szCs w:val="16"/>
                <w:lang w:eastAsia="en-CA"/>
              </w:rPr>
            </w:pPr>
            <w:proofErr w:type="spellStart"/>
            <w:r>
              <w:rPr>
                <w:rFonts w:cs="Arial"/>
                <w:color w:val="000000"/>
                <w:sz w:val="16"/>
                <w:szCs w:val="16"/>
                <w:lang w:eastAsia="en-CA"/>
              </w:rPr>
              <w:t>bbls</w:t>
            </w:r>
            <w:proofErr w:type="spellEnd"/>
            <w:r>
              <w:rPr>
                <w:rFonts w:cs="Arial"/>
                <w:color w:val="000000"/>
                <w:sz w:val="16"/>
                <w:szCs w:val="16"/>
                <w:lang w:eastAsia="en-CA"/>
              </w:rPr>
              <w:t xml:space="preserve"> per day</w:t>
            </w:r>
          </w:p>
        </w:tc>
        <w:tc>
          <w:tcPr>
            <w:tcW w:w="283" w:type="dxa"/>
            <w:tcBorders>
              <w:top w:val="nil"/>
              <w:left w:val="nil"/>
              <w:bottom w:val="single" w:sz="4" w:space="0" w:color="auto"/>
              <w:right w:val="nil"/>
            </w:tcBorders>
            <w:vAlign w:val="center"/>
            <w:hideMark/>
          </w:tcPr>
          <w:p w14:paraId="2B08EBD6" w14:textId="77777777" w:rsidR="009A5578" w:rsidRPr="00B47245" w:rsidRDefault="009A5578" w:rsidP="00591EC8">
            <w:pPr>
              <w:jc w:val="center"/>
              <w:rPr>
                <w:rFonts w:cs="Arial"/>
                <w:color w:val="000000"/>
                <w:sz w:val="16"/>
                <w:szCs w:val="16"/>
                <w:lang w:eastAsia="en-CA"/>
              </w:rPr>
            </w:pPr>
          </w:p>
        </w:tc>
        <w:tc>
          <w:tcPr>
            <w:tcW w:w="851" w:type="dxa"/>
            <w:tcBorders>
              <w:top w:val="nil"/>
              <w:left w:val="nil"/>
              <w:bottom w:val="single" w:sz="4" w:space="0" w:color="auto"/>
              <w:right w:val="nil"/>
            </w:tcBorders>
            <w:vAlign w:val="center"/>
            <w:hideMark/>
          </w:tcPr>
          <w:p w14:paraId="104C39F3" w14:textId="77777777" w:rsidR="009A5578" w:rsidRPr="00B47245" w:rsidRDefault="00EB6C37" w:rsidP="00591EC8">
            <w:pPr>
              <w:jc w:val="center"/>
              <w:rPr>
                <w:rFonts w:cs="Arial"/>
                <w:color w:val="000000"/>
                <w:sz w:val="16"/>
                <w:szCs w:val="16"/>
                <w:lang w:eastAsia="en-CA"/>
              </w:rPr>
            </w:pPr>
            <w:proofErr w:type="spellStart"/>
            <w:r>
              <w:rPr>
                <w:rFonts w:cs="Arial"/>
                <w:color w:val="000000"/>
                <w:sz w:val="16"/>
                <w:szCs w:val="16"/>
                <w:lang w:eastAsia="en-CA"/>
              </w:rPr>
              <w:t>bbls</w:t>
            </w:r>
            <w:proofErr w:type="spellEnd"/>
          </w:p>
        </w:tc>
        <w:tc>
          <w:tcPr>
            <w:tcW w:w="709" w:type="dxa"/>
            <w:tcBorders>
              <w:top w:val="nil"/>
              <w:left w:val="nil"/>
              <w:bottom w:val="single" w:sz="4" w:space="0" w:color="auto"/>
              <w:right w:val="nil"/>
            </w:tcBorders>
            <w:vAlign w:val="center"/>
            <w:hideMark/>
          </w:tcPr>
          <w:p w14:paraId="5757E483" w14:textId="77777777" w:rsidR="009A5578" w:rsidRPr="00B47245" w:rsidRDefault="009A5578" w:rsidP="00591EC8">
            <w:pPr>
              <w:ind w:left="-25" w:right="-115"/>
              <w:rPr>
                <w:rFonts w:cs="Arial"/>
                <w:color w:val="000000"/>
                <w:sz w:val="16"/>
                <w:szCs w:val="16"/>
                <w:lang w:eastAsia="en-CA"/>
              </w:rPr>
            </w:pPr>
            <w:proofErr w:type="spellStart"/>
            <w:r>
              <w:rPr>
                <w:rFonts w:cs="Arial"/>
                <w:color w:val="000000"/>
                <w:sz w:val="16"/>
                <w:szCs w:val="16"/>
                <w:lang w:eastAsia="en-CA"/>
              </w:rPr>
              <w:t>bbls</w:t>
            </w:r>
            <w:proofErr w:type="spellEnd"/>
            <w:r>
              <w:rPr>
                <w:rFonts w:cs="Arial"/>
                <w:color w:val="000000"/>
                <w:sz w:val="16"/>
                <w:szCs w:val="16"/>
                <w:lang w:eastAsia="en-CA"/>
              </w:rPr>
              <w:t xml:space="preserve"> per day</w:t>
            </w:r>
          </w:p>
        </w:tc>
        <w:tc>
          <w:tcPr>
            <w:tcW w:w="283" w:type="dxa"/>
            <w:tcBorders>
              <w:top w:val="nil"/>
              <w:left w:val="nil"/>
              <w:bottom w:val="single" w:sz="4" w:space="0" w:color="auto"/>
              <w:right w:val="nil"/>
            </w:tcBorders>
            <w:vAlign w:val="center"/>
            <w:hideMark/>
          </w:tcPr>
          <w:p w14:paraId="61E64922" w14:textId="77777777" w:rsidR="009A5578" w:rsidRPr="00B47245" w:rsidRDefault="009A5578" w:rsidP="00591EC8">
            <w:pPr>
              <w:jc w:val="center"/>
              <w:rPr>
                <w:rFonts w:cs="Arial"/>
                <w:color w:val="000000"/>
                <w:sz w:val="16"/>
                <w:szCs w:val="16"/>
                <w:lang w:eastAsia="en-CA"/>
              </w:rPr>
            </w:pPr>
          </w:p>
        </w:tc>
        <w:tc>
          <w:tcPr>
            <w:tcW w:w="851" w:type="dxa"/>
            <w:tcBorders>
              <w:top w:val="nil"/>
              <w:left w:val="nil"/>
              <w:bottom w:val="single" w:sz="4" w:space="0" w:color="auto"/>
              <w:right w:val="nil"/>
            </w:tcBorders>
            <w:vAlign w:val="center"/>
            <w:hideMark/>
          </w:tcPr>
          <w:p w14:paraId="5A908B7F" w14:textId="77777777" w:rsidR="009A5578" w:rsidRPr="00B47245" w:rsidRDefault="009A5578" w:rsidP="00591EC8">
            <w:pPr>
              <w:jc w:val="center"/>
              <w:rPr>
                <w:rFonts w:cs="Arial"/>
                <w:color w:val="000000"/>
                <w:sz w:val="16"/>
                <w:szCs w:val="16"/>
                <w:lang w:eastAsia="en-CA"/>
              </w:rPr>
            </w:pPr>
            <w:proofErr w:type="spellStart"/>
            <w:r>
              <w:rPr>
                <w:rFonts w:cs="Arial"/>
                <w:color w:val="000000"/>
                <w:sz w:val="16"/>
                <w:szCs w:val="16"/>
                <w:lang w:eastAsia="en-CA"/>
              </w:rPr>
              <w:t>bbls</w:t>
            </w:r>
            <w:proofErr w:type="spellEnd"/>
          </w:p>
        </w:tc>
        <w:tc>
          <w:tcPr>
            <w:tcW w:w="708" w:type="dxa"/>
            <w:tcBorders>
              <w:top w:val="nil"/>
              <w:left w:val="nil"/>
              <w:bottom w:val="single" w:sz="4" w:space="0" w:color="auto"/>
              <w:right w:val="nil"/>
            </w:tcBorders>
            <w:vAlign w:val="center"/>
            <w:hideMark/>
          </w:tcPr>
          <w:p w14:paraId="7644616C" w14:textId="77777777" w:rsidR="009A5578" w:rsidRPr="00B47245" w:rsidRDefault="009A5578" w:rsidP="00591EC8">
            <w:pPr>
              <w:ind w:left="-25" w:right="-115"/>
              <w:rPr>
                <w:rFonts w:cs="Arial"/>
                <w:color w:val="000000"/>
                <w:sz w:val="16"/>
                <w:szCs w:val="16"/>
                <w:lang w:eastAsia="en-CA"/>
              </w:rPr>
            </w:pPr>
            <w:proofErr w:type="spellStart"/>
            <w:r>
              <w:rPr>
                <w:rFonts w:cs="Arial"/>
                <w:color w:val="000000"/>
                <w:sz w:val="16"/>
                <w:szCs w:val="16"/>
                <w:lang w:eastAsia="en-CA"/>
              </w:rPr>
              <w:t>bbls</w:t>
            </w:r>
            <w:proofErr w:type="spellEnd"/>
            <w:r>
              <w:rPr>
                <w:rFonts w:cs="Arial"/>
                <w:color w:val="000000"/>
                <w:sz w:val="16"/>
                <w:szCs w:val="16"/>
                <w:lang w:eastAsia="en-CA"/>
              </w:rPr>
              <w:t xml:space="preserve"> per day</w:t>
            </w:r>
          </w:p>
        </w:tc>
      </w:tr>
      <w:tr w:rsidR="00D17E52" w14:paraId="1286B059" w14:textId="77777777" w:rsidTr="00B92A8A">
        <w:trPr>
          <w:trHeight w:val="245"/>
        </w:trPr>
        <w:tc>
          <w:tcPr>
            <w:tcW w:w="2127" w:type="dxa"/>
            <w:tcBorders>
              <w:top w:val="nil"/>
              <w:left w:val="nil"/>
              <w:bottom w:val="nil"/>
              <w:right w:val="nil"/>
            </w:tcBorders>
            <w:noWrap/>
            <w:vAlign w:val="bottom"/>
          </w:tcPr>
          <w:p w14:paraId="6FFFB790" w14:textId="5E865330" w:rsidR="00D17E52" w:rsidRDefault="00D17E52" w:rsidP="00D17E52">
            <w:pPr>
              <w:spacing w:before="60"/>
              <w:rPr>
                <w:rFonts w:cs="Arial"/>
                <w:sz w:val="18"/>
                <w:szCs w:val="18"/>
                <w:lang w:eastAsia="en-CA"/>
              </w:rPr>
            </w:pPr>
            <w:r>
              <w:rPr>
                <w:rFonts w:cs="Arial"/>
                <w:sz w:val="18"/>
                <w:szCs w:val="18"/>
                <w:lang w:eastAsia="en-CA"/>
              </w:rPr>
              <w:t>Inventory, January 1</w:t>
            </w:r>
          </w:p>
        </w:tc>
        <w:tc>
          <w:tcPr>
            <w:tcW w:w="1134" w:type="dxa"/>
            <w:tcBorders>
              <w:top w:val="nil"/>
              <w:left w:val="nil"/>
              <w:bottom w:val="nil"/>
              <w:right w:val="nil"/>
            </w:tcBorders>
            <w:noWrap/>
            <w:vAlign w:val="bottom"/>
          </w:tcPr>
          <w:p w14:paraId="40321149" w14:textId="0A903ABE" w:rsidR="00D17E52" w:rsidRPr="00E2337D" w:rsidRDefault="007B113D" w:rsidP="00D17E52">
            <w:pPr>
              <w:tabs>
                <w:tab w:val="decimal" w:pos="749"/>
              </w:tabs>
              <w:spacing w:before="60"/>
              <w:ind w:left="-115"/>
              <w:rPr>
                <w:rFonts w:cs="Arial"/>
                <w:color w:val="000000"/>
                <w:sz w:val="18"/>
                <w:szCs w:val="18"/>
                <w:lang w:eastAsia="en-CA"/>
              </w:rPr>
            </w:pPr>
            <w:r>
              <w:rPr>
                <w:rFonts w:cs="Arial"/>
                <w:color w:val="000000"/>
                <w:sz w:val="18"/>
                <w:szCs w:val="18"/>
                <w:lang w:eastAsia="en-CA"/>
              </w:rPr>
              <w:t>89,747</w:t>
            </w:r>
          </w:p>
        </w:tc>
        <w:tc>
          <w:tcPr>
            <w:tcW w:w="708" w:type="dxa"/>
            <w:tcBorders>
              <w:top w:val="nil"/>
              <w:left w:val="nil"/>
              <w:bottom w:val="nil"/>
              <w:right w:val="nil"/>
            </w:tcBorders>
            <w:noWrap/>
            <w:vAlign w:val="bottom"/>
          </w:tcPr>
          <w:p w14:paraId="5BCDF5B5" w14:textId="77777777" w:rsidR="00D17E52" w:rsidRPr="00E2337D" w:rsidRDefault="00D17E52" w:rsidP="00D17E52">
            <w:pPr>
              <w:tabs>
                <w:tab w:val="decimal" w:pos="335"/>
              </w:tabs>
              <w:spacing w:before="60"/>
              <w:ind w:left="-115"/>
              <w:rPr>
                <w:rFonts w:cs="Arial"/>
                <w:color w:val="000000"/>
                <w:sz w:val="18"/>
                <w:szCs w:val="18"/>
                <w:lang w:eastAsia="en-CA"/>
              </w:rPr>
            </w:pPr>
          </w:p>
        </w:tc>
        <w:tc>
          <w:tcPr>
            <w:tcW w:w="284" w:type="dxa"/>
            <w:tcBorders>
              <w:top w:val="nil"/>
              <w:left w:val="nil"/>
              <w:bottom w:val="nil"/>
              <w:right w:val="nil"/>
            </w:tcBorders>
            <w:noWrap/>
            <w:vAlign w:val="bottom"/>
          </w:tcPr>
          <w:p w14:paraId="075818F1" w14:textId="77777777" w:rsidR="00D17E52" w:rsidRPr="00B47245" w:rsidRDefault="00D17E52" w:rsidP="00D17E52">
            <w:pPr>
              <w:spacing w:before="60"/>
              <w:rPr>
                <w:rFonts w:ascii="Times New Roman" w:hAnsi="Times New Roman"/>
                <w:lang w:eastAsia="en-CA"/>
              </w:rPr>
            </w:pPr>
          </w:p>
        </w:tc>
        <w:tc>
          <w:tcPr>
            <w:tcW w:w="992" w:type="dxa"/>
            <w:tcBorders>
              <w:top w:val="nil"/>
              <w:left w:val="nil"/>
              <w:bottom w:val="nil"/>
              <w:right w:val="nil"/>
            </w:tcBorders>
            <w:noWrap/>
            <w:vAlign w:val="bottom"/>
          </w:tcPr>
          <w:p w14:paraId="59C19683" w14:textId="6B3D8A75" w:rsidR="00D17E52" w:rsidRDefault="00D17E52" w:rsidP="00D17E52">
            <w:pPr>
              <w:tabs>
                <w:tab w:val="decimal" w:pos="605"/>
              </w:tabs>
              <w:spacing w:before="60"/>
              <w:ind w:left="-115"/>
              <w:rPr>
                <w:rFonts w:cs="Arial"/>
                <w:color w:val="000000"/>
                <w:sz w:val="18"/>
                <w:szCs w:val="18"/>
                <w:lang w:eastAsia="en-CA"/>
              </w:rPr>
            </w:pPr>
            <w:r w:rsidRPr="00E2337D">
              <w:rPr>
                <w:sz w:val="18"/>
                <w:szCs w:val="18"/>
              </w:rPr>
              <w:t xml:space="preserve"> 36,023 </w:t>
            </w:r>
          </w:p>
        </w:tc>
        <w:tc>
          <w:tcPr>
            <w:tcW w:w="709" w:type="dxa"/>
            <w:tcBorders>
              <w:top w:val="nil"/>
              <w:left w:val="nil"/>
              <w:bottom w:val="nil"/>
              <w:right w:val="nil"/>
            </w:tcBorders>
            <w:noWrap/>
            <w:vAlign w:val="bottom"/>
          </w:tcPr>
          <w:p w14:paraId="72B80BEF" w14:textId="77777777" w:rsidR="00D17E52" w:rsidRPr="00B47245" w:rsidRDefault="00D17E52" w:rsidP="00D17E52">
            <w:pPr>
              <w:tabs>
                <w:tab w:val="decimal" w:pos="425"/>
              </w:tabs>
              <w:spacing w:before="60"/>
              <w:rPr>
                <w:rFonts w:cs="Arial"/>
                <w:color w:val="000000"/>
                <w:sz w:val="18"/>
                <w:szCs w:val="18"/>
                <w:lang w:eastAsia="en-CA"/>
              </w:rPr>
            </w:pPr>
          </w:p>
        </w:tc>
        <w:tc>
          <w:tcPr>
            <w:tcW w:w="283" w:type="dxa"/>
            <w:tcBorders>
              <w:top w:val="nil"/>
              <w:left w:val="nil"/>
              <w:bottom w:val="nil"/>
              <w:right w:val="nil"/>
            </w:tcBorders>
            <w:noWrap/>
            <w:vAlign w:val="bottom"/>
          </w:tcPr>
          <w:p w14:paraId="19AEC2B1" w14:textId="77777777" w:rsidR="00D17E52" w:rsidRPr="00B47245" w:rsidRDefault="00D17E52" w:rsidP="00D17E52">
            <w:pPr>
              <w:spacing w:before="60"/>
              <w:rPr>
                <w:rFonts w:ascii="Times New Roman" w:hAnsi="Times New Roman"/>
                <w:lang w:eastAsia="en-CA"/>
              </w:rPr>
            </w:pPr>
          </w:p>
        </w:tc>
        <w:tc>
          <w:tcPr>
            <w:tcW w:w="851" w:type="dxa"/>
            <w:tcBorders>
              <w:top w:val="nil"/>
              <w:left w:val="nil"/>
              <w:bottom w:val="nil"/>
              <w:right w:val="nil"/>
            </w:tcBorders>
            <w:noWrap/>
            <w:vAlign w:val="bottom"/>
          </w:tcPr>
          <w:p w14:paraId="606FC54F" w14:textId="2268A2E3" w:rsidR="00D17E52" w:rsidRPr="00180CE2" w:rsidRDefault="007B113D" w:rsidP="00D17E52">
            <w:pPr>
              <w:tabs>
                <w:tab w:val="decimal" w:pos="562"/>
              </w:tabs>
              <w:spacing w:before="60"/>
              <w:rPr>
                <w:rFonts w:cs="Arial"/>
                <w:color w:val="000000"/>
                <w:sz w:val="18"/>
                <w:szCs w:val="18"/>
                <w:lang w:eastAsia="en-CA"/>
              </w:rPr>
            </w:pPr>
            <w:r>
              <w:rPr>
                <w:rFonts w:cs="Arial"/>
                <w:color w:val="000000"/>
                <w:sz w:val="18"/>
                <w:szCs w:val="18"/>
                <w:lang w:eastAsia="en-CA"/>
              </w:rPr>
              <w:t>469</w:t>
            </w:r>
          </w:p>
        </w:tc>
        <w:tc>
          <w:tcPr>
            <w:tcW w:w="709" w:type="dxa"/>
            <w:tcBorders>
              <w:top w:val="nil"/>
              <w:left w:val="nil"/>
              <w:bottom w:val="nil"/>
              <w:right w:val="nil"/>
            </w:tcBorders>
            <w:noWrap/>
            <w:vAlign w:val="bottom"/>
          </w:tcPr>
          <w:p w14:paraId="3AF14CB4" w14:textId="77777777" w:rsidR="00D17E52" w:rsidRPr="00180CE2" w:rsidRDefault="00D17E52" w:rsidP="00D17E52">
            <w:pPr>
              <w:tabs>
                <w:tab w:val="decimal" w:pos="354"/>
              </w:tabs>
              <w:spacing w:before="60"/>
              <w:rPr>
                <w:rFonts w:cs="Arial"/>
                <w:color w:val="000000"/>
                <w:sz w:val="18"/>
                <w:szCs w:val="18"/>
                <w:lang w:eastAsia="en-CA"/>
              </w:rPr>
            </w:pPr>
          </w:p>
        </w:tc>
        <w:tc>
          <w:tcPr>
            <w:tcW w:w="283" w:type="dxa"/>
            <w:tcBorders>
              <w:top w:val="nil"/>
              <w:left w:val="nil"/>
              <w:bottom w:val="nil"/>
              <w:right w:val="nil"/>
            </w:tcBorders>
            <w:noWrap/>
            <w:vAlign w:val="bottom"/>
          </w:tcPr>
          <w:p w14:paraId="56186989" w14:textId="77777777" w:rsidR="00D17E52" w:rsidRPr="00B47245" w:rsidRDefault="00D17E52" w:rsidP="00D17E52">
            <w:pPr>
              <w:spacing w:before="60"/>
              <w:rPr>
                <w:rFonts w:ascii="Times New Roman" w:hAnsi="Times New Roman"/>
                <w:lang w:eastAsia="en-CA"/>
              </w:rPr>
            </w:pPr>
          </w:p>
        </w:tc>
        <w:tc>
          <w:tcPr>
            <w:tcW w:w="851" w:type="dxa"/>
            <w:tcBorders>
              <w:top w:val="nil"/>
              <w:left w:val="nil"/>
              <w:bottom w:val="nil"/>
              <w:right w:val="nil"/>
            </w:tcBorders>
            <w:noWrap/>
            <w:vAlign w:val="bottom"/>
          </w:tcPr>
          <w:p w14:paraId="019585F0" w14:textId="36295671" w:rsidR="00D17E52" w:rsidRDefault="00D17E52" w:rsidP="00B92A8A">
            <w:pPr>
              <w:tabs>
                <w:tab w:val="decimal" w:pos="457"/>
              </w:tabs>
              <w:spacing w:before="60"/>
              <w:ind w:left="-115" w:right="-115"/>
              <w:rPr>
                <w:rFonts w:cs="Arial"/>
                <w:color w:val="000000"/>
                <w:sz w:val="18"/>
                <w:szCs w:val="18"/>
                <w:lang w:eastAsia="en-CA"/>
              </w:rPr>
            </w:pPr>
            <w:r w:rsidRPr="00180CE2">
              <w:rPr>
                <w:sz w:val="18"/>
                <w:szCs w:val="18"/>
              </w:rPr>
              <w:t xml:space="preserve"> 472 </w:t>
            </w:r>
          </w:p>
        </w:tc>
        <w:tc>
          <w:tcPr>
            <w:tcW w:w="708" w:type="dxa"/>
            <w:tcBorders>
              <w:top w:val="nil"/>
              <w:left w:val="nil"/>
              <w:bottom w:val="nil"/>
              <w:right w:val="nil"/>
            </w:tcBorders>
            <w:noWrap/>
            <w:vAlign w:val="bottom"/>
          </w:tcPr>
          <w:p w14:paraId="60400182" w14:textId="77777777" w:rsidR="00D17E52" w:rsidRPr="00B47245" w:rsidRDefault="00D17E52" w:rsidP="00D17E52">
            <w:pPr>
              <w:tabs>
                <w:tab w:val="decimal" w:pos="335"/>
              </w:tabs>
              <w:spacing w:before="60"/>
              <w:rPr>
                <w:rFonts w:cs="Arial"/>
                <w:color w:val="000000"/>
                <w:sz w:val="18"/>
                <w:szCs w:val="18"/>
                <w:lang w:eastAsia="en-CA"/>
              </w:rPr>
            </w:pPr>
          </w:p>
        </w:tc>
      </w:tr>
      <w:tr w:rsidR="00AF5AA6" w14:paraId="57924F66" w14:textId="77777777" w:rsidTr="00B92A8A">
        <w:trPr>
          <w:trHeight w:val="80"/>
        </w:trPr>
        <w:tc>
          <w:tcPr>
            <w:tcW w:w="2127" w:type="dxa"/>
            <w:tcBorders>
              <w:top w:val="nil"/>
              <w:left w:val="nil"/>
              <w:right w:val="nil"/>
            </w:tcBorders>
            <w:noWrap/>
            <w:vAlign w:val="bottom"/>
            <w:hideMark/>
          </w:tcPr>
          <w:p w14:paraId="3D871397" w14:textId="77777777" w:rsidR="00AF5AA6" w:rsidRPr="00B47245" w:rsidRDefault="00AF5AA6" w:rsidP="00AF5AA6">
            <w:pPr>
              <w:rPr>
                <w:rFonts w:cs="Arial"/>
                <w:sz w:val="18"/>
                <w:szCs w:val="18"/>
                <w:lang w:eastAsia="en-CA"/>
              </w:rPr>
            </w:pPr>
            <w:r>
              <w:rPr>
                <w:rFonts w:cs="Arial"/>
                <w:sz w:val="18"/>
                <w:szCs w:val="18"/>
                <w:lang w:eastAsia="en-CA"/>
              </w:rPr>
              <w:t>Production</w:t>
            </w:r>
          </w:p>
        </w:tc>
        <w:tc>
          <w:tcPr>
            <w:tcW w:w="1134" w:type="dxa"/>
            <w:tcBorders>
              <w:top w:val="nil"/>
              <w:left w:val="nil"/>
              <w:right w:val="nil"/>
            </w:tcBorders>
            <w:noWrap/>
            <w:vAlign w:val="bottom"/>
          </w:tcPr>
          <w:p w14:paraId="02076931" w14:textId="0A56881E" w:rsidR="00AF5AA6" w:rsidRPr="00E2337D" w:rsidRDefault="00220550" w:rsidP="00AF5AA6">
            <w:pPr>
              <w:tabs>
                <w:tab w:val="decimal" w:pos="749"/>
              </w:tabs>
              <w:ind w:left="-115"/>
              <w:rPr>
                <w:rFonts w:cs="Arial"/>
                <w:color w:val="000000"/>
                <w:sz w:val="18"/>
                <w:szCs w:val="18"/>
                <w:lang w:eastAsia="en-CA"/>
              </w:rPr>
            </w:pPr>
            <w:r>
              <w:rPr>
                <w:rFonts w:cs="Arial"/>
                <w:color w:val="000000"/>
                <w:sz w:val="18"/>
                <w:szCs w:val="18"/>
                <w:lang w:eastAsia="en-CA"/>
              </w:rPr>
              <w:t>1,344,000</w:t>
            </w:r>
          </w:p>
        </w:tc>
        <w:tc>
          <w:tcPr>
            <w:tcW w:w="708" w:type="dxa"/>
            <w:tcBorders>
              <w:top w:val="nil"/>
              <w:left w:val="nil"/>
              <w:right w:val="nil"/>
            </w:tcBorders>
            <w:noWrap/>
            <w:vAlign w:val="bottom"/>
          </w:tcPr>
          <w:p w14:paraId="715B2E67" w14:textId="00A04293" w:rsidR="00AF5AA6" w:rsidRPr="00E2337D" w:rsidRDefault="00220550" w:rsidP="00AF5AA6">
            <w:pPr>
              <w:tabs>
                <w:tab w:val="decimal" w:pos="425"/>
              </w:tabs>
              <w:ind w:left="-115"/>
              <w:rPr>
                <w:rFonts w:cs="Arial"/>
                <w:color w:val="000000"/>
                <w:sz w:val="18"/>
                <w:szCs w:val="18"/>
                <w:lang w:eastAsia="en-CA"/>
              </w:rPr>
            </w:pPr>
            <w:r>
              <w:rPr>
                <w:rFonts w:cs="Arial"/>
                <w:color w:val="000000"/>
                <w:sz w:val="18"/>
                <w:szCs w:val="18"/>
                <w:lang w:eastAsia="en-CA"/>
              </w:rPr>
              <w:t>7,425</w:t>
            </w:r>
          </w:p>
        </w:tc>
        <w:tc>
          <w:tcPr>
            <w:tcW w:w="284" w:type="dxa"/>
            <w:tcBorders>
              <w:top w:val="nil"/>
              <w:left w:val="nil"/>
              <w:right w:val="nil"/>
            </w:tcBorders>
            <w:noWrap/>
            <w:vAlign w:val="bottom"/>
          </w:tcPr>
          <w:p w14:paraId="521008B3" w14:textId="77777777" w:rsidR="00AF5AA6" w:rsidRPr="00B47245" w:rsidRDefault="00AF5AA6" w:rsidP="00AF5AA6">
            <w:pPr>
              <w:rPr>
                <w:rFonts w:cs="Arial"/>
                <w:color w:val="000000"/>
                <w:sz w:val="18"/>
                <w:szCs w:val="18"/>
                <w:lang w:eastAsia="en-CA"/>
              </w:rPr>
            </w:pPr>
          </w:p>
        </w:tc>
        <w:tc>
          <w:tcPr>
            <w:tcW w:w="992" w:type="dxa"/>
            <w:tcBorders>
              <w:top w:val="nil"/>
              <w:left w:val="nil"/>
              <w:right w:val="nil"/>
            </w:tcBorders>
            <w:noWrap/>
          </w:tcPr>
          <w:p w14:paraId="4C2A9F5B" w14:textId="3940A31A" w:rsidR="00AF5AA6" w:rsidRPr="00B47245" w:rsidRDefault="00AF5AA6" w:rsidP="00AF5AA6">
            <w:pPr>
              <w:tabs>
                <w:tab w:val="decimal" w:pos="605"/>
              </w:tabs>
              <w:ind w:left="-115"/>
              <w:rPr>
                <w:rFonts w:cs="Arial"/>
                <w:color w:val="000000"/>
                <w:sz w:val="18"/>
                <w:szCs w:val="18"/>
                <w:lang w:eastAsia="en-CA"/>
              </w:rPr>
            </w:pPr>
            <w:r w:rsidRPr="009C07A7">
              <w:rPr>
                <w:sz w:val="18"/>
                <w:szCs w:val="18"/>
              </w:rPr>
              <w:t xml:space="preserve"> 686,377 </w:t>
            </w:r>
          </w:p>
        </w:tc>
        <w:tc>
          <w:tcPr>
            <w:tcW w:w="709" w:type="dxa"/>
            <w:tcBorders>
              <w:top w:val="nil"/>
              <w:left w:val="nil"/>
              <w:right w:val="nil"/>
            </w:tcBorders>
            <w:noWrap/>
          </w:tcPr>
          <w:p w14:paraId="1A304838" w14:textId="31F50A5A" w:rsidR="00AF5AA6" w:rsidRPr="00B47245" w:rsidRDefault="00AF5AA6" w:rsidP="00AF5AA6">
            <w:pPr>
              <w:tabs>
                <w:tab w:val="decimal" w:pos="425"/>
              </w:tabs>
              <w:ind w:left="-115"/>
              <w:rPr>
                <w:rFonts w:cs="Arial"/>
                <w:color w:val="000000"/>
                <w:sz w:val="18"/>
                <w:szCs w:val="18"/>
                <w:lang w:eastAsia="en-CA"/>
              </w:rPr>
            </w:pPr>
            <w:r w:rsidRPr="009C07A7">
              <w:rPr>
                <w:sz w:val="18"/>
                <w:szCs w:val="18"/>
              </w:rPr>
              <w:t xml:space="preserve"> 3,792 </w:t>
            </w:r>
          </w:p>
        </w:tc>
        <w:tc>
          <w:tcPr>
            <w:tcW w:w="283" w:type="dxa"/>
            <w:tcBorders>
              <w:top w:val="nil"/>
              <w:left w:val="nil"/>
              <w:right w:val="nil"/>
            </w:tcBorders>
            <w:noWrap/>
            <w:vAlign w:val="bottom"/>
          </w:tcPr>
          <w:p w14:paraId="494F3DDF" w14:textId="77777777" w:rsidR="00AF5AA6" w:rsidRPr="00B47245" w:rsidRDefault="00AF5AA6" w:rsidP="00AF5AA6">
            <w:pPr>
              <w:rPr>
                <w:rFonts w:cs="Arial"/>
                <w:color w:val="000000"/>
                <w:sz w:val="18"/>
                <w:szCs w:val="18"/>
                <w:lang w:eastAsia="en-CA"/>
              </w:rPr>
            </w:pPr>
          </w:p>
        </w:tc>
        <w:tc>
          <w:tcPr>
            <w:tcW w:w="851" w:type="dxa"/>
            <w:tcBorders>
              <w:top w:val="nil"/>
              <w:left w:val="nil"/>
              <w:right w:val="nil"/>
            </w:tcBorders>
            <w:noWrap/>
            <w:vAlign w:val="bottom"/>
          </w:tcPr>
          <w:p w14:paraId="00057054" w14:textId="4A42F54B" w:rsidR="00AF5AA6" w:rsidRPr="00180CE2" w:rsidRDefault="00220550" w:rsidP="00AF5AA6">
            <w:pPr>
              <w:tabs>
                <w:tab w:val="decimal" w:pos="562"/>
              </w:tabs>
              <w:rPr>
                <w:rFonts w:cs="Arial"/>
                <w:color w:val="000000"/>
                <w:sz w:val="18"/>
                <w:szCs w:val="18"/>
                <w:lang w:eastAsia="en-CA"/>
              </w:rPr>
            </w:pPr>
            <w:r>
              <w:rPr>
                <w:rFonts w:cs="Arial"/>
                <w:color w:val="000000"/>
                <w:sz w:val="18"/>
                <w:szCs w:val="18"/>
                <w:lang w:eastAsia="en-CA"/>
              </w:rPr>
              <w:t>640</w:t>
            </w:r>
          </w:p>
        </w:tc>
        <w:tc>
          <w:tcPr>
            <w:tcW w:w="709" w:type="dxa"/>
            <w:tcBorders>
              <w:top w:val="nil"/>
              <w:left w:val="nil"/>
              <w:right w:val="nil"/>
            </w:tcBorders>
            <w:noWrap/>
            <w:vAlign w:val="bottom"/>
          </w:tcPr>
          <w:p w14:paraId="6BB2F199" w14:textId="05C91817" w:rsidR="00AF5AA6" w:rsidRPr="00180CE2" w:rsidRDefault="00220550" w:rsidP="00AF5AA6">
            <w:pPr>
              <w:tabs>
                <w:tab w:val="decimal" w:pos="307"/>
              </w:tabs>
              <w:rPr>
                <w:rFonts w:cs="Arial"/>
                <w:color w:val="000000"/>
                <w:sz w:val="18"/>
                <w:szCs w:val="18"/>
                <w:lang w:eastAsia="en-CA"/>
              </w:rPr>
            </w:pPr>
            <w:r>
              <w:rPr>
                <w:rFonts w:cs="Arial"/>
                <w:color w:val="000000"/>
                <w:sz w:val="18"/>
                <w:szCs w:val="18"/>
                <w:lang w:eastAsia="en-CA"/>
              </w:rPr>
              <w:t>4</w:t>
            </w:r>
          </w:p>
        </w:tc>
        <w:tc>
          <w:tcPr>
            <w:tcW w:w="283" w:type="dxa"/>
            <w:tcBorders>
              <w:top w:val="nil"/>
              <w:left w:val="nil"/>
              <w:right w:val="nil"/>
            </w:tcBorders>
            <w:noWrap/>
            <w:vAlign w:val="bottom"/>
          </w:tcPr>
          <w:p w14:paraId="4AEB656E" w14:textId="77777777" w:rsidR="00AF5AA6" w:rsidRPr="00B47245" w:rsidRDefault="00AF5AA6" w:rsidP="00AF5AA6">
            <w:pPr>
              <w:rPr>
                <w:rFonts w:cs="Arial"/>
                <w:color w:val="000000"/>
                <w:sz w:val="18"/>
                <w:szCs w:val="18"/>
                <w:lang w:eastAsia="en-CA"/>
              </w:rPr>
            </w:pPr>
          </w:p>
        </w:tc>
        <w:tc>
          <w:tcPr>
            <w:tcW w:w="851" w:type="dxa"/>
            <w:tcBorders>
              <w:top w:val="nil"/>
              <w:left w:val="nil"/>
              <w:right w:val="nil"/>
            </w:tcBorders>
            <w:noWrap/>
          </w:tcPr>
          <w:p w14:paraId="439F157C" w14:textId="1F677719" w:rsidR="00AF5AA6" w:rsidRPr="00B47245" w:rsidRDefault="00AF5AA6" w:rsidP="00B92A8A">
            <w:pPr>
              <w:tabs>
                <w:tab w:val="decimal" w:pos="457"/>
              </w:tabs>
              <w:ind w:left="-115" w:right="-115"/>
              <w:rPr>
                <w:rFonts w:cs="Arial"/>
                <w:color w:val="000000"/>
                <w:sz w:val="18"/>
                <w:szCs w:val="18"/>
                <w:lang w:eastAsia="en-CA"/>
              </w:rPr>
            </w:pPr>
            <w:r w:rsidRPr="009C07A7">
              <w:rPr>
                <w:sz w:val="18"/>
                <w:szCs w:val="18"/>
              </w:rPr>
              <w:t xml:space="preserve">2,469 </w:t>
            </w:r>
          </w:p>
        </w:tc>
        <w:tc>
          <w:tcPr>
            <w:tcW w:w="708" w:type="dxa"/>
            <w:tcBorders>
              <w:top w:val="nil"/>
              <w:left w:val="nil"/>
              <w:right w:val="nil"/>
            </w:tcBorders>
            <w:noWrap/>
          </w:tcPr>
          <w:p w14:paraId="49081ECC" w14:textId="357B147C" w:rsidR="00AF5AA6" w:rsidRPr="00B47245" w:rsidRDefault="00AF5AA6" w:rsidP="00AF5AA6">
            <w:pPr>
              <w:tabs>
                <w:tab w:val="decimal" w:pos="335"/>
              </w:tabs>
              <w:rPr>
                <w:rFonts w:cs="Arial"/>
                <w:color w:val="000000"/>
                <w:sz w:val="18"/>
                <w:szCs w:val="18"/>
                <w:lang w:eastAsia="en-CA"/>
              </w:rPr>
            </w:pPr>
            <w:r w:rsidRPr="009C07A7">
              <w:rPr>
                <w:sz w:val="18"/>
                <w:szCs w:val="18"/>
              </w:rPr>
              <w:t xml:space="preserve"> 14 </w:t>
            </w:r>
          </w:p>
        </w:tc>
      </w:tr>
      <w:tr w:rsidR="00AF5AA6" w14:paraId="0D344FBF" w14:textId="77777777" w:rsidTr="00B92A8A">
        <w:trPr>
          <w:trHeight w:val="80"/>
        </w:trPr>
        <w:tc>
          <w:tcPr>
            <w:tcW w:w="2127" w:type="dxa"/>
            <w:tcBorders>
              <w:top w:val="nil"/>
              <w:left w:val="nil"/>
              <w:right w:val="nil"/>
            </w:tcBorders>
            <w:noWrap/>
            <w:vAlign w:val="bottom"/>
          </w:tcPr>
          <w:p w14:paraId="37BF494A" w14:textId="5A25742B" w:rsidR="00AF5AA6" w:rsidRPr="00E2337D" w:rsidRDefault="00AF5AA6" w:rsidP="00AF5AA6">
            <w:pPr>
              <w:rPr>
                <w:rFonts w:cs="Arial"/>
                <w:sz w:val="18"/>
                <w:szCs w:val="18"/>
                <w:lang w:eastAsia="en-CA"/>
              </w:rPr>
            </w:pPr>
            <w:r w:rsidRPr="00E2337D">
              <w:rPr>
                <w:rFonts w:cs="Arial"/>
                <w:sz w:val="18"/>
                <w:szCs w:val="18"/>
                <w:lang w:eastAsia="en-CA"/>
              </w:rPr>
              <w:t>In</w:t>
            </w:r>
            <w:r>
              <w:rPr>
                <w:rFonts w:cs="Arial"/>
                <w:sz w:val="18"/>
                <w:szCs w:val="18"/>
                <w:lang w:eastAsia="en-CA"/>
              </w:rPr>
              <w:t>-k</w:t>
            </w:r>
            <w:r w:rsidRPr="00E2337D">
              <w:rPr>
                <w:rFonts w:cs="Arial"/>
                <w:sz w:val="18"/>
                <w:szCs w:val="18"/>
                <w:lang w:eastAsia="en-CA"/>
              </w:rPr>
              <w:t>ind royalties</w:t>
            </w:r>
          </w:p>
        </w:tc>
        <w:tc>
          <w:tcPr>
            <w:tcW w:w="1134" w:type="dxa"/>
            <w:tcBorders>
              <w:top w:val="nil"/>
              <w:left w:val="nil"/>
              <w:right w:val="nil"/>
            </w:tcBorders>
            <w:noWrap/>
            <w:vAlign w:val="bottom"/>
          </w:tcPr>
          <w:p w14:paraId="406B6191" w14:textId="1E097403" w:rsidR="00AF5AA6" w:rsidRPr="00E2337D" w:rsidDel="00656BC2" w:rsidRDefault="00220550" w:rsidP="00AF5AA6">
            <w:pPr>
              <w:tabs>
                <w:tab w:val="decimal" w:pos="749"/>
              </w:tabs>
              <w:ind w:left="-115"/>
              <w:rPr>
                <w:rFonts w:cs="Arial"/>
                <w:color w:val="000000"/>
                <w:sz w:val="18"/>
                <w:szCs w:val="18"/>
                <w:lang w:eastAsia="en-CA"/>
              </w:rPr>
            </w:pPr>
            <w:r>
              <w:rPr>
                <w:color w:val="000000"/>
                <w:sz w:val="18"/>
                <w:szCs w:val="18"/>
              </w:rPr>
              <w:t>(16,306)</w:t>
            </w:r>
          </w:p>
        </w:tc>
        <w:tc>
          <w:tcPr>
            <w:tcW w:w="708" w:type="dxa"/>
            <w:tcBorders>
              <w:top w:val="nil"/>
              <w:left w:val="nil"/>
              <w:right w:val="nil"/>
            </w:tcBorders>
            <w:noWrap/>
            <w:vAlign w:val="bottom"/>
          </w:tcPr>
          <w:p w14:paraId="728ACEAA" w14:textId="4AC684D6" w:rsidR="00AF5AA6" w:rsidRPr="00E2337D" w:rsidDel="00656BC2" w:rsidRDefault="00220550" w:rsidP="00AF5AA6">
            <w:pPr>
              <w:tabs>
                <w:tab w:val="decimal" w:pos="425"/>
              </w:tabs>
              <w:ind w:left="-115"/>
              <w:rPr>
                <w:rFonts w:cs="Arial"/>
                <w:color w:val="000000"/>
                <w:sz w:val="18"/>
                <w:szCs w:val="18"/>
                <w:lang w:eastAsia="en-CA"/>
              </w:rPr>
            </w:pPr>
            <w:r>
              <w:rPr>
                <w:color w:val="000000"/>
                <w:sz w:val="18"/>
                <w:szCs w:val="18"/>
              </w:rPr>
              <w:t>(90)</w:t>
            </w:r>
          </w:p>
        </w:tc>
        <w:tc>
          <w:tcPr>
            <w:tcW w:w="284" w:type="dxa"/>
            <w:tcBorders>
              <w:top w:val="nil"/>
              <w:left w:val="nil"/>
              <w:right w:val="nil"/>
            </w:tcBorders>
            <w:noWrap/>
            <w:vAlign w:val="bottom"/>
          </w:tcPr>
          <w:p w14:paraId="52274B8A" w14:textId="77777777" w:rsidR="00AF5AA6" w:rsidRPr="00B47245" w:rsidRDefault="00AF5AA6" w:rsidP="00AF5AA6">
            <w:pPr>
              <w:rPr>
                <w:rFonts w:cs="Arial"/>
                <w:color w:val="000000"/>
                <w:sz w:val="18"/>
                <w:szCs w:val="18"/>
                <w:lang w:eastAsia="en-CA"/>
              </w:rPr>
            </w:pPr>
          </w:p>
        </w:tc>
        <w:tc>
          <w:tcPr>
            <w:tcW w:w="992" w:type="dxa"/>
            <w:tcBorders>
              <w:top w:val="nil"/>
              <w:left w:val="nil"/>
              <w:right w:val="nil"/>
            </w:tcBorders>
            <w:noWrap/>
          </w:tcPr>
          <w:p w14:paraId="4889C9AB" w14:textId="7448F0EC" w:rsidR="00AF5AA6" w:rsidRDefault="00AF5AA6" w:rsidP="00AF5AA6">
            <w:pPr>
              <w:tabs>
                <w:tab w:val="decimal" w:pos="605"/>
              </w:tabs>
              <w:ind w:left="-115"/>
              <w:rPr>
                <w:rFonts w:cs="Arial"/>
                <w:color w:val="000000"/>
                <w:sz w:val="18"/>
                <w:szCs w:val="18"/>
                <w:lang w:eastAsia="en-CA"/>
              </w:rPr>
            </w:pPr>
            <w:r w:rsidRPr="009C07A7">
              <w:rPr>
                <w:sz w:val="18"/>
                <w:szCs w:val="18"/>
              </w:rPr>
              <w:t>(37,125)</w:t>
            </w:r>
          </w:p>
        </w:tc>
        <w:tc>
          <w:tcPr>
            <w:tcW w:w="709" w:type="dxa"/>
            <w:tcBorders>
              <w:top w:val="nil"/>
              <w:left w:val="nil"/>
              <w:right w:val="nil"/>
            </w:tcBorders>
            <w:noWrap/>
          </w:tcPr>
          <w:p w14:paraId="690A8B79" w14:textId="5D7B5F29" w:rsidR="00AF5AA6" w:rsidRDefault="00AF5AA6" w:rsidP="00AF5AA6">
            <w:pPr>
              <w:tabs>
                <w:tab w:val="decimal" w:pos="425"/>
              </w:tabs>
              <w:ind w:left="-115"/>
              <w:rPr>
                <w:rFonts w:cs="Arial"/>
                <w:color w:val="000000"/>
                <w:sz w:val="18"/>
                <w:szCs w:val="18"/>
                <w:lang w:eastAsia="en-CA"/>
              </w:rPr>
            </w:pPr>
            <w:r w:rsidRPr="009C07A7">
              <w:rPr>
                <w:sz w:val="18"/>
                <w:szCs w:val="18"/>
              </w:rPr>
              <w:t xml:space="preserve"> (205)</w:t>
            </w:r>
          </w:p>
        </w:tc>
        <w:tc>
          <w:tcPr>
            <w:tcW w:w="283" w:type="dxa"/>
            <w:tcBorders>
              <w:top w:val="nil"/>
              <w:left w:val="nil"/>
              <w:right w:val="nil"/>
            </w:tcBorders>
            <w:noWrap/>
            <w:vAlign w:val="bottom"/>
          </w:tcPr>
          <w:p w14:paraId="54957F71" w14:textId="77777777" w:rsidR="00AF5AA6" w:rsidRPr="00B47245" w:rsidRDefault="00AF5AA6" w:rsidP="00AF5AA6">
            <w:pPr>
              <w:rPr>
                <w:rFonts w:cs="Arial"/>
                <w:color w:val="000000"/>
                <w:sz w:val="18"/>
                <w:szCs w:val="18"/>
                <w:lang w:eastAsia="en-CA"/>
              </w:rPr>
            </w:pPr>
          </w:p>
        </w:tc>
        <w:tc>
          <w:tcPr>
            <w:tcW w:w="851" w:type="dxa"/>
            <w:tcBorders>
              <w:top w:val="nil"/>
              <w:left w:val="nil"/>
              <w:right w:val="nil"/>
            </w:tcBorders>
            <w:noWrap/>
          </w:tcPr>
          <w:p w14:paraId="0646EDC4" w14:textId="415FF1B3" w:rsidR="00AF5AA6" w:rsidRPr="00180CE2" w:rsidDel="00656BC2" w:rsidRDefault="00AF5AA6" w:rsidP="00AF5AA6">
            <w:pPr>
              <w:tabs>
                <w:tab w:val="decimal" w:pos="562"/>
              </w:tabs>
              <w:rPr>
                <w:rFonts w:cs="Arial"/>
                <w:color w:val="000000"/>
                <w:sz w:val="18"/>
                <w:szCs w:val="18"/>
                <w:lang w:eastAsia="en-CA"/>
              </w:rPr>
            </w:pPr>
            <w:r w:rsidRPr="005B1331">
              <w:rPr>
                <w:color w:val="000000"/>
                <w:sz w:val="18"/>
                <w:szCs w:val="18"/>
              </w:rPr>
              <w:t>–</w:t>
            </w:r>
          </w:p>
        </w:tc>
        <w:tc>
          <w:tcPr>
            <w:tcW w:w="709" w:type="dxa"/>
            <w:tcBorders>
              <w:top w:val="nil"/>
              <w:left w:val="nil"/>
              <w:right w:val="nil"/>
            </w:tcBorders>
            <w:noWrap/>
            <w:vAlign w:val="bottom"/>
          </w:tcPr>
          <w:p w14:paraId="6A1C3844" w14:textId="4DCED104" w:rsidR="00AF5AA6" w:rsidRPr="00180CE2" w:rsidDel="00656BC2" w:rsidRDefault="00AF5AA6" w:rsidP="00AF5AA6">
            <w:pPr>
              <w:tabs>
                <w:tab w:val="decimal" w:pos="307"/>
              </w:tabs>
              <w:rPr>
                <w:rFonts w:cs="Arial"/>
                <w:color w:val="000000"/>
                <w:sz w:val="18"/>
                <w:szCs w:val="18"/>
                <w:lang w:eastAsia="en-CA"/>
              </w:rPr>
            </w:pPr>
            <w:r w:rsidRPr="00852B1A">
              <w:rPr>
                <w:color w:val="000000"/>
                <w:sz w:val="18"/>
                <w:szCs w:val="18"/>
              </w:rPr>
              <w:t>–</w:t>
            </w:r>
          </w:p>
        </w:tc>
        <w:tc>
          <w:tcPr>
            <w:tcW w:w="283" w:type="dxa"/>
            <w:tcBorders>
              <w:top w:val="nil"/>
              <w:left w:val="nil"/>
              <w:right w:val="nil"/>
            </w:tcBorders>
            <w:noWrap/>
            <w:vAlign w:val="bottom"/>
          </w:tcPr>
          <w:p w14:paraId="57A76E28" w14:textId="77777777" w:rsidR="00AF5AA6" w:rsidRPr="00B47245" w:rsidRDefault="00AF5AA6" w:rsidP="00AF5AA6">
            <w:pPr>
              <w:rPr>
                <w:rFonts w:cs="Arial"/>
                <w:color w:val="000000"/>
                <w:sz w:val="18"/>
                <w:szCs w:val="18"/>
                <w:lang w:eastAsia="en-CA"/>
              </w:rPr>
            </w:pPr>
          </w:p>
        </w:tc>
        <w:tc>
          <w:tcPr>
            <w:tcW w:w="851" w:type="dxa"/>
            <w:tcBorders>
              <w:top w:val="nil"/>
              <w:left w:val="nil"/>
              <w:right w:val="nil"/>
            </w:tcBorders>
            <w:noWrap/>
          </w:tcPr>
          <w:p w14:paraId="4D39CC1F" w14:textId="64BF5DE1" w:rsidR="00AF5AA6" w:rsidRDefault="00AF5AA6" w:rsidP="00B92A8A">
            <w:pPr>
              <w:tabs>
                <w:tab w:val="decimal" w:pos="457"/>
              </w:tabs>
              <w:ind w:left="-115" w:right="-115"/>
              <w:rPr>
                <w:rFonts w:cs="Arial"/>
                <w:color w:val="000000"/>
                <w:sz w:val="18"/>
                <w:szCs w:val="18"/>
                <w:lang w:eastAsia="en-CA"/>
              </w:rPr>
            </w:pPr>
            <w:r w:rsidRPr="009C07A7">
              <w:rPr>
                <w:sz w:val="18"/>
                <w:szCs w:val="18"/>
              </w:rPr>
              <w:t xml:space="preserve"> </w:t>
            </w:r>
            <w:r>
              <w:rPr>
                <w:sz w:val="18"/>
                <w:szCs w:val="18"/>
              </w:rPr>
              <w:t>–</w:t>
            </w:r>
          </w:p>
        </w:tc>
        <w:tc>
          <w:tcPr>
            <w:tcW w:w="708" w:type="dxa"/>
            <w:tcBorders>
              <w:top w:val="nil"/>
              <w:left w:val="nil"/>
              <w:right w:val="nil"/>
            </w:tcBorders>
            <w:noWrap/>
          </w:tcPr>
          <w:p w14:paraId="3D58A810" w14:textId="2D7C0366" w:rsidR="00AF5AA6" w:rsidRDefault="00AF5AA6" w:rsidP="00AF5AA6">
            <w:pPr>
              <w:tabs>
                <w:tab w:val="decimal" w:pos="335"/>
              </w:tabs>
              <w:rPr>
                <w:rFonts w:cs="Arial"/>
                <w:color w:val="000000"/>
                <w:sz w:val="18"/>
                <w:szCs w:val="18"/>
                <w:lang w:eastAsia="en-CA"/>
              </w:rPr>
            </w:pPr>
            <w:r w:rsidRPr="009C07A7">
              <w:rPr>
                <w:sz w:val="18"/>
                <w:szCs w:val="18"/>
              </w:rPr>
              <w:t xml:space="preserve"> </w:t>
            </w:r>
            <w:r>
              <w:rPr>
                <w:sz w:val="18"/>
                <w:szCs w:val="18"/>
              </w:rPr>
              <w:t>–</w:t>
            </w:r>
          </w:p>
        </w:tc>
      </w:tr>
      <w:tr w:rsidR="00AF5AA6" w14:paraId="4C6C3362" w14:textId="77777777" w:rsidTr="00B92A8A">
        <w:trPr>
          <w:trHeight w:val="80"/>
        </w:trPr>
        <w:tc>
          <w:tcPr>
            <w:tcW w:w="2127" w:type="dxa"/>
            <w:tcBorders>
              <w:top w:val="nil"/>
              <w:left w:val="nil"/>
              <w:right w:val="nil"/>
            </w:tcBorders>
            <w:noWrap/>
            <w:vAlign w:val="bottom"/>
          </w:tcPr>
          <w:p w14:paraId="0391C62F" w14:textId="537781BD" w:rsidR="00AF5AA6" w:rsidRPr="00E2337D" w:rsidRDefault="00AF5AA6" w:rsidP="00AF5AA6">
            <w:pPr>
              <w:rPr>
                <w:rFonts w:cs="Arial"/>
                <w:sz w:val="18"/>
                <w:szCs w:val="18"/>
                <w:lang w:eastAsia="en-CA"/>
              </w:rPr>
            </w:pPr>
            <w:r w:rsidRPr="00DC7948">
              <w:rPr>
                <w:rFonts w:cs="Arial"/>
                <w:sz w:val="18"/>
                <w:szCs w:val="18"/>
                <w:lang w:eastAsia="en-CA"/>
              </w:rPr>
              <w:t xml:space="preserve">Volume </w:t>
            </w:r>
            <w:r>
              <w:rPr>
                <w:rFonts w:cs="Arial"/>
                <w:sz w:val="18"/>
                <w:szCs w:val="18"/>
                <w:lang w:eastAsia="en-CA"/>
              </w:rPr>
              <w:t xml:space="preserve">/quality </w:t>
            </w:r>
            <w:r w:rsidRPr="00DC7948">
              <w:rPr>
                <w:rFonts w:cs="Arial"/>
                <w:sz w:val="18"/>
                <w:szCs w:val="18"/>
                <w:lang w:eastAsia="en-CA"/>
              </w:rPr>
              <w:t>adjustments</w:t>
            </w:r>
          </w:p>
        </w:tc>
        <w:tc>
          <w:tcPr>
            <w:tcW w:w="1134" w:type="dxa"/>
            <w:tcBorders>
              <w:top w:val="nil"/>
              <w:left w:val="nil"/>
              <w:right w:val="nil"/>
            </w:tcBorders>
            <w:noWrap/>
            <w:vAlign w:val="bottom"/>
          </w:tcPr>
          <w:p w14:paraId="0A6C9853" w14:textId="6A92B8C9" w:rsidR="00AF5AA6" w:rsidRPr="00E2337D" w:rsidDel="00656BC2" w:rsidRDefault="00220550" w:rsidP="00AF5AA6">
            <w:pPr>
              <w:tabs>
                <w:tab w:val="decimal" w:pos="749"/>
              </w:tabs>
              <w:ind w:left="-115"/>
              <w:rPr>
                <w:rFonts w:cs="Arial"/>
                <w:color w:val="000000"/>
                <w:sz w:val="18"/>
                <w:szCs w:val="18"/>
                <w:lang w:eastAsia="en-CA"/>
              </w:rPr>
            </w:pPr>
            <w:r>
              <w:rPr>
                <w:rFonts w:cs="Arial"/>
                <w:color w:val="000000"/>
                <w:sz w:val="18"/>
                <w:szCs w:val="18"/>
                <w:lang w:eastAsia="en-CA"/>
              </w:rPr>
              <w:t>(1,895)</w:t>
            </w:r>
          </w:p>
        </w:tc>
        <w:tc>
          <w:tcPr>
            <w:tcW w:w="708" w:type="dxa"/>
            <w:tcBorders>
              <w:top w:val="nil"/>
              <w:left w:val="nil"/>
              <w:right w:val="nil"/>
            </w:tcBorders>
            <w:noWrap/>
            <w:vAlign w:val="bottom"/>
          </w:tcPr>
          <w:p w14:paraId="031C51D1" w14:textId="2E29E450" w:rsidR="00AF5AA6" w:rsidRPr="00E2337D" w:rsidDel="00656BC2" w:rsidRDefault="00220550" w:rsidP="00AF5AA6">
            <w:pPr>
              <w:tabs>
                <w:tab w:val="decimal" w:pos="425"/>
              </w:tabs>
              <w:ind w:left="-115"/>
              <w:rPr>
                <w:rFonts w:cs="Arial"/>
                <w:color w:val="000000"/>
                <w:sz w:val="18"/>
                <w:szCs w:val="18"/>
                <w:lang w:eastAsia="en-CA"/>
              </w:rPr>
            </w:pPr>
            <w:r>
              <w:rPr>
                <w:rFonts w:cs="Arial"/>
                <w:color w:val="000000"/>
                <w:sz w:val="18"/>
                <w:szCs w:val="18"/>
                <w:lang w:eastAsia="en-CA"/>
              </w:rPr>
              <w:t>(10)</w:t>
            </w:r>
          </w:p>
        </w:tc>
        <w:tc>
          <w:tcPr>
            <w:tcW w:w="284" w:type="dxa"/>
            <w:tcBorders>
              <w:top w:val="nil"/>
              <w:left w:val="nil"/>
              <w:right w:val="nil"/>
            </w:tcBorders>
            <w:noWrap/>
            <w:vAlign w:val="bottom"/>
          </w:tcPr>
          <w:p w14:paraId="707B7219" w14:textId="77777777" w:rsidR="00AF5AA6" w:rsidRPr="00B47245" w:rsidRDefault="00AF5AA6" w:rsidP="00AF5AA6">
            <w:pPr>
              <w:rPr>
                <w:rFonts w:cs="Arial"/>
                <w:color w:val="000000"/>
                <w:sz w:val="18"/>
                <w:szCs w:val="18"/>
                <w:lang w:eastAsia="en-CA"/>
              </w:rPr>
            </w:pPr>
          </w:p>
        </w:tc>
        <w:tc>
          <w:tcPr>
            <w:tcW w:w="992" w:type="dxa"/>
            <w:tcBorders>
              <w:top w:val="nil"/>
              <w:left w:val="nil"/>
              <w:right w:val="nil"/>
            </w:tcBorders>
            <w:noWrap/>
          </w:tcPr>
          <w:p w14:paraId="21561D5B" w14:textId="77777777" w:rsidR="00AF5AA6" w:rsidRDefault="00AF5AA6" w:rsidP="00AF5AA6">
            <w:pPr>
              <w:tabs>
                <w:tab w:val="decimal" w:pos="749"/>
              </w:tabs>
              <w:ind w:left="-115"/>
              <w:rPr>
                <w:sz w:val="18"/>
                <w:szCs w:val="18"/>
              </w:rPr>
            </w:pPr>
          </w:p>
          <w:p w14:paraId="4AD52B9C" w14:textId="7FB0EE71" w:rsidR="00AF5AA6" w:rsidRDefault="00AF5AA6" w:rsidP="00AF5AA6">
            <w:pPr>
              <w:tabs>
                <w:tab w:val="decimal" w:pos="605"/>
              </w:tabs>
              <w:ind w:left="-115"/>
              <w:rPr>
                <w:rFonts w:cs="Arial"/>
                <w:color w:val="000000"/>
                <w:sz w:val="18"/>
                <w:szCs w:val="18"/>
                <w:lang w:eastAsia="en-CA"/>
              </w:rPr>
            </w:pPr>
            <w:r w:rsidRPr="009C07A7">
              <w:rPr>
                <w:sz w:val="18"/>
                <w:szCs w:val="18"/>
              </w:rPr>
              <w:t>(8,218)</w:t>
            </w:r>
          </w:p>
        </w:tc>
        <w:tc>
          <w:tcPr>
            <w:tcW w:w="709" w:type="dxa"/>
            <w:tcBorders>
              <w:top w:val="nil"/>
              <w:left w:val="nil"/>
              <w:right w:val="nil"/>
            </w:tcBorders>
            <w:noWrap/>
          </w:tcPr>
          <w:p w14:paraId="59AF84C2" w14:textId="77777777" w:rsidR="00AF5AA6" w:rsidRDefault="00AF5AA6" w:rsidP="00AF5AA6">
            <w:pPr>
              <w:tabs>
                <w:tab w:val="decimal" w:pos="425"/>
              </w:tabs>
              <w:ind w:left="-115"/>
              <w:rPr>
                <w:sz w:val="18"/>
                <w:szCs w:val="18"/>
              </w:rPr>
            </w:pPr>
          </w:p>
          <w:p w14:paraId="6EF6DA42" w14:textId="3D84D97F" w:rsidR="00AF5AA6" w:rsidRDefault="00AF5AA6" w:rsidP="00AF5AA6">
            <w:pPr>
              <w:tabs>
                <w:tab w:val="decimal" w:pos="425"/>
              </w:tabs>
              <w:ind w:left="-115"/>
              <w:rPr>
                <w:rFonts w:cs="Arial"/>
                <w:color w:val="000000"/>
                <w:sz w:val="18"/>
                <w:szCs w:val="18"/>
                <w:lang w:eastAsia="en-CA"/>
              </w:rPr>
            </w:pPr>
            <w:r w:rsidRPr="009C07A7">
              <w:rPr>
                <w:sz w:val="18"/>
                <w:szCs w:val="18"/>
              </w:rPr>
              <w:t xml:space="preserve"> (45)</w:t>
            </w:r>
          </w:p>
        </w:tc>
        <w:tc>
          <w:tcPr>
            <w:tcW w:w="283" w:type="dxa"/>
            <w:tcBorders>
              <w:top w:val="nil"/>
              <w:left w:val="nil"/>
              <w:right w:val="nil"/>
            </w:tcBorders>
            <w:noWrap/>
            <w:vAlign w:val="bottom"/>
          </w:tcPr>
          <w:p w14:paraId="0F2006F9" w14:textId="77777777" w:rsidR="00AF5AA6" w:rsidRPr="00B47245" w:rsidRDefault="00AF5AA6" w:rsidP="00AF5AA6">
            <w:pPr>
              <w:rPr>
                <w:rFonts w:cs="Arial"/>
                <w:color w:val="000000"/>
                <w:sz w:val="18"/>
                <w:szCs w:val="18"/>
                <w:lang w:eastAsia="en-CA"/>
              </w:rPr>
            </w:pPr>
          </w:p>
        </w:tc>
        <w:tc>
          <w:tcPr>
            <w:tcW w:w="851" w:type="dxa"/>
            <w:tcBorders>
              <w:top w:val="nil"/>
              <w:left w:val="nil"/>
              <w:right w:val="nil"/>
            </w:tcBorders>
            <w:noWrap/>
          </w:tcPr>
          <w:p w14:paraId="7AB0FD34" w14:textId="77777777" w:rsidR="00AF5AA6" w:rsidRDefault="00AF5AA6" w:rsidP="00AF5AA6">
            <w:pPr>
              <w:tabs>
                <w:tab w:val="decimal" w:pos="562"/>
              </w:tabs>
              <w:rPr>
                <w:color w:val="000000"/>
                <w:sz w:val="18"/>
                <w:szCs w:val="18"/>
              </w:rPr>
            </w:pPr>
          </w:p>
          <w:p w14:paraId="5AB82EA2" w14:textId="4613A515" w:rsidR="00AF5AA6" w:rsidRPr="00180CE2" w:rsidDel="00656BC2" w:rsidRDefault="00AF5AA6" w:rsidP="00AF5AA6">
            <w:pPr>
              <w:tabs>
                <w:tab w:val="decimal" w:pos="562"/>
              </w:tabs>
              <w:rPr>
                <w:rFonts w:cs="Arial"/>
                <w:color w:val="000000"/>
                <w:sz w:val="18"/>
                <w:szCs w:val="18"/>
                <w:lang w:eastAsia="en-CA"/>
              </w:rPr>
            </w:pPr>
            <w:r w:rsidRPr="005B1331">
              <w:rPr>
                <w:color w:val="000000"/>
                <w:sz w:val="18"/>
                <w:szCs w:val="18"/>
              </w:rPr>
              <w:t>–</w:t>
            </w:r>
          </w:p>
        </w:tc>
        <w:tc>
          <w:tcPr>
            <w:tcW w:w="709" w:type="dxa"/>
            <w:tcBorders>
              <w:top w:val="nil"/>
              <w:left w:val="nil"/>
              <w:right w:val="nil"/>
            </w:tcBorders>
            <w:noWrap/>
            <w:vAlign w:val="bottom"/>
          </w:tcPr>
          <w:p w14:paraId="66E1F52F" w14:textId="05C939D4" w:rsidR="00AF5AA6" w:rsidRPr="00180CE2" w:rsidDel="00656BC2" w:rsidRDefault="00AF5AA6" w:rsidP="00AF5AA6">
            <w:pPr>
              <w:tabs>
                <w:tab w:val="decimal" w:pos="307"/>
              </w:tabs>
              <w:rPr>
                <w:rFonts w:cs="Arial"/>
                <w:color w:val="000000"/>
                <w:sz w:val="18"/>
                <w:szCs w:val="18"/>
                <w:lang w:eastAsia="en-CA"/>
              </w:rPr>
            </w:pPr>
            <w:r w:rsidRPr="00852B1A">
              <w:rPr>
                <w:color w:val="000000"/>
                <w:sz w:val="18"/>
                <w:szCs w:val="18"/>
              </w:rPr>
              <w:t>–</w:t>
            </w:r>
          </w:p>
        </w:tc>
        <w:tc>
          <w:tcPr>
            <w:tcW w:w="283" w:type="dxa"/>
            <w:tcBorders>
              <w:top w:val="nil"/>
              <w:left w:val="nil"/>
              <w:right w:val="nil"/>
            </w:tcBorders>
            <w:noWrap/>
            <w:vAlign w:val="bottom"/>
          </w:tcPr>
          <w:p w14:paraId="05880157" w14:textId="77777777" w:rsidR="00AF5AA6" w:rsidRPr="00B47245" w:rsidRDefault="00AF5AA6" w:rsidP="00AF5AA6">
            <w:pPr>
              <w:rPr>
                <w:rFonts w:cs="Arial"/>
                <w:color w:val="000000"/>
                <w:sz w:val="18"/>
                <w:szCs w:val="18"/>
                <w:lang w:eastAsia="en-CA"/>
              </w:rPr>
            </w:pPr>
          </w:p>
        </w:tc>
        <w:tc>
          <w:tcPr>
            <w:tcW w:w="851" w:type="dxa"/>
            <w:tcBorders>
              <w:top w:val="nil"/>
              <w:left w:val="nil"/>
              <w:right w:val="nil"/>
            </w:tcBorders>
            <w:noWrap/>
          </w:tcPr>
          <w:p w14:paraId="219328AE" w14:textId="77777777" w:rsidR="00AF5AA6" w:rsidRDefault="00AF5AA6" w:rsidP="00B92A8A">
            <w:pPr>
              <w:tabs>
                <w:tab w:val="decimal" w:pos="457"/>
                <w:tab w:val="decimal" w:pos="562"/>
              </w:tabs>
              <w:ind w:left="-115"/>
              <w:rPr>
                <w:sz w:val="18"/>
                <w:szCs w:val="18"/>
              </w:rPr>
            </w:pPr>
          </w:p>
          <w:p w14:paraId="4DA82459" w14:textId="258C4CE4" w:rsidR="00AF5AA6" w:rsidRDefault="00AF5AA6" w:rsidP="00B92A8A">
            <w:pPr>
              <w:tabs>
                <w:tab w:val="decimal" w:pos="457"/>
              </w:tabs>
              <w:ind w:left="-115" w:right="-115"/>
              <w:rPr>
                <w:rFonts w:cs="Arial"/>
                <w:color w:val="000000"/>
                <w:sz w:val="18"/>
                <w:szCs w:val="18"/>
                <w:lang w:eastAsia="en-CA"/>
              </w:rPr>
            </w:pPr>
            <w:r w:rsidRPr="009C07A7">
              <w:rPr>
                <w:sz w:val="18"/>
                <w:szCs w:val="18"/>
              </w:rPr>
              <w:t xml:space="preserve"> </w:t>
            </w:r>
            <w:r>
              <w:rPr>
                <w:sz w:val="18"/>
                <w:szCs w:val="18"/>
              </w:rPr>
              <w:t>–</w:t>
            </w:r>
          </w:p>
        </w:tc>
        <w:tc>
          <w:tcPr>
            <w:tcW w:w="708" w:type="dxa"/>
            <w:tcBorders>
              <w:top w:val="nil"/>
              <w:left w:val="nil"/>
              <w:right w:val="nil"/>
            </w:tcBorders>
            <w:noWrap/>
          </w:tcPr>
          <w:p w14:paraId="35CC57B0" w14:textId="77777777" w:rsidR="00AF5AA6" w:rsidRDefault="00AF5AA6" w:rsidP="00AF5AA6">
            <w:pPr>
              <w:tabs>
                <w:tab w:val="decimal" w:pos="307"/>
              </w:tabs>
              <w:rPr>
                <w:sz w:val="18"/>
                <w:szCs w:val="18"/>
              </w:rPr>
            </w:pPr>
          </w:p>
          <w:p w14:paraId="46873795" w14:textId="7B4CC02B" w:rsidR="00AF5AA6" w:rsidRDefault="00AF5AA6" w:rsidP="00AF5AA6">
            <w:pPr>
              <w:tabs>
                <w:tab w:val="decimal" w:pos="335"/>
              </w:tabs>
              <w:rPr>
                <w:rFonts w:cs="Arial"/>
                <w:color w:val="000000"/>
                <w:sz w:val="18"/>
                <w:szCs w:val="18"/>
                <w:lang w:eastAsia="en-CA"/>
              </w:rPr>
            </w:pPr>
            <w:r w:rsidRPr="009C07A7">
              <w:rPr>
                <w:sz w:val="18"/>
                <w:szCs w:val="18"/>
              </w:rPr>
              <w:t xml:space="preserve"> </w:t>
            </w:r>
            <w:r>
              <w:rPr>
                <w:sz w:val="18"/>
                <w:szCs w:val="18"/>
              </w:rPr>
              <w:t>–</w:t>
            </w:r>
          </w:p>
        </w:tc>
      </w:tr>
      <w:tr w:rsidR="00AF5AA6" w14:paraId="0A96FE26" w14:textId="77777777" w:rsidTr="00B92A8A">
        <w:trPr>
          <w:trHeight w:val="97"/>
        </w:trPr>
        <w:tc>
          <w:tcPr>
            <w:tcW w:w="2127" w:type="dxa"/>
            <w:tcBorders>
              <w:top w:val="nil"/>
              <w:left w:val="nil"/>
              <w:right w:val="nil"/>
            </w:tcBorders>
            <w:noWrap/>
            <w:vAlign w:val="bottom"/>
            <w:hideMark/>
          </w:tcPr>
          <w:p w14:paraId="22FCED59" w14:textId="77777777" w:rsidR="00AF5AA6" w:rsidRPr="00B47245" w:rsidRDefault="00AF5AA6" w:rsidP="00AF5AA6">
            <w:pPr>
              <w:rPr>
                <w:rFonts w:cs="Arial"/>
                <w:sz w:val="18"/>
                <w:szCs w:val="18"/>
                <w:lang w:eastAsia="en-CA"/>
              </w:rPr>
            </w:pPr>
            <w:r>
              <w:rPr>
                <w:rFonts w:cs="Arial"/>
                <w:sz w:val="18"/>
                <w:szCs w:val="18"/>
                <w:lang w:eastAsia="en-CA"/>
              </w:rPr>
              <w:t>Sales</w:t>
            </w:r>
          </w:p>
        </w:tc>
        <w:tc>
          <w:tcPr>
            <w:tcW w:w="1134" w:type="dxa"/>
            <w:tcBorders>
              <w:top w:val="nil"/>
              <w:left w:val="nil"/>
              <w:right w:val="nil"/>
            </w:tcBorders>
            <w:noWrap/>
            <w:vAlign w:val="bottom"/>
          </w:tcPr>
          <w:p w14:paraId="5C2A3B62" w14:textId="26383D5C" w:rsidR="00AF5AA6" w:rsidRPr="00E2337D" w:rsidRDefault="00220550" w:rsidP="00AF5AA6">
            <w:pPr>
              <w:tabs>
                <w:tab w:val="decimal" w:pos="749"/>
              </w:tabs>
              <w:ind w:left="-115"/>
              <w:rPr>
                <w:rFonts w:cs="Arial"/>
                <w:color w:val="000000"/>
                <w:sz w:val="18"/>
                <w:szCs w:val="18"/>
                <w:lang w:eastAsia="en-CA"/>
              </w:rPr>
            </w:pPr>
            <w:r>
              <w:rPr>
                <w:rFonts w:cs="Arial"/>
                <w:color w:val="000000"/>
                <w:sz w:val="18"/>
                <w:szCs w:val="18"/>
                <w:lang w:eastAsia="en-CA"/>
              </w:rPr>
              <w:t>(1,331,440)</w:t>
            </w:r>
          </w:p>
        </w:tc>
        <w:tc>
          <w:tcPr>
            <w:tcW w:w="708" w:type="dxa"/>
            <w:tcBorders>
              <w:top w:val="nil"/>
              <w:left w:val="nil"/>
              <w:right w:val="nil"/>
            </w:tcBorders>
            <w:noWrap/>
            <w:vAlign w:val="bottom"/>
          </w:tcPr>
          <w:p w14:paraId="5B350673" w14:textId="66815D10" w:rsidR="00AF5AA6" w:rsidRPr="00E2337D" w:rsidRDefault="00220550" w:rsidP="00AF5AA6">
            <w:pPr>
              <w:tabs>
                <w:tab w:val="decimal" w:pos="425"/>
              </w:tabs>
              <w:ind w:left="-115"/>
              <w:rPr>
                <w:rFonts w:cs="Arial"/>
                <w:color w:val="000000"/>
                <w:sz w:val="18"/>
                <w:szCs w:val="18"/>
                <w:lang w:eastAsia="en-CA"/>
              </w:rPr>
            </w:pPr>
            <w:r>
              <w:rPr>
                <w:rFonts w:cs="Arial"/>
                <w:color w:val="000000"/>
                <w:sz w:val="18"/>
                <w:szCs w:val="18"/>
                <w:lang w:eastAsia="en-CA"/>
              </w:rPr>
              <w:t>(7,356)</w:t>
            </w:r>
          </w:p>
        </w:tc>
        <w:tc>
          <w:tcPr>
            <w:tcW w:w="284" w:type="dxa"/>
            <w:tcBorders>
              <w:top w:val="nil"/>
              <w:left w:val="nil"/>
              <w:right w:val="nil"/>
            </w:tcBorders>
            <w:noWrap/>
            <w:vAlign w:val="bottom"/>
          </w:tcPr>
          <w:p w14:paraId="1C45608B" w14:textId="77777777" w:rsidR="00AF5AA6" w:rsidRPr="00B47245" w:rsidRDefault="00AF5AA6" w:rsidP="00AF5AA6">
            <w:pPr>
              <w:rPr>
                <w:rFonts w:cs="Arial"/>
                <w:color w:val="000000"/>
                <w:sz w:val="18"/>
                <w:szCs w:val="18"/>
                <w:lang w:eastAsia="en-CA"/>
              </w:rPr>
            </w:pPr>
          </w:p>
        </w:tc>
        <w:tc>
          <w:tcPr>
            <w:tcW w:w="992" w:type="dxa"/>
            <w:tcBorders>
              <w:top w:val="nil"/>
              <w:left w:val="nil"/>
              <w:right w:val="nil"/>
            </w:tcBorders>
            <w:noWrap/>
          </w:tcPr>
          <w:p w14:paraId="2C956427" w14:textId="738E9CAE" w:rsidR="00AF5AA6" w:rsidRPr="00B47245" w:rsidRDefault="00AF5AA6" w:rsidP="00AF5AA6">
            <w:pPr>
              <w:tabs>
                <w:tab w:val="decimal" w:pos="605"/>
              </w:tabs>
              <w:ind w:left="-115"/>
              <w:rPr>
                <w:rFonts w:cs="Arial"/>
                <w:color w:val="000000"/>
                <w:sz w:val="18"/>
                <w:szCs w:val="18"/>
                <w:lang w:eastAsia="en-CA"/>
              </w:rPr>
            </w:pPr>
            <w:r w:rsidRPr="009C07A7">
              <w:rPr>
                <w:sz w:val="18"/>
                <w:szCs w:val="18"/>
              </w:rPr>
              <w:t>(635,494)</w:t>
            </w:r>
          </w:p>
        </w:tc>
        <w:tc>
          <w:tcPr>
            <w:tcW w:w="709" w:type="dxa"/>
            <w:tcBorders>
              <w:top w:val="nil"/>
              <w:left w:val="nil"/>
              <w:right w:val="nil"/>
            </w:tcBorders>
            <w:noWrap/>
          </w:tcPr>
          <w:p w14:paraId="7A2FF3B9" w14:textId="3F837953" w:rsidR="00AF5AA6" w:rsidRPr="00B47245" w:rsidRDefault="00AF5AA6" w:rsidP="00AF5AA6">
            <w:pPr>
              <w:tabs>
                <w:tab w:val="decimal" w:pos="425"/>
              </w:tabs>
              <w:ind w:left="-115"/>
              <w:rPr>
                <w:rFonts w:cs="Arial"/>
                <w:color w:val="000000"/>
                <w:sz w:val="18"/>
                <w:szCs w:val="18"/>
                <w:lang w:eastAsia="en-CA"/>
              </w:rPr>
            </w:pPr>
            <w:r w:rsidRPr="009C07A7">
              <w:rPr>
                <w:sz w:val="18"/>
                <w:szCs w:val="18"/>
              </w:rPr>
              <w:t>(3,511)</w:t>
            </w:r>
          </w:p>
        </w:tc>
        <w:tc>
          <w:tcPr>
            <w:tcW w:w="283" w:type="dxa"/>
            <w:tcBorders>
              <w:top w:val="nil"/>
              <w:left w:val="nil"/>
              <w:right w:val="nil"/>
            </w:tcBorders>
            <w:noWrap/>
            <w:vAlign w:val="bottom"/>
          </w:tcPr>
          <w:p w14:paraId="1CA5EBF5" w14:textId="77777777" w:rsidR="00AF5AA6" w:rsidRPr="00B47245" w:rsidRDefault="00AF5AA6" w:rsidP="00AF5AA6">
            <w:pPr>
              <w:rPr>
                <w:rFonts w:cs="Arial"/>
                <w:color w:val="000000"/>
                <w:sz w:val="18"/>
                <w:szCs w:val="18"/>
                <w:lang w:eastAsia="en-CA"/>
              </w:rPr>
            </w:pPr>
          </w:p>
        </w:tc>
        <w:tc>
          <w:tcPr>
            <w:tcW w:w="851" w:type="dxa"/>
            <w:tcBorders>
              <w:top w:val="nil"/>
              <w:left w:val="nil"/>
              <w:right w:val="nil"/>
            </w:tcBorders>
            <w:noWrap/>
            <w:vAlign w:val="bottom"/>
          </w:tcPr>
          <w:p w14:paraId="2459D146" w14:textId="5B2B6972" w:rsidR="00AF5AA6" w:rsidRPr="00180CE2" w:rsidRDefault="00220550" w:rsidP="00AF5AA6">
            <w:pPr>
              <w:ind w:right="-150"/>
              <w:jc w:val="center"/>
              <w:rPr>
                <w:rFonts w:cs="Arial"/>
                <w:sz w:val="18"/>
                <w:szCs w:val="18"/>
                <w:lang w:eastAsia="en-CA"/>
              </w:rPr>
            </w:pPr>
            <w:r>
              <w:rPr>
                <w:rFonts w:cs="Arial"/>
                <w:sz w:val="18"/>
                <w:szCs w:val="18"/>
                <w:lang w:eastAsia="en-CA"/>
              </w:rPr>
              <w:t>(656)</w:t>
            </w:r>
          </w:p>
        </w:tc>
        <w:tc>
          <w:tcPr>
            <w:tcW w:w="709" w:type="dxa"/>
            <w:tcBorders>
              <w:top w:val="nil"/>
              <w:left w:val="nil"/>
              <w:right w:val="nil"/>
            </w:tcBorders>
            <w:noWrap/>
            <w:vAlign w:val="bottom"/>
          </w:tcPr>
          <w:p w14:paraId="24BE37E8" w14:textId="4AC7CA76" w:rsidR="00AF5AA6" w:rsidRPr="00180CE2" w:rsidRDefault="00220550" w:rsidP="00AF5AA6">
            <w:pPr>
              <w:tabs>
                <w:tab w:val="decimal" w:pos="307"/>
              </w:tabs>
              <w:rPr>
                <w:rFonts w:cs="Arial"/>
                <w:color w:val="000000"/>
                <w:sz w:val="18"/>
                <w:szCs w:val="18"/>
                <w:lang w:eastAsia="en-CA"/>
              </w:rPr>
            </w:pPr>
            <w:r>
              <w:rPr>
                <w:rFonts w:cs="Arial"/>
                <w:color w:val="000000"/>
                <w:sz w:val="18"/>
                <w:szCs w:val="18"/>
                <w:lang w:eastAsia="en-CA"/>
              </w:rPr>
              <w:t>(4)</w:t>
            </w:r>
          </w:p>
        </w:tc>
        <w:tc>
          <w:tcPr>
            <w:tcW w:w="283" w:type="dxa"/>
            <w:tcBorders>
              <w:top w:val="nil"/>
              <w:left w:val="nil"/>
              <w:right w:val="nil"/>
            </w:tcBorders>
            <w:noWrap/>
            <w:vAlign w:val="bottom"/>
          </w:tcPr>
          <w:p w14:paraId="30739214" w14:textId="77777777" w:rsidR="00AF5AA6" w:rsidRPr="00B47245" w:rsidRDefault="00AF5AA6" w:rsidP="00AF5AA6">
            <w:pPr>
              <w:rPr>
                <w:rFonts w:cs="Arial"/>
                <w:color w:val="000000"/>
                <w:sz w:val="18"/>
                <w:szCs w:val="18"/>
                <w:lang w:eastAsia="en-CA"/>
              </w:rPr>
            </w:pPr>
          </w:p>
        </w:tc>
        <w:tc>
          <w:tcPr>
            <w:tcW w:w="851" w:type="dxa"/>
            <w:tcBorders>
              <w:top w:val="nil"/>
              <w:left w:val="nil"/>
              <w:right w:val="nil"/>
            </w:tcBorders>
            <w:noWrap/>
          </w:tcPr>
          <w:p w14:paraId="5CB7D817" w14:textId="0C13C844" w:rsidR="00AF5AA6" w:rsidRPr="00B47245" w:rsidRDefault="00AF5AA6" w:rsidP="00B92A8A">
            <w:pPr>
              <w:tabs>
                <w:tab w:val="decimal" w:pos="457"/>
              </w:tabs>
              <w:ind w:left="-115" w:right="-115"/>
              <w:rPr>
                <w:rFonts w:cs="Arial"/>
                <w:color w:val="000000"/>
                <w:sz w:val="18"/>
                <w:szCs w:val="18"/>
                <w:lang w:eastAsia="en-CA"/>
              </w:rPr>
            </w:pPr>
            <w:r w:rsidRPr="009C07A7">
              <w:rPr>
                <w:sz w:val="18"/>
                <w:szCs w:val="18"/>
              </w:rPr>
              <w:t xml:space="preserve"> 2,186)</w:t>
            </w:r>
          </w:p>
        </w:tc>
        <w:tc>
          <w:tcPr>
            <w:tcW w:w="708" w:type="dxa"/>
            <w:tcBorders>
              <w:top w:val="nil"/>
              <w:left w:val="nil"/>
              <w:right w:val="nil"/>
            </w:tcBorders>
            <w:noWrap/>
          </w:tcPr>
          <w:p w14:paraId="13E9C77F" w14:textId="27892595" w:rsidR="00AF5AA6" w:rsidRPr="00B47245" w:rsidRDefault="00AF5AA6" w:rsidP="00AF5AA6">
            <w:pPr>
              <w:tabs>
                <w:tab w:val="decimal" w:pos="335"/>
              </w:tabs>
              <w:rPr>
                <w:rFonts w:cs="Arial"/>
                <w:color w:val="000000"/>
                <w:sz w:val="18"/>
                <w:szCs w:val="18"/>
                <w:lang w:eastAsia="en-CA"/>
              </w:rPr>
            </w:pPr>
            <w:r w:rsidRPr="009C07A7">
              <w:rPr>
                <w:sz w:val="18"/>
                <w:szCs w:val="18"/>
              </w:rPr>
              <w:t>(12)</w:t>
            </w:r>
          </w:p>
        </w:tc>
      </w:tr>
      <w:tr w:rsidR="00AF5AA6" w14:paraId="7E91DDEB" w14:textId="77777777" w:rsidTr="00B92A8A">
        <w:trPr>
          <w:trHeight w:val="20"/>
        </w:trPr>
        <w:tc>
          <w:tcPr>
            <w:tcW w:w="2127" w:type="dxa"/>
            <w:tcBorders>
              <w:top w:val="single" w:sz="2" w:space="0" w:color="auto"/>
              <w:left w:val="nil"/>
              <w:bottom w:val="single" w:sz="12" w:space="0" w:color="auto"/>
              <w:right w:val="nil"/>
            </w:tcBorders>
            <w:noWrap/>
            <w:vAlign w:val="bottom"/>
            <w:hideMark/>
          </w:tcPr>
          <w:p w14:paraId="5DA0B552" w14:textId="7F1D596B" w:rsidR="00AF5AA6" w:rsidRPr="00B47245" w:rsidRDefault="00AF5AA6" w:rsidP="00AF5AA6">
            <w:pPr>
              <w:spacing w:before="60" w:after="60"/>
              <w:rPr>
                <w:rFonts w:cs="Arial"/>
                <w:sz w:val="18"/>
                <w:szCs w:val="18"/>
                <w:lang w:eastAsia="en-CA"/>
              </w:rPr>
            </w:pPr>
            <w:r>
              <w:rPr>
                <w:rFonts w:cs="Arial"/>
                <w:sz w:val="18"/>
                <w:szCs w:val="18"/>
                <w:lang w:eastAsia="en-CA"/>
              </w:rPr>
              <w:t>Inventory, June 30</w:t>
            </w:r>
          </w:p>
        </w:tc>
        <w:tc>
          <w:tcPr>
            <w:tcW w:w="1134" w:type="dxa"/>
            <w:tcBorders>
              <w:top w:val="single" w:sz="2" w:space="0" w:color="auto"/>
              <w:left w:val="nil"/>
              <w:bottom w:val="single" w:sz="12" w:space="0" w:color="auto"/>
              <w:right w:val="nil"/>
            </w:tcBorders>
            <w:noWrap/>
            <w:vAlign w:val="bottom"/>
          </w:tcPr>
          <w:p w14:paraId="7958E97F" w14:textId="4B7DB3CC" w:rsidR="00AF5AA6" w:rsidRPr="00E2337D" w:rsidRDefault="00220550" w:rsidP="00AF5AA6">
            <w:pPr>
              <w:tabs>
                <w:tab w:val="decimal" w:pos="749"/>
              </w:tabs>
              <w:spacing w:before="60" w:after="60"/>
              <w:ind w:left="-115"/>
              <w:rPr>
                <w:rFonts w:cs="Arial"/>
                <w:color w:val="000000"/>
                <w:sz w:val="18"/>
                <w:szCs w:val="18"/>
                <w:lang w:eastAsia="en-CA"/>
              </w:rPr>
            </w:pPr>
            <w:r>
              <w:rPr>
                <w:rFonts w:cs="Arial"/>
                <w:color w:val="000000"/>
                <w:sz w:val="18"/>
                <w:szCs w:val="18"/>
                <w:lang w:eastAsia="en-CA"/>
              </w:rPr>
              <w:t>84,106</w:t>
            </w:r>
          </w:p>
        </w:tc>
        <w:tc>
          <w:tcPr>
            <w:tcW w:w="708" w:type="dxa"/>
            <w:tcBorders>
              <w:top w:val="single" w:sz="2" w:space="0" w:color="auto"/>
              <w:left w:val="nil"/>
              <w:bottom w:val="single" w:sz="12" w:space="0" w:color="auto"/>
              <w:right w:val="nil"/>
            </w:tcBorders>
            <w:noWrap/>
            <w:vAlign w:val="bottom"/>
          </w:tcPr>
          <w:p w14:paraId="63029DC1" w14:textId="77777777" w:rsidR="00AF5AA6" w:rsidRPr="00E2337D" w:rsidRDefault="00AF5AA6" w:rsidP="00AF5AA6">
            <w:pPr>
              <w:tabs>
                <w:tab w:val="decimal" w:pos="335"/>
              </w:tabs>
              <w:spacing w:before="60" w:after="60"/>
              <w:ind w:left="-115"/>
              <w:rPr>
                <w:rFonts w:cs="Arial"/>
                <w:color w:val="000000"/>
                <w:sz w:val="18"/>
                <w:szCs w:val="18"/>
                <w:lang w:eastAsia="en-CA"/>
              </w:rPr>
            </w:pPr>
          </w:p>
        </w:tc>
        <w:tc>
          <w:tcPr>
            <w:tcW w:w="284" w:type="dxa"/>
            <w:tcBorders>
              <w:top w:val="single" w:sz="2" w:space="0" w:color="auto"/>
              <w:left w:val="nil"/>
              <w:bottom w:val="single" w:sz="12" w:space="0" w:color="auto"/>
              <w:right w:val="nil"/>
            </w:tcBorders>
            <w:noWrap/>
            <w:vAlign w:val="bottom"/>
          </w:tcPr>
          <w:p w14:paraId="766ACF40" w14:textId="77777777" w:rsidR="00AF5AA6" w:rsidRPr="00B47245" w:rsidRDefault="00AF5AA6" w:rsidP="00AF5AA6">
            <w:pPr>
              <w:spacing w:before="60" w:after="60"/>
              <w:rPr>
                <w:rFonts w:ascii="Times New Roman" w:hAnsi="Times New Roman"/>
                <w:lang w:eastAsia="en-CA"/>
              </w:rPr>
            </w:pPr>
          </w:p>
        </w:tc>
        <w:tc>
          <w:tcPr>
            <w:tcW w:w="992" w:type="dxa"/>
            <w:tcBorders>
              <w:top w:val="single" w:sz="2" w:space="0" w:color="auto"/>
              <w:left w:val="nil"/>
              <w:bottom w:val="single" w:sz="12" w:space="0" w:color="auto"/>
              <w:right w:val="nil"/>
            </w:tcBorders>
            <w:noWrap/>
            <w:vAlign w:val="bottom"/>
          </w:tcPr>
          <w:p w14:paraId="7A9DB7CB" w14:textId="6809DBFD" w:rsidR="00AF5AA6" w:rsidRPr="00B47245" w:rsidRDefault="00AF5AA6" w:rsidP="00AF5AA6">
            <w:pPr>
              <w:tabs>
                <w:tab w:val="decimal" w:pos="605"/>
              </w:tabs>
              <w:spacing w:before="60" w:after="60"/>
              <w:ind w:left="-115"/>
              <w:rPr>
                <w:rFonts w:cs="Arial"/>
                <w:color w:val="000000"/>
                <w:sz w:val="18"/>
                <w:szCs w:val="18"/>
                <w:lang w:eastAsia="en-CA"/>
              </w:rPr>
            </w:pPr>
            <w:r w:rsidRPr="009C07A7">
              <w:rPr>
                <w:rFonts w:cs="Arial"/>
                <w:color w:val="000000"/>
                <w:sz w:val="18"/>
                <w:szCs w:val="18"/>
                <w:lang w:eastAsia="en-CA"/>
              </w:rPr>
              <w:t>41,563</w:t>
            </w:r>
          </w:p>
        </w:tc>
        <w:tc>
          <w:tcPr>
            <w:tcW w:w="709" w:type="dxa"/>
            <w:tcBorders>
              <w:top w:val="single" w:sz="2" w:space="0" w:color="auto"/>
              <w:left w:val="nil"/>
              <w:bottom w:val="single" w:sz="12" w:space="0" w:color="auto"/>
              <w:right w:val="nil"/>
            </w:tcBorders>
            <w:noWrap/>
            <w:vAlign w:val="bottom"/>
          </w:tcPr>
          <w:p w14:paraId="0FA0D62B" w14:textId="34B6A949" w:rsidR="00AF5AA6" w:rsidRPr="00B47245" w:rsidRDefault="00AF5AA6" w:rsidP="00AF5AA6">
            <w:pPr>
              <w:tabs>
                <w:tab w:val="decimal" w:pos="425"/>
              </w:tabs>
              <w:spacing w:before="60" w:after="60"/>
              <w:rPr>
                <w:rFonts w:cs="Arial"/>
                <w:color w:val="000000"/>
                <w:sz w:val="18"/>
                <w:szCs w:val="18"/>
                <w:lang w:eastAsia="en-CA"/>
              </w:rPr>
            </w:pPr>
          </w:p>
        </w:tc>
        <w:tc>
          <w:tcPr>
            <w:tcW w:w="283" w:type="dxa"/>
            <w:tcBorders>
              <w:top w:val="single" w:sz="2" w:space="0" w:color="auto"/>
              <w:left w:val="nil"/>
              <w:bottom w:val="single" w:sz="12" w:space="0" w:color="auto"/>
              <w:right w:val="nil"/>
            </w:tcBorders>
            <w:noWrap/>
            <w:vAlign w:val="bottom"/>
          </w:tcPr>
          <w:p w14:paraId="2844E6FF" w14:textId="77777777" w:rsidR="00AF5AA6" w:rsidRPr="00B47245" w:rsidRDefault="00AF5AA6" w:rsidP="00AF5AA6">
            <w:pPr>
              <w:spacing w:before="60" w:after="60"/>
              <w:rPr>
                <w:rFonts w:ascii="Times New Roman" w:hAnsi="Times New Roman"/>
                <w:lang w:eastAsia="en-CA"/>
              </w:rPr>
            </w:pPr>
          </w:p>
        </w:tc>
        <w:tc>
          <w:tcPr>
            <w:tcW w:w="851" w:type="dxa"/>
            <w:tcBorders>
              <w:top w:val="single" w:sz="2" w:space="0" w:color="auto"/>
              <w:left w:val="nil"/>
              <w:bottom w:val="single" w:sz="12" w:space="0" w:color="auto"/>
              <w:right w:val="nil"/>
            </w:tcBorders>
            <w:noWrap/>
            <w:vAlign w:val="bottom"/>
          </w:tcPr>
          <w:p w14:paraId="765E8107" w14:textId="2F3450D6" w:rsidR="00AF5AA6" w:rsidRPr="00180CE2" w:rsidRDefault="00220550" w:rsidP="00AF5AA6">
            <w:pPr>
              <w:tabs>
                <w:tab w:val="decimal" w:pos="562"/>
              </w:tabs>
              <w:spacing w:before="60" w:after="60"/>
              <w:rPr>
                <w:rFonts w:cs="Arial"/>
                <w:color w:val="000000"/>
                <w:sz w:val="18"/>
                <w:szCs w:val="18"/>
                <w:lang w:eastAsia="en-CA"/>
              </w:rPr>
            </w:pPr>
            <w:r>
              <w:rPr>
                <w:rFonts w:cs="Arial"/>
                <w:color w:val="000000"/>
                <w:sz w:val="18"/>
                <w:szCs w:val="18"/>
                <w:lang w:eastAsia="en-CA"/>
              </w:rPr>
              <w:t>453</w:t>
            </w:r>
          </w:p>
        </w:tc>
        <w:tc>
          <w:tcPr>
            <w:tcW w:w="709" w:type="dxa"/>
            <w:tcBorders>
              <w:top w:val="single" w:sz="2" w:space="0" w:color="auto"/>
              <w:left w:val="nil"/>
              <w:bottom w:val="single" w:sz="12" w:space="0" w:color="auto"/>
              <w:right w:val="nil"/>
            </w:tcBorders>
            <w:noWrap/>
            <w:vAlign w:val="bottom"/>
          </w:tcPr>
          <w:p w14:paraId="2288D2D2" w14:textId="77777777" w:rsidR="00AF5AA6" w:rsidRPr="00180CE2" w:rsidRDefault="00AF5AA6" w:rsidP="00AF5AA6">
            <w:pPr>
              <w:tabs>
                <w:tab w:val="decimal" w:pos="354"/>
              </w:tabs>
              <w:spacing w:before="60" w:after="60"/>
              <w:rPr>
                <w:rFonts w:cs="Arial"/>
                <w:color w:val="000000"/>
                <w:sz w:val="18"/>
                <w:szCs w:val="18"/>
                <w:lang w:eastAsia="en-CA"/>
              </w:rPr>
            </w:pPr>
          </w:p>
        </w:tc>
        <w:tc>
          <w:tcPr>
            <w:tcW w:w="283" w:type="dxa"/>
            <w:tcBorders>
              <w:top w:val="single" w:sz="2" w:space="0" w:color="auto"/>
              <w:left w:val="nil"/>
              <w:bottom w:val="single" w:sz="12" w:space="0" w:color="auto"/>
              <w:right w:val="nil"/>
            </w:tcBorders>
            <w:noWrap/>
            <w:vAlign w:val="bottom"/>
          </w:tcPr>
          <w:p w14:paraId="760C7DB4" w14:textId="77777777" w:rsidR="00AF5AA6" w:rsidRPr="00B47245" w:rsidRDefault="00AF5AA6" w:rsidP="00AF5AA6">
            <w:pPr>
              <w:spacing w:before="60" w:after="60"/>
              <w:rPr>
                <w:rFonts w:ascii="Times New Roman" w:hAnsi="Times New Roman"/>
                <w:lang w:eastAsia="en-CA"/>
              </w:rPr>
            </w:pPr>
          </w:p>
        </w:tc>
        <w:tc>
          <w:tcPr>
            <w:tcW w:w="851" w:type="dxa"/>
            <w:tcBorders>
              <w:top w:val="single" w:sz="2" w:space="0" w:color="auto"/>
              <w:left w:val="nil"/>
              <w:bottom w:val="single" w:sz="12" w:space="0" w:color="auto"/>
              <w:right w:val="nil"/>
            </w:tcBorders>
            <w:noWrap/>
            <w:vAlign w:val="bottom"/>
          </w:tcPr>
          <w:p w14:paraId="583F642A" w14:textId="11F1CC72" w:rsidR="00AF5AA6" w:rsidRPr="00B47245" w:rsidRDefault="00AF5AA6" w:rsidP="00B92A8A">
            <w:pPr>
              <w:tabs>
                <w:tab w:val="decimal" w:pos="457"/>
              </w:tabs>
              <w:spacing w:before="60" w:after="60"/>
              <w:ind w:left="-115" w:right="-115"/>
              <w:rPr>
                <w:rFonts w:cs="Arial"/>
                <w:color w:val="000000"/>
                <w:sz w:val="18"/>
                <w:szCs w:val="18"/>
                <w:lang w:eastAsia="en-CA"/>
              </w:rPr>
            </w:pPr>
            <w:r w:rsidRPr="008B1F80">
              <w:rPr>
                <w:rFonts w:cs="Arial"/>
                <w:color w:val="000000"/>
                <w:sz w:val="18"/>
                <w:szCs w:val="18"/>
                <w:lang w:eastAsia="en-CA"/>
              </w:rPr>
              <w:t>755</w:t>
            </w:r>
          </w:p>
        </w:tc>
        <w:tc>
          <w:tcPr>
            <w:tcW w:w="708" w:type="dxa"/>
            <w:tcBorders>
              <w:top w:val="single" w:sz="2" w:space="0" w:color="auto"/>
              <w:left w:val="nil"/>
              <w:bottom w:val="single" w:sz="12" w:space="0" w:color="auto"/>
              <w:right w:val="nil"/>
            </w:tcBorders>
            <w:noWrap/>
          </w:tcPr>
          <w:p w14:paraId="12F2902E" w14:textId="4D2C8367" w:rsidR="00AF5AA6" w:rsidRPr="00B47245" w:rsidRDefault="00AF5AA6" w:rsidP="00AF5AA6">
            <w:pPr>
              <w:tabs>
                <w:tab w:val="decimal" w:pos="335"/>
              </w:tabs>
              <w:spacing w:before="60" w:after="60"/>
              <w:rPr>
                <w:rFonts w:cs="Arial"/>
                <w:color w:val="000000"/>
                <w:sz w:val="18"/>
                <w:szCs w:val="18"/>
                <w:lang w:eastAsia="en-CA"/>
              </w:rPr>
            </w:pPr>
          </w:p>
        </w:tc>
      </w:tr>
      <w:tr w:rsidR="00AF5AA6" w14:paraId="1E58845A" w14:textId="77777777" w:rsidTr="00B92A8A">
        <w:trPr>
          <w:trHeight w:val="41"/>
        </w:trPr>
        <w:tc>
          <w:tcPr>
            <w:tcW w:w="2127" w:type="dxa"/>
            <w:tcBorders>
              <w:top w:val="single" w:sz="12" w:space="0" w:color="auto"/>
              <w:left w:val="nil"/>
              <w:right w:val="nil"/>
            </w:tcBorders>
            <w:noWrap/>
            <w:vAlign w:val="bottom"/>
          </w:tcPr>
          <w:p w14:paraId="3CFB7CD4" w14:textId="77777777" w:rsidR="00AF5AA6" w:rsidRPr="00810FF7" w:rsidRDefault="00AF5AA6" w:rsidP="00AF5AA6">
            <w:pPr>
              <w:rPr>
                <w:rFonts w:cs="Arial"/>
                <w:sz w:val="4"/>
                <w:szCs w:val="4"/>
                <w:lang w:eastAsia="en-CA"/>
              </w:rPr>
            </w:pPr>
          </w:p>
        </w:tc>
        <w:tc>
          <w:tcPr>
            <w:tcW w:w="1134" w:type="dxa"/>
            <w:tcBorders>
              <w:top w:val="single" w:sz="12" w:space="0" w:color="auto"/>
              <w:left w:val="nil"/>
              <w:right w:val="nil"/>
            </w:tcBorders>
            <w:noWrap/>
            <w:vAlign w:val="bottom"/>
          </w:tcPr>
          <w:p w14:paraId="16F09F9E" w14:textId="77777777" w:rsidR="00AF5AA6" w:rsidRPr="00810FF7" w:rsidRDefault="00AF5AA6" w:rsidP="00AF5AA6">
            <w:pPr>
              <w:tabs>
                <w:tab w:val="decimal" w:pos="695"/>
              </w:tabs>
              <w:ind w:left="-115"/>
              <w:rPr>
                <w:rFonts w:cs="Arial"/>
                <w:color w:val="000000"/>
                <w:sz w:val="4"/>
                <w:szCs w:val="4"/>
                <w:lang w:eastAsia="en-CA"/>
              </w:rPr>
            </w:pPr>
          </w:p>
        </w:tc>
        <w:tc>
          <w:tcPr>
            <w:tcW w:w="708" w:type="dxa"/>
            <w:tcBorders>
              <w:top w:val="single" w:sz="12" w:space="0" w:color="auto"/>
              <w:left w:val="nil"/>
              <w:right w:val="nil"/>
            </w:tcBorders>
            <w:noWrap/>
            <w:vAlign w:val="bottom"/>
          </w:tcPr>
          <w:p w14:paraId="282838A2" w14:textId="77777777" w:rsidR="00AF5AA6" w:rsidRPr="00810FF7" w:rsidRDefault="00AF5AA6" w:rsidP="00AF5AA6">
            <w:pPr>
              <w:tabs>
                <w:tab w:val="decimal" w:pos="335"/>
              </w:tabs>
              <w:ind w:left="-115"/>
              <w:rPr>
                <w:rFonts w:cs="Arial"/>
                <w:color w:val="000000"/>
                <w:sz w:val="4"/>
                <w:szCs w:val="4"/>
                <w:lang w:eastAsia="en-CA"/>
              </w:rPr>
            </w:pPr>
          </w:p>
        </w:tc>
        <w:tc>
          <w:tcPr>
            <w:tcW w:w="284" w:type="dxa"/>
            <w:tcBorders>
              <w:top w:val="single" w:sz="12" w:space="0" w:color="auto"/>
              <w:left w:val="nil"/>
              <w:right w:val="nil"/>
            </w:tcBorders>
            <w:noWrap/>
            <w:vAlign w:val="bottom"/>
          </w:tcPr>
          <w:p w14:paraId="2A11563A" w14:textId="77777777" w:rsidR="00AF5AA6" w:rsidRPr="00810FF7" w:rsidRDefault="00AF5AA6" w:rsidP="00AF5AA6">
            <w:pPr>
              <w:rPr>
                <w:rFonts w:ascii="Times New Roman" w:hAnsi="Times New Roman"/>
                <w:sz w:val="4"/>
                <w:szCs w:val="4"/>
                <w:lang w:eastAsia="en-CA"/>
              </w:rPr>
            </w:pPr>
          </w:p>
        </w:tc>
        <w:tc>
          <w:tcPr>
            <w:tcW w:w="992" w:type="dxa"/>
            <w:tcBorders>
              <w:top w:val="single" w:sz="12" w:space="0" w:color="auto"/>
              <w:left w:val="nil"/>
              <w:right w:val="nil"/>
            </w:tcBorders>
            <w:noWrap/>
            <w:vAlign w:val="bottom"/>
          </w:tcPr>
          <w:p w14:paraId="7625AB76" w14:textId="77777777" w:rsidR="00AF5AA6" w:rsidRPr="00810FF7" w:rsidRDefault="00AF5AA6" w:rsidP="00AF5AA6">
            <w:pPr>
              <w:tabs>
                <w:tab w:val="decimal" w:pos="605"/>
              </w:tabs>
              <w:ind w:left="-115"/>
              <w:rPr>
                <w:rFonts w:cs="Arial"/>
                <w:color w:val="000000"/>
                <w:sz w:val="4"/>
                <w:szCs w:val="4"/>
                <w:lang w:eastAsia="en-CA"/>
              </w:rPr>
            </w:pPr>
          </w:p>
        </w:tc>
        <w:tc>
          <w:tcPr>
            <w:tcW w:w="709" w:type="dxa"/>
            <w:tcBorders>
              <w:top w:val="single" w:sz="12" w:space="0" w:color="auto"/>
              <w:left w:val="nil"/>
              <w:right w:val="nil"/>
            </w:tcBorders>
            <w:noWrap/>
            <w:vAlign w:val="bottom"/>
          </w:tcPr>
          <w:p w14:paraId="1E2FB725" w14:textId="77777777" w:rsidR="00AF5AA6" w:rsidRPr="00810FF7" w:rsidRDefault="00AF5AA6" w:rsidP="00AF5AA6">
            <w:pPr>
              <w:rPr>
                <w:rFonts w:cs="Arial"/>
                <w:color w:val="000000"/>
                <w:sz w:val="4"/>
                <w:szCs w:val="4"/>
                <w:lang w:eastAsia="en-CA"/>
              </w:rPr>
            </w:pPr>
          </w:p>
        </w:tc>
        <w:tc>
          <w:tcPr>
            <w:tcW w:w="283" w:type="dxa"/>
            <w:tcBorders>
              <w:top w:val="single" w:sz="12" w:space="0" w:color="auto"/>
              <w:left w:val="nil"/>
              <w:right w:val="nil"/>
            </w:tcBorders>
            <w:noWrap/>
            <w:vAlign w:val="bottom"/>
          </w:tcPr>
          <w:p w14:paraId="2791C1DD" w14:textId="77777777" w:rsidR="00AF5AA6" w:rsidRPr="00810FF7" w:rsidRDefault="00AF5AA6" w:rsidP="00AF5AA6">
            <w:pPr>
              <w:rPr>
                <w:rFonts w:ascii="Times New Roman" w:hAnsi="Times New Roman"/>
                <w:sz w:val="4"/>
                <w:szCs w:val="4"/>
                <w:lang w:eastAsia="en-CA"/>
              </w:rPr>
            </w:pPr>
          </w:p>
        </w:tc>
        <w:tc>
          <w:tcPr>
            <w:tcW w:w="851" w:type="dxa"/>
            <w:tcBorders>
              <w:top w:val="single" w:sz="12" w:space="0" w:color="auto"/>
              <w:left w:val="nil"/>
              <w:right w:val="nil"/>
            </w:tcBorders>
            <w:noWrap/>
            <w:vAlign w:val="bottom"/>
          </w:tcPr>
          <w:p w14:paraId="1DC6F056" w14:textId="77777777" w:rsidR="00AF5AA6" w:rsidRPr="00810FF7" w:rsidRDefault="00AF5AA6" w:rsidP="00AF5AA6">
            <w:pPr>
              <w:tabs>
                <w:tab w:val="decimal" w:pos="562"/>
              </w:tabs>
              <w:rPr>
                <w:rFonts w:cs="Arial"/>
                <w:color w:val="000000"/>
                <w:sz w:val="4"/>
                <w:szCs w:val="4"/>
                <w:lang w:eastAsia="en-CA"/>
              </w:rPr>
            </w:pPr>
          </w:p>
        </w:tc>
        <w:tc>
          <w:tcPr>
            <w:tcW w:w="709" w:type="dxa"/>
            <w:tcBorders>
              <w:top w:val="single" w:sz="12" w:space="0" w:color="auto"/>
              <w:left w:val="nil"/>
              <w:right w:val="nil"/>
            </w:tcBorders>
            <w:noWrap/>
            <w:vAlign w:val="bottom"/>
          </w:tcPr>
          <w:p w14:paraId="73FEDDCB" w14:textId="77777777" w:rsidR="00AF5AA6" w:rsidRPr="00810FF7" w:rsidRDefault="00AF5AA6" w:rsidP="00AF5AA6">
            <w:pPr>
              <w:tabs>
                <w:tab w:val="decimal" w:pos="354"/>
              </w:tabs>
              <w:rPr>
                <w:rFonts w:cs="Arial"/>
                <w:color w:val="000000"/>
                <w:sz w:val="4"/>
                <w:szCs w:val="4"/>
                <w:lang w:eastAsia="en-CA"/>
              </w:rPr>
            </w:pPr>
          </w:p>
        </w:tc>
        <w:tc>
          <w:tcPr>
            <w:tcW w:w="283" w:type="dxa"/>
            <w:tcBorders>
              <w:top w:val="single" w:sz="12" w:space="0" w:color="auto"/>
              <w:left w:val="nil"/>
              <w:right w:val="nil"/>
            </w:tcBorders>
            <w:noWrap/>
            <w:vAlign w:val="bottom"/>
          </w:tcPr>
          <w:p w14:paraId="138FAAB0" w14:textId="77777777" w:rsidR="00AF5AA6" w:rsidRPr="00810FF7" w:rsidRDefault="00AF5AA6" w:rsidP="00AF5AA6">
            <w:pPr>
              <w:rPr>
                <w:rFonts w:ascii="Times New Roman" w:hAnsi="Times New Roman"/>
                <w:sz w:val="4"/>
                <w:szCs w:val="4"/>
                <w:lang w:eastAsia="en-CA"/>
              </w:rPr>
            </w:pPr>
          </w:p>
        </w:tc>
        <w:tc>
          <w:tcPr>
            <w:tcW w:w="851" w:type="dxa"/>
            <w:tcBorders>
              <w:top w:val="single" w:sz="12" w:space="0" w:color="auto"/>
              <w:left w:val="nil"/>
              <w:right w:val="nil"/>
            </w:tcBorders>
            <w:noWrap/>
            <w:vAlign w:val="bottom"/>
          </w:tcPr>
          <w:p w14:paraId="0993D1D2" w14:textId="77777777" w:rsidR="00AF5AA6" w:rsidRPr="00810FF7" w:rsidRDefault="00AF5AA6" w:rsidP="00AF5AA6">
            <w:pPr>
              <w:tabs>
                <w:tab w:val="decimal" w:pos="515"/>
              </w:tabs>
              <w:ind w:left="-115"/>
              <w:rPr>
                <w:rFonts w:cs="Arial"/>
                <w:color w:val="000000"/>
                <w:sz w:val="4"/>
                <w:szCs w:val="4"/>
                <w:lang w:eastAsia="en-CA"/>
              </w:rPr>
            </w:pPr>
          </w:p>
        </w:tc>
        <w:tc>
          <w:tcPr>
            <w:tcW w:w="708" w:type="dxa"/>
            <w:tcBorders>
              <w:top w:val="single" w:sz="12" w:space="0" w:color="auto"/>
              <w:left w:val="nil"/>
              <w:right w:val="nil"/>
            </w:tcBorders>
            <w:noWrap/>
            <w:vAlign w:val="bottom"/>
          </w:tcPr>
          <w:p w14:paraId="06E51B64" w14:textId="77777777" w:rsidR="00AF5AA6" w:rsidRPr="00810FF7" w:rsidRDefault="00AF5AA6" w:rsidP="00AF5AA6">
            <w:pPr>
              <w:rPr>
                <w:rFonts w:cs="Arial"/>
                <w:color w:val="000000"/>
                <w:sz w:val="4"/>
                <w:szCs w:val="4"/>
                <w:lang w:eastAsia="en-CA"/>
              </w:rPr>
            </w:pPr>
          </w:p>
        </w:tc>
      </w:tr>
    </w:tbl>
    <w:p w14:paraId="6EE08ADB" w14:textId="7E0F1340" w:rsidR="009F119A" w:rsidRDefault="006B3276" w:rsidP="009F119A">
      <w:pPr>
        <w:widowControl w:val="0"/>
        <w:spacing w:before="120" w:after="120"/>
        <w:jc w:val="both"/>
      </w:pPr>
      <w:r>
        <w:t xml:space="preserve">Historically, </w:t>
      </w:r>
      <w:proofErr w:type="gramStart"/>
      <w:r>
        <w:t>a</w:t>
      </w:r>
      <w:r w:rsidR="009F119A" w:rsidRPr="00180CE2">
        <w:t>ll of</w:t>
      </w:r>
      <w:proofErr w:type="gramEnd"/>
      <w:r w:rsidR="009F119A" w:rsidRPr="00180CE2">
        <w:t xml:space="preserve"> the Company’s natural gas production </w:t>
      </w:r>
      <w:r>
        <w:t>was</w:t>
      </w:r>
      <w:r w:rsidR="0042386B" w:rsidRPr="00180CE2">
        <w:t xml:space="preserve"> </w:t>
      </w:r>
      <w:r w:rsidR="009F119A" w:rsidRPr="00180CE2">
        <w:t>sold in the period produced, therefore natural gas sales volumes equal</w:t>
      </w:r>
      <w:r w:rsidR="005370BF" w:rsidRPr="00180CE2">
        <w:t>led</w:t>
      </w:r>
      <w:r w:rsidR="009F119A" w:rsidRPr="00180CE2">
        <w:t xml:space="preserve"> production volumes</w:t>
      </w:r>
      <w:r w:rsidR="00EC18ED">
        <w:t xml:space="preserve">. </w:t>
      </w:r>
      <w:r w:rsidR="00EC18ED" w:rsidRPr="00837FBD">
        <w:t xml:space="preserve">However, </w:t>
      </w:r>
      <w:r w:rsidR="00E370DD" w:rsidRPr="00837FBD">
        <w:t xml:space="preserve">in recent periods, </w:t>
      </w:r>
      <w:r w:rsidR="00EC18ED" w:rsidRPr="00837FBD">
        <w:t>a portion of natural gas production was not sold and was included in inventory</w:t>
      </w:r>
      <w:r w:rsidR="00F7721C" w:rsidRPr="00837FBD">
        <w:t>.</w:t>
      </w:r>
      <w:r w:rsidR="00F7721C">
        <w:t xml:space="preserve">  Movement in natural gas </w:t>
      </w:r>
      <w:r w:rsidR="00156253">
        <w:t xml:space="preserve">inventory </w:t>
      </w:r>
      <w:r w:rsidR="00725C90">
        <w:t xml:space="preserve">was </w:t>
      </w:r>
      <w:r w:rsidR="00156253">
        <w:t>as follows</w:t>
      </w:r>
      <w:r w:rsidR="00725C90">
        <w:t xml:space="preserve"> for the current and comparative periods</w:t>
      </w:r>
      <w:r w:rsidR="00156253">
        <w:t>:</w:t>
      </w:r>
    </w:p>
    <w:p w14:paraId="6A406AF7" w14:textId="77777777" w:rsidR="00837FBD" w:rsidRDefault="00837FBD" w:rsidP="009F119A">
      <w:pPr>
        <w:widowControl w:val="0"/>
        <w:spacing w:before="120" w:after="120"/>
        <w:jc w:val="both"/>
      </w:pPr>
    </w:p>
    <w:tbl>
      <w:tblPr>
        <w:tblW w:w="5954" w:type="dxa"/>
        <w:tblLayout w:type="fixed"/>
        <w:tblCellMar>
          <w:top w:w="15" w:type="dxa"/>
          <w:left w:w="115" w:type="dxa"/>
          <w:bottom w:w="15" w:type="dxa"/>
          <w:right w:w="115" w:type="dxa"/>
        </w:tblCellMar>
        <w:tblLook w:val="04A0" w:firstRow="1" w:lastRow="0" w:firstColumn="1" w:lastColumn="0" w:noHBand="0" w:noVBand="1"/>
      </w:tblPr>
      <w:tblGrid>
        <w:gridCol w:w="2127"/>
        <w:gridCol w:w="1134"/>
        <w:gridCol w:w="708"/>
        <w:gridCol w:w="284"/>
        <w:gridCol w:w="992"/>
        <w:gridCol w:w="709"/>
      </w:tblGrid>
      <w:tr w:rsidR="009F119A" w:rsidRPr="00B47245" w14:paraId="48E83656" w14:textId="77777777" w:rsidTr="00B92A8A">
        <w:trPr>
          <w:trHeight w:val="128"/>
        </w:trPr>
        <w:tc>
          <w:tcPr>
            <w:tcW w:w="2127" w:type="dxa"/>
            <w:tcBorders>
              <w:top w:val="single" w:sz="12" w:space="0" w:color="auto"/>
              <w:left w:val="nil"/>
              <w:bottom w:val="nil"/>
              <w:right w:val="nil"/>
            </w:tcBorders>
            <w:noWrap/>
            <w:vAlign w:val="bottom"/>
            <w:hideMark/>
          </w:tcPr>
          <w:p w14:paraId="12F1AAEE" w14:textId="2510BC2B" w:rsidR="009F119A" w:rsidRPr="00B47245" w:rsidRDefault="009F119A" w:rsidP="00631AB8">
            <w:pPr>
              <w:ind w:left="-115" w:right="-115"/>
              <w:rPr>
                <w:rFonts w:ascii="Times New Roman" w:hAnsi="Times New Roman"/>
                <w:sz w:val="24"/>
                <w:szCs w:val="24"/>
                <w:lang w:eastAsia="en-CA"/>
              </w:rPr>
            </w:pPr>
            <w:r>
              <w:rPr>
                <w:rFonts w:cs="Arial"/>
                <w:b/>
                <w:bCs/>
                <w:sz w:val="16"/>
                <w:szCs w:val="16"/>
                <w:lang w:eastAsia="en-CA"/>
              </w:rPr>
              <w:lastRenderedPageBreak/>
              <w:t xml:space="preserve">For the </w:t>
            </w:r>
            <w:r w:rsidR="00B92A8A">
              <w:rPr>
                <w:rFonts w:cs="Arial"/>
                <w:b/>
                <w:bCs/>
                <w:sz w:val="16"/>
                <w:szCs w:val="16"/>
                <w:lang w:eastAsia="en-CA"/>
              </w:rPr>
              <w:t xml:space="preserve">six </w:t>
            </w:r>
            <w:r w:rsidR="0082588E">
              <w:rPr>
                <w:rFonts w:cs="Arial"/>
                <w:b/>
                <w:bCs/>
                <w:sz w:val="16"/>
                <w:szCs w:val="16"/>
                <w:lang w:eastAsia="en-CA"/>
              </w:rPr>
              <w:t>months</w:t>
            </w:r>
            <w:r>
              <w:rPr>
                <w:rFonts w:cs="Arial"/>
                <w:b/>
                <w:bCs/>
                <w:sz w:val="16"/>
                <w:szCs w:val="16"/>
                <w:lang w:eastAsia="en-CA"/>
              </w:rPr>
              <w:t xml:space="preserve"> ended</w:t>
            </w:r>
          </w:p>
        </w:tc>
        <w:tc>
          <w:tcPr>
            <w:tcW w:w="3827" w:type="dxa"/>
            <w:gridSpan w:val="5"/>
            <w:tcBorders>
              <w:top w:val="single" w:sz="12" w:space="0" w:color="auto"/>
              <w:left w:val="nil"/>
              <w:bottom w:val="single" w:sz="4" w:space="0" w:color="auto"/>
              <w:right w:val="nil"/>
            </w:tcBorders>
            <w:noWrap/>
            <w:vAlign w:val="bottom"/>
            <w:hideMark/>
          </w:tcPr>
          <w:p w14:paraId="5C3719DE" w14:textId="2DFD1703" w:rsidR="009F119A" w:rsidRPr="00B47245" w:rsidRDefault="009F119A" w:rsidP="00631AB8">
            <w:pPr>
              <w:jc w:val="center"/>
              <w:rPr>
                <w:rFonts w:cs="Arial"/>
                <w:b/>
                <w:bCs/>
                <w:sz w:val="18"/>
                <w:szCs w:val="18"/>
                <w:lang w:eastAsia="en-CA"/>
              </w:rPr>
            </w:pPr>
            <w:r>
              <w:rPr>
                <w:rFonts w:cs="Arial"/>
                <w:b/>
                <w:bCs/>
                <w:sz w:val="18"/>
                <w:szCs w:val="18"/>
                <w:lang w:eastAsia="en-CA"/>
              </w:rPr>
              <w:t>Natural gas</w:t>
            </w:r>
          </w:p>
        </w:tc>
      </w:tr>
      <w:tr w:rsidR="009F119A" w:rsidRPr="00B47245" w14:paraId="5D475A3F" w14:textId="77777777" w:rsidTr="00B92A8A">
        <w:trPr>
          <w:trHeight w:val="128"/>
        </w:trPr>
        <w:tc>
          <w:tcPr>
            <w:tcW w:w="2127" w:type="dxa"/>
            <w:tcBorders>
              <w:top w:val="nil"/>
              <w:left w:val="nil"/>
              <w:bottom w:val="single" w:sz="4" w:space="0" w:color="auto"/>
              <w:right w:val="nil"/>
            </w:tcBorders>
            <w:noWrap/>
            <w:vAlign w:val="bottom"/>
            <w:hideMark/>
          </w:tcPr>
          <w:p w14:paraId="0F794F2C" w14:textId="2452C969" w:rsidR="009F119A" w:rsidRPr="00B47245" w:rsidRDefault="00E91EF5" w:rsidP="00631AB8">
            <w:pPr>
              <w:ind w:left="-115"/>
              <w:rPr>
                <w:rFonts w:cs="Arial"/>
                <w:b/>
                <w:bCs/>
                <w:sz w:val="16"/>
                <w:szCs w:val="16"/>
                <w:lang w:eastAsia="en-CA"/>
              </w:rPr>
            </w:pPr>
            <w:r>
              <w:rPr>
                <w:rFonts w:cs="Arial"/>
                <w:b/>
                <w:sz w:val="16"/>
                <w:szCs w:val="16"/>
              </w:rPr>
              <w:t>June 30</w:t>
            </w:r>
          </w:p>
        </w:tc>
        <w:tc>
          <w:tcPr>
            <w:tcW w:w="1842" w:type="dxa"/>
            <w:gridSpan w:val="2"/>
            <w:tcBorders>
              <w:top w:val="nil"/>
              <w:left w:val="nil"/>
              <w:bottom w:val="single" w:sz="4" w:space="0" w:color="auto"/>
              <w:right w:val="nil"/>
            </w:tcBorders>
            <w:noWrap/>
            <w:vAlign w:val="bottom"/>
            <w:hideMark/>
          </w:tcPr>
          <w:p w14:paraId="3BDEFADD" w14:textId="7CAEBB23" w:rsidR="009F119A" w:rsidRPr="00B47245" w:rsidRDefault="009F119A" w:rsidP="00631AB8">
            <w:pPr>
              <w:jc w:val="center"/>
              <w:rPr>
                <w:rFonts w:cs="Arial"/>
                <w:b/>
                <w:bCs/>
                <w:sz w:val="16"/>
                <w:szCs w:val="16"/>
                <w:lang w:eastAsia="en-CA"/>
              </w:rPr>
            </w:pPr>
            <w:r>
              <w:rPr>
                <w:rFonts w:cs="Arial"/>
                <w:b/>
                <w:bCs/>
                <w:sz w:val="16"/>
                <w:szCs w:val="16"/>
                <w:lang w:eastAsia="en-CA"/>
              </w:rPr>
              <w:t>202</w:t>
            </w:r>
            <w:r w:rsidR="00E877FF">
              <w:rPr>
                <w:rFonts w:cs="Arial"/>
                <w:b/>
                <w:bCs/>
                <w:sz w:val="16"/>
                <w:szCs w:val="16"/>
                <w:lang w:eastAsia="en-CA"/>
              </w:rPr>
              <w:t>6</w:t>
            </w:r>
          </w:p>
        </w:tc>
        <w:tc>
          <w:tcPr>
            <w:tcW w:w="284" w:type="dxa"/>
            <w:tcBorders>
              <w:top w:val="nil"/>
              <w:left w:val="nil"/>
              <w:bottom w:val="single" w:sz="4" w:space="0" w:color="auto"/>
              <w:right w:val="nil"/>
            </w:tcBorders>
            <w:noWrap/>
            <w:vAlign w:val="bottom"/>
            <w:hideMark/>
          </w:tcPr>
          <w:p w14:paraId="744ACCBE" w14:textId="77777777" w:rsidR="009F119A" w:rsidRPr="00B47245" w:rsidRDefault="009F119A" w:rsidP="00631AB8">
            <w:pPr>
              <w:jc w:val="center"/>
              <w:rPr>
                <w:rFonts w:cs="Arial"/>
                <w:b/>
                <w:bCs/>
                <w:sz w:val="16"/>
                <w:szCs w:val="16"/>
                <w:lang w:eastAsia="en-CA"/>
              </w:rPr>
            </w:pPr>
          </w:p>
        </w:tc>
        <w:tc>
          <w:tcPr>
            <w:tcW w:w="1701" w:type="dxa"/>
            <w:gridSpan w:val="2"/>
            <w:tcBorders>
              <w:top w:val="nil"/>
              <w:left w:val="nil"/>
              <w:bottom w:val="single" w:sz="4" w:space="0" w:color="auto"/>
              <w:right w:val="nil"/>
            </w:tcBorders>
            <w:noWrap/>
            <w:vAlign w:val="bottom"/>
            <w:hideMark/>
          </w:tcPr>
          <w:p w14:paraId="749D9AC4" w14:textId="16BC0B39" w:rsidR="009F119A" w:rsidRPr="00B47245" w:rsidRDefault="009F119A" w:rsidP="00631AB8">
            <w:pPr>
              <w:jc w:val="center"/>
              <w:rPr>
                <w:rFonts w:cs="Arial"/>
                <w:b/>
                <w:bCs/>
                <w:sz w:val="16"/>
                <w:szCs w:val="16"/>
                <w:lang w:eastAsia="en-CA"/>
              </w:rPr>
            </w:pPr>
            <w:r>
              <w:rPr>
                <w:rFonts w:cs="Arial"/>
                <w:b/>
                <w:bCs/>
                <w:sz w:val="16"/>
                <w:szCs w:val="16"/>
                <w:lang w:eastAsia="en-CA"/>
              </w:rPr>
              <w:t>202</w:t>
            </w:r>
            <w:r w:rsidR="00E877FF">
              <w:rPr>
                <w:rFonts w:cs="Arial"/>
                <w:b/>
                <w:bCs/>
                <w:sz w:val="16"/>
                <w:szCs w:val="16"/>
                <w:lang w:eastAsia="en-CA"/>
              </w:rPr>
              <w:t>5</w:t>
            </w:r>
          </w:p>
        </w:tc>
      </w:tr>
      <w:tr w:rsidR="009F119A" w:rsidRPr="00B47245" w14:paraId="73376804" w14:textId="77777777" w:rsidTr="00B92A8A">
        <w:trPr>
          <w:trHeight w:val="252"/>
        </w:trPr>
        <w:tc>
          <w:tcPr>
            <w:tcW w:w="2127" w:type="dxa"/>
            <w:tcBorders>
              <w:top w:val="nil"/>
              <w:left w:val="nil"/>
              <w:bottom w:val="single" w:sz="4" w:space="0" w:color="auto"/>
              <w:right w:val="nil"/>
            </w:tcBorders>
            <w:noWrap/>
            <w:vAlign w:val="bottom"/>
            <w:hideMark/>
          </w:tcPr>
          <w:p w14:paraId="155E0545" w14:textId="77777777" w:rsidR="009F119A" w:rsidRPr="00B47245" w:rsidRDefault="009F119A" w:rsidP="00631AB8">
            <w:pPr>
              <w:jc w:val="center"/>
              <w:rPr>
                <w:rFonts w:cs="Arial"/>
                <w:b/>
                <w:bCs/>
                <w:sz w:val="16"/>
                <w:szCs w:val="16"/>
                <w:lang w:eastAsia="en-CA"/>
              </w:rPr>
            </w:pPr>
          </w:p>
        </w:tc>
        <w:tc>
          <w:tcPr>
            <w:tcW w:w="1134" w:type="dxa"/>
            <w:tcBorders>
              <w:top w:val="nil"/>
              <w:left w:val="nil"/>
              <w:bottom w:val="single" w:sz="4" w:space="0" w:color="auto"/>
              <w:right w:val="nil"/>
            </w:tcBorders>
            <w:vAlign w:val="center"/>
            <w:hideMark/>
          </w:tcPr>
          <w:p w14:paraId="52FCEE80" w14:textId="2B56BCF7" w:rsidR="009F119A" w:rsidRPr="00B47245" w:rsidRDefault="009F119A" w:rsidP="00631AB8">
            <w:pPr>
              <w:jc w:val="center"/>
              <w:rPr>
                <w:rFonts w:cs="Arial"/>
                <w:color w:val="000000"/>
                <w:sz w:val="16"/>
                <w:szCs w:val="16"/>
                <w:lang w:eastAsia="en-CA"/>
              </w:rPr>
            </w:pPr>
            <w:r>
              <w:rPr>
                <w:rFonts w:cs="Arial"/>
                <w:color w:val="000000"/>
                <w:sz w:val="16"/>
                <w:szCs w:val="16"/>
                <w:lang w:eastAsia="en-CA"/>
              </w:rPr>
              <w:t>mcf</w:t>
            </w:r>
          </w:p>
        </w:tc>
        <w:tc>
          <w:tcPr>
            <w:tcW w:w="708" w:type="dxa"/>
            <w:tcBorders>
              <w:top w:val="nil"/>
              <w:left w:val="nil"/>
              <w:bottom w:val="single" w:sz="4" w:space="0" w:color="auto"/>
              <w:right w:val="nil"/>
            </w:tcBorders>
            <w:vAlign w:val="center"/>
            <w:hideMark/>
          </w:tcPr>
          <w:p w14:paraId="4C567473" w14:textId="21727551" w:rsidR="009F119A" w:rsidRPr="00B47245" w:rsidRDefault="009F119A" w:rsidP="00631AB8">
            <w:pPr>
              <w:ind w:left="-25" w:right="-115"/>
              <w:rPr>
                <w:rFonts w:cs="Arial"/>
                <w:color w:val="000000"/>
                <w:sz w:val="16"/>
                <w:szCs w:val="16"/>
                <w:lang w:eastAsia="en-CA"/>
              </w:rPr>
            </w:pPr>
            <w:r>
              <w:rPr>
                <w:rFonts w:cs="Arial"/>
                <w:color w:val="000000"/>
                <w:sz w:val="16"/>
                <w:szCs w:val="16"/>
                <w:lang w:eastAsia="en-CA"/>
              </w:rPr>
              <w:t>mcf per day</w:t>
            </w:r>
          </w:p>
        </w:tc>
        <w:tc>
          <w:tcPr>
            <w:tcW w:w="284" w:type="dxa"/>
            <w:tcBorders>
              <w:top w:val="nil"/>
              <w:left w:val="nil"/>
              <w:bottom w:val="single" w:sz="4" w:space="0" w:color="auto"/>
              <w:right w:val="nil"/>
            </w:tcBorders>
            <w:noWrap/>
            <w:vAlign w:val="center"/>
            <w:hideMark/>
          </w:tcPr>
          <w:p w14:paraId="2BBE325A" w14:textId="77777777" w:rsidR="009F119A" w:rsidRPr="00B47245" w:rsidRDefault="009F119A" w:rsidP="00631AB8">
            <w:pPr>
              <w:jc w:val="center"/>
              <w:rPr>
                <w:rFonts w:cs="Arial"/>
                <w:color w:val="000000"/>
                <w:sz w:val="16"/>
                <w:szCs w:val="16"/>
                <w:lang w:eastAsia="en-CA"/>
              </w:rPr>
            </w:pPr>
          </w:p>
        </w:tc>
        <w:tc>
          <w:tcPr>
            <w:tcW w:w="992" w:type="dxa"/>
            <w:tcBorders>
              <w:top w:val="nil"/>
              <w:left w:val="nil"/>
              <w:bottom w:val="single" w:sz="4" w:space="0" w:color="auto"/>
              <w:right w:val="nil"/>
            </w:tcBorders>
            <w:vAlign w:val="center"/>
            <w:hideMark/>
          </w:tcPr>
          <w:p w14:paraId="3A9E609E" w14:textId="5FF6FBBD" w:rsidR="009F119A" w:rsidRPr="00B47245" w:rsidRDefault="009F119A" w:rsidP="00631AB8">
            <w:pPr>
              <w:jc w:val="center"/>
              <w:rPr>
                <w:rFonts w:cs="Arial"/>
                <w:color w:val="000000"/>
                <w:sz w:val="16"/>
                <w:szCs w:val="16"/>
                <w:lang w:eastAsia="en-CA"/>
              </w:rPr>
            </w:pPr>
            <w:r>
              <w:rPr>
                <w:rFonts w:cs="Arial"/>
                <w:color w:val="000000"/>
                <w:sz w:val="16"/>
                <w:szCs w:val="16"/>
                <w:lang w:eastAsia="en-CA"/>
              </w:rPr>
              <w:t>mcf</w:t>
            </w:r>
          </w:p>
        </w:tc>
        <w:tc>
          <w:tcPr>
            <w:tcW w:w="709" w:type="dxa"/>
            <w:tcBorders>
              <w:top w:val="nil"/>
              <w:left w:val="nil"/>
              <w:bottom w:val="single" w:sz="4" w:space="0" w:color="auto"/>
              <w:right w:val="nil"/>
            </w:tcBorders>
            <w:vAlign w:val="center"/>
            <w:hideMark/>
          </w:tcPr>
          <w:p w14:paraId="68ED5088" w14:textId="263A49EA" w:rsidR="009F119A" w:rsidRPr="00B47245" w:rsidRDefault="009F119A" w:rsidP="00631AB8">
            <w:pPr>
              <w:ind w:left="-25" w:right="-115"/>
              <w:rPr>
                <w:rFonts w:cs="Arial"/>
                <w:color w:val="000000"/>
                <w:sz w:val="16"/>
                <w:szCs w:val="16"/>
                <w:lang w:eastAsia="en-CA"/>
              </w:rPr>
            </w:pPr>
            <w:r>
              <w:rPr>
                <w:rFonts w:cs="Arial"/>
                <w:color w:val="000000"/>
                <w:sz w:val="16"/>
                <w:szCs w:val="16"/>
                <w:lang w:eastAsia="en-CA"/>
              </w:rPr>
              <w:t>mcf per day</w:t>
            </w:r>
          </w:p>
        </w:tc>
      </w:tr>
      <w:tr w:rsidR="00AF5AA6" w:rsidRPr="00B47245" w14:paraId="3C81B2DC" w14:textId="77777777" w:rsidTr="00B92A8A">
        <w:trPr>
          <w:trHeight w:val="243"/>
        </w:trPr>
        <w:tc>
          <w:tcPr>
            <w:tcW w:w="2127" w:type="dxa"/>
            <w:tcBorders>
              <w:top w:val="nil"/>
              <w:left w:val="nil"/>
              <w:bottom w:val="nil"/>
              <w:right w:val="nil"/>
            </w:tcBorders>
            <w:noWrap/>
            <w:vAlign w:val="bottom"/>
          </w:tcPr>
          <w:p w14:paraId="2F9E4FE6" w14:textId="77777777" w:rsidR="00AF5AA6" w:rsidRDefault="00AF5AA6" w:rsidP="00AF5AA6">
            <w:pPr>
              <w:spacing w:before="60"/>
              <w:rPr>
                <w:rFonts w:cs="Arial"/>
                <w:sz w:val="18"/>
                <w:szCs w:val="18"/>
                <w:lang w:eastAsia="en-CA"/>
              </w:rPr>
            </w:pPr>
            <w:r>
              <w:rPr>
                <w:rFonts w:cs="Arial"/>
                <w:sz w:val="18"/>
                <w:szCs w:val="18"/>
                <w:lang w:eastAsia="en-CA"/>
              </w:rPr>
              <w:t>Inventory, January 1</w:t>
            </w:r>
          </w:p>
        </w:tc>
        <w:tc>
          <w:tcPr>
            <w:tcW w:w="1134" w:type="dxa"/>
            <w:tcBorders>
              <w:top w:val="nil"/>
              <w:left w:val="nil"/>
              <w:bottom w:val="nil"/>
              <w:right w:val="nil"/>
            </w:tcBorders>
            <w:noWrap/>
            <w:vAlign w:val="bottom"/>
          </w:tcPr>
          <w:p w14:paraId="676BFA80" w14:textId="7BF133F3" w:rsidR="00AF5AA6" w:rsidRDefault="00AF5AA6" w:rsidP="00AF5AA6">
            <w:pPr>
              <w:tabs>
                <w:tab w:val="decimal" w:pos="788"/>
              </w:tabs>
              <w:spacing w:before="60"/>
              <w:ind w:left="-115"/>
              <w:rPr>
                <w:rFonts w:cs="Arial"/>
                <w:color w:val="000000"/>
                <w:sz w:val="18"/>
                <w:szCs w:val="18"/>
                <w:lang w:eastAsia="en-CA"/>
              </w:rPr>
            </w:pPr>
            <w:r>
              <w:rPr>
                <w:rFonts w:cs="Arial"/>
                <w:color w:val="000000"/>
                <w:sz w:val="18"/>
                <w:szCs w:val="18"/>
                <w:lang w:eastAsia="en-CA"/>
              </w:rPr>
              <w:t>102,984</w:t>
            </w:r>
          </w:p>
        </w:tc>
        <w:tc>
          <w:tcPr>
            <w:tcW w:w="708" w:type="dxa"/>
            <w:tcBorders>
              <w:top w:val="nil"/>
              <w:left w:val="nil"/>
              <w:bottom w:val="nil"/>
              <w:right w:val="nil"/>
            </w:tcBorders>
            <w:noWrap/>
            <w:vAlign w:val="bottom"/>
          </w:tcPr>
          <w:p w14:paraId="3475F96F" w14:textId="77777777" w:rsidR="00AF5AA6" w:rsidRPr="00B47245" w:rsidRDefault="00AF5AA6" w:rsidP="00AF5AA6">
            <w:pPr>
              <w:tabs>
                <w:tab w:val="decimal" w:pos="335"/>
              </w:tabs>
              <w:spacing w:before="60"/>
              <w:ind w:left="-115"/>
              <w:rPr>
                <w:rFonts w:cs="Arial"/>
                <w:color w:val="000000"/>
                <w:sz w:val="18"/>
                <w:szCs w:val="18"/>
                <w:lang w:eastAsia="en-CA"/>
              </w:rPr>
            </w:pPr>
          </w:p>
        </w:tc>
        <w:tc>
          <w:tcPr>
            <w:tcW w:w="284" w:type="dxa"/>
            <w:tcBorders>
              <w:top w:val="nil"/>
              <w:left w:val="nil"/>
              <w:bottom w:val="nil"/>
              <w:right w:val="nil"/>
            </w:tcBorders>
            <w:noWrap/>
            <w:vAlign w:val="bottom"/>
          </w:tcPr>
          <w:p w14:paraId="2CEEF79C" w14:textId="77777777" w:rsidR="00AF5AA6" w:rsidRPr="00B47245" w:rsidRDefault="00AF5AA6" w:rsidP="00AF5AA6">
            <w:pPr>
              <w:spacing w:before="60"/>
              <w:rPr>
                <w:rFonts w:ascii="Times New Roman" w:hAnsi="Times New Roman"/>
                <w:lang w:eastAsia="en-CA"/>
              </w:rPr>
            </w:pPr>
          </w:p>
        </w:tc>
        <w:tc>
          <w:tcPr>
            <w:tcW w:w="992" w:type="dxa"/>
            <w:tcBorders>
              <w:top w:val="nil"/>
              <w:left w:val="nil"/>
              <w:bottom w:val="nil"/>
              <w:right w:val="nil"/>
            </w:tcBorders>
            <w:noWrap/>
            <w:vAlign w:val="bottom"/>
          </w:tcPr>
          <w:p w14:paraId="669DDECE" w14:textId="0CE3A912" w:rsidR="00AF5AA6" w:rsidRDefault="00AF5AA6" w:rsidP="00AF5AA6">
            <w:pPr>
              <w:tabs>
                <w:tab w:val="decimal" w:pos="794"/>
              </w:tabs>
              <w:spacing w:before="60"/>
              <w:ind w:left="-115"/>
              <w:rPr>
                <w:rFonts w:cs="Arial"/>
                <w:color w:val="000000"/>
                <w:sz w:val="18"/>
                <w:szCs w:val="18"/>
                <w:lang w:eastAsia="en-CA"/>
              </w:rPr>
            </w:pPr>
            <w:r>
              <w:rPr>
                <w:rFonts w:cs="Arial"/>
                <w:color w:val="000000"/>
                <w:sz w:val="18"/>
                <w:szCs w:val="18"/>
                <w:lang w:eastAsia="en-CA"/>
              </w:rPr>
              <w:t>29,954</w:t>
            </w:r>
          </w:p>
        </w:tc>
        <w:tc>
          <w:tcPr>
            <w:tcW w:w="709" w:type="dxa"/>
            <w:tcBorders>
              <w:top w:val="nil"/>
              <w:left w:val="nil"/>
              <w:bottom w:val="nil"/>
              <w:right w:val="nil"/>
            </w:tcBorders>
            <w:noWrap/>
            <w:vAlign w:val="bottom"/>
          </w:tcPr>
          <w:p w14:paraId="51797B72" w14:textId="77777777" w:rsidR="00AF5AA6" w:rsidRPr="00B47245" w:rsidRDefault="00AF5AA6" w:rsidP="00AF5AA6">
            <w:pPr>
              <w:tabs>
                <w:tab w:val="decimal" w:pos="425"/>
              </w:tabs>
              <w:spacing w:before="60"/>
              <w:rPr>
                <w:rFonts w:cs="Arial"/>
                <w:color w:val="000000"/>
                <w:sz w:val="18"/>
                <w:szCs w:val="18"/>
                <w:lang w:eastAsia="en-CA"/>
              </w:rPr>
            </w:pPr>
          </w:p>
        </w:tc>
      </w:tr>
      <w:tr w:rsidR="00AF5AA6" w:rsidRPr="00B47245" w14:paraId="4AEAF353" w14:textId="77777777" w:rsidTr="00B92A8A">
        <w:trPr>
          <w:trHeight w:val="19"/>
        </w:trPr>
        <w:tc>
          <w:tcPr>
            <w:tcW w:w="2127" w:type="dxa"/>
            <w:tcBorders>
              <w:top w:val="nil"/>
              <w:left w:val="nil"/>
              <w:right w:val="nil"/>
            </w:tcBorders>
            <w:noWrap/>
            <w:vAlign w:val="bottom"/>
            <w:hideMark/>
          </w:tcPr>
          <w:p w14:paraId="6879FDB4" w14:textId="77777777" w:rsidR="00AF5AA6" w:rsidRPr="00B47245" w:rsidRDefault="00AF5AA6" w:rsidP="00AF5AA6">
            <w:pPr>
              <w:rPr>
                <w:rFonts w:cs="Arial"/>
                <w:sz w:val="18"/>
                <w:szCs w:val="18"/>
                <w:lang w:eastAsia="en-CA"/>
              </w:rPr>
            </w:pPr>
            <w:r>
              <w:rPr>
                <w:rFonts w:cs="Arial"/>
                <w:sz w:val="18"/>
                <w:szCs w:val="18"/>
                <w:lang w:eastAsia="en-CA"/>
              </w:rPr>
              <w:t>Production</w:t>
            </w:r>
          </w:p>
        </w:tc>
        <w:tc>
          <w:tcPr>
            <w:tcW w:w="1134" w:type="dxa"/>
            <w:tcBorders>
              <w:top w:val="nil"/>
              <w:left w:val="nil"/>
              <w:right w:val="nil"/>
            </w:tcBorders>
            <w:noWrap/>
          </w:tcPr>
          <w:p w14:paraId="2B06D94E" w14:textId="4147C492" w:rsidR="00AF5AA6" w:rsidRPr="00EC18ED" w:rsidRDefault="00220550" w:rsidP="00AF5AA6">
            <w:pPr>
              <w:tabs>
                <w:tab w:val="decimal" w:pos="788"/>
              </w:tabs>
              <w:ind w:left="-115"/>
              <w:rPr>
                <w:rFonts w:cs="Arial"/>
                <w:color w:val="000000"/>
                <w:sz w:val="18"/>
                <w:szCs w:val="18"/>
                <w:lang w:eastAsia="en-CA"/>
              </w:rPr>
            </w:pPr>
            <w:r>
              <w:rPr>
                <w:rFonts w:cs="Arial"/>
                <w:color w:val="000000"/>
                <w:sz w:val="18"/>
                <w:szCs w:val="18"/>
                <w:lang w:eastAsia="en-CA"/>
              </w:rPr>
              <w:t>1,272,525</w:t>
            </w:r>
          </w:p>
        </w:tc>
        <w:tc>
          <w:tcPr>
            <w:tcW w:w="708" w:type="dxa"/>
            <w:tcBorders>
              <w:top w:val="nil"/>
              <w:left w:val="nil"/>
              <w:right w:val="nil"/>
            </w:tcBorders>
            <w:noWrap/>
          </w:tcPr>
          <w:p w14:paraId="40CB42ED" w14:textId="6A56661D" w:rsidR="00AF5AA6" w:rsidRPr="00EC18ED" w:rsidRDefault="00B92A8A" w:rsidP="00AF5AA6">
            <w:pPr>
              <w:tabs>
                <w:tab w:val="decimal" w:pos="437"/>
              </w:tabs>
              <w:ind w:left="-115"/>
              <w:rPr>
                <w:rFonts w:cs="Arial"/>
                <w:color w:val="000000"/>
                <w:sz w:val="18"/>
                <w:szCs w:val="18"/>
                <w:lang w:eastAsia="en-CA"/>
              </w:rPr>
            </w:pPr>
            <w:r>
              <w:rPr>
                <w:rFonts w:cs="Arial"/>
                <w:color w:val="000000"/>
                <w:sz w:val="18"/>
                <w:szCs w:val="18"/>
                <w:lang w:eastAsia="en-CA"/>
              </w:rPr>
              <w:t>7,031</w:t>
            </w:r>
          </w:p>
        </w:tc>
        <w:tc>
          <w:tcPr>
            <w:tcW w:w="284" w:type="dxa"/>
            <w:tcBorders>
              <w:top w:val="nil"/>
              <w:left w:val="nil"/>
              <w:right w:val="nil"/>
            </w:tcBorders>
            <w:noWrap/>
            <w:vAlign w:val="bottom"/>
          </w:tcPr>
          <w:p w14:paraId="50D363C6" w14:textId="77777777" w:rsidR="00AF5AA6" w:rsidRPr="00B47245" w:rsidRDefault="00AF5AA6" w:rsidP="00AF5AA6">
            <w:pPr>
              <w:rPr>
                <w:rFonts w:cs="Arial"/>
                <w:color w:val="000000"/>
                <w:sz w:val="18"/>
                <w:szCs w:val="18"/>
                <w:lang w:eastAsia="en-CA"/>
              </w:rPr>
            </w:pPr>
          </w:p>
        </w:tc>
        <w:tc>
          <w:tcPr>
            <w:tcW w:w="992" w:type="dxa"/>
            <w:tcBorders>
              <w:top w:val="nil"/>
              <w:left w:val="nil"/>
              <w:right w:val="nil"/>
            </w:tcBorders>
            <w:noWrap/>
          </w:tcPr>
          <w:p w14:paraId="58A78F6D" w14:textId="042E3488" w:rsidR="00AF5AA6" w:rsidRPr="00B47245" w:rsidRDefault="00AF5AA6" w:rsidP="00AF5AA6">
            <w:pPr>
              <w:tabs>
                <w:tab w:val="decimal" w:pos="794"/>
              </w:tabs>
              <w:ind w:left="-115"/>
              <w:rPr>
                <w:rFonts w:cs="Arial"/>
                <w:color w:val="000000"/>
                <w:sz w:val="18"/>
                <w:szCs w:val="18"/>
                <w:lang w:eastAsia="en-CA"/>
              </w:rPr>
            </w:pPr>
            <w:r w:rsidRPr="009C07A7">
              <w:rPr>
                <w:sz w:val="18"/>
                <w:szCs w:val="18"/>
              </w:rPr>
              <w:t xml:space="preserve"> 702,621 </w:t>
            </w:r>
          </w:p>
        </w:tc>
        <w:tc>
          <w:tcPr>
            <w:tcW w:w="709" w:type="dxa"/>
            <w:tcBorders>
              <w:top w:val="nil"/>
              <w:left w:val="nil"/>
              <w:right w:val="nil"/>
            </w:tcBorders>
            <w:noWrap/>
          </w:tcPr>
          <w:p w14:paraId="2F36230A" w14:textId="101DA48B" w:rsidR="00AF5AA6" w:rsidRPr="00B47245" w:rsidRDefault="00AF5AA6" w:rsidP="00AF5AA6">
            <w:pPr>
              <w:tabs>
                <w:tab w:val="decimal" w:pos="425"/>
              </w:tabs>
              <w:ind w:left="-115"/>
              <w:rPr>
                <w:rFonts w:cs="Arial"/>
                <w:color w:val="000000"/>
                <w:sz w:val="18"/>
                <w:szCs w:val="18"/>
                <w:lang w:eastAsia="en-CA"/>
              </w:rPr>
            </w:pPr>
            <w:r w:rsidRPr="009C07A7">
              <w:rPr>
                <w:sz w:val="18"/>
                <w:szCs w:val="18"/>
              </w:rPr>
              <w:t xml:space="preserve"> 3,882 </w:t>
            </w:r>
          </w:p>
        </w:tc>
      </w:tr>
      <w:tr w:rsidR="00AF5AA6" w:rsidRPr="00B47245" w14:paraId="17FEFB1E" w14:textId="77777777" w:rsidTr="00B92A8A">
        <w:trPr>
          <w:trHeight w:val="19"/>
        </w:trPr>
        <w:tc>
          <w:tcPr>
            <w:tcW w:w="2127" w:type="dxa"/>
            <w:tcBorders>
              <w:top w:val="nil"/>
              <w:left w:val="nil"/>
              <w:right w:val="nil"/>
            </w:tcBorders>
            <w:noWrap/>
            <w:vAlign w:val="bottom"/>
            <w:hideMark/>
          </w:tcPr>
          <w:p w14:paraId="328595F0" w14:textId="77777777" w:rsidR="00AF5AA6" w:rsidRPr="00B47245" w:rsidRDefault="00AF5AA6" w:rsidP="00AF5AA6">
            <w:pPr>
              <w:rPr>
                <w:rFonts w:cs="Arial"/>
                <w:sz w:val="18"/>
                <w:szCs w:val="18"/>
                <w:lang w:eastAsia="en-CA"/>
              </w:rPr>
            </w:pPr>
            <w:r>
              <w:rPr>
                <w:rFonts w:cs="Arial"/>
                <w:sz w:val="18"/>
                <w:szCs w:val="18"/>
                <w:lang w:eastAsia="en-CA"/>
              </w:rPr>
              <w:t>Sales</w:t>
            </w:r>
          </w:p>
        </w:tc>
        <w:tc>
          <w:tcPr>
            <w:tcW w:w="1134" w:type="dxa"/>
            <w:tcBorders>
              <w:top w:val="nil"/>
              <w:left w:val="nil"/>
              <w:right w:val="nil"/>
            </w:tcBorders>
            <w:noWrap/>
          </w:tcPr>
          <w:p w14:paraId="49D5E969" w14:textId="020A8522" w:rsidR="00AF5AA6" w:rsidRPr="00EC18ED" w:rsidRDefault="00220550" w:rsidP="00AF5AA6">
            <w:pPr>
              <w:tabs>
                <w:tab w:val="decimal" w:pos="788"/>
              </w:tabs>
              <w:ind w:left="-115"/>
              <w:rPr>
                <w:rFonts w:cs="Arial"/>
                <w:color w:val="000000"/>
                <w:sz w:val="18"/>
                <w:szCs w:val="18"/>
                <w:lang w:eastAsia="en-CA"/>
              </w:rPr>
            </w:pPr>
            <w:r>
              <w:rPr>
                <w:rFonts w:cs="Arial"/>
                <w:color w:val="000000"/>
                <w:sz w:val="18"/>
                <w:szCs w:val="18"/>
                <w:lang w:eastAsia="en-CA"/>
              </w:rPr>
              <w:t>(1,259,374)</w:t>
            </w:r>
          </w:p>
        </w:tc>
        <w:tc>
          <w:tcPr>
            <w:tcW w:w="708" w:type="dxa"/>
            <w:tcBorders>
              <w:top w:val="nil"/>
              <w:left w:val="nil"/>
              <w:right w:val="nil"/>
            </w:tcBorders>
            <w:noWrap/>
          </w:tcPr>
          <w:p w14:paraId="2E683717" w14:textId="61DA8197" w:rsidR="00AF5AA6" w:rsidRPr="00EC18ED" w:rsidRDefault="00B92A8A" w:rsidP="00AF5AA6">
            <w:pPr>
              <w:tabs>
                <w:tab w:val="decimal" w:pos="437"/>
              </w:tabs>
              <w:ind w:left="-115"/>
              <w:rPr>
                <w:rFonts w:cs="Arial"/>
                <w:color w:val="000000"/>
                <w:sz w:val="18"/>
                <w:szCs w:val="18"/>
                <w:lang w:eastAsia="en-CA"/>
              </w:rPr>
            </w:pPr>
            <w:r>
              <w:rPr>
                <w:rFonts w:cs="Arial"/>
                <w:color w:val="000000"/>
                <w:sz w:val="18"/>
                <w:szCs w:val="18"/>
                <w:lang w:eastAsia="en-CA"/>
              </w:rPr>
              <w:t>(6,958)</w:t>
            </w:r>
          </w:p>
        </w:tc>
        <w:tc>
          <w:tcPr>
            <w:tcW w:w="284" w:type="dxa"/>
            <w:tcBorders>
              <w:top w:val="nil"/>
              <w:left w:val="nil"/>
              <w:right w:val="nil"/>
            </w:tcBorders>
            <w:noWrap/>
            <w:vAlign w:val="bottom"/>
          </w:tcPr>
          <w:p w14:paraId="6F162DF1" w14:textId="77777777" w:rsidR="00AF5AA6" w:rsidRPr="00B47245" w:rsidRDefault="00AF5AA6" w:rsidP="00AF5AA6">
            <w:pPr>
              <w:rPr>
                <w:rFonts w:cs="Arial"/>
                <w:color w:val="000000"/>
                <w:sz w:val="18"/>
                <w:szCs w:val="18"/>
                <w:lang w:eastAsia="en-CA"/>
              </w:rPr>
            </w:pPr>
          </w:p>
        </w:tc>
        <w:tc>
          <w:tcPr>
            <w:tcW w:w="992" w:type="dxa"/>
            <w:tcBorders>
              <w:top w:val="nil"/>
              <w:left w:val="nil"/>
              <w:right w:val="nil"/>
            </w:tcBorders>
            <w:noWrap/>
          </w:tcPr>
          <w:p w14:paraId="40ED666B" w14:textId="57845CF4" w:rsidR="00AF5AA6" w:rsidRPr="00B47245" w:rsidRDefault="00AF5AA6" w:rsidP="00AF5AA6">
            <w:pPr>
              <w:tabs>
                <w:tab w:val="decimal" w:pos="794"/>
              </w:tabs>
              <w:ind w:left="-115"/>
              <w:rPr>
                <w:rFonts w:cs="Arial"/>
                <w:color w:val="000000"/>
                <w:sz w:val="18"/>
                <w:szCs w:val="18"/>
                <w:lang w:eastAsia="en-CA"/>
              </w:rPr>
            </w:pPr>
            <w:r w:rsidRPr="009C07A7">
              <w:rPr>
                <w:sz w:val="18"/>
                <w:szCs w:val="18"/>
              </w:rPr>
              <w:t xml:space="preserve"> (714,359)</w:t>
            </w:r>
          </w:p>
        </w:tc>
        <w:tc>
          <w:tcPr>
            <w:tcW w:w="709" w:type="dxa"/>
            <w:tcBorders>
              <w:top w:val="nil"/>
              <w:left w:val="nil"/>
              <w:right w:val="nil"/>
            </w:tcBorders>
            <w:noWrap/>
          </w:tcPr>
          <w:p w14:paraId="6E7EF80D" w14:textId="0E0F7D50" w:rsidR="00AF5AA6" w:rsidRPr="00B47245" w:rsidRDefault="00AF5AA6" w:rsidP="00AF5AA6">
            <w:pPr>
              <w:tabs>
                <w:tab w:val="decimal" w:pos="425"/>
              </w:tabs>
              <w:ind w:left="-115"/>
              <w:rPr>
                <w:rFonts w:cs="Arial"/>
                <w:color w:val="000000"/>
                <w:sz w:val="18"/>
                <w:szCs w:val="18"/>
                <w:lang w:eastAsia="en-CA"/>
              </w:rPr>
            </w:pPr>
            <w:r w:rsidRPr="009C07A7">
              <w:rPr>
                <w:sz w:val="18"/>
                <w:szCs w:val="18"/>
              </w:rPr>
              <w:t>(3,947)</w:t>
            </w:r>
          </w:p>
        </w:tc>
      </w:tr>
      <w:tr w:rsidR="00AF5AA6" w:rsidRPr="00B47245" w14:paraId="13CFAF13" w14:textId="77777777" w:rsidTr="00B92A8A">
        <w:trPr>
          <w:trHeight w:val="19"/>
        </w:trPr>
        <w:tc>
          <w:tcPr>
            <w:tcW w:w="2127" w:type="dxa"/>
            <w:tcBorders>
              <w:top w:val="single" w:sz="2" w:space="0" w:color="auto"/>
              <w:left w:val="nil"/>
              <w:bottom w:val="single" w:sz="12" w:space="0" w:color="auto"/>
              <w:right w:val="nil"/>
            </w:tcBorders>
            <w:noWrap/>
            <w:vAlign w:val="bottom"/>
            <w:hideMark/>
          </w:tcPr>
          <w:p w14:paraId="2BF4730F" w14:textId="483ADF37" w:rsidR="00AF5AA6" w:rsidRPr="00B47245" w:rsidRDefault="00AF5AA6" w:rsidP="00AF5AA6">
            <w:pPr>
              <w:spacing w:before="60" w:after="60"/>
              <w:rPr>
                <w:rFonts w:cs="Arial"/>
                <w:sz w:val="18"/>
                <w:szCs w:val="18"/>
                <w:lang w:eastAsia="en-CA"/>
              </w:rPr>
            </w:pPr>
            <w:r>
              <w:rPr>
                <w:rFonts w:cs="Arial"/>
                <w:sz w:val="18"/>
                <w:szCs w:val="18"/>
                <w:lang w:eastAsia="en-CA"/>
              </w:rPr>
              <w:t>Inventory, June 30</w:t>
            </w:r>
          </w:p>
        </w:tc>
        <w:tc>
          <w:tcPr>
            <w:tcW w:w="1134" w:type="dxa"/>
            <w:tcBorders>
              <w:top w:val="single" w:sz="2" w:space="0" w:color="auto"/>
              <w:left w:val="nil"/>
              <w:bottom w:val="single" w:sz="12" w:space="0" w:color="auto"/>
              <w:right w:val="nil"/>
            </w:tcBorders>
            <w:noWrap/>
          </w:tcPr>
          <w:p w14:paraId="5BEED306" w14:textId="70BB8386" w:rsidR="00AF5AA6" w:rsidRPr="00EC18ED" w:rsidRDefault="00220550" w:rsidP="00AF5AA6">
            <w:pPr>
              <w:tabs>
                <w:tab w:val="decimal" w:pos="788"/>
              </w:tabs>
              <w:spacing w:before="60" w:after="60"/>
              <w:ind w:left="-115"/>
              <w:rPr>
                <w:rFonts w:cs="Arial"/>
                <w:color w:val="000000"/>
                <w:sz w:val="18"/>
                <w:szCs w:val="18"/>
                <w:lang w:eastAsia="en-CA"/>
              </w:rPr>
            </w:pPr>
            <w:r>
              <w:rPr>
                <w:rFonts w:cs="Arial"/>
                <w:color w:val="000000"/>
                <w:sz w:val="18"/>
                <w:szCs w:val="18"/>
                <w:lang w:eastAsia="en-CA"/>
              </w:rPr>
              <w:t>116,135</w:t>
            </w:r>
          </w:p>
        </w:tc>
        <w:tc>
          <w:tcPr>
            <w:tcW w:w="708" w:type="dxa"/>
            <w:tcBorders>
              <w:top w:val="single" w:sz="2" w:space="0" w:color="auto"/>
              <w:left w:val="nil"/>
              <w:bottom w:val="single" w:sz="12" w:space="0" w:color="auto"/>
              <w:right w:val="nil"/>
            </w:tcBorders>
            <w:noWrap/>
          </w:tcPr>
          <w:p w14:paraId="74227F71" w14:textId="77777777" w:rsidR="00AF5AA6" w:rsidRPr="00EC18ED" w:rsidRDefault="00AF5AA6" w:rsidP="00AF5AA6">
            <w:pPr>
              <w:tabs>
                <w:tab w:val="decimal" w:pos="335"/>
              </w:tabs>
              <w:spacing w:before="60" w:after="60"/>
              <w:ind w:left="-115"/>
              <w:rPr>
                <w:rFonts w:cs="Arial"/>
                <w:color w:val="000000"/>
                <w:sz w:val="18"/>
                <w:szCs w:val="18"/>
                <w:lang w:eastAsia="en-CA"/>
              </w:rPr>
            </w:pPr>
          </w:p>
        </w:tc>
        <w:tc>
          <w:tcPr>
            <w:tcW w:w="284" w:type="dxa"/>
            <w:tcBorders>
              <w:top w:val="single" w:sz="2" w:space="0" w:color="auto"/>
              <w:left w:val="nil"/>
              <w:bottom w:val="single" w:sz="12" w:space="0" w:color="auto"/>
              <w:right w:val="nil"/>
            </w:tcBorders>
            <w:noWrap/>
            <w:vAlign w:val="bottom"/>
          </w:tcPr>
          <w:p w14:paraId="6A801253" w14:textId="77777777" w:rsidR="00AF5AA6" w:rsidRPr="00B47245" w:rsidRDefault="00AF5AA6" w:rsidP="00AF5AA6">
            <w:pPr>
              <w:spacing w:before="60" w:after="60"/>
              <w:rPr>
                <w:rFonts w:ascii="Times New Roman" w:hAnsi="Times New Roman"/>
                <w:lang w:eastAsia="en-CA"/>
              </w:rPr>
            </w:pPr>
          </w:p>
        </w:tc>
        <w:tc>
          <w:tcPr>
            <w:tcW w:w="992" w:type="dxa"/>
            <w:tcBorders>
              <w:top w:val="single" w:sz="2" w:space="0" w:color="auto"/>
              <w:left w:val="nil"/>
              <w:bottom w:val="single" w:sz="12" w:space="0" w:color="auto"/>
              <w:right w:val="nil"/>
            </w:tcBorders>
            <w:noWrap/>
          </w:tcPr>
          <w:p w14:paraId="4E4BF928" w14:textId="39F57BEE" w:rsidR="00AF5AA6" w:rsidRPr="00B47245" w:rsidRDefault="00AF5AA6" w:rsidP="00AF5AA6">
            <w:pPr>
              <w:tabs>
                <w:tab w:val="decimal" w:pos="794"/>
              </w:tabs>
              <w:spacing w:before="60" w:after="60"/>
              <w:ind w:left="-115"/>
              <w:rPr>
                <w:rFonts w:cs="Arial"/>
                <w:color w:val="000000"/>
                <w:sz w:val="18"/>
                <w:szCs w:val="18"/>
                <w:lang w:eastAsia="en-CA"/>
              </w:rPr>
            </w:pPr>
            <w:r w:rsidRPr="009C07A7">
              <w:rPr>
                <w:rFonts w:cs="Arial"/>
                <w:color w:val="000000"/>
                <w:sz w:val="18"/>
                <w:szCs w:val="18"/>
                <w:lang w:eastAsia="en-CA"/>
              </w:rPr>
              <w:t>18,216</w:t>
            </w:r>
          </w:p>
        </w:tc>
        <w:tc>
          <w:tcPr>
            <w:tcW w:w="709" w:type="dxa"/>
            <w:tcBorders>
              <w:top w:val="single" w:sz="2" w:space="0" w:color="auto"/>
              <w:left w:val="nil"/>
              <w:bottom w:val="single" w:sz="12" w:space="0" w:color="auto"/>
              <w:right w:val="nil"/>
            </w:tcBorders>
            <w:noWrap/>
          </w:tcPr>
          <w:p w14:paraId="53A248CC" w14:textId="77777777" w:rsidR="00AF5AA6" w:rsidRPr="00B47245" w:rsidRDefault="00AF5AA6" w:rsidP="00AF5AA6">
            <w:pPr>
              <w:tabs>
                <w:tab w:val="decimal" w:pos="425"/>
              </w:tabs>
              <w:spacing w:before="60" w:after="60"/>
              <w:jc w:val="center"/>
              <w:rPr>
                <w:rFonts w:cs="Arial"/>
                <w:color w:val="000000"/>
                <w:sz w:val="18"/>
                <w:szCs w:val="18"/>
                <w:lang w:eastAsia="en-CA"/>
              </w:rPr>
            </w:pPr>
          </w:p>
        </w:tc>
      </w:tr>
      <w:tr w:rsidR="00AF5AA6" w:rsidRPr="00810FF7" w14:paraId="1149D382" w14:textId="77777777" w:rsidTr="00B92A8A">
        <w:trPr>
          <w:trHeight w:val="40"/>
        </w:trPr>
        <w:tc>
          <w:tcPr>
            <w:tcW w:w="2127" w:type="dxa"/>
            <w:tcBorders>
              <w:top w:val="single" w:sz="12" w:space="0" w:color="auto"/>
              <w:left w:val="nil"/>
              <w:right w:val="nil"/>
            </w:tcBorders>
            <w:noWrap/>
            <w:vAlign w:val="bottom"/>
          </w:tcPr>
          <w:p w14:paraId="217C3423" w14:textId="77777777" w:rsidR="00AF5AA6" w:rsidRPr="00810FF7" w:rsidRDefault="00AF5AA6" w:rsidP="00AF5AA6">
            <w:pPr>
              <w:rPr>
                <w:rFonts w:cs="Arial"/>
                <w:sz w:val="4"/>
                <w:szCs w:val="4"/>
                <w:lang w:eastAsia="en-CA"/>
              </w:rPr>
            </w:pPr>
          </w:p>
        </w:tc>
        <w:tc>
          <w:tcPr>
            <w:tcW w:w="1134" w:type="dxa"/>
            <w:tcBorders>
              <w:top w:val="single" w:sz="12" w:space="0" w:color="auto"/>
              <w:left w:val="nil"/>
              <w:right w:val="nil"/>
            </w:tcBorders>
            <w:noWrap/>
            <w:vAlign w:val="bottom"/>
          </w:tcPr>
          <w:p w14:paraId="34E8DA16" w14:textId="77777777" w:rsidR="00AF5AA6" w:rsidRPr="00810FF7" w:rsidRDefault="00AF5AA6" w:rsidP="00AF5AA6">
            <w:pPr>
              <w:tabs>
                <w:tab w:val="decimal" w:pos="695"/>
              </w:tabs>
              <w:ind w:left="-115"/>
              <w:rPr>
                <w:rFonts w:cs="Arial"/>
                <w:color w:val="000000"/>
                <w:sz w:val="4"/>
                <w:szCs w:val="4"/>
                <w:lang w:eastAsia="en-CA"/>
              </w:rPr>
            </w:pPr>
          </w:p>
        </w:tc>
        <w:tc>
          <w:tcPr>
            <w:tcW w:w="708" w:type="dxa"/>
            <w:tcBorders>
              <w:top w:val="single" w:sz="12" w:space="0" w:color="auto"/>
              <w:left w:val="nil"/>
              <w:right w:val="nil"/>
            </w:tcBorders>
            <w:noWrap/>
            <w:vAlign w:val="bottom"/>
          </w:tcPr>
          <w:p w14:paraId="640360BF" w14:textId="77777777" w:rsidR="00AF5AA6" w:rsidRPr="00810FF7" w:rsidRDefault="00AF5AA6" w:rsidP="00AF5AA6">
            <w:pPr>
              <w:tabs>
                <w:tab w:val="decimal" w:pos="335"/>
              </w:tabs>
              <w:ind w:left="-115"/>
              <w:rPr>
                <w:rFonts w:cs="Arial"/>
                <w:color w:val="000000"/>
                <w:sz w:val="4"/>
                <w:szCs w:val="4"/>
                <w:lang w:eastAsia="en-CA"/>
              </w:rPr>
            </w:pPr>
          </w:p>
        </w:tc>
        <w:tc>
          <w:tcPr>
            <w:tcW w:w="284" w:type="dxa"/>
            <w:tcBorders>
              <w:top w:val="single" w:sz="12" w:space="0" w:color="auto"/>
              <w:left w:val="nil"/>
              <w:right w:val="nil"/>
            </w:tcBorders>
            <w:noWrap/>
            <w:vAlign w:val="bottom"/>
          </w:tcPr>
          <w:p w14:paraId="70A368A9" w14:textId="77777777" w:rsidR="00AF5AA6" w:rsidRPr="00810FF7" w:rsidRDefault="00AF5AA6" w:rsidP="00AF5AA6">
            <w:pPr>
              <w:rPr>
                <w:rFonts w:ascii="Times New Roman" w:hAnsi="Times New Roman"/>
                <w:sz w:val="4"/>
                <w:szCs w:val="4"/>
                <w:lang w:eastAsia="en-CA"/>
              </w:rPr>
            </w:pPr>
          </w:p>
        </w:tc>
        <w:tc>
          <w:tcPr>
            <w:tcW w:w="992" w:type="dxa"/>
            <w:tcBorders>
              <w:top w:val="single" w:sz="12" w:space="0" w:color="auto"/>
              <w:left w:val="nil"/>
              <w:right w:val="nil"/>
            </w:tcBorders>
            <w:noWrap/>
            <w:vAlign w:val="bottom"/>
          </w:tcPr>
          <w:p w14:paraId="47F2FD1A" w14:textId="77777777" w:rsidR="00AF5AA6" w:rsidRPr="00810FF7" w:rsidRDefault="00AF5AA6" w:rsidP="00AF5AA6">
            <w:pPr>
              <w:tabs>
                <w:tab w:val="decimal" w:pos="605"/>
              </w:tabs>
              <w:ind w:left="-115"/>
              <w:rPr>
                <w:rFonts w:cs="Arial"/>
                <w:color w:val="000000"/>
                <w:sz w:val="4"/>
                <w:szCs w:val="4"/>
                <w:lang w:eastAsia="en-CA"/>
              </w:rPr>
            </w:pPr>
          </w:p>
        </w:tc>
        <w:tc>
          <w:tcPr>
            <w:tcW w:w="709" w:type="dxa"/>
            <w:tcBorders>
              <w:top w:val="single" w:sz="12" w:space="0" w:color="auto"/>
              <w:left w:val="nil"/>
              <w:right w:val="nil"/>
            </w:tcBorders>
            <w:noWrap/>
            <w:vAlign w:val="bottom"/>
          </w:tcPr>
          <w:p w14:paraId="4FE4A2E4" w14:textId="77777777" w:rsidR="00AF5AA6" w:rsidRPr="00810FF7" w:rsidRDefault="00AF5AA6" w:rsidP="00AF5AA6">
            <w:pPr>
              <w:rPr>
                <w:rFonts w:cs="Arial"/>
                <w:color w:val="000000"/>
                <w:sz w:val="4"/>
                <w:szCs w:val="4"/>
                <w:lang w:eastAsia="en-CA"/>
              </w:rPr>
            </w:pPr>
          </w:p>
        </w:tc>
      </w:tr>
    </w:tbl>
    <w:p w14:paraId="35B10624" w14:textId="77777777" w:rsidR="0063720D" w:rsidRDefault="0063720D" w:rsidP="00591EC8">
      <w:pPr>
        <w:rPr>
          <w:rFonts w:cs="Arial"/>
          <w:u w:val="single"/>
        </w:rPr>
      </w:pPr>
    </w:p>
    <w:p w14:paraId="00FACE87" w14:textId="75D2DE8F" w:rsidR="0005427A" w:rsidRPr="0088220A" w:rsidRDefault="004D3FD5" w:rsidP="00591EC8">
      <w:pPr>
        <w:rPr>
          <w:rFonts w:cs="Arial"/>
          <w:u w:val="single"/>
        </w:rPr>
      </w:pPr>
      <w:r>
        <w:rPr>
          <w:rFonts w:cs="Arial"/>
          <w:u w:val="single"/>
        </w:rPr>
        <w:t>Revenues and Pricing</w:t>
      </w:r>
    </w:p>
    <w:p w14:paraId="30D1D4A1" w14:textId="21895F79" w:rsidR="000563E4" w:rsidRDefault="00A3370B" w:rsidP="00591EC8">
      <w:pPr>
        <w:widowControl w:val="0"/>
        <w:autoSpaceDE w:val="0"/>
        <w:autoSpaceDN w:val="0"/>
        <w:adjustRightInd w:val="0"/>
        <w:spacing w:before="120"/>
        <w:jc w:val="both"/>
        <w:rPr>
          <w:rFonts w:cs="Arial"/>
        </w:rPr>
      </w:pPr>
      <w:r w:rsidRPr="00D56A64">
        <w:rPr>
          <w:rFonts w:cs="Arial"/>
        </w:rPr>
        <w:t xml:space="preserve">Revenue per BOE earned in </w:t>
      </w:r>
      <w:r w:rsidR="000558E9" w:rsidRPr="00D56A64">
        <w:rPr>
          <w:rFonts w:cs="Arial"/>
        </w:rPr>
        <w:t>Q</w:t>
      </w:r>
      <w:r w:rsidR="005120B8">
        <w:rPr>
          <w:rFonts w:cs="Arial"/>
        </w:rPr>
        <w:t>2</w:t>
      </w:r>
      <w:r w:rsidR="000558E9" w:rsidRPr="00D56A64">
        <w:rPr>
          <w:rFonts w:cs="Arial"/>
        </w:rPr>
        <w:t xml:space="preserve"> </w:t>
      </w:r>
      <w:r w:rsidRPr="00D56A64">
        <w:rPr>
          <w:rFonts w:cs="Arial"/>
        </w:rPr>
        <w:t>202</w:t>
      </w:r>
      <w:r w:rsidR="00D14B46" w:rsidRPr="00D56A64">
        <w:rPr>
          <w:rFonts w:cs="Arial"/>
        </w:rPr>
        <w:t>6</w:t>
      </w:r>
      <w:r w:rsidRPr="00D56A64">
        <w:rPr>
          <w:rFonts w:cs="Arial"/>
        </w:rPr>
        <w:t xml:space="preserve"> was </w:t>
      </w:r>
      <w:r w:rsidRPr="00136447">
        <w:rPr>
          <w:rFonts w:cs="Arial"/>
        </w:rPr>
        <w:t>approximately $</w:t>
      </w:r>
      <w:r w:rsidR="00136447" w:rsidRPr="00136447">
        <w:rPr>
          <w:rFonts w:cs="Arial"/>
        </w:rPr>
        <w:t>83.05</w:t>
      </w:r>
      <w:r w:rsidRPr="00136447">
        <w:rPr>
          <w:rFonts w:cs="Arial"/>
        </w:rPr>
        <w:t xml:space="preserve"> per</w:t>
      </w:r>
      <w:r w:rsidRPr="00D56A64">
        <w:rPr>
          <w:rFonts w:cs="Arial"/>
        </w:rPr>
        <w:t xml:space="preserve"> BOE, </w:t>
      </w:r>
      <w:r w:rsidR="00D56A64" w:rsidRPr="00D56A64">
        <w:rPr>
          <w:rFonts w:cs="Arial"/>
        </w:rPr>
        <w:t>highe</w:t>
      </w:r>
      <w:r w:rsidR="00030DA3" w:rsidRPr="00D56A64">
        <w:rPr>
          <w:rFonts w:cs="Arial"/>
        </w:rPr>
        <w:t>r</w:t>
      </w:r>
      <w:r w:rsidR="00030DA3" w:rsidRPr="00030DA3">
        <w:rPr>
          <w:rFonts w:cs="Arial"/>
        </w:rPr>
        <w:t xml:space="preserve"> </w:t>
      </w:r>
      <w:r w:rsidRPr="00030DA3">
        <w:rPr>
          <w:rFonts w:cs="Arial"/>
        </w:rPr>
        <w:t xml:space="preserve">than revenue per BOE of </w:t>
      </w:r>
      <w:r w:rsidR="005120B8" w:rsidRPr="00D56A64">
        <w:rPr>
          <w:rFonts w:cs="Arial"/>
        </w:rPr>
        <w:t xml:space="preserve">$62.77 </w:t>
      </w:r>
      <w:r w:rsidRPr="00030DA3">
        <w:rPr>
          <w:rFonts w:cs="Arial"/>
        </w:rPr>
        <w:t xml:space="preserve">earned in </w:t>
      </w:r>
      <w:r w:rsidR="005120B8" w:rsidRPr="00D56A64">
        <w:rPr>
          <w:rFonts w:cs="Arial"/>
        </w:rPr>
        <w:t xml:space="preserve">Q1 2026 </w:t>
      </w:r>
      <w:r w:rsidR="00030DA3" w:rsidRPr="00D56A64">
        <w:rPr>
          <w:rFonts w:cs="Arial"/>
        </w:rPr>
        <w:t>and</w:t>
      </w:r>
      <w:r w:rsidR="006417AE" w:rsidRPr="00D56A64">
        <w:rPr>
          <w:rFonts w:cs="Arial"/>
        </w:rPr>
        <w:t xml:space="preserve"> </w:t>
      </w:r>
      <w:r w:rsidR="00030DA3" w:rsidRPr="00D56A64">
        <w:rPr>
          <w:rFonts w:cs="Arial"/>
        </w:rPr>
        <w:t>higher than</w:t>
      </w:r>
      <w:r w:rsidR="00030DA3" w:rsidRPr="006417AE">
        <w:rPr>
          <w:rFonts w:cs="Arial"/>
        </w:rPr>
        <w:t xml:space="preserve"> $</w:t>
      </w:r>
      <w:r w:rsidR="005120B8">
        <w:rPr>
          <w:rFonts w:cs="Arial"/>
        </w:rPr>
        <w:t>59.78</w:t>
      </w:r>
      <w:r w:rsidR="00030DA3" w:rsidRPr="006417AE">
        <w:rPr>
          <w:rFonts w:cs="Arial"/>
        </w:rPr>
        <w:t xml:space="preserve"> per BOE earned in Q</w:t>
      </w:r>
      <w:r w:rsidR="005120B8">
        <w:rPr>
          <w:rFonts w:cs="Arial"/>
        </w:rPr>
        <w:t>2</w:t>
      </w:r>
      <w:r w:rsidR="00030DA3" w:rsidRPr="006417AE">
        <w:rPr>
          <w:rFonts w:cs="Arial"/>
        </w:rPr>
        <w:t xml:space="preserve"> 202</w:t>
      </w:r>
      <w:r w:rsidR="0088462A">
        <w:rPr>
          <w:rFonts w:cs="Arial"/>
        </w:rPr>
        <w:t>5</w:t>
      </w:r>
      <w:r w:rsidR="000558E9" w:rsidRPr="006417AE">
        <w:rPr>
          <w:rFonts w:cs="Arial"/>
        </w:rPr>
        <w:t xml:space="preserve"> </w:t>
      </w:r>
      <w:r w:rsidRPr="006417AE">
        <w:rPr>
          <w:rFonts w:cs="Arial"/>
        </w:rPr>
        <w:t xml:space="preserve">due </w:t>
      </w:r>
      <w:r w:rsidR="00121483" w:rsidRPr="006417AE">
        <w:rPr>
          <w:rFonts w:cs="Arial"/>
        </w:rPr>
        <w:t xml:space="preserve">mainly to </w:t>
      </w:r>
      <w:r w:rsidR="00D56A64">
        <w:rPr>
          <w:rFonts w:cs="Arial"/>
        </w:rPr>
        <w:t>the increase in oil prices</w:t>
      </w:r>
      <w:r w:rsidR="00C02EC8">
        <w:rPr>
          <w:rFonts w:cs="Arial"/>
        </w:rPr>
        <w:t>.</w:t>
      </w:r>
    </w:p>
    <w:p w14:paraId="7CD6F82E" w14:textId="15D90901" w:rsidR="00587CD7" w:rsidRDefault="006417AE" w:rsidP="00591EC8">
      <w:pPr>
        <w:pStyle w:val="BodyText2"/>
        <w:widowControl w:val="0"/>
        <w:spacing w:before="120" w:after="120"/>
        <w:rPr>
          <w:rFonts w:cs="Arial"/>
        </w:rPr>
      </w:pPr>
      <w:r w:rsidRPr="00136447">
        <w:rPr>
          <w:rFonts w:cs="Arial"/>
        </w:rPr>
        <w:t>The average price earned by the Company on natural gas sales in Q</w:t>
      </w:r>
      <w:r w:rsidR="005120B8" w:rsidRPr="00136447">
        <w:rPr>
          <w:rFonts w:cs="Arial"/>
        </w:rPr>
        <w:t>2</w:t>
      </w:r>
      <w:r w:rsidRPr="00136447">
        <w:rPr>
          <w:rFonts w:cs="Arial"/>
        </w:rPr>
        <w:t xml:space="preserve"> 202</w:t>
      </w:r>
      <w:r w:rsidR="00D14B46" w:rsidRPr="00136447">
        <w:rPr>
          <w:rFonts w:cs="Arial"/>
        </w:rPr>
        <w:t>6</w:t>
      </w:r>
      <w:r w:rsidRPr="00136447">
        <w:rPr>
          <w:rFonts w:cs="Arial"/>
        </w:rPr>
        <w:t xml:space="preserve"> was $</w:t>
      </w:r>
      <w:r w:rsidR="00136447" w:rsidRPr="00136447">
        <w:rPr>
          <w:rFonts w:cs="Arial"/>
        </w:rPr>
        <w:t>4.99</w:t>
      </w:r>
      <w:r w:rsidRPr="006417AE">
        <w:rPr>
          <w:rFonts w:cs="Arial"/>
        </w:rPr>
        <w:t xml:space="preserve"> per mcf, </w:t>
      </w:r>
      <w:r w:rsidR="00D56A64">
        <w:rPr>
          <w:rFonts w:cs="Arial"/>
        </w:rPr>
        <w:t>higher than</w:t>
      </w:r>
      <w:r w:rsidRPr="006417AE">
        <w:rPr>
          <w:rFonts w:cs="Arial"/>
        </w:rPr>
        <w:t xml:space="preserve"> the </w:t>
      </w:r>
      <w:r w:rsidR="005120B8" w:rsidRPr="006417AE">
        <w:rPr>
          <w:rFonts w:cs="Arial"/>
        </w:rPr>
        <w:t>$</w:t>
      </w:r>
      <w:r w:rsidR="005120B8">
        <w:rPr>
          <w:rFonts w:cs="Arial"/>
        </w:rPr>
        <w:t>3.20</w:t>
      </w:r>
      <w:r w:rsidR="005120B8" w:rsidRPr="006417AE">
        <w:rPr>
          <w:rFonts w:cs="Arial"/>
        </w:rPr>
        <w:t xml:space="preserve"> </w:t>
      </w:r>
      <w:r w:rsidRPr="006417AE">
        <w:rPr>
          <w:rFonts w:cs="Arial"/>
        </w:rPr>
        <w:t xml:space="preserve">per mcf in </w:t>
      </w:r>
      <w:r w:rsidR="005120B8" w:rsidRPr="00D56A64">
        <w:rPr>
          <w:rFonts w:cs="Arial"/>
        </w:rPr>
        <w:t xml:space="preserve">Q1 2026 </w:t>
      </w:r>
      <w:r w:rsidRPr="006417AE">
        <w:rPr>
          <w:rFonts w:cs="Arial"/>
        </w:rPr>
        <w:t xml:space="preserve">and </w:t>
      </w:r>
      <w:r w:rsidR="00D56A64">
        <w:rPr>
          <w:rFonts w:cs="Arial"/>
        </w:rPr>
        <w:t>higher</w:t>
      </w:r>
      <w:r w:rsidRPr="006417AE">
        <w:rPr>
          <w:rFonts w:cs="Arial"/>
        </w:rPr>
        <w:t xml:space="preserve"> than the $</w:t>
      </w:r>
      <w:r w:rsidR="005120B8">
        <w:rPr>
          <w:rFonts w:cs="Arial"/>
        </w:rPr>
        <w:t>3.45</w:t>
      </w:r>
      <w:r w:rsidRPr="006417AE">
        <w:rPr>
          <w:rFonts w:cs="Arial"/>
        </w:rPr>
        <w:t xml:space="preserve"> per mcf earned in Q</w:t>
      </w:r>
      <w:r w:rsidR="005120B8">
        <w:rPr>
          <w:rFonts w:cs="Arial"/>
        </w:rPr>
        <w:t>2</w:t>
      </w:r>
      <w:r w:rsidRPr="006417AE">
        <w:rPr>
          <w:rFonts w:cs="Arial"/>
        </w:rPr>
        <w:t xml:space="preserve"> 202</w:t>
      </w:r>
      <w:r w:rsidR="0088462A">
        <w:rPr>
          <w:rFonts w:cs="Arial"/>
        </w:rPr>
        <w:t>5</w:t>
      </w:r>
      <w:r>
        <w:rPr>
          <w:rFonts w:cs="Arial"/>
        </w:rPr>
        <w:t xml:space="preserve"> due to </w:t>
      </w:r>
      <w:r w:rsidR="00D56A64">
        <w:t xml:space="preserve">the </w:t>
      </w:r>
      <w:r w:rsidR="000F6FC2">
        <w:t xml:space="preserve">higher </w:t>
      </w:r>
      <w:r w:rsidR="00D56A64">
        <w:t>natural gas prices received in the Chubut Concessions</w:t>
      </w:r>
      <w:r>
        <w:t xml:space="preserve">. </w:t>
      </w:r>
      <w:r w:rsidR="0018682A" w:rsidRPr="0509CAAE">
        <w:rPr>
          <w:rFonts w:cs="Arial"/>
        </w:rPr>
        <w:t xml:space="preserve">100% of sales were to the industrial market in </w:t>
      </w:r>
      <w:r w:rsidR="00D920CB">
        <w:rPr>
          <w:rFonts w:cs="Arial"/>
        </w:rPr>
        <w:t>each</w:t>
      </w:r>
      <w:r w:rsidR="0018682A" w:rsidRPr="0509CAAE">
        <w:rPr>
          <w:rFonts w:cs="Arial"/>
        </w:rPr>
        <w:t xml:space="preserve"> period.</w:t>
      </w:r>
      <w:r w:rsidR="0018682A">
        <w:rPr>
          <w:rFonts w:cs="Arial"/>
        </w:rPr>
        <w:t xml:space="preserve"> </w:t>
      </w:r>
      <w:r w:rsidR="00587CD7" w:rsidRPr="0509CAAE">
        <w:rPr>
          <w:rFonts w:cs="Arial"/>
        </w:rPr>
        <w:t xml:space="preserve">The price of natural gas earned by the Company varies with price fluctuations within </w:t>
      </w:r>
      <w:r w:rsidR="0018682A">
        <w:rPr>
          <w:rFonts w:cs="Arial"/>
        </w:rPr>
        <w:t xml:space="preserve">the industrial </w:t>
      </w:r>
      <w:r w:rsidR="00587CD7" w:rsidRPr="0509CAAE">
        <w:rPr>
          <w:rFonts w:cs="Arial"/>
        </w:rPr>
        <w:t xml:space="preserve">market.  </w:t>
      </w:r>
    </w:p>
    <w:p w14:paraId="38616A66" w14:textId="236278AF" w:rsidR="00102501" w:rsidRPr="002275B3" w:rsidRDefault="00102501" w:rsidP="00591EC8">
      <w:pPr>
        <w:pStyle w:val="BodyText2"/>
        <w:widowControl w:val="0"/>
        <w:spacing w:before="120" w:after="120"/>
        <w:rPr>
          <w:rFonts w:cs="Arial"/>
        </w:rPr>
      </w:pPr>
      <w:r w:rsidRPr="00102501">
        <w:rPr>
          <w:rFonts w:cs="Arial"/>
        </w:rPr>
        <w:t xml:space="preserve">Gas prices received from the Chubut </w:t>
      </w:r>
      <w:r w:rsidR="00E131CA">
        <w:rPr>
          <w:rFonts w:cs="Arial"/>
        </w:rPr>
        <w:t>C</w:t>
      </w:r>
      <w:r w:rsidR="00E131CA" w:rsidRPr="00102501">
        <w:rPr>
          <w:rFonts w:cs="Arial"/>
        </w:rPr>
        <w:t xml:space="preserve">oncessions </w:t>
      </w:r>
      <w:r w:rsidRPr="00102501">
        <w:rPr>
          <w:rFonts w:cs="Arial"/>
        </w:rPr>
        <w:t xml:space="preserve">are higher than those obtained in </w:t>
      </w:r>
      <w:r>
        <w:rPr>
          <w:rFonts w:cs="Arial"/>
        </w:rPr>
        <w:t>the TDF Concessions</w:t>
      </w:r>
      <w:r w:rsidRPr="00102501">
        <w:rPr>
          <w:rFonts w:cs="Arial"/>
        </w:rPr>
        <w:t>, mainly due to the inclusion of incremental production volumes under the government-</w:t>
      </w:r>
      <w:r>
        <w:rPr>
          <w:rFonts w:cs="Arial"/>
        </w:rPr>
        <w:t>incentive</w:t>
      </w:r>
      <w:r w:rsidRPr="00102501">
        <w:rPr>
          <w:rFonts w:cs="Arial"/>
        </w:rPr>
        <w:t xml:space="preserve"> Plan Gas program. These long-term supply agreements, aimed at securing additional domestic natural gas supply, provide premium pricing compared to standard gas contracts, reflecting both the mature nature of the fields and the strategic importance of ensuring reliable supply during periods of high demand.</w:t>
      </w:r>
      <w:r>
        <w:rPr>
          <w:rFonts w:cs="Arial"/>
        </w:rPr>
        <w:t xml:space="preserve"> </w:t>
      </w:r>
      <w:r w:rsidR="00232DBA" w:rsidRPr="00232DBA">
        <w:rPr>
          <w:rFonts w:cs="Arial"/>
        </w:rPr>
        <w:t>The Plan Gas program is in effect until December 2028.</w:t>
      </w:r>
    </w:p>
    <w:p w14:paraId="35BF51AB" w14:textId="3AC1D982" w:rsidR="00C02EC8" w:rsidRDefault="00587CD7" w:rsidP="00D56A64">
      <w:pPr>
        <w:widowControl w:val="0"/>
        <w:autoSpaceDE w:val="0"/>
        <w:autoSpaceDN w:val="0"/>
        <w:adjustRightInd w:val="0"/>
        <w:spacing w:before="120"/>
        <w:jc w:val="both"/>
        <w:rPr>
          <w:rFonts w:cs="Arial"/>
        </w:rPr>
      </w:pPr>
      <w:r>
        <w:rPr>
          <w:rFonts w:cs="Arial"/>
        </w:rPr>
        <w:t xml:space="preserve">Oil </w:t>
      </w:r>
      <w:r w:rsidR="00013BD4">
        <w:rPr>
          <w:rFonts w:cs="Arial"/>
        </w:rPr>
        <w:t xml:space="preserve">revenue </w:t>
      </w:r>
      <w:r w:rsidRPr="000E672B">
        <w:rPr>
          <w:rFonts w:cs="Arial"/>
        </w:rPr>
        <w:t xml:space="preserve">from Crown Point’s concessions </w:t>
      </w:r>
      <w:r w:rsidR="00E81398">
        <w:rPr>
          <w:rFonts w:cs="Arial"/>
        </w:rPr>
        <w:t>averaged</w:t>
      </w:r>
      <w:r w:rsidR="00013BD4" w:rsidRPr="001B49C2">
        <w:rPr>
          <w:rFonts w:cs="Arial"/>
        </w:rPr>
        <w:t xml:space="preserve"> </w:t>
      </w:r>
      <w:r w:rsidRPr="001B49C2">
        <w:rPr>
          <w:rFonts w:cs="Arial"/>
        </w:rPr>
        <w:t>$</w:t>
      </w:r>
      <w:r w:rsidR="00136447">
        <w:rPr>
          <w:rFonts w:cs="Arial"/>
        </w:rPr>
        <w:t>90.24</w:t>
      </w:r>
      <w:r w:rsidRPr="000E672B">
        <w:rPr>
          <w:rFonts w:cs="Arial"/>
        </w:rPr>
        <w:t xml:space="preserve"> per </w:t>
      </w:r>
      <w:proofErr w:type="spellStart"/>
      <w:r w:rsidRPr="000E672B">
        <w:rPr>
          <w:rFonts w:cs="Arial"/>
        </w:rPr>
        <w:t>bbl</w:t>
      </w:r>
      <w:proofErr w:type="spellEnd"/>
      <w:r w:rsidRPr="000E672B">
        <w:rPr>
          <w:rFonts w:cs="Arial"/>
        </w:rPr>
        <w:t xml:space="preserve"> in </w:t>
      </w:r>
      <w:r w:rsidR="002E4510" w:rsidRPr="000E672B">
        <w:rPr>
          <w:rFonts w:cs="Arial"/>
        </w:rPr>
        <w:t>Q</w:t>
      </w:r>
      <w:r w:rsidR="005120B8">
        <w:rPr>
          <w:rFonts w:cs="Arial"/>
        </w:rPr>
        <w:t>2</w:t>
      </w:r>
      <w:r w:rsidR="002E4510" w:rsidRPr="000E672B">
        <w:rPr>
          <w:rFonts w:cs="Arial"/>
        </w:rPr>
        <w:t xml:space="preserve"> </w:t>
      </w:r>
      <w:r w:rsidRPr="000E672B">
        <w:rPr>
          <w:rFonts w:cs="Arial"/>
        </w:rPr>
        <w:t>202</w:t>
      </w:r>
      <w:r w:rsidR="00D14B46">
        <w:rPr>
          <w:rFonts w:cs="Arial"/>
        </w:rPr>
        <w:t>6</w:t>
      </w:r>
      <w:r w:rsidRPr="000E672B">
        <w:rPr>
          <w:rFonts w:cs="Arial"/>
        </w:rPr>
        <w:t xml:space="preserve">, </w:t>
      </w:r>
      <w:r w:rsidR="00D56A64">
        <w:rPr>
          <w:rFonts w:cs="Arial"/>
        </w:rPr>
        <w:t>higher</w:t>
      </w:r>
      <w:r w:rsidR="000E672B" w:rsidRPr="000E672B">
        <w:rPr>
          <w:rFonts w:cs="Arial"/>
        </w:rPr>
        <w:t xml:space="preserve"> </w:t>
      </w:r>
      <w:r w:rsidRPr="000E672B">
        <w:rPr>
          <w:rFonts w:cs="Arial"/>
        </w:rPr>
        <w:t xml:space="preserve">than </w:t>
      </w:r>
      <w:r w:rsidR="005120B8" w:rsidRPr="001B49C2">
        <w:rPr>
          <w:rFonts w:cs="Arial"/>
        </w:rPr>
        <w:t>$</w:t>
      </w:r>
      <w:r w:rsidR="005120B8">
        <w:rPr>
          <w:rFonts w:cs="Arial"/>
        </w:rPr>
        <w:t>70.87</w:t>
      </w:r>
      <w:r w:rsidR="005120B8" w:rsidRPr="000E672B">
        <w:rPr>
          <w:rFonts w:cs="Arial"/>
        </w:rPr>
        <w:t xml:space="preserve"> </w:t>
      </w:r>
      <w:r w:rsidRPr="000E672B">
        <w:rPr>
          <w:rFonts w:cs="Arial"/>
        </w:rPr>
        <w:t xml:space="preserve">per </w:t>
      </w:r>
      <w:proofErr w:type="spellStart"/>
      <w:r w:rsidRPr="000E672B">
        <w:rPr>
          <w:rFonts w:cs="Arial"/>
        </w:rPr>
        <w:t>bbl</w:t>
      </w:r>
      <w:proofErr w:type="spellEnd"/>
      <w:r w:rsidRPr="000E672B">
        <w:rPr>
          <w:rFonts w:cs="Arial"/>
        </w:rPr>
        <w:t xml:space="preserve"> in </w:t>
      </w:r>
      <w:r w:rsidR="005120B8" w:rsidRPr="00D56A64">
        <w:rPr>
          <w:rFonts w:cs="Arial"/>
        </w:rPr>
        <w:t xml:space="preserve">Q1 2026 </w:t>
      </w:r>
      <w:r w:rsidR="001B49C2" w:rsidRPr="00D56A64">
        <w:rPr>
          <w:rFonts w:cs="Arial"/>
        </w:rPr>
        <w:t>a</w:t>
      </w:r>
      <w:r w:rsidR="000E672B" w:rsidRPr="00D56A64">
        <w:rPr>
          <w:rFonts w:cs="Arial"/>
        </w:rPr>
        <w:t xml:space="preserve">nd </w:t>
      </w:r>
      <w:r w:rsidR="001B49C2" w:rsidRPr="00D56A64">
        <w:rPr>
          <w:rFonts w:cs="Arial"/>
        </w:rPr>
        <w:t>high</w:t>
      </w:r>
      <w:r w:rsidR="000E672B" w:rsidRPr="00D56A64">
        <w:rPr>
          <w:rFonts w:cs="Arial"/>
        </w:rPr>
        <w:t>er than $</w:t>
      </w:r>
      <w:r w:rsidR="005120B8">
        <w:rPr>
          <w:rFonts w:cs="Arial"/>
        </w:rPr>
        <w:t>67.26</w:t>
      </w:r>
      <w:r w:rsidR="00AE7FF8" w:rsidRPr="000E672B">
        <w:rPr>
          <w:rFonts w:cs="Arial"/>
        </w:rPr>
        <w:t xml:space="preserve"> </w:t>
      </w:r>
      <w:r w:rsidR="000E672B">
        <w:rPr>
          <w:rFonts w:cs="Arial"/>
        </w:rPr>
        <w:t xml:space="preserve">per </w:t>
      </w:r>
      <w:proofErr w:type="spellStart"/>
      <w:r w:rsidR="000E672B">
        <w:rPr>
          <w:rFonts w:cs="Arial"/>
        </w:rPr>
        <w:t>bbl</w:t>
      </w:r>
      <w:proofErr w:type="spellEnd"/>
      <w:r w:rsidR="000E672B">
        <w:rPr>
          <w:rFonts w:cs="Arial"/>
        </w:rPr>
        <w:t xml:space="preserve"> in Q</w:t>
      </w:r>
      <w:r w:rsidR="005120B8">
        <w:rPr>
          <w:rFonts w:cs="Arial"/>
        </w:rPr>
        <w:t>2</w:t>
      </w:r>
      <w:r w:rsidR="000E672B">
        <w:rPr>
          <w:rFonts w:cs="Arial"/>
        </w:rPr>
        <w:t xml:space="preserve"> 202</w:t>
      </w:r>
      <w:r w:rsidR="0088462A">
        <w:rPr>
          <w:rFonts w:cs="Arial"/>
        </w:rPr>
        <w:t>5</w:t>
      </w:r>
      <w:r w:rsidR="000E672B">
        <w:rPr>
          <w:rFonts w:cs="Arial"/>
        </w:rPr>
        <w:t xml:space="preserve"> </w:t>
      </w:r>
      <w:r w:rsidR="00C02EC8" w:rsidRPr="006417AE">
        <w:rPr>
          <w:rFonts w:cs="Arial"/>
        </w:rPr>
        <w:t xml:space="preserve">due </w:t>
      </w:r>
      <w:r w:rsidR="00D56A64">
        <w:rPr>
          <w:rFonts w:cs="Arial"/>
        </w:rPr>
        <w:t xml:space="preserve">mainly </w:t>
      </w:r>
      <w:r w:rsidR="00C02EC8" w:rsidRPr="006417AE">
        <w:rPr>
          <w:rFonts w:cs="Arial"/>
        </w:rPr>
        <w:t xml:space="preserve">to </w:t>
      </w:r>
      <w:r w:rsidR="00D56A64">
        <w:rPr>
          <w:rFonts w:cs="Arial"/>
        </w:rPr>
        <w:t xml:space="preserve">the increase in the international oil price caused by </w:t>
      </w:r>
      <w:r w:rsidR="000F6FC2">
        <w:rPr>
          <w:rFonts w:cs="Arial"/>
        </w:rPr>
        <w:t xml:space="preserve">the </w:t>
      </w:r>
      <w:r w:rsidR="00D56A64" w:rsidRPr="00D56A64">
        <w:rPr>
          <w:rFonts w:cs="Arial"/>
        </w:rPr>
        <w:t>Middle</w:t>
      </w:r>
      <w:r w:rsidR="00D56A64">
        <w:rPr>
          <w:rFonts w:cs="Arial"/>
        </w:rPr>
        <w:t xml:space="preserve"> </w:t>
      </w:r>
      <w:r w:rsidR="00D56A64" w:rsidRPr="00D56A64">
        <w:rPr>
          <w:rFonts w:cs="Arial"/>
        </w:rPr>
        <w:t>East conflict</w:t>
      </w:r>
      <w:r w:rsidR="00D56A64">
        <w:rPr>
          <w:rFonts w:cs="Arial"/>
        </w:rPr>
        <w:t>.</w:t>
      </w:r>
    </w:p>
    <w:p w14:paraId="5D1610C4" w14:textId="77777777" w:rsidR="00A736AC" w:rsidRDefault="00A736AC" w:rsidP="00591EC8">
      <w:pPr>
        <w:spacing w:before="120" w:after="120"/>
        <w:rPr>
          <w:rFonts w:cs="Arial"/>
          <w:b/>
          <w:i/>
        </w:rPr>
      </w:pPr>
      <w:r>
        <w:rPr>
          <w:rFonts w:cs="Arial"/>
          <w:b/>
          <w:i/>
        </w:rPr>
        <w:t>Export Tax</w:t>
      </w:r>
    </w:p>
    <w:tbl>
      <w:tblPr>
        <w:tblW w:w="9420" w:type="dxa"/>
        <w:tblLayout w:type="fixed"/>
        <w:tblLook w:val="04A0" w:firstRow="1" w:lastRow="0" w:firstColumn="1" w:lastColumn="0" w:noHBand="0" w:noVBand="1"/>
      </w:tblPr>
      <w:tblGrid>
        <w:gridCol w:w="3845"/>
        <w:gridCol w:w="276"/>
        <w:gridCol w:w="1324"/>
        <w:gridCol w:w="1325"/>
        <w:gridCol w:w="1324"/>
        <w:gridCol w:w="1326"/>
      </w:tblGrid>
      <w:tr w:rsidR="00E91EF5" w14:paraId="4C515288" w14:textId="77777777" w:rsidTr="0082588E">
        <w:trPr>
          <w:trHeight w:val="198"/>
        </w:trPr>
        <w:tc>
          <w:tcPr>
            <w:tcW w:w="3845" w:type="dxa"/>
            <w:tcBorders>
              <w:top w:val="single" w:sz="12" w:space="0" w:color="auto"/>
            </w:tcBorders>
          </w:tcPr>
          <w:p w14:paraId="407A3E0B" w14:textId="77777777" w:rsidR="00E91EF5" w:rsidRPr="0082588E" w:rsidRDefault="00E91EF5" w:rsidP="00E91EF5">
            <w:pPr>
              <w:pStyle w:val="BodyText"/>
              <w:spacing w:before="60"/>
              <w:rPr>
                <w:rFonts w:cs="Arial"/>
                <w:b/>
                <w:color w:val="000000"/>
                <w:sz w:val="16"/>
                <w:szCs w:val="16"/>
              </w:rPr>
            </w:pPr>
          </w:p>
        </w:tc>
        <w:tc>
          <w:tcPr>
            <w:tcW w:w="276" w:type="dxa"/>
            <w:tcBorders>
              <w:top w:val="single" w:sz="12" w:space="0" w:color="auto"/>
            </w:tcBorders>
            <w:vAlign w:val="bottom"/>
          </w:tcPr>
          <w:p w14:paraId="2CAB0F5A" w14:textId="77777777" w:rsidR="00E91EF5" w:rsidRPr="0082588E" w:rsidRDefault="00E91EF5" w:rsidP="00E91EF5">
            <w:pPr>
              <w:pStyle w:val="BodyText"/>
              <w:spacing w:before="60"/>
              <w:rPr>
                <w:rFonts w:cs="Arial"/>
                <w:b/>
                <w:color w:val="000000"/>
                <w:sz w:val="16"/>
                <w:szCs w:val="16"/>
              </w:rPr>
            </w:pPr>
          </w:p>
        </w:tc>
        <w:tc>
          <w:tcPr>
            <w:tcW w:w="2649" w:type="dxa"/>
            <w:gridSpan w:val="2"/>
            <w:tcBorders>
              <w:top w:val="single" w:sz="12" w:space="0" w:color="auto"/>
            </w:tcBorders>
            <w:vAlign w:val="bottom"/>
          </w:tcPr>
          <w:p w14:paraId="3978C3FE" w14:textId="7C2BFCA1" w:rsidR="00E91EF5" w:rsidRPr="0082588E" w:rsidRDefault="00E91EF5" w:rsidP="00E91EF5">
            <w:pPr>
              <w:pStyle w:val="BodyText"/>
              <w:spacing w:before="60"/>
              <w:jc w:val="center"/>
              <w:rPr>
                <w:rFonts w:cs="Arial"/>
                <w:b/>
                <w:sz w:val="16"/>
                <w:szCs w:val="16"/>
              </w:rPr>
            </w:pPr>
            <w:r>
              <w:rPr>
                <w:rFonts w:cs="Arial"/>
                <w:b/>
                <w:sz w:val="16"/>
                <w:szCs w:val="16"/>
              </w:rPr>
              <w:t>Three months ended</w:t>
            </w:r>
          </w:p>
        </w:tc>
        <w:tc>
          <w:tcPr>
            <w:tcW w:w="2650" w:type="dxa"/>
            <w:gridSpan w:val="2"/>
            <w:tcBorders>
              <w:top w:val="single" w:sz="12" w:space="0" w:color="auto"/>
            </w:tcBorders>
            <w:vAlign w:val="bottom"/>
          </w:tcPr>
          <w:p w14:paraId="6903A802" w14:textId="77ECFD8B" w:rsidR="00E91EF5" w:rsidRPr="0082588E" w:rsidRDefault="00E91EF5" w:rsidP="00E91EF5">
            <w:pPr>
              <w:pStyle w:val="BodyText"/>
              <w:spacing w:before="60"/>
              <w:jc w:val="center"/>
              <w:rPr>
                <w:rFonts w:cs="Arial"/>
                <w:b/>
                <w:sz w:val="16"/>
                <w:szCs w:val="16"/>
              </w:rPr>
            </w:pPr>
            <w:r>
              <w:rPr>
                <w:rFonts w:cs="Arial"/>
                <w:b/>
                <w:sz w:val="16"/>
                <w:szCs w:val="16"/>
              </w:rPr>
              <w:t>Six months ended</w:t>
            </w:r>
          </w:p>
        </w:tc>
      </w:tr>
      <w:tr w:rsidR="00E91EF5" w14:paraId="5A020055" w14:textId="77777777" w:rsidTr="009C422B">
        <w:trPr>
          <w:trHeight w:val="180"/>
        </w:trPr>
        <w:tc>
          <w:tcPr>
            <w:tcW w:w="3845" w:type="dxa"/>
          </w:tcPr>
          <w:p w14:paraId="66D80445" w14:textId="77777777" w:rsidR="00E91EF5" w:rsidRPr="00547861" w:rsidRDefault="00E91EF5" w:rsidP="00E91EF5">
            <w:pPr>
              <w:pStyle w:val="BodyText"/>
              <w:rPr>
                <w:rFonts w:cs="Arial"/>
                <w:b/>
                <w:color w:val="000000"/>
                <w:sz w:val="18"/>
                <w:szCs w:val="18"/>
              </w:rPr>
            </w:pPr>
          </w:p>
        </w:tc>
        <w:tc>
          <w:tcPr>
            <w:tcW w:w="276" w:type="dxa"/>
            <w:vAlign w:val="bottom"/>
          </w:tcPr>
          <w:p w14:paraId="0828B53E" w14:textId="77777777" w:rsidR="00E91EF5" w:rsidRPr="00547861" w:rsidRDefault="00E91EF5" w:rsidP="00E91EF5">
            <w:pPr>
              <w:pStyle w:val="BodyText"/>
              <w:rPr>
                <w:rFonts w:cs="Arial"/>
                <w:b/>
                <w:color w:val="000000"/>
                <w:sz w:val="16"/>
                <w:szCs w:val="16"/>
              </w:rPr>
            </w:pPr>
          </w:p>
        </w:tc>
        <w:tc>
          <w:tcPr>
            <w:tcW w:w="2649" w:type="dxa"/>
            <w:gridSpan w:val="2"/>
            <w:vAlign w:val="bottom"/>
          </w:tcPr>
          <w:p w14:paraId="1CBDCDC3" w14:textId="59C7A9B1" w:rsidR="00E91EF5" w:rsidRPr="00547861" w:rsidRDefault="00E91EF5" w:rsidP="00E91EF5">
            <w:pPr>
              <w:pStyle w:val="BodyText"/>
              <w:jc w:val="center"/>
              <w:rPr>
                <w:rFonts w:cs="Arial"/>
                <w:b/>
                <w:sz w:val="16"/>
                <w:szCs w:val="16"/>
              </w:rPr>
            </w:pPr>
            <w:r>
              <w:rPr>
                <w:rFonts w:cs="Arial"/>
                <w:b/>
                <w:sz w:val="16"/>
                <w:szCs w:val="16"/>
              </w:rPr>
              <w:t>June 30</w:t>
            </w:r>
          </w:p>
        </w:tc>
        <w:tc>
          <w:tcPr>
            <w:tcW w:w="2650" w:type="dxa"/>
            <w:gridSpan w:val="2"/>
            <w:vAlign w:val="bottom"/>
          </w:tcPr>
          <w:p w14:paraId="388B7B32" w14:textId="4ED2349C" w:rsidR="00E91EF5" w:rsidRPr="00547861" w:rsidRDefault="00E91EF5" w:rsidP="00E91EF5">
            <w:pPr>
              <w:pStyle w:val="BodyText"/>
              <w:jc w:val="center"/>
              <w:rPr>
                <w:rFonts w:cs="Arial"/>
                <w:b/>
                <w:sz w:val="16"/>
                <w:szCs w:val="16"/>
              </w:rPr>
            </w:pPr>
            <w:r>
              <w:rPr>
                <w:rFonts w:cs="Arial"/>
                <w:b/>
                <w:sz w:val="16"/>
                <w:szCs w:val="16"/>
              </w:rPr>
              <w:t>June 30</w:t>
            </w:r>
          </w:p>
        </w:tc>
      </w:tr>
      <w:tr w:rsidR="00E91EF5" w14:paraId="6D50F154" w14:textId="77777777" w:rsidTr="001354A6">
        <w:tblPrEx>
          <w:tblLook w:val="0400" w:firstRow="0" w:lastRow="0" w:firstColumn="0" w:lastColumn="0" w:noHBand="0" w:noVBand="1"/>
        </w:tblPrEx>
        <w:trPr>
          <w:trHeight w:val="209"/>
        </w:trPr>
        <w:tc>
          <w:tcPr>
            <w:tcW w:w="3845" w:type="dxa"/>
            <w:tcBorders>
              <w:bottom w:val="single" w:sz="4" w:space="0" w:color="000000"/>
            </w:tcBorders>
          </w:tcPr>
          <w:p w14:paraId="19D3AE8C" w14:textId="77777777" w:rsidR="00E91EF5" w:rsidRDefault="00E91EF5" w:rsidP="00E91EF5">
            <w:pPr>
              <w:widowControl w:val="0"/>
              <w:pBdr>
                <w:top w:val="nil"/>
                <w:left w:val="nil"/>
                <w:bottom w:val="nil"/>
                <w:right w:val="nil"/>
                <w:between w:val="nil"/>
              </w:pBdr>
              <w:jc w:val="both"/>
              <w:rPr>
                <w:color w:val="000000"/>
                <w:sz w:val="18"/>
                <w:szCs w:val="18"/>
              </w:rPr>
            </w:pPr>
          </w:p>
        </w:tc>
        <w:tc>
          <w:tcPr>
            <w:tcW w:w="276" w:type="dxa"/>
            <w:tcBorders>
              <w:bottom w:val="single" w:sz="4" w:space="0" w:color="000000"/>
            </w:tcBorders>
            <w:vAlign w:val="bottom"/>
          </w:tcPr>
          <w:p w14:paraId="68DBF963" w14:textId="77777777" w:rsidR="00E91EF5" w:rsidRDefault="00E91EF5" w:rsidP="00E91EF5">
            <w:pPr>
              <w:widowControl w:val="0"/>
              <w:pBdr>
                <w:top w:val="nil"/>
                <w:left w:val="nil"/>
                <w:bottom w:val="nil"/>
                <w:right w:val="nil"/>
                <w:between w:val="nil"/>
              </w:pBdr>
              <w:jc w:val="center"/>
              <w:rPr>
                <w:b/>
                <w:color w:val="000000"/>
                <w:sz w:val="16"/>
                <w:szCs w:val="16"/>
              </w:rPr>
            </w:pPr>
          </w:p>
        </w:tc>
        <w:tc>
          <w:tcPr>
            <w:tcW w:w="1324" w:type="dxa"/>
            <w:tcBorders>
              <w:bottom w:val="single" w:sz="4" w:space="0" w:color="000000"/>
            </w:tcBorders>
            <w:vAlign w:val="bottom"/>
          </w:tcPr>
          <w:p w14:paraId="59FB4492" w14:textId="713921F4"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25" w:type="dxa"/>
            <w:tcBorders>
              <w:bottom w:val="single" w:sz="4" w:space="0" w:color="000000"/>
            </w:tcBorders>
            <w:vAlign w:val="bottom"/>
          </w:tcPr>
          <w:p w14:paraId="17828DAD" w14:textId="37D89350"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c>
          <w:tcPr>
            <w:tcW w:w="1324" w:type="dxa"/>
            <w:tcBorders>
              <w:bottom w:val="single" w:sz="4" w:space="0" w:color="000000"/>
            </w:tcBorders>
            <w:vAlign w:val="bottom"/>
          </w:tcPr>
          <w:p w14:paraId="0681EA43" w14:textId="0DD0957D"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26" w:type="dxa"/>
            <w:tcBorders>
              <w:bottom w:val="single" w:sz="4" w:space="0" w:color="000000"/>
            </w:tcBorders>
            <w:vAlign w:val="bottom"/>
          </w:tcPr>
          <w:p w14:paraId="4104B999" w14:textId="240F6DFB"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r>
      <w:tr w:rsidR="00801DB6" w14:paraId="6B7D2D59" w14:textId="77777777" w:rsidTr="00812908">
        <w:tblPrEx>
          <w:tblLook w:val="0400" w:firstRow="0" w:lastRow="0" w:firstColumn="0" w:lastColumn="0" w:noHBand="0" w:noVBand="1"/>
        </w:tblPrEx>
        <w:trPr>
          <w:trHeight w:val="386"/>
        </w:trPr>
        <w:tc>
          <w:tcPr>
            <w:tcW w:w="3845" w:type="dxa"/>
            <w:tcBorders>
              <w:top w:val="single" w:sz="4" w:space="0" w:color="000000"/>
              <w:bottom w:val="single" w:sz="4" w:space="0" w:color="000000"/>
            </w:tcBorders>
            <w:vAlign w:val="bottom"/>
          </w:tcPr>
          <w:p w14:paraId="5547200C" w14:textId="77777777" w:rsidR="00801DB6" w:rsidRDefault="00801DB6" w:rsidP="00801DB6">
            <w:pPr>
              <w:widowControl w:val="0"/>
              <w:pBdr>
                <w:top w:val="nil"/>
                <w:left w:val="nil"/>
                <w:bottom w:val="nil"/>
                <w:right w:val="nil"/>
                <w:between w:val="nil"/>
              </w:pBdr>
              <w:spacing w:before="120"/>
              <w:rPr>
                <w:color w:val="000000"/>
                <w:sz w:val="18"/>
                <w:szCs w:val="18"/>
              </w:rPr>
            </w:pPr>
            <w:r>
              <w:rPr>
                <w:color w:val="000000"/>
                <w:sz w:val="18"/>
                <w:szCs w:val="18"/>
              </w:rPr>
              <w:t>Export tax ($)</w:t>
            </w:r>
          </w:p>
        </w:tc>
        <w:tc>
          <w:tcPr>
            <w:tcW w:w="276" w:type="dxa"/>
            <w:tcBorders>
              <w:top w:val="single" w:sz="4" w:space="0" w:color="000000"/>
              <w:bottom w:val="single" w:sz="4" w:space="0" w:color="000000"/>
            </w:tcBorders>
            <w:vAlign w:val="bottom"/>
          </w:tcPr>
          <w:p w14:paraId="24A54201" w14:textId="77777777" w:rsidR="00801DB6" w:rsidRDefault="00801DB6" w:rsidP="00801DB6">
            <w:pPr>
              <w:pBdr>
                <w:top w:val="nil"/>
                <w:left w:val="nil"/>
                <w:bottom w:val="nil"/>
                <w:right w:val="nil"/>
                <w:between w:val="nil"/>
              </w:pBdr>
              <w:spacing w:before="120"/>
              <w:ind w:right="-18"/>
              <w:jc w:val="right"/>
              <w:rPr>
                <w:color w:val="000000"/>
                <w:sz w:val="18"/>
                <w:szCs w:val="18"/>
              </w:rPr>
            </w:pPr>
          </w:p>
        </w:tc>
        <w:tc>
          <w:tcPr>
            <w:tcW w:w="1324" w:type="dxa"/>
            <w:tcBorders>
              <w:top w:val="single" w:sz="4" w:space="0" w:color="000000"/>
              <w:bottom w:val="single" w:sz="4" w:space="0" w:color="000000"/>
            </w:tcBorders>
            <w:vAlign w:val="bottom"/>
          </w:tcPr>
          <w:p w14:paraId="72E1EB70" w14:textId="6FCF74E3" w:rsidR="00801DB6" w:rsidRDefault="00136447" w:rsidP="00801DB6">
            <w:pPr>
              <w:pBdr>
                <w:top w:val="nil"/>
                <w:left w:val="nil"/>
                <w:bottom w:val="nil"/>
                <w:right w:val="nil"/>
                <w:between w:val="nil"/>
              </w:pBdr>
              <w:spacing w:before="120"/>
              <w:ind w:right="207"/>
              <w:jc w:val="right"/>
              <w:rPr>
                <w:color w:val="000000"/>
                <w:sz w:val="18"/>
                <w:szCs w:val="18"/>
              </w:rPr>
            </w:pPr>
            <w:r>
              <w:rPr>
                <w:color w:val="000000"/>
                <w:sz w:val="18"/>
                <w:szCs w:val="18"/>
              </w:rPr>
              <w:t>106,195</w:t>
            </w:r>
          </w:p>
        </w:tc>
        <w:tc>
          <w:tcPr>
            <w:tcW w:w="1325" w:type="dxa"/>
            <w:tcBorders>
              <w:top w:val="single" w:sz="4" w:space="0" w:color="000000"/>
              <w:bottom w:val="single" w:sz="4" w:space="0" w:color="000000"/>
            </w:tcBorders>
            <w:vAlign w:val="bottom"/>
          </w:tcPr>
          <w:p w14:paraId="6012280A" w14:textId="2E457AE1" w:rsidR="00801DB6" w:rsidRDefault="00801DB6" w:rsidP="00801DB6">
            <w:pPr>
              <w:pBdr>
                <w:top w:val="nil"/>
                <w:left w:val="nil"/>
                <w:bottom w:val="nil"/>
                <w:right w:val="nil"/>
                <w:between w:val="nil"/>
              </w:pBdr>
              <w:spacing w:before="120"/>
              <w:ind w:right="182"/>
              <w:jc w:val="right"/>
              <w:rPr>
                <w:color w:val="000000"/>
                <w:sz w:val="18"/>
                <w:szCs w:val="18"/>
              </w:rPr>
            </w:pPr>
            <w:r w:rsidRPr="00E5778B">
              <w:rPr>
                <w:color w:val="000000"/>
                <w:sz w:val="18"/>
                <w:szCs w:val="18"/>
              </w:rPr>
              <w:t>101,251</w:t>
            </w:r>
          </w:p>
        </w:tc>
        <w:tc>
          <w:tcPr>
            <w:tcW w:w="1324" w:type="dxa"/>
            <w:tcBorders>
              <w:top w:val="single" w:sz="4" w:space="0" w:color="000000"/>
              <w:bottom w:val="single" w:sz="4" w:space="0" w:color="000000"/>
            </w:tcBorders>
            <w:vAlign w:val="bottom"/>
          </w:tcPr>
          <w:p w14:paraId="3396E751" w14:textId="5FE01280" w:rsidR="00801DB6" w:rsidRPr="001B49C2" w:rsidRDefault="00136447" w:rsidP="00801DB6">
            <w:pPr>
              <w:pBdr>
                <w:top w:val="nil"/>
                <w:left w:val="nil"/>
                <w:bottom w:val="nil"/>
                <w:right w:val="nil"/>
                <w:between w:val="nil"/>
              </w:pBdr>
              <w:spacing w:before="120"/>
              <w:ind w:right="156"/>
              <w:jc w:val="right"/>
              <w:rPr>
                <w:color w:val="000000"/>
                <w:sz w:val="18"/>
                <w:szCs w:val="18"/>
              </w:rPr>
            </w:pPr>
            <w:r>
              <w:rPr>
                <w:color w:val="000000"/>
                <w:sz w:val="18"/>
                <w:szCs w:val="18"/>
              </w:rPr>
              <w:t>181,041</w:t>
            </w:r>
          </w:p>
        </w:tc>
        <w:tc>
          <w:tcPr>
            <w:tcW w:w="1326" w:type="dxa"/>
            <w:tcBorders>
              <w:top w:val="single" w:sz="4" w:space="0" w:color="000000"/>
              <w:bottom w:val="single" w:sz="4" w:space="0" w:color="000000"/>
            </w:tcBorders>
            <w:vAlign w:val="bottom"/>
          </w:tcPr>
          <w:p w14:paraId="3F34E68B" w14:textId="366DEBC2" w:rsidR="00801DB6" w:rsidRDefault="00801DB6" w:rsidP="00801DB6">
            <w:pPr>
              <w:pBdr>
                <w:top w:val="nil"/>
                <w:left w:val="nil"/>
                <w:bottom w:val="nil"/>
                <w:right w:val="nil"/>
                <w:between w:val="nil"/>
              </w:pBdr>
              <w:spacing w:before="120"/>
              <w:ind w:right="136"/>
              <w:jc w:val="right"/>
              <w:rPr>
                <w:color w:val="000000"/>
                <w:sz w:val="18"/>
                <w:szCs w:val="18"/>
              </w:rPr>
            </w:pPr>
            <w:r w:rsidRPr="00E5778B">
              <w:rPr>
                <w:color w:val="000000"/>
                <w:sz w:val="18"/>
                <w:szCs w:val="18"/>
              </w:rPr>
              <w:t>193,755</w:t>
            </w:r>
          </w:p>
        </w:tc>
      </w:tr>
      <w:tr w:rsidR="00801DB6" w14:paraId="1CA8818C" w14:textId="77777777">
        <w:tblPrEx>
          <w:tblLook w:val="0400" w:firstRow="0" w:lastRow="0" w:firstColumn="0" w:lastColumn="0" w:noHBand="0" w:noVBand="1"/>
        </w:tblPrEx>
        <w:trPr>
          <w:trHeight w:val="257"/>
        </w:trPr>
        <w:tc>
          <w:tcPr>
            <w:tcW w:w="3845" w:type="dxa"/>
            <w:tcBorders>
              <w:top w:val="single" w:sz="4" w:space="0" w:color="000000"/>
            </w:tcBorders>
            <w:vAlign w:val="bottom"/>
          </w:tcPr>
          <w:p w14:paraId="3C419AC8" w14:textId="77777777" w:rsidR="00801DB6" w:rsidRDefault="00801DB6" w:rsidP="00801DB6">
            <w:pPr>
              <w:widowControl w:val="0"/>
              <w:pBdr>
                <w:top w:val="nil"/>
                <w:left w:val="nil"/>
                <w:bottom w:val="nil"/>
                <w:right w:val="nil"/>
                <w:between w:val="nil"/>
              </w:pBdr>
              <w:rPr>
                <w:color w:val="000000"/>
                <w:sz w:val="18"/>
                <w:szCs w:val="18"/>
              </w:rPr>
            </w:pPr>
            <w:r>
              <w:rPr>
                <w:color w:val="000000"/>
                <w:sz w:val="18"/>
                <w:szCs w:val="18"/>
              </w:rPr>
              <w:t>Export tax as a % of TDF oil sales revenue</w:t>
            </w:r>
          </w:p>
        </w:tc>
        <w:tc>
          <w:tcPr>
            <w:tcW w:w="276" w:type="dxa"/>
            <w:tcBorders>
              <w:top w:val="single" w:sz="4" w:space="0" w:color="000000"/>
            </w:tcBorders>
            <w:vAlign w:val="bottom"/>
          </w:tcPr>
          <w:p w14:paraId="3BDBB06A" w14:textId="77777777" w:rsidR="00801DB6" w:rsidRDefault="00801DB6" w:rsidP="00801DB6">
            <w:pPr>
              <w:pBdr>
                <w:top w:val="nil"/>
                <w:left w:val="nil"/>
                <w:bottom w:val="nil"/>
                <w:right w:val="nil"/>
                <w:between w:val="nil"/>
              </w:pBdr>
              <w:ind w:right="-18"/>
              <w:jc w:val="right"/>
              <w:rPr>
                <w:color w:val="000000"/>
                <w:sz w:val="18"/>
                <w:szCs w:val="18"/>
              </w:rPr>
            </w:pPr>
          </w:p>
        </w:tc>
        <w:tc>
          <w:tcPr>
            <w:tcW w:w="1324" w:type="dxa"/>
            <w:tcBorders>
              <w:top w:val="single" w:sz="4" w:space="0" w:color="000000"/>
            </w:tcBorders>
            <w:vAlign w:val="center"/>
          </w:tcPr>
          <w:p w14:paraId="760BB077" w14:textId="034728AE" w:rsidR="00801DB6" w:rsidRDefault="007B6966" w:rsidP="00801DB6">
            <w:pPr>
              <w:pBdr>
                <w:top w:val="nil"/>
                <w:left w:val="nil"/>
                <w:bottom w:val="nil"/>
                <w:right w:val="nil"/>
                <w:between w:val="nil"/>
              </w:pBdr>
              <w:ind w:right="207"/>
              <w:jc w:val="right"/>
              <w:rPr>
                <w:color w:val="000000"/>
                <w:sz w:val="18"/>
                <w:szCs w:val="18"/>
              </w:rPr>
            </w:pPr>
            <w:r>
              <w:rPr>
                <w:color w:val="000000"/>
                <w:sz w:val="18"/>
                <w:szCs w:val="18"/>
              </w:rPr>
              <w:t>7</w:t>
            </w:r>
            <w:r w:rsidR="00136447">
              <w:rPr>
                <w:color w:val="000000"/>
                <w:sz w:val="18"/>
                <w:szCs w:val="18"/>
              </w:rPr>
              <w:t>%</w:t>
            </w:r>
          </w:p>
        </w:tc>
        <w:tc>
          <w:tcPr>
            <w:tcW w:w="1325" w:type="dxa"/>
            <w:tcBorders>
              <w:top w:val="single" w:sz="4" w:space="0" w:color="000000"/>
            </w:tcBorders>
            <w:vAlign w:val="center"/>
          </w:tcPr>
          <w:p w14:paraId="397DBCE4" w14:textId="3A87D4E4" w:rsidR="00801DB6" w:rsidRDefault="00801DB6" w:rsidP="00801DB6">
            <w:pPr>
              <w:pBdr>
                <w:top w:val="nil"/>
                <w:left w:val="nil"/>
                <w:bottom w:val="nil"/>
                <w:right w:val="nil"/>
                <w:between w:val="nil"/>
              </w:pBdr>
              <w:ind w:right="182"/>
              <w:jc w:val="right"/>
              <w:rPr>
                <w:color w:val="000000"/>
                <w:sz w:val="18"/>
                <w:szCs w:val="18"/>
              </w:rPr>
            </w:pPr>
            <w:r>
              <w:rPr>
                <w:color w:val="000000"/>
                <w:sz w:val="18"/>
                <w:szCs w:val="18"/>
              </w:rPr>
              <w:t>7%</w:t>
            </w:r>
          </w:p>
        </w:tc>
        <w:tc>
          <w:tcPr>
            <w:tcW w:w="1324" w:type="dxa"/>
            <w:tcBorders>
              <w:top w:val="single" w:sz="4" w:space="0" w:color="000000"/>
            </w:tcBorders>
          </w:tcPr>
          <w:p w14:paraId="27C453D1" w14:textId="5BF03AAE" w:rsidR="00801DB6" w:rsidRPr="001B49C2" w:rsidRDefault="007B6966" w:rsidP="00801DB6">
            <w:pPr>
              <w:pBdr>
                <w:top w:val="nil"/>
                <w:left w:val="nil"/>
                <w:bottom w:val="nil"/>
                <w:right w:val="nil"/>
                <w:between w:val="nil"/>
              </w:pBdr>
              <w:ind w:right="156"/>
              <w:jc w:val="right"/>
              <w:rPr>
                <w:color w:val="000000"/>
                <w:sz w:val="18"/>
                <w:szCs w:val="18"/>
              </w:rPr>
            </w:pPr>
            <w:r>
              <w:rPr>
                <w:color w:val="000000"/>
                <w:sz w:val="18"/>
                <w:szCs w:val="18"/>
              </w:rPr>
              <w:t>7</w:t>
            </w:r>
            <w:r w:rsidR="00136447">
              <w:rPr>
                <w:color w:val="000000"/>
                <w:sz w:val="18"/>
                <w:szCs w:val="18"/>
              </w:rPr>
              <w:t>%</w:t>
            </w:r>
          </w:p>
        </w:tc>
        <w:tc>
          <w:tcPr>
            <w:tcW w:w="1326" w:type="dxa"/>
            <w:tcBorders>
              <w:top w:val="single" w:sz="4" w:space="0" w:color="000000"/>
            </w:tcBorders>
            <w:vAlign w:val="center"/>
          </w:tcPr>
          <w:p w14:paraId="31D03C5D" w14:textId="6A4AB28B" w:rsidR="00801DB6" w:rsidRDefault="00801DB6" w:rsidP="00801DB6">
            <w:pPr>
              <w:pBdr>
                <w:top w:val="nil"/>
                <w:left w:val="nil"/>
                <w:bottom w:val="nil"/>
                <w:right w:val="nil"/>
                <w:between w:val="nil"/>
              </w:pBdr>
              <w:ind w:right="136"/>
              <w:jc w:val="right"/>
              <w:rPr>
                <w:color w:val="000000"/>
                <w:sz w:val="18"/>
                <w:szCs w:val="18"/>
              </w:rPr>
            </w:pPr>
            <w:r>
              <w:rPr>
                <w:color w:val="000000"/>
                <w:sz w:val="18"/>
                <w:szCs w:val="18"/>
              </w:rPr>
              <w:t>7%</w:t>
            </w:r>
          </w:p>
        </w:tc>
      </w:tr>
      <w:tr w:rsidR="00801DB6" w14:paraId="03D115E8" w14:textId="77777777" w:rsidTr="00AB2544">
        <w:tblPrEx>
          <w:tblLook w:val="0400" w:firstRow="0" w:lastRow="0" w:firstColumn="0" w:lastColumn="0" w:noHBand="0" w:noVBand="1"/>
        </w:tblPrEx>
        <w:trPr>
          <w:trHeight w:val="199"/>
        </w:trPr>
        <w:tc>
          <w:tcPr>
            <w:tcW w:w="3845" w:type="dxa"/>
            <w:tcBorders>
              <w:bottom w:val="single" w:sz="12" w:space="0" w:color="000000"/>
            </w:tcBorders>
            <w:vAlign w:val="bottom"/>
          </w:tcPr>
          <w:p w14:paraId="077E8F76" w14:textId="77777777" w:rsidR="00801DB6" w:rsidRDefault="00801DB6" w:rsidP="00801DB6">
            <w:pPr>
              <w:widowControl w:val="0"/>
              <w:pBdr>
                <w:top w:val="nil"/>
                <w:left w:val="nil"/>
                <w:bottom w:val="nil"/>
                <w:right w:val="nil"/>
                <w:between w:val="nil"/>
              </w:pBdr>
              <w:spacing w:after="60"/>
              <w:rPr>
                <w:color w:val="000000"/>
                <w:sz w:val="18"/>
                <w:szCs w:val="18"/>
              </w:rPr>
            </w:pPr>
            <w:r>
              <w:rPr>
                <w:color w:val="000000"/>
                <w:sz w:val="18"/>
                <w:szCs w:val="18"/>
              </w:rPr>
              <w:t>TDF export tax per BOE ($)</w:t>
            </w:r>
          </w:p>
        </w:tc>
        <w:tc>
          <w:tcPr>
            <w:tcW w:w="276" w:type="dxa"/>
            <w:tcBorders>
              <w:bottom w:val="single" w:sz="12" w:space="0" w:color="000000"/>
            </w:tcBorders>
          </w:tcPr>
          <w:p w14:paraId="1D524CCE" w14:textId="77777777" w:rsidR="00801DB6" w:rsidRDefault="00801DB6" w:rsidP="00801DB6">
            <w:pPr>
              <w:pBdr>
                <w:top w:val="nil"/>
                <w:left w:val="nil"/>
                <w:bottom w:val="nil"/>
                <w:right w:val="nil"/>
                <w:between w:val="nil"/>
              </w:pBdr>
              <w:spacing w:after="60"/>
              <w:ind w:right="-3"/>
              <w:jc w:val="right"/>
              <w:rPr>
                <w:color w:val="000000"/>
                <w:sz w:val="18"/>
                <w:szCs w:val="18"/>
              </w:rPr>
            </w:pPr>
          </w:p>
        </w:tc>
        <w:tc>
          <w:tcPr>
            <w:tcW w:w="1324" w:type="dxa"/>
            <w:tcBorders>
              <w:bottom w:val="single" w:sz="12" w:space="0" w:color="000000"/>
            </w:tcBorders>
          </w:tcPr>
          <w:p w14:paraId="79593161" w14:textId="5B9992AC" w:rsidR="00801DB6" w:rsidRDefault="00136447" w:rsidP="00801DB6">
            <w:pPr>
              <w:pBdr>
                <w:top w:val="nil"/>
                <w:left w:val="nil"/>
                <w:bottom w:val="nil"/>
                <w:right w:val="nil"/>
                <w:between w:val="nil"/>
              </w:pBdr>
              <w:spacing w:after="60"/>
              <w:ind w:right="207"/>
              <w:jc w:val="right"/>
              <w:rPr>
                <w:color w:val="000000"/>
                <w:sz w:val="18"/>
                <w:szCs w:val="18"/>
              </w:rPr>
            </w:pPr>
            <w:r>
              <w:rPr>
                <w:color w:val="000000"/>
                <w:sz w:val="18"/>
                <w:szCs w:val="18"/>
              </w:rPr>
              <w:t>0.13</w:t>
            </w:r>
          </w:p>
        </w:tc>
        <w:tc>
          <w:tcPr>
            <w:tcW w:w="1325" w:type="dxa"/>
            <w:tcBorders>
              <w:bottom w:val="single" w:sz="12" w:space="0" w:color="000000"/>
            </w:tcBorders>
          </w:tcPr>
          <w:p w14:paraId="6DC85F6E" w14:textId="07FF0FCA" w:rsidR="00801DB6" w:rsidRDefault="00801DB6" w:rsidP="00801DB6">
            <w:pPr>
              <w:pBdr>
                <w:top w:val="nil"/>
                <w:left w:val="nil"/>
                <w:bottom w:val="nil"/>
                <w:right w:val="nil"/>
                <w:between w:val="nil"/>
              </w:pBdr>
              <w:spacing w:after="60"/>
              <w:ind w:right="182"/>
              <w:jc w:val="right"/>
              <w:rPr>
                <w:color w:val="000000"/>
                <w:sz w:val="18"/>
                <w:szCs w:val="18"/>
              </w:rPr>
            </w:pPr>
            <w:r w:rsidRPr="00E5778B">
              <w:rPr>
                <w:color w:val="000000"/>
                <w:sz w:val="18"/>
                <w:szCs w:val="18"/>
              </w:rPr>
              <w:t>0.27</w:t>
            </w:r>
          </w:p>
        </w:tc>
        <w:tc>
          <w:tcPr>
            <w:tcW w:w="1324" w:type="dxa"/>
            <w:tcBorders>
              <w:bottom w:val="single" w:sz="12" w:space="0" w:color="000000"/>
            </w:tcBorders>
          </w:tcPr>
          <w:p w14:paraId="3B01EF47" w14:textId="5B06061E" w:rsidR="00801DB6" w:rsidRPr="001B49C2" w:rsidRDefault="00136447" w:rsidP="00801DB6">
            <w:pPr>
              <w:pBdr>
                <w:top w:val="nil"/>
                <w:left w:val="nil"/>
                <w:bottom w:val="nil"/>
                <w:right w:val="nil"/>
                <w:between w:val="nil"/>
              </w:pBdr>
              <w:spacing w:after="60"/>
              <w:ind w:right="156"/>
              <w:jc w:val="right"/>
              <w:rPr>
                <w:color w:val="000000"/>
                <w:sz w:val="18"/>
                <w:szCs w:val="18"/>
              </w:rPr>
            </w:pPr>
            <w:r>
              <w:rPr>
                <w:color w:val="000000"/>
                <w:sz w:val="18"/>
                <w:szCs w:val="18"/>
              </w:rPr>
              <w:t>0.12</w:t>
            </w:r>
          </w:p>
        </w:tc>
        <w:tc>
          <w:tcPr>
            <w:tcW w:w="1326" w:type="dxa"/>
            <w:tcBorders>
              <w:bottom w:val="single" w:sz="12" w:space="0" w:color="000000"/>
            </w:tcBorders>
          </w:tcPr>
          <w:p w14:paraId="54455B6C" w14:textId="623EBE9D" w:rsidR="00801DB6" w:rsidRDefault="00801DB6" w:rsidP="00801DB6">
            <w:pPr>
              <w:pBdr>
                <w:top w:val="nil"/>
                <w:left w:val="nil"/>
                <w:bottom w:val="nil"/>
                <w:right w:val="nil"/>
                <w:between w:val="nil"/>
              </w:pBdr>
              <w:spacing w:after="60"/>
              <w:ind w:right="136"/>
              <w:jc w:val="right"/>
              <w:rPr>
                <w:color w:val="000000"/>
                <w:sz w:val="18"/>
                <w:szCs w:val="18"/>
              </w:rPr>
            </w:pPr>
            <w:r w:rsidRPr="00E5778B">
              <w:rPr>
                <w:color w:val="000000"/>
                <w:sz w:val="18"/>
                <w:szCs w:val="18"/>
              </w:rPr>
              <w:t>0.26</w:t>
            </w:r>
          </w:p>
        </w:tc>
      </w:tr>
    </w:tbl>
    <w:p w14:paraId="733AC9A3" w14:textId="3B48E240" w:rsidR="0028148F" w:rsidRDefault="00301E5D" w:rsidP="0509CAAE">
      <w:pPr>
        <w:widowControl w:val="0"/>
        <w:spacing w:before="120"/>
        <w:jc w:val="both"/>
        <w:rPr>
          <w:rFonts w:cs="Arial"/>
        </w:rPr>
      </w:pPr>
      <w:r w:rsidRPr="0509CAAE">
        <w:rPr>
          <w:rFonts w:cs="Arial"/>
        </w:rPr>
        <w:t xml:space="preserve">The Government of Argentina </w:t>
      </w:r>
      <w:r w:rsidR="001002E8" w:rsidRPr="0509CAAE">
        <w:rPr>
          <w:rFonts w:cs="Arial"/>
        </w:rPr>
        <w:t xml:space="preserve">imposes </w:t>
      </w:r>
      <w:r w:rsidRPr="0509CAAE">
        <w:rPr>
          <w:rFonts w:cs="Arial"/>
        </w:rPr>
        <w:t xml:space="preserve">an export tax on all goods exported from Argentina. The Company recognizes export taxes related to TDF oil sales to the export market. The rate of export tax is determined by a formula based on the price of Brent oil, ranging from 0% when the price of Brent oil is at or below $45 per </w:t>
      </w:r>
      <w:proofErr w:type="spellStart"/>
      <w:r w:rsidRPr="0509CAAE">
        <w:rPr>
          <w:rFonts w:cs="Arial"/>
        </w:rPr>
        <w:t>bbl</w:t>
      </w:r>
      <w:proofErr w:type="spellEnd"/>
      <w:r w:rsidRPr="0509CAAE">
        <w:rPr>
          <w:rFonts w:cs="Arial"/>
        </w:rPr>
        <w:t xml:space="preserve"> to a maximum of 8% when the price of Brent oil is at or higher than $60 per bbl. </w:t>
      </w:r>
    </w:p>
    <w:p w14:paraId="79703CC4" w14:textId="77777777" w:rsidR="00A143DD" w:rsidRPr="00870222" w:rsidRDefault="00A143DD" w:rsidP="00A143DD">
      <w:pPr>
        <w:widowControl w:val="0"/>
        <w:spacing w:before="120"/>
        <w:jc w:val="both"/>
        <w:rPr>
          <w:rFonts w:cs="Arial"/>
          <w:lang w:val="en-US"/>
        </w:rPr>
      </w:pPr>
      <w:r w:rsidRPr="00840546">
        <w:rPr>
          <w:rFonts w:cs="Arial"/>
          <w:lang w:val="en-US"/>
        </w:rPr>
        <w:t>On January 28, 2026, Decree 59/2026 was issued, establishing that conventional crude oil exports will be subject to 0% export duties when the international oil price is at or below $65 per barrel; a variable duty rate, calculated through a progressive formula when the international oil price is between $65 and $80 per barrel; and 8% export duties when the</w:t>
      </w:r>
      <w:r w:rsidRPr="00AE56A0">
        <w:rPr>
          <w:rFonts w:cs="Arial"/>
          <w:lang w:val="en-US"/>
        </w:rPr>
        <w:t xml:space="preserve"> </w:t>
      </w:r>
      <w:r w:rsidRPr="00840546">
        <w:rPr>
          <w:rFonts w:cs="Arial"/>
          <w:lang w:val="en-US"/>
        </w:rPr>
        <w:t>international oil price exceeds $80 per barrel.</w:t>
      </w:r>
    </w:p>
    <w:p w14:paraId="0523509B" w14:textId="77777777" w:rsidR="00922726" w:rsidRDefault="00922726">
      <w:pPr>
        <w:rPr>
          <w:rFonts w:cs="Arial"/>
          <w:b/>
          <w:i/>
        </w:rPr>
      </w:pPr>
      <w:r>
        <w:rPr>
          <w:rFonts w:cs="Arial"/>
          <w:b/>
          <w:i/>
        </w:rPr>
        <w:br w:type="page"/>
      </w:r>
    </w:p>
    <w:p w14:paraId="5D2901BF" w14:textId="753B75CE" w:rsidR="00652923" w:rsidRDefault="00652923" w:rsidP="00591EC8">
      <w:pPr>
        <w:spacing w:before="120" w:after="120"/>
        <w:rPr>
          <w:rFonts w:cs="Arial"/>
          <w:b/>
          <w:i/>
        </w:rPr>
      </w:pPr>
      <w:r>
        <w:rPr>
          <w:rFonts w:cs="Arial"/>
          <w:b/>
          <w:i/>
        </w:rPr>
        <w:lastRenderedPageBreak/>
        <w:t>Royalties and Turnover Tax</w:t>
      </w:r>
    </w:p>
    <w:tbl>
      <w:tblPr>
        <w:tblW w:w="9420" w:type="dxa"/>
        <w:tblLayout w:type="fixed"/>
        <w:tblLook w:val="0400" w:firstRow="0" w:lastRow="0" w:firstColumn="0" w:lastColumn="0" w:noHBand="0" w:noVBand="1"/>
      </w:tblPr>
      <w:tblGrid>
        <w:gridCol w:w="3845"/>
        <w:gridCol w:w="276"/>
        <w:gridCol w:w="1324"/>
        <w:gridCol w:w="1325"/>
        <w:gridCol w:w="1324"/>
        <w:gridCol w:w="1326"/>
      </w:tblGrid>
      <w:tr w:rsidR="00E91EF5" w14:paraId="1C86336A" w14:textId="77777777" w:rsidTr="00D15F35">
        <w:trPr>
          <w:trHeight w:val="179"/>
        </w:trPr>
        <w:tc>
          <w:tcPr>
            <w:tcW w:w="3845" w:type="dxa"/>
            <w:tcBorders>
              <w:top w:val="single" w:sz="12" w:space="0" w:color="000000"/>
            </w:tcBorders>
          </w:tcPr>
          <w:p w14:paraId="280C3813" w14:textId="77777777" w:rsidR="00E91EF5" w:rsidRPr="0082588E" w:rsidRDefault="00E91EF5" w:rsidP="00E91EF5">
            <w:pPr>
              <w:widowControl w:val="0"/>
              <w:pBdr>
                <w:top w:val="nil"/>
                <w:left w:val="nil"/>
                <w:bottom w:val="nil"/>
                <w:right w:val="nil"/>
                <w:between w:val="nil"/>
              </w:pBdr>
              <w:spacing w:before="60"/>
              <w:jc w:val="both"/>
              <w:rPr>
                <w:b/>
                <w:color w:val="000000"/>
                <w:sz w:val="16"/>
                <w:szCs w:val="16"/>
              </w:rPr>
            </w:pPr>
          </w:p>
        </w:tc>
        <w:tc>
          <w:tcPr>
            <w:tcW w:w="276" w:type="dxa"/>
            <w:tcBorders>
              <w:top w:val="single" w:sz="12" w:space="0" w:color="000000"/>
            </w:tcBorders>
            <w:vAlign w:val="bottom"/>
          </w:tcPr>
          <w:p w14:paraId="77D00B90" w14:textId="77777777" w:rsidR="00E91EF5" w:rsidRPr="0082588E" w:rsidRDefault="00E91EF5" w:rsidP="00E91EF5">
            <w:pPr>
              <w:widowControl w:val="0"/>
              <w:pBdr>
                <w:top w:val="nil"/>
                <w:left w:val="nil"/>
                <w:bottom w:val="nil"/>
                <w:right w:val="nil"/>
                <w:between w:val="nil"/>
              </w:pBdr>
              <w:spacing w:before="60"/>
              <w:jc w:val="center"/>
              <w:rPr>
                <w:b/>
                <w:color w:val="000000"/>
                <w:sz w:val="16"/>
                <w:szCs w:val="16"/>
              </w:rPr>
            </w:pPr>
          </w:p>
        </w:tc>
        <w:tc>
          <w:tcPr>
            <w:tcW w:w="2649" w:type="dxa"/>
            <w:gridSpan w:val="2"/>
            <w:tcBorders>
              <w:top w:val="single" w:sz="12" w:space="0" w:color="000000"/>
            </w:tcBorders>
            <w:vAlign w:val="bottom"/>
          </w:tcPr>
          <w:p w14:paraId="03588B47" w14:textId="148F71D2" w:rsidR="00E91EF5" w:rsidRPr="0082588E" w:rsidRDefault="00E91EF5" w:rsidP="00E91EF5">
            <w:pPr>
              <w:widowControl w:val="0"/>
              <w:pBdr>
                <w:top w:val="nil"/>
                <w:left w:val="nil"/>
                <w:bottom w:val="nil"/>
                <w:right w:val="nil"/>
                <w:between w:val="nil"/>
              </w:pBdr>
              <w:spacing w:before="60"/>
              <w:jc w:val="center"/>
              <w:rPr>
                <w:b/>
                <w:color w:val="000000"/>
                <w:sz w:val="16"/>
                <w:szCs w:val="16"/>
              </w:rPr>
            </w:pPr>
            <w:r>
              <w:rPr>
                <w:rFonts w:cs="Arial"/>
                <w:b/>
                <w:sz w:val="16"/>
                <w:szCs w:val="16"/>
              </w:rPr>
              <w:t>Three months ended</w:t>
            </w:r>
          </w:p>
        </w:tc>
        <w:tc>
          <w:tcPr>
            <w:tcW w:w="2650" w:type="dxa"/>
            <w:gridSpan w:val="2"/>
            <w:tcBorders>
              <w:top w:val="single" w:sz="12" w:space="0" w:color="000000"/>
            </w:tcBorders>
            <w:vAlign w:val="bottom"/>
          </w:tcPr>
          <w:p w14:paraId="76E3CEEC" w14:textId="6425B78B" w:rsidR="00E91EF5" w:rsidRPr="0082588E" w:rsidRDefault="00E91EF5" w:rsidP="00E91EF5">
            <w:pPr>
              <w:widowControl w:val="0"/>
              <w:pBdr>
                <w:top w:val="nil"/>
                <w:left w:val="nil"/>
                <w:bottom w:val="nil"/>
                <w:right w:val="nil"/>
                <w:between w:val="nil"/>
              </w:pBdr>
              <w:spacing w:before="60"/>
              <w:jc w:val="center"/>
              <w:rPr>
                <w:b/>
                <w:color w:val="000000"/>
                <w:sz w:val="16"/>
                <w:szCs w:val="16"/>
              </w:rPr>
            </w:pPr>
            <w:r>
              <w:rPr>
                <w:rFonts w:cs="Arial"/>
                <w:b/>
                <w:sz w:val="16"/>
                <w:szCs w:val="16"/>
              </w:rPr>
              <w:t>Six months ended</w:t>
            </w:r>
          </w:p>
        </w:tc>
      </w:tr>
      <w:tr w:rsidR="00E91EF5" w14:paraId="161275DA" w14:textId="77777777" w:rsidTr="00D15F35">
        <w:trPr>
          <w:trHeight w:val="209"/>
        </w:trPr>
        <w:tc>
          <w:tcPr>
            <w:tcW w:w="3845" w:type="dxa"/>
          </w:tcPr>
          <w:p w14:paraId="636F30C3" w14:textId="77777777" w:rsidR="00E91EF5" w:rsidRDefault="00E91EF5" w:rsidP="00E91EF5">
            <w:pPr>
              <w:widowControl w:val="0"/>
              <w:pBdr>
                <w:top w:val="nil"/>
                <w:left w:val="nil"/>
                <w:bottom w:val="nil"/>
                <w:right w:val="nil"/>
                <w:between w:val="nil"/>
              </w:pBdr>
              <w:jc w:val="both"/>
              <w:rPr>
                <w:color w:val="000000"/>
                <w:sz w:val="18"/>
                <w:szCs w:val="18"/>
              </w:rPr>
            </w:pPr>
          </w:p>
        </w:tc>
        <w:tc>
          <w:tcPr>
            <w:tcW w:w="276" w:type="dxa"/>
            <w:vAlign w:val="bottom"/>
          </w:tcPr>
          <w:p w14:paraId="3BAE9F14" w14:textId="77777777" w:rsidR="00E91EF5" w:rsidRDefault="00E91EF5" w:rsidP="00E91EF5">
            <w:pPr>
              <w:widowControl w:val="0"/>
              <w:pBdr>
                <w:top w:val="nil"/>
                <w:left w:val="nil"/>
                <w:bottom w:val="nil"/>
                <w:right w:val="nil"/>
                <w:between w:val="nil"/>
              </w:pBdr>
              <w:ind w:left="-108" w:right="-108"/>
              <w:jc w:val="center"/>
              <w:rPr>
                <w:b/>
                <w:color w:val="000000"/>
                <w:sz w:val="16"/>
                <w:szCs w:val="16"/>
              </w:rPr>
            </w:pPr>
          </w:p>
        </w:tc>
        <w:tc>
          <w:tcPr>
            <w:tcW w:w="2649" w:type="dxa"/>
            <w:gridSpan w:val="2"/>
            <w:vAlign w:val="bottom"/>
          </w:tcPr>
          <w:p w14:paraId="35198DDF" w14:textId="15FF401E"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June 30</w:t>
            </w:r>
          </w:p>
        </w:tc>
        <w:tc>
          <w:tcPr>
            <w:tcW w:w="2650" w:type="dxa"/>
            <w:gridSpan w:val="2"/>
            <w:vAlign w:val="bottom"/>
          </w:tcPr>
          <w:p w14:paraId="3064620E" w14:textId="75783E28"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June 30</w:t>
            </w:r>
          </w:p>
        </w:tc>
      </w:tr>
      <w:tr w:rsidR="00E91EF5" w14:paraId="7F9C9345" w14:textId="77777777" w:rsidTr="00D15F35">
        <w:trPr>
          <w:trHeight w:val="194"/>
        </w:trPr>
        <w:tc>
          <w:tcPr>
            <w:tcW w:w="3845" w:type="dxa"/>
            <w:tcBorders>
              <w:bottom w:val="single" w:sz="4" w:space="0" w:color="000000"/>
            </w:tcBorders>
          </w:tcPr>
          <w:p w14:paraId="5D3FD99A" w14:textId="77777777" w:rsidR="00E91EF5" w:rsidRDefault="00E91EF5" w:rsidP="00E91EF5">
            <w:pPr>
              <w:widowControl w:val="0"/>
              <w:pBdr>
                <w:top w:val="nil"/>
                <w:left w:val="nil"/>
                <w:bottom w:val="nil"/>
                <w:right w:val="nil"/>
                <w:between w:val="nil"/>
              </w:pBdr>
              <w:jc w:val="both"/>
              <w:rPr>
                <w:color w:val="000000"/>
                <w:sz w:val="18"/>
                <w:szCs w:val="18"/>
              </w:rPr>
            </w:pPr>
          </w:p>
        </w:tc>
        <w:tc>
          <w:tcPr>
            <w:tcW w:w="276" w:type="dxa"/>
            <w:tcBorders>
              <w:bottom w:val="single" w:sz="4" w:space="0" w:color="000000"/>
            </w:tcBorders>
            <w:vAlign w:val="bottom"/>
          </w:tcPr>
          <w:p w14:paraId="758BC5A1" w14:textId="77777777" w:rsidR="00E91EF5" w:rsidRDefault="00E91EF5" w:rsidP="00E91EF5">
            <w:pPr>
              <w:widowControl w:val="0"/>
              <w:pBdr>
                <w:top w:val="nil"/>
                <w:left w:val="nil"/>
                <w:bottom w:val="nil"/>
                <w:right w:val="nil"/>
                <w:between w:val="nil"/>
              </w:pBdr>
              <w:jc w:val="center"/>
              <w:rPr>
                <w:b/>
                <w:color w:val="000000"/>
                <w:sz w:val="16"/>
                <w:szCs w:val="16"/>
              </w:rPr>
            </w:pPr>
          </w:p>
        </w:tc>
        <w:tc>
          <w:tcPr>
            <w:tcW w:w="1324" w:type="dxa"/>
            <w:tcBorders>
              <w:bottom w:val="single" w:sz="4" w:space="0" w:color="000000"/>
            </w:tcBorders>
            <w:vAlign w:val="bottom"/>
          </w:tcPr>
          <w:p w14:paraId="0E29A5C8" w14:textId="20F577FF"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25" w:type="dxa"/>
            <w:tcBorders>
              <w:bottom w:val="single" w:sz="4" w:space="0" w:color="000000"/>
            </w:tcBorders>
            <w:vAlign w:val="bottom"/>
          </w:tcPr>
          <w:p w14:paraId="6EC99988" w14:textId="04094808"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c>
          <w:tcPr>
            <w:tcW w:w="1324" w:type="dxa"/>
            <w:tcBorders>
              <w:bottom w:val="single" w:sz="4" w:space="0" w:color="000000"/>
            </w:tcBorders>
            <w:vAlign w:val="bottom"/>
          </w:tcPr>
          <w:p w14:paraId="4713F93B" w14:textId="3F38DAB1"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26" w:type="dxa"/>
            <w:tcBorders>
              <w:bottom w:val="single" w:sz="4" w:space="0" w:color="000000"/>
            </w:tcBorders>
            <w:vAlign w:val="bottom"/>
          </w:tcPr>
          <w:p w14:paraId="644D2BF7" w14:textId="14A53033"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r>
      <w:tr w:rsidR="00801DB6" w14:paraId="68E49E2C" w14:textId="77777777">
        <w:trPr>
          <w:trHeight w:val="171"/>
        </w:trPr>
        <w:tc>
          <w:tcPr>
            <w:tcW w:w="3845" w:type="dxa"/>
            <w:tcBorders>
              <w:top w:val="single" w:sz="4" w:space="0" w:color="000000"/>
            </w:tcBorders>
            <w:vAlign w:val="bottom"/>
          </w:tcPr>
          <w:p w14:paraId="34CAB787" w14:textId="77777777" w:rsidR="00801DB6" w:rsidRDefault="00801DB6" w:rsidP="00801DB6">
            <w:pPr>
              <w:widowControl w:val="0"/>
              <w:pBdr>
                <w:top w:val="nil"/>
                <w:left w:val="nil"/>
                <w:bottom w:val="nil"/>
                <w:right w:val="nil"/>
                <w:between w:val="nil"/>
              </w:pBdr>
              <w:spacing w:before="60"/>
              <w:rPr>
                <w:color w:val="000000"/>
                <w:sz w:val="18"/>
                <w:szCs w:val="18"/>
              </w:rPr>
            </w:pPr>
            <w:r>
              <w:rPr>
                <w:color w:val="000000"/>
                <w:sz w:val="18"/>
                <w:szCs w:val="18"/>
              </w:rPr>
              <w:t>Provincial royalties and turnover tax ($)</w:t>
            </w:r>
          </w:p>
        </w:tc>
        <w:tc>
          <w:tcPr>
            <w:tcW w:w="276" w:type="dxa"/>
            <w:tcBorders>
              <w:top w:val="single" w:sz="4" w:space="0" w:color="000000"/>
            </w:tcBorders>
            <w:vAlign w:val="bottom"/>
          </w:tcPr>
          <w:p w14:paraId="5FEF7A73" w14:textId="77777777" w:rsidR="00801DB6" w:rsidRDefault="00801DB6" w:rsidP="00801DB6">
            <w:pPr>
              <w:pBdr>
                <w:top w:val="nil"/>
                <w:left w:val="nil"/>
                <w:bottom w:val="nil"/>
                <w:right w:val="nil"/>
                <w:between w:val="nil"/>
              </w:pBdr>
              <w:spacing w:before="60"/>
              <w:ind w:right="-18"/>
              <w:jc w:val="right"/>
              <w:rPr>
                <w:color w:val="000000"/>
                <w:sz w:val="18"/>
                <w:szCs w:val="18"/>
              </w:rPr>
            </w:pPr>
          </w:p>
        </w:tc>
        <w:tc>
          <w:tcPr>
            <w:tcW w:w="1324" w:type="dxa"/>
            <w:tcBorders>
              <w:top w:val="single" w:sz="4" w:space="0" w:color="000000"/>
            </w:tcBorders>
          </w:tcPr>
          <w:p w14:paraId="013987C4" w14:textId="4C7772A9" w:rsidR="00801DB6" w:rsidRDefault="00136447" w:rsidP="00801DB6">
            <w:pPr>
              <w:pBdr>
                <w:top w:val="nil"/>
                <w:left w:val="nil"/>
                <w:bottom w:val="nil"/>
                <w:right w:val="nil"/>
                <w:between w:val="nil"/>
              </w:pBdr>
              <w:spacing w:before="60"/>
              <w:ind w:right="207"/>
              <w:jc w:val="right"/>
              <w:rPr>
                <w:color w:val="000000"/>
                <w:sz w:val="18"/>
                <w:szCs w:val="18"/>
              </w:rPr>
            </w:pPr>
            <w:r>
              <w:rPr>
                <w:color w:val="000000"/>
                <w:sz w:val="18"/>
                <w:szCs w:val="18"/>
              </w:rPr>
              <w:t>12,278,455</w:t>
            </w:r>
          </w:p>
        </w:tc>
        <w:tc>
          <w:tcPr>
            <w:tcW w:w="1325" w:type="dxa"/>
            <w:tcBorders>
              <w:top w:val="single" w:sz="4" w:space="0" w:color="000000"/>
            </w:tcBorders>
          </w:tcPr>
          <w:p w14:paraId="171A1298" w14:textId="2D2F2735" w:rsidR="00801DB6" w:rsidRDefault="00801DB6" w:rsidP="00801DB6">
            <w:pPr>
              <w:pBdr>
                <w:top w:val="nil"/>
                <w:left w:val="nil"/>
                <w:bottom w:val="nil"/>
                <w:right w:val="nil"/>
                <w:between w:val="nil"/>
              </w:pBdr>
              <w:spacing w:before="60"/>
              <w:ind w:right="182"/>
              <w:jc w:val="right"/>
              <w:rPr>
                <w:color w:val="000000"/>
                <w:sz w:val="18"/>
                <w:szCs w:val="18"/>
              </w:rPr>
            </w:pPr>
            <w:r w:rsidRPr="00E5778B">
              <w:rPr>
                <w:color w:val="000000"/>
                <w:sz w:val="18"/>
                <w:szCs w:val="18"/>
              </w:rPr>
              <w:t>3,963,657</w:t>
            </w:r>
          </w:p>
        </w:tc>
        <w:tc>
          <w:tcPr>
            <w:tcW w:w="1324" w:type="dxa"/>
            <w:tcBorders>
              <w:top w:val="single" w:sz="4" w:space="0" w:color="000000"/>
            </w:tcBorders>
          </w:tcPr>
          <w:p w14:paraId="5E480106" w14:textId="31956298" w:rsidR="00801DB6" w:rsidRPr="004B547A" w:rsidRDefault="00136447" w:rsidP="00801DB6">
            <w:pPr>
              <w:pBdr>
                <w:top w:val="nil"/>
                <w:left w:val="nil"/>
                <w:bottom w:val="nil"/>
                <w:right w:val="nil"/>
                <w:between w:val="nil"/>
              </w:pBdr>
              <w:spacing w:before="60"/>
              <w:ind w:right="136"/>
              <w:jc w:val="right"/>
              <w:rPr>
                <w:color w:val="000000"/>
                <w:sz w:val="18"/>
                <w:szCs w:val="18"/>
              </w:rPr>
            </w:pPr>
            <w:r>
              <w:rPr>
                <w:color w:val="000000"/>
                <w:sz w:val="18"/>
                <w:szCs w:val="18"/>
              </w:rPr>
              <w:t>20,711,653</w:t>
            </w:r>
          </w:p>
        </w:tc>
        <w:tc>
          <w:tcPr>
            <w:tcW w:w="1326" w:type="dxa"/>
            <w:tcBorders>
              <w:top w:val="single" w:sz="4" w:space="0" w:color="000000"/>
            </w:tcBorders>
          </w:tcPr>
          <w:p w14:paraId="0B5C242E" w14:textId="5C4B168A" w:rsidR="00801DB6" w:rsidRDefault="00801DB6" w:rsidP="00801DB6">
            <w:pPr>
              <w:pBdr>
                <w:top w:val="nil"/>
                <w:left w:val="nil"/>
                <w:bottom w:val="nil"/>
                <w:right w:val="nil"/>
                <w:between w:val="nil"/>
              </w:pBdr>
              <w:spacing w:before="60"/>
              <w:ind w:right="136"/>
              <w:jc w:val="right"/>
              <w:rPr>
                <w:color w:val="000000"/>
                <w:sz w:val="18"/>
                <w:szCs w:val="18"/>
              </w:rPr>
            </w:pPr>
            <w:r w:rsidRPr="00E5778B">
              <w:rPr>
                <w:sz w:val="18"/>
                <w:szCs w:val="18"/>
              </w:rPr>
              <w:t xml:space="preserve"> 8,163,142 </w:t>
            </w:r>
          </w:p>
        </w:tc>
      </w:tr>
      <w:tr w:rsidR="00801DB6" w14:paraId="3484A24A" w14:textId="77777777">
        <w:trPr>
          <w:trHeight w:val="239"/>
        </w:trPr>
        <w:tc>
          <w:tcPr>
            <w:tcW w:w="3845" w:type="dxa"/>
            <w:vAlign w:val="center"/>
          </w:tcPr>
          <w:p w14:paraId="2594F74C" w14:textId="77777777" w:rsidR="00801DB6" w:rsidRDefault="00801DB6" w:rsidP="00801DB6">
            <w:pPr>
              <w:widowControl w:val="0"/>
              <w:pBdr>
                <w:top w:val="nil"/>
                <w:left w:val="nil"/>
                <w:bottom w:val="nil"/>
                <w:right w:val="nil"/>
                <w:between w:val="nil"/>
              </w:pBdr>
              <w:rPr>
                <w:color w:val="000000"/>
                <w:sz w:val="18"/>
                <w:szCs w:val="18"/>
              </w:rPr>
            </w:pPr>
            <w:r>
              <w:rPr>
                <w:color w:val="000000"/>
                <w:sz w:val="18"/>
                <w:szCs w:val="18"/>
              </w:rPr>
              <w:t>Royalties and turnover tax as a % of total sales revenue</w:t>
            </w:r>
          </w:p>
        </w:tc>
        <w:tc>
          <w:tcPr>
            <w:tcW w:w="276" w:type="dxa"/>
            <w:vAlign w:val="center"/>
          </w:tcPr>
          <w:p w14:paraId="5EDFD501" w14:textId="77777777" w:rsidR="00801DB6" w:rsidRDefault="00801DB6" w:rsidP="00801DB6">
            <w:pPr>
              <w:pBdr>
                <w:top w:val="nil"/>
                <w:left w:val="nil"/>
                <w:bottom w:val="nil"/>
                <w:right w:val="nil"/>
                <w:between w:val="nil"/>
              </w:pBdr>
              <w:ind w:right="-18"/>
              <w:jc w:val="right"/>
              <w:rPr>
                <w:color w:val="000000"/>
                <w:sz w:val="18"/>
                <w:szCs w:val="18"/>
              </w:rPr>
            </w:pPr>
          </w:p>
        </w:tc>
        <w:tc>
          <w:tcPr>
            <w:tcW w:w="1324" w:type="dxa"/>
            <w:vAlign w:val="bottom"/>
          </w:tcPr>
          <w:p w14:paraId="0ACEDFE3" w14:textId="2C13EAEE" w:rsidR="00801DB6" w:rsidRDefault="00136447" w:rsidP="00801DB6">
            <w:pPr>
              <w:pBdr>
                <w:top w:val="nil"/>
                <w:left w:val="nil"/>
                <w:bottom w:val="nil"/>
                <w:right w:val="nil"/>
                <w:between w:val="nil"/>
              </w:pBdr>
              <w:ind w:right="207"/>
              <w:jc w:val="right"/>
              <w:rPr>
                <w:color w:val="000000"/>
                <w:sz w:val="18"/>
                <w:szCs w:val="18"/>
              </w:rPr>
            </w:pPr>
            <w:r>
              <w:rPr>
                <w:color w:val="000000"/>
                <w:sz w:val="18"/>
                <w:szCs w:val="18"/>
              </w:rPr>
              <w:t>17.7%</w:t>
            </w:r>
          </w:p>
        </w:tc>
        <w:tc>
          <w:tcPr>
            <w:tcW w:w="1325" w:type="dxa"/>
            <w:vAlign w:val="bottom"/>
          </w:tcPr>
          <w:p w14:paraId="3D6FBDF0" w14:textId="04FFF054" w:rsidR="00801DB6" w:rsidRDefault="00801DB6" w:rsidP="00801DB6">
            <w:pPr>
              <w:pBdr>
                <w:top w:val="nil"/>
                <w:left w:val="nil"/>
                <w:bottom w:val="nil"/>
                <w:right w:val="nil"/>
                <w:between w:val="nil"/>
              </w:pBdr>
              <w:ind w:right="182"/>
              <w:jc w:val="right"/>
              <w:rPr>
                <w:color w:val="000000"/>
                <w:sz w:val="18"/>
                <w:szCs w:val="18"/>
              </w:rPr>
            </w:pPr>
            <w:r w:rsidRPr="00E5778B">
              <w:rPr>
                <w:color w:val="000000"/>
                <w:sz w:val="18"/>
                <w:szCs w:val="18"/>
              </w:rPr>
              <w:t>17.8%</w:t>
            </w:r>
          </w:p>
        </w:tc>
        <w:tc>
          <w:tcPr>
            <w:tcW w:w="1324" w:type="dxa"/>
            <w:vAlign w:val="bottom"/>
          </w:tcPr>
          <w:p w14:paraId="7961CCB8" w14:textId="38050382" w:rsidR="00801DB6" w:rsidRPr="004B547A" w:rsidRDefault="00136447" w:rsidP="00801DB6">
            <w:pPr>
              <w:pBdr>
                <w:top w:val="nil"/>
                <w:left w:val="nil"/>
                <w:bottom w:val="nil"/>
                <w:right w:val="nil"/>
                <w:between w:val="nil"/>
              </w:pBdr>
              <w:ind w:right="136"/>
              <w:jc w:val="right"/>
              <w:rPr>
                <w:color w:val="000000"/>
                <w:sz w:val="18"/>
                <w:szCs w:val="18"/>
              </w:rPr>
            </w:pPr>
            <w:r>
              <w:rPr>
                <w:color w:val="000000"/>
                <w:sz w:val="18"/>
                <w:szCs w:val="18"/>
              </w:rPr>
              <w:t>18.2%</w:t>
            </w:r>
          </w:p>
        </w:tc>
        <w:tc>
          <w:tcPr>
            <w:tcW w:w="1326" w:type="dxa"/>
          </w:tcPr>
          <w:p w14:paraId="43095732" w14:textId="77777777" w:rsidR="00801DB6" w:rsidRDefault="00801DB6" w:rsidP="00801DB6">
            <w:pPr>
              <w:pBdr>
                <w:top w:val="nil"/>
                <w:left w:val="nil"/>
                <w:bottom w:val="nil"/>
                <w:right w:val="nil"/>
                <w:between w:val="nil"/>
              </w:pBdr>
              <w:ind w:right="136"/>
              <w:jc w:val="right"/>
              <w:rPr>
                <w:sz w:val="18"/>
                <w:szCs w:val="18"/>
              </w:rPr>
            </w:pPr>
          </w:p>
          <w:p w14:paraId="37F7B26C" w14:textId="5862EAC3" w:rsidR="00801DB6" w:rsidRDefault="00801DB6" w:rsidP="00801DB6">
            <w:pPr>
              <w:pBdr>
                <w:top w:val="nil"/>
                <w:left w:val="nil"/>
                <w:bottom w:val="nil"/>
                <w:right w:val="nil"/>
                <w:between w:val="nil"/>
              </w:pBdr>
              <w:ind w:right="136"/>
              <w:jc w:val="right"/>
              <w:rPr>
                <w:color w:val="000000"/>
                <w:sz w:val="18"/>
                <w:szCs w:val="18"/>
              </w:rPr>
            </w:pPr>
            <w:r w:rsidRPr="00E5778B">
              <w:rPr>
                <w:sz w:val="18"/>
                <w:szCs w:val="18"/>
              </w:rPr>
              <w:t>17.9%</w:t>
            </w:r>
          </w:p>
        </w:tc>
      </w:tr>
      <w:tr w:rsidR="00801DB6" w14:paraId="02DE6C31" w14:textId="77777777" w:rsidTr="00D15F35">
        <w:trPr>
          <w:trHeight w:val="188"/>
        </w:trPr>
        <w:tc>
          <w:tcPr>
            <w:tcW w:w="3845" w:type="dxa"/>
            <w:tcBorders>
              <w:bottom w:val="single" w:sz="12" w:space="0" w:color="000000"/>
            </w:tcBorders>
            <w:vAlign w:val="bottom"/>
          </w:tcPr>
          <w:p w14:paraId="5F52CE8B" w14:textId="77777777" w:rsidR="00801DB6" w:rsidRDefault="00801DB6" w:rsidP="00801DB6">
            <w:pPr>
              <w:widowControl w:val="0"/>
              <w:pBdr>
                <w:top w:val="nil"/>
                <w:left w:val="nil"/>
                <w:bottom w:val="nil"/>
                <w:right w:val="nil"/>
                <w:between w:val="nil"/>
              </w:pBdr>
              <w:spacing w:before="60" w:after="60"/>
              <w:rPr>
                <w:color w:val="000000"/>
                <w:sz w:val="18"/>
                <w:szCs w:val="18"/>
              </w:rPr>
            </w:pPr>
            <w:r>
              <w:rPr>
                <w:color w:val="000000"/>
                <w:sz w:val="18"/>
                <w:szCs w:val="18"/>
              </w:rPr>
              <w:t>Royalties and turnover tax per BOE ($)</w:t>
            </w:r>
          </w:p>
        </w:tc>
        <w:tc>
          <w:tcPr>
            <w:tcW w:w="276" w:type="dxa"/>
            <w:tcBorders>
              <w:bottom w:val="single" w:sz="12" w:space="0" w:color="000000"/>
            </w:tcBorders>
          </w:tcPr>
          <w:p w14:paraId="06CA8649" w14:textId="77777777" w:rsidR="00801DB6" w:rsidRDefault="00801DB6" w:rsidP="00801DB6">
            <w:pPr>
              <w:pBdr>
                <w:top w:val="nil"/>
                <w:left w:val="nil"/>
                <w:bottom w:val="nil"/>
                <w:right w:val="nil"/>
                <w:between w:val="nil"/>
              </w:pBdr>
              <w:spacing w:before="60" w:after="60"/>
              <w:ind w:right="-3"/>
              <w:jc w:val="right"/>
              <w:rPr>
                <w:color w:val="000000"/>
                <w:sz w:val="18"/>
                <w:szCs w:val="18"/>
              </w:rPr>
            </w:pPr>
          </w:p>
        </w:tc>
        <w:tc>
          <w:tcPr>
            <w:tcW w:w="1324" w:type="dxa"/>
            <w:tcBorders>
              <w:bottom w:val="single" w:sz="12" w:space="0" w:color="000000"/>
            </w:tcBorders>
          </w:tcPr>
          <w:p w14:paraId="228E658E" w14:textId="167D1EED" w:rsidR="00801DB6" w:rsidRDefault="00136447" w:rsidP="00801DB6">
            <w:pPr>
              <w:pBdr>
                <w:top w:val="nil"/>
                <w:left w:val="nil"/>
                <w:bottom w:val="nil"/>
                <w:right w:val="nil"/>
                <w:between w:val="nil"/>
              </w:pBdr>
              <w:spacing w:before="60" w:after="60"/>
              <w:ind w:right="207"/>
              <w:jc w:val="right"/>
              <w:rPr>
                <w:color w:val="000000"/>
                <w:sz w:val="18"/>
                <w:szCs w:val="18"/>
              </w:rPr>
            </w:pPr>
            <w:r>
              <w:rPr>
                <w:color w:val="000000"/>
                <w:sz w:val="18"/>
                <w:szCs w:val="18"/>
              </w:rPr>
              <w:t>14.73</w:t>
            </w:r>
          </w:p>
        </w:tc>
        <w:tc>
          <w:tcPr>
            <w:tcW w:w="1325" w:type="dxa"/>
            <w:tcBorders>
              <w:bottom w:val="single" w:sz="12" w:space="0" w:color="000000"/>
            </w:tcBorders>
          </w:tcPr>
          <w:p w14:paraId="4BDAB38E" w14:textId="69B37259" w:rsidR="00801DB6" w:rsidRDefault="00801DB6" w:rsidP="00801DB6">
            <w:pPr>
              <w:pBdr>
                <w:top w:val="nil"/>
                <w:left w:val="nil"/>
                <w:bottom w:val="nil"/>
                <w:right w:val="nil"/>
                <w:between w:val="nil"/>
              </w:pBdr>
              <w:spacing w:before="60" w:after="60"/>
              <w:ind w:right="182"/>
              <w:jc w:val="right"/>
              <w:rPr>
                <w:color w:val="000000"/>
                <w:sz w:val="18"/>
                <w:szCs w:val="18"/>
              </w:rPr>
            </w:pPr>
            <w:r w:rsidRPr="00E5778B">
              <w:rPr>
                <w:color w:val="000000"/>
                <w:sz w:val="18"/>
                <w:szCs w:val="18"/>
              </w:rPr>
              <w:t>10.67</w:t>
            </w:r>
          </w:p>
        </w:tc>
        <w:tc>
          <w:tcPr>
            <w:tcW w:w="1324" w:type="dxa"/>
            <w:tcBorders>
              <w:bottom w:val="single" w:sz="12" w:space="0" w:color="000000"/>
            </w:tcBorders>
          </w:tcPr>
          <w:p w14:paraId="2027268E" w14:textId="2A977281" w:rsidR="00801DB6" w:rsidRPr="004B547A" w:rsidRDefault="00136447" w:rsidP="00801DB6">
            <w:pPr>
              <w:pBdr>
                <w:top w:val="nil"/>
                <w:left w:val="nil"/>
                <w:bottom w:val="nil"/>
                <w:right w:val="nil"/>
                <w:between w:val="nil"/>
              </w:pBdr>
              <w:spacing w:before="60" w:after="60"/>
              <w:ind w:right="136"/>
              <w:jc w:val="right"/>
              <w:rPr>
                <w:color w:val="000000"/>
                <w:sz w:val="18"/>
                <w:szCs w:val="18"/>
              </w:rPr>
            </w:pPr>
            <w:r>
              <w:rPr>
                <w:color w:val="000000"/>
                <w:sz w:val="18"/>
                <w:szCs w:val="18"/>
              </w:rPr>
              <w:t>13.43</w:t>
            </w:r>
          </w:p>
        </w:tc>
        <w:tc>
          <w:tcPr>
            <w:tcW w:w="1326" w:type="dxa"/>
            <w:tcBorders>
              <w:bottom w:val="single" w:sz="12" w:space="0" w:color="000000"/>
            </w:tcBorders>
          </w:tcPr>
          <w:p w14:paraId="18FED281" w14:textId="396A95B0" w:rsidR="00801DB6" w:rsidRDefault="00801DB6" w:rsidP="00801DB6">
            <w:pPr>
              <w:pBdr>
                <w:top w:val="nil"/>
                <w:left w:val="nil"/>
                <w:bottom w:val="nil"/>
                <w:right w:val="nil"/>
                <w:between w:val="nil"/>
              </w:pBdr>
              <w:spacing w:before="60" w:after="60"/>
              <w:ind w:right="136"/>
              <w:jc w:val="right"/>
              <w:rPr>
                <w:color w:val="000000"/>
                <w:sz w:val="18"/>
                <w:szCs w:val="18"/>
              </w:rPr>
            </w:pPr>
            <w:r w:rsidRPr="00E5778B">
              <w:rPr>
                <w:sz w:val="18"/>
                <w:szCs w:val="18"/>
              </w:rPr>
              <w:t xml:space="preserve"> 10.79 </w:t>
            </w:r>
          </w:p>
        </w:tc>
      </w:tr>
    </w:tbl>
    <w:p w14:paraId="7294F0DC" w14:textId="77777777" w:rsidR="00C3357C" w:rsidRDefault="00C3357C" w:rsidP="00C3357C">
      <w:pPr>
        <w:widowControl w:val="0"/>
        <w:spacing w:before="120"/>
        <w:jc w:val="both"/>
        <w:rPr>
          <w:rFonts w:cs="Arial"/>
        </w:rPr>
      </w:pPr>
      <w:r>
        <w:rPr>
          <w:rFonts w:cs="Arial"/>
        </w:rPr>
        <w:t xml:space="preserve">The base royalty rate for revenue from the TDF Concessions is 15% plus turnover tax at an average rate of 2% on revenues for which the base royalty is paid in cash rather than in-kind. Variances in TDF royalties are also impacted by commodity prices over certain thresholds which may increase the base rate by 0.5% increments and by the level of export sales volumes which bear an additional royalty of 2% compared to domestic sales which carry a 1% royalty.  </w:t>
      </w:r>
    </w:p>
    <w:p w14:paraId="56E91A69" w14:textId="77777777" w:rsidR="00C3357C" w:rsidRDefault="00C3357C" w:rsidP="00C3357C">
      <w:pPr>
        <w:widowControl w:val="0"/>
        <w:spacing w:before="120"/>
        <w:jc w:val="both"/>
        <w:rPr>
          <w:rFonts w:cs="Arial"/>
        </w:rPr>
      </w:pPr>
      <w:r w:rsidRPr="006A1150">
        <w:rPr>
          <w:rFonts w:cs="Arial"/>
        </w:rPr>
        <w:t>Oil production from the CH Concession is subject to a 13% royalty, plus turnover tax at an average rate of 3% on revenues. Production from the PPCO Concession bears an 18.2% royalty, plus turnover tax at an average rate of 3%</w:t>
      </w:r>
      <w:r>
        <w:rPr>
          <w:rFonts w:cs="Arial"/>
        </w:rPr>
        <w:t xml:space="preserve"> on revenues</w:t>
      </w:r>
      <w:r w:rsidRPr="006A1150">
        <w:rPr>
          <w:rFonts w:cs="Arial"/>
        </w:rPr>
        <w:t>.</w:t>
      </w:r>
    </w:p>
    <w:p w14:paraId="47A71CF7" w14:textId="77777777" w:rsidR="00C3357C" w:rsidRDefault="00C3357C" w:rsidP="00C3357C">
      <w:pPr>
        <w:widowControl w:val="0"/>
        <w:spacing w:before="120"/>
        <w:jc w:val="both"/>
        <w:rPr>
          <w:rFonts w:cs="Arial"/>
        </w:rPr>
      </w:pPr>
      <w:r w:rsidRPr="006C341E">
        <w:rPr>
          <w:rFonts w:cs="Arial"/>
        </w:rPr>
        <w:t xml:space="preserve">In the </w:t>
      </w:r>
      <w:r>
        <w:rPr>
          <w:rFonts w:cs="Arial"/>
        </w:rPr>
        <w:t>Santa Cruz</w:t>
      </w:r>
      <w:r w:rsidRPr="006C341E">
        <w:rPr>
          <w:rFonts w:cs="Arial"/>
        </w:rPr>
        <w:t xml:space="preserve"> Concessions, the Company pays a 15% royalty on oil </w:t>
      </w:r>
      <w:r>
        <w:rPr>
          <w:rFonts w:cs="Arial"/>
        </w:rPr>
        <w:t>revenue</w:t>
      </w:r>
      <w:r w:rsidRPr="006C341E">
        <w:rPr>
          <w:rFonts w:cs="Arial"/>
        </w:rPr>
        <w:t xml:space="preserve"> net of quality and transportation discounts, plus turnover tax at an average rate of 3% on revenues.</w:t>
      </w:r>
    </w:p>
    <w:p w14:paraId="3BF49F95" w14:textId="13BCA3EC" w:rsidR="00136447" w:rsidRPr="00136447" w:rsidRDefault="00136447" w:rsidP="00C3357C">
      <w:pPr>
        <w:widowControl w:val="0"/>
        <w:spacing w:before="120"/>
        <w:jc w:val="both"/>
        <w:rPr>
          <w:rFonts w:cs="Arial"/>
          <w:lang w:val="en-US"/>
        </w:rPr>
      </w:pPr>
      <w:r w:rsidRPr="00136447">
        <w:rPr>
          <w:rFonts w:cs="Arial"/>
          <w:lang w:val="en-US"/>
        </w:rPr>
        <w:t xml:space="preserve">Santa Cruz Province granted a temporary 3% reduction in royalties applicable from May 1, </w:t>
      </w:r>
      <w:proofErr w:type="gramStart"/>
      <w:r w:rsidRPr="00136447">
        <w:rPr>
          <w:rFonts w:cs="Arial"/>
          <w:lang w:val="en-US"/>
        </w:rPr>
        <w:t>2026</w:t>
      </w:r>
      <w:proofErr w:type="gramEnd"/>
      <w:r w:rsidRPr="00136447">
        <w:rPr>
          <w:rFonts w:cs="Arial"/>
          <w:lang w:val="en-US"/>
        </w:rPr>
        <w:t xml:space="preserve"> through April 30, 2027, for the Santa Cruz </w:t>
      </w:r>
      <w:r w:rsidR="00922726">
        <w:rPr>
          <w:rFonts w:cs="Arial"/>
          <w:lang w:val="en-US"/>
        </w:rPr>
        <w:t>C</w:t>
      </w:r>
      <w:r w:rsidRPr="00136447">
        <w:rPr>
          <w:rFonts w:cs="Arial"/>
          <w:lang w:val="en-US"/>
        </w:rPr>
        <w:t xml:space="preserve">oncessions under Decree No. 454/2026, pursuant to the "Más </w:t>
      </w:r>
      <w:proofErr w:type="spellStart"/>
      <w:r w:rsidRPr="00136447">
        <w:rPr>
          <w:rFonts w:cs="Arial"/>
          <w:lang w:val="en-US"/>
        </w:rPr>
        <w:t>Producción</w:t>
      </w:r>
      <w:proofErr w:type="spellEnd"/>
      <w:r w:rsidRPr="00136447">
        <w:rPr>
          <w:rFonts w:cs="Arial"/>
          <w:lang w:val="en-US"/>
        </w:rPr>
        <w:t xml:space="preserve"> y </w:t>
      </w:r>
      <w:proofErr w:type="spellStart"/>
      <w:r w:rsidRPr="00136447">
        <w:rPr>
          <w:rFonts w:cs="Arial"/>
          <w:lang w:val="en-US"/>
        </w:rPr>
        <w:t>Trabajo</w:t>
      </w:r>
      <w:proofErr w:type="spellEnd"/>
      <w:r w:rsidRPr="00136447">
        <w:rPr>
          <w:rFonts w:cs="Arial"/>
          <w:lang w:val="en-US"/>
        </w:rPr>
        <w:t xml:space="preserve"> </w:t>
      </w:r>
      <w:proofErr w:type="spellStart"/>
      <w:r w:rsidRPr="00136447">
        <w:rPr>
          <w:rFonts w:cs="Arial"/>
          <w:lang w:val="en-US"/>
        </w:rPr>
        <w:t>en</w:t>
      </w:r>
      <w:proofErr w:type="spellEnd"/>
      <w:r w:rsidRPr="00136447">
        <w:rPr>
          <w:rFonts w:cs="Arial"/>
          <w:lang w:val="en-US"/>
        </w:rPr>
        <w:t xml:space="preserve"> el Sector </w:t>
      </w:r>
      <w:proofErr w:type="spellStart"/>
      <w:r w:rsidRPr="00136447">
        <w:rPr>
          <w:rFonts w:cs="Arial"/>
          <w:lang w:val="en-US"/>
        </w:rPr>
        <w:t>Hidrocarburífero</w:t>
      </w:r>
      <w:proofErr w:type="spellEnd"/>
      <w:r w:rsidRPr="00136447">
        <w:rPr>
          <w:rFonts w:cs="Arial"/>
          <w:lang w:val="en-US"/>
        </w:rPr>
        <w:t xml:space="preserve"> </w:t>
      </w:r>
      <w:proofErr w:type="spellStart"/>
      <w:r w:rsidRPr="00136447">
        <w:rPr>
          <w:rFonts w:cs="Arial"/>
          <w:lang w:val="en-US"/>
        </w:rPr>
        <w:t>Santacruceño</w:t>
      </w:r>
      <w:proofErr w:type="spellEnd"/>
      <w:r w:rsidRPr="00136447">
        <w:rPr>
          <w:rFonts w:cs="Arial"/>
          <w:lang w:val="en-US"/>
        </w:rPr>
        <w:t>" program. This promotional regime is intended to encourage incremental investment, sustain hydrocarbon production, preserve employment, and support the regional economy. The royalty reduction was granted in exchange for</w:t>
      </w:r>
      <w:r w:rsidR="005B6D97">
        <w:rPr>
          <w:rFonts w:cs="Arial"/>
          <w:lang w:val="en-US"/>
        </w:rPr>
        <w:t xml:space="preserve"> the</w:t>
      </w:r>
      <w:r w:rsidRPr="00136447">
        <w:rPr>
          <w:rFonts w:cs="Arial"/>
          <w:lang w:val="en-US"/>
        </w:rPr>
        <w:t xml:space="preserve"> </w:t>
      </w:r>
      <w:r w:rsidR="001D1355">
        <w:rPr>
          <w:rFonts w:cs="Arial"/>
          <w:lang w:val="en-US"/>
        </w:rPr>
        <w:t>Company</w:t>
      </w:r>
      <w:r w:rsidR="005B6D97">
        <w:rPr>
          <w:rFonts w:cs="Arial"/>
          <w:lang w:val="en-US"/>
        </w:rPr>
        <w:t>'</w:t>
      </w:r>
      <w:r w:rsidRPr="00136447">
        <w:rPr>
          <w:rFonts w:cs="Arial"/>
          <w:lang w:val="en-US"/>
        </w:rPr>
        <w:t xml:space="preserve">s commitment to undertake an incremental investment program of approximately </w:t>
      </w:r>
      <w:r w:rsidR="001D1355">
        <w:rPr>
          <w:rFonts w:cs="Arial"/>
          <w:lang w:val="en-US"/>
        </w:rPr>
        <w:t>$</w:t>
      </w:r>
      <w:r w:rsidRPr="00136447">
        <w:rPr>
          <w:rFonts w:cs="Arial"/>
          <w:lang w:val="en-US"/>
        </w:rPr>
        <w:t>2.1 million, aimed at increasing production by approximately 41 m³</w:t>
      </w:r>
      <w:r w:rsidR="00922726">
        <w:rPr>
          <w:rFonts w:cs="Arial"/>
          <w:lang w:val="en-US"/>
        </w:rPr>
        <w:t xml:space="preserve"> per </w:t>
      </w:r>
      <w:r w:rsidRPr="00136447">
        <w:rPr>
          <w:rFonts w:cs="Arial"/>
          <w:lang w:val="en-US"/>
        </w:rPr>
        <w:t>day</w:t>
      </w:r>
      <w:r w:rsidR="00922726">
        <w:rPr>
          <w:rFonts w:cs="Arial"/>
          <w:lang w:val="en-US"/>
        </w:rPr>
        <w:t xml:space="preserve"> (258 BOE per day)</w:t>
      </w:r>
      <w:r w:rsidRPr="00136447">
        <w:rPr>
          <w:rFonts w:cs="Arial"/>
          <w:lang w:val="en-US"/>
        </w:rPr>
        <w:t xml:space="preserve">. Under the terms of the program, </w:t>
      </w:r>
      <w:r w:rsidR="001D1355">
        <w:rPr>
          <w:rFonts w:cs="Arial"/>
          <w:lang w:val="en-US"/>
        </w:rPr>
        <w:t xml:space="preserve">the Company </w:t>
      </w:r>
      <w:r w:rsidRPr="00136447">
        <w:rPr>
          <w:rFonts w:cs="Arial"/>
          <w:lang w:val="en-US"/>
        </w:rPr>
        <w:t>is required to submit monthly progress reports to the Secretariat of Hydrocarbons. Failure to comply, whether in whole or in part, may result in the loss of the benefit and the obligation to repay the royalties previously waived under the program.</w:t>
      </w:r>
    </w:p>
    <w:p w14:paraId="710EFC01" w14:textId="77777777" w:rsidR="00C3357C" w:rsidRDefault="00C3357C" w:rsidP="00C3357C">
      <w:pPr>
        <w:widowControl w:val="0"/>
        <w:spacing w:before="120"/>
        <w:jc w:val="both"/>
        <w:rPr>
          <w:rFonts w:cs="Arial"/>
        </w:rPr>
      </w:pPr>
      <w:r w:rsidRPr="006C341E">
        <w:rPr>
          <w:rFonts w:cs="Arial"/>
        </w:rPr>
        <w:t xml:space="preserve">Production from the </w:t>
      </w:r>
      <w:r>
        <w:rPr>
          <w:rFonts w:cs="Arial"/>
        </w:rPr>
        <w:t>Chubut</w:t>
      </w:r>
      <w:r w:rsidRPr="006C341E">
        <w:rPr>
          <w:rFonts w:cs="Arial"/>
        </w:rPr>
        <w:t xml:space="preserve"> Concessions is subject to a 17.1% royalty on oil and gas </w:t>
      </w:r>
      <w:r>
        <w:rPr>
          <w:rFonts w:cs="Arial"/>
        </w:rPr>
        <w:t xml:space="preserve">revenue </w:t>
      </w:r>
      <w:r w:rsidRPr="006C341E">
        <w:rPr>
          <w:rFonts w:cs="Arial"/>
        </w:rPr>
        <w:t>net of quality and transportation discounts, plus turnover tax at an average rate of 3% on revenues.</w:t>
      </w:r>
    </w:p>
    <w:p w14:paraId="22F68782" w14:textId="1F09A440" w:rsidR="00652923" w:rsidRDefault="00652923" w:rsidP="00591EC8">
      <w:pPr>
        <w:spacing w:before="120" w:after="120"/>
        <w:rPr>
          <w:rFonts w:cs="Arial"/>
          <w:b/>
          <w:i/>
        </w:rPr>
      </w:pPr>
      <w:r>
        <w:rPr>
          <w:rFonts w:cs="Arial"/>
          <w:b/>
          <w:i/>
        </w:rPr>
        <w:t>Operating Costs</w:t>
      </w:r>
    </w:p>
    <w:tbl>
      <w:tblPr>
        <w:tblW w:w="9501" w:type="dxa"/>
        <w:jc w:val="center"/>
        <w:tblLayout w:type="fixed"/>
        <w:tblLook w:val="0400" w:firstRow="0" w:lastRow="0" w:firstColumn="0" w:lastColumn="0" w:noHBand="0" w:noVBand="1"/>
      </w:tblPr>
      <w:tblGrid>
        <w:gridCol w:w="3819"/>
        <w:gridCol w:w="273"/>
        <w:gridCol w:w="1316"/>
        <w:gridCol w:w="1317"/>
        <w:gridCol w:w="1355"/>
        <w:gridCol w:w="1421"/>
      </w:tblGrid>
      <w:tr w:rsidR="00E91EF5" w14:paraId="3DA7F904" w14:textId="77777777" w:rsidTr="00225726">
        <w:trPr>
          <w:trHeight w:val="56"/>
          <w:jc w:val="center"/>
        </w:trPr>
        <w:tc>
          <w:tcPr>
            <w:tcW w:w="3819" w:type="dxa"/>
            <w:tcBorders>
              <w:top w:val="single" w:sz="12" w:space="0" w:color="000000"/>
              <w:left w:val="nil"/>
              <w:bottom w:val="nil"/>
              <w:right w:val="nil"/>
            </w:tcBorders>
          </w:tcPr>
          <w:p w14:paraId="31D346E7" w14:textId="77777777" w:rsidR="00E91EF5" w:rsidRPr="00225726" w:rsidRDefault="00E91EF5" w:rsidP="00E91EF5">
            <w:pPr>
              <w:widowControl w:val="0"/>
              <w:pBdr>
                <w:top w:val="nil"/>
                <w:left w:val="nil"/>
                <w:bottom w:val="nil"/>
                <w:right w:val="nil"/>
                <w:between w:val="nil"/>
              </w:pBdr>
              <w:spacing w:before="60"/>
              <w:jc w:val="both"/>
              <w:rPr>
                <w:b/>
                <w:color w:val="000000"/>
                <w:sz w:val="16"/>
                <w:szCs w:val="16"/>
              </w:rPr>
            </w:pPr>
          </w:p>
        </w:tc>
        <w:tc>
          <w:tcPr>
            <w:tcW w:w="273" w:type="dxa"/>
            <w:tcBorders>
              <w:top w:val="single" w:sz="12" w:space="0" w:color="000000"/>
              <w:left w:val="nil"/>
              <w:bottom w:val="nil"/>
              <w:right w:val="nil"/>
            </w:tcBorders>
            <w:vAlign w:val="bottom"/>
          </w:tcPr>
          <w:p w14:paraId="1153EBE7" w14:textId="77777777" w:rsidR="00E91EF5" w:rsidRPr="00225726" w:rsidRDefault="00E91EF5" w:rsidP="00E91EF5">
            <w:pPr>
              <w:widowControl w:val="0"/>
              <w:pBdr>
                <w:top w:val="nil"/>
                <w:left w:val="nil"/>
                <w:bottom w:val="nil"/>
                <w:right w:val="nil"/>
                <w:between w:val="nil"/>
              </w:pBdr>
              <w:spacing w:before="60"/>
              <w:jc w:val="center"/>
              <w:rPr>
                <w:b/>
                <w:color w:val="000000"/>
                <w:sz w:val="16"/>
                <w:szCs w:val="16"/>
              </w:rPr>
            </w:pPr>
          </w:p>
        </w:tc>
        <w:tc>
          <w:tcPr>
            <w:tcW w:w="2633" w:type="dxa"/>
            <w:gridSpan w:val="2"/>
            <w:tcBorders>
              <w:top w:val="single" w:sz="12" w:space="0" w:color="000000"/>
              <w:left w:val="nil"/>
              <w:bottom w:val="nil"/>
              <w:right w:val="nil"/>
            </w:tcBorders>
            <w:vAlign w:val="bottom"/>
          </w:tcPr>
          <w:p w14:paraId="5B8DCA8B" w14:textId="3CAE0847" w:rsidR="00E91EF5" w:rsidRPr="00225726" w:rsidRDefault="00E91EF5" w:rsidP="00E91EF5">
            <w:pPr>
              <w:widowControl w:val="0"/>
              <w:pBdr>
                <w:top w:val="nil"/>
                <w:left w:val="nil"/>
                <w:bottom w:val="nil"/>
                <w:right w:val="nil"/>
                <w:between w:val="nil"/>
              </w:pBdr>
              <w:spacing w:before="60"/>
              <w:jc w:val="center"/>
              <w:rPr>
                <w:b/>
                <w:color w:val="000000"/>
                <w:sz w:val="16"/>
                <w:szCs w:val="16"/>
              </w:rPr>
            </w:pPr>
            <w:r>
              <w:rPr>
                <w:rFonts w:cs="Arial"/>
                <w:b/>
                <w:sz w:val="16"/>
                <w:szCs w:val="16"/>
              </w:rPr>
              <w:t>Three months ended</w:t>
            </w:r>
          </w:p>
        </w:tc>
        <w:tc>
          <w:tcPr>
            <w:tcW w:w="2776" w:type="dxa"/>
            <w:gridSpan w:val="2"/>
            <w:tcBorders>
              <w:top w:val="single" w:sz="12" w:space="0" w:color="000000"/>
              <w:left w:val="nil"/>
              <w:bottom w:val="nil"/>
              <w:right w:val="nil"/>
            </w:tcBorders>
            <w:vAlign w:val="bottom"/>
          </w:tcPr>
          <w:p w14:paraId="69A0173A" w14:textId="07EA47FA" w:rsidR="00E91EF5" w:rsidRPr="00225726" w:rsidRDefault="00E91EF5" w:rsidP="00E91EF5">
            <w:pPr>
              <w:widowControl w:val="0"/>
              <w:pBdr>
                <w:top w:val="nil"/>
                <w:left w:val="nil"/>
                <w:bottom w:val="nil"/>
                <w:right w:val="nil"/>
                <w:between w:val="nil"/>
              </w:pBdr>
              <w:spacing w:before="60"/>
              <w:jc w:val="center"/>
              <w:rPr>
                <w:b/>
                <w:color w:val="000000"/>
                <w:sz w:val="16"/>
                <w:szCs w:val="16"/>
              </w:rPr>
            </w:pPr>
            <w:r>
              <w:rPr>
                <w:rFonts w:cs="Arial"/>
                <w:b/>
                <w:sz w:val="16"/>
                <w:szCs w:val="16"/>
              </w:rPr>
              <w:t>Six months ended</w:t>
            </w:r>
          </w:p>
        </w:tc>
      </w:tr>
      <w:tr w:rsidR="00E91EF5" w14:paraId="49DD8EDB" w14:textId="77777777" w:rsidTr="00127819">
        <w:trPr>
          <w:trHeight w:val="199"/>
          <w:jc w:val="center"/>
        </w:trPr>
        <w:tc>
          <w:tcPr>
            <w:tcW w:w="3819" w:type="dxa"/>
          </w:tcPr>
          <w:p w14:paraId="7008EC56" w14:textId="77777777" w:rsidR="00E91EF5" w:rsidRDefault="00E91EF5" w:rsidP="00E91EF5">
            <w:pPr>
              <w:widowControl w:val="0"/>
              <w:pBdr>
                <w:top w:val="nil"/>
                <w:left w:val="nil"/>
                <w:bottom w:val="nil"/>
                <w:right w:val="nil"/>
                <w:between w:val="nil"/>
              </w:pBdr>
              <w:jc w:val="both"/>
              <w:rPr>
                <w:color w:val="000000"/>
                <w:sz w:val="18"/>
                <w:szCs w:val="18"/>
              </w:rPr>
            </w:pPr>
          </w:p>
        </w:tc>
        <w:tc>
          <w:tcPr>
            <w:tcW w:w="273" w:type="dxa"/>
            <w:vAlign w:val="bottom"/>
          </w:tcPr>
          <w:p w14:paraId="215F8FF0" w14:textId="77777777" w:rsidR="00E91EF5" w:rsidRDefault="00E91EF5" w:rsidP="00E91EF5">
            <w:pPr>
              <w:widowControl w:val="0"/>
              <w:pBdr>
                <w:top w:val="nil"/>
                <w:left w:val="nil"/>
                <w:bottom w:val="nil"/>
                <w:right w:val="nil"/>
                <w:between w:val="nil"/>
              </w:pBdr>
              <w:ind w:left="-108" w:right="-108"/>
              <w:jc w:val="center"/>
              <w:rPr>
                <w:b/>
                <w:color w:val="000000"/>
                <w:sz w:val="16"/>
                <w:szCs w:val="16"/>
              </w:rPr>
            </w:pPr>
          </w:p>
        </w:tc>
        <w:tc>
          <w:tcPr>
            <w:tcW w:w="2633" w:type="dxa"/>
            <w:gridSpan w:val="2"/>
            <w:vAlign w:val="bottom"/>
          </w:tcPr>
          <w:p w14:paraId="6A21A4DB" w14:textId="41D7E9E8"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June 30</w:t>
            </w:r>
          </w:p>
        </w:tc>
        <w:tc>
          <w:tcPr>
            <w:tcW w:w="2776" w:type="dxa"/>
            <w:gridSpan w:val="2"/>
            <w:vAlign w:val="bottom"/>
          </w:tcPr>
          <w:p w14:paraId="27BE4804" w14:textId="7E626229"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June 30</w:t>
            </w:r>
          </w:p>
        </w:tc>
      </w:tr>
      <w:tr w:rsidR="00E91EF5" w14:paraId="485FEE53" w14:textId="77777777" w:rsidTr="00933DEE">
        <w:trPr>
          <w:trHeight w:val="73"/>
          <w:jc w:val="center"/>
        </w:trPr>
        <w:tc>
          <w:tcPr>
            <w:tcW w:w="3819" w:type="dxa"/>
            <w:tcBorders>
              <w:top w:val="nil"/>
              <w:left w:val="nil"/>
              <w:bottom w:val="single" w:sz="4" w:space="0" w:color="000000"/>
              <w:right w:val="nil"/>
            </w:tcBorders>
          </w:tcPr>
          <w:p w14:paraId="53BE3363" w14:textId="77777777" w:rsidR="00E91EF5" w:rsidRDefault="00E91EF5" w:rsidP="00E91EF5">
            <w:pPr>
              <w:widowControl w:val="0"/>
              <w:pBdr>
                <w:top w:val="nil"/>
                <w:left w:val="nil"/>
                <w:bottom w:val="nil"/>
                <w:right w:val="nil"/>
                <w:between w:val="nil"/>
              </w:pBdr>
              <w:jc w:val="both"/>
              <w:rPr>
                <w:color w:val="000000"/>
                <w:sz w:val="18"/>
                <w:szCs w:val="18"/>
              </w:rPr>
            </w:pPr>
          </w:p>
        </w:tc>
        <w:tc>
          <w:tcPr>
            <w:tcW w:w="273" w:type="dxa"/>
            <w:tcBorders>
              <w:top w:val="nil"/>
              <w:left w:val="nil"/>
              <w:bottom w:val="single" w:sz="4" w:space="0" w:color="000000"/>
              <w:right w:val="nil"/>
            </w:tcBorders>
            <w:vAlign w:val="bottom"/>
          </w:tcPr>
          <w:p w14:paraId="42C62FE9" w14:textId="77777777" w:rsidR="00E91EF5" w:rsidRDefault="00E91EF5" w:rsidP="00E91EF5">
            <w:pPr>
              <w:widowControl w:val="0"/>
              <w:pBdr>
                <w:top w:val="nil"/>
                <w:left w:val="nil"/>
                <w:bottom w:val="nil"/>
                <w:right w:val="nil"/>
                <w:between w:val="nil"/>
              </w:pBdr>
              <w:jc w:val="center"/>
              <w:rPr>
                <w:b/>
                <w:color w:val="000000"/>
                <w:sz w:val="16"/>
                <w:szCs w:val="16"/>
              </w:rPr>
            </w:pPr>
          </w:p>
        </w:tc>
        <w:tc>
          <w:tcPr>
            <w:tcW w:w="1316" w:type="dxa"/>
            <w:tcBorders>
              <w:top w:val="nil"/>
              <w:left w:val="nil"/>
              <w:bottom w:val="single" w:sz="4" w:space="0" w:color="000000"/>
              <w:right w:val="nil"/>
            </w:tcBorders>
            <w:vAlign w:val="bottom"/>
          </w:tcPr>
          <w:p w14:paraId="4828DA68" w14:textId="1F5CC744"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17" w:type="dxa"/>
            <w:tcBorders>
              <w:top w:val="nil"/>
              <w:left w:val="nil"/>
              <w:bottom w:val="single" w:sz="4" w:space="0" w:color="000000"/>
              <w:right w:val="nil"/>
            </w:tcBorders>
            <w:vAlign w:val="bottom"/>
          </w:tcPr>
          <w:p w14:paraId="624F9CAC" w14:textId="455545A8"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c>
          <w:tcPr>
            <w:tcW w:w="1355" w:type="dxa"/>
            <w:tcBorders>
              <w:top w:val="nil"/>
              <w:left w:val="nil"/>
              <w:bottom w:val="single" w:sz="4" w:space="0" w:color="000000"/>
              <w:right w:val="nil"/>
            </w:tcBorders>
            <w:vAlign w:val="bottom"/>
          </w:tcPr>
          <w:p w14:paraId="233A6AF9" w14:textId="7D61A530"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421" w:type="dxa"/>
            <w:tcBorders>
              <w:top w:val="nil"/>
              <w:left w:val="nil"/>
              <w:bottom w:val="single" w:sz="4" w:space="0" w:color="000000"/>
              <w:right w:val="nil"/>
            </w:tcBorders>
            <w:vAlign w:val="bottom"/>
          </w:tcPr>
          <w:p w14:paraId="132688EF" w14:textId="121A97E6"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r>
      <w:tr w:rsidR="00801DB6" w14:paraId="49E18FA5" w14:textId="77777777" w:rsidTr="00F67D07">
        <w:trPr>
          <w:trHeight w:val="235"/>
          <w:jc w:val="center"/>
        </w:trPr>
        <w:tc>
          <w:tcPr>
            <w:tcW w:w="3819" w:type="dxa"/>
            <w:tcBorders>
              <w:top w:val="single" w:sz="4" w:space="0" w:color="000000"/>
              <w:left w:val="nil"/>
              <w:bottom w:val="nil"/>
              <w:right w:val="nil"/>
            </w:tcBorders>
          </w:tcPr>
          <w:p w14:paraId="2346B428" w14:textId="77777777" w:rsidR="00801DB6" w:rsidRDefault="00801DB6" w:rsidP="00801DB6">
            <w:pPr>
              <w:pBdr>
                <w:top w:val="nil"/>
                <w:left w:val="nil"/>
                <w:bottom w:val="nil"/>
                <w:right w:val="nil"/>
                <w:between w:val="nil"/>
              </w:pBdr>
              <w:spacing w:before="60"/>
              <w:rPr>
                <w:color w:val="000000"/>
                <w:sz w:val="18"/>
                <w:szCs w:val="18"/>
              </w:rPr>
            </w:pPr>
            <w:r>
              <w:rPr>
                <w:color w:val="000000"/>
                <w:sz w:val="18"/>
                <w:szCs w:val="18"/>
              </w:rPr>
              <w:t>Production and processing ($)</w:t>
            </w:r>
          </w:p>
        </w:tc>
        <w:tc>
          <w:tcPr>
            <w:tcW w:w="273" w:type="dxa"/>
            <w:tcBorders>
              <w:top w:val="single" w:sz="4" w:space="0" w:color="000000"/>
              <w:left w:val="nil"/>
              <w:bottom w:val="nil"/>
              <w:right w:val="nil"/>
            </w:tcBorders>
            <w:vAlign w:val="bottom"/>
          </w:tcPr>
          <w:p w14:paraId="6A7A1960" w14:textId="77777777" w:rsidR="00801DB6" w:rsidRDefault="00801DB6" w:rsidP="00801DB6">
            <w:pPr>
              <w:pBdr>
                <w:top w:val="nil"/>
                <w:left w:val="nil"/>
                <w:bottom w:val="nil"/>
                <w:right w:val="nil"/>
                <w:between w:val="nil"/>
              </w:pBdr>
              <w:spacing w:before="60"/>
              <w:jc w:val="right"/>
              <w:rPr>
                <w:color w:val="000000"/>
                <w:sz w:val="18"/>
                <w:szCs w:val="18"/>
              </w:rPr>
            </w:pPr>
          </w:p>
        </w:tc>
        <w:tc>
          <w:tcPr>
            <w:tcW w:w="1316" w:type="dxa"/>
            <w:tcBorders>
              <w:top w:val="single" w:sz="4" w:space="0" w:color="000000"/>
              <w:left w:val="nil"/>
              <w:bottom w:val="nil"/>
              <w:right w:val="nil"/>
            </w:tcBorders>
            <w:vAlign w:val="bottom"/>
          </w:tcPr>
          <w:p w14:paraId="692C7694" w14:textId="3BDA85B2" w:rsidR="00801DB6" w:rsidRDefault="00066231" w:rsidP="00801DB6">
            <w:pPr>
              <w:pBdr>
                <w:top w:val="nil"/>
                <w:left w:val="nil"/>
                <w:bottom w:val="nil"/>
                <w:right w:val="nil"/>
                <w:between w:val="nil"/>
              </w:pBdr>
              <w:spacing w:before="60"/>
              <w:ind w:right="143"/>
              <w:jc w:val="right"/>
              <w:rPr>
                <w:color w:val="000000"/>
                <w:sz w:val="18"/>
                <w:szCs w:val="18"/>
              </w:rPr>
            </w:pPr>
            <w:r>
              <w:rPr>
                <w:color w:val="000000"/>
                <w:sz w:val="18"/>
                <w:szCs w:val="18"/>
              </w:rPr>
              <w:t>33,664,498</w:t>
            </w:r>
          </w:p>
        </w:tc>
        <w:tc>
          <w:tcPr>
            <w:tcW w:w="1317" w:type="dxa"/>
            <w:tcBorders>
              <w:top w:val="single" w:sz="4" w:space="0" w:color="000000"/>
              <w:left w:val="nil"/>
              <w:bottom w:val="nil"/>
              <w:right w:val="nil"/>
            </w:tcBorders>
            <w:vAlign w:val="bottom"/>
          </w:tcPr>
          <w:p w14:paraId="69CDEB86" w14:textId="2569AD2C" w:rsidR="00801DB6" w:rsidRDefault="00801DB6" w:rsidP="00801DB6">
            <w:pPr>
              <w:widowControl w:val="0"/>
              <w:pBdr>
                <w:top w:val="nil"/>
                <w:left w:val="nil"/>
                <w:bottom w:val="nil"/>
                <w:right w:val="nil"/>
                <w:between w:val="nil"/>
              </w:pBdr>
              <w:ind w:right="138"/>
              <w:jc w:val="right"/>
              <w:rPr>
                <w:color w:val="000000"/>
                <w:sz w:val="18"/>
                <w:szCs w:val="18"/>
              </w:rPr>
            </w:pPr>
            <w:r w:rsidRPr="00E85646">
              <w:rPr>
                <w:sz w:val="18"/>
                <w:szCs w:val="18"/>
              </w:rPr>
              <w:t xml:space="preserve"> 19,803,803 </w:t>
            </w:r>
          </w:p>
        </w:tc>
        <w:tc>
          <w:tcPr>
            <w:tcW w:w="1355" w:type="dxa"/>
            <w:tcBorders>
              <w:top w:val="single" w:sz="4" w:space="0" w:color="000000"/>
              <w:left w:val="nil"/>
              <w:bottom w:val="nil"/>
              <w:right w:val="nil"/>
            </w:tcBorders>
            <w:vAlign w:val="bottom"/>
          </w:tcPr>
          <w:p w14:paraId="1BD152C4" w14:textId="44F875FA" w:rsidR="00801DB6" w:rsidRPr="004B547A" w:rsidRDefault="00066231" w:rsidP="00801DB6">
            <w:pPr>
              <w:pBdr>
                <w:top w:val="nil"/>
                <w:left w:val="nil"/>
                <w:bottom w:val="nil"/>
                <w:right w:val="nil"/>
                <w:between w:val="nil"/>
              </w:pBdr>
              <w:spacing w:before="60"/>
              <w:ind w:right="136"/>
              <w:jc w:val="right"/>
              <w:rPr>
                <w:color w:val="000000"/>
                <w:sz w:val="18"/>
                <w:szCs w:val="18"/>
              </w:rPr>
            </w:pPr>
            <w:r>
              <w:rPr>
                <w:color w:val="000000"/>
                <w:sz w:val="18"/>
                <w:szCs w:val="18"/>
              </w:rPr>
              <w:t>59,545,715</w:t>
            </w:r>
          </w:p>
        </w:tc>
        <w:tc>
          <w:tcPr>
            <w:tcW w:w="1421" w:type="dxa"/>
            <w:tcBorders>
              <w:top w:val="single" w:sz="4" w:space="0" w:color="000000"/>
              <w:left w:val="nil"/>
              <w:bottom w:val="nil"/>
              <w:right w:val="nil"/>
            </w:tcBorders>
            <w:vAlign w:val="bottom"/>
          </w:tcPr>
          <w:p w14:paraId="4860EFEF" w14:textId="1DD70DDD" w:rsidR="00801DB6" w:rsidRDefault="00801DB6" w:rsidP="00801DB6">
            <w:pPr>
              <w:widowControl w:val="0"/>
              <w:pBdr>
                <w:top w:val="nil"/>
                <w:left w:val="nil"/>
                <w:bottom w:val="nil"/>
                <w:right w:val="nil"/>
                <w:between w:val="nil"/>
              </w:pBdr>
              <w:ind w:right="162"/>
              <w:jc w:val="right"/>
              <w:rPr>
                <w:color w:val="000000"/>
                <w:sz w:val="18"/>
                <w:szCs w:val="18"/>
              </w:rPr>
            </w:pPr>
            <w:r w:rsidRPr="00E85646">
              <w:rPr>
                <w:sz w:val="18"/>
                <w:szCs w:val="18"/>
              </w:rPr>
              <w:t xml:space="preserve"> 37,260,113 </w:t>
            </w:r>
          </w:p>
        </w:tc>
      </w:tr>
      <w:tr w:rsidR="00801DB6" w14:paraId="7389E743" w14:textId="77777777" w:rsidTr="00F67D07">
        <w:trPr>
          <w:trHeight w:val="227"/>
          <w:jc w:val="center"/>
        </w:trPr>
        <w:tc>
          <w:tcPr>
            <w:tcW w:w="3819" w:type="dxa"/>
            <w:tcBorders>
              <w:top w:val="nil"/>
              <w:left w:val="nil"/>
              <w:bottom w:val="single" w:sz="4" w:space="0" w:color="000000"/>
              <w:right w:val="nil"/>
            </w:tcBorders>
          </w:tcPr>
          <w:p w14:paraId="6D509564" w14:textId="77777777" w:rsidR="00801DB6" w:rsidRDefault="00801DB6" w:rsidP="00801DB6">
            <w:pPr>
              <w:pBdr>
                <w:top w:val="nil"/>
                <w:left w:val="nil"/>
                <w:bottom w:val="nil"/>
                <w:right w:val="nil"/>
                <w:between w:val="nil"/>
              </w:pBdr>
              <w:rPr>
                <w:color w:val="000000"/>
                <w:sz w:val="18"/>
                <w:szCs w:val="18"/>
              </w:rPr>
            </w:pPr>
            <w:r>
              <w:rPr>
                <w:color w:val="000000"/>
                <w:sz w:val="18"/>
                <w:szCs w:val="18"/>
              </w:rPr>
              <w:t>Transportation and hauling ($)</w:t>
            </w:r>
          </w:p>
        </w:tc>
        <w:tc>
          <w:tcPr>
            <w:tcW w:w="273" w:type="dxa"/>
            <w:tcBorders>
              <w:top w:val="nil"/>
              <w:left w:val="nil"/>
              <w:bottom w:val="single" w:sz="4" w:space="0" w:color="000000"/>
              <w:right w:val="nil"/>
            </w:tcBorders>
            <w:vAlign w:val="bottom"/>
          </w:tcPr>
          <w:p w14:paraId="477FFF1C" w14:textId="77777777" w:rsidR="00801DB6" w:rsidRDefault="00801DB6" w:rsidP="00801DB6">
            <w:pPr>
              <w:pBdr>
                <w:top w:val="nil"/>
                <w:left w:val="nil"/>
                <w:bottom w:val="nil"/>
                <w:right w:val="nil"/>
                <w:between w:val="nil"/>
              </w:pBdr>
              <w:jc w:val="right"/>
              <w:rPr>
                <w:color w:val="000000"/>
                <w:sz w:val="18"/>
                <w:szCs w:val="18"/>
              </w:rPr>
            </w:pPr>
          </w:p>
        </w:tc>
        <w:tc>
          <w:tcPr>
            <w:tcW w:w="1316" w:type="dxa"/>
            <w:tcBorders>
              <w:top w:val="nil"/>
              <w:left w:val="nil"/>
              <w:bottom w:val="single" w:sz="4" w:space="0" w:color="000000"/>
              <w:right w:val="nil"/>
            </w:tcBorders>
            <w:vAlign w:val="bottom"/>
          </w:tcPr>
          <w:p w14:paraId="146AB0AA" w14:textId="3C0B5560" w:rsidR="00801DB6" w:rsidRDefault="00066231" w:rsidP="00801DB6">
            <w:pPr>
              <w:pBdr>
                <w:top w:val="nil"/>
                <w:left w:val="nil"/>
                <w:bottom w:val="nil"/>
                <w:right w:val="nil"/>
                <w:between w:val="nil"/>
              </w:pBdr>
              <w:ind w:right="143"/>
              <w:jc w:val="right"/>
              <w:rPr>
                <w:color w:val="000000"/>
                <w:sz w:val="18"/>
                <w:szCs w:val="18"/>
              </w:rPr>
            </w:pPr>
            <w:r>
              <w:rPr>
                <w:color w:val="000000"/>
                <w:sz w:val="18"/>
                <w:szCs w:val="18"/>
              </w:rPr>
              <w:t>1,698,452</w:t>
            </w:r>
          </w:p>
        </w:tc>
        <w:tc>
          <w:tcPr>
            <w:tcW w:w="1317" w:type="dxa"/>
            <w:tcBorders>
              <w:top w:val="nil"/>
              <w:left w:val="nil"/>
              <w:bottom w:val="single" w:sz="4" w:space="0" w:color="000000"/>
              <w:right w:val="nil"/>
            </w:tcBorders>
            <w:vAlign w:val="bottom"/>
          </w:tcPr>
          <w:p w14:paraId="5C0814EA" w14:textId="62252535" w:rsidR="00801DB6" w:rsidRDefault="00801DB6" w:rsidP="00801DB6">
            <w:pPr>
              <w:widowControl w:val="0"/>
              <w:pBdr>
                <w:top w:val="nil"/>
                <w:left w:val="nil"/>
                <w:bottom w:val="nil"/>
                <w:right w:val="nil"/>
                <w:between w:val="nil"/>
              </w:pBdr>
              <w:ind w:right="138"/>
              <w:jc w:val="right"/>
              <w:rPr>
                <w:color w:val="000000"/>
                <w:sz w:val="18"/>
                <w:szCs w:val="18"/>
              </w:rPr>
            </w:pPr>
            <w:r w:rsidRPr="00E85646">
              <w:rPr>
                <w:sz w:val="18"/>
                <w:szCs w:val="18"/>
              </w:rPr>
              <w:t xml:space="preserve"> 1,124,122 </w:t>
            </w:r>
          </w:p>
        </w:tc>
        <w:tc>
          <w:tcPr>
            <w:tcW w:w="1355" w:type="dxa"/>
            <w:tcBorders>
              <w:top w:val="nil"/>
              <w:left w:val="nil"/>
              <w:bottom w:val="single" w:sz="4" w:space="0" w:color="000000"/>
              <w:right w:val="nil"/>
            </w:tcBorders>
            <w:vAlign w:val="bottom"/>
          </w:tcPr>
          <w:p w14:paraId="3D1746D3" w14:textId="1A045A0A" w:rsidR="00801DB6" w:rsidRPr="004B547A" w:rsidRDefault="00066231" w:rsidP="00801DB6">
            <w:pPr>
              <w:pBdr>
                <w:top w:val="nil"/>
                <w:left w:val="nil"/>
                <w:bottom w:val="nil"/>
                <w:right w:val="nil"/>
                <w:between w:val="nil"/>
              </w:pBdr>
              <w:ind w:right="136"/>
              <w:jc w:val="right"/>
              <w:rPr>
                <w:color w:val="000000"/>
                <w:sz w:val="18"/>
                <w:szCs w:val="18"/>
              </w:rPr>
            </w:pPr>
            <w:r>
              <w:rPr>
                <w:color w:val="000000"/>
                <w:sz w:val="18"/>
                <w:szCs w:val="18"/>
              </w:rPr>
              <w:t>3,310,989</w:t>
            </w:r>
          </w:p>
        </w:tc>
        <w:tc>
          <w:tcPr>
            <w:tcW w:w="1421" w:type="dxa"/>
            <w:tcBorders>
              <w:top w:val="nil"/>
              <w:left w:val="nil"/>
              <w:bottom w:val="single" w:sz="4" w:space="0" w:color="000000"/>
              <w:right w:val="nil"/>
            </w:tcBorders>
            <w:vAlign w:val="bottom"/>
          </w:tcPr>
          <w:p w14:paraId="4104E31F" w14:textId="2FDF2EA4" w:rsidR="00801DB6" w:rsidRDefault="00801DB6" w:rsidP="00801DB6">
            <w:pPr>
              <w:widowControl w:val="0"/>
              <w:pBdr>
                <w:top w:val="nil"/>
                <w:left w:val="nil"/>
                <w:bottom w:val="nil"/>
                <w:right w:val="nil"/>
                <w:between w:val="nil"/>
              </w:pBdr>
              <w:ind w:right="162"/>
              <w:jc w:val="right"/>
              <w:rPr>
                <w:color w:val="000000"/>
                <w:sz w:val="18"/>
                <w:szCs w:val="18"/>
              </w:rPr>
            </w:pPr>
            <w:r w:rsidRPr="00E85646">
              <w:rPr>
                <w:sz w:val="18"/>
                <w:szCs w:val="18"/>
              </w:rPr>
              <w:t xml:space="preserve"> 1,920,397 </w:t>
            </w:r>
          </w:p>
        </w:tc>
      </w:tr>
      <w:tr w:rsidR="00801DB6" w14:paraId="6CB6E76B" w14:textId="77777777" w:rsidTr="00F67D07">
        <w:trPr>
          <w:trHeight w:val="285"/>
          <w:jc w:val="center"/>
        </w:trPr>
        <w:tc>
          <w:tcPr>
            <w:tcW w:w="3819" w:type="dxa"/>
            <w:tcBorders>
              <w:top w:val="nil"/>
              <w:left w:val="nil"/>
              <w:bottom w:val="single" w:sz="4" w:space="0" w:color="000000"/>
              <w:right w:val="nil"/>
            </w:tcBorders>
            <w:vAlign w:val="center"/>
          </w:tcPr>
          <w:p w14:paraId="32929302" w14:textId="7C164853" w:rsidR="00801DB6" w:rsidRDefault="00801DB6" w:rsidP="00801DB6">
            <w:pPr>
              <w:pBdr>
                <w:top w:val="nil"/>
                <w:left w:val="nil"/>
                <w:bottom w:val="nil"/>
                <w:right w:val="nil"/>
                <w:between w:val="nil"/>
              </w:pBdr>
              <w:rPr>
                <w:color w:val="000000"/>
                <w:sz w:val="18"/>
                <w:szCs w:val="18"/>
              </w:rPr>
            </w:pPr>
            <w:r>
              <w:rPr>
                <w:color w:val="000000"/>
                <w:sz w:val="18"/>
                <w:szCs w:val="18"/>
              </w:rPr>
              <w:t>Total operating costs ($)</w:t>
            </w:r>
          </w:p>
        </w:tc>
        <w:tc>
          <w:tcPr>
            <w:tcW w:w="273" w:type="dxa"/>
            <w:tcBorders>
              <w:top w:val="nil"/>
              <w:left w:val="nil"/>
              <w:bottom w:val="single" w:sz="4" w:space="0" w:color="000000"/>
              <w:right w:val="nil"/>
            </w:tcBorders>
            <w:vAlign w:val="bottom"/>
          </w:tcPr>
          <w:p w14:paraId="3C1E846D" w14:textId="77777777" w:rsidR="00801DB6" w:rsidRDefault="00801DB6" w:rsidP="00801DB6">
            <w:pPr>
              <w:pBdr>
                <w:top w:val="nil"/>
                <w:left w:val="nil"/>
                <w:bottom w:val="nil"/>
                <w:right w:val="nil"/>
                <w:between w:val="nil"/>
              </w:pBdr>
              <w:jc w:val="right"/>
              <w:rPr>
                <w:color w:val="000000"/>
                <w:sz w:val="18"/>
                <w:szCs w:val="18"/>
              </w:rPr>
            </w:pPr>
          </w:p>
        </w:tc>
        <w:tc>
          <w:tcPr>
            <w:tcW w:w="1316" w:type="dxa"/>
            <w:tcBorders>
              <w:top w:val="nil"/>
              <w:left w:val="nil"/>
              <w:bottom w:val="single" w:sz="4" w:space="0" w:color="000000"/>
              <w:right w:val="nil"/>
            </w:tcBorders>
            <w:vAlign w:val="center"/>
          </w:tcPr>
          <w:p w14:paraId="79CB151F" w14:textId="50EC2EF5" w:rsidR="00801DB6" w:rsidRDefault="00066231" w:rsidP="00801DB6">
            <w:pPr>
              <w:pBdr>
                <w:top w:val="nil"/>
                <w:left w:val="nil"/>
                <w:bottom w:val="nil"/>
                <w:right w:val="nil"/>
                <w:between w:val="nil"/>
              </w:pBdr>
              <w:ind w:right="143"/>
              <w:jc w:val="right"/>
              <w:rPr>
                <w:color w:val="000000"/>
                <w:sz w:val="18"/>
                <w:szCs w:val="18"/>
              </w:rPr>
            </w:pPr>
            <w:r>
              <w:rPr>
                <w:color w:val="000000"/>
                <w:sz w:val="18"/>
                <w:szCs w:val="18"/>
              </w:rPr>
              <w:t>35,362,950</w:t>
            </w:r>
          </w:p>
        </w:tc>
        <w:tc>
          <w:tcPr>
            <w:tcW w:w="1317" w:type="dxa"/>
            <w:tcBorders>
              <w:top w:val="nil"/>
              <w:left w:val="nil"/>
              <w:bottom w:val="single" w:sz="4" w:space="0" w:color="000000"/>
              <w:right w:val="nil"/>
            </w:tcBorders>
            <w:vAlign w:val="center"/>
          </w:tcPr>
          <w:p w14:paraId="7EF64A0F" w14:textId="4611533F" w:rsidR="00801DB6" w:rsidRDefault="00801DB6" w:rsidP="00801DB6">
            <w:pPr>
              <w:widowControl w:val="0"/>
              <w:pBdr>
                <w:top w:val="nil"/>
                <w:left w:val="nil"/>
                <w:bottom w:val="nil"/>
                <w:right w:val="nil"/>
                <w:between w:val="nil"/>
              </w:pBdr>
              <w:ind w:right="138"/>
              <w:jc w:val="right"/>
              <w:rPr>
                <w:color w:val="000000"/>
                <w:sz w:val="18"/>
                <w:szCs w:val="18"/>
              </w:rPr>
            </w:pPr>
            <w:r w:rsidRPr="00E85646">
              <w:rPr>
                <w:sz w:val="18"/>
                <w:szCs w:val="18"/>
              </w:rPr>
              <w:t xml:space="preserve"> 20,927,925 </w:t>
            </w:r>
          </w:p>
        </w:tc>
        <w:tc>
          <w:tcPr>
            <w:tcW w:w="1355" w:type="dxa"/>
            <w:tcBorders>
              <w:top w:val="nil"/>
              <w:left w:val="nil"/>
              <w:bottom w:val="single" w:sz="4" w:space="0" w:color="000000"/>
              <w:right w:val="nil"/>
            </w:tcBorders>
            <w:vAlign w:val="center"/>
          </w:tcPr>
          <w:p w14:paraId="49840EC5" w14:textId="12E77D9D" w:rsidR="00801DB6" w:rsidRPr="004B547A" w:rsidRDefault="00066231" w:rsidP="00801DB6">
            <w:pPr>
              <w:widowControl w:val="0"/>
              <w:pBdr>
                <w:top w:val="nil"/>
                <w:left w:val="nil"/>
                <w:bottom w:val="nil"/>
                <w:right w:val="nil"/>
                <w:between w:val="nil"/>
              </w:pBdr>
              <w:ind w:right="162"/>
              <w:jc w:val="right"/>
              <w:rPr>
                <w:rFonts w:cs="Arial"/>
                <w:color w:val="000000"/>
                <w:sz w:val="18"/>
                <w:szCs w:val="18"/>
              </w:rPr>
            </w:pPr>
            <w:r>
              <w:rPr>
                <w:rFonts w:cs="Arial"/>
                <w:color w:val="000000"/>
                <w:sz w:val="18"/>
                <w:szCs w:val="18"/>
              </w:rPr>
              <w:t>62,856,704</w:t>
            </w:r>
          </w:p>
        </w:tc>
        <w:tc>
          <w:tcPr>
            <w:tcW w:w="1421" w:type="dxa"/>
            <w:tcBorders>
              <w:top w:val="nil"/>
              <w:left w:val="nil"/>
              <w:bottom w:val="single" w:sz="4" w:space="0" w:color="000000"/>
              <w:right w:val="nil"/>
            </w:tcBorders>
            <w:vAlign w:val="center"/>
          </w:tcPr>
          <w:p w14:paraId="6A377601" w14:textId="2E54A840" w:rsidR="00801DB6" w:rsidRDefault="00801DB6" w:rsidP="00801DB6">
            <w:pPr>
              <w:widowControl w:val="0"/>
              <w:pBdr>
                <w:top w:val="nil"/>
                <w:left w:val="nil"/>
                <w:bottom w:val="nil"/>
                <w:right w:val="nil"/>
                <w:between w:val="nil"/>
              </w:pBdr>
              <w:ind w:right="162"/>
              <w:jc w:val="right"/>
              <w:rPr>
                <w:color w:val="000000"/>
                <w:sz w:val="18"/>
                <w:szCs w:val="18"/>
              </w:rPr>
            </w:pPr>
            <w:r w:rsidRPr="00E85646">
              <w:rPr>
                <w:sz w:val="18"/>
                <w:szCs w:val="18"/>
              </w:rPr>
              <w:t xml:space="preserve"> 39,180,510 </w:t>
            </w:r>
          </w:p>
        </w:tc>
      </w:tr>
      <w:tr w:rsidR="00801DB6" w14:paraId="0600C128" w14:textId="77777777" w:rsidTr="00F67D07">
        <w:trPr>
          <w:trHeight w:val="192"/>
          <w:jc w:val="center"/>
        </w:trPr>
        <w:tc>
          <w:tcPr>
            <w:tcW w:w="3819" w:type="dxa"/>
            <w:tcBorders>
              <w:top w:val="single" w:sz="12" w:space="0" w:color="000000"/>
              <w:left w:val="nil"/>
              <w:bottom w:val="nil"/>
              <w:right w:val="nil"/>
            </w:tcBorders>
          </w:tcPr>
          <w:p w14:paraId="5CA4BEF4" w14:textId="77777777" w:rsidR="00801DB6" w:rsidRDefault="00801DB6" w:rsidP="00801DB6">
            <w:pPr>
              <w:pBdr>
                <w:top w:val="nil"/>
                <w:left w:val="nil"/>
                <w:bottom w:val="nil"/>
                <w:right w:val="nil"/>
                <w:between w:val="nil"/>
              </w:pBdr>
              <w:spacing w:before="60"/>
              <w:rPr>
                <w:color w:val="000000"/>
                <w:sz w:val="18"/>
                <w:szCs w:val="18"/>
              </w:rPr>
            </w:pPr>
            <w:r>
              <w:rPr>
                <w:color w:val="000000"/>
                <w:sz w:val="18"/>
                <w:szCs w:val="18"/>
              </w:rPr>
              <w:t>Production and processing per BOE ($)</w:t>
            </w:r>
          </w:p>
        </w:tc>
        <w:tc>
          <w:tcPr>
            <w:tcW w:w="273" w:type="dxa"/>
            <w:tcBorders>
              <w:top w:val="single" w:sz="12" w:space="0" w:color="000000"/>
              <w:left w:val="nil"/>
              <w:bottom w:val="nil"/>
              <w:right w:val="nil"/>
            </w:tcBorders>
            <w:vAlign w:val="bottom"/>
          </w:tcPr>
          <w:p w14:paraId="373E88FB" w14:textId="77777777" w:rsidR="00801DB6" w:rsidRDefault="00801DB6" w:rsidP="00801DB6">
            <w:pPr>
              <w:pBdr>
                <w:top w:val="nil"/>
                <w:left w:val="nil"/>
                <w:bottom w:val="nil"/>
                <w:right w:val="nil"/>
                <w:between w:val="nil"/>
              </w:pBdr>
              <w:spacing w:before="60"/>
              <w:jc w:val="right"/>
              <w:rPr>
                <w:color w:val="000000"/>
                <w:sz w:val="18"/>
                <w:szCs w:val="18"/>
              </w:rPr>
            </w:pPr>
          </w:p>
        </w:tc>
        <w:tc>
          <w:tcPr>
            <w:tcW w:w="1316" w:type="dxa"/>
            <w:tcBorders>
              <w:top w:val="single" w:sz="12" w:space="0" w:color="000000"/>
              <w:left w:val="nil"/>
              <w:bottom w:val="nil"/>
              <w:right w:val="nil"/>
            </w:tcBorders>
            <w:vAlign w:val="bottom"/>
          </w:tcPr>
          <w:p w14:paraId="7519E610" w14:textId="01CA660A" w:rsidR="00801DB6" w:rsidRDefault="00066231" w:rsidP="00801DB6">
            <w:pPr>
              <w:pBdr>
                <w:top w:val="nil"/>
                <w:left w:val="nil"/>
                <w:bottom w:val="nil"/>
                <w:right w:val="nil"/>
                <w:between w:val="nil"/>
              </w:pBdr>
              <w:spacing w:before="60"/>
              <w:ind w:right="143"/>
              <w:jc w:val="right"/>
              <w:rPr>
                <w:color w:val="000000"/>
                <w:sz w:val="18"/>
                <w:szCs w:val="18"/>
              </w:rPr>
            </w:pPr>
            <w:r>
              <w:rPr>
                <w:color w:val="000000"/>
                <w:sz w:val="18"/>
                <w:szCs w:val="18"/>
              </w:rPr>
              <w:t>40.40</w:t>
            </w:r>
          </w:p>
        </w:tc>
        <w:tc>
          <w:tcPr>
            <w:tcW w:w="1317" w:type="dxa"/>
            <w:tcBorders>
              <w:top w:val="single" w:sz="12" w:space="0" w:color="000000"/>
              <w:left w:val="nil"/>
              <w:bottom w:val="nil"/>
              <w:right w:val="nil"/>
            </w:tcBorders>
            <w:vAlign w:val="bottom"/>
          </w:tcPr>
          <w:p w14:paraId="7D9BEEB1" w14:textId="21B36E6E" w:rsidR="00801DB6" w:rsidRDefault="00801DB6" w:rsidP="00801DB6">
            <w:pPr>
              <w:widowControl w:val="0"/>
              <w:pBdr>
                <w:top w:val="nil"/>
                <w:left w:val="nil"/>
                <w:bottom w:val="nil"/>
                <w:right w:val="nil"/>
                <w:between w:val="nil"/>
              </w:pBdr>
              <w:ind w:right="138"/>
              <w:jc w:val="right"/>
              <w:rPr>
                <w:color w:val="000000"/>
                <w:sz w:val="18"/>
                <w:szCs w:val="18"/>
              </w:rPr>
            </w:pPr>
            <w:r w:rsidRPr="00E85646">
              <w:rPr>
                <w:sz w:val="18"/>
                <w:szCs w:val="18"/>
              </w:rPr>
              <w:t xml:space="preserve"> 53.31 </w:t>
            </w:r>
          </w:p>
        </w:tc>
        <w:tc>
          <w:tcPr>
            <w:tcW w:w="1355" w:type="dxa"/>
            <w:tcBorders>
              <w:top w:val="single" w:sz="12" w:space="0" w:color="000000"/>
              <w:left w:val="nil"/>
              <w:bottom w:val="nil"/>
              <w:right w:val="nil"/>
            </w:tcBorders>
            <w:vAlign w:val="bottom"/>
          </w:tcPr>
          <w:p w14:paraId="6220F84E" w14:textId="68F6AAC5" w:rsidR="00801DB6" w:rsidRPr="004B547A" w:rsidRDefault="00066231" w:rsidP="00801DB6">
            <w:pPr>
              <w:pBdr>
                <w:top w:val="nil"/>
                <w:left w:val="nil"/>
                <w:bottom w:val="nil"/>
                <w:right w:val="nil"/>
                <w:between w:val="nil"/>
              </w:pBdr>
              <w:spacing w:before="60"/>
              <w:ind w:right="136"/>
              <w:jc w:val="right"/>
              <w:rPr>
                <w:color w:val="000000"/>
                <w:sz w:val="18"/>
                <w:szCs w:val="18"/>
              </w:rPr>
            </w:pPr>
            <w:r>
              <w:rPr>
                <w:color w:val="000000"/>
                <w:sz w:val="18"/>
                <w:szCs w:val="18"/>
              </w:rPr>
              <w:t>38.62</w:t>
            </w:r>
          </w:p>
        </w:tc>
        <w:tc>
          <w:tcPr>
            <w:tcW w:w="1421" w:type="dxa"/>
            <w:tcBorders>
              <w:top w:val="single" w:sz="12" w:space="0" w:color="000000"/>
              <w:left w:val="nil"/>
              <w:bottom w:val="nil"/>
              <w:right w:val="nil"/>
            </w:tcBorders>
            <w:vAlign w:val="bottom"/>
          </w:tcPr>
          <w:p w14:paraId="25E2B9DB" w14:textId="7C32FEEB" w:rsidR="00801DB6" w:rsidRDefault="00801DB6" w:rsidP="00801DB6">
            <w:pPr>
              <w:widowControl w:val="0"/>
              <w:pBdr>
                <w:top w:val="nil"/>
                <w:left w:val="nil"/>
                <w:bottom w:val="nil"/>
                <w:right w:val="nil"/>
                <w:between w:val="nil"/>
              </w:pBdr>
              <w:ind w:right="162"/>
              <w:jc w:val="right"/>
              <w:rPr>
                <w:color w:val="000000"/>
                <w:sz w:val="18"/>
                <w:szCs w:val="18"/>
              </w:rPr>
            </w:pPr>
            <w:r w:rsidRPr="00E85646">
              <w:rPr>
                <w:sz w:val="18"/>
                <w:szCs w:val="18"/>
              </w:rPr>
              <w:t xml:space="preserve"> 49.24 </w:t>
            </w:r>
          </w:p>
        </w:tc>
      </w:tr>
      <w:tr w:rsidR="00801DB6" w14:paraId="672D9A36" w14:textId="77777777" w:rsidTr="00F67D07">
        <w:trPr>
          <w:trHeight w:val="227"/>
          <w:jc w:val="center"/>
        </w:trPr>
        <w:tc>
          <w:tcPr>
            <w:tcW w:w="3819" w:type="dxa"/>
            <w:tcBorders>
              <w:top w:val="nil"/>
              <w:left w:val="nil"/>
              <w:bottom w:val="single" w:sz="4" w:space="0" w:color="000000"/>
              <w:right w:val="nil"/>
            </w:tcBorders>
          </w:tcPr>
          <w:p w14:paraId="65FED0A7" w14:textId="77777777" w:rsidR="00801DB6" w:rsidRDefault="00801DB6" w:rsidP="00801DB6">
            <w:pPr>
              <w:pBdr>
                <w:top w:val="nil"/>
                <w:left w:val="nil"/>
                <w:bottom w:val="nil"/>
                <w:right w:val="nil"/>
                <w:between w:val="nil"/>
              </w:pBdr>
              <w:rPr>
                <w:color w:val="000000"/>
                <w:sz w:val="18"/>
                <w:szCs w:val="18"/>
              </w:rPr>
            </w:pPr>
            <w:r>
              <w:rPr>
                <w:color w:val="000000"/>
                <w:sz w:val="18"/>
                <w:szCs w:val="18"/>
              </w:rPr>
              <w:t>Transportation and hauling per BOE ($)</w:t>
            </w:r>
          </w:p>
        </w:tc>
        <w:tc>
          <w:tcPr>
            <w:tcW w:w="273" w:type="dxa"/>
            <w:tcBorders>
              <w:top w:val="nil"/>
              <w:left w:val="nil"/>
              <w:bottom w:val="single" w:sz="4" w:space="0" w:color="000000"/>
              <w:right w:val="nil"/>
            </w:tcBorders>
            <w:vAlign w:val="bottom"/>
          </w:tcPr>
          <w:p w14:paraId="7B978E8D" w14:textId="77777777" w:rsidR="00801DB6" w:rsidRDefault="00801DB6" w:rsidP="00801DB6">
            <w:pPr>
              <w:pBdr>
                <w:top w:val="nil"/>
                <w:left w:val="nil"/>
                <w:bottom w:val="nil"/>
                <w:right w:val="nil"/>
                <w:between w:val="nil"/>
              </w:pBdr>
              <w:jc w:val="right"/>
              <w:rPr>
                <w:color w:val="000000"/>
                <w:sz w:val="18"/>
                <w:szCs w:val="18"/>
              </w:rPr>
            </w:pPr>
          </w:p>
        </w:tc>
        <w:tc>
          <w:tcPr>
            <w:tcW w:w="1316" w:type="dxa"/>
            <w:tcBorders>
              <w:top w:val="nil"/>
              <w:left w:val="nil"/>
              <w:bottom w:val="single" w:sz="4" w:space="0" w:color="000000"/>
              <w:right w:val="nil"/>
            </w:tcBorders>
            <w:vAlign w:val="bottom"/>
          </w:tcPr>
          <w:p w14:paraId="0044A90B" w14:textId="1A3CC00D" w:rsidR="00801DB6" w:rsidRDefault="00066231" w:rsidP="00801DB6">
            <w:pPr>
              <w:pBdr>
                <w:top w:val="nil"/>
                <w:left w:val="nil"/>
                <w:bottom w:val="nil"/>
                <w:right w:val="nil"/>
                <w:between w:val="nil"/>
              </w:pBdr>
              <w:ind w:right="143"/>
              <w:jc w:val="right"/>
              <w:rPr>
                <w:color w:val="000000"/>
                <w:sz w:val="18"/>
                <w:szCs w:val="18"/>
              </w:rPr>
            </w:pPr>
            <w:r>
              <w:rPr>
                <w:color w:val="000000"/>
                <w:sz w:val="18"/>
                <w:szCs w:val="18"/>
              </w:rPr>
              <w:t>2.04</w:t>
            </w:r>
          </w:p>
        </w:tc>
        <w:tc>
          <w:tcPr>
            <w:tcW w:w="1317" w:type="dxa"/>
            <w:tcBorders>
              <w:top w:val="nil"/>
              <w:left w:val="nil"/>
              <w:bottom w:val="single" w:sz="4" w:space="0" w:color="000000"/>
              <w:right w:val="nil"/>
            </w:tcBorders>
            <w:vAlign w:val="bottom"/>
          </w:tcPr>
          <w:p w14:paraId="6515BB2C" w14:textId="7BA043EE" w:rsidR="00801DB6" w:rsidRDefault="00801DB6" w:rsidP="00801DB6">
            <w:pPr>
              <w:widowControl w:val="0"/>
              <w:pBdr>
                <w:top w:val="nil"/>
                <w:left w:val="nil"/>
                <w:bottom w:val="nil"/>
                <w:right w:val="nil"/>
                <w:between w:val="nil"/>
              </w:pBdr>
              <w:ind w:right="138"/>
              <w:jc w:val="right"/>
              <w:rPr>
                <w:color w:val="000000"/>
                <w:sz w:val="18"/>
                <w:szCs w:val="18"/>
              </w:rPr>
            </w:pPr>
            <w:r w:rsidRPr="00E85646">
              <w:rPr>
                <w:sz w:val="18"/>
                <w:szCs w:val="18"/>
              </w:rPr>
              <w:t xml:space="preserve"> 3.03 </w:t>
            </w:r>
          </w:p>
        </w:tc>
        <w:tc>
          <w:tcPr>
            <w:tcW w:w="1355" w:type="dxa"/>
            <w:tcBorders>
              <w:top w:val="nil"/>
              <w:left w:val="nil"/>
              <w:bottom w:val="single" w:sz="4" w:space="0" w:color="000000"/>
              <w:right w:val="nil"/>
            </w:tcBorders>
            <w:vAlign w:val="bottom"/>
          </w:tcPr>
          <w:p w14:paraId="0DBA7F53" w14:textId="77595689" w:rsidR="00801DB6" w:rsidRPr="004B547A" w:rsidRDefault="00066231" w:rsidP="00801DB6">
            <w:pPr>
              <w:pBdr>
                <w:top w:val="nil"/>
                <w:left w:val="nil"/>
                <w:bottom w:val="nil"/>
                <w:right w:val="nil"/>
                <w:between w:val="nil"/>
              </w:pBdr>
              <w:ind w:right="136"/>
              <w:jc w:val="right"/>
              <w:rPr>
                <w:color w:val="000000"/>
                <w:sz w:val="18"/>
                <w:szCs w:val="18"/>
              </w:rPr>
            </w:pPr>
            <w:r>
              <w:rPr>
                <w:color w:val="000000"/>
                <w:sz w:val="18"/>
                <w:szCs w:val="18"/>
              </w:rPr>
              <w:t>2.15</w:t>
            </w:r>
          </w:p>
        </w:tc>
        <w:tc>
          <w:tcPr>
            <w:tcW w:w="1421" w:type="dxa"/>
            <w:tcBorders>
              <w:top w:val="nil"/>
              <w:left w:val="nil"/>
              <w:bottom w:val="single" w:sz="4" w:space="0" w:color="000000"/>
              <w:right w:val="nil"/>
            </w:tcBorders>
            <w:vAlign w:val="bottom"/>
          </w:tcPr>
          <w:p w14:paraId="46B34A13" w14:textId="4C49D12D" w:rsidR="00801DB6" w:rsidRDefault="00801DB6" w:rsidP="00801DB6">
            <w:pPr>
              <w:widowControl w:val="0"/>
              <w:pBdr>
                <w:top w:val="nil"/>
                <w:left w:val="nil"/>
                <w:bottom w:val="nil"/>
                <w:right w:val="nil"/>
                <w:between w:val="nil"/>
              </w:pBdr>
              <w:ind w:right="162"/>
              <w:jc w:val="right"/>
              <w:rPr>
                <w:color w:val="000000"/>
                <w:sz w:val="18"/>
                <w:szCs w:val="18"/>
              </w:rPr>
            </w:pPr>
            <w:r w:rsidRPr="00E85646">
              <w:rPr>
                <w:sz w:val="18"/>
                <w:szCs w:val="18"/>
              </w:rPr>
              <w:t xml:space="preserve"> 2.54 </w:t>
            </w:r>
          </w:p>
        </w:tc>
      </w:tr>
      <w:tr w:rsidR="00801DB6" w14:paraId="160C5262" w14:textId="77777777" w:rsidTr="00F67D07">
        <w:trPr>
          <w:trHeight w:val="284"/>
          <w:jc w:val="center"/>
        </w:trPr>
        <w:tc>
          <w:tcPr>
            <w:tcW w:w="3819" w:type="dxa"/>
            <w:tcBorders>
              <w:top w:val="single" w:sz="4" w:space="0" w:color="000000"/>
              <w:left w:val="nil"/>
              <w:bottom w:val="single" w:sz="12" w:space="0" w:color="000000"/>
              <w:right w:val="nil"/>
            </w:tcBorders>
            <w:vAlign w:val="center"/>
          </w:tcPr>
          <w:p w14:paraId="5B81E541" w14:textId="77777777" w:rsidR="00801DB6" w:rsidRDefault="00801DB6" w:rsidP="00801DB6">
            <w:pPr>
              <w:pBdr>
                <w:top w:val="nil"/>
                <w:left w:val="nil"/>
                <w:bottom w:val="nil"/>
                <w:right w:val="nil"/>
                <w:between w:val="nil"/>
              </w:pBdr>
              <w:rPr>
                <w:color w:val="000000"/>
                <w:sz w:val="18"/>
                <w:szCs w:val="18"/>
              </w:rPr>
            </w:pPr>
            <w:r>
              <w:rPr>
                <w:color w:val="000000"/>
                <w:sz w:val="18"/>
                <w:szCs w:val="18"/>
              </w:rPr>
              <w:t>Operating costs per BOE ($)</w:t>
            </w:r>
          </w:p>
        </w:tc>
        <w:tc>
          <w:tcPr>
            <w:tcW w:w="273" w:type="dxa"/>
            <w:tcBorders>
              <w:top w:val="single" w:sz="4" w:space="0" w:color="000000"/>
              <w:left w:val="nil"/>
              <w:bottom w:val="single" w:sz="12" w:space="0" w:color="000000"/>
              <w:right w:val="nil"/>
            </w:tcBorders>
            <w:vAlign w:val="center"/>
          </w:tcPr>
          <w:p w14:paraId="2144CE13" w14:textId="77777777" w:rsidR="00801DB6" w:rsidRDefault="00801DB6" w:rsidP="00801DB6">
            <w:pPr>
              <w:pBdr>
                <w:top w:val="nil"/>
                <w:left w:val="nil"/>
                <w:bottom w:val="nil"/>
                <w:right w:val="nil"/>
                <w:between w:val="nil"/>
              </w:pBdr>
              <w:jc w:val="right"/>
              <w:rPr>
                <w:color w:val="000000"/>
                <w:sz w:val="18"/>
                <w:szCs w:val="18"/>
              </w:rPr>
            </w:pPr>
          </w:p>
        </w:tc>
        <w:tc>
          <w:tcPr>
            <w:tcW w:w="1316" w:type="dxa"/>
            <w:tcBorders>
              <w:top w:val="single" w:sz="4" w:space="0" w:color="000000"/>
              <w:left w:val="nil"/>
              <w:bottom w:val="single" w:sz="12" w:space="0" w:color="000000"/>
              <w:right w:val="nil"/>
            </w:tcBorders>
            <w:vAlign w:val="center"/>
          </w:tcPr>
          <w:p w14:paraId="67A2721C" w14:textId="01713323" w:rsidR="00801DB6" w:rsidRDefault="00066231" w:rsidP="00801DB6">
            <w:pPr>
              <w:pBdr>
                <w:top w:val="nil"/>
                <w:left w:val="nil"/>
                <w:bottom w:val="nil"/>
                <w:right w:val="nil"/>
                <w:between w:val="nil"/>
              </w:pBdr>
              <w:ind w:right="143"/>
              <w:jc w:val="right"/>
              <w:rPr>
                <w:color w:val="000000"/>
                <w:sz w:val="18"/>
                <w:szCs w:val="18"/>
              </w:rPr>
            </w:pPr>
            <w:r>
              <w:rPr>
                <w:color w:val="000000"/>
                <w:sz w:val="18"/>
                <w:szCs w:val="18"/>
              </w:rPr>
              <w:t>42.44</w:t>
            </w:r>
          </w:p>
        </w:tc>
        <w:tc>
          <w:tcPr>
            <w:tcW w:w="1317" w:type="dxa"/>
            <w:tcBorders>
              <w:top w:val="single" w:sz="4" w:space="0" w:color="000000"/>
              <w:left w:val="nil"/>
              <w:bottom w:val="single" w:sz="12" w:space="0" w:color="000000"/>
              <w:right w:val="nil"/>
            </w:tcBorders>
            <w:vAlign w:val="center"/>
          </w:tcPr>
          <w:p w14:paraId="5E0099C0" w14:textId="4E5AF6B9" w:rsidR="00801DB6" w:rsidRDefault="00801DB6" w:rsidP="00801DB6">
            <w:pPr>
              <w:widowControl w:val="0"/>
              <w:pBdr>
                <w:top w:val="nil"/>
                <w:left w:val="nil"/>
                <w:bottom w:val="nil"/>
                <w:right w:val="nil"/>
                <w:between w:val="nil"/>
              </w:pBdr>
              <w:ind w:right="138"/>
              <w:jc w:val="right"/>
              <w:rPr>
                <w:color w:val="000000"/>
                <w:sz w:val="18"/>
                <w:szCs w:val="18"/>
              </w:rPr>
            </w:pPr>
            <w:r w:rsidRPr="00E85646">
              <w:rPr>
                <w:color w:val="000000"/>
                <w:sz w:val="18"/>
                <w:szCs w:val="18"/>
              </w:rPr>
              <w:t>56.34</w:t>
            </w:r>
          </w:p>
        </w:tc>
        <w:tc>
          <w:tcPr>
            <w:tcW w:w="1355" w:type="dxa"/>
            <w:tcBorders>
              <w:top w:val="single" w:sz="4" w:space="0" w:color="000000"/>
              <w:left w:val="nil"/>
              <w:bottom w:val="single" w:sz="12" w:space="0" w:color="000000"/>
              <w:right w:val="nil"/>
            </w:tcBorders>
            <w:vAlign w:val="center"/>
          </w:tcPr>
          <w:p w14:paraId="58174512" w14:textId="6AEBA347" w:rsidR="00801DB6" w:rsidRPr="004B547A" w:rsidRDefault="00066231" w:rsidP="00801DB6">
            <w:pPr>
              <w:pBdr>
                <w:top w:val="nil"/>
                <w:left w:val="nil"/>
                <w:bottom w:val="nil"/>
                <w:right w:val="nil"/>
                <w:between w:val="nil"/>
              </w:pBdr>
              <w:ind w:right="136"/>
              <w:jc w:val="right"/>
              <w:rPr>
                <w:color w:val="000000"/>
                <w:sz w:val="18"/>
                <w:szCs w:val="18"/>
              </w:rPr>
            </w:pPr>
            <w:r>
              <w:rPr>
                <w:color w:val="000000"/>
                <w:sz w:val="18"/>
                <w:szCs w:val="18"/>
              </w:rPr>
              <w:t>40.76</w:t>
            </w:r>
          </w:p>
        </w:tc>
        <w:tc>
          <w:tcPr>
            <w:tcW w:w="1421" w:type="dxa"/>
            <w:tcBorders>
              <w:top w:val="single" w:sz="4" w:space="0" w:color="000000"/>
              <w:left w:val="nil"/>
              <w:bottom w:val="single" w:sz="12" w:space="0" w:color="000000"/>
              <w:right w:val="nil"/>
            </w:tcBorders>
            <w:vAlign w:val="center"/>
          </w:tcPr>
          <w:p w14:paraId="0FC1BA14" w14:textId="30E712E0" w:rsidR="00801DB6" w:rsidRDefault="00801DB6" w:rsidP="00801DB6">
            <w:pPr>
              <w:widowControl w:val="0"/>
              <w:pBdr>
                <w:top w:val="nil"/>
                <w:left w:val="nil"/>
                <w:bottom w:val="nil"/>
                <w:right w:val="nil"/>
                <w:between w:val="nil"/>
              </w:pBdr>
              <w:ind w:right="162"/>
              <w:jc w:val="right"/>
              <w:rPr>
                <w:color w:val="000000"/>
                <w:sz w:val="18"/>
                <w:szCs w:val="18"/>
              </w:rPr>
            </w:pPr>
            <w:r w:rsidRPr="00E85646">
              <w:rPr>
                <w:sz w:val="18"/>
                <w:szCs w:val="18"/>
              </w:rPr>
              <w:t xml:space="preserve"> 51.78 </w:t>
            </w:r>
          </w:p>
        </w:tc>
      </w:tr>
      <w:tr w:rsidR="00801DB6" w14:paraId="7E45AA6A" w14:textId="77777777" w:rsidTr="00225726">
        <w:trPr>
          <w:trHeight w:val="50"/>
          <w:jc w:val="center"/>
        </w:trPr>
        <w:tc>
          <w:tcPr>
            <w:tcW w:w="3819" w:type="dxa"/>
            <w:tcBorders>
              <w:top w:val="single" w:sz="12" w:space="0" w:color="000000"/>
              <w:left w:val="nil"/>
              <w:right w:val="nil"/>
            </w:tcBorders>
            <w:vAlign w:val="center"/>
          </w:tcPr>
          <w:p w14:paraId="6C953EAF" w14:textId="77777777" w:rsidR="00801DB6" w:rsidRPr="00225726" w:rsidRDefault="00801DB6" w:rsidP="00801DB6">
            <w:pPr>
              <w:pBdr>
                <w:top w:val="nil"/>
                <w:left w:val="nil"/>
                <w:bottom w:val="nil"/>
                <w:right w:val="nil"/>
                <w:between w:val="nil"/>
              </w:pBdr>
              <w:rPr>
                <w:color w:val="000000"/>
                <w:sz w:val="4"/>
                <w:szCs w:val="4"/>
              </w:rPr>
            </w:pPr>
          </w:p>
        </w:tc>
        <w:tc>
          <w:tcPr>
            <w:tcW w:w="273" w:type="dxa"/>
            <w:tcBorders>
              <w:top w:val="single" w:sz="12" w:space="0" w:color="000000"/>
              <w:left w:val="nil"/>
              <w:right w:val="nil"/>
            </w:tcBorders>
            <w:vAlign w:val="center"/>
          </w:tcPr>
          <w:p w14:paraId="3492AA6C" w14:textId="77777777" w:rsidR="00801DB6" w:rsidRPr="00225726" w:rsidRDefault="00801DB6" w:rsidP="00801DB6">
            <w:pPr>
              <w:pBdr>
                <w:top w:val="nil"/>
                <w:left w:val="nil"/>
                <w:bottom w:val="nil"/>
                <w:right w:val="nil"/>
                <w:between w:val="nil"/>
              </w:pBdr>
              <w:jc w:val="right"/>
              <w:rPr>
                <w:color w:val="000000"/>
                <w:sz w:val="4"/>
                <w:szCs w:val="4"/>
              </w:rPr>
            </w:pPr>
          </w:p>
        </w:tc>
        <w:tc>
          <w:tcPr>
            <w:tcW w:w="1316" w:type="dxa"/>
            <w:tcBorders>
              <w:top w:val="single" w:sz="12" w:space="0" w:color="000000"/>
              <w:left w:val="nil"/>
              <w:right w:val="nil"/>
            </w:tcBorders>
            <w:vAlign w:val="center"/>
          </w:tcPr>
          <w:p w14:paraId="79A0CBF8" w14:textId="77777777" w:rsidR="00801DB6" w:rsidRPr="00225726" w:rsidRDefault="00801DB6" w:rsidP="00801DB6">
            <w:pPr>
              <w:pBdr>
                <w:top w:val="nil"/>
                <w:left w:val="nil"/>
                <w:bottom w:val="nil"/>
                <w:right w:val="nil"/>
                <w:between w:val="nil"/>
              </w:pBdr>
              <w:ind w:right="143"/>
              <w:jc w:val="right"/>
              <w:rPr>
                <w:color w:val="000000"/>
                <w:sz w:val="4"/>
                <w:szCs w:val="4"/>
              </w:rPr>
            </w:pPr>
          </w:p>
        </w:tc>
        <w:tc>
          <w:tcPr>
            <w:tcW w:w="1317" w:type="dxa"/>
            <w:tcBorders>
              <w:top w:val="single" w:sz="12" w:space="0" w:color="000000"/>
              <w:left w:val="nil"/>
              <w:right w:val="nil"/>
            </w:tcBorders>
            <w:vAlign w:val="center"/>
          </w:tcPr>
          <w:p w14:paraId="28BDE806" w14:textId="77777777" w:rsidR="00801DB6" w:rsidRPr="00225726" w:rsidRDefault="00801DB6" w:rsidP="00801DB6">
            <w:pPr>
              <w:widowControl w:val="0"/>
              <w:pBdr>
                <w:top w:val="nil"/>
                <w:left w:val="nil"/>
                <w:bottom w:val="nil"/>
                <w:right w:val="nil"/>
                <w:between w:val="nil"/>
              </w:pBdr>
              <w:ind w:right="138"/>
              <w:jc w:val="right"/>
              <w:rPr>
                <w:color w:val="000000"/>
                <w:sz w:val="4"/>
                <w:szCs w:val="4"/>
              </w:rPr>
            </w:pPr>
          </w:p>
        </w:tc>
        <w:tc>
          <w:tcPr>
            <w:tcW w:w="1355" w:type="dxa"/>
            <w:tcBorders>
              <w:top w:val="single" w:sz="12" w:space="0" w:color="000000"/>
              <w:left w:val="nil"/>
              <w:right w:val="nil"/>
            </w:tcBorders>
            <w:vAlign w:val="center"/>
          </w:tcPr>
          <w:p w14:paraId="187AFCA2" w14:textId="77777777" w:rsidR="00801DB6" w:rsidRPr="00225726" w:rsidRDefault="00801DB6" w:rsidP="00801DB6">
            <w:pPr>
              <w:pBdr>
                <w:top w:val="nil"/>
                <w:left w:val="nil"/>
                <w:bottom w:val="nil"/>
                <w:right w:val="nil"/>
                <w:between w:val="nil"/>
              </w:pBdr>
              <w:ind w:right="136"/>
              <w:jc w:val="right"/>
              <w:rPr>
                <w:color w:val="000000"/>
                <w:sz w:val="4"/>
                <w:szCs w:val="4"/>
              </w:rPr>
            </w:pPr>
          </w:p>
        </w:tc>
        <w:tc>
          <w:tcPr>
            <w:tcW w:w="1421" w:type="dxa"/>
            <w:tcBorders>
              <w:top w:val="single" w:sz="12" w:space="0" w:color="000000"/>
              <w:left w:val="nil"/>
              <w:right w:val="nil"/>
            </w:tcBorders>
            <w:vAlign w:val="center"/>
          </w:tcPr>
          <w:p w14:paraId="413A8D25" w14:textId="77777777" w:rsidR="00801DB6" w:rsidRPr="00225726" w:rsidRDefault="00801DB6" w:rsidP="00801DB6">
            <w:pPr>
              <w:widowControl w:val="0"/>
              <w:pBdr>
                <w:top w:val="nil"/>
                <w:left w:val="nil"/>
                <w:bottom w:val="nil"/>
                <w:right w:val="nil"/>
                <w:between w:val="nil"/>
              </w:pBdr>
              <w:ind w:right="162"/>
              <w:jc w:val="right"/>
              <w:rPr>
                <w:rFonts w:cs="Arial"/>
                <w:color w:val="000000"/>
                <w:sz w:val="4"/>
                <w:szCs w:val="4"/>
              </w:rPr>
            </w:pPr>
          </w:p>
        </w:tc>
      </w:tr>
    </w:tbl>
    <w:p w14:paraId="29D9A0AE" w14:textId="253FFE17" w:rsidR="00F67D07" w:rsidRDefault="00AE4682" w:rsidP="00F67D07">
      <w:pPr>
        <w:pStyle w:val="BodyText2"/>
        <w:spacing w:before="120"/>
        <w:ind w:right="-90"/>
        <w:rPr>
          <w:lang w:val="en-US"/>
        </w:rPr>
      </w:pPr>
      <w:r w:rsidRPr="00AE4682">
        <w:rPr>
          <w:rFonts w:cs="Arial"/>
        </w:rPr>
        <w:t xml:space="preserve">Production and processing costs </w:t>
      </w:r>
      <w:r w:rsidR="005B6D97">
        <w:rPr>
          <w:rFonts w:cs="Arial"/>
        </w:rPr>
        <w:t xml:space="preserve">per BOE </w:t>
      </w:r>
      <w:r w:rsidRPr="00AE4682">
        <w:rPr>
          <w:rFonts w:cs="Arial"/>
        </w:rPr>
        <w:t>in Q</w:t>
      </w:r>
      <w:r w:rsidR="005120B8">
        <w:rPr>
          <w:rFonts w:cs="Arial"/>
        </w:rPr>
        <w:t>2</w:t>
      </w:r>
      <w:r w:rsidRPr="00AE4682">
        <w:rPr>
          <w:rFonts w:cs="Arial"/>
        </w:rPr>
        <w:t xml:space="preserve"> 202</w:t>
      </w:r>
      <w:r w:rsidR="00DD4E57">
        <w:rPr>
          <w:rFonts w:cs="Arial"/>
        </w:rPr>
        <w:t>6</w:t>
      </w:r>
      <w:r w:rsidRPr="00AE4682">
        <w:rPr>
          <w:rFonts w:cs="Arial"/>
        </w:rPr>
        <w:t xml:space="preserve"> </w:t>
      </w:r>
      <w:r w:rsidR="00DD4E57">
        <w:rPr>
          <w:rFonts w:cs="Arial"/>
        </w:rPr>
        <w:t>were</w:t>
      </w:r>
      <w:r w:rsidR="00F67D07">
        <w:rPr>
          <w:rFonts w:cs="Arial"/>
        </w:rPr>
        <w:t xml:space="preserve"> </w:t>
      </w:r>
      <w:r w:rsidR="00F67D07" w:rsidRPr="00066231">
        <w:rPr>
          <w:rFonts w:cs="Arial"/>
        </w:rPr>
        <w:t>lower</w:t>
      </w:r>
      <w:r w:rsidR="00F67D07">
        <w:rPr>
          <w:rFonts w:cs="Arial"/>
        </w:rPr>
        <w:t xml:space="preserve"> than </w:t>
      </w:r>
      <w:r w:rsidR="00DD4E57">
        <w:rPr>
          <w:rFonts w:cs="Arial"/>
        </w:rPr>
        <w:t>Q</w:t>
      </w:r>
      <w:r w:rsidR="005120B8">
        <w:rPr>
          <w:rFonts w:cs="Arial"/>
        </w:rPr>
        <w:t>2</w:t>
      </w:r>
      <w:r w:rsidR="00DD4E57">
        <w:rPr>
          <w:rFonts w:cs="Arial"/>
        </w:rPr>
        <w:t xml:space="preserve"> 2025</w:t>
      </w:r>
      <w:r w:rsidR="002D6EC7">
        <w:rPr>
          <w:rFonts w:cs="Arial"/>
        </w:rPr>
        <w:t xml:space="preserve">, </w:t>
      </w:r>
      <w:r w:rsidR="00F67D07" w:rsidRPr="00933C24">
        <w:rPr>
          <w:lang w:val="en-US"/>
        </w:rPr>
        <w:t>primarily due to higher production volumes associated with the acquisition of the Chubut Concessions, combined with operational improvements in the Santa Cruz Concessions.</w:t>
      </w:r>
    </w:p>
    <w:p w14:paraId="19420806" w14:textId="6AC2A062" w:rsidR="00066231" w:rsidRPr="00933C24" w:rsidRDefault="000A180C" w:rsidP="00F67D07">
      <w:pPr>
        <w:pStyle w:val="BodyText2"/>
        <w:spacing w:before="120"/>
        <w:ind w:right="-90"/>
        <w:rPr>
          <w:lang w:val="en-US"/>
        </w:rPr>
      </w:pPr>
      <w:r w:rsidRPr="00933C24">
        <w:rPr>
          <w:lang w:val="en-US"/>
        </w:rPr>
        <w:t xml:space="preserve">Transportation and hauling costs consist of contracted services for vacuum truck operations and crude oil transportation. Transportation and hauling costs per BOE were </w:t>
      </w:r>
      <w:r w:rsidR="00066231">
        <w:rPr>
          <w:lang w:val="en-US"/>
        </w:rPr>
        <w:t>lower</w:t>
      </w:r>
      <w:r w:rsidRPr="00933C24">
        <w:rPr>
          <w:lang w:val="en-US"/>
        </w:rPr>
        <w:t xml:space="preserve"> in </w:t>
      </w:r>
      <w:r w:rsidR="00973BFA">
        <w:rPr>
          <w:lang w:val="en-US"/>
        </w:rPr>
        <w:t>Q</w:t>
      </w:r>
      <w:r w:rsidR="005120B8">
        <w:rPr>
          <w:lang w:val="en-US"/>
        </w:rPr>
        <w:t>2</w:t>
      </w:r>
      <w:r>
        <w:rPr>
          <w:lang w:val="en-US"/>
        </w:rPr>
        <w:t xml:space="preserve"> </w:t>
      </w:r>
      <w:r w:rsidRPr="00933C24">
        <w:rPr>
          <w:lang w:val="en-US"/>
        </w:rPr>
        <w:t>202</w:t>
      </w:r>
      <w:r w:rsidR="00973BFA">
        <w:rPr>
          <w:lang w:val="en-US"/>
        </w:rPr>
        <w:t>6</w:t>
      </w:r>
      <w:r w:rsidRPr="00933C24">
        <w:rPr>
          <w:lang w:val="en-US"/>
        </w:rPr>
        <w:t xml:space="preserve"> </w:t>
      </w:r>
      <w:r w:rsidR="00973BFA">
        <w:rPr>
          <w:lang w:val="en-US"/>
        </w:rPr>
        <w:t>than in Q</w:t>
      </w:r>
      <w:r w:rsidR="005120B8">
        <w:rPr>
          <w:lang w:val="en-US"/>
        </w:rPr>
        <w:t>2</w:t>
      </w:r>
      <w:r w:rsidR="00973BFA">
        <w:rPr>
          <w:lang w:val="en-US"/>
        </w:rPr>
        <w:t xml:space="preserve"> 2025</w:t>
      </w:r>
      <w:r w:rsidR="00066231">
        <w:rPr>
          <w:lang w:val="en-US"/>
        </w:rPr>
        <w:t xml:space="preserve"> </w:t>
      </w:r>
      <w:r w:rsidR="00066231" w:rsidRPr="00933C24">
        <w:rPr>
          <w:lang w:val="en-US"/>
        </w:rPr>
        <w:t xml:space="preserve">primarily due to the incorporation of lower-cost transportation in the Santa Cruz Concessions since November 2024 </w:t>
      </w:r>
      <w:r w:rsidR="00066231" w:rsidRPr="00933C24">
        <w:rPr>
          <w:lang w:val="en-US"/>
        </w:rPr>
        <w:lastRenderedPageBreak/>
        <w:t>and in the Chubut Concessions since December 2025, where crude oil is transported by pipeline rather than by truck, resulting in lower transportation tariffs.</w:t>
      </w:r>
    </w:p>
    <w:p w14:paraId="697AD072" w14:textId="01519A34" w:rsidR="009B2E8A" w:rsidRPr="00DB2E5E" w:rsidRDefault="007F0564" w:rsidP="00F60332">
      <w:pPr>
        <w:pStyle w:val="BodyText2"/>
        <w:spacing w:before="120"/>
        <w:ind w:right="-90"/>
        <w:rPr>
          <w:rFonts w:cs="Arial"/>
          <w:b/>
          <w:i/>
        </w:rPr>
      </w:pPr>
      <w:r>
        <w:rPr>
          <w:rFonts w:cs="Arial"/>
          <w:b/>
          <w:i/>
        </w:rPr>
        <w:t>Other Operating income</w:t>
      </w:r>
    </w:p>
    <w:p w14:paraId="3B430392" w14:textId="45C2B097" w:rsidR="005120B8" w:rsidRDefault="005120B8" w:rsidP="005120B8">
      <w:pPr>
        <w:pStyle w:val="BodyText2"/>
        <w:spacing w:before="120"/>
      </w:pPr>
      <w:r>
        <w:t xml:space="preserve">During Q2 2026 and the June 2026 period, the Company </w:t>
      </w:r>
      <w:r w:rsidRPr="00066231">
        <w:t>recognized $</w:t>
      </w:r>
      <w:r w:rsidR="00066231" w:rsidRPr="00066231">
        <w:t>188,791</w:t>
      </w:r>
      <w:r w:rsidRPr="00066231">
        <w:t xml:space="preserve"> and $</w:t>
      </w:r>
      <w:r w:rsidR="00066231" w:rsidRPr="00066231">
        <w:t>331,295</w:t>
      </w:r>
      <w:r w:rsidRPr="00066231">
        <w:t>, respectively, of gas processing income</w:t>
      </w:r>
      <w:r w:rsidR="00066231">
        <w:t xml:space="preserve"> and transportation income</w:t>
      </w:r>
      <w:r w:rsidRPr="00066231">
        <w:t xml:space="preserve"> as compared to $115,713 and $219,247</w:t>
      </w:r>
      <w:r w:rsidR="00BB35B9">
        <w:t xml:space="preserve"> </w:t>
      </w:r>
      <w:r w:rsidR="00066231">
        <w:t xml:space="preserve">of gas processing income </w:t>
      </w:r>
      <w:r w:rsidRPr="00066231">
        <w:t>during Q2 2025 and the</w:t>
      </w:r>
      <w:r w:rsidRPr="00E8212B">
        <w:t xml:space="preserve"> June</w:t>
      </w:r>
      <w:r>
        <w:t xml:space="preserve"> 2025 period, respectively.   </w:t>
      </w:r>
    </w:p>
    <w:p w14:paraId="2D9D8BFC" w14:textId="6D28EFF7" w:rsidR="000A0E8F" w:rsidRPr="001D018E" w:rsidRDefault="00A34D20" w:rsidP="001D018E">
      <w:pPr>
        <w:widowControl w:val="0"/>
        <w:spacing w:before="240" w:after="120"/>
        <w:ind w:left="288" w:hanging="288"/>
        <w:jc w:val="both"/>
        <w:outlineLvl w:val="8"/>
        <w:rPr>
          <w:rFonts w:cs="Arial"/>
          <w:b/>
          <w:sz w:val="22"/>
          <w:szCs w:val="22"/>
        </w:rPr>
      </w:pPr>
      <w:r w:rsidRPr="001D018E">
        <w:rPr>
          <w:rFonts w:cs="Arial"/>
          <w:b/>
          <w:sz w:val="22"/>
          <w:szCs w:val="22"/>
        </w:rPr>
        <w:t xml:space="preserve">G&amp;A Expenses </w:t>
      </w:r>
    </w:p>
    <w:tbl>
      <w:tblPr>
        <w:tblW w:w="9450" w:type="dxa"/>
        <w:tblLayout w:type="fixed"/>
        <w:tblLook w:val="04A0" w:firstRow="1" w:lastRow="0" w:firstColumn="1" w:lastColumn="0" w:noHBand="0" w:noVBand="1"/>
      </w:tblPr>
      <w:tblGrid>
        <w:gridCol w:w="3870"/>
        <w:gridCol w:w="270"/>
        <w:gridCol w:w="1350"/>
        <w:gridCol w:w="1350"/>
        <w:gridCol w:w="1260"/>
        <w:gridCol w:w="1350"/>
      </w:tblGrid>
      <w:tr w:rsidR="00E91EF5" w14:paraId="4DDB62DE" w14:textId="77777777" w:rsidTr="009B4EDF">
        <w:trPr>
          <w:trHeight w:val="56"/>
        </w:trPr>
        <w:tc>
          <w:tcPr>
            <w:tcW w:w="3870" w:type="dxa"/>
            <w:tcBorders>
              <w:top w:val="single" w:sz="12" w:space="0" w:color="auto"/>
            </w:tcBorders>
          </w:tcPr>
          <w:p w14:paraId="007648BD" w14:textId="77777777" w:rsidR="00E91EF5" w:rsidRPr="004A1C7E" w:rsidRDefault="00E91EF5" w:rsidP="00E91EF5">
            <w:pPr>
              <w:pStyle w:val="BodyText"/>
              <w:spacing w:before="60"/>
              <w:rPr>
                <w:rFonts w:cs="Arial"/>
                <w:b/>
                <w:color w:val="000000"/>
                <w:sz w:val="16"/>
                <w:szCs w:val="16"/>
              </w:rPr>
            </w:pPr>
          </w:p>
        </w:tc>
        <w:tc>
          <w:tcPr>
            <w:tcW w:w="270" w:type="dxa"/>
            <w:tcBorders>
              <w:top w:val="single" w:sz="12" w:space="0" w:color="auto"/>
            </w:tcBorders>
            <w:vAlign w:val="bottom"/>
          </w:tcPr>
          <w:p w14:paraId="54D11B07" w14:textId="77777777" w:rsidR="00E91EF5" w:rsidRPr="004A1C7E" w:rsidRDefault="00E91EF5" w:rsidP="00E91EF5">
            <w:pPr>
              <w:pStyle w:val="BodyText"/>
              <w:spacing w:before="60"/>
              <w:rPr>
                <w:rFonts w:cs="Arial"/>
                <w:b/>
                <w:color w:val="000000"/>
                <w:sz w:val="16"/>
                <w:szCs w:val="16"/>
              </w:rPr>
            </w:pPr>
          </w:p>
        </w:tc>
        <w:tc>
          <w:tcPr>
            <w:tcW w:w="2700" w:type="dxa"/>
            <w:gridSpan w:val="2"/>
            <w:tcBorders>
              <w:top w:val="single" w:sz="12" w:space="0" w:color="auto"/>
            </w:tcBorders>
            <w:vAlign w:val="bottom"/>
          </w:tcPr>
          <w:p w14:paraId="7506C75D" w14:textId="2B98331B" w:rsidR="00E91EF5" w:rsidRPr="004A1C7E" w:rsidRDefault="00E91EF5" w:rsidP="00E91EF5">
            <w:pPr>
              <w:pStyle w:val="BodyText"/>
              <w:spacing w:before="60"/>
              <w:jc w:val="center"/>
              <w:rPr>
                <w:rFonts w:cs="Arial"/>
                <w:b/>
                <w:sz w:val="16"/>
                <w:szCs w:val="16"/>
              </w:rPr>
            </w:pPr>
            <w:r>
              <w:rPr>
                <w:rFonts w:cs="Arial"/>
                <w:b/>
                <w:sz w:val="16"/>
                <w:szCs w:val="16"/>
              </w:rPr>
              <w:t>Three months ended</w:t>
            </w:r>
          </w:p>
        </w:tc>
        <w:tc>
          <w:tcPr>
            <w:tcW w:w="2610" w:type="dxa"/>
            <w:gridSpan w:val="2"/>
            <w:tcBorders>
              <w:top w:val="single" w:sz="12" w:space="0" w:color="auto"/>
            </w:tcBorders>
            <w:vAlign w:val="bottom"/>
          </w:tcPr>
          <w:p w14:paraId="201B2EB4" w14:textId="130CE06B" w:rsidR="00E91EF5" w:rsidRPr="004A1C7E" w:rsidRDefault="00E91EF5" w:rsidP="00E91EF5">
            <w:pPr>
              <w:pStyle w:val="BodyText"/>
              <w:spacing w:before="60"/>
              <w:jc w:val="center"/>
              <w:rPr>
                <w:rFonts w:cs="Arial"/>
                <w:b/>
                <w:sz w:val="16"/>
                <w:szCs w:val="16"/>
              </w:rPr>
            </w:pPr>
            <w:r>
              <w:rPr>
                <w:rFonts w:cs="Arial"/>
                <w:b/>
                <w:sz w:val="16"/>
                <w:szCs w:val="16"/>
              </w:rPr>
              <w:t>Six months ended</w:t>
            </w:r>
          </w:p>
        </w:tc>
      </w:tr>
      <w:tr w:rsidR="00E91EF5" w14:paraId="0D3BEE6C" w14:textId="77777777" w:rsidTr="009B4EDF">
        <w:trPr>
          <w:trHeight w:val="56"/>
        </w:trPr>
        <w:tc>
          <w:tcPr>
            <w:tcW w:w="3870" w:type="dxa"/>
          </w:tcPr>
          <w:p w14:paraId="746CB051" w14:textId="77777777" w:rsidR="00E91EF5" w:rsidRPr="00F866F0" w:rsidRDefault="00E91EF5" w:rsidP="00E91EF5">
            <w:pPr>
              <w:pStyle w:val="BodyText"/>
              <w:rPr>
                <w:rFonts w:cs="Arial"/>
                <w:b/>
                <w:color w:val="000000"/>
                <w:sz w:val="18"/>
                <w:szCs w:val="18"/>
              </w:rPr>
            </w:pPr>
          </w:p>
        </w:tc>
        <w:tc>
          <w:tcPr>
            <w:tcW w:w="270" w:type="dxa"/>
            <w:vAlign w:val="bottom"/>
          </w:tcPr>
          <w:p w14:paraId="08B5132F" w14:textId="77777777" w:rsidR="00E91EF5" w:rsidRPr="00F866F0" w:rsidRDefault="00E91EF5" w:rsidP="00E91EF5">
            <w:pPr>
              <w:pStyle w:val="BodyText"/>
              <w:rPr>
                <w:rFonts w:cs="Arial"/>
                <w:b/>
                <w:color w:val="000000"/>
                <w:sz w:val="16"/>
                <w:szCs w:val="16"/>
              </w:rPr>
            </w:pPr>
          </w:p>
        </w:tc>
        <w:tc>
          <w:tcPr>
            <w:tcW w:w="2700" w:type="dxa"/>
            <w:gridSpan w:val="2"/>
            <w:vAlign w:val="bottom"/>
          </w:tcPr>
          <w:p w14:paraId="25AD9A03" w14:textId="700A17D9" w:rsidR="00E91EF5" w:rsidRPr="00F866F0" w:rsidRDefault="00E91EF5" w:rsidP="00E91EF5">
            <w:pPr>
              <w:pStyle w:val="BodyText"/>
              <w:jc w:val="center"/>
              <w:rPr>
                <w:rFonts w:cs="Arial"/>
                <w:b/>
                <w:sz w:val="16"/>
                <w:szCs w:val="16"/>
              </w:rPr>
            </w:pPr>
            <w:r>
              <w:rPr>
                <w:rFonts w:cs="Arial"/>
                <w:b/>
                <w:sz w:val="16"/>
                <w:szCs w:val="16"/>
              </w:rPr>
              <w:t>June 30</w:t>
            </w:r>
          </w:p>
        </w:tc>
        <w:tc>
          <w:tcPr>
            <w:tcW w:w="2610" w:type="dxa"/>
            <w:gridSpan w:val="2"/>
            <w:vAlign w:val="bottom"/>
          </w:tcPr>
          <w:p w14:paraId="0FFA37D0" w14:textId="4F98B276" w:rsidR="00E91EF5" w:rsidRPr="00F866F0" w:rsidRDefault="00E91EF5" w:rsidP="00E91EF5">
            <w:pPr>
              <w:pStyle w:val="BodyText"/>
              <w:jc w:val="center"/>
              <w:rPr>
                <w:rFonts w:cs="Arial"/>
                <w:b/>
                <w:sz w:val="16"/>
                <w:szCs w:val="16"/>
              </w:rPr>
            </w:pPr>
            <w:r>
              <w:rPr>
                <w:rFonts w:cs="Arial"/>
                <w:b/>
                <w:sz w:val="16"/>
                <w:szCs w:val="16"/>
              </w:rPr>
              <w:t>June 30</w:t>
            </w:r>
          </w:p>
        </w:tc>
      </w:tr>
      <w:tr w:rsidR="00E91EF5" w14:paraId="47C9E14F" w14:textId="77777777">
        <w:tblPrEx>
          <w:tblLook w:val="0400" w:firstRow="0" w:lastRow="0" w:firstColumn="0" w:lastColumn="0" w:noHBand="0" w:noVBand="1"/>
        </w:tblPrEx>
        <w:trPr>
          <w:trHeight w:val="80"/>
        </w:trPr>
        <w:tc>
          <w:tcPr>
            <w:tcW w:w="3870" w:type="dxa"/>
            <w:tcBorders>
              <w:top w:val="nil"/>
              <w:left w:val="nil"/>
              <w:bottom w:val="single" w:sz="4" w:space="0" w:color="000000"/>
              <w:right w:val="nil"/>
            </w:tcBorders>
          </w:tcPr>
          <w:p w14:paraId="4F366021" w14:textId="77777777" w:rsidR="00E91EF5" w:rsidRDefault="00E91EF5" w:rsidP="00E91EF5">
            <w:pPr>
              <w:widowControl w:val="0"/>
              <w:pBdr>
                <w:top w:val="nil"/>
                <w:left w:val="nil"/>
                <w:bottom w:val="nil"/>
                <w:right w:val="nil"/>
                <w:between w:val="nil"/>
              </w:pBdr>
              <w:jc w:val="both"/>
              <w:rPr>
                <w:color w:val="000000"/>
                <w:sz w:val="18"/>
                <w:szCs w:val="18"/>
              </w:rPr>
            </w:pPr>
          </w:p>
        </w:tc>
        <w:tc>
          <w:tcPr>
            <w:tcW w:w="270" w:type="dxa"/>
            <w:tcBorders>
              <w:top w:val="nil"/>
              <w:left w:val="nil"/>
              <w:bottom w:val="single" w:sz="4" w:space="0" w:color="000000"/>
              <w:right w:val="nil"/>
            </w:tcBorders>
            <w:vAlign w:val="bottom"/>
          </w:tcPr>
          <w:p w14:paraId="7412A2FC" w14:textId="77777777" w:rsidR="00E91EF5" w:rsidRDefault="00E91EF5" w:rsidP="00E91EF5">
            <w:pPr>
              <w:widowControl w:val="0"/>
              <w:pBdr>
                <w:top w:val="nil"/>
                <w:left w:val="nil"/>
                <w:bottom w:val="nil"/>
                <w:right w:val="nil"/>
                <w:between w:val="nil"/>
              </w:pBdr>
              <w:jc w:val="center"/>
              <w:rPr>
                <w:b/>
                <w:color w:val="000000"/>
                <w:sz w:val="16"/>
                <w:szCs w:val="16"/>
              </w:rPr>
            </w:pPr>
          </w:p>
        </w:tc>
        <w:tc>
          <w:tcPr>
            <w:tcW w:w="1350" w:type="dxa"/>
            <w:tcBorders>
              <w:top w:val="nil"/>
              <w:left w:val="nil"/>
              <w:bottom w:val="single" w:sz="4" w:space="0" w:color="000000"/>
              <w:right w:val="nil"/>
            </w:tcBorders>
            <w:vAlign w:val="bottom"/>
          </w:tcPr>
          <w:p w14:paraId="0A0384F4" w14:textId="300344EA"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50" w:type="dxa"/>
            <w:tcBorders>
              <w:top w:val="nil"/>
              <w:left w:val="nil"/>
              <w:bottom w:val="single" w:sz="4" w:space="0" w:color="000000"/>
              <w:right w:val="nil"/>
            </w:tcBorders>
            <w:vAlign w:val="bottom"/>
          </w:tcPr>
          <w:p w14:paraId="44102B3B" w14:textId="08779C01"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c>
          <w:tcPr>
            <w:tcW w:w="1260" w:type="dxa"/>
            <w:tcBorders>
              <w:top w:val="nil"/>
              <w:left w:val="nil"/>
              <w:bottom w:val="single" w:sz="4" w:space="0" w:color="000000"/>
              <w:right w:val="nil"/>
            </w:tcBorders>
            <w:vAlign w:val="bottom"/>
          </w:tcPr>
          <w:p w14:paraId="3B573ED1" w14:textId="2E79C269"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50" w:type="dxa"/>
            <w:tcBorders>
              <w:top w:val="nil"/>
              <w:left w:val="nil"/>
              <w:bottom w:val="single" w:sz="4" w:space="0" w:color="000000"/>
              <w:right w:val="nil"/>
            </w:tcBorders>
            <w:vAlign w:val="bottom"/>
          </w:tcPr>
          <w:p w14:paraId="1D119D3D" w14:textId="4EA934B5"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r>
      <w:tr w:rsidR="00801DB6" w14:paraId="19DEFC16" w14:textId="77777777">
        <w:tblPrEx>
          <w:tblLook w:val="0400" w:firstRow="0" w:lastRow="0" w:firstColumn="0" w:lastColumn="0" w:noHBand="0" w:noVBand="1"/>
        </w:tblPrEx>
        <w:tc>
          <w:tcPr>
            <w:tcW w:w="3870" w:type="dxa"/>
            <w:tcBorders>
              <w:top w:val="single" w:sz="4" w:space="0" w:color="000000"/>
              <w:left w:val="nil"/>
              <w:bottom w:val="nil"/>
              <w:right w:val="nil"/>
            </w:tcBorders>
          </w:tcPr>
          <w:p w14:paraId="26D57DBA" w14:textId="77777777" w:rsidR="00801DB6" w:rsidRDefault="00801DB6" w:rsidP="00801DB6">
            <w:pPr>
              <w:pBdr>
                <w:top w:val="nil"/>
                <w:left w:val="nil"/>
                <w:bottom w:val="nil"/>
                <w:right w:val="nil"/>
                <w:between w:val="nil"/>
              </w:pBdr>
              <w:spacing w:before="60"/>
              <w:rPr>
                <w:color w:val="000000"/>
                <w:sz w:val="18"/>
                <w:szCs w:val="18"/>
              </w:rPr>
            </w:pPr>
            <w:r>
              <w:rPr>
                <w:color w:val="000000"/>
                <w:sz w:val="18"/>
                <w:szCs w:val="18"/>
              </w:rPr>
              <w:t>Salaries and benefits ($)</w:t>
            </w:r>
          </w:p>
        </w:tc>
        <w:tc>
          <w:tcPr>
            <w:tcW w:w="270" w:type="dxa"/>
            <w:tcBorders>
              <w:top w:val="single" w:sz="4" w:space="0" w:color="000000"/>
              <w:left w:val="nil"/>
              <w:bottom w:val="nil"/>
              <w:right w:val="nil"/>
            </w:tcBorders>
            <w:vAlign w:val="bottom"/>
          </w:tcPr>
          <w:p w14:paraId="6744FCDE" w14:textId="77777777" w:rsidR="00801DB6" w:rsidRDefault="00801DB6" w:rsidP="00801DB6">
            <w:pPr>
              <w:pBdr>
                <w:top w:val="nil"/>
                <w:left w:val="nil"/>
                <w:bottom w:val="nil"/>
                <w:right w:val="nil"/>
                <w:between w:val="nil"/>
              </w:pBdr>
              <w:spacing w:before="60"/>
              <w:rPr>
                <w:color w:val="000000"/>
                <w:sz w:val="18"/>
                <w:szCs w:val="18"/>
              </w:rPr>
            </w:pPr>
          </w:p>
        </w:tc>
        <w:tc>
          <w:tcPr>
            <w:tcW w:w="1350" w:type="dxa"/>
            <w:tcBorders>
              <w:top w:val="single" w:sz="4" w:space="0" w:color="000000"/>
              <w:left w:val="nil"/>
              <w:bottom w:val="nil"/>
              <w:right w:val="nil"/>
            </w:tcBorders>
          </w:tcPr>
          <w:p w14:paraId="5CA5C89B" w14:textId="2B539CA2" w:rsidR="00801DB6" w:rsidRDefault="00066231" w:rsidP="00801DB6">
            <w:pPr>
              <w:pBdr>
                <w:top w:val="nil"/>
                <w:left w:val="nil"/>
                <w:bottom w:val="nil"/>
                <w:right w:val="nil"/>
                <w:between w:val="nil"/>
              </w:pBdr>
              <w:spacing w:before="60"/>
              <w:jc w:val="right"/>
              <w:rPr>
                <w:color w:val="000000"/>
                <w:sz w:val="18"/>
                <w:szCs w:val="18"/>
              </w:rPr>
            </w:pPr>
            <w:r>
              <w:rPr>
                <w:color w:val="000000"/>
                <w:sz w:val="18"/>
                <w:szCs w:val="18"/>
              </w:rPr>
              <w:t>714,672</w:t>
            </w:r>
          </w:p>
        </w:tc>
        <w:tc>
          <w:tcPr>
            <w:tcW w:w="1350" w:type="dxa"/>
            <w:tcBorders>
              <w:top w:val="single" w:sz="4" w:space="0" w:color="000000"/>
              <w:left w:val="nil"/>
              <w:bottom w:val="nil"/>
              <w:right w:val="nil"/>
            </w:tcBorders>
          </w:tcPr>
          <w:p w14:paraId="5F0DDB17" w14:textId="061E0C43" w:rsidR="00801DB6" w:rsidRDefault="00801DB6" w:rsidP="00801DB6">
            <w:pPr>
              <w:pBdr>
                <w:top w:val="nil"/>
                <w:left w:val="nil"/>
                <w:bottom w:val="nil"/>
                <w:right w:val="nil"/>
                <w:between w:val="nil"/>
              </w:pBdr>
              <w:spacing w:before="60"/>
              <w:jc w:val="right"/>
              <w:rPr>
                <w:color w:val="000000"/>
                <w:sz w:val="18"/>
                <w:szCs w:val="18"/>
              </w:rPr>
            </w:pPr>
            <w:r w:rsidRPr="00C52916">
              <w:rPr>
                <w:sz w:val="18"/>
                <w:szCs w:val="18"/>
              </w:rPr>
              <w:t xml:space="preserve"> 529,418 </w:t>
            </w:r>
          </w:p>
        </w:tc>
        <w:tc>
          <w:tcPr>
            <w:tcW w:w="1260" w:type="dxa"/>
            <w:tcBorders>
              <w:top w:val="single" w:sz="4" w:space="0" w:color="000000"/>
              <w:left w:val="nil"/>
              <w:bottom w:val="nil"/>
              <w:right w:val="nil"/>
            </w:tcBorders>
          </w:tcPr>
          <w:p w14:paraId="319AFA11" w14:textId="4ECBCFC1" w:rsidR="00801DB6" w:rsidRPr="00985046" w:rsidRDefault="00066231" w:rsidP="00801DB6">
            <w:pPr>
              <w:pBdr>
                <w:top w:val="nil"/>
                <w:left w:val="nil"/>
                <w:bottom w:val="nil"/>
                <w:right w:val="nil"/>
                <w:between w:val="nil"/>
              </w:pBdr>
              <w:spacing w:before="60"/>
              <w:ind w:right="57"/>
              <w:jc w:val="right"/>
              <w:rPr>
                <w:color w:val="000000"/>
                <w:sz w:val="18"/>
                <w:szCs w:val="18"/>
              </w:rPr>
            </w:pPr>
            <w:r>
              <w:rPr>
                <w:color w:val="000000"/>
                <w:sz w:val="18"/>
                <w:szCs w:val="18"/>
              </w:rPr>
              <w:t>1,436,466</w:t>
            </w:r>
          </w:p>
        </w:tc>
        <w:tc>
          <w:tcPr>
            <w:tcW w:w="1350" w:type="dxa"/>
            <w:tcBorders>
              <w:top w:val="single" w:sz="4" w:space="0" w:color="000000"/>
              <w:left w:val="nil"/>
              <w:bottom w:val="nil"/>
              <w:right w:val="nil"/>
            </w:tcBorders>
          </w:tcPr>
          <w:p w14:paraId="2178298E" w14:textId="48F8DE0A" w:rsidR="00801DB6" w:rsidRDefault="00801DB6" w:rsidP="00801DB6">
            <w:pPr>
              <w:pBdr>
                <w:top w:val="nil"/>
                <w:left w:val="nil"/>
                <w:bottom w:val="nil"/>
                <w:right w:val="nil"/>
                <w:between w:val="nil"/>
              </w:pBdr>
              <w:spacing w:before="60"/>
              <w:jc w:val="right"/>
              <w:rPr>
                <w:color w:val="000000"/>
                <w:sz w:val="18"/>
                <w:szCs w:val="18"/>
              </w:rPr>
            </w:pPr>
            <w:r w:rsidRPr="00C52916">
              <w:rPr>
                <w:sz w:val="18"/>
                <w:szCs w:val="18"/>
              </w:rPr>
              <w:t xml:space="preserve"> 1,127,976 </w:t>
            </w:r>
          </w:p>
        </w:tc>
      </w:tr>
      <w:tr w:rsidR="00801DB6" w14:paraId="01441FF7" w14:textId="77777777">
        <w:tblPrEx>
          <w:tblLook w:val="0400" w:firstRow="0" w:lastRow="0" w:firstColumn="0" w:lastColumn="0" w:noHBand="0" w:noVBand="1"/>
        </w:tblPrEx>
        <w:tc>
          <w:tcPr>
            <w:tcW w:w="3870" w:type="dxa"/>
            <w:vAlign w:val="bottom"/>
          </w:tcPr>
          <w:p w14:paraId="1A79A71E" w14:textId="77777777" w:rsidR="00801DB6" w:rsidRDefault="00801DB6" w:rsidP="00801DB6">
            <w:pPr>
              <w:pBdr>
                <w:top w:val="nil"/>
                <w:left w:val="nil"/>
                <w:bottom w:val="nil"/>
                <w:right w:val="nil"/>
                <w:between w:val="nil"/>
              </w:pBdr>
              <w:rPr>
                <w:color w:val="000000"/>
                <w:sz w:val="18"/>
                <w:szCs w:val="18"/>
              </w:rPr>
            </w:pPr>
            <w:r>
              <w:rPr>
                <w:color w:val="000000"/>
                <w:sz w:val="18"/>
                <w:szCs w:val="18"/>
              </w:rPr>
              <w:t>Professional fees ($)</w:t>
            </w:r>
          </w:p>
        </w:tc>
        <w:tc>
          <w:tcPr>
            <w:tcW w:w="270" w:type="dxa"/>
            <w:vAlign w:val="bottom"/>
          </w:tcPr>
          <w:p w14:paraId="480CFC8B" w14:textId="77777777" w:rsidR="00801DB6" w:rsidRDefault="00801DB6" w:rsidP="00801DB6">
            <w:pPr>
              <w:pBdr>
                <w:top w:val="nil"/>
                <w:left w:val="nil"/>
                <w:bottom w:val="nil"/>
                <w:right w:val="nil"/>
                <w:between w:val="nil"/>
              </w:pBdr>
              <w:rPr>
                <w:color w:val="000000"/>
                <w:sz w:val="18"/>
                <w:szCs w:val="18"/>
              </w:rPr>
            </w:pPr>
          </w:p>
        </w:tc>
        <w:tc>
          <w:tcPr>
            <w:tcW w:w="1350" w:type="dxa"/>
          </w:tcPr>
          <w:p w14:paraId="354147C0" w14:textId="0837CBB3" w:rsidR="00801DB6" w:rsidRDefault="00066231" w:rsidP="00801DB6">
            <w:pPr>
              <w:pBdr>
                <w:top w:val="nil"/>
                <w:left w:val="nil"/>
                <w:bottom w:val="nil"/>
                <w:right w:val="nil"/>
                <w:between w:val="nil"/>
              </w:pBdr>
              <w:jc w:val="right"/>
              <w:rPr>
                <w:color w:val="000000"/>
                <w:sz w:val="18"/>
                <w:szCs w:val="18"/>
              </w:rPr>
            </w:pPr>
            <w:r>
              <w:rPr>
                <w:color w:val="000000"/>
                <w:sz w:val="18"/>
                <w:szCs w:val="18"/>
              </w:rPr>
              <w:t>323,300</w:t>
            </w:r>
          </w:p>
        </w:tc>
        <w:tc>
          <w:tcPr>
            <w:tcW w:w="1350" w:type="dxa"/>
          </w:tcPr>
          <w:p w14:paraId="246A4FC4" w14:textId="49C9219C" w:rsidR="00801DB6" w:rsidRDefault="00801DB6" w:rsidP="00801DB6">
            <w:pPr>
              <w:pBdr>
                <w:top w:val="nil"/>
                <w:left w:val="nil"/>
                <w:bottom w:val="nil"/>
                <w:right w:val="nil"/>
                <w:between w:val="nil"/>
              </w:pBdr>
              <w:jc w:val="right"/>
              <w:rPr>
                <w:color w:val="000000"/>
                <w:sz w:val="18"/>
                <w:szCs w:val="18"/>
              </w:rPr>
            </w:pPr>
            <w:r w:rsidRPr="00C52916">
              <w:rPr>
                <w:sz w:val="18"/>
                <w:szCs w:val="18"/>
              </w:rPr>
              <w:t xml:space="preserve"> 494,193 </w:t>
            </w:r>
          </w:p>
        </w:tc>
        <w:tc>
          <w:tcPr>
            <w:tcW w:w="1260" w:type="dxa"/>
          </w:tcPr>
          <w:p w14:paraId="1D82E2D4" w14:textId="1C0576DF" w:rsidR="00801DB6" w:rsidRPr="00985046" w:rsidRDefault="00066231" w:rsidP="00801DB6">
            <w:pPr>
              <w:pBdr>
                <w:top w:val="nil"/>
                <w:left w:val="nil"/>
                <w:bottom w:val="nil"/>
                <w:right w:val="nil"/>
                <w:between w:val="nil"/>
              </w:pBdr>
              <w:ind w:right="57"/>
              <w:jc w:val="right"/>
              <w:rPr>
                <w:color w:val="000000"/>
                <w:sz w:val="18"/>
                <w:szCs w:val="18"/>
              </w:rPr>
            </w:pPr>
            <w:r>
              <w:rPr>
                <w:color w:val="000000"/>
                <w:sz w:val="18"/>
                <w:szCs w:val="18"/>
              </w:rPr>
              <w:t>910,389</w:t>
            </w:r>
          </w:p>
        </w:tc>
        <w:tc>
          <w:tcPr>
            <w:tcW w:w="1350" w:type="dxa"/>
          </w:tcPr>
          <w:p w14:paraId="4144A393" w14:textId="3AF149F5" w:rsidR="00801DB6" w:rsidRDefault="00801DB6" w:rsidP="00801DB6">
            <w:pPr>
              <w:pBdr>
                <w:top w:val="nil"/>
                <w:left w:val="nil"/>
                <w:bottom w:val="nil"/>
                <w:right w:val="nil"/>
                <w:between w:val="nil"/>
              </w:pBdr>
              <w:jc w:val="right"/>
              <w:rPr>
                <w:color w:val="000000"/>
                <w:sz w:val="18"/>
                <w:szCs w:val="18"/>
              </w:rPr>
            </w:pPr>
            <w:r w:rsidRPr="00C52916">
              <w:rPr>
                <w:sz w:val="18"/>
                <w:szCs w:val="18"/>
              </w:rPr>
              <w:t xml:space="preserve"> 716,405 </w:t>
            </w:r>
          </w:p>
        </w:tc>
      </w:tr>
      <w:tr w:rsidR="00801DB6" w14:paraId="73672AD0" w14:textId="77777777">
        <w:tblPrEx>
          <w:tblLook w:val="0400" w:firstRow="0" w:lastRow="0" w:firstColumn="0" w:lastColumn="0" w:noHBand="0" w:noVBand="1"/>
        </w:tblPrEx>
        <w:tc>
          <w:tcPr>
            <w:tcW w:w="3870" w:type="dxa"/>
            <w:vAlign w:val="bottom"/>
          </w:tcPr>
          <w:p w14:paraId="2D8AE6E0" w14:textId="77777777" w:rsidR="00801DB6" w:rsidRDefault="00801DB6" w:rsidP="00801DB6">
            <w:pPr>
              <w:pBdr>
                <w:top w:val="nil"/>
                <w:left w:val="nil"/>
                <w:bottom w:val="nil"/>
                <w:right w:val="nil"/>
                <w:between w:val="nil"/>
              </w:pBdr>
              <w:rPr>
                <w:color w:val="000000"/>
                <w:sz w:val="18"/>
                <w:szCs w:val="18"/>
              </w:rPr>
            </w:pPr>
            <w:r>
              <w:rPr>
                <w:color w:val="000000"/>
                <w:sz w:val="18"/>
                <w:szCs w:val="18"/>
              </w:rPr>
              <w:t>Office and general ($)</w:t>
            </w:r>
          </w:p>
        </w:tc>
        <w:tc>
          <w:tcPr>
            <w:tcW w:w="270" w:type="dxa"/>
            <w:vAlign w:val="bottom"/>
          </w:tcPr>
          <w:p w14:paraId="44C7F64B" w14:textId="77777777" w:rsidR="00801DB6" w:rsidRDefault="00801DB6" w:rsidP="00801DB6">
            <w:pPr>
              <w:pBdr>
                <w:top w:val="nil"/>
                <w:left w:val="nil"/>
                <w:bottom w:val="nil"/>
                <w:right w:val="nil"/>
                <w:between w:val="nil"/>
              </w:pBdr>
              <w:rPr>
                <w:color w:val="000000"/>
                <w:sz w:val="18"/>
                <w:szCs w:val="18"/>
              </w:rPr>
            </w:pPr>
          </w:p>
        </w:tc>
        <w:tc>
          <w:tcPr>
            <w:tcW w:w="1350" w:type="dxa"/>
          </w:tcPr>
          <w:p w14:paraId="46407533" w14:textId="1AE6C8F9" w:rsidR="00801DB6" w:rsidRPr="00F10733" w:rsidRDefault="00066231" w:rsidP="00801DB6">
            <w:pPr>
              <w:pBdr>
                <w:top w:val="nil"/>
                <w:left w:val="nil"/>
                <w:bottom w:val="nil"/>
                <w:right w:val="nil"/>
                <w:between w:val="nil"/>
              </w:pBdr>
              <w:jc w:val="right"/>
              <w:rPr>
                <w:color w:val="000000"/>
                <w:sz w:val="18"/>
                <w:szCs w:val="18"/>
              </w:rPr>
            </w:pPr>
            <w:r>
              <w:rPr>
                <w:color w:val="000000"/>
                <w:sz w:val="18"/>
                <w:szCs w:val="18"/>
              </w:rPr>
              <w:t>341,774</w:t>
            </w:r>
          </w:p>
        </w:tc>
        <w:tc>
          <w:tcPr>
            <w:tcW w:w="1350" w:type="dxa"/>
          </w:tcPr>
          <w:p w14:paraId="31DCEE82" w14:textId="441B2B26" w:rsidR="00801DB6" w:rsidRPr="00F10733" w:rsidRDefault="00801DB6" w:rsidP="00801DB6">
            <w:pPr>
              <w:pBdr>
                <w:top w:val="nil"/>
                <w:left w:val="nil"/>
                <w:bottom w:val="nil"/>
                <w:right w:val="nil"/>
                <w:between w:val="nil"/>
              </w:pBdr>
              <w:jc w:val="right"/>
              <w:rPr>
                <w:color w:val="000000"/>
                <w:sz w:val="18"/>
                <w:szCs w:val="18"/>
              </w:rPr>
            </w:pPr>
            <w:r w:rsidRPr="00C52916">
              <w:rPr>
                <w:sz w:val="18"/>
                <w:szCs w:val="18"/>
              </w:rPr>
              <w:t xml:space="preserve"> 334,986 </w:t>
            </w:r>
          </w:p>
        </w:tc>
        <w:tc>
          <w:tcPr>
            <w:tcW w:w="1260" w:type="dxa"/>
          </w:tcPr>
          <w:p w14:paraId="03B6C7EC" w14:textId="4B614051" w:rsidR="00801DB6" w:rsidRPr="00985046" w:rsidRDefault="00066231" w:rsidP="00801DB6">
            <w:pPr>
              <w:pBdr>
                <w:top w:val="nil"/>
                <w:left w:val="nil"/>
                <w:bottom w:val="nil"/>
                <w:right w:val="nil"/>
                <w:between w:val="nil"/>
              </w:pBdr>
              <w:ind w:right="57"/>
              <w:jc w:val="right"/>
              <w:rPr>
                <w:color w:val="000000"/>
                <w:sz w:val="18"/>
                <w:szCs w:val="18"/>
              </w:rPr>
            </w:pPr>
            <w:r>
              <w:rPr>
                <w:color w:val="000000"/>
                <w:sz w:val="18"/>
                <w:szCs w:val="18"/>
              </w:rPr>
              <w:t>718,890</w:t>
            </w:r>
          </w:p>
        </w:tc>
        <w:tc>
          <w:tcPr>
            <w:tcW w:w="1350" w:type="dxa"/>
          </w:tcPr>
          <w:p w14:paraId="16206248" w14:textId="35CC74D6" w:rsidR="00801DB6" w:rsidRPr="00F10733" w:rsidRDefault="00801DB6" w:rsidP="00801DB6">
            <w:pPr>
              <w:pBdr>
                <w:top w:val="nil"/>
                <w:left w:val="nil"/>
                <w:bottom w:val="nil"/>
                <w:right w:val="nil"/>
                <w:between w:val="nil"/>
              </w:pBdr>
              <w:jc w:val="right"/>
              <w:rPr>
                <w:color w:val="000000"/>
                <w:sz w:val="18"/>
                <w:szCs w:val="18"/>
              </w:rPr>
            </w:pPr>
            <w:r w:rsidRPr="00C52916">
              <w:rPr>
                <w:sz w:val="18"/>
                <w:szCs w:val="18"/>
              </w:rPr>
              <w:t xml:space="preserve"> 555,652 </w:t>
            </w:r>
          </w:p>
        </w:tc>
      </w:tr>
      <w:tr w:rsidR="00801DB6" w14:paraId="06E15A0A" w14:textId="77777777">
        <w:tblPrEx>
          <w:tblLook w:val="0400" w:firstRow="0" w:lastRow="0" w:firstColumn="0" w:lastColumn="0" w:noHBand="0" w:noVBand="1"/>
        </w:tblPrEx>
        <w:tc>
          <w:tcPr>
            <w:tcW w:w="3870" w:type="dxa"/>
            <w:tcBorders>
              <w:top w:val="nil"/>
              <w:left w:val="nil"/>
              <w:bottom w:val="single" w:sz="4" w:space="0" w:color="000000"/>
              <w:right w:val="nil"/>
            </w:tcBorders>
            <w:vAlign w:val="bottom"/>
          </w:tcPr>
          <w:p w14:paraId="57E2526A" w14:textId="77777777" w:rsidR="00801DB6" w:rsidRDefault="00801DB6" w:rsidP="00801DB6">
            <w:pPr>
              <w:pBdr>
                <w:top w:val="nil"/>
                <w:left w:val="nil"/>
                <w:bottom w:val="nil"/>
                <w:right w:val="nil"/>
                <w:between w:val="nil"/>
              </w:pBdr>
              <w:rPr>
                <w:color w:val="000000"/>
                <w:sz w:val="18"/>
                <w:szCs w:val="18"/>
              </w:rPr>
            </w:pPr>
            <w:r>
              <w:rPr>
                <w:color w:val="000000"/>
                <w:sz w:val="18"/>
                <w:szCs w:val="18"/>
              </w:rPr>
              <w:t>Travel and promotion ($)</w:t>
            </w:r>
          </w:p>
        </w:tc>
        <w:tc>
          <w:tcPr>
            <w:tcW w:w="270" w:type="dxa"/>
            <w:tcBorders>
              <w:top w:val="nil"/>
              <w:left w:val="nil"/>
              <w:bottom w:val="single" w:sz="4" w:space="0" w:color="000000"/>
              <w:right w:val="nil"/>
            </w:tcBorders>
            <w:vAlign w:val="bottom"/>
          </w:tcPr>
          <w:p w14:paraId="2080993B" w14:textId="77777777" w:rsidR="00801DB6" w:rsidRDefault="00801DB6" w:rsidP="00801DB6">
            <w:pPr>
              <w:pBdr>
                <w:top w:val="nil"/>
                <w:left w:val="nil"/>
                <w:bottom w:val="nil"/>
                <w:right w:val="nil"/>
                <w:between w:val="nil"/>
              </w:pBdr>
              <w:rPr>
                <w:color w:val="000000"/>
                <w:sz w:val="18"/>
                <w:szCs w:val="18"/>
              </w:rPr>
            </w:pPr>
          </w:p>
        </w:tc>
        <w:tc>
          <w:tcPr>
            <w:tcW w:w="1350" w:type="dxa"/>
            <w:tcBorders>
              <w:top w:val="nil"/>
              <w:left w:val="nil"/>
              <w:bottom w:val="single" w:sz="4" w:space="0" w:color="000000"/>
              <w:right w:val="nil"/>
            </w:tcBorders>
          </w:tcPr>
          <w:p w14:paraId="0083356B" w14:textId="68AA3013" w:rsidR="00801DB6" w:rsidRPr="00F10733" w:rsidRDefault="00066231" w:rsidP="00801DB6">
            <w:pPr>
              <w:pBdr>
                <w:top w:val="nil"/>
                <w:left w:val="nil"/>
                <w:bottom w:val="nil"/>
                <w:right w:val="nil"/>
                <w:between w:val="nil"/>
              </w:pBdr>
              <w:jc w:val="right"/>
              <w:rPr>
                <w:color w:val="000000"/>
                <w:sz w:val="18"/>
                <w:szCs w:val="18"/>
              </w:rPr>
            </w:pPr>
            <w:r>
              <w:rPr>
                <w:color w:val="000000"/>
                <w:sz w:val="18"/>
                <w:szCs w:val="18"/>
              </w:rPr>
              <w:t>56,295</w:t>
            </w:r>
          </w:p>
        </w:tc>
        <w:tc>
          <w:tcPr>
            <w:tcW w:w="1350" w:type="dxa"/>
            <w:tcBorders>
              <w:top w:val="nil"/>
              <w:left w:val="nil"/>
              <w:bottom w:val="single" w:sz="4" w:space="0" w:color="000000"/>
              <w:right w:val="nil"/>
            </w:tcBorders>
          </w:tcPr>
          <w:p w14:paraId="44A4FA33" w14:textId="61532399" w:rsidR="00801DB6" w:rsidRPr="00F10733" w:rsidRDefault="00801DB6" w:rsidP="00801DB6">
            <w:pPr>
              <w:pBdr>
                <w:top w:val="nil"/>
                <w:left w:val="nil"/>
                <w:bottom w:val="nil"/>
                <w:right w:val="nil"/>
                <w:between w:val="nil"/>
              </w:pBdr>
              <w:jc w:val="right"/>
              <w:rPr>
                <w:color w:val="000000"/>
                <w:sz w:val="18"/>
                <w:szCs w:val="18"/>
              </w:rPr>
            </w:pPr>
            <w:r w:rsidRPr="00C52916">
              <w:rPr>
                <w:sz w:val="18"/>
                <w:szCs w:val="18"/>
              </w:rPr>
              <w:t xml:space="preserve"> 35,456 </w:t>
            </w:r>
          </w:p>
        </w:tc>
        <w:tc>
          <w:tcPr>
            <w:tcW w:w="1260" w:type="dxa"/>
            <w:tcBorders>
              <w:top w:val="nil"/>
              <w:left w:val="nil"/>
              <w:bottom w:val="single" w:sz="4" w:space="0" w:color="000000"/>
              <w:right w:val="nil"/>
            </w:tcBorders>
          </w:tcPr>
          <w:p w14:paraId="081F5671" w14:textId="342A7B0D" w:rsidR="00801DB6" w:rsidRPr="00985046" w:rsidRDefault="00066231" w:rsidP="00801DB6">
            <w:pPr>
              <w:pBdr>
                <w:top w:val="nil"/>
                <w:left w:val="nil"/>
                <w:bottom w:val="nil"/>
                <w:right w:val="nil"/>
                <w:between w:val="nil"/>
              </w:pBdr>
              <w:ind w:right="57"/>
              <w:jc w:val="right"/>
              <w:rPr>
                <w:color w:val="000000"/>
                <w:sz w:val="18"/>
                <w:szCs w:val="18"/>
              </w:rPr>
            </w:pPr>
            <w:r>
              <w:rPr>
                <w:color w:val="000000"/>
                <w:sz w:val="18"/>
                <w:szCs w:val="18"/>
              </w:rPr>
              <w:t>70,543</w:t>
            </w:r>
          </w:p>
        </w:tc>
        <w:tc>
          <w:tcPr>
            <w:tcW w:w="1350" w:type="dxa"/>
            <w:tcBorders>
              <w:top w:val="nil"/>
              <w:left w:val="nil"/>
              <w:bottom w:val="single" w:sz="4" w:space="0" w:color="000000"/>
              <w:right w:val="nil"/>
            </w:tcBorders>
          </w:tcPr>
          <w:p w14:paraId="3543D8CF" w14:textId="5E6AF0DB" w:rsidR="00801DB6" w:rsidRPr="00F10733" w:rsidRDefault="00801DB6" w:rsidP="00801DB6">
            <w:pPr>
              <w:pBdr>
                <w:top w:val="nil"/>
                <w:left w:val="nil"/>
                <w:bottom w:val="nil"/>
                <w:right w:val="nil"/>
                <w:between w:val="nil"/>
              </w:pBdr>
              <w:jc w:val="right"/>
              <w:rPr>
                <w:color w:val="000000"/>
                <w:sz w:val="18"/>
                <w:szCs w:val="18"/>
              </w:rPr>
            </w:pPr>
            <w:r w:rsidRPr="00C52916">
              <w:rPr>
                <w:sz w:val="18"/>
                <w:szCs w:val="18"/>
              </w:rPr>
              <w:t xml:space="preserve"> 50,497 </w:t>
            </w:r>
          </w:p>
        </w:tc>
      </w:tr>
      <w:tr w:rsidR="00801DB6" w14:paraId="4DBB6C26" w14:textId="77777777">
        <w:tblPrEx>
          <w:tblLook w:val="0400" w:firstRow="0" w:lastRow="0" w:firstColumn="0" w:lastColumn="0" w:noHBand="0" w:noVBand="1"/>
        </w:tblPrEx>
        <w:trPr>
          <w:trHeight w:val="240"/>
        </w:trPr>
        <w:tc>
          <w:tcPr>
            <w:tcW w:w="3870" w:type="dxa"/>
            <w:tcBorders>
              <w:top w:val="single" w:sz="4" w:space="0" w:color="000000"/>
              <w:left w:val="nil"/>
              <w:bottom w:val="single" w:sz="12" w:space="0" w:color="000000"/>
              <w:right w:val="nil"/>
            </w:tcBorders>
            <w:vAlign w:val="bottom"/>
          </w:tcPr>
          <w:p w14:paraId="0E47E723" w14:textId="77777777" w:rsidR="00801DB6" w:rsidRDefault="00801DB6" w:rsidP="00801DB6">
            <w:pPr>
              <w:pBdr>
                <w:top w:val="nil"/>
                <w:left w:val="nil"/>
                <w:bottom w:val="nil"/>
                <w:right w:val="nil"/>
                <w:between w:val="nil"/>
              </w:pBdr>
              <w:spacing w:before="60" w:after="60"/>
              <w:rPr>
                <w:color w:val="000000"/>
                <w:sz w:val="18"/>
                <w:szCs w:val="18"/>
              </w:rPr>
            </w:pPr>
          </w:p>
        </w:tc>
        <w:tc>
          <w:tcPr>
            <w:tcW w:w="270" w:type="dxa"/>
            <w:tcBorders>
              <w:top w:val="single" w:sz="4" w:space="0" w:color="000000"/>
              <w:left w:val="nil"/>
              <w:bottom w:val="single" w:sz="12" w:space="0" w:color="000000"/>
              <w:right w:val="nil"/>
            </w:tcBorders>
            <w:vAlign w:val="bottom"/>
          </w:tcPr>
          <w:p w14:paraId="777AD159" w14:textId="77777777" w:rsidR="00801DB6" w:rsidRDefault="00801DB6" w:rsidP="00801DB6">
            <w:pPr>
              <w:pBdr>
                <w:top w:val="nil"/>
                <w:left w:val="nil"/>
                <w:bottom w:val="nil"/>
                <w:right w:val="nil"/>
                <w:between w:val="nil"/>
              </w:pBdr>
              <w:spacing w:before="60" w:after="60"/>
              <w:rPr>
                <w:color w:val="000000"/>
                <w:sz w:val="18"/>
                <w:szCs w:val="18"/>
              </w:rPr>
            </w:pPr>
          </w:p>
        </w:tc>
        <w:tc>
          <w:tcPr>
            <w:tcW w:w="1350" w:type="dxa"/>
            <w:tcBorders>
              <w:top w:val="single" w:sz="4" w:space="0" w:color="000000"/>
              <w:left w:val="nil"/>
              <w:bottom w:val="single" w:sz="12" w:space="0" w:color="000000"/>
              <w:right w:val="nil"/>
            </w:tcBorders>
            <w:vAlign w:val="bottom"/>
          </w:tcPr>
          <w:p w14:paraId="3DBE46E8" w14:textId="09CCCC8B" w:rsidR="00801DB6" w:rsidRDefault="00066231" w:rsidP="00801DB6">
            <w:pPr>
              <w:pBdr>
                <w:top w:val="nil"/>
                <w:left w:val="nil"/>
                <w:bottom w:val="nil"/>
                <w:right w:val="nil"/>
                <w:between w:val="nil"/>
              </w:pBdr>
              <w:spacing w:before="60" w:after="60"/>
              <w:jc w:val="right"/>
              <w:rPr>
                <w:color w:val="000000"/>
                <w:sz w:val="18"/>
                <w:szCs w:val="18"/>
              </w:rPr>
            </w:pPr>
            <w:r>
              <w:rPr>
                <w:color w:val="000000"/>
                <w:sz w:val="18"/>
                <w:szCs w:val="18"/>
              </w:rPr>
              <w:t>1,436,041</w:t>
            </w:r>
          </w:p>
        </w:tc>
        <w:tc>
          <w:tcPr>
            <w:tcW w:w="1350" w:type="dxa"/>
            <w:tcBorders>
              <w:top w:val="single" w:sz="4" w:space="0" w:color="000000"/>
              <w:left w:val="nil"/>
              <w:bottom w:val="single" w:sz="12" w:space="0" w:color="000000"/>
              <w:right w:val="nil"/>
            </w:tcBorders>
          </w:tcPr>
          <w:p w14:paraId="47B30A9F" w14:textId="4D8999C5" w:rsidR="00801DB6" w:rsidRDefault="00801DB6" w:rsidP="00801DB6">
            <w:pPr>
              <w:pBdr>
                <w:top w:val="nil"/>
                <w:left w:val="nil"/>
                <w:bottom w:val="nil"/>
                <w:right w:val="nil"/>
                <w:between w:val="nil"/>
              </w:pBdr>
              <w:spacing w:before="60" w:after="60"/>
              <w:jc w:val="right"/>
              <w:rPr>
                <w:color w:val="000000"/>
                <w:sz w:val="18"/>
                <w:szCs w:val="18"/>
              </w:rPr>
            </w:pPr>
            <w:r w:rsidRPr="00C52916">
              <w:rPr>
                <w:sz w:val="18"/>
                <w:szCs w:val="18"/>
              </w:rPr>
              <w:t xml:space="preserve"> 1,394,053 </w:t>
            </w:r>
          </w:p>
        </w:tc>
        <w:tc>
          <w:tcPr>
            <w:tcW w:w="1260" w:type="dxa"/>
            <w:tcBorders>
              <w:top w:val="single" w:sz="4" w:space="0" w:color="000000"/>
              <w:left w:val="nil"/>
              <w:bottom w:val="single" w:sz="12" w:space="0" w:color="000000"/>
              <w:right w:val="nil"/>
            </w:tcBorders>
          </w:tcPr>
          <w:p w14:paraId="3AAB5585" w14:textId="60D566D1" w:rsidR="00801DB6" w:rsidRPr="00985046" w:rsidRDefault="00066231" w:rsidP="00801DB6">
            <w:pPr>
              <w:pBdr>
                <w:top w:val="nil"/>
                <w:left w:val="nil"/>
                <w:bottom w:val="nil"/>
                <w:right w:val="nil"/>
                <w:between w:val="nil"/>
              </w:pBdr>
              <w:spacing w:before="60" w:after="60"/>
              <w:ind w:right="57"/>
              <w:jc w:val="right"/>
              <w:rPr>
                <w:color w:val="000000"/>
                <w:sz w:val="18"/>
                <w:szCs w:val="18"/>
              </w:rPr>
            </w:pPr>
            <w:r>
              <w:rPr>
                <w:color w:val="000000"/>
                <w:sz w:val="18"/>
                <w:szCs w:val="18"/>
              </w:rPr>
              <w:t>3,136,288</w:t>
            </w:r>
          </w:p>
        </w:tc>
        <w:tc>
          <w:tcPr>
            <w:tcW w:w="1350" w:type="dxa"/>
            <w:tcBorders>
              <w:top w:val="single" w:sz="4" w:space="0" w:color="000000"/>
              <w:left w:val="nil"/>
              <w:bottom w:val="single" w:sz="12" w:space="0" w:color="000000"/>
              <w:right w:val="nil"/>
            </w:tcBorders>
          </w:tcPr>
          <w:p w14:paraId="59FCAE66" w14:textId="670DABCB" w:rsidR="00801DB6" w:rsidRDefault="00801DB6" w:rsidP="00801DB6">
            <w:pPr>
              <w:pBdr>
                <w:top w:val="nil"/>
                <w:left w:val="nil"/>
                <w:bottom w:val="nil"/>
                <w:right w:val="nil"/>
                <w:between w:val="nil"/>
              </w:pBdr>
              <w:spacing w:before="60" w:after="60"/>
              <w:jc w:val="right"/>
              <w:rPr>
                <w:color w:val="000000"/>
                <w:sz w:val="18"/>
                <w:szCs w:val="18"/>
              </w:rPr>
            </w:pPr>
            <w:r w:rsidRPr="00C52916">
              <w:rPr>
                <w:sz w:val="18"/>
                <w:szCs w:val="18"/>
              </w:rPr>
              <w:t xml:space="preserve"> 2,450,530 </w:t>
            </w:r>
          </w:p>
        </w:tc>
      </w:tr>
    </w:tbl>
    <w:p w14:paraId="756C0B4C" w14:textId="5804E4AD" w:rsidR="00246000" w:rsidRDefault="00246000" w:rsidP="00246000">
      <w:pPr>
        <w:pStyle w:val="BodyText2"/>
        <w:spacing w:before="120"/>
        <w:rPr>
          <w:color w:val="000000"/>
        </w:rPr>
      </w:pPr>
      <w:r w:rsidRPr="008508C8">
        <w:rPr>
          <w:rFonts w:cs="Arial"/>
        </w:rPr>
        <w:t>Salaries and benefits</w:t>
      </w:r>
      <w:r>
        <w:rPr>
          <w:rFonts w:cs="Arial"/>
        </w:rPr>
        <w:t xml:space="preserve"> </w:t>
      </w:r>
      <w:r w:rsidRPr="0028249F">
        <w:rPr>
          <w:rFonts w:cs="Arial"/>
        </w:rPr>
        <w:t xml:space="preserve">are </w:t>
      </w:r>
      <w:r w:rsidRPr="008D4DD4">
        <w:rPr>
          <w:rFonts w:cs="Arial"/>
        </w:rPr>
        <w:t>higher</w:t>
      </w:r>
      <w:r w:rsidRPr="0028249F">
        <w:rPr>
          <w:rFonts w:cs="Arial"/>
        </w:rPr>
        <w:t xml:space="preserve"> in </w:t>
      </w:r>
      <w:r w:rsidR="005120B8">
        <w:t xml:space="preserve">the </w:t>
      </w:r>
      <w:r w:rsidR="00C4266C">
        <w:t>2026</w:t>
      </w:r>
      <w:r w:rsidRPr="0028249F">
        <w:rPr>
          <w:rFonts w:cs="Arial"/>
        </w:rPr>
        <w:t xml:space="preserve"> </w:t>
      </w:r>
      <w:r w:rsidR="005120B8">
        <w:rPr>
          <w:rFonts w:cs="Arial"/>
        </w:rPr>
        <w:t xml:space="preserve">periods </w:t>
      </w:r>
      <w:r w:rsidRPr="0028249F">
        <w:rPr>
          <w:rFonts w:cs="Arial"/>
        </w:rPr>
        <w:t xml:space="preserve">than in </w:t>
      </w:r>
      <w:r w:rsidR="005120B8">
        <w:rPr>
          <w:rFonts w:cs="Arial"/>
        </w:rPr>
        <w:t>the 2025 periods</w:t>
      </w:r>
      <w:r w:rsidRPr="0028249F">
        <w:rPr>
          <w:rFonts w:cs="Arial"/>
        </w:rPr>
        <w:t>, primarily due to increased staffing at the Buenos Aires office</w:t>
      </w:r>
      <w:r w:rsidR="00C4266C">
        <w:rPr>
          <w:rFonts w:cs="Arial"/>
        </w:rPr>
        <w:t>.</w:t>
      </w:r>
    </w:p>
    <w:p w14:paraId="4CFA6489" w14:textId="121A742D" w:rsidR="00246000" w:rsidRPr="001E66B1" w:rsidRDefault="00246000" w:rsidP="00705FE1">
      <w:pPr>
        <w:autoSpaceDE w:val="0"/>
        <w:autoSpaceDN w:val="0"/>
        <w:adjustRightInd w:val="0"/>
        <w:spacing w:before="120"/>
        <w:jc w:val="both"/>
        <w:rPr>
          <w:rFonts w:cs="Arial"/>
        </w:rPr>
      </w:pPr>
      <w:r w:rsidRPr="007B6966">
        <w:t xml:space="preserve">Professional fees include reserve reports fees, consulting fees for financial reporting and investor relations services, legal and consulting fees related to assistance with the preparation of various documents for regulatory compliance and consulting fees related to geological and engineering assistance. Professional fees </w:t>
      </w:r>
      <w:r w:rsidR="00C4266C" w:rsidRPr="007B6966">
        <w:t xml:space="preserve">are higher in </w:t>
      </w:r>
      <w:r w:rsidR="005120B8" w:rsidRPr="007B6966">
        <w:t>the</w:t>
      </w:r>
      <w:r w:rsidR="007B6966">
        <w:t xml:space="preserve"> June</w:t>
      </w:r>
      <w:r w:rsidR="005120B8" w:rsidRPr="007B6966">
        <w:t xml:space="preserve"> </w:t>
      </w:r>
      <w:r w:rsidR="00C4266C" w:rsidRPr="007B6966">
        <w:t>2026</w:t>
      </w:r>
      <w:r w:rsidR="005120B8" w:rsidRPr="007B6966">
        <w:t xml:space="preserve"> period</w:t>
      </w:r>
      <w:r w:rsidR="00C4266C" w:rsidRPr="007B6966">
        <w:t xml:space="preserve"> in comparison to</w:t>
      </w:r>
      <w:r w:rsidRPr="007B6966">
        <w:t xml:space="preserve"> </w:t>
      </w:r>
      <w:r w:rsidR="005120B8" w:rsidRPr="007B6966">
        <w:t xml:space="preserve">the </w:t>
      </w:r>
      <w:r w:rsidR="007B6966">
        <w:t xml:space="preserve">June </w:t>
      </w:r>
      <w:r w:rsidR="00C4266C" w:rsidRPr="007B6966">
        <w:t>2025</w:t>
      </w:r>
      <w:r w:rsidR="005120B8" w:rsidRPr="007B6966">
        <w:t xml:space="preserve"> period</w:t>
      </w:r>
      <w:r w:rsidR="00C4266C" w:rsidRPr="007B6966">
        <w:rPr>
          <w:rFonts w:cs="Arial"/>
        </w:rPr>
        <w:t xml:space="preserve"> due mainly to </w:t>
      </w:r>
      <w:r w:rsidR="00705FE1" w:rsidRPr="007B6966">
        <w:rPr>
          <w:rFonts w:cs="Arial"/>
        </w:rPr>
        <w:t>cost</w:t>
      </w:r>
      <w:r w:rsidR="002A10A4" w:rsidRPr="007B6966">
        <w:rPr>
          <w:rFonts w:cs="Arial"/>
        </w:rPr>
        <w:t>s</w:t>
      </w:r>
      <w:r w:rsidR="00705FE1" w:rsidRPr="007B6966">
        <w:rPr>
          <w:rFonts w:cs="Arial"/>
        </w:rPr>
        <w:t xml:space="preserve"> related to advisory fees.</w:t>
      </w:r>
    </w:p>
    <w:p w14:paraId="3CEFB469" w14:textId="6F2D262E" w:rsidR="00246000" w:rsidRPr="00614B8C" w:rsidRDefault="00246000" w:rsidP="00246000">
      <w:pPr>
        <w:pStyle w:val="BodyText2"/>
        <w:spacing w:before="120"/>
      </w:pPr>
      <w:r w:rsidRPr="008C3A5A">
        <w:t xml:space="preserve">Office and general expenses </w:t>
      </w:r>
      <w:r w:rsidRPr="008C3A5A">
        <w:rPr>
          <w:rFonts w:cs="Arial"/>
        </w:rPr>
        <w:t xml:space="preserve">in </w:t>
      </w:r>
      <w:r w:rsidR="005120B8">
        <w:t xml:space="preserve">the 2026 periods are </w:t>
      </w:r>
      <w:r w:rsidR="005120B8" w:rsidRPr="00E478CD">
        <w:t>higher than in the 2025 periods</w:t>
      </w:r>
      <w:r w:rsidRPr="00E478CD">
        <w:rPr>
          <w:rFonts w:cs="Arial"/>
        </w:rPr>
        <w:t xml:space="preserve"> </w:t>
      </w:r>
      <w:r w:rsidRPr="00E478CD">
        <w:t xml:space="preserve">mainly due to </w:t>
      </w:r>
      <w:r w:rsidR="001D06F1" w:rsidRPr="00E478CD">
        <w:t>the expenses related to the maintenance of the Chubut Concessions administrative</w:t>
      </w:r>
      <w:r w:rsidR="001D06F1">
        <w:t xml:space="preserve"> office.</w:t>
      </w:r>
    </w:p>
    <w:p w14:paraId="52E8F569" w14:textId="1BE7947A" w:rsidR="00246000" w:rsidRDefault="00E478CD" w:rsidP="00246000">
      <w:pPr>
        <w:pStyle w:val="BodyText2"/>
        <w:spacing w:before="120"/>
      </w:pPr>
      <w:r w:rsidRPr="00E478CD">
        <w:t>Travel and promotion expenses were higher in the 2026 periods than in the corresponding 2025 periods primarily due to increased travel to the provinces of Santa Cruz and Chubut.</w:t>
      </w:r>
    </w:p>
    <w:p w14:paraId="1D9252ED" w14:textId="2A9747B6" w:rsidR="000A0E8F" w:rsidRPr="001D018E" w:rsidRDefault="000A0E8F" w:rsidP="001D018E">
      <w:pPr>
        <w:widowControl w:val="0"/>
        <w:spacing w:before="240" w:after="120"/>
        <w:ind w:left="288" w:hanging="288"/>
        <w:jc w:val="both"/>
        <w:outlineLvl w:val="8"/>
        <w:rPr>
          <w:rFonts w:cs="Arial"/>
          <w:b/>
          <w:sz w:val="22"/>
          <w:szCs w:val="22"/>
        </w:rPr>
      </w:pPr>
      <w:r w:rsidRPr="001D018E">
        <w:rPr>
          <w:rFonts w:cs="Arial"/>
          <w:b/>
          <w:sz w:val="22"/>
          <w:szCs w:val="22"/>
        </w:rPr>
        <w:t xml:space="preserve">Restructuring </w:t>
      </w:r>
      <w:r w:rsidR="00CF5A7A" w:rsidRPr="001D018E">
        <w:rPr>
          <w:rFonts w:cs="Arial"/>
          <w:b/>
          <w:sz w:val="22"/>
          <w:szCs w:val="22"/>
        </w:rPr>
        <w:t>C</w:t>
      </w:r>
      <w:r w:rsidRPr="001D018E">
        <w:rPr>
          <w:rFonts w:cs="Arial"/>
          <w:b/>
          <w:sz w:val="22"/>
          <w:szCs w:val="22"/>
        </w:rPr>
        <w:t>osts</w:t>
      </w:r>
    </w:p>
    <w:p w14:paraId="1ED0D4D9" w14:textId="108EB5E0" w:rsidR="005444FF" w:rsidRDefault="00E478CD" w:rsidP="005444FF">
      <w:pPr>
        <w:autoSpaceDE w:val="0"/>
        <w:autoSpaceDN w:val="0"/>
        <w:adjustRightInd w:val="0"/>
        <w:spacing w:before="120"/>
        <w:jc w:val="both"/>
      </w:pPr>
      <w:r>
        <w:t>During Q2 2026 and the June 2026 period</w:t>
      </w:r>
      <w:r w:rsidR="005444FF" w:rsidRPr="005444FF">
        <w:t>, the Company recognized</w:t>
      </w:r>
      <w:r>
        <w:t xml:space="preserve"> restructuring expenses of</w:t>
      </w:r>
      <w:r w:rsidR="005444FF" w:rsidRPr="005444FF">
        <w:t xml:space="preserve"> $</w:t>
      </w:r>
      <w:r>
        <w:t>1,584,478</w:t>
      </w:r>
      <w:r w:rsidR="005444FF" w:rsidRPr="005444FF">
        <w:t xml:space="preserve"> </w:t>
      </w:r>
      <w:r>
        <w:t xml:space="preserve">and a net recovery of </w:t>
      </w:r>
      <w:r w:rsidR="00803C64">
        <w:t>$</w:t>
      </w:r>
      <w:r>
        <w:t xml:space="preserve">1,791,646, respectively. </w:t>
      </w:r>
      <w:r w:rsidRPr="00E478CD">
        <w:t xml:space="preserve">The net recovery was </w:t>
      </w:r>
      <w:r w:rsidR="005444FF" w:rsidRPr="005444FF">
        <w:t xml:space="preserve">primarily due to the reversal of a </w:t>
      </w:r>
      <w:r w:rsidR="00BC067E">
        <w:t>severance cost</w:t>
      </w:r>
      <w:r w:rsidR="005444FF" w:rsidRPr="005444FF">
        <w:t xml:space="preserve"> accrual related to the Chubut Concessions, </w:t>
      </w:r>
      <w:r w:rsidR="00BB35B9">
        <w:t xml:space="preserve">which was </w:t>
      </w:r>
      <w:r w:rsidRPr="00E478CD">
        <w:t>partially offset by restructuring costs incurred in connection with the Santa Cruz Concessions.</w:t>
      </w:r>
    </w:p>
    <w:p w14:paraId="25BA415E" w14:textId="4D7BBEE6" w:rsidR="00C07765" w:rsidRDefault="00993681" w:rsidP="001D018E">
      <w:pPr>
        <w:widowControl w:val="0"/>
        <w:spacing w:before="240" w:after="120"/>
        <w:ind w:left="288" w:hanging="288"/>
        <w:jc w:val="both"/>
        <w:outlineLvl w:val="8"/>
        <w:rPr>
          <w:rFonts w:cs="Arial"/>
          <w:b/>
          <w:sz w:val="22"/>
          <w:szCs w:val="22"/>
        </w:rPr>
      </w:pPr>
      <w:r w:rsidRPr="001D018E">
        <w:rPr>
          <w:rFonts w:cs="Arial"/>
          <w:b/>
          <w:sz w:val="22"/>
          <w:szCs w:val="22"/>
        </w:rPr>
        <w:t>Depletion and Depreciation</w:t>
      </w:r>
    </w:p>
    <w:tbl>
      <w:tblPr>
        <w:tblW w:w="9450" w:type="dxa"/>
        <w:tblLayout w:type="fixed"/>
        <w:tblLook w:val="0400" w:firstRow="0" w:lastRow="0" w:firstColumn="0" w:lastColumn="0" w:noHBand="0" w:noVBand="1"/>
      </w:tblPr>
      <w:tblGrid>
        <w:gridCol w:w="3870"/>
        <w:gridCol w:w="270"/>
        <w:gridCol w:w="1305"/>
        <w:gridCol w:w="1305"/>
        <w:gridCol w:w="1350"/>
        <w:gridCol w:w="1350"/>
      </w:tblGrid>
      <w:tr w:rsidR="00E91EF5" w14:paraId="71BE2B15" w14:textId="77777777" w:rsidTr="001354A6">
        <w:tc>
          <w:tcPr>
            <w:tcW w:w="3870" w:type="dxa"/>
            <w:tcBorders>
              <w:top w:val="single" w:sz="12" w:space="0" w:color="000000"/>
              <w:left w:val="nil"/>
              <w:bottom w:val="nil"/>
              <w:right w:val="nil"/>
            </w:tcBorders>
          </w:tcPr>
          <w:p w14:paraId="3A3896B9" w14:textId="77777777" w:rsidR="00E91EF5" w:rsidRPr="00B46D67" w:rsidRDefault="00E91EF5" w:rsidP="00E91EF5">
            <w:pPr>
              <w:widowControl w:val="0"/>
              <w:pBdr>
                <w:top w:val="nil"/>
                <w:left w:val="nil"/>
                <w:bottom w:val="nil"/>
                <w:right w:val="nil"/>
                <w:between w:val="nil"/>
              </w:pBdr>
              <w:spacing w:before="60"/>
              <w:jc w:val="both"/>
              <w:rPr>
                <w:b/>
                <w:color w:val="000000"/>
                <w:sz w:val="16"/>
                <w:szCs w:val="16"/>
              </w:rPr>
            </w:pPr>
          </w:p>
        </w:tc>
        <w:tc>
          <w:tcPr>
            <w:tcW w:w="270" w:type="dxa"/>
            <w:tcBorders>
              <w:top w:val="single" w:sz="12" w:space="0" w:color="000000"/>
              <w:left w:val="nil"/>
              <w:bottom w:val="nil"/>
              <w:right w:val="nil"/>
            </w:tcBorders>
            <w:vAlign w:val="bottom"/>
          </w:tcPr>
          <w:p w14:paraId="27FAF746" w14:textId="77777777" w:rsidR="00E91EF5" w:rsidRPr="00B46D67" w:rsidRDefault="00E91EF5" w:rsidP="00E91EF5">
            <w:pPr>
              <w:widowControl w:val="0"/>
              <w:pBdr>
                <w:top w:val="nil"/>
                <w:left w:val="nil"/>
                <w:bottom w:val="nil"/>
                <w:right w:val="nil"/>
                <w:between w:val="nil"/>
              </w:pBdr>
              <w:spacing w:before="60"/>
              <w:jc w:val="center"/>
              <w:rPr>
                <w:b/>
                <w:color w:val="000000"/>
                <w:sz w:val="16"/>
                <w:szCs w:val="16"/>
              </w:rPr>
            </w:pPr>
          </w:p>
        </w:tc>
        <w:tc>
          <w:tcPr>
            <w:tcW w:w="2610" w:type="dxa"/>
            <w:gridSpan w:val="2"/>
            <w:tcBorders>
              <w:top w:val="single" w:sz="12" w:space="0" w:color="000000"/>
              <w:left w:val="nil"/>
              <w:bottom w:val="nil"/>
              <w:right w:val="nil"/>
            </w:tcBorders>
            <w:vAlign w:val="bottom"/>
          </w:tcPr>
          <w:p w14:paraId="61ECF784" w14:textId="6DE19056" w:rsidR="00E91EF5" w:rsidRPr="00B46D67" w:rsidRDefault="00E91EF5" w:rsidP="00E91EF5">
            <w:pPr>
              <w:widowControl w:val="0"/>
              <w:pBdr>
                <w:top w:val="nil"/>
                <w:left w:val="nil"/>
                <w:bottom w:val="nil"/>
                <w:right w:val="nil"/>
                <w:between w:val="nil"/>
              </w:pBdr>
              <w:spacing w:before="60"/>
              <w:jc w:val="center"/>
              <w:rPr>
                <w:b/>
                <w:color w:val="000000"/>
                <w:sz w:val="16"/>
                <w:szCs w:val="16"/>
              </w:rPr>
            </w:pPr>
            <w:r>
              <w:rPr>
                <w:rFonts w:cs="Arial"/>
                <w:b/>
                <w:sz w:val="16"/>
                <w:szCs w:val="16"/>
              </w:rPr>
              <w:t>Three months ended</w:t>
            </w:r>
          </w:p>
        </w:tc>
        <w:tc>
          <w:tcPr>
            <w:tcW w:w="2700" w:type="dxa"/>
            <w:gridSpan w:val="2"/>
            <w:tcBorders>
              <w:top w:val="single" w:sz="12" w:space="0" w:color="000000"/>
              <w:left w:val="nil"/>
              <w:bottom w:val="nil"/>
              <w:right w:val="nil"/>
            </w:tcBorders>
            <w:vAlign w:val="bottom"/>
          </w:tcPr>
          <w:p w14:paraId="5AE080E8" w14:textId="078D7A94" w:rsidR="00E91EF5" w:rsidRPr="00B46D67" w:rsidRDefault="00E91EF5" w:rsidP="00E91EF5">
            <w:pPr>
              <w:widowControl w:val="0"/>
              <w:pBdr>
                <w:top w:val="nil"/>
                <w:left w:val="nil"/>
                <w:bottom w:val="nil"/>
                <w:right w:val="nil"/>
                <w:between w:val="nil"/>
              </w:pBdr>
              <w:spacing w:before="60"/>
              <w:jc w:val="center"/>
              <w:rPr>
                <w:b/>
                <w:color w:val="000000"/>
                <w:sz w:val="16"/>
                <w:szCs w:val="16"/>
              </w:rPr>
            </w:pPr>
            <w:r>
              <w:rPr>
                <w:rFonts w:cs="Arial"/>
                <w:b/>
                <w:sz w:val="16"/>
                <w:szCs w:val="16"/>
              </w:rPr>
              <w:t>Six months ended</w:t>
            </w:r>
          </w:p>
        </w:tc>
      </w:tr>
      <w:tr w:rsidR="00E91EF5" w14:paraId="10F622B9" w14:textId="77777777" w:rsidTr="001354A6">
        <w:tc>
          <w:tcPr>
            <w:tcW w:w="3870" w:type="dxa"/>
          </w:tcPr>
          <w:p w14:paraId="2787A690" w14:textId="77777777" w:rsidR="00E91EF5" w:rsidRDefault="00E91EF5" w:rsidP="00E91EF5">
            <w:pPr>
              <w:widowControl w:val="0"/>
              <w:pBdr>
                <w:top w:val="nil"/>
                <w:left w:val="nil"/>
                <w:bottom w:val="nil"/>
                <w:right w:val="nil"/>
                <w:between w:val="nil"/>
              </w:pBdr>
              <w:jc w:val="both"/>
              <w:rPr>
                <w:color w:val="000000"/>
                <w:sz w:val="18"/>
                <w:szCs w:val="18"/>
              </w:rPr>
            </w:pPr>
          </w:p>
        </w:tc>
        <w:tc>
          <w:tcPr>
            <w:tcW w:w="270" w:type="dxa"/>
            <w:vAlign w:val="bottom"/>
          </w:tcPr>
          <w:p w14:paraId="1A0DA560" w14:textId="77777777" w:rsidR="00E91EF5" w:rsidRDefault="00E91EF5" w:rsidP="00E91EF5">
            <w:pPr>
              <w:widowControl w:val="0"/>
              <w:pBdr>
                <w:top w:val="nil"/>
                <w:left w:val="nil"/>
                <w:bottom w:val="nil"/>
                <w:right w:val="nil"/>
                <w:between w:val="nil"/>
              </w:pBdr>
              <w:ind w:left="-108" w:right="-108"/>
              <w:jc w:val="center"/>
              <w:rPr>
                <w:b/>
                <w:color w:val="000000"/>
                <w:sz w:val="16"/>
                <w:szCs w:val="16"/>
              </w:rPr>
            </w:pPr>
          </w:p>
        </w:tc>
        <w:tc>
          <w:tcPr>
            <w:tcW w:w="2610" w:type="dxa"/>
            <w:gridSpan w:val="2"/>
            <w:vAlign w:val="bottom"/>
          </w:tcPr>
          <w:p w14:paraId="188E1D28" w14:textId="59A445C0"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June 30</w:t>
            </w:r>
          </w:p>
        </w:tc>
        <w:tc>
          <w:tcPr>
            <w:tcW w:w="2700" w:type="dxa"/>
            <w:gridSpan w:val="2"/>
            <w:vAlign w:val="bottom"/>
          </w:tcPr>
          <w:p w14:paraId="1F0153BC" w14:textId="4A80F5BC"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June 30</w:t>
            </w:r>
          </w:p>
        </w:tc>
      </w:tr>
      <w:tr w:rsidR="00E91EF5" w14:paraId="210CC9F8" w14:textId="77777777" w:rsidTr="001354A6">
        <w:tc>
          <w:tcPr>
            <w:tcW w:w="3870" w:type="dxa"/>
            <w:tcBorders>
              <w:top w:val="nil"/>
              <w:left w:val="nil"/>
              <w:bottom w:val="single" w:sz="4" w:space="0" w:color="000000"/>
              <w:right w:val="nil"/>
            </w:tcBorders>
          </w:tcPr>
          <w:p w14:paraId="4D9EDB5D" w14:textId="77777777" w:rsidR="00E91EF5" w:rsidRDefault="00E91EF5" w:rsidP="00E91EF5">
            <w:pPr>
              <w:widowControl w:val="0"/>
              <w:pBdr>
                <w:top w:val="nil"/>
                <w:left w:val="nil"/>
                <w:bottom w:val="nil"/>
                <w:right w:val="nil"/>
                <w:between w:val="nil"/>
              </w:pBdr>
              <w:jc w:val="both"/>
              <w:rPr>
                <w:color w:val="000000"/>
                <w:sz w:val="18"/>
                <w:szCs w:val="18"/>
              </w:rPr>
            </w:pPr>
          </w:p>
        </w:tc>
        <w:tc>
          <w:tcPr>
            <w:tcW w:w="270" w:type="dxa"/>
            <w:tcBorders>
              <w:top w:val="nil"/>
              <w:left w:val="nil"/>
              <w:bottom w:val="single" w:sz="4" w:space="0" w:color="000000"/>
              <w:right w:val="nil"/>
            </w:tcBorders>
            <w:vAlign w:val="bottom"/>
          </w:tcPr>
          <w:p w14:paraId="6252558D" w14:textId="77777777" w:rsidR="00E91EF5" w:rsidRDefault="00E91EF5" w:rsidP="00E91EF5">
            <w:pPr>
              <w:widowControl w:val="0"/>
              <w:pBdr>
                <w:top w:val="nil"/>
                <w:left w:val="nil"/>
                <w:bottom w:val="nil"/>
                <w:right w:val="nil"/>
                <w:between w:val="nil"/>
              </w:pBdr>
              <w:jc w:val="center"/>
              <w:rPr>
                <w:b/>
                <w:color w:val="000000"/>
                <w:sz w:val="16"/>
                <w:szCs w:val="16"/>
              </w:rPr>
            </w:pPr>
          </w:p>
        </w:tc>
        <w:tc>
          <w:tcPr>
            <w:tcW w:w="1305" w:type="dxa"/>
            <w:tcBorders>
              <w:top w:val="nil"/>
              <w:left w:val="nil"/>
              <w:bottom w:val="single" w:sz="4" w:space="0" w:color="000000"/>
              <w:right w:val="nil"/>
            </w:tcBorders>
            <w:vAlign w:val="bottom"/>
          </w:tcPr>
          <w:p w14:paraId="0BA8E91A" w14:textId="505FFC0C"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05" w:type="dxa"/>
            <w:tcBorders>
              <w:top w:val="nil"/>
              <w:left w:val="nil"/>
              <w:bottom w:val="single" w:sz="4" w:space="0" w:color="000000"/>
              <w:right w:val="nil"/>
            </w:tcBorders>
            <w:vAlign w:val="bottom"/>
          </w:tcPr>
          <w:p w14:paraId="6A034CFB" w14:textId="0D552E88"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c>
          <w:tcPr>
            <w:tcW w:w="1350" w:type="dxa"/>
            <w:tcBorders>
              <w:top w:val="nil"/>
              <w:left w:val="nil"/>
              <w:bottom w:val="single" w:sz="4" w:space="0" w:color="000000"/>
              <w:right w:val="nil"/>
            </w:tcBorders>
            <w:vAlign w:val="bottom"/>
          </w:tcPr>
          <w:p w14:paraId="1BAD1E6A" w14:textId="0B5B5947"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50" w:type="dxa"/>
            <w:tcBorders>
              <w:top w:val="nil"/>
              <w:left w:val="nil"/>
              <w:bottom w:val="single" w:sz="4" w:space="0" w:color="000000"/>
              <w:right w:val="nil"/>
            </w:tcBorders>
            <w:vAlign w:val="bottom"/>
          </w:tcPr>
          <w:p w14:paraId="5B748B31" w14:textId="2D2B9641"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r>
      <w:tr w:rsidR="00801DB6" w14:paraId="1FB3C51F" w14:textId="77777777">
        <w:trPr>
          <w:trHeight w:val="76"/>
        </w:trPr>
        <w:tc>
          <w:tcPr>
            <w:tcW w:w="3870" w:type="dxa"/>
            <w:vAlign w:val="bottom"/>
          </w:tcPr>
          <w:p w14:paraId="02ACE98B" w14:textId="77777777" w:rsidR="00801DB6" w:rsidRDefault="00801DB6" w:rsidP="00801DB6">
            <w:pPr>
              <w:pBdr>
                <w:top w:val="nil"/>
                <w:left w:val="nil"/>
                <w:bottom w:val="nil"/>
                <w:right w:val="nil"/>
                <w:between w:val="nil"/>
              </w:pBdr>
              <w:spacing w:before="60"/>
              <w:rPr>
                <w:color w:val="000000"/>
                <w:sz w:val="18"/>
                <w:szCs w:val="18"/>
              </w:rPr>
            </w:pPr>
            <w:r>
              <w:rPr>
                <w:color w:val="000000"/>
                <w:sz w:val="18"/>
                <w:szCs w:val="18"/>
              </w:rPr>
              <w:t>Depletion ($)</w:t>
            </w:r>
          </w:p>
        </w:tc>
        <w:tc>
          <w:tcPr>
            <w:tcW w:w="270" w:type="dxa"/>
            <w:vAlign w:val="bottom"/>
          </w:tcPr>
          <w:p w14:paraId="3E8820AF" w14:textId="77777777" w:rsidR="00801DB6" w:rsidRDefault="00801DB6" w:rsidP="00801DB6">
            <w:pPr>
              <w:pBdr>
                <w:top w:val="nil"/>
                <w:left w:val="nil"/>
                <w:bottom w:val="nil"/>
                <w:right w:val="nil"/>
                <w:between w:val="nil"/>
              </w:pBdr>
              <w:spacing w:before="60"/>
              <w:ind w:right="72"/>
              <w:jc w:val="right"/>
              <w:rPr>
                <w:color w:val="000000"/>
                <w:sz w:val="18"/>
                <w:szCs w:val="18"/>
              </w:rPr>
            </w:pPr>
          </w:p>
        </w:tc>
        <w:tc>
          <w:tcPr>
            <w:tcW w:w="1305" w:type="dxa"/>
          </w:tcPr>
          <w:p w14:paraId="075AB358" w14:textId="1217CBF2" w:rsidR="00801DB6" w:rsidRPr="00561A08" w:rsidRDefault="000A0AD8" w:rsidP="00801DB6">
            <w:pPr>
              <w:pBdr>
                <w:top w:val="nil"/>
                <w:left w:val="nil"/>
                <w:bottom w:val="nil"/>
                <w:right w:val="nil"/>
                <w:between w:val="nil"/>
              </w:pBdr>
              <w:spacing w:before="60"/>
              <w:ind w:right="72"/>
              <w:jc w:val="right"/>
              <w:rPr>
                <w:color w:val="000000"/>
                <w:sz w:val="18"/>
                <w:szCs w:val="18"/>
              </w:rPr>
            </w:pPr>
            <w:r>
              <w:rPr>
                <w:color w:val="000000"/>
                <w:sz w:val="18"/>
                <w:szCs w:val="18"/>
              </w:rPr>
              <w:t>5,806,407</w:t>
            </w:r>
          </w:p>
        </w:tc>
        <w:tc>
          <w:tcPr>
            <w:tcW w:w="1305" w:type="dxa"/>
          </w:tcPr>
          <w:p w14:paraId="3D9EF250" w14:textId="58622648" w:rsidR="00801DB6" w:rsidRPr="00561A08" w:rsidRDefault="00801DB6" w:rsidP="00801DB6">
            <w:pPr>
              <w:pBdr>
                <w:top w:val="nil"/>
                <w:left w:val="nil"/>
                <w:bottom w:val="nil"/>
                <w:right w:val="nil"/>
                <w:between w:val="nil"/>
              </w:pBdr>
              <w:spacing w:before="60"/>
              <w:ind w:right="72"/>
              <w:jc w:val="right"/>
              <w:rPr>
                <w:color w:val="000000"/>
                <w:sz w:val="18"/>
                <w:szCs w:val="18"/>
              </w:rPr>
            </w:pPr>
            <w:r w:rsidRPr="005E4FE2">
              <w:rPr>
                <w:sz w:val="18"/>
                <w:szCs w:val="18"/>
              </w:rPr>
              <w:t xml:space="preserve"> </w:t>
            </w:r>
            <w:r>
              <w:rPr>
                <w:sz w:val="18"/>
                <w:szCs w:val="18"/>
              </w:rPr>
              <w:t>3,534,939</w:t>
            </w:r>
            <w:r w:rsidRPr="005E4FE2">
              <w:rPr>
                <w:sz w:val="18"/>
                <w:szCs w:val="18"/>
              </w:rPr>
              <w:t xml:space="preserve"> </w:t>
            </w:r>
          </w:p>
        </w:tc>
        <w:tc>
          <w:tcPr>
            <w:tcW w:w="1350" w:type="dxa"/>
          </w:tcPr>
          <w:p w14:paraId="15C2BB82" w14:textId="209CBC6F" w:rsidR="00801DB6" w:rsidRPr="007304DA" w:rsidRDefault="000A0AD8" w:rsidP="00801DB6">
            <w:pPr>
              <w:pBdr>
                <w:top w:val="nil"/>
                <w:left w:val="nil"/>
                <w:bottom w:val="nil"/>
                <w:right w:val="nil"/>
                <w:between w:val="nil"/>
              </w:pBdr>
              <w:spacing w:before="60"/>
              <w:ind w:right="72"/>
              <w:jc w:val="right"/>
              <w:rPr>
                <w:color w:val="000000"/>
                <w:sz w:val="18"/>
                <w:szCs w:val="18"/>
              </w:rPr>
            </w:pPr>
            <w:r>
              <w:rPr>
                <w:color w:val="000000"/>
                <w:sz w:val="18"/>
                <w:szCs w:val="18"/>
              </w:rPr>
              <w:t>10,490,061</w:t>
            </w:r>
          </w:p>
        </w:tc>
        <w:tc>
          <w:tcPr>
            <w:tcW w:w="1350" w:type="dxa"/>
          </w:tcPr>
          <w:p w14:paraId="6AA038E6" w14:textId="711519F5" w:rsidR="00801DB6" w:rsidRDefault="00801DB6" w:rsidP="00801DB6">
            <w:pPr>
              <w:pBdr>
                <w:top w:val="nil"/>
                <w:left w:val="nil"/>
                <w:bottom w:val="nil"/>
                <w:right w:val="nil"/>
                <w:between w:val="nil"/>
              </w:pBdr>
              <w:spacing w:before="60"/>
              <w:ind w:right="72"/>
              <w:jc w:val="right"/>
              <w:rPr>
                <w:color w:val="000000"/>
                <w:sz w:val="18"/>
                <w:szCs w:val="18"/>
              </w:rPr>
            </w:pPr>
            <w:r w:rsidRPr="005E4FE2">
              <w:rPr>
                <w:sz w:val="18"/>
                <w:szCs w:val="18"/>
              </w:rPr>
              <w:t xml:space="preserve"> 7,024,156 </w:t>
            </w:r>
          </w:p>
        </w:tc>
      </w:tr>
      <w:tr w:rsidR="00801DB6" w14:paraId="2F619522" w14:textId="77777777">
        <w:tc>
          <w:tcPr>
            <w:tcW w:w="3870" w:type="dxa"/>
            <w:tcBorders>
              <w:top w:val="nil"/>
              <w:left w:val="nil"/>
              <w:bottom w:val="single" w:sz="4" w:space="0" w:color="000000"/>
              <w:right w:val="nil"/>
            </w:tcBorders>
            <w:vAlign w:val="bottom"/>
          </w:tcPr>
          <w:p w14:paraId="4E9DE983" w14:textId="77777777" w:rsidR="00801DB6" w:rsidRDefault="00801DB6" w:rsidP="00801DB6">
            <w:pPr>
              <w:pBdr>
                <w:top w:val="nil"/>
                <w:left w:val="nil"/>
                <w:bottom w:val="nil"/>
                <w:right w:val="nil"/>
                <w:between w:val="nil"/>
              </w:pBdr>
              <w:rPr>
                <w:color w:val="000000"/>
                <w:sz w:val="18"/>
                <w:szCs w:val="18"/>
              </w:rPr>
            </w:pPr>
            <w:r>
              <w:rPr>
                <w:color w:val="000000"/>
                <w:sz w:val="18"/>
                <w:szCs w:val="18"/>
              </w:rPr>
              <w:t>Depreciation ($)</w:t>
            </w:r>
          </w:p>
        </w:tc>
        <w:tc>
          <w:tcPr>
            <w:tcW w:w="270" w:type="dxa"/>
            <w:tcBorders>
              <w:top w:val="nil"/>
              <w:left w:val="nil"/>
              <w:bottom w:val="single" w:sz="4" w:space="0" w:color="000000"/>
              <w:right w:val="nil"/>
            </w:tcBorders>
            <w:vAlign w:val="bottom"/>
          </w:tcPr>
          <w:p w14:paraId="1B1429B9" w14:textId="77777777" w:rsidR="00801DB6" w:rsidRDefault="00801DB6" w:rsidP="00801DB6">
            <w:pPr>
              <w:pBdr>
                <w:top w:val="nil"/>
                <w:left w:val="nil"/>
                <w:bottom w:val="nil"/>
                <w:right w:val="nil"/>
                <w:between w:val="nil"/>
              </w:pBdr>
              <w:ind w:right="72"/>
              <w:jc w:val="right"/>
              <w:rPr>
                <w:color w:val="000000"/>
                <w:sz w:val="18"/>
                <w:szCs w:val="18"/>
              </w:rPr>
            </w:pPr>
          </w:p>
        </w:tc>
        <w:tc>
          <w:tcPr>
            <w:tcW w:w="1305" w:type="dxa"/>
            <w:tcBorders>
              <w:top w:val="nil"/>
              <w:left w:val="nil"/>
              <w:bottom w:val="single" w:sz="4" w:space="0" w:color="000000"/>
              <w:right w:val="nil"/>
            </w:tcBorders>
          </w:tcPr>
          <w:p w14:paraId="6F915D98" w14:textId="410D7503" w:rsidR="00801DB6" w:rsidRPr="00561A08" w:rsidRDefault="000A0AD8" w:rsidP="00801DB6">
            <w:pPr>
              <w:pBdr>
                <w:top w:val="nil"/>
                <w:left w:val="nil"/>
                <w:bottom w:val="nil"/>
                <w:right w:val="nil"/>
                <w:between w:val="nil"/>
              </w:pBdr>
              <w:ind w:right="72"/>
              <w:jc w:val="right"/>
              <w:rPr>
                <w:color w:val="000000"/>
                <w:sz w:val="18"/>
                <w:szCs w:val="18"/>
              </w:rPr>
            </w:pPr>
            <w:r>
              <w:rPr>
                <w:color w:val="000000"/>
                <w:sz w:val="18"/>
                <w:szCs w:val="18"/>
              </w:rPr>
              <w:t>364,630</w:t>
            </w:r>
          </w:p>
        </w:tc>
        <w:tc>
          <w:tcPr>
            <w:tcW w:w="1305" w:type="dxa"/>
            <w:tcBorders>
              <w:top w:val="nil"/>
              <w:left w:val="nil"/>
              <w:bottom w:val="single" w:sz="4" w:space="0" w:color="000000"/>
              <w:right w:val="nil"/>
            </w:tcBorders>
          </w:tcPr>
          <w:p w14:paraId="36C083AF" w14:textId="48638BFF" w:rsidR="00801DB6" w:rsidRPr="00561A08" w:rsidRDefault="00801DB6" w:rsidP="00801DB6">
            <w:pPr>
              <w:pBdr>
                <w:top w:val="nil"/>
                <w:left w:val="nil"/>
                <w:bottom w:val="nil"/>
                <w:right w:val="nil"/>
                <w:between w:val="nil"/>
              </w:pBdr>
              <w:ind w:right="72"/>
              <w:jc w:val="right"/>
              <w:rPr>
                <w:color w:val="000000"/>
                <w:sz w:val="18"/>
                <w:szCs w:val="18"/>
              </w:rPr>
            </w:pPr>
            <w:r>
              <w:rPr>
                <w:sz w:val="18"/>
                <w:szCs w:val="18"/>
              </w:rPr>
              <w:t>403,941</w:t>
            </w:r>
            <w:r w:rsidRPr="005E4FE2">
              <w:rPr>
                <w:sz w:val="18"/>
                <w:szCs w:val="18"/>
              </w:rPr>
              <w:t xml:space="preserve"> </w:t>
            </w:r>
          </w:p>
        </w:tc>
        <w:tc>
          <w:tcPr>
            <w:tcW w:w="1350" w:type="dxa"/>
            <w:tcBorders>
              <w:top w:val="nil"/>
              <w:left w:val="nil"/>
              <w:bottom w:val="single" w:sz="4" w:space="0" w:color="000000"/>
              <w:right w:val="nil"/>
            </w:tcBorders>
          </w:tcPr>
          <w:p w14:paraId="1288A6F8" w14:textId="135831C7" w:rsidR="00801DB6" w:rsidRPr="007304DA" w:rsidRDefault="000A0AD8" w:rsidP="00801DB6">
            <w:pPr>
              <w:pBdr>
                <w:top w:val="nil"/>
                <w:left w:val="nil"/>
                <w:bottom w:val="nil"/>
                <w:right w:val="nil"/>
                <w:between w:val="nil"/>
              </w:pBdr>
              <w:ind w:right="72"/>
              <w:jc w:val="right"/>
              <w:rPr>
                <w:color w:val="000000"/>
                <w:sz w:val="18"/>
                <w:szCs w:val="18"/>
              </w:rPr>
            </w:pPr>
            <w:r>
              <w:rPr>
                <w:color w:val="000000"/>
                <w:sz w:val="18"/>
                <w:szCs w:val="18"/>
              </w:rPr>
              <w:t>728,931</w:t>
            </w:r>
          </w:p>
        </w:tc>
        <w:tc>
          <w:tcPr>
            <w:tcW w:w="1350" w:type="dxa"/>
            <w:tcBorders>
              <w:top w:val="nil"/>
              <w:left w:val="nil"/>
              <w:bottom w:val="single" w:sz="4" w:space="0" w:color="000000"/>
              <w:right w:val="nil"/>
            </w:tcBorders>
          </w:tcPr>
          <w:p w14:paraId="1F7A3C22" w14:textId="5D884AB6" w:rsidR="00801DB6" w:rsidRDefault="00801DB6" w:rsidP="00801DB6">
            <w:pPr>
              <w:pBdr>
                <w:top w:val="nil"/>
                <w:left w:val="nil"/>
                <w:bottom w:val="nil"/>
                <w:right w:val="nil"/>
                <w:between w:val="nil"/>
              </w:pBdr>
              <w:ind w:right="72"/>
              <w:jc w:val="right"/>
              <w:rPr>
                <w:color w:val="000000"/>
                <w:sz w:val="18"/>
                <w:szCs w:val="18"/>
              </w:rPr>
            </w:pPr>
            <w:r w:rsidRPr="005E4FE2">
              <w:rPr>
                <w:sz w:val="18"/>
                <w:szCs w:val="18"/>
              </w:rPr>
              <w:t xml:space="preserve"> 767,237 </w:t>
            </w:r>
          </w:p>
        </w:tc>
      </w:tr>
      <w:tr w:rsidR="00801DB6" w14:paraId="2A97BC91" w14:textId="77777777">
        <w:trPr>
          <w:trHeight w:val="347"/>
        </w:trPr>
        <w:tc>
          <w:tcPr>
            <w:tcW w:w="3870" w:type="dxa"/>
            <w:tcBorders>
              <w:top w:val="single" w:sz="4" w:space="0" w:color="000000"/>
              <w:left w:val="nil"/>
              <w:bottom w:val="single" w:sz="12" w:space="0" w:color="000000"/>
              <w:right w:val="nil"/>
            </w:tcBorders>
            <w:vAlign w:val="bottom"/>
          </w:tcPr>
          <w:p w14:paraId="4DA2F658" w14:textId="77777777" w:rsidR="00801DB6" w:rsidRDefault="00801DB6" w:rsidP="00801DB6">
            <w:pPr>
              <w:pBdr>
                <w:top w:val="nil"/>
                <w:left w:val="nil"/>
                <w:bottom w:val="nil"/>
                <w:right w:val="nil"/>
                <w:between w:val="nil"/>
              </w:pBdr>
              <w:spacing w:before="120"/>
              <w:rPr>
                <w:color w:val="000000"/>
              </w:rPr>
            </w:pPr>
          </w:p>
        </w:tc>
        <w:tc>
          <w:tcPr>
            <w:tcW w:w="270" w:type="dxa"/>
            <w:tcBorders>
              <w:top w:val="single" w:sz="4" w:space="0" w:color="000000"/>
              <w:left w:val="nil"/>
              <w:bottom w:val="single" w:sz="12" w:space="0" w:color="000000"/>
              <w:right w:val="nil"/>
            </w:tcBorders>
            <w:vAlign w:val="bottom"/>
          </w:tcPr>
          <w:p w14:paraId="7FD16242" w14:textId="77777777" w:rsidR="00801DB6" w:rsidRDefault="00801DB6" w:rsidP="00801DB6">
            <w:pPr>
              <w:pBdr>
                <w:top w:val="nil"/>
                <w:left w:val="nil"/>
                <w:bottom w:val="nil"/>
                <w:right w:val="nil"/>
                <w:between w:val="nil"/>
              </w:pBdr>
              <w:spacing w:before="120" w:after="40"/>
              <w:ind w:right="72"/>
              <w:jc w:val="right"/>
              <w:rPr>
                <w:color w:val="000000"/>
                <w:sz w:val="18"/>
                <w:szCs w:val="18"/>
              </w:rPr>
            </w:pPr>
          </w:p>
        </w:tc>
        <w:tc>
          <w:tcPr>
            <w:tcW w:w="1305" w:type="dxa"/>
            <w:tcBorders>
              <w:top w:val="single" w:sz="4" w:space="0" w:color="000000"/>
              <w:left w:val="nil"/>
              <w:bottom w:val="single" w:sz="12" w:space="0" w:color="000000"/>
              <w:right w:val="nil"/>
            </w:tcBorders>
            <w:vAlign w:val="bottom"/>
          </w:tcPr>
          <w:p w14:paraId="1EB38B72" w14:textId="3C886DD9" w:rsidR="00801DB6" w:rsidRPr="00561A08" w:rsidRDefault="000A0AD8" w:rsidP="00801DB6">
            <w:pPr>
              <w:pBdr>
                <w:top w:val="nil"/>
                <w:left w:val="nil"/>
                <w:bottom w:val="nil"/>
                <w:right w:val="nil"/>
                <w:between w:val="nil"/>
              </w:pBdr>
              <w:spacing w:before="120" w:after="40"/>
              <w:ind w:right="72"/>
              <w:jc w:val="right"/>
              <w:rPr>
                <w:color w:val="000000"/>
                <w:sz w:val="18"/>
                <w:szCs w:val="18"/>
              </w:rPr>
            </w:pPr>
            <w:r>
              <w:rPr>
                <w:color w:val="000000"/>
                <w:sz w:val="18"/>
                <w:szCs w:val="18"/>
              </w:rPr>
              <w:t>6,171,037</w:t>
            </w:r>
          </w:p>
        </w:tc>
        <w:tc>
          <w:tcPr>
            <w:tcW w:w="1305" w:type="dxa"/>
            <w:tcBorders>
              <w:top w:val="single" w:sz="4" w:space="0" w:color="000000"/>
              <w:left w:val="nil"/>
              <w:bottom w:val="single" w:sz="12" w:space="0" w:color="000000"/>
              <w:right w:val="nil"/>
            </w:tcBorders>
          </w:tcPr>
          <w:p w14:paraId="68F9457D" w14:textId="2DFE886F" w:rsidR="00801DB6" w:rsidRPr="00561A08" w:rsidRDefault="00801DB6" w:rsidP="00801DB6">
            <w:pPr>
              <w:pBdr>
                <w:top w:val="nil"/>
                <w:left w:val="nil"/>
                <w:bottom w:val="nil"/>
                <w:right w:val="nil"/>
                <w:between w:val="nil"/>
              </w:pBdr>
              <w:spacing w:before="120" w:after="40"/>
              <w:ind w:right="72"/>
              <w:jc w:val="right"/>
              <w:rPr>
                <w:color w:val="000000"/>
                <w:sz w:val="18"/>
                <w:szCs w:val="18"/>
              </w:rPr>
            </w:pPr>
            <w:r w:rsidRPr="005E4FE2">
              <w:rPr>
                <w:sz w:val="18"/>
                <w:szCs w:val="18"/>
              </w:rPr>
              <w:t xml:space="preserve"> 3,938,880 </w:t>
            </w:r>
          </w:p>
        </w:tc>
        <w:tc>
          <w:tcPr>
            <w:tcW w:w="1350" w:type="dxa"/>
            <w:tcBorders>
              <w:top w:val="single" w:sz="4" w:space="0" w:color="000000"/>
              <w:left w:val="nil"/>
              <w:bottom w:val="single" w:sz="12" w:space="0" w:color="000000"/>
              <w:right w:val="nil"/>
            </w:tcBorders>
          </w:tcPr>
          <w:p w14:paraId="3DEBCBA4" w14:textId="7A3B5360" w:rsidR="00801DB6" w:rsidRPr="007304DA" w:rsidRDefault="000A0AD8" w:rsidP="00801DB6">
            <w:pPr>
              <w:pBdr>
                <w:top w:val="nil"/>
                <w:left w:val="nil"/>
                <w:bottom w:val="nil"/>
                <w:right w:val="nil"/>
                <w:between w:val="nil"/>
              </w:pBdr>
              <w:spacing w:before="120" w:after="40"/>
              <w:ind w:right="72"/>
              <w:jc w:val="right"/>
              <w:rPr>
                <w:color w:val="000000"/>
                <w:sz w:val="18"/>
                <w:szCs w:val="18"/>
              </w:rPr>
            </w:pPr>
            <w:r>
              <w:rPr>
                <w:color w:val="000000"/>
                <w:sz w:val="18"/>
                <w:szCs w:val="18"/>
              </w:rPr>
              <w:t>11,218,992</w:t>
            </w:r>
          </w:p>
        </w:tc>
        <w:tc>
          <w:tcPr>
            <w:tcW w:w="1350" w:type="dxa"/>
            <w:tcBorders>
              <w:top w:val="single" w:sz="4" w:space="0" w:color="000000"/>
              <w:left w:val="nil"/>
              <w:bottom w:val="single" w:sz="12" w:space="0" w:color="000000"/>
              <w:right w:val="nil"/>
            </w:tcBorders>
          </w:tcPr>
          <w:p w14:paraId="19F01664" w14:textId="34C325FE" w:rsidR="00801DB6" w:rsidRDefault="00801DB6" w:rsidP="00801DB6">
            <w:pPr>
              <w:pBdr>
                <w:top w:val="nil"/>
                <w:left w:val="nil"/>
                <w:bottom w:val="nil"/>
                <w:right w:val="nil"/>
                <w:between w:val="nil"/>
              </w:pBdr>
              <w:spacing w:before="120" w:after="40"/>
              <w:ind w:right="72"/>
              <w:jc w:val="right"/>
              <w:rPr>
                <w:color w:val="000000"/>
                <w:sz w:val="18"/>
                <w:szCs w:val="18"/>
              </w:rPr>
            </w:pPr>
            <w:r w:rsidRPr="005E4FE2">
              <w:rPr>
                <w:sz w:val="18"/>
                <w:szCs w:val="18"/>
              </w:rPr>
              <w:t xml:space="preserve"> 7,791,393 </w:t>
            </w:r>
          </w:p>
        </w:tc>
      </w:tr>
      <w:tr w:rsidR="00801DB6" w14:paraId="4F16F307" w14:textId="77777777">
        <w:trPr>
          <w:trHeight w:val="212"/>
        </w:trPr>
        <w:tc>
          <w:tcPr>
            <w:tcW w:w="3870" w:type="dxa"/>
            <w:tcBorders>
              <w:top w:val="nil"/>
              <w:left w:val="nil"/>
              <w:bottom w:val="single" w:sz="12" w:space="0" w:color="000000"/>
              <w:right w:val="nil"/>
            </w:tcBorders>
          </w:tcPr>
          <w:p w14:paraId="1A29D009" w14:textId="77777777" w:rsidR="00801DB6" w:rsidRDefault="00801DB6" w:rsidP="00801DB6">
            <w:pPr>
              <w:pBdr>
                <w:top w:val="nil"/>
                <w:left w:val="nil"/>
                <w:bottom w:val="nil"/>
                <w:right w:val="nil"/>
                <w:between w:val="nil"/>
              </w:pBdr>
              <w:spacing w:before="60" w:after="40"/>
              <w:rPr>
                <w:color w:val="000000"/>
                <w:sz w:val="18"/>
                <w:szCs w:val="18"/>
              </w:rPr>
            </w:pPr>
            <w:r>
              <w:rPr>
                <w:color w:val="000000"/>
                <w:sz w:val="18"/>
                <w:szCs w:val="18"/>
              </w:rPr>
              <w:t>Depletion rate per BOE ($)</w:t>
            </w:r>
          </w:p>
        </w:tc>
        <w:tc>
          <w:tcPr>
            <w:tcW w:w="270" w:type="dxa"/>
            <w:tcBorders>
              <w:top w:val="nil"/>
              <w:left w:val="nil"/>
              <w:bottom w:val="single" w:sz="12" w:space="0" w:color="000000"/>
              <w:right w:val="nil"/>
            </w:tcBorders>
            <w:vAlign w:val="bottom"/>
          </w:tcPr>
          <w:p w14:paraId="511E9613" w14:textId="77777777" w:rsidR="00801DB6" w:rsidRDefault="00801DB6" w:rsidP="00801DB6">
            <w:pPr>
              <w:pBdr>
                <w:top w:val="nil"/>
                <w:left w:val="nil"/>
                <w:bottom w:val="nil"/>
                <w:right w:val="nil"/>
                <w:between w:val="nil"/>
              </w:pBdr>
              <w:spacing w:before="60" w:after="40"/>
              <w:ind w:right="224"/>
              <w:jc w:val="right"/>
              <w:rPr>
                <w:color w:val="000000"/>
                <w:sz w:val="18"/>
                <w:szCs w:val="18"/>
              </w:rPr>
            </w:pPr>
          </w:p>
        </w:tc>
        <w:tc>
          <w:tcPr>
            <w:tcW w:w="1305" w:type="dxa"/>
            <w:tcBorders>
              <w:top w:val="nil"/>
              <w:left w:val="nil"/>
              <w:bottom w:val="single" w:sz="12" w:space="0" w:color="000000"/>
              <w:right w:val="nil"/>
            </w:tcBorders>
            <w:vAlign w:val="bottom"/>
          </w:tcPr>
          <w:p w14:paraId="1D704892" w14:textId="185C7E1C" w:rsidR="00801DB6" w:rsidRPr="00561A08" w:rsidRDefault="000A0AD8" w:rsidP="00801DB6">
            <w:pPr>
              <w:pBdr>
                <w:top w:val="nil"/>
                <w:left w:val="nil"/>
                <w:bottom w:val="nil"/>
                <w:right w:val="nil"/>
                <w:between w:val="nil"/>
              </w:pBdr>
              <w:spacing w:before="60" w:after="40"/>
              <w:ind w:right="72"/>
              <w:jc w:val="right"/>
              <w:rPr>
                <w:color w:val="000000"/>
                <w:sz w:val="18"/>
                <w:szCs w:val="18"/>
              </w:rPr>
            </w:pPr>
            <w:r>
              <w:rPr>
                <w:color w:val="000000"/>
                <w:sz w:val="18"/>
                <w:szCs w:val="18"/>
              </w:rPr>
              <w:t>6.97</w:t>
            </w:r>
          </w:p>
        </w:tc>
        <w:tc>
          <w:tcPr>
            <w:tcW w:w="1305" w:type="dxa"/>
            <w:tcBorders>
              <w:top w:val="nil"/>
              <w:left w:val="nil"/>
              <w:bottom w:val="single" w:sz="12" w:space="0" w:color="000000"/>
              <w:right w:val="nil"/>
            </w:tcBorders>
          </w:tcPr>
          <w:p w14:paraId="779CD191" w14:textId="18C4D927" w:rsidR="00801DB6" w:rsidRPr="00561A08" w:rsidRDefault="00801DB6" w:rsidP="00801DB6">
            <w:pPr>
              <w:pBdr>
                <w:top w:val="nil"/>
                <w:left w:val="nil"/>
                <w:bottom w:val="nil"/>
                <w:right w:val="nil"/>
                <w:between w:val="nil"/>
              </w:pBdr>
              <w:spacing w:before="60" w:after="40"/>
              <w:ind w:right="72"/>
              <w:jc w:val="right"/>
              <w:rPr>
                <w:color w:val="000000"/>
                <w:sz w:val="18"/>
                <w:szCs w:val="18"/>
              </w:rPr>
            </w:pPr>
            <w:r w:rsidRPr="005E4FE2">
              <w:rPr>
                <w:sz w:val="18"/>
                <w:szCs w:val="18"/>
              </w:rPr>
              <w:t xml:space="preserve"> </w:t>
            </w:r>
            <w:r>
              <w:rPr>
                <w:sz w:val="18"/>
                <w:szCs w:val="18"/>
              </w:rPr>
              <w:t>9.52</w:t>
            </w:r>
            <w:r w:rsidRPr="005E4FE2">
              <w:rPr>
                <w:sz w:val="18"/>
                <w:szCs w:val="18"/>
              </w:rPr>
              <w:t xml:space="preserve"> </w:t>
            </w:r>
          </w:p>
        </w:tc>
        <w:tc>
          <w:tcPr>
            <w:tcW w:w="1350" w:type="dxa"/>
            <w:tcBorders>
              <w:top w:val="nil"/>
              <w:left w:val="nil"/>
              <w:bottom w:val="single" w:sz="12" w:space="0" w:color="000000"/>
              <w:right w:val="nil"/>
            </w:tcBorders>
          </w:tcPr>
          <w:p w14:paraId="5620A149" w14:textId="2D877335" w:rsidR="00801DB6" w:rsidRPr="007304DA" w:rsidRDefault="000A0AD8" w:rsidP="00801DB6">
            <w:pPr>
              <w:pBdr>
                <w:top w:val="nil"/>
                <w:left w:val="nil"/>
                <w:bottom w:val="nil"/>
                <w:right w:val="nil"/>
                <w:between w:val="nil"/>
              </w:pBdr>
              <w:spacing w:before="60" w:after="40"/>
              <w:ind w:right="72"/>
              <w:jc w:val="right"/>
              <w:rPr>
                <w:color w:val="000000"/>
                <w:sz w:val="18"/>
                <w:szCs w:val="18"/>
              </w:rPr>
            </w:pPr>
            <w:r>
              <w:rPr>
                <w:color w:val="000000"/>
                <w:sz w:val="18"/>
                <w:szCs w:val="18"/>
              </w:rPr>
              <w:t>6.80</w:t>
            </w:r>
          </w:p>
        </w:tc>
        <w:tc>
          <w:tcPr>
            <w:tcW w:w="1350" w:type="dxa"/>
            <w:tcBorders>
              <w:top w:val="nil"/>
              <w:left w:val="nil"/>
              <w:bottom w:val="single" w:sz="12" w:space="0" w:color="000000"/>
              <w:right w:val="nil"/>
            </w:tcBorders>
          </w:tcPr>
          <w:p w14:paraId="3CD83FDE" w14:textId="23EF6F11" w:rsidR="00801DB6" w:rsidRDefault="00801DB6" w:rsidP="00801DB6">
            <w:pPr>
              <w:pBdr>
                <w:top w:val="nil"/>
                <w:left w:val="nil"/>
                <w:bottom w:val="nil"/>
                <w:right w:val="nil"/>
                <w:between w:val="nil"/>
              </w:pBdr>
              <w:spacing w:before="60" w:after="40"/>
              <w:ind w:right="72"/>
              <w:jc w:val="right"/>
              <w:rPr>
                <w:color w:val="000000"/>
                <w:sz w:val="18"/>
                <w:szCs w:val="18"/>
              </w:rPr>
            </w:pPr>
            <w:r w:rsidRPr="005E4FE2">
              <w:rPr>
                <w:sz w:val="18"/>
                <w:szCs w:val="18"/>
              </w:rPr>
              <w:t xml:space="preserve"> 9.28 </w:t>
            </w:r>
          </w:p>
        </w:tc>
      </w:tr>
      <w:tr w:rsidR="00801DB6" w14:paraId="79845547" w14:textId="77777777" w:rsidTr="001354A6">
        <w:trPr>
          <w:trHeight w:val="50"/>
        </w:trPr>
        <w:tc>
          <w:tcPr>
            <w:tcW w:w="3870" w:type="dxa"/>
            <w:tcBorders>
              <w:top w:val="single" w:sz="12" w:space="0" w:color="000000"/>
              <w:left w:val="nil"/>
              <w:bottom w:val="nil"/>
              <w:right w:val="nil"/>
            </w:tcBorders>
          </w:tcPr>
          <w:p w14:paraId="3E76230B" w14:textId="77777777" w:rsidR="00801DB6" w:rsidRDefault="00801DB6" w:rsidP="00801DB6">
            <w:pPr>
              <w:pBdr>
                <w:top w:val="nil"/>
                <w:left w:val="nil"/>
                <w:bottom w:val="nil"/>
                <w:right w:val="nil"/>
                <w:between w:val="nil"/>
              </w:pBdr>
              <w:rPr>
                <w:color w:val="000000"/>
                <w:sz w:val="4"/>
                <w:szCs w:val="4"/>
              </w:rPr>
            </w:pPr>
          </w:p>
        </w:tc>
        <w:tc>
          <w:tcPr>
            <w:tcW w:w="270" w:type="dxa"/>
            <w:tcBorders>
              <w:top w:val="single" w:sz="12" w:space="0" w:color="000000"/>
              <w:left w:val="nil"/>
              <w:bottom w:val="nil"/>
              <w:right w:val="nil"/>
            </w:tcBorders>
            <w:vAlign w:val="bottom"/>
          </w:tcPr>
          <w:p w14:paraId="552B2C1F" w14:textId="77777777" w:rsidR="00801DB6" w:rsidRDefault="00801DB6" w:rsidP="00801DB6">
            <w:pPr>
              <w:pBdr>
                <w:top w:val="nil"/>
                <w:left w:val="nil"/>
                <w:bottom w:val="nil"/>
                <w:right w:val="nil"/>
                <w:between w:val="nil"/>
              </w:pBdr>
              <w:ind w:right="224"/>
              <w:jc w:val="right"/>
              <w:rPr>
                <w:color w:val="000000"/>
                <w:sz w:val="4"/>
                <w:szCs w:val="4"/>
              </w:rPr>
            </w:pPr>
          </w:p>
        </w:tc>
        <w:tc>
          <w:tcPr>
            <w:tcW w:w="1305" w:type="dxa"/>
            <w:tcBorders>
              <w:top w:val="single" w:sz="12" w:space="0" w:color="000000"/>
              <w:left w:val="nil"/>
              <w:bottom w:val="nil"/>
              <w:right w:val="nil"/>
            </w:tcBorders>
            <w:vAlign w:val="bottom"/>
          </w:tcPr>
          <w:p w14:paraId="744873E8" w14:textId="77777777" w:rsidR="00801DB6" w:rsidRDefault="00801DB6" w:rsidP="00801DB6">
            <w:pPr>
              <w:pBdr>
                <w:top w:val="nil"/>
                <w:left w:val="nil"/>
                <w:bottom w:val="nil"/>
                <w:right w:val="nil"/>
                <w:between w:val="nil"/>
              </w:pBdr>
              <w:ind w:right="224"/>
              <w:jc w:val="right"/>
              <w:rPr>
                <w:color w:val="000000"/>
                <w:sz w:val="4"/>
                <w:szCs w:val="4"/>
              </w:rPr>
            </w:pPr>
          </w:p>
        </w:tc>
        <w:tc>
          <w:tcPr>
            <w:tcW w:w="1305" w:type="dxa"/>
            <w:tcBorders>
              <w:top w:val="single" w:sz="12" w:space="0" w:color="000000"/>
              <w:left w:val="nil"/>
              <w:bottom w:val="nil"/>
              <w:right w:val="nil"/>
            </w:tcBorders>
            <w:vAlign w:val="bottom"/>
          </w:tcPr>
          <w:p w14:paraId="1A937289" w14:textId="77777777" w:rsidR="00801DB6" w:rsidRDefault="00801DB6" w:rsidP="00801DB6">
            <w:pPr>
              <w:pBdr>
                <w:top w:val="nil"/>
                <w:left w:val="nil"/>
                <w:bottom w:val="nil"/>
                <w:right w:val="nil"/>
                <w:between w:val="nil"/>
              </w:pBdr>
              <w:ind w:right="72"/>
              <w:jc w:val="right"/>
              <w:rPr>
                <w:color w:val="000000"/>
                <w:sz w:val="4"/>
                <w:szCs w:val="4"/>
              </w:rPr>
            </w:pPr>
          </w:p>
        </w:tc>
        <w:tc>
          <w:tcPr>
            <w:tcW w:w="1350" w:type="dxa"/>
            <w:tcBorders>
              <w:top w:val="single" w:sz="12" w:space="0" w:color="000000"/>
              <w:left w:val="nil"/>
              <w:bottom w:val="nil"/>
              <w:right w:val="nil"/>
            </w:tcBorders>
            <w:vAlign w:val="bottom"/>
          </w:tcPr>
          <w:p w14:paraId="259DB0F0" w14:textId="77777777" w:rsidR="00801DB6" w:rsidRDefault="00801DB6" w:rsidP="00801DB6">
            <w:pPr>
              <w:pBdr>
                <w:top w:val="nil"/>
                <w:left w:val="nil"/>
                <w:bottom w:val="nil"/>
                <w:right w:val="nil"/>
                <w:between w:val="nil"/>
              </w:pBdr>
              <w:ind w:right="72"/>
              <w:jc w:val="right"/>
              <w:rPr>
                <w:color w:val="000000"/>
                <w:sz w:val="4"/>
                <w:szCs w:val="4"/>
              </w:rPr>
            </w:pPr>
          </w:p>
        </w:tc>
        <w:tc>
          <w:tcPr>
            <w:tcW w:w="1350" w:type="dxa"/>
            <w:tcBorders>
              <w:top w:val="single" w:sz="12" w:space="0" w:color="000000"/>
              <w:left w:val="nil"/>
              <w:bottom w:val="nil"/>
              <w:right w:val="nil"/>
            </w:tcBorders>
            <w:vAlign w:val="bottom"/>
          </w:tcPr>
          <w:p w14:paraId="2D999F63" w14:textId="77777777" w:rsidR="00801DB6" w:rsidRDefault="00801DB6" w:rsidP="00801DB6">
            <w:pPr>
              <w:pBdr>
                <w:top w:val="nil"/>
                <w:left w:val="nil"/>
                <w:bottom w:val="nil"/>
                <w:right w:val="nil"/>
                <w:between w:val="nil"/>
              </w:pBdr>
              <w:ind w:right="72"/>
              <w:jc w:val="right"/>
              <w:rPr>
                <w:color w:val="000000"/>
                <w:sz w:val="4"/>
                <w:szCs w:val="4"/>
              </w:rPr>
            </w:pPr>
          </w:p>
        </w:tc>
      </w:tr>
    </w:tbl>
    <w:p w14:paraId="640C079D" w14:textId="7FD70B8D" w:rsidR="00EF7DCB" w:rsidRDefault="00EF7DCB" w:rsidP="00591EC8">
      <w:pPr>
        <w:pStyle w:val="BodyText2"/>
        <w:widowControl w:val="0"/>
        <w:spacing w:before="120"/>
        <w:rPr>
          <w:rFonts w:cs="Arial"/>
        </w:rPr>
      </w:pPr>
      <w:r>
        <w:rPr>
          <w:rFonts w:cs="Arial"/>
        </w:rPr>
        <w:t>Depletion rates reflect the all-in combined charge of drilling operations, various asset acquisitions and investments in facilities and gathering systems. Office furniture, equipment and other assets are recorded at cost less accumulated depreciation.  Depreciation is provided over the estimated useful lives of the assets using a straight</w:t>
      </w:r>
      <w:r w:rsidR="00475E6A">
        <w:rPr>
          <w:rFonts w:cs="Arial"/>
        </w:rPr>
        <w:t>-</w:t>
      </w:r>
      <w:r>
        <w:rPr>
          <w:rFonts w:cs="Arial"/>
        </w:rPr>
        <w:t xml:space="preserve">line basis over 3 to 10 years for Argentina office furniture and equipment and a </w:t>
      </w:r>
      <w:r>
        <w:rPr>
          <w:rFonts w:cs="Arial"/>
        </w:rPr>
        <w:lastRenderedPageBreak/>
        <w:t>straight</w:t>
      </w:r>
      <w:r w:rsidR="00312A1C">
        <w:rPr>
          <w:rFonts w:cs="Arial"/>
        </w:rPr>
        <w:t>-</w:t>
      </w:r>
      <w:r>
        <w:rPr>
          <w:rFonts w:cs="Arial"/>
        </w:rPr>
        <w:t xml:space="preserve"> line basis over the term of the lease for leasehold improvements and right-of-use assets.  </w:t>
      </w:r>
    </w:p>
    <w:p w14:paraId="43DE7FE0" w14:textId="53E7B1B1" w:rsidR="00026965" w:rsidRDefault="002A2A64" w:rsidP="00026965">
      <w:pPr>
        <w:pStyle w:val="BodyText2"/>
        <w:widowControl w:val="0"/>
        <w:spacing w:before="120"/>
        <w:rPr>
          <w:rFonts w:cs="Arial"/>
        </w:rPr>
      </w:pPr>
      <w:r w:rsidRPr="000A0AD8">
        <w:rPr>
          <w:rFonts w:cs="Arial"/>
        </w:rPr>
        <w:t>The depletion rate per BOE is</w:t>
      </w:r>
      <w:r w:rsidR="00D86792" w:rsidRPr="000A0AD8">
        <w:rPr>
          <w:rFonts w:cs="Arial"/>
        </w:rPr>
        <w:t xml:space="preserve"> </w:t>
      </w:r>
      <w:r w:rsidRPr="000A0AD8">
        <w:rPr>
          <w:rFonts w:cs="Arial"/>
        </w:rPr>
        <w:t xml:space="preserve">lower in </w:t>
      </w:r>
      <w:r w:rsidR="005120B8" w:rsidRPr="000A0AD8">
        <w:rPr>
          <w:rFonts w:cs="Arial"/>
        </w:rPr>
        <w:t xml:space="preserve">the </w:t>
      </w:r>
      <w:r w:rsidR="005120B8" w:rsidRPr="000A0AD8">
        <w:t>2026</w:t>
      </w:r>
      <w:r w:rsidR="005120B8" w:rsidRPr="000A0AD8">
        <w:rPr>
          <w:rFonts w:cs="Arial"/>
        </w:rPr>
        <w:t xml:space="preserve"> periods than in the 2025 periods </w:t>
      </w:r>
      <w:r w:rsidRPr="000A0AD8">
        <w:rPr>
          <w:rFonts w:cs="Arial"/>
        </w:rPr>
        <w:t>due to</w:t>
      </w:r>
      <w:r w:rsidR="00026965" w:rsidRPr="000A0AD8">
        <w:rPr>
          <w:rFonts w:cs="Arial"/>
        </w:rPr>
        <w:t xml:space="preserve"> the </w:t>
      </w:r>
      <w:r w:rsidR="00730296" w:rsidRPr="000A0AD8">
        <w:rPr>
          <w:rFonts w:cs="Arial"/>
        </w:rPr>
        <w:t xml:space="preserve">impact of </w:t>
      </w:r>
      <w:r w:rsidR="00026965" w:rsidRPr="000A0AD8">
        <w:rPr>
          <w:rFonts w:cs="Arial"/>
        </w:rPr>
        <w:t xml:space="preserve">the Chubut Concessions </w:t>
      </w:r>
      <w:r w:rsidR="002F6488" w:rsidRPr="000A0AD8">
        <w:rPr>
          <w:rFonts w:cs="Arial"/>
        </w:rPr>
        <w:t>acquired in Q4 2025</w:t>
      </w:r>
      <w:r w:rsidR="00224E68" w:rsidRPr="000A0AD8">
        <w:rPr>
          <w:rFonts w:cs="Arial"/>
        </w:rPr>
        <w:t>. The Chubut Concessions hav</w:t>
      </w:r>
      <w:r w:rsidR="00342600" w:rsidRPr="000A0AD8">
        <w:rPr>
          <w:rFonts w:cs="Arial"/>
        </w:rPr>
        <w:t xml:space="preserve">e a lower depletion rate </w:t>
      </w:r>
      <w:r w:rsidR="008933FB" w:rsidRPr="000A0AD8">
        <w:rPr>
          <w:rFonts w:cs="Arial"/>
        </w:rPr>
        <w:t xml:space="preserve">than the </w:t>
      </w:r>
      <w:r w:rsidR="00224E68" w:rsidRPr="000A0AD8">
        <w:rPr>
          <w:rFonts w:cs="Arial"/>
        </w:rPr>
        <w:t xml:space="preserve">Company’s </w:t>
      </w:r>
      <w:r w:rsidR="008933FB" w:rsidRPr="000A0AD8">
        <w:rPr>
          <w:rFonts w:cs="Arial"/>
        </w:rPr>
        <w:t xml:space="preserve">other concessions </w:t>
      </w:r>
      <w:r w:rsidR="009E489F" w:rsidRPr="000A0AD8">
        <w:rPr>
          <w:rFonts w:cs="Arial"/>
        </w:rPr>
        <w:t xml:space="preserve">but </w:t>
      </w:r>
      <w:r w:rsidR="00224E68" w:rsidRPr="000A0AD8">
        <w:rPr>
          <w:rFonts w:cs="Arial"/>
        </w:rPr>
        <w:t xml:space="preserve">represent </w:t>
      </w:r>
      <w:proofErr w:type="gramStart"/>
      <w:r w:rsidR="00677006" w:rsidRPr="000A0AD8">
        <w:rPr>
          <w:rFonts w:cs="Arial"/>
        </w:rPr>
        <w:t>the majority of</w:t>
      </w:r>
      <w:proofErr w:type="gramEnd"/>
      <w:r w:rsidR="00677006" w:rsidRPr="000A0AD8">
        <w:rPr>
          <w:rFonts w:cs="Arial"/>
        </w:rPr>
        <w:t xml:space="preserve"> depletion expense </w:t>
      </w:r>
      <w:r w:rsidR="00224E68" w:rsidRPr="000A0AD8">
        <w:rPr>
          <w:rFonts w:cs="Arial"/>
        </w:rPr>
        <w:t xml:space="preserve">recognized </w:t>
      </w:r>
      <w:r w:rsidR="00677006" w:rsidRPr="000A0AD8">
        <w:rPr>
          <w:rFonts w:cs="Arial"/>
        </w:rPr>
        <w:t xml:space="preserve">in </w:t>
      </w:r>
      <w:r w:rsidR="005120B8" w:rsidRPr="000A0AD8">
        <w:rPr>
          <w:rFonts w:cs="Arial"/>
        </w:rPr>
        <w:t>the 2026 periods</w:t>
      </w:r>
      <w:r w:rsidR="009E489F" w:rsidRPr="000A0AD8">
        <w:rPr>
          <w:rFonts w:cs="Arial"/>
        </w:rPr>
        <w:t xml:space="preserve"> due to </w:t>
      </w:r>
      <w:r w:rsidR="00445ADB" w:rsidRPr="000A0AD8">
        <w:rPr>
          <w:rFonts w:cs="Arial"/>
        </w:rPr>
        <w:t xml:space="preserve">higher </w:t>
      </w:r>
      <w:r w:rsidR="0086697A" w:rsidRPr="000A0AD8">
        <w:rPr>
          <w:rFonts w:cs="Arial"/>
        </w:rPr>
        <w:t xml:space="preserve">production </w:t>
      </w:r>
      <w:r w:rsidR="00445ADB" w:rsidRPr="000A0AD8">
        <w:rPr>
          <w:rFonts w:cs="Arial"/>
        </w:rPr>
        <w:t>volumes</w:t>
      </w:r>
      <w:r w:rsidR="002F6488" w:rsidRPr="000A0AD8">
        <w:rPr>
          <w:rFonts w:cs="Arial"/>
        </w:rPr>
        <w:t>.</w:t>
      </w:r>
    </w:p>
    <w:p w14:paraId="033131A9" w14:textId="4F880A4B" w:rsidR="00184C17" w:rsidRDefault="00184C17" w:rsidP="00026965">
      <w:pPr>
        <w:pStyle w:val="BodyText2"/>
        <w:widowControl w:val="0"/>
        <w:spacing w:before="120"/>
        <w:rPr>
          <w:rFonts w:cs="Arial"/>
          <w:b/>
          <w:sz w:val="22"/>
          <w:szCs w:val="22"/>
        </w:rPr>
      </w:pPr>
      <w:r w:rsidRPr="000A0AD8">
        <w:rPr>
          <w:rFonts w:cs="Arial"/>
        </w:rPr>
        <w:t xml:space="preserve">Depreciation expense </w:t>
      </w:r>
      <w:r w:rsidR="005120B8" w:rsidRPr="000A0AD8">
        <w:rPr>
          <w:rFonts w:cs="Arial"/>
        </w:rPr>
        <w:t xml:space="preserve">in </w:t>
      </w:r>
      <w:r w:rsidR="005120B8" w:rsidRPr="000A0AD8">
        <w:t>the 2026 periods is comparable to the 2025 periods</w:t>
      </w:r>
      <w:r w:rsidR="00026965">
        <w:rPr>
          <w:rFonts w:cs="Arial"/>
        </w:rPr>
        <w:t>.</w:t>
      </w:r>
    </w:p>
    <w:p w14:paraId="4F1F5F09" w14:textId="77777777" w:rsidR="005C43F6" w:rsidRPr="00AE093D" w:rsidRDefault="005C43F6" w:rsidP="00591EC8">
      <w:pPr>
        <w:widowControl w:val="0"/>
        <w:spacing w:before="240" w:after="120"/>
        <w:ind w:left="288" w:hanging="288"/>
        <w:jc w:val="both"/>
        <w:outlineLvl w:val="8"/>
        <w:rPr>
          <w:rFonts w:cs="Arial"/>
          <w:b/>
          <w:sz w:val="22"/>
          <w:szCs w:val="22"/>
        </w:rPr>
      </w:pPr>
      <w:r>
        <w:rPr>
          <w:rFonts w:cs="Arial"/>
          <w:b/>
          <w:sz w:val="22"/>
          <w:szCs w:val="22"/>
        </w:rPr>
        <w:t>Foreign Exchange Gain (Loss)</w:t>
      </w:r>
    </w:p>
    <w:p w14:paraId="355C38AA" w14:textId="77777777" w:rsidR="00122F57" w:rsidRDefault="00122F57" w:rsidP="00591EC8">
      <w:pPr>
        <w:widowControl w:val="0"/>
        <w:spacing w:before="120"/>
        <w:jc w:val="both"/>
        <w:rPr>
          <w:rFonts w:cs="Arial"/>
        </w:rPr>
      </w:pPr>
      <w:r>
        <w:rPr>
          <w:rFonts w:cs="Arial"/>
          <w:color w:val="000000"/>
        </w:rPr>
        <w:t xml:space="preserve">Foreign exchange gains (losses) reported in the consolidated statement of (loss) income and comprehensive (loss) income occur </w:t>
      </w:r>
      <w:proofErr w:type="gramStart"/>
      <w:r>
        <w:rPr>
          <w:rFonts w:cs="Arial"/>
          <w:color w:val="000000"/>
        </w:rPr>
        <w:t>as a result of</w:t>
      </w:r>
      <w:proofErr w:type="gramEnd"/>
      <w:r>
        <w:rPr>
          <w:rFonts w:cs="Arial"/>
          <w:color w:val="000000"/>
        </w:rPr>
        <w:t xml:space="preserve"> translation of foreign denominated monetary assets and liabilities to the functional currency of the respective entity and the </w:t>
      </w:r>
      <w:r>
        <w:rPr>
          <w:rFonts w:cs="Arial"/>
        </w:rPr>
        <w:t>related currency fluctuations between the CAD and the USD and the USD and the ARS.</w:t>
      </w:r>
    </w:p>
    <w:tbl>
      <w:tblPr>
        <w:tblW w:w="9540" w:type="dxa"/>
        <w:tblLayout w:type="fixed"/>
        <w:tblLook w:val="04A0" w:firstRow="1" w:lastRow="0" w:firstColumn="1" w:lastColumn="0" w:noHBand="0" w:noVBand="1"/>
      </w:tblPr>
      <w:tblGrid>
        <w:gridCol w:w="4503"/>
        <w:gridCol w:w="1701"/>
        <w:gridCol w:w="1701"/>
        <w:gridCol w:w="1635"/>
      </w:tblGrid>
      <w:tr w:rsidR="00E72DAF" w14:paraId="4FCE082E" w14:textId="77777777">
        <w:tc>
          <w:tcPr>
            <w:tcW w:w="4503" w:type="dxa"/>
            <w:tcBorders>
              <w:bottom w:val="single" w:sz="4" w:space="0" w:color="auto"/>
            </w:tcBorders>
            <w:vAlign w:val="bottom"/>
          </w:tcPr>
          <w:p w14:paraId="75E72976" w14:textId="77777777" w:rsidR="00B32FD9" w:rsidRPr="00561EC9" w:rsidRDefault="008C1E6D" w:rsidP="00591EC8">
            <w:pPr>
              <w:pStyle w:val="BodyText"/>
              <w:spacing w:before="120"/>
              <w:jc w:val="left"/>
              <w:rPr>
                <w:rFonts w:cs="Arial"/>
                <w:sz w:val="18"/>
                <w:szCs w:val="18"/>
              </w:rPr>
            </w:pPr>
            <w:r>
              <w:rPr>
                <w:rFonts w:cs="Arial"/>
              </w:rPr>
              <w:br w:type="page"/>
            </w:r>
            <w:r>
              <w:rPr>
                <w:rFonts w:cs="Arial"/>
                <w:sz w:val="18"/>
                <w:szCs w:val="18"/>
              </w:rPr>
              <w:t>Exchange rates as at:</w:t>
            </w:r>
          </w:p>
        </w:tc>
        <w:tc>
          <w:tcPr>
            <w:tcW w:w="1701" w:type="dxa"/>
            <w:tcBorders>
              <w:bottom w:val="single" w:sz="4" w:space="0" w:color="auto"/>
            </w:tcBorders>
          </w:tcPr>
          <w:p w14:paraId="402E8323" w14:textId="77777777" w:rsidR="00B32FD9" w:rsidRPr="00561EC9" w:rsidRDefault="00B32FD9" w:rsidP="00591EC8">
            <w:pPr>
              <w:pStyle w:val="BodyText"/>
              <w:spacing w:before="120"/>
              <w:jc w:val="center"/>
              <w:rPr>
                <w:rFonts w:cs="Arial"/>
                <w:sz w:val="18"/>
                <w:szCs w:val="18"/>
              </w:rPr>
            </w:pPr>
          </w:p>
        </w:tc>
        <w:tc>
          <w:tcPr>
            <w:tcW w:w="1701" w:type="dxa"/>
            <w:tcBorders>
              <w:bottom w:val="single" w:sz="4" w:space="0" w:color="auto"/>
            </w:tcBorders>
          </w:tcPr>
          <w:p w14:paraId="5369A583" w14:textId="575C54C9" w:rsidR="001B520D" w:rsidRPr="00561EC9" w:rsidRDefault="00E91EF5" w:rsidP="00591EC8">
            <w:pPr>
              <w:pStyle w:val="BodyText"/>
              <w:ind w:right="288"/>
              <w:jc w:val="right"/>
              <w:rPr>
                <w:rFonts w:cs="Arial"/>
                <w:sz w:val="18"/>
                <w:szCs w:val="18"/>
              </w:rPr>
            </w:pPr>
            <w:r>
              <w:rPr>
                <w:rFonts w:cs="Arial"/>
                <w:sz w:val="18"/>
                <w:szCs w:val="18"/>
              </w:rPr>
              <w:t>June 30</w:t>
            </w:r>
          </w:p>
          <w:p w14:paraId="16FF7D97" w14:textId="2D27928A" w:rsidR="00B32FD9" w:rsidRPr="00561EC9" w:rsidRDefault="00230A72" w:rsidP="00591EC8">
            <w:pPr>
              <w:pStyle w:val="BodyText"/>
              <w:ind w:right="284"/>
              <w:jc w:val="right"/>
              <w:rPr>
                <w:rFonts w:cs="Arial"/>
                <w:sz w:val="18"/>
                <w:szCs w:val="18"/>
              </w:rPr>
            </w:pPr>
            <w:r>
              <w:rPr>
                <w:rFonts w:cs="Arial"/>
                <w:sz w:val="18"/>
                <w:szCs w:val="18"/>
              </w:rPr>
              <w:t>202</w:t>
            </w:r>
            <w:r w:rsidR="00812908">
              <w:rPr>
                <w:rFonts w:cs="Arial"/>
                <w:sz w:val="18"/>
                <w:szCs w:val="18"/>
              </w:rPr>
              <w:t>6</w:t>
            </w:r>
          </w:p>
        </w:tc>
        <w:tc>
          <w:tcPr>
            <w:tcW w:w="1635" w:type="dxa"/>
            <w:tcBorders>
              <w:bottom w:val="single" w:sz="4" w:space="0" w:color="auto"/>
            </w:tcBorders>
          </w:tcPr>
          <w:p w14:paraId="6281CC04" w14:textId="77777777" w:rsidR="001B520D" w:rsidRPr="00561EC9" w:rsidRDefault="001B520D" w:rsidP="00591EC8">
            <w:pPr>
              <w:pStyle w:val="BodyText"/>
              <w:ind w:left="-72" w:right="173"/>
              <w:jc w:val="right"/>
              <w:rPr>
                <w:rFonts w:cs="Arial"/>
                <w:sz w:val="18"/>
                <w:szCs w:val="18"/>
              </w:rPr>
            </w:pPr>
            <w:r>
              <w:rPr>
                <w:rFonts w:cs="Arial"/>
                <w:sz w:val="18"/>
                <w:szCs w:val="18"/>
              </w:rPr>
              <w:t>December 31</w:t>
            </w:r>
          </w:p>
          <w:p w14:paraId="287C9E34" w14:textId="14AC4409" w:rsidR="00B32FD9" w:rsidRPr="00561EC9" w:rsidRDefault="00230A72" w:rsidP="00591EC8">
            <w:pPr>
              <w:pStyle w:val="BodyText"/>
              <w:ind w:right="176"/>
              <w:jc w:val="right"/>
              <w:rPr>
                <w:rFonts w:cs="Arial"/>
                <w:sz w:val="18"/>
                <w:szCs w:val="18"/>
              </w:rPr>
            </w:pPr>
            <w:r>
              <w:rPr>
                <w:rFonts w:cs="Arial"/>
                <w:sz w:val="18"/>
                <w:szCs w:val="18"/>
              </w:rPr>
              <w:t>202</w:t>
            </w:r>
            <w:r w:rsidR="00812908">
              <w:rPr>
                <w:rFonts w:cs="Arial"/>
                <w:sz w:val="18"/>
                <w:szCs w:val="18"/>
              </w:rPr>
              <w:t>5</w:t>
            </w:r>
          </w:p>
        </w:tc>
      </w:tr>
      <w:tr w:rsidR="00B3621E" w14:paraId="3782554F" w14:textId="77777777">
        <w:tblPrEx>
          <w:tblLook w:val="01E0" w:firstRow="1" w:lastRow="1" w:firstColumn="1" w:lastColumn="1" w:noHBand="0" w:noVBand="0"/>
        </w:tblPrEx>
        <w:tc>
          <w:tcPr>
            <w:tcW w:w="4503" w:type="dxa"/>
            <w:tcBorders>
              <w:top w:val="single" w:sz="4" w:space="0" w:color="auto"/>
            </w:tcBorders>
            <w:vAlign w:val="bottom"/>
          </w:tcPr>
          <w:p w14:paraId="2E1CBE01" w14:textId="77777777" w:rsidR="00B3621E" w:rsidRPr="00561EC9" w:rsidRDefault="00B3621E" w:rsidP="00B3621E">
            <w:pPr>
              <w:pStyle w:val="BodyText2"/>
              <w:jc w:val="left"/>
              <w:rPr>
                <w:rFonts w:cs="Arial"/>
                <w:sz w:val="18"/>
                <w:szCs w:val="18"/>
              </w:rPr>
            </w:pPr>
            <w:r>
              <w:rPr>
                <w:rFonts w:cs="Arial"/>
                <w:sz w:val="18"/>
                <w:szCs w:val="18"/>
              </w:rPr>
              <w:t xml:space="preserve">CAD to USD </w:t>
            </w:r>
            <w:r>
              <w:rPr>
                <w:rFonts w:cs="Arial"/>
                <w:sz w:val="18"/>
                <w:szCs w:val="18"/>
                <w:vertAlign w:val="superscript"/>
              </w:rPr>
              <w:t>(1)</w:t>
            </w:r>
          </w:p>
        </w:tc>
        <w:tc>
          <w:tcPr>
            <w:tcW w:w="1701" w:type="dxa"/>
            <w:tcBorders>
              <w:top w:val="single" w:sz="4" w:space="0" w:color="auto"/>
            </w:tcBorders>
            <w:vAlign w:val="bottom"/>
          </w:tcPr>
          <w:p w14:paraId="1FB1F86B" w14:textId="77777777" w:rsidR="00B3621E" w:rsidRPr="00561EC9" w:rsidRDefault="00B3621E" w:rsidP="00B3621E">
            <w:pPr>
              <w:pStyle w:val="BodyText2"/>
              <w:ind w:right="318"/>
              <w:jc w:val="right"/>
              <w:rPr>
                <w:rFonts w:cs="Arial"/>
                <w:sz w:val="18"/>
                <w:szCs w:val="18"/>
              </w:rPr>
            </w:pPr>
          </w:p>
        </w:tc>
        <w:tc>
          <w:tcPr>
            <w:tcW w:w="1701" w:type="dxa"/>
            <w:tcBorders>
              <w:top w:val="single" w:sz="4" w:space="0" w:color="auto"/>
            </w:tcBorders>
            <w:vAlign w:val="bottom"/>
          </w:tcPr>
          <w:p w14:paraId="0993E25D" w14:textId="0D9F4DDD" w:rsidR="00B3621E" w:rsidRPr="003A1078" w:rsidRDefault="003A1078" w:rsidP="00B3621E">
            <w:pPr>
              <w:pStyle w:val="BodyText2"/>
              <w:ind w:right="284"/>
              <w:jc w:val="right"/>
              <w:rPr>
                <w:rFonts w:cs="Arial"/>
                <w:sz w:val="18"/>
                <w:szCs w:val="18"/>
              </w:rPr>
            </w:pPr>
            <w:r w:rsidRPr="003A1078">
              <w:rPr>
                <w:rFonts w:cs="Arial"/>
                <w:sz w:val="18"/>
                <w:szCs w:val="18"/>
              </w:rPr>
              <w:t>0.7</w:t>
            </w:r>
            <w:r w:rsidR="00801DB6">
              <w:rPr>
                <w:rFonts w:cs="Arial"/>
                <w:sz w:val="18"/>
                <w:szCs w:val="18"/>
              </w:rPr>
              <w:t>037</w:t>
            </w:r>
          </w:p>
        </w:tc>
        <w:tc>
          <w:tcPr>
            <w:tcW w:w="1635" w:type="dxa"/>
            <w:vAlign w:val="bottom"/>
          </w:tcPr>
          <w:p w14:paraId="095FB3D3" w14:textId="39AE3E95" w:rsidR="00B3621E" w:rsidRPr="00561EC9" w:rsidRDefault="00B3621E" w:rsidP="00B3621E">
            <w:pPr>
              <w:pStyle w:val="BodyText2"/>
              <w:widowControl w:val="0"/>
              <w:ind w:right="162"/>
              <w:jc w:val="right"/>
              <w:rPr>
                <w:rFonts w:cs="Arial"/>
                <w:sz w:val="18"/>
                <w:szCs w:val="18"/>
              </w:rPr>
            </w:pPr>
            <w:r>
              <w:rPr>
                <w:rFonts w:cs="Arial"/>
                <w:sz w:val="18"/>
                <w:szCs w:val="18"/>
              </w:rPr>
              <w:t>0.7296</w:t>
            </w:r>
          </w:p>
        </w:tc>
      </w:tr>
      <w:tr w:rsidR="00B3621E" w14:paraId="038B6055" w14:textId="77777777">
        <w:tblPrEx>
          <w:tblLook w:val="01E0" w:firstRow="1" w:lastRow="1" w:firstColumn="1" w:lastColumn="1" w:noHBand="0" w:noVBand="0"/>
        </w:tblPrEx>
        <w:tc>
          <w:tcPr>
            <w:tcW w:w="4503" w:type="dxa"/>
            <w:vAlign w:val="bottom"/>
          </w:tcPr>
          <w:p w14:paraId="1E0F7F42" w14:textId="77777777" w:rsidR="00B3621E" w:rsidRPr="00561EC9" w:rsidRDefault="00B3621E" w:rsidP="00B3621E">
            <w:pPr>
              <w:pStyle w:val="BodyText2"/>
              <w:jc w:val="left"/>
              <w:rPr>
                <w:rFonts w:cs="Arial"/>
                <w:sz w:val="18"/>
                <w:szCs w:val="18"/>
              </w:rPr>
            </w:pPr>
            <w:r>
              <w:rPr>
                <w:rFonts w:cs="Arial"/>
                <w:sz w:val="18"/>
                <w:szCs w:val="18"/>
              </w:rPr>
              <w:t xml:space="preserve">ARS to USD </w:t>
            </w:r>
            <w:r>
              <w:rPr>
                <w:rFonts w:cs="Arial"/>
                <w:sz w:val="18"/>
                <w:szCs w:val="18"/>
                <w:vertAlign w:val="superscript"/>
              </w:rPr>
              <w:t>(2)</w:t>
            </w:r>
          </w:p>
        </w:tc>
        <w:tc>
          <w:tcPr>
            <w:tcW w:w="1701" w:type="dxa"/>
            <w:vAlign w:val="bottom"/>
          </w:tcPr>
          <w:p w14:paraId="5391CC5C" w14:textId="77777777" w:rsidR="00B3621E" w:rsidRPr="00561EC9" w:rsidRDefault="00B3621E" w:rsidP="00B3621E">
            <w:pPr>
              <w:pStyle w:val="BodyText2"/>
              <w:ind w:right="318"/>
              <w:jc w:val="right"/>
              <w:rPr>
                <w:rFonts w:cs="Arial"/>
                <w:sz w:val="18"/>
                <w:szCs w:val="18"/>
              </w:rPr>
            </w:pPr>
          </w:p>
        </w:tc>
        <w:tc>
          <w:tcPr>
            <w:tcW w:w="1701" w:type="dxa"/>
            <w:vAlign w:val="bottom"/>
          </w:tcPr>
          <w:p w14:paraId="1B59C6E8" w14:textId="5EE58D8A" w:rsidR="00B3621E" w:rsidRPr="00D67D54" w:rsidRDefault="003A1078" w:rsidP="00B3621E">
            <w:pPr>
              <w:pStyle w:val="BodyText2"/>
              <w:ind w:right="284"/>
              <w:jc w:val="right"/>
              <w:rPr>
                <w:rFonts w:cs="Arial"/>
                <w:sz w:val="18"/>
                <w:szCs w:val="18"/>
              </w:rPr>
            </w:pPr>
            <w:r>
              <w:rPr>
                <w:rFonts w:cs="Arial"/>
                <w:sz w:val="18"/>
                <w:szCs w:val="18"/>
              </w:rPr>
              <w:t>0.0007</w:t>
            </w:r>
          </w:p>
        </w:tc>
        <w:tc>
          <w:tcPr>
            <w:tcW w:w="1635" w:type="dxa"/>
            <w:vAlign w:val="bottom"/>
          </w:tcPr>
          <w:p w14:paraId="5E3071D2" w14:textId="5D78B711" w:rsidR="00B3621E" w:rsidRPr="00561EC9" w:rsidRDefault="00B3621E" w:rsidP="00B3621E">
            <w:pPr>
              <w:pStyle w:val="BodyText2"/>
              <w:widowControl w:val="0"/>
              <w:ind w:right="162"/>
              <w:jc w:val="right"/>
              <w:rPr>
                <w:rFonts w:cs="Arial"/>
                <w:sz w:val="18"/>
                <w:szCs w:val="18"/>
              </w:rPr>
            </w:pPr>
            <w:r>
              <w:rPr>
                <w:rFonts w:cs="Arial"/>
                <w:sz w:val="18"/>
                <w:szCs w:val="18"/>
              </w:rPr>
              <w:t>0.0007</w:t>
            </w:r>
          </w:p>
        </w:tc>
      </w:tr>
      <w:tr w:rsidR="00B3621E" w14:paraId="0F117123" w14:textId="77777777">
        <w:tblPrEx>
          <w:tblLook w:val="01E0" w:firstRow="1" w:lastRow="1" w:firstColumn="1" w:lastColumn="1" w:noHBand="0" w:noVBand="0"/>
        </w:tblPrEx>
        <w:tc>
          <w:tcPr>
            <w:tcW w:w="4503" w:type="dxa"/>
            <w:vAlign w:val="bottom"/>
          </w:tcPr>
          <w:p w14:paraId="14FB4498" w14:textId="77777777" w:rsidR="00B3621E" w:rsidRPr="00561EC9" w:rsidRDefault="00B3621E" w:rsidP="00B3621E">
            <w:pPr>
              <w:pStyle w:val="BodyText2"/>
              <w:jc w:val="left"/>
              <w:rPr>
                <w:rFonts w:cs="Arial"/>
                <w:sz w:val="18"/>
                <w:szCs w:val="18"/>
              </w:rPr>
            </w:pPr>
            <w:r>
              <w:rPr>
                <w:rFonts w:cs="Arial"/>
                <w:sz w:val="18"/>
                <w:szCs w:val="18"/>
              </w:rPr>
              <w:t xml:space="preserve">USD to ARS </w:t>
            </w:r>
            <w:r>
              <w:rPr>
                <w:rFonts w:cs="Arial"/>
                <w:sz w:val="18"/>
                <w:szCs w:val="18"/>
                <w:vertAlign w:val="superscript"/>
              </w:rPr>
              <w:t>(2)</w:t>
            </w:r>
          </w:p>
        </w:tc>
        <w:tc>
          <w:tcPr>
            <w:tcW w:w="1701" w:type="dxa"/>
            <w:vAlign w:val="bottom"/>
          </w:tcPr>
          <w:p w14:paraId="0683390A" w14:textId="77777777" w:rsidR="00B3621E" w:rsidRPr="00561EC9" w:rsidRDefault="00B3621E" w:rsidP="00B3621E">
            <w:pPr>
              <w:pStyle w:val="BodyText2"/>
              <w:ind w:right="318"/>
              <w:jc w:val="right"/>
              <w:rPr>
                <w:rFonts w:cs="Arial"/>
                <w:sz w:val="18"/>
                <w:szCs w:val="18"/>
                <w:highlight w:val="green"/>
              </w:rPr>
            </w:pPr>
          </w:p>
        </w:tc>
        <w:tc>
          <w:tcPr>
            <w:tcW w:w="1701" w:type="dxa"/>
            <w:vAlign w:val="bottom"/>
          </w:tcPr>
          <w:p w14:paraId="732FE27C" w14:textId="0B6AADDD" w:rsidR="00B3621E" w:rsidRPr="00D67D54" w:rsidRDefault="003A1078" w:rsidP="00B3621E">
            <w:pPr>
              <w:pStyle w:val="BodyText2"/>
              <w:ind w:right="284"/>
              <w:jc w:val="right"/>
              <w:rPr>
                <w:rFonts w:cs="Arial"/>
                <w:sz w:val="18"/>
                <w:szCs w:val="18"/>
              </w:rPr>
            </w:pPr>
            <w:r>
              <w:rPr>
                <w:rFonts w:cs="Arial"/>
                <w:sz w:val="18"/>
                <w:szCs w:val="18"/>
              </w:rPr>
              <w:t>1</w:t>
            </w:r>
            <w:r w:rsidR="00EE2BE4">
              <w:rPr>
                <w:rFonts w:cs="Arial"/>
                <w:sz w:val="18"/>
                <w:szCs w:val="18"/>
              </w:rPr>
              <w:t>,</w:t>
            </w:r>
            <w:r w:rsidR="00801DB6">
              <w:rPr>
                <w:rFonts w:cs="Arial"/>
                <w:sz w:val="18"/>
                <w:szCs w:val="18"/>
              </w:rPr>
              <w:t>4</w:t>
            </w:r>
            <w:r>
              <w:rPr>
                <w:rFonts w:cs="Arial"/>
                <w:sz w:val="18"/>
                <w:szCs w:val="18"/>
              </w:rPr>
              <w:t>77.50</w:t>
            </w:r>
          </w:p>
        </w:tc>
        <w:tc>
          <w:tcPr>
            <w:tcW w:w="1635" w:type="dxa"/>
            <w:vAlign w:val="bottom"/>
          </w:tcPr>
          <w:p w14:paraId="0F10B58C" w14:textId="169CBF12" w:rsidR="00B3621E" w:rsidRPr="00561EC9" w:rsidRDefault="00B3621E" w:rsidP="00B3621E">
            <w:pPr>
              <w:pStyle w:val="BodyText2"/>
              <w:widowControl w:val="0"/>
              <w:ind w:right="162"/>
              <w:jc w:val="right"/>
              <w:rPr>
                <w:rFonts w:cs="Arial"/>
                <w:sz w:val="18"/>
                <w:szCs w:val="18"/>
              </w:rPr>
            </w:pPr>
            <w:r>
              <w:rPr>
                <w:rFonts w:cs="Arial"/>
                <w:sz w:val="18"/>
                <w:szCs w:val="18"/>
              </w:rPr>
              <w:t>1,450.5</w:t>
            </w:r>
            <w:r w:rsidR="00801DB6">
              <w:rPr>
                <w:rFonts w:cs="Arial"/>
                <w:sz w:val="18"/>
                <w:szCs w:val="18"/>
              </w:rPr>
              <w:t>0</w:t>
            </w:r>
          </w:p>
        </w:tc>
      </w:tr>
    </w:tbl>
    <w:p w14:paraId="2B2E04D0" w14:textId="786CDD0B" w:rsidR="001D1C51" w:rsidRPr="00B00C7F" w:rsidRDefault="001D1C51" w:rsidP="00591EC8">
      <w:pPr>
        <w:pStyle w:val="BodyText2"/>
        <w:spacing w:before="60"/>
        <w:ind w:left="86"/>
        <w:rPr>
          <w:rFonts w:cs="Arial"/>
          <w:sz w:val="16"/>
          <w:szCs w:val="16"/>
        </w:rPr>
      </w:pPr>
      <w:r>
        <w:rPr>
          <w:rFonts w:cs="Arial"/>
          <w:vertAlign w:val="superscript"/>
        </w:rPr>
        <w:t>(1)</w:t>
      </w:r>
      <w:r>
        <w:rPr>
          <w:rFonts w:cs="Arial"/>
          <w:sz w:val="16"/>
          <w:szCs w:val="16"/>
        </w:rPr>
        <w:t xml:space="preserve"> Source </w:t>
      </w:r>
      <w:r w:rsidR="007C3BE3">
        <w:rPr>
          <w:rFonts w:cs="Arial"/>
          <w:sz w:val="16"/>
          <w:szCs w:val="16"/>
        </w:rPr>
        <w:t>Bank of Canada</w:t>
      </w:r>
      <w:r>
        <w:rPr>
          <w:rFonts w:cs="Arial"/>
          <w:sz w:val="16"/>
          <w:szCs w:val="16"/>
        </w:rPr>
        <w:t xml:space="preserve"> </w:t>
      </w:r>
      <w:r>
        <w:rPr>
          <w:rFonts w:cs="Arial"/>
          <w:vertAlign w:val="superscript"/>
        </w:rPr>
        <w:t>(2)</w:t>
      </w:r>
      <w:r>
        <w:rPr>
          <w:rFonts w:cs="Arial"/>
          <w:sz w:val="18"/>
          <w:szCs w:val="18"/>
          <w:vertAlign w:val="superscript"/>
        </w:rPr>
        <w:t xml:space="preserve"> </w:t>
      </w:r>
      <w:r>
        <w:rPr>
          <w:rFonts w:cs="Arial"/>
          <w:sz w:val="16"/>
          <w:szCs w:val="16"/>
        </w:rPr>
        <w:t>Source BNA (National Bank of Argentina)</w:t>
      </w:r>
    </w:p>
    <w:p w14:paraId="1F7B62C7" w14:textId="0A3E6052" w:rsidR="00747D3D" w:rsidRPr="00BF44AC" w:rsidRDefault="00747D3D" w:rsidP="00591EC8">
      <w:pPr>
        <w:pStyle w:val="BodyText2"/>
        <w:widowControl w:val="0"/>
        <w:spacing w:before="120"/>
        <w:outlineLvl w:val="0"/>
        <w:rPr>
          <w:rFonts w:cs="Arial"/>
        </w:rPr>
      </w:pPr>
      <w:r>
        <w:rPr>
          <w:rFonts w:cs="Arial"/>
        </w:rPr>
        <w:t xml:space="preserve">In </w:t>
      </w:r>
      <w:r w:rsidRPr="00981D26">
        <w:rPr>
          <w:rFonts w:cs="Arial"/>
        </w:rPr>
        <w:t xml:space="preserve">Crown Point, the translation of USD denominated foreign net monetary liabilities to CAD during </w:t>
      </w:r>
      <w:r w:rsidR="005120B8">
        <w:rPr>
          <w:rFonts w:cs="Arial"/>
        </w:rPr>
        <w:t xml:space="preserve">the June 2026 period </w:t>
      </w:r>
      <w:r w:rsidRPr="00981D26">
        <w:rPr>
          <w:rFonts w:cs="Arial"/>
        </w:rPr>
        <w:t>resulted in a</w:t>
      </w:r>
      <w:r w:rsidR="00803C64">
        <w:rPr>
          <w:rFonts w:cs="Arial"/>
        </w:rPr>
        <w:t xml:space="preserve"> nominal</w:t>
      </w:r>
      <w:r w:rsidRPr="00981D26">
        <w:rPr>
          <w:rFonts w:cs="Arial"/>
        </w:rPr>
        <w:t xml:space="preserve"> foreign </w:t>
      </w:r>
      <w:r w:rsidRPr="00A13C33">
        <w:rPr>
          <w:rFonts w:cs="Arial"/>
        </w:rPr>
        <w:t xml:space="preserve">exchange </w:t>
      </w:r>
      <w:r w:rsidR="003F4391" w:rsidRPr="00A13C33">
        <w:rPr>
          <w:rFonts w:cs="Arial"/>
        </w:rPr>
        <w:t>gain</w:t>
      </w:r>
      <w:r w:rsidR="00ED4960" w:rsidRPr="00A13C33">
        <w:rPr>
          <w:rFonts w:cs="Arial"/>
        </w:rPr>
        <w:t xml:space="preserve"> </w:t>
      </w:r>
      <w:r>
        <w:rPr>
          <w:rFonts w:cs="Arial"/>
        </w:rPr>
        <w:t>(</w:t>
      </w:r>
      <w:r w:rsidR="005120B8">
        <w:rPr>
          <w:color w:val="000000"/>
        </w:rPr>
        <w:t>June</w:t>
      </w:r>
      <w:r w:rsidR="00B9294A">
        <w:rPr>
          <w:color w:val="000000"/>
        </w:rPr>
        <w:t xml:space="preserve"> 202</w:t>
      </w:r>
      <w:r w:rsidR="00F16E3F">
        <w:rPr>
          <w:color w:val="000000"/>
        </w:rPr>
        <w:t>5</w:t>
      </w:r>
      <w:r w:rsidR="00D12BFE">
        <w:rPr>
          <w:color w:val="000000"/>
        </w:rPr>
        <w:t xml:space="preserve"> </w:t>
      </w:r>
      <w:r w:rsidR="005120B8">
        <w:rPr>
          <w:color w:val="000000"/>
        </w:rPr>
        <w:t xml:space="preserve">period </w:t>
      </w:r>
      <w:r>
        <w:rPr>
          <w:rFonts w:cs="Arial"/>
        </w:rPr>
        <w:softHyphen/>
      </w:r>
      <w:r>
        <w:t xml:space="preserve">– </w:t>
      </w:r>
      <w:r w:rsidR="00B93A2D">
        <w:rPr>
          <w:color w:val="000000"/>
        </w:rPr>
        <w:t>$</w:t>
      </w:r>
      <w:r w:rsidR="005120B8">
        <w:rPr>
          <w:rFonts w:cs="Arial"/>
          <w:color w:val="000000"/>
        </w:rPr>
        <w:t>0.11 million</w:t>
      </w:r>
      <w:r w:rsidR="008C5017" w:rsidRPr="006F0EE6">
        <w:rPr>
          <w:rFonts w:cs="Arial"/>
          <w:color w:val="000000"/>
        </w:rPr>
        <w:t xml:space="preserve"> </w:t>
      </w:r>
      <w:r>
        <w:rPr>
          <w:rFonts w:cs="Arial"/>
        </w:rPr>
        <w:t xml:space="preserve">foreign exchange </w:t>
      </w:r>
      <w:r w:rsidR="00F16E3F">
        <w:rPr>
          <w:rFonts w:cs="Arial"/>
        </w:rPr>
        <w:t>loss</w:t>
      </w:r>
      <w:r>
        <w:t>)</w:t>
      </w:r>
      <w:r>
        <w:rPr>
          <w:rFonts w:cs="Arial"/>
        </w:rPr>
        <w:t xml:space="preserve">. </w:t>
      </w:r>
    </w:p>
    <w:p w14:paraId="5B891D25" w14:textId="13AD5F2B" w:rsidR="0017761A" w:rsidRPr="00B21EFE" w:rsidRDefault="0069387D" w:rsidP="00591EC8">
      <w:pPr>
        <w:pStyle w:val="BodyText2"/>
        <w:spacing w:before="120"/>
        <w:rPr>
          <w:rFonts w:cs="Arial"/>
        </w:rPr>
      </w:pPr>
      <w:bookmarkStart w:id="13" w:name="_Hlk134431167"/>
      <w:r>
        <w:rPr>
          <w:rFonts w:cs="Arial"/>
        </w:rPr>
        <w:t xml:space="preserve">Notwithstanding that the functional currency of the Company’s Argentine subsidiary is the USD, a portion of monetary assets and liabilities such as </w:t>
      </w:r>
      <w:r w:rsidR="007207D4">
        <w:rPr>
          <w:rFonts w:cs="Arial"/>
        </w:rPr>
        <w:t xml:space="preserve">certain </w:t>
      </w:r>
      <w:r>
        <w:rPr>
          <w:rFonts w:cs="Arial"/>
        </w:rPr>
        <w:t>accounts receivable, accounts payable</w:t>
      </w:r>
      <w:r w:rsidR="003C4460">
        <w:rPr>
          <w:rFonts w:cs="Arial"/>
        </w:rPr>
        <w:t xml:space="preserve"> and</w:t>
      </w:r>
      <w:r>
        <w:rPr>
          <w:rFonts w:cs="Arial"/>
        </w:rPr>
        <w:t xml:space="preserve"> </w:t>
      </w:r>
      <w:r w:rsidR="00E07809">
        <w:rPr>
          <w:rFonts w:cs="Arial"/>
        </w:rPr>
        <w:t>loans</w:t>
      </w:r>
      <w:r>
        <w:rPr>
          <w:rFonts w:cs="Arial"/>
        </w:rPr>
        <w:t xml:space="preserve"> are denominated in ARS and re-measured into the functional currency at each reporting date, making net monetary assets and liabilities somewhat sensitive to currency fluctuations.  </w:t>
      </w:r>
    </w:p>
    <w:bookmarkEnd w:id="13"/>
    <w:p w14:paraId="362FFEC4" w14:textId="625876F1" w:rsidR="00747D3D" w:rsidRDefault="00747D3D" w:rsidP="00591EC8">
      <w:pPr>
        <w:pStyle w:val="BodyText2"/>
        <w:spacing w:before="120"/>
      </w:pPr>
      <w:r>
        <w:rPr>
          <w:rFonts w:cs="Arial"/>
        </w:rPr>
        <w:t>In the Argentine subsidiary, the translation of ARS denominated net monetary lia</w:t>
      </w:r>
      <w:r w:rsidRPr="00A13C33">
        <w:rPr>
          <w:rFonts w:cs="Arial"/>
        </w:rPr>
        <w:t xml:space="preserve">bilities to USD during </w:t>
      </w:r>
      <w:r w:rsidR="005120B8" w:rsidRPr="00A13C33">
        <w:rPr>
          <w:rFonts w:cs="Arial"/>
        </w:rPr>
        <w:t>the June 2026 period</w:t>
      </w:r>
      <w:r w:rsidR="00B9294A" w:rsidRPr="00A13C33">
        <w:rPr>
          <w:rFonts w:cs="Arial"/>
        </w:rPr>
        <w:t xml:space="preserve"> </w:t>
      </w:r>
      <w:r w:rsidRPr="00A13C33">
        <w:rPr>
          <w:rFonts w:cs="Arial"/>
        </w:rPr>
        <w:t xml:space="preserve">resulted in a foreign exchange </w:t>
      </w:r>
      <w:r w:rsidR="003F4391" w:rsidRPr="00A13C33">
        <w:rPr>
          <w:rFonts w:cs="Arial"/>
        </w:rPr>
        <w:t>gain</w:t>
      </w:r>
      <w:r w:rsidRPr="00A13C33">
        <w:rPr>
          <w:rFonts w:cs="Arial"/>
        </w:rPr>
        <w:t xml:space="preserve"> of approximately $</w:t>
      </w:r>
      <w:r w:rsidR="00803C64">
        <w:t>0.3 million</w:t>
      </w:r>
      <w:r w:rsidR="00013BD4">
        <w:rPr>
          <w:rFonts w:cs="Arial"/>
        </w:rPr>
        <w:t xml:space="preserve"> </w:t>
      </w:r>
      <w:r>
        <w:rPr>
          <w:rFonts w:cs="Arial"/>
        </w:rPr>
        <w:t>(</w:t>
      </w:r>
      <w:r w:rsidR="005120B8">
        <w:rPr>
          <w:color w:val="000000"/>
        </w:rPr>
        <w:t xml:space="preserve">June 2025 period </w:t>
      </w:r>
      <w:r>
        <w:rPr>
          <w:rFonts w:cs="Arial"/>
        </w:rPr>
        <w:t>– $</w:t>
      </w:r>
      <w:r w:rsidR="005120B8">
        <w:t>2.5 million</w:t>
      </w:r>
      <w:r w:rsidR="008C5017" w:rsidRPr="00925B96">
        <w:rPr>
          <w:rFonts w:cs="Arial"/>
        </w:rPr>
        <w:t xml:space="preserve"> </w:t>
      </w:r>
      <w:r>
        <w:rPr>
          <w:rFonts w:cs="Arial"/>
        </w:rPr>
        <w:t xml:space="preserve">foreign exchange </w:t>
      </w:r>
      <w:r w:rsidR="00B9294A">
        <w:rPr>
          <w:rFonts w:cs="Arial"/>
        </w:rPr>
        <w:t>gain</w:t>
      </w:r>
      <w:r>
        <w:t>).</w:t>
      </w:r>
    </w:p>
    <w:p w14:paraId="69492C7B" w14:textId="7B7069F9" w:rsidR="00B80A66" w:rsidRPr="00E92579" w:rsidRDefault="00B80A66" w:rsidP="00591EC8">
      <w:pPr>
        <w:widowControl w:val="0"/>
        <w:pBdr>
          <w:top w:val="nil"/>
          <w:left w:val="nil"/>
          <w:bottom w:val="nil"/>
          <w:right w:val="nil"/>
          <w:between w:val="nil"/>
        </w:pBdr>
        <w:spacing w:before="120"/>
        <w:jc w:val="both"/>
        <w:rPr>
          <w:color w:val="000000"/>
        </w:rPr>
      </w:pPr>
      <w:r>
        <w:rPr>
          <w:color w:val="000000"/>
        </w:rPr>
        <w:t xml:space="preserve">Currency </w:t>
      </w:r>
      <w:r w:rsidR="003F4391">
        <w:rPr>
          <w:color w:val="000000"/>
        </w:rPr>
        <w:t xml:space="preserve">appreciation or </w:t>
      </w:r>
      <w:r>
        <w:rPr>
          <w:color w:val="000000"/>
        </w:rPr>
        <w:t xml:space="preserve">devaluation in Argentina partially impacts the cost of ARS denominated items which are translated to the USD functional currency of the Argentine subsidiary. A portion of the </w:t>
      </w:r>
      <w:r w:rsidR="004D1587">
        <w:rPr>
          <w:color w:val="000000"/>
        </w:rPr>
        <w:t>Company's</w:t>
      </w:r>
      <w:r>
        <w:rPr>
          <w:color w:val="000000"/>
        </w:rPr>
        <w:t xml:space="preserve"> operating </w:t>
      </w:r>
      <w:proofErr w:type="gramStart"/>
      <w:r>
        <w:rPr>
          <w:color w:val="000000"/>
        </w:rPr>
        <w:t>costs</w:t>
      </w:r>
      <w:proofErr w:type="gramEnd"/>
      <w:r>
        <w:rPr>
          <w:color w:val="000000"/>
        </w:rPr>
        <w:t xml:space="preserve"> and general and administrative expenses incurred in Argentina are denominated in ARS and are also subject to inflation adjustments.  During </w:t>
      </w:r>
      <w:r w:rsidR="005120B8">
        <w:rPr>
          <w:rFonts w:cs="Arial"/>
        </w:rPr>
        <w:t>the June 2026 period</w:t>
      </w:r>
      <w:r>
        <w:rPr>
          <w:color w:val="000000"/>
        </w:rPr>
        <w:t xml:space="preserve">, </w:t>
      </w:r>
      <w:r w:rsidRPr="00A13C33">
        <w:rPr>
          <w:color w:val="000000"/>
        </w:rPr>
        <w:t xml:space="preserve">the </w:t>
      </w:r>
      <w:r w:rsidR="00655CE8" w:rsidRPr="00A13C33">
        <w:rPr>
          <w:color w:val="000000"/>
        </w:rPr>
        <w:t>devaluation</w:t>
      </w:r>
      <w:r w:rsidRPr="00A13C33">
        <w:rPr>
          <w:color w:val="000000"/>
        </w:rPr>
        <w:t xml:space="preserve"> of</w:t>
      </w:r>
      <w:r w:rsidRPr="008253C0">
        <w:rPr>
          <w:color w:val="000000"/>
        </w:rPr>
        <w:t xml:space="preserve"> ARS resulted </w:t>
      </w:r>
      <w:r w:rsidRPr="00A13C33">
        <w:rPr>
          <w:color w:val="000000"/>
        </w:rPr>
        <w:t xml:space="preserve">in </w:t>
      </w:r>
      <w:r w:rsidR="0002313A" w:rsidRPr="00A13C33">
        <w:rPr>
          <w:color w:val="000000"/>
        </w:rPr>
        <w:t xml:space="preserve">lower </w:t>
      </w:r>
      <w:r w:rsidRPr="00A13C33">
        <w:rPr>
          <w:color w:val="000000"/>
        </w:rPr>
        <w:t xml:space="preserve">operating costs and general and administrative expenses incurred in Argentina by approximately </w:t>
      </w:r>
      <w:r w:rsidR="00A13C33" w:rsidRPr="00A13C33">
        <w:rPr>
          <w:color w:val="000000"/>
        </w:rPr>
        <w:t>2</w:t>
      </w:r>
      <w:r w:rsidRPr="00A13C33">
        <w:rPr>
          <w:color w:val="000000"/>
        </w:rPr>
        <w:t>% (</w:t>
      </w:r>
      <w:r w:rsidR="005120B8" w:rsidRPr="00A13C33">
        <w:rPr>
          <w:color w:val="000000"/>
        </w:rPr>
        <w:t>June 2025 period</w:t>
      </w:r>
      <w:r w:rsidR="00D1361F" w:rsidRPr="00A13C33">
        <w:rPr>
          <w:color w:val="000000"/>
        </w:rPr>
        <w:t xml:space="preserve"> </w:t>
      </w:r>
      <w:r w:rsidRPr="00A13C33">
        <w:rPr>
          <w:color w:val="000000"/>
        </w:rPr>
        <w:t xml:space="preserve">– devaluation of ARS; lower by </w:t>
      </w:r>
      <w:r w:rsidR="00655CE8" w:rsidRPr="00A13C33">
        <w:rPr>
          <w:color w:val="000000"/>
        </w:rPr>
        <w:t>7</w:t>
      </w:r>
      <w:r w:rsidRPr="00A13C33">
        <w:rPr>
          <w:color w:val="000000"/>
        </w:rPr>
        <w:t xml:space="preserve">%), </w:t>
      </w:r>
      <w:r w:rsidR="008253C0" w:rsidRPr="00A13C33">
        <w:rPr>
          <w:color w:val="000000"/>
        </w:rPr>
        <w:t>without considering cost increases related to inflation</w:t>
      </w:r>
      <w:r w:rsidR="008253C0" w:rsidRPr="008253C0">
        <w:rPr>
          <w:color w:val="000000"/>
        </w:rPr>
        <w:t>.</w:t>
      </w:r>
    </w:p>
    <w:p w14:paraId="389CCB5A" w14:textId="76D7D5FC" w:rsidR="0017761A" w:rsidRPr="00B9294A" w:rsidRDefault="00EA4B53" w:rsidP="00B9294A">
      <w:pPr>
        <w:widowControl w:val="0"/>
        <w:pBdr>
          <w:top w:val="nil"/>
          <w:left w:val="nil"/>
          <w:bottom w:val="nil"/>
          <w:right w:val="nil"/>
          <w:between w:val="nil"/>
        </w:pBdr>
        <w:spacing w:before="120"/>
        <w:jc w:val="both"/>
        <w:rPr>
          <w:color w:val="000000"/>
        </w:rPr>
      </w:pPr>
      <w:r w:rsidRPr="00B9294A">
        <w:rPr>
          <w:color w:val="000000"/>
        </w:rPr>
        <w:t xml:space="preserve">During </w:t>
      </w:r>
      <w:r w:rsidR="005120B8">
        <w:rPr>
          <w:rFonts w:cs="Arial"/>
        </w:rPr>
        <w:t>the June 2026 period</w:t>
      </w:r>
      <w:r w:rsidR="00B80A66" w:rsidRPr="00B9294A">
        <w:rPr>
          <w:color w:val="000000"/>
        </w:rPr>
        <w:t>,</w:t>
      </w:r>
      <w:r w:rsidRPr="00B9294A">
        <w:rPr>
          <w:color w:val="000000"/>
        </w:rPr>
        <w:t xml:space="preserve"> </w:t>
      </w:r>
      <w:r w:rsidRPr="008253C0">
        <w:rPr>
          <w:color w:val="000000"/>
        </w:rPr>
        <w:t xml:space="preserve">the </w:t>
      </w:r>
      <w:r w:rsidR="00655CE8" w:rsidRPr="00A13C33">
        <w:rPr>
          <w:color w:val="000000"/>
        </w:rPr>
        <w:t>devaluation</w:t>
      </w:r>
      <w:r w:rsidRPr="008253C0">
        <w:rPr>
          <w:color w:val="000000"/>
        </w:rPr>
        <w:t xml:space="preserve"> of ARS resulted in </w:t>
      </w:r>
      <w:r w:rsidR="00655CE8">
        <w:rPr>
          <w:color w:val="000000"/>
        </w:rPr>
        <w:t>a decrease</w:t>
      </w:r>
      <w:r w:rsidRPr="008253C0">
        <w:rPr>
          <w:color w:val="000000"/>
        </w:rPr>
        <w:t xml:space="preserve"> in the USD equivalent of ARS denominated foreign currency denominated financial instruments, excluding </w:t>
      </w:r>
      <w:r w:rsidR="00E07809" w:rsidRPr="008253C0">
        <w:rPr>
          <w:color w:val="000000"/>
        </w:rPr>
        <w:t>loans</w:t>
      </w:r>
      <w:r w:rsidRPr="008253C0">
        <w:rPr>
          <w:color w:val="000000"/>
        </w:rPr>
        <w:t xml:space="preserve"> and notes payable, by </w:t>
      </w:r>
      <w:r w:rsidRPr="00692D05">
        <w:rPr>
          <w:color w:val="000000"/>
        </w:rPr>
        <w:t xml:space="preserve">approximately </w:t>
      </w:r>
      <w:r w:rsidR="00ED4960" w:rsidRPr="00692D05">
        <w:rPr>
          <w:color w:val="000000"/>
        </w:rPr>
        <w:t>$</w:t>
      </w:r>
      <w:r w:rsidR="008253C0" w:rsidRPr="00692D05">
        <w:rPr>
          <w:color w:val="000000"/>
        </w:rPr>
        <w:t>0.</w:t>
      </w:r>
      <w:r w:rsidR="00803C64">
        <w:rPr>
          <w:color w:val="000000"/>
        </w:rPr>
        <w:t>4</w:t>
      </w:r>
      <w:r w:rsidR="0002313A" w:rsidRPr="00692D05">
        <w:rPr>
          <w:color w:val="000000"/>
        </w:rPr>
        <w:t xml:space="preserve"> </w:t>
      </w:r>
      <w:r w:rsidR="00ED4960" w:rsidRPr="00692D05">
        <w:rPr>
          <w:color w:val="000000"/>
        </w:rPr>
        <w:t xml:space="preserve">million </w:t>
      </w:r>
      <w:r w:rsidRPr="00692D05">
        <w:rPr>
          <w:color w:val="000000"/>
        </w:rPr>
        <w:t>(</w:t>
      </w:r>
      <w:r w:rsidR="005120B8" w:rsidRPr="00692D05">
        <w:rPr>
          <w:color w:val="000000"/>
        </w:rPr>
        <w:t>June 20</w:t>
      </w:r>
      <w:r w:rsidR="005120B8">
        <w:rPr>
          <w:color w:val="000000"/>
        </w:rPr>
        <w:t xml:space="preserve">25 period </w:t>
      </w:r>
      <w:r w:rsidRPr="007F0564">
        <w:rPr>
          <w:color w:val="000000"/>
        </w:rPr>
        <w:t xml:space="preserve">– devaluation of ARS; reduction by approximately </w:t>
      </w:r>
      <w:r w:rsidR="00B93A2D" w:rsidRPr="007F0564">
        <w:rPr>
          <w:color w:val="000000"/>
        </w:rPr>
        <w:t>$</w:t>
      </w:r>
      <w:r w:rsidR="00655CE8">
        <w:rPr>
          <w:color w:val="000000"/>
        </w:rPr>
        <w:t>1.82</w:t>
      </w:r>
      <w:r w:rsidR="00B93A2D" w:rsidRPr="007F0564">
        <w:rPr>
          <w:color w:val="000000"/>
        </w:rPr>
        <w:t xml:space="preserve"> </w:t>
      </w:r>
      <w:r w:rsidRPr="007F0564">
        <w:rPr>
          <w:color w:val="000000"/>
        </w:rPr>
        <w:t>million).</w:t>
      </w:r>
      <w:r w:rsidRPr="00B9294A">
        <w:rPr>
          <w:color w:val="000000"/>
        </w:rPr>
        <w:t xml:space="preserve"> </w:t>
      </w:r>
    </w:p>
    <w:p w14:paraId="557B3BFB" w14:textId="19A53BAB" w:rsidR="00B9294A" w:rsidRDefault="00B9294A" w:rsidP="00B9294A">
      <w:pPr>
        <w:widowControl w:val="0"/>
        <w:pBdr>
          <w:top w:val="nil"/>
          <w:left w:val="nil"/>
          <w:bottom w:val="nil"/>
          <w:right w:val="nil"/>
          <w:between w:val="nil"/>
        </w:pBdr>
        <w:spacing w:before="120"/>
        <w:jc w:val="both"/>
        <w:rPr>
          <w:color w:val="000000"/>
        </w:rPr>
      </w:pPr>
      <w:r w:rsidRPr="00B9294A">
        <w:rPr>
          <w:color w:val="000000"/>
        </w:rPr>
        <w:t>The eff</w:t>
      </w:r>
      <w:r w:rsidRPr="00692D05">
        <w:rPr>
          <w:color w:val="000000"/>
        </w:rPr>
        <w:t xml:space="preserve">ect of currency </w:t>
      </w:r>
      <w:r w:rsidR="00655CE8" w:rsidRPr="00692D05">
        <w:rPr>
          <w:color w:val="000000"/>
        </w:rPr>
        <w:t xml:space="preserve">devaluation </w:t>
      </w:r>
      <w:r w:rsidRPr="00692D05">
        <w:rPr>
          <w:color w:val="000000"/>
        </w:rPr>
        <w:t xml:space="preserve">on ARS denominated bank debt during </w:t>
      </w:r>
      <w:r w:rsidR="005120B8" w:rsidRPr="00692D05">
        <w:rPr>
          <w:rFonts w:cs="Arial"/>
        </w:rPr>
        <w:t xml:space="preserve">the June 2026 period </w:t>
      </w:r>
      <w:r w:rsidRPr="00692D05">
        <w:rPr>
          <w:color w:val="000000"/>
        </w:rPr>
        <w:t xml:space="preserve">was </w:t>
      </w:r>
      <w:r w:rsidR="00EE2BE4" w:rsidRPr="00692D05">
        <w:rPr>
          <w:color w:val="000000"/>
        </w:rPr>
        <w:t xml:space="preserve">a </w:t>
      </w:r>
      <w:r w:rsidR="00803C64">
        <w:rPr>
          <w:color w:val="000000"/>
        </w:rPr>
        <w:t>nominal</w:t>
      </w:r>
      <w:r w:rsidR="007F0564" w:rsidRPr="007F0564">
        <w:rPr>
          <w:color w:val="000000"/>
        </w:rPr>
        <w:t xml:space="preserve"> </w:t>
      </w:r>
      <w:r w:rsidR="00692D05">
        <w:rPr>
          <w:color w:val="000000"/>
        </w:rPr>
        <w:t>increase</w:t>
      </w:r>
      <w:r w:rsidR="0017517F" w:rsidRPr="00B9294A">
        <w:rPr>
          <w:color w:val="000000"/>
        </w:rPr>
        <w:t xml:space="preserve"> </w:t>
      </w:r>
      <w:r w:rsidRPr="00B9294A">
        <w:rPr>
          <w:color w:val="000000"/>
        </w:rPr>
        <w:t>(</w:t>
      </w:r>
      <w:r w:rsidR="005120B8">
        <w:rPr>
          <w:color w:val="000000"/>
        </w:rPr>
        <w:t xml:space="preserve">June 2025 period </w:t>
      </w:r>
      <w:r w:rsidRPr="00B9294A">
        <w:rPr>
          <w:color w:val="000000"/>
        </w:rPr>
        <w:t>– $</w:t>
      </w:r>
      <w:r w:rsidR="00655CE8">
        <w:rPr>
          <w:color w:val="000000"/>
        </w:rPr>
        <w:t>2.2</w:t>
      </w:r>
      <w:r>
        <w:rPr>
          <w:color w:val="000000"/>
        </w:rPr>
        <w:t xml:space="preserve"> million</w:t>
      </w:r>
      <w:r w:rsidRPr="00B9294A">
        <w:rPr>
          <w:color w:val="000000"/>
        </w:rPr>
        <w:t xml:space="preserve"> reduction) in the USD equivalent amount</w:t>
      </w:r>
      <w:r>
        <w:rPr>
          <w:color w:val="000000"/>
        </w:rPr>
        <w:t>s</w:t>
      </w:r>
      <w:r w:rsidRPr="00B9294A">
        <w:rPr>
          <w:color w:val="000000"/>
        </w:rPr>
        <w:t>.</w:t>
      </w:r>
    </w:p>
    <w:p w14:paraId="43AC4484" w14:textId="77777777" w:rsidR="00803C64" w:rsidRDefault="00803C64">
      <w:pPr>
        <w:rPr>
          <w:rFonts w:cs="Arial"/>
          <w:b/>
          <w:sz w:val="22"/>
          <w:szCs w:val="22"/>
        </w:rPr>
      </w:pPr>
      <w:r>
        <w:rPr>
          <w:rFonts w:cs="Arial"/>
          <w:b/>
          <w:sz w:val="22"/>
          <w:szCs w:val="22"/>
        </w:rPr>
        <w:br w:type="page"/>
      </w:r>
    </w:p>
    <w:p w14:paraId="2F89ED27" w14:textId="3F3732FF" w:rsidR="005C43F6" w:rsidRDefault="00C22E6F" w:rsidP="00B9294A">
      <w:pPr>
        <w:spacing w:before="240" w:after="120"/>
        <w:rPr>
          <w:rFonts w:cs="Arial"/>
          <w:b/>
          <w:sz w:val="22"/>
          <w:szCs w:val="22"/>
        </w:rPr>
      </w:pPr>
      <w:r>
        <w:rPr>
          <w:rFonts w:cs="Arial"/>
          <w:b/>
          <w:sz w:val="22"/>
          <w:szCs w:val="22"/>
        </w:rPr>
        <w:lastRenderedPageBreak/>
        <w:t>Net Finance Expense</w:t>
      </w:r>
    </w:p>
    <w:tbl>
      <w:tblPr>
        <w:tblW w:w="9398" w:type="dxa"/>
        <w:jc w:val="right"/>
        <w:tblLayout w:type="fixed"/>
        <w:tblLook w:val="0400" w:firstRow="0" w:lastRow="0" w:firstColumn="0" w:lastColumn="0" w:noHBand="0" w:noVBand="1"/>
      </w:tblPr>
      <w:tblGrid>
        <w:gridCol w:w="4395"/>
        <w:gridCol w:w="1151"/>
        <w:gridCol w:w="1152"/>
        <w:gridCol w:w="1350"/>
        <w:gridCol w:w="1350"/>
      </w:tblGrid>
      <w:tr w:rsidR="00E91EF5" w14:paraId="4C6A96F9" w14:textId="77777777" w:rsidTr="0002313A">
        <w:trPr>
          <w:jc w:val="right"/>
        </w:trPr>
        <w:tc>
          <w:tcPr>
            <w:tcW w:w="4395" w:type="dxa"/>
            <w:tcBorders>
              <w:top w:val="single" w:sz="12" w:space="0" w:color="000000"/>
              <w:left w:val="nil"/>
              <w:bottom w:val="nil"/>
              <w:right w:val="nil"/>
            </w:tcBorders>
          </w:tcPr>
          <w:p w14:paraId="49692290" w14:textId="77777777" w:rsidR="00E91EF5" w:rsidRDefault="00E91EF5" w:rsidP="00E91EF5">
            <w:pPr>
              <w:widowControl w:val="0"/>
              <w:pBdr>
                <w:top w:val="nil"/>
                <w:left w:val="nil"/>
                <w:bottom w:val="nil"/>
                <w:right w:val="nil"/>
                <w:between w:val="nil"/>
              </w:pBdr>
              <w:spacing w:before="60"/>
              <w:jc w:val="both"/>
              <w:rPr>
                <w:b/>
                <w:color w:val="000000"/>
                <w:sz w:val="18"/>
                <w:szCs w:val="18"/>
              </w:rPr>
            </w:pPr>
          </w:p>
        </w:tc>
        <w:tc>
          <w:tcPr>
            <w:tcW w:w="2303" w:type="dxa"/>
            <w:gridSpan w:val="2"/>
            <w:tcBorders>
              <w:top w:val="single" w:sz="12" w:space="0" w:color="000000"/>
              <w:left w:val="nil"/>
              <w:bottom w:val="nil"/>
              <w:right w:val="nil"/>
            </w:tcBorders>
            <w:vAlign w:val="bottom"/>
          </w:tcPr>
          <w:p w14:paraId="615FBB7D" w14:textId="325B3869" w:rsidR="00E91EF5" w:rsidRDefault="00E91EF5" w:rsidP="00E91EF5">
            <w:pPr>
              <w:widowControl w:val="0"/>
              <w:pBdr>
                <w:top w:val="nil"/>
                <w:left w:val="nil"/>
                <w:bottom w:val="nil"/>
                <w:right w:val="nil"/>
                <w:between w:val="nil"/>
              </w:pBdr>
              <w:spacing w:before="60"/>
              <w:jc w:val="center"/>
              <w:rPr>
                <w:b/>
                <w:color w:val="000000"/>
                <w:sz w:val="16"/>
                <w:szCs w:val="16"/>
              </w:rPr>
            </w:pPr>
            <w:r>
              <w:rPr>
                <w:rFonts w:cs="Arial"/>
                <w:b/>
                <w:sz w:val="16"/>
                <w:szCs w:val="16"/>
              </w:rPr>
              <w:t>Three months ended</w:t>
            </w:r>
          </w:p>
        </w:tc>
        <w:tc>
          <w:tcPr>
            <w:tcW w:w="2700" w:type="dxa"/>
            <w:gridSpan w:val="2"/>
            <w:tcBorders>
              <w:top w:val="single" w:sz="12" w:space="0" w:color="000000"/>
              <w:left w:val="nil"/>
              <w:bottom w:val="nil"/>
              <w:right w:val="nil"/>
            </w:tcBorders>
            <w:vAlign w:val="bottom"/>
          </w:tcPr>
          <w:p w14:paraId="30A887B2" w14:textId="5870DED8" w:rsidR="00E91EF5" w:rsidRDefault="00E91EF5" w:rsidP="00E91EF5">
            <w:pPr>
              <w:widowControl w:val="0"/>
              <w:pBdr>
                <w:top w:val="nil"/>
                <w:left w:val="nil"/>
                <w:bottom w:val="nil"/>
                <w:right w:val="nil"/>
                <w:between w:val="nil"/>
              </w:pBdr>
              <w:spacing w:before="60"/>
              <w:jc w:val="center"/>
              <w:rPr>
                <w:b/>
                <w:color w:val="000000"/>
                <w:sz w:val="16"/>
                <w:szCs w:val="16"/>
              </w:rPr>
            </w:pPr>
            <w:r>
              <w:rPr>
                <w:rFonts w:cs="Arial"/>
                <w:b/>
                <w:sz w:val="16"/>
                <w:szCs w:val="16"/>
              </w:rPr>
              <w:t>Six months ended</w:t>
            </w:r>
          </w:p>
        </w:tc>
      </w:tr>
      <w:tr w:rsidR="00E91EF5" w14:paraId="505D69F3" w14:textId="77777777" w:rsidTr="0002313A">
        <w:trPr>
          <w:jc w:val="right"/>
        </w:trPr>
        <w:tc>
          <w:tcPr>
            <w:tcW w:w="4395" w:type="dxa"/>
          </w:tcPr>
          <w:p w14:paraId="302EAA18" w14:textId="77777777" w:rsidR="00E91EF5" w:rsidRDefault="00E91EF5" w:rsidP="00E91EF5">
            <w:pPr>
              <w:widowControl w:val="0"/>
              <w:pBdr>
                <w:top w:val="nil"/>
                <w:left w:val="nil"/>
                <w:bottom w:val="nil"/>
                <w:right w:val="nil"/>
                <w:between w:val="nil"/>
              </w:pBdr>
              <w:jc w:val="both"/>
              <w:rPr>
                <w:color w:val="000000"/>
                <w:sz w:val="18"/>
                <w:szCs w:val="18"/>
              </w:rPr>
            </w:pPr>
          </w:p>
        </w:tc>
        <w:tc>
          <w:tcPr>
            <w:tcW w:w="2303" w:type="dxa"/>
            <w:gridSpan w:val="2"/>
            <w:vAlign w:val="bottom"/>
          </w:tcPr>
          <w:p w14:paraId="09403A2E" w14:textId="7D21ECFE"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June 30</w:t>
            </w:r>
          </w:p>
        </w:tc>
        <w:tc>
          <w:tcPr>
            <w:tcW w:w="2700" w:type="dxa"/>
            <w:gridSpan w:val="2"/>
            <w:vAlign w:val="bottom"/>
          </w:tcPr>
          <w:p w14:paraId="0004B9ED" w14:textId="6C667E9E"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June 30</w:t>
            </w:r>
          </w:p>
        </w:tc>
      </w:tr>
      <w:tr w:rsidR="00E91EF5" w14:paraId="6FEE7075" w14:textId="77777777" w:rsidTr="0002313A">
        <w:trPr>
          <w:jc w:val="right"/>
        </w:trPr>
        <w:tc>
          <w:tcPr>
            <w:tcW w:w="4395" w:type="dxa"/>
            <w:tcBorders>
              <w:top w:val="nil"/>
              <w:left w:val="nil"/>
              <w:bottom w:val="single" w:sz="4" w:space="0" w:color="000000"/>
              <w:right w:val="nil"/>
            </w:tcBorders>
          </w:tcPr>
          <w:p w14:paraId="2AB6799B" w14:textId="77777777" w:rsidR="00E91EF5" w:rsidRDefault="00E91EF5" w:rsidP="00E91EF5">
            <w:pPr>
              <w:widowControl w:val="0"/>
              <w:pBdr>
                <w:top w:val="nil"/>
                <w:left w:val="nil"/>
                <w:bottom w:val="nil"/>
                <w:right w:val="nil"/>
                <w:between w:val="nil"/>
              </w:pBdr>
              <w:jc w:val="both"/>
              <w:rPr>
                <w:color w:val="000000"/>
                <w:sz w:val="18"/>
                <w:szCs w:val="18"/>
              </w:rPr>
            </w:pPr>
          </w:p>
        </w:tc>
        <w:tc>
          <w:tcPr>
            <w:tcW w:w="1151" w:type="dxa"/>
            <w:tcBorders>
              <w:top w:val="nil"/>
              <w:left w:val="nil"/>
              <w:bottom w:val="single" w:sz="4" w:space="0" w:color="000000"/>
              <w:right w:val="nil"/>
            </w:tcBorders>
            <w:vAlign w:val="bottom"/>
          </w:tcPr>
          <w:p w14:paraId="3563E6FB" w14:textId="331472A1"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152" w:type="dxa"/>
            <w:tcBorders>
              <w:top w:val="nil"/>
              <w:left w:val="nil"/>
              <w:bottom w:val="single" w:sz="4" w:space="0" w:color="000000"/>
              <w:right w:val="nil"/>
            </w:tcBorders>
            <w:vAlign w:val="bottom"/>
          </w:tcPr>
          <w:p w14:paraId="54A10373" w14:textId="327E4E73"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c>
          <w:tcPr>
            <w:tcW w:w="1350" w:type="dxa"/>
            <w:tcBorders>
              <w:top w:val="nil"/>
              <w:left w:val="nil"/>
              <w:bottom w:val="single" w:sz="4" w:space="0" w:color="000000"/>
              <w:right w:val="nil"/>
            </w:tcBorders>
            <w:vAlign w:val="bottom"/>
          </w:tcPr>
          <w:p w14:paraId="400E2B91" w14:textId="017E8EC2"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50" w:type="dxa"/>
            <w:tcBorders>
              <w:top w:val="nil"/>
              <w:left w:val="nil"/>
              <w:bottom w:val="single" w:sz="4" w:space="0" w:color="000000"/>
              <w:right w:val="nil"/>
            </w:tcBorders>
            <w:vAlign w:val="bottom"/>
          </w:tcPr>
          <w:p w14:paraId="7AAA3CE1" w14:textId="38EC5B88" w:rsidR="00E91EF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r>
      <w:tr w:rsidR="00FF0A5D" w:rsidRPr="00385FFE" w14:paraId="0282E5C2" w14:textId="77777777">
        <w:trPr>
          <w:jc w:val="right"/>
        </w:trPr>
        <w:tc>
          <w:tcPr>
            <w:tcW w:w="4395" w:type="dxa"/>
            <w:tcBorders>
              <w:top w:val="nil"/>
              <w:left w:val="nil"/>
              <w:right w:val="nil"/>
            </w:tcBorders>
            <w:vAlign w:val="center"/>
          </w:tcPr>
          <w:p w14:paraId="0CAD7242" w14:textId="39605616" w:rsidR="00FF0A5D" w:rsidRPr="00385FFE" w:rsidRDefault="00FF0A5D" w:rsidP="00FF0A5D">
            <w:pPr>
              <w:pBdr>
                <w:top w:val="nil"/>
                <w:left w:val="nil"/>
                <w:bottom w:val="nil"/>
                <w:right w:val="nil"/>
                <w:between w:val="nil"/>
              </w:pBdr>
              <w:spacing w:before="60"/>
              <w:rPr>
                <w:color w:val="000000"/>
                <w:sz w:val="18"/>
                <w:szCs w:val="18"/>
              </w:rPr>
            </w:pPr>
            <w:r w:rsidRPr="00385FFE">
              <w:rPr>
                <w:color w:val="000000"/>
                <w:sz w:val="18"/>
                <w:szCs w:val="18"/>
              </w:rPr>
              <w:t>Interest income ($)</w:t>
            </w:r>
          </w:p>
        </w:tc>
        <w:tc>
          <w:tcPr>
            <w:tcW w:w="1151" w:type="dxa"/>
            <w:tcBorders>
              <w:top w:val="nil"/>
              <w:left w:val="nil"/>
              <w:right w:val="nil"/>
            </w:tcBorders>
            <w:vAlign w:val="center"/>
          </w:tcPr>
          <w:p w14:paraId="7505008D" w14:textId="088F42FE" w:rsidR="00FF0A5D" w:rsidRPr="00B9294A" w:rsidRDefault="00692D05" w:rsidP="00FF0A5D">
            <w:pPr>
              <w:pBdr>
                <w:top w:val="nil"/>
                <w:left w:val="nil"/>
                <w:bottom w:val="nil"/>
                <w:right w:val="nil"/>
                <w:between w:val="nil"/>
              </w:pBdr>
              <w:tabs>
                <w:tab w:val="decimal" w:pos="1061"/>
              </w:tabs>
              <w:spacing w:before="60"/>
              <w:ind w:right="-18"/>
              <w:rPr>
                <w:rFonts w:cs="Arial"/>
                <w:sz w:val="18"/>
                <w:szCs w:val="18"/>
              </w:rPr>
            </w:pPr>
            <w:r>
              <w:rPr>
                <w:rFonts w:cs="Arial"/>
                <w:sz w:val="18"/>
                <w:szCs w:val="18"/>
              </w:rPr>
              <w:t>593,634</w:t>
            </w:r>
          </w:p>
        </w:tc>
        <w:tc>
          <w:tcPr>
            <w:tcW w:w="1152" w:type="dxa"/>
            <w:tcBorders>
              <w:top w:val="nil"/>
              <w:left w:val="nil"/>
              <w:right w:val="nil"/>
            </w:tcBorders>
          </w:tcPr>
          <w:p w14:paraId="5BF3125D" w14:textId="6193308B" w:rsidR="00FF0A5D" w:rsidRPr="00B9294A" w:rsidRDefault="00FF0A5D" w:rsidP="00FF0A5D">
            <w:pPr>
              <w:pBdr>
                <w:top w:val="nil"/>
                <w:left w:val="nil"/>
                <w:bottom w:val="nil"/>
                <w:right w:val="nil"/>
                <w:between w:val="nil"/>
              </w:pBdr>
              <w:tabs>
                <w:tab w:val="decimal" w:pos="1061"/>
              </w:tabs>
              <w:spacing w:before="60"/>
              <w:ind w:right="-18"/>
              <w:rPr>
                <w:rFonts w:cs="Arial"/>
                <w:sz w:val="18"/>
                <w:szCs w:val="18"/>
              </w:rPr>
            </w:pPr>
            <w:r>
              <w:rPr>
                <w:rFonts w:eastAsia="Arial" w:cs="Arial"/>
                <w:sz w:val="18"/>
                <w:szCs w:val="18"/>
              </w:rPr>
              <w:t>41,371</w:t>
            </w:r>
          </w:p>
        </w:tc>
        <w:tc>
          <w:tcPr>
            <w:tcW w:w="1350" w:type="dxa"/>
            <w:tcBorders>
              <w:top w:val="nil"/>
              <w:left w:val="nil"/>
              <w:right w:val="nil"/>
            </w:tcBorders>
            <w:vAlign w:val="bottom"/>
          </w:tcPr>
          <w:p w14:paraId="17145E6B" w14:textId="3D9EF39B" w:rsidR="00FF0A5D" w:rsidRPr="00BA0643" w:rsidRDefault="00692D05" w:rsidP="00FF0A5D">
            <w:pPr>
              <w:pBdr>
                <w:top w:val="nil"/>
                <w:left w:val="nil"/>
                <w:bottom w:val="nil"/>
                <w:right w:val="nil"/>
                <w:between w:val="nil"/>
              </w:pBdr>
              <w:tabs>
                <w:tab w:val="decimal" w:pos="1061"/>
              </w:tabs>
              <w:spacing w:before="60"/>
              <w:ind w:right="-18"/>
              <w:rPr>
                <w:rFonts w:cs="Arial"/>
                <w:sz w:val="18"/>
                <w:szCs w:val="18"/>
              </w:rPr>
            </w:pPr>
            <w:r>
              <w:rPr>
                <w:rFonts w:cs="Arial"/>
                <w:sz w:val="18"/>
                <w:szCs w:val="18"/>
              </w:rPr>
              <w:t>1,522,171</w:t>
            </w:r>
          </w:p>
        </w:tc>
        <w:tc>
          <w:tcPr>
            <w:tcW w:w="1350" w:type="dxa"/>
            <w:tcBorders>
              <w:top w:val="nil"/>
              <w:left w:val="nil"/>
              <w:right w:val="nil"/>
            </w:tcBorders>
            <w:vAlign w:val="bottom"/>
          </w:tcPr>
          <w:p w14:paraId="0376E02E" w14:textId="19483046" w:rsidR="00FF0A5D" w:rsidRPr="00385FFE" w:rsidRDefault="00FF0A5D" w:rsidP="00FF0A5D">
            <w:pPr>
              <w:widowControl w:val="0"/>
              <w:pBdr>
                <w:top w:val="nil"/>
                <w:left w:val="nil"/>
                <w:bottom w:val="nil"/>
                <w:right w:val="nil"/>
                <w:between w:val="nil"/>
              </w:pBdr>
              <w:tabs>
                <w:tab w:val="decimal" w:pos="1061"/>
              </w:tabs>
              <w:spacing w:before="60"/>
              <w:rPr>
                <w:bCs/>
                <w:color w:val="000000"/>
                <w:sz w:val="18"/>
                <w:szCs w:val="18"/>
              </w:rPr>
            </w:pPr>
            <w:r>
              <w:rPr>
                <w:rFonts w:eastAsia="Arial" w:cs="Arial"/>
                <w:sz w:val="18"/>
                <w:szCs w:val="18"/>
              </w:rPr>
              <w:t>159,148</w:t>
            </w:r>
          </w:p>
        </w:tc>
      </w:tr>
      <w:tr w:rsidR="00FF0A5D" w:rsidRPr="00385FFE" w14:paraId="47610804" w14:textId="77777777" w:rsidTr="00222F7E">
        <w:trPr>
          <w:jc w:val="right"/>
        </w:trPr>
        <w:tc>
          <w:tcPr>
            <w:tcW w:w="4395" w:type="dxa"/>
            <w:tcBorders>
              <w:top w:val="nil"/>
              <w:left w:val="nil"/>
              <w:right w:val="nil"/>
            </w:tcBorders>
            <w:vAlign w:val="center"/>
          </w:tcPr>
          <w:p w14:paraId="343047D8" w14:textId="5506C994" w:rsidR="00FF0A5D" w:rsidRPr="00385FFE" w:rsidRDefault="00FF0A5D" w:rsidP="00FF0A5D">
            <w:pPr>
              <w:pBdr>
                <w:top w:val="nil"/>
                <w:left w:val="nil"/>
                <w:bottom w:val="nil"/>
                <w:right w:val="nil"/>
                <w:between w:val="nil"/>
              </w:pBdr>
              <w:rPr>
                <w:color w:val="000000"/>
                <w:sz w:val="18"/>
                <w:szCs w:val="18"/>
              </w:rPr>
            </w:pPr>
            <w:r>
              <w:rPr>
                <w:rFonts w:cs="Arial"/>
                <w:sz w:val="18"/>
                <w:szCs w:val="18"/>
              </w:rPr>
              <w:t>Gain on fair value of financial instruments</w:t>
            </w:r>
            <w:r w:rsidDel="00691AE3">
              <w:rPr>
                <w:rFonts w:cs="Arial"/>
                <w:sz w:val="18"/>
                <w:szCs w:val="18"/>
              </w:rPr>
              <w:t xml:space="preserve"> </w:t>
            </w:r>
            <w:r w:rsidRPr="00385FFE">
              <w:rPr>
                <w:color w:val="000000"/>
                <w:sz w:val="18"/>
                <w:szCs w:val="18"/>
              </w:rPr>
              <w:t>($)</w:t>
            </w:r>
          </w:p>
        </w:tc>
        <w:tc>
          <w:tcPr>
            <w:tcW w:w="1151" w:type="dxa"/>
            <w:tcBorders>
              <w:top w:val="nil"/>
              <w:left w:val="nil"/>
              <w:right w:val="nil"/>
            </w:tcBorders>
            <w:vAlign w:val="center"/>
          </w:tcPr>
          <w:p w14:paraId="3B4100D6" w14:textId="3083AB89" w:rsidR="00FF0A5D" w:rsidRPr="00B9294A" w:rsidRDefault="00692D05" w:rsidP="00FF0A5D">
            <w:pPr>
              <w:pBdr>
                <w:top w:val="nil"/>
                <w:left w:val="nil"/>
                <w:bottom w:val="nil"/>
                <w:right w:val="nil"/>
                <w:between w:val="nil"/>
              </w:pBdr>
              <w:tabs>
                <w:tab w:val="decimal" w:pos="1061"/>
              </w:tabs>
              <w:ind w:right="-18"/>
              <w:rPr>
                <w:rFonts w:cs="Arial"/>
                <w:sz w:val="18"/>
                <w:szCs w:val="18"/>
              </w:rPr>
            </w:pPr>
            <w:r>
              <w:rPr>
                <w:rFonts w:cs="Arial"/>
                <w:sz w:val="18"/>
                <w:szCs w:val="18"/>
              </w:rPr>
              <w:t>328,120</w:t>
            </w:r>
          </w:p>
        </w:tc>
        <w:tc>
          <w:tcPr>
            <w:tcW w:w="1152" w:type="dxa"/>
            <w:tcBorders>
              <w:top w:val="nil"/>
              <w:left w:val="nil"/>
              <w:right w:val="nil"/>
            </w:tcBorders>
            <w:vAlign w:val="bottom"/>
          </w:tcPr>
          <w:p w14:paraId="47C9E3A3" w14:textId="66BA3410" w:rsidR="00FF0A5D" w:rsidRPr="00B9294A" w:rsidRDefault="00FF0A5D" w:rsidP="00FF0A5D">
            <w:pPr>
              <w:pBdr>
                <w:top w:val="nil"/>
                <w:left w:val="nil"/>
                <w:bottom w:val="nil"/>
                <w:right w:val="nil"/>
                <w:between w:val="nil"/>
              </w:pBdr>
              <w:tabs>
                <w:tab w:val="decimal" w:pos="1061"/>
              </w:tabs>
              <w:ind w:right="-18"/>
              <w:rPr>
                <w:rFonts w:cs="Arial"/>
                <w:sz w:val="18"/>
                <w:szCs w:val="18"/>
              </w:rPr>
            </w:pPr>
            <w:r>
              <w:rPr>
                <w:rFonts w:eastAsia="Arial" w:cs="Arial"/>
                <w:sz w:val="18"/>
                <w:szCs w:val="18"/>
              </w:rPr>
              <w:t>52,030</w:t>
            </w:r>
          </w:p>
        </w:tc>
        <w:tc>
          <w:tcPr>
            <w:tcW w:w="1350" w:type="dxa"/>
            <w:tcBorders>
              <w:top w:val="nil"/>
              <w:left w:val="nil"/>
              <w:right w:val="nil"/>
            </w:tcBorders>
            <w:vAlign w:val="bottom"/>
          </w:tcPr>
          <w:p w14:paraId="272ED283" w14:textId="3903775C" w:rsidR="00FF0A5D" w:rsidRPr="00BA0643" w:rsidRDefault="00FF0A5D" w:rsidP="00FF0A5D">
            <w:pPr>
              <w:pBdr>
                <w:top w:val="nil"/>
                <w:left w:val="nil"/>
                <w:bottom w:val="nil"/>
                <w:right w:val="nil"/>
                <w:between w:val="nil"/>
              </w:pBdr>
              <w:tabs>
                <w:tab w:val="decimal" w:pos="1061"/>
              </w:tabs>
              <w:ind w:right="-18"/>
              <w:rPr>
                <w:rFonts w:cs="Arial"/>
                <w:sz w:val="18"/>
                <w:szCs w:val="18"/>
              </w:rPr>
            </w:pPr>
            <w:r>
              <w:rPr>
                <w:sz w:val="18"/>
                <w:szCs w:val="18"/>
              </w:rPr>
              <w:t>–</w:t>
            </w:r>
          </w:p>
        </w:tc>
        <w:tc>
          <w:tcPr>
            <w:tcW w:w="1350" w:type="dxa"/>
            <w:tcBorders>
              <w:top w:val="nil"/>
              <w:left w:val="nil"/>
              <w:right w:val="nil"/>
            </w:tcBorders>
            <w:vAlign w:val="bottom"/>
          </w:tcPr>
          <w:p w14:paraId="4A4EAD74" w14:textId="5944112B" w:rsidR="00FF0A5D" w:rsidRDefault="00FF0A5D" w:rsidP="00FF0A5D">
            <w:pPr>
              <w:widowControl w:val="0"/>
              <w:pBdr>
                <w:top w:val="nil"/>
                <w:left w:val="nil"/>
                <w:bottom w:val="nil"/>
                <w:right w:val="nil"/>
                <w:between w:val="nil"/>
              </w:pBdr>
              <w:tabs>
                <w:tab w:val="decimal" w:pos="1061"/>
              </w:tabs>
              <w:rPr>
                <w:rFonts w:cs="Arial"/>
                <w:color w:val="000000"/>
                <w:sz w:val="18"/>
                <w:szCs w:val="18"/>
              </w:rPr>
            </w:pPr>
            <w:r>
              <w:rPr>
                <w:rFonts w:eastAsia="Arial" w:cs="Arial"/>
                <w:sz w:val="18"/>
                <w:szCs w:val="18"/>
              </w:rPr>
              <w:t>96,836</w:t>
            </w:r>
          </w:p>
        </w:tc>
      </w:tr>
      <w:tr w:rsidR="00222F7E" w:rsidRPr="00281181" w14:paraId="0FBFBA79" w14:textId="77777777" w:rsidTr="00222F7E">
        <w:trPr>
          <w:jc w:val="right"/>
        </w:trPr>
        <w:tc>
          <w:tcPr>
            <w:tcW w:w="4395" w:type="dxa"/>
            <w:tcBorders>
              <w:left w:val="nil"/>
              <w:right w:val="nil"/>
            </w:tcBorders>
            <w:vAlign w:val="bottom"/>
          </w:tcPr>
          <w:p w14:paraId="547CDDC8" w14:textId="68CDA79E" w:rsidR="00222F7E" w:rsidRPr="00CA1F3D" w:rsidRDefault="00222F7E" w:rsidP="00222F7E">
            <w:pPr>
              <w:pBdr>
                <w:top w:val="nil"/>
                <w:left w:val="nil"/>
                <w:bottom w:val="nil"/>
                <w:right w:val="nil"/>
                <w:between w:val="nil"/>
              </w:pBdr>
              <w:rPr>
                <w:sz w:val="18"/>
                <w:szCs w:val="18"/>
              </w:rPr>
            </w:pPr>
            <w:r w:rsidRPr="0052155A">
              <w:rPr>
                <w:rFonts w:cs="Arial"/>
                <w:sz w:val="18"/>
                <w:szCs w:val="18"/>
              </w:rPr>
              <w:t>Gain on modification of financial liability</w:t>
            </w:r>
            <w:r>
              <w:rPr>
                <w:rFonts w:cs="Arial"/>
                <w:sz w:val="18"/>
                <w:szCs w:val="18"/>
              </w:rPr>
              <w:t xml:space="preserve"> (</w:t>
            </w:r>
            <w:r w:rsidRPr="00385FFE">
              <w:rPr>
                <w:color w:val="000000"/>
                <w:sz w:val="18"/>
                <w:szCs w:val="18"/>
              </w:rPr>
              <w:t>$</w:t>
            </w:r>
            <w:r>
              <w:rPr>
                <w:rFonts w:cs="Arial"/>
                <w:sz w:val="18"/>
                <w:szCs w:val="18"/>
              </w:rPr>
              <w:t>)</w:t>
            </w:r>
          </w:p>
        </w:tc>
        <w:tc>
          <w:tcPr>
            <w:tcW w:w="1151" w:type="dxa"/>
            <w:tcBorders>
              <w:left w:val="nil"/>
              <w:right w:val="nil"/>
            </w:tcBorders>
            <w:vAlign w:val="bottom"/>
          </w:tcPr>
          <w:p w14:paraId="555526E2" w14:textId="28B62E65" w:rsidR="00222F7E" w:rsidRDefault="00222F7E" w:rsidP="00222F7E">
            <w:pPr>
              <w:pBdr>
                <w:top w:val="nil"/>
                <w:left w:val="nil"/>
                <w:bottom w:val="nil"/>
                <w:right w:val="nil"/>
                <w:between w:val="nil"/>
              </w:pBdr>
              <w:tabs>
                <w:tab w:val="decimal" w:pos="1061"/>
              </w:tabs>
              <w:ind w:right="-18"/>
              <w:rPr>
                <w:sz w:val="18"/>
                <w:szCs w:val="18"/>
              </w:rPr>
            </w:pPr>
            <w:r>
              <w:rPr>
                <w:rFonts w:eastAsia="Arial" w:cs="Arial"/>
                <w:sz w:val="18"/>
                <w:szCs w:val="18"/>
              </w:rPr>
              <w:t>1,377,127</w:t>
            </w:r>
          </w:p>
        </w:tc>
        <w:tc>
          <w:tcPr>
            <w:tcW w:w="1152" w:type="dxa"/>
            <w:tcBorders>
              <w:left w:val="nil"/>
              <w:right w:val="nil"/>
            </w:tcBorders>
          </w:tcPr>
          <w:p w14:paraId="3EC19527" w14:textId="74A822CF" w:rsidR="00222F7E" w:rsidRPr="007F2C3C" w:rsidRDefault="00222F7E" w:rsidP="00222F7E">
            <w:pPr>
              <w:pBdr>
                <w:top w:val="nil"/>
                <w:left w:val="nil"/>
                <w:bottom w:val="nil"/>
                <w:right w:val="nil"/>
                <w:between w:val="nil"/>
              </w:pBdr>
              <w:tabs>
                <w:tab w:val="decimal" w:pos="1061"/>
              </w:tabs>
              <w:ind w:right="-18"/>
              <w:rPr>
                <w:sz w:val="18"/>
                <w:szCs w:val="18"/>
              </w:rPr>
            </w:pPr>
            <w:r>
              <w:rPr>
                <w:sz w:val="18"/>
                <w:szCs w:val="18"/>
              </w:rPr>
              <w:t>–</w:t>
            </w:r>
          </w:p>
        </w:tc>
        <w:tc>
          <w:tcPr>
            <w:tcW w:w="1350" w:type="dxa"/>
            <w:tcBorders>
              <w:left w:val="nil"/>
              <w:right w:val="nil"/>
            </w:tcBorders>
            <w:vAlign w:val="bottom"/>
          </w:tcPr>
          <w:p w14:paraId="2383C5F9" w14:textId="5C612C97" w:rsidR="00222F7E" w:rsidRDefault="00222F7E" w:rsidP="00222F7E">
            <w:pPr>
              <w:pBdr>
                <w:top w:val="nil"/>
                <w:left w:val="nil"/>
                <w:bottom w:val="nil"/>
                <w:right w:val="nil"/>
                <w:between w:val="nil"/>
              </w:pBdr>
              <w:tabs>
                <w:tab w:val="decimal" w:pos="1061"/>
              </w:tabs>
              <w:ind w:right="-18"/>
              <w:rPr>
                <w:sz w:val="18"/>
                <w:szCs w:val="18"/>
              </w:rPr>
            </w:pPr>
            <w:r>
              <w:rPr>
                <w:rFonts w:eastAsia="Arial" w:cs="Arial"/>
                <w:sz w:val="18"/>
                <w:szCs w:val="18"/>
              </w:rPr>
              <w:t>1,377,127</w:t>
            </w:r>
          </w:p>
        </w:tc>
        <w:tc>
          <w:tcPr>
            <w:tcW w:w="1350" w:type="dxa"/>
            <w:tcBorders>
              <w:left w:val="nil"/>
              <w:right w:val="nil"/>
            </w:tcBorders>
          </w:tcPr>
          <w:p w14:paraId="114E9BE7" w14:textId="6979D924" w:rsidR="00222F7E" w:rsidRPr="007F2C3C" w:rsidRDefault="00222F7E" w:rsidP="00222F7E">
            <w:pPr>
              <w:widowControl w:val="0"/>
              <w:pBdr>
                <w:top w:val="nil"/>
                <w:left w:val="nil"/>
                <w:bottom w:val="nil"/>
                <w:right w:val="nil"/>
                <w:between w:val="nil"/>
              </w:pBdr>
              <w:tabs>
                <w:tab w:val="decimal" w:pos="1061"/>
              </w:tabs>
              <w:rPr>
                <w:sz w:val="18"/>
                <w:szCs w:val="18"/>
              </w:rPr>
            </w:pPr>
            <w:r>
              <w:rPr>
                <w:sz w:val="18"/>
                <w:szCs w:val="18"/>
              </w:rPr>
              <w:t>–</w:t>
            </w:r>
          </w:p>
        </w:tc>
      </w:tr>
      <w:tr w:rsidR="00222F7E" w:rsidRPr="00281181" w14:paraId="341F1CDD" w14:textId="77777777" w:rsidTr="00222F7E">
        <w:trPr>
          <w:jc w:val="right"/>
        </w:trPr>
        <w:tc>
          <w:tcPr>
            <w:tcW w:w="4395" w:type="dxa"/>
            <w:tcBorders>
              <w:left w:val="nil"/>
              <w:bottom w:val="single" w:sz="4" w:space="0" w:color="auto"/>
              <w:right w:val="nil"/>
            </w:tcBorders>
            <w:vAlign w:val="bottom"/>
          </w:tcPr>
          <w:p w14:paraId="27D05D93" w14:textId="5E732C84" w:rsidR="00222F7E" w:rsidRPr="00CA1F3D" w:rsidRDefault="00222F7E" w:rsidP="00222F7E">
            <w:pPr>
              <w:pBdr>
                <w:top w:val="nil"/>
                <w:left w:val="nil"/>
                <w:bottom w:val="nil"/>
                <w:right w:val="nil"/>
                <w:between w:val="nil"/>
              </w:pBdr>
              <w:rPr>
                <w:sz w:val="18"/>
                <w:szCs w:val="18"/>
              </w:rPr>
            </w:pPr>
            <w:r w:rsidRPr="00CA1F3D">
              <w:rPr>
                <w:sz w:val="18"/>
                <w:szCs w:val="18"/>
              </w:rPr>
              <w:t>Amortization of notes payable premium</w:t>
            </w:r>
            <w:r>
              <w:rPr>
                <w:sz w:val="18"/>
                <w:szCs w:val="18"/>
              </w:rPr>
              <w:t xml:space="preserve"> ($)</w:t>
            </w:r>
          </w:p>
        </w:tc>
        <w:tc>
          <w:tcPr>
            <w:tcW w:w="1151" w:type="dxa"/>
            <w:tcBorders>
              <w:left w:val="nil"/>
              <w:bottom w:val="single" w:sz="4" w:space="0" w:color="auto"/>
              <w:right w:val="nil"/>
            </w:tcBorders>
            <w:vAlign w:val="bottom"/>
          </w:tcPr>
          <w:p w14:paraId="7FA2A6B7" w14:textId="4BE616DF" w:rsidR="00222F7E" w:rsidRPr="00B9294A" w:rsidRDefault="00222F7E" w:rsidP="00222F7E">
            <w:pPr>
              <w:pBdr>
                <w:top w:val="nil"/>
                <w:left w:val="nil"/>
                <w:bottom w:val="nil"/>
                <w:right w:val="nil"/>
                <w:between w:val="nil"/>
              </w:pBdr>
              <w:tabs>
                <w:tab w:val="decimal" w:pos="1061"/>
              </w:tabs>
              <w:ind w:right="-18"/>
              <w:rPr>
                <w:rFonts w:cs="Arial"/>
                <w:sz w:val="18"/>
                <w:szCs w:val="18"/>
              </w:rPr>
            </w:pPr>
            <w:r>
              <w:rPr>
                <w:sz w:val="18"/>
                <w:szCs w:val="18"/>
              </w:rPr>
              <w:t>–</w:t>
            </w:r>
          </w:p>
        </w:tc>
        <w:tc>
          <w:tcPr>
            <w:tcW w:w="1152" w:type="dxa"/>
            <w:tcBorders>
              <w:left w:val="nil"/>
              <w:bottom w:val="single" w:sz="4" w:space="0" w:color="auto"/>
              <w:right w:val="nil"/>
            </w:tcBorders>
          </w:tcPr>
          <w:p w14:paraId="1DE2C447" w14:textId="323A9A1B" w:rsidR="00222F7E" w:rsidRPr="00CA1F3D" w:rsidRDefault="00222F7E" w:rsidP="00222F7E">
            <w:pPr>
              <w:pBdr>
                <w:top w:val="nil"/>
                <w:left w:val="nil"/>
                <w:bottom w:val="nil"/>
                <w:right w:val="nil"/>
                <w:between w:val="nil"/>
              </w:pBdr>
              <w:tabs>
                <w:tab w:val="decimal" w:pos="1061"/>
              </w:tabs>
              <w:ind w:right="-18"/>
              <w:rPr>
                <w:rFonts w:cs="Arial"/>
                <w:sz w:val="18"/>
                <w:szCs w:val="18"/>
              </w:rPr>
            </w:pPr>
            <w:r w:rsidRPr="007F2C3C">
              <w:rPr>
                <w:sz w:val="18"/>
                <w:szCs w:val="18"/>
              </w:rPr>
              <w:t xml:space="preserve"> 34,761 </w:t>
            </w:r>
          </w:p>
        </w:tc>
        <w:tc>
          <w:tcPr>
            <w:tcW w:w="1350" w:type="dxa"/>
            <w:tcBorders>
              <w:left w:val="nil"/>
              <w:bottom w:val="single" w:sz="4" w:space="0" w:color="auto"/>
              <w:right w:val="nil"/>
            </w:tcBorders>
            <w:vAlign w:val="bottom"/>
          </w:tcPr>
          <w:p w14:paraId="1F908CC5" w14:textId="007025B6" w:rsidR="00222F7E" w:rsidRPr="00BA0643" w:rsidRDefault="00222F7E" w:rsidP="00222F7E">
            <w:pPr>
              <w:pBdr>
                <w:top w:val="nil"/>
                <w:left w:val="nil"/>
                <w:bottom w:val="nil"/>
                <w:right w:val="nil"/>
                <w:between w:val="nil"/>
              </w:pBdr>
              <w:tabs>
                <w:tab w:val="decimal" w:pos="1061"/>
              </w:tabs>
              <w:ind w:right="-18"/>
              <w:rPr>
                <w:rFonts w:cs="Arial"/>
                <w:sz w:val="18"/>
                <w:szCs w:val="18"/>
              </w:rPr>
            </w:pPr>
            <w:r>
              <w:rPr>
                <w:sz w:val="18"/>
                <w:szCs w:val="18"/>
              </w:rPr>
              <w:t>–</w:t>
            </w:r>
          </w:p>
        </w:tc>
        <w:tc>
          <w:tcPr>
            <w:tcW w:w="1350" w:type="dxa"/>
            <w:tcBorders>
              <w:left w:val="nil"/>
              <w:bottom w:val="single" w:sz="4" w:space="0" w:color="auto"/>
              <w:right w:val="nil"/>
            </w:tcBorders>
          </w:tcPr>
          <w:p w14:paraId="07752528" w14:textId="672FE8D7" w:rsidR="00222F7E" w:rsidRPr="00CA1F3D" w:rsidRDefault="00222F7E" w:rsidP="00222F7E">
            <w:pPr>
              <w:widowControl w:val="0"/>
              <w:pBdr>
                <w:top w:val="nil"/>
                <w:left w:val="nil"/>
                <w:bottom w:val="nil"/>
                <w:right w:val="nil"/>
                <w:between w:val="nil"/>
              </w:pBdr>
              <w:tabs>
                <w:tab w:val="decimal" w:pos="1061"/>
              </w:tabs>
              <w:rPr>
                <w:bCs/>
                <w:sz w:val="18"/>
                <w:szCs w:val="18"/>
              </w:rPr>
            </w:pPr>
            <w:r w:rsidRPr="007F2C3C">
              <w:rPr>
                <w:sz w:val="18"/>
                <w:szCs w:val="18"/>
              </w:rPr>
              <w:t xml:space="preserve"> 97,427 </w:t>
            </w:r>
          </w:p>
        </w:tc>
      </w:tr>
      <w:tr w:rsidR="00222F7E" w:rsidRPr="00281181" w14:paraId="45244539" w14:textId="77777777" w:rsidTr="0002313A">
        <w:trPr>
          <w:trHeight w:val="274"/>
          <w:jc w:val="right"/>
        </w:trPr>
        <w:tc>
          <w:tcPr>
            <w:tcW w:w="4395" w:type="dxa"/>
            <w:tcBorders>
              <w:top w:val="nil"/>
              <w:left w:val="nil"/>
              <w:bottom w:val="single" w:sz="4" w:space="0" w:color="auto"/>
              <w:right w:val="nil"/>
            </w:tcBorders>
            <w:vAlign w:val="center"/>
          </w:tcPr>
          <w:p w14:paraId="25D432A1" w14:textId="7F27E2B8" w:rsidR="00222F7E" w:rsidRPr="00CA1F3D" w:rsidRDefault="00222F7E" w:rsidP="00222F7E">
            <w:pPr>
              <w:pBdr>
                <w:top w:val="nil"/>
                <w:left w:val="nil"/>
                <w:bottom w:val="nil"/>
                <w:right w:val="nil"/>
                <w:between w:val="nil"/>
              </w:pBdr>
              <w:rPr>
                <w:color w:val="000000"/>
                <w:sz w:val="18"/>
                <w:szCs w:val="18"/>
              </w:rPr>
            </w:pPr>
            <w:r w:rsidRPr="00CA1F3D">
              <w:rPr>
                <w:color w:val="000000"/>
                <w:sz w:val="18"/>
                <w:szCs w:val="18"/>
              </w:rPr>
              <w:t>Finance income ($)</w:t>
            </w:r>
          </w:p>
        </w:tc>
        <w:tc>
          <w:tcPr>
            <w:tcW w:w="1151" w:type="dxa"/>
            <w:tcBorders>
              <w:top w:val="nil"/>
              <w:left w:val="nil"/>
              <w:bottom w:val="single" w:sz="4" w:space="0" w:color="auto"/>
              <w:right w:val="nil"/>
            </w:tcBorders>
            <w:vAlign w:val="center"/>
          </w:tcPr>
          <w:p w14:paraId="58A72141" w14:textId="60BA2C88" w:rsidR="00222F7E" w:rsidRPr="00B9294A"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2,298,881</w:t>
            </w:r>
          </w:p>
        </w:tc>
        <w:tc>
          <w:tcPr>
            <w:tcW w:w="1152" w:type="dxa"/>
            <w:tcBorders>
              <w:top w:val="nil"/>
              <w:left w:val="nil"/>
              <w:bottom w:val="single" w:sz="4" w:space="0" w:color="auto"/>
              <w:right w:val="nil"/>
            </w:tcBorders>
            <w:vAlign w:val="center"/>
          </w:tcPr>
          <w:p w14:paraId="1EB3A17E" w14:textId="0D36BD6D" w:rsidR="00222F7E" w:rsidRPr="00B9294A" w:rsidRDefault="00222F7E" w:rsidP="00222F7E">
            <w:pPr>
              <w:pBdr>
                <w:top w:val="nil"/>
                <w:left w:val="nil"/>
                <w:bottom w:val="nil"/>
                <w:right w:val="nil"/>
                <w:between w:val="nil"/>
              </w:pBdr>
              <w:tabs>
                <w:tab w:val="decimal" w:pos="1061"/>
              </w:tabs>
              <w:ind w:right="-18"/>
              <w:rPr>
                <w:rFonts w:cs="Arial"/>
                <w:sz w:val="18"/>
                <w:szCs w:val="18"/>
              </w:rPr>
            </w:pPr>
            <w:r w:rsidRPr="007F2C3C">
              <w:rPr>
                <w:rFonts w:cs="Arial"/>
                <w:sz w:val="18"/>
                <w:szCs w:val="18"/>
              </w:rPr>
              <w:t>128,162</w:t>
            </w:r>
          </w:p>
        </w:tc>
        <w:tc>
          <w:tcPr>
            <w:tcW w:w="1350" w:type="dxa"/>
            <w:tcBorders>
              <w:top w:val="nil"/>
              <w:left w:val="nil"/>
              <w:bottom w:val="single" w:sz="4" w:space="0" w:color="auto"/>
              <w:right w:val="nil"/>
            </w:tcBorders>
            <w:vAlign w:val="center"/>
          </w:tcPr>
          <w:p w14:paraId="6C47214F" w14:textId="614B560A" w:rsidR="00222F7E" w:rsidRPr="00BA0643"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2,899,298</w:t>
            </w:r>
          </w:p>
        </w:tc>
        <w:tc>
          <w:tcPr>
            <w:tcW w:w="1350" w:type="dxa"/>
            <w:tcBorders>
              <w:top w:val="nil"/>
              <w:left w:val="nil"/>
              <w:bottom w:val="single" w:sz="4" w:space="0" w:color="auto"/>
              <w:right w:val="nil"/>
            </w:tcBorders>
            <w:vAlign w:val="center"/>
          </w:tcPr>
          <w:p w14:paraId="7FD5B8EC" w14:textId="2BBB285F" w:rsidR="00222F7E" w:rsidRPr="00CA1F3D" w:rsidRDefault="00222F7E" w:rsidP="00222F7E">
            <w:pPr>
              <w:pBdr>
                <w:top w:val="nil"/>
                <w:left w:val="nil"/>
                <w:bottom w:val="nil"/>
                <w:right w:val="nil"/>
                <w:between w:val="nil"/>
              </w:pBdr>
              <w:tabs>
                <w:tab w:val="decimal" w:pos="1061"/>
              </w:tabs>
              <w:ind w:right="-18"/>
              <w:rPr>
                <w:rFonts w:cs="Arial"/>
                <w:color w:val="000000"/>
                <w:sz w:val="18"/>
                <w:szCs w:val="18"/>
              </w:rPr>
            </w:pPr>
            <w:r w:rsidRPr="007F2C3C">
              <w:rPr>
                <w:rFonts w:cs="Arial"/>
                <w:sz w:val="18"/>
                <w:szCs w:val="18"/>
              </w:rPr>
              <w:t>353,411</w:t>
            </w:r>
          </w:p>
        </w:tc>
      </w:tr>
      <w:tr w:rsidR="00222F7E" w14:paraId="7959B0EB" w14:textId="77777777" w:rsidTr="00DE6066">
        <w:trPr>
          <w:jc w:val="right"/>
        </w:trPr>
        <w:tc>
          <w:tcPr>
            <w:tcW w:w="4395" w:type="dxa"/>
            <w:vAlign w:val="bottom"/>
          </w:tcPr>
          <w:p w14:paraId="7BA63C30" w14:textId="0E72D53B" w:rsidR="00222F7E" w:rsidRDefault="00222F7E" w:rsidP="00222F7E">
            <w:pPr>
              <w:pBdr>
                <w:top w:val="nil"/>
                <w:left w:val="nil"/>
                <w:bottom w:val="nil"/>
                <w:right w:val="nil"/>
                <w:between w:val="nil"/>
              </w:pBdr>
              <w:spacing w:before="60"/>
              <w:rPr>
                <w:color w:val="000000"/>
                <w:sz w:val="18"/>
                <w:szCs w:val="18"/>
              </w:rPr>
            </w:pPr>
            <w:r>
              <w:rPr>
                <w:color w:val="000000"/>
                <w:sz w:val="18"/>
                <w:szCs w:val="18"/>
              </w:rPr>
              <w:t xml:space="preserve">Financing fees and bank charges ($) </w:t>
            </w:r>
          </w:p>
        </w:tc>
        <w:tc>
          <w:tcPr>
            <w:tcW w:w="1151" w:type="dxa"/>
          </w:tcPr>
          <w:p w14:paraId="335FF1BA" w14:textId="79EFC5AF" w:rsidR="00222F7E" w:rsidRPr="00B9294A" w:rsidRDefault="00222F7E" w:rsidP="00222F7E">
            <w:pPr>
              <w:pBdr>
                <w:top w:val="nil"/>
                <w:left w:val="nil"/>
                <w:bottom w:val="nil"/>
                <w:right w:val="nil"/>
                <w:between w:val="nil"/>
              </w:pBdr>
              <w:tabs>
                <w:tab w:val="decimal" w:pos="1061"/>
              </w:tabs>
              <w:spacing w:before="60"/>
              <w:ind w:right="-18"/>
              <w:rPr>
                <w:rFonts w:cs="Arial"/>
                <w:sz w:val="18"/>
                <w:szCs w:val="18"/>
              </w:rPr>
            </w:pPr>
            <w:r>
              <w:rPr>
                <w:rFonts w:cs="Arial"/>
                <w:sz w:val="18"/>
                <w:szCs w:val="18"/>
              </w:rPr>
              <w:t>(823,046)</w:t>
            </w:r>
          </w:p>
        </w:tc>
        <w:tc>
          <w:tcPr>
            <w:tcW w:w="1152" w:type="dxa"/>
            <w:vAlign w:val="bottom"/>
          </w:tcPr>
          <w:p w14:paraId="02C942D1" w14:textId="4B52F282" w:rsidR="00222F7E" w:rsidRPr="00B9294A" w:rsidRDefault="00222F7E" w:rsidP="00222F7E">
            <w:pPr>
              <w:pBdr>
                <w:top w:val="nil"/>
                <w:left w:val="nil"/>
                <w:bottom w:val="nil"/>
                <w:right w:val="nil"/>
                <w:between w:val="nil"/>
              </w:pBdr>
              <w:tabs>
                <w:tab w:val="decimal" w:pos="1061"/>
              </w:tabs>
              <w:spacing w:before="60"/>
              <w:ind w:right="-18"/>
              <w:rPr>
                <w:rFonts w:cs="Arial"/>
                <w:sz w:val="18"/>
                <w:szCs w:val="18"/>
              </w:rPr>
            </w:pPr>
            <w:r>
              <w:rPr>
                <w:rFonts w:eastAsia="Arial" w:cs="Arial"/>
                <w:sz w:val="18"/>
                <w:szCs w:val="18"/>
              </w:rPr>
              <w:t>(482,609)</w:t>
            </w:r>
          </w:p>
        </w:tc>
        <w:tc>
          <w:tcPr>
            <w:tcW w:w="1350" w:type="dxa"/>
            <w:vAlign w:val="bottom"/>
          </w:tcPr>
          <w:p w14:paraId="7E150205" w14:textId="64B00564" w:rsidR="00222F7E" w:rsidRPr="00BA0643" w:rsidRDefault="00222F7E" w:rsidP="00222F7E">
            <w:pPr>
              <w:pBdr>
                <w:top w:val="nil"/>
                <w:left w:val="nil"/>
                <w:bottom w:val="nil"/>
                <w:right w:val="nil"/>
                <w:between w:val="nil"/>
              </w:pBdr>
              <w:tabs>
                <w:tab w:val="decimal" w:pos="1061"/>
              </w:tabs>
              <w:spacing w:before="60"/>
              <w:ind w:right="-18"/>
              <w:rPr>
                <w:rFonts w:cs="Arial"/>
                <w:sz w:val="18"/>
                <w:szCs w:val="18"/>
              </w:rPr>
            </w:pPr>
            <w:r>
              <w:rPr>
                <w:rFonts w:cs="Arial"/>
                <w:sz w:val="18"/>
                <w:szCs w:val="18"/>
              </w:rPr>
              <w:t>(1,556,009)</w:t>
            </w:r>
          </w:p>
        </w:tc>
        <w:tc>
          <w:tcPr>
            <w:tcW w:w="1350" w:type="dxa"/>
            <w:vAlign w:val="bottom"/>
          </w:tcPr>
          <w:p w14:paraId="06FB7F92" w14:textId="5C1D21E2" w:rsidR="00222F7E" w:rsidRDefault="00222F7E" w:rsidP="00222F7E">
            <w:pPr>
              <w:pBdr>
                <w:top w:val="nil"/>
                <w:left w:val="nil"/>
                <w:bottom w:val="nil"/>
                <w:right w:val="nil"/>
                <w:between w:val="nil"/>
              </w:pBdr>
              <w:tabs>
                <w:tab w:val="decimal" w:pos="1061"/>
              </w:tabs>
              <w:spacing w:before="60"/>
              <w:ind w:right="-18"/>
              <w:rPr>
                <w:color w:val="000000"/>
                <w:sz w:val="18"/>
                <w:szCs w:val="18"/>
              </w:rPr>
            </w:pPr>
            <w:r>
              <w:rPr>
                <w:rFonts w:eastAsia="Arial" w:cs="Arial"/>
                <w:sz w:val="18"/>
                <w:szCs w:val="18"/>
              </w:rPr>
              <w:t>(750,814)</w:t>
            </w:r>
          </w:p>
        </w:tc>
      </w:tr>
      <w:tr w:rsidR="00222F7E" w14:paraId="5AF64D44" w14:textId="77777777" w:rsidTr="00DE6066">
        <w:trPr>
          <w:jc w:val="right"/>
        </w:trPr>
        <w:tc>
          <w:tcPr>
            <w:tcW w:w="4395" w:type="dxa"/>
            <w:vAlign w:val="bottom"/>
          </w:tcPr>
          <w:p w14:paraId="5434AEB7" w14:textId="00EF664A" w:rsidR="00222F7E" w:rsidRDefault="00222F7E" w:rsidP="00222F7E">
            <w:pPr>
              <w:pBdr>
                <w:top w:val="nil"/>
                <w:left w:val="nil"/>
                <w:bottom w:val="nil"/>
                <w:right w:val="nil"/>
                <w:between w:val="nil"/>
              </w:pBdr>
              <w:rPr>
                <w:color w:val="000000"/>
                <w:sz w:val="18"/>
                <w:szCs w:val="18"/>
              </w:rPr>
            </w:pPr>
            <w:r>
              <w:rPr>
                <w:color w:val="000000"/>
                <w:sz w:val="18"/>
                <w:szCs w:val="18"/>
              </w:rPr>
              <w:t>Interest on loans ($)</w:t>
            </w:r>
          </w:p>
        </w:tc>
        <w:tc>
          <w:tcPr>
            <w:tcW w:w="1151" w:type="dxa"/>
          </w:tcPr>
          <w:p w14:paraId="041F7488" w14:textId="2230A868" w:rsidR="00222F7E" w:rsidRPr="00B9294A"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(1,751,674)</w:t>
            </w:r>
          </w:p>
        </w:tc>
        <w:tc>
          <w:tcPr>
            <w:tcW w:w="1152" w:type="dxa"/>
            <w:vAlign w:val="bottom"/>
          </w:tcPr>
          <w:p w14:paraId="45C634E9" w14:textId="482E3FAA" w:rsidR="00222F7E" w:rsidRPr="00B9294A" w:rsidRDefault="00222F7E" w:rsidP="00222F7E">
            <w:pPr>
              <w:pBdr>
                <w:top w:val="nil"/>
                <w:left w:val="nil"/>
                <w:bottom w:val="nil"/>
                <w:right w:val="nil"/>
                <w:between w:val="nil"/>
              </w:pBdr>
              <w:tabs>
                <w:tab w:val="decimal" w:pos="1061"/>
              </w:tabs>
              <w:ind w:right="-18"/>
              <w:rPr>
                <w:rFonts w:cs="Arial"/>
                <w:sz w:val="18"/>
                <w:szCs w:val="18"/>
              </w:rPr>
            </w:pPr>
            <w:r>
              <w:rPr>
                <w:rFonts w:eastAsia="Arial" w:cs="Arial"/>
                <w:sz w:val="18"/>
                <w:szCs w:val="18"/>
              </w:rPr>
              <w:t>(1,445,101)</w:t>
            </w:r>
          </w:p>
        </w:tc>
        <w:tc>
          <w:tcPr>
            <w:tcW w:w="1350" w:type="dxa"/>
            <w:vAlign w:val="bottom"/>
          </w:tcPr>
          <w:p w14:paraId="5FE8AEA0" w14:textId="3FB97167" w:rsidR="00222F7E" w:rsidRPr="00BA0643"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(3,885,621)</w:t>
            </w:r>
          </w:p>
        </w:tc>
        <w:tc>
          <w:tcPr>
            <w:tcW w:w="1350" w:type="dxa"/>
            <w:vAlign w:val="bottom"/>
          </w:tcPr>
          <w:p w14:paraId="7C80241C" w14:textId="613E28CD" w:rsidR="00222F7E" w:rsidRDefault="00222F7E" w:rsidP="00222F7E">
            <w:pPr>
              <w:pBdr>
                <w:top w:val="nil"/>
                <w:left w:val="nil"/>
                <w:bottom w:val="nil"/>
                <w:right w:val="nil"/>
                <w:between w:val="nil"/>
              </w:pBdr>
              <w:tabs>
                <w:tab w:val="decimal" w:pos="1061"/>
              </w:tabs>
              <w:ind w:right="-18"/>
              <w:rPr>
                <w:color w:val="000000"/>
                <w:sz w:val="18"/>
                <w:szCs w:val="18"/>
              </w:rPr>
            </w:pPr>
            <w:r>
              <w:rPr>
                <w:rFonts w:eastAsia="Arial" w:cs="Arial"/>
                <w:sz w:val="18"/>
                <w:szCs w:val="18"/>
              </w:rPr>
              <w:t>(2,894,314)</w:t>
            </w:r>
          </w:p>
        </w:tc>
      </w:tr>
      <w:tr w:rsidR="00222F7E" w14:paraId="3AC938BD" w14:textId="77777777" w:rsidTr="00DE6066">
        <w:trPr>
          <w:jc w:val="right"/>
        </w:trPr>
        <w:tc>
          <w:tcPr>
            <w:tcW w:w="4395" w:type="dxa"/>
            <w:vAlign w:val="bottom"/>
          </w:tcPr>
          <w:p w14:paraId="35FF16BA" w14:textId="77777777" w:rsidR="00222F7E" w:rsidRDefault="00222F7E" w:rsidP="00222F7E">
            <w:pPr>
              <w:pBdr>
                <w:top w:val="nil"/>
                <w:left w:val="nil"/>
                <w:bottom w:val="nil"/>
                <w:right w:val="nil"/>
                <w:between w:val="nil"/>
              </w:pBdr>
              <w:rPr>
                <w:color w:val="000000"/>
                <w:sz w:val="18"/>
                <w:szCs w:val="18"/>
              </w:rPr>
            </w:pPr>
            <w:r>
              <w:rPr>
                <w:color w:val="000000"/>
                <w:sz w:val="18"/>
                <w:szCs w:val="18"/>
              </w:rPr>
              <w:t>Interest on notes payable ($)</w:t>
            </w:r>
          </w:p>
        </w:tc>
        <w:tc>
          <w:tcPr>
            <w:tcW w:w="1151" w:type="dxa"/>
          </w:tcPr>
          <w:p w14:paraId="16179C10" w14:textId="02AD82E4" w:rsidR="00222F7E" w:rsidRPr="00B9294A"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(2,135,383)</w:t>
            </w:r>
          </w:p>
        </w:tc>
        <w:tc>
          <w:tcPr>
            <w:tcW w:w="1152" w:type="dxa"/>
            <w:vAlign w:val="bottom"/>
          </w:tcPr>
          <w:p w14:paraId="22CAD806" w14:textId="314D3FD0" w:rsidR="00222F7E" w:rsidRPr="00B9294A" w:rsidRDefault="00222F7E" w:rsidP="00222F7E">
            <w:pPr>
              <w:pBdr>
                <w:top w:val="nil"/>
                <w:left w:val="nil"/>
                <w:bottom w:val="nil"/>
                <w:right w:val="nil"/>
                <w:between w:val="nil"/>
              </w:pBdr>
              <w:tabs>
                <w:tab w:val="decimal" w:pos="1061"/>
              </w:tabs>
              <w:ind w:right="-18"/>
              <w:rPr>
                <w:rFonts w:cs="Arial"/>
                <w:sz w:val="18"/>
                <w:szCs w:val="18"/>
              </w:rPr>
            </w:pPr>
            <w:r w:rsidRPr="007F2C3C">
              <w:rPr>
                <w:sz w:val="18"/>
                <w:szCs w:val="18"/>
              </w:rPr>
              <w:t xml:space="preserve"> (745,580)</w:t>
            </w:r>
          </w:p>
        </w:tc>
        <w:tc>
          <w:tcPr>
            <w:tcW w:w="1350" w:type="dxa"/>
            <w:vAlign w:val="bottom"/>
          </w:tcPr>
          <w:p w14:paraId="5ACE1939" w14:textId="162FBC3C" w:rsidR="00222F7E" w:rsidRPr="00BA0643"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(4,042,201)</w:t>
            </w:r>
          </w:p>
        </w:tc>
        <w:tc>
          <w:tcPr>
            <w:tcW w:w="1350" w:type="dxa"/>
            <w:vAlign w:val="bottom"/>
          </w:tcPr>
          <w:p w14:paraId="2FAA7EA4" w14:textId="0B43CED1" w:rsidR="00222F7E" w:rsidRDefault="00222F7E" w:rsidP="00222F7E">
            <w:pPr>
              <w:pBdr>
                <w:top w:val="nil"/>
                <w:left w:val="nil"/>
                <w:bottom w:val="nil"/>
                <w:right w:val="nil"/>
                <w:between w:val="nil"/>
              </w:pBdr>
              <w:tabs>
                <w:tab w:val="decimal" w:pos="1061"/>
              </w:tabs>
              <w:ind w:right="-18"/>
              <w:rPr>
                <w:color w:val="000000"/>
                <w:sz w:val="18"/>
                <w:szCs w:val="18"/>
              </w:rPr>
            </w:pPr>
            <w:r w:rsidRPr="007F2C3C">
              <w:rPr>
                <w:sz w:val="18"/>
                <w:szCs w:val="18"/>
              </w:rPr>
              <w:t xml:space="preserve"> (1,545,589)</w:t>
            </w:r>
          </w:p>
        </w:tc>
      </w:tr>
      <w:tr w:rsidR="00222F7E" w14:paraId="21E27B7C" w14:textId="77777777" w:rsidTr="00DE6066">
        <w:trPr>
          <w:jc w:val="right"/>
        </w:trPr>
        <w:tc>
          <w:tcPr>
            <w:tcW w:w="4395" w:type="dxa"/>
            <w:vAlign w:val="bottom"/>
          </w:tcPr>
          <w:p w14:paraId="3BFE2D72" w14:textId="04910F67" w:rsidR="00222F7E" w:rsidRDefault="00222F7E" w:rsidP="00222F7E">
            <w:pPr>
              <w:pBdr>
                <w:top w:val="nil"/>
                <w:left w:val="nil"/>
                <w:bottom w:val="nil"/>
                <w:right w:val="nil"/>
                <w:between w:val="nil"/>
              </w:pBdr>
              <w:rPr>
                <w:rFonts w:cs="Arial"/>
                <w:sz w:val="18"/>
                <w:szCs w:val="18"/>
              </w:rPr>
            </w:pPr>
            <w:r>
              <w:rPr>
                <w:rFonts w:cs="Arial"/>
                <w:sz w:val="18"/>
                <w:szCs w:val="18"/>
              </w:rPr>
              <w:t>Other financing interest ($)</w:t>
            </w:r>
          </w:p>
        </w:tc>
        <w:tc>
          <w:tcPr>
            <w:tcW w:w="1151" w:type="dxa"/>
          </w:tcPr>
          <w:p w14:paraId="21225392" w14:textId="33627323" w:rsidR="00222F7E" w:rsidRPr="00B9294A"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(47,248)</w:t>
            </w:r>
          </w:p>
        </w:tc>
        <w:tc>
          <w:tcPr>
            <w:tcW w:w="1152" w:type="dxa"/>
            <w:vAlign w:val="bottom"/>
          </w:tcPr>
          <w:p w14:paraId="3CECC3C2" w14:textId="208061CE" w:rsidR="00222F7E" w:rsidRPr="00B9294A"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w:t>
            </w:r>
          </w:p>
        </w:tc>
        <w:tc>
          <w:tcPr>
            <w:tcW w:w="1350" w:type="dxa"/>
            <w:vAlign w:val="bottom"/>
          </w:tcPr>
          <w:p w14:paraId="621EBA66" w14:textId="2D3AAF05" w:rsidR="00222F7E"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(91,984)</w:t>
            </w:r>
          </w:p>
        </w:tc>
        <w:tc>
          <w:tcPr>
            <w:tcW w:w="1350" w:type="dxa"/>
            <w:vAlign w:val="bottom"/>
          </w:tcPr>
          <w:p w14:paraId="4FE1BB7D" w14:textId="7E95F807" w:rsidR="00222F7E" w:rsidRDefault="00222F7E" w:rsidP="00222F7E">
            <w:pPr>
              <w:pBdr>
                <w:top w:val="nil"/>
                <w:left w:val="nil"/>
                <w:bottom w:val="nil"/>
                <w:right w:val="nil"/>
                <w:between w:val="nil"/>
              </w:pBdr>
              <w:tabs>
                <w:tab w:val="decimal" w:pos="1061"/>
              </w:tabs>
              <w:ind w:right="-18"/>
              <w:rPr>
                <w:sz w:val="18"/>
                <w:szCs w:val="18"/>
              </w:rPr>
            </w:pPr>
            <w:r>
              <w:rPr>
                <w:sz w:val="18"/>
                <w:szCs w:val="18"/>
              </w:rPr>
              <w:t>–</w:t>
            </w:r>
          </w:p>
        </w:tc>
      </w:tr>
      <w:tr w:rsidR="00222F7E" w14:paraId="01E21372" w14:textId="77777777" w:rsidTr="00DE6066">
        <w:trPr>
          <w:jc w:val="right"/>
        </w:trPr>
        <w:tc>
          <w:tcPr>
            <w:tcW w:w="4395" w:type="dxa"/>
            <w:vAlign w:val="bottom"/>
          </w:tcPr>
          <w:p w14:paraId="42F9C0CA" w14:textId="0336511B" w:rsidR="00222F7E" w:rsidRDefault="00222F7E" w:rsidP="00222F7E">
            <w:pPr>
              <w:pBdr>
                <w:top w:val="nil"/>
                <w:left w:val="nil"/>
                <w:bottom w:val="nil"/>
                <w:right w:val="nil"/>
                <w:between w:val="nil"/>
              </w:pBdr>
              <w:rPr>
                <w:color w:val="000000"/>
                <w:sz w:val="18"/>
                <w:szCs w:val="18"/>
              </w:rPr>
            </w:pPr>
            <w:r>
              <w:rPr>
                <w:rFonts w:cs="Arial"/>
                <w:sz w:val="18"/>
                <w:szCs w:val="18"/>
              </w:rPr>
              <w:t xml:space="preserve">Loss on fair value of investments </w:t>
            </w:r>
            <w:r>
              <w:rPr>
                <w:color w:val="000000"/>
                <w:sz w:val="18"/>
                <w:szCs w:val="18"/>
              </w:rPr>
              <w:t>($)</w:t>
            </w:r>
          </w:p>
        </w:tc>
        <w:tc>
          <w:tcPr>
            <w:tcW w:w="1151" w:type="dxa"/>
          </w:tcPr>
          <w:p w14:paraId="0265D3D6" w14:textId="3AEA535C" w:rsidR="00222F7E" w:rsidRPr="00B9294A"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w:t>
            </w:r>
          </w:p>
        </w:tc>
        <w:tc>
          <w:tcPr>
            <w:tcW w:w="1152" w:type="dxa"/>
            <w:vAlign w:val="bottom"/>
          </w:tcPr>
          <w:p w14:paraId="177C730A" w14:textId="7834E1F7" w:rsidR="00222F7E" w:rsidRPr="00B9294A"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w:t>
            </w:r>
          </w:p>
        </w:tc>
        <w:tc>
          <w:tcPr>
            <w:tcW w:w="1350" w:type="dxa"/>
            <w:vAlign w:val="bottom"/>
          </w:tcPr>
          <w:p w14:paraId="1C560640" w14:textId="7A757790" w:rsidR="00222F7E" w:rsidRPr="00BA0643"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(54,383)</w:t>
            </w:r>
          </w:p>
        </w:tc>
        <w:tc>
          <w:tcPr>
            <w:tcW w:w="1350" w:type="dxa"/>
            <w:vAlign w:val="bottom"/>
          </w:tcPr>
          <w:p w14:paraId="2B3A97E6" w14:textId="2B05AC90" w:rsidR="00222F7E" w:rsidRPr="0082474B" w:rsidRDefault="00222F7E" w:rsidP="00222F7E">
            <w:pPr>
              <w:pBdr>
                <w:top w:val="nil"/>
                <w:left w:val="nil"/>
                <w:bottom w:val="nil"/>
                <w:right w:val="nil"/>
                <w:between w:val="nil"/>
              </w:pBdr>
              <w:tabs>
                <w:tab w:val="decimal" w:pos="1061"/>
              </w:tabs>
              <w:ind w:right="-18"/>
              <w:rPr>
                <w:rFonts w:eastAsia="Arial" w:cs="Arial"/>
                <w:sz w:val="18"/>
                <w:szCs w:val="18"/>
              </w:rPr>
            </w:pPr>
            <w:r>
              <w:rPr>
                <w:sz w:val="18"/>
                <w:szCs w:val="18"/>
              </w:rPr>
              <w:t>–</w:t>
            </w:r>
          </w:p>
        </w:tc>
      </w:tr>
      <w:tr w:rsidR="00222F7E" w14:paraId="009E0868" w14:textId="77777777" w:rsidTr="00DE6066">
        <w:trPr>
          <w:jc w:val="right"/>
        </w:trPr>
        <w:tc>
          <w:tcPr>
            <w:tcW w:w="4395" w:type="dxa"/>
            <w:vAlign w:val="bottom"/>
          </w:tcPr>
          <w:p w14:paraId="5492785C" w14:textId="77777777" w:rsidR="00222F7E" w:rsidRDefault="00222F7E" w:rsidP="00222F7E">
            <w:pPr>
              <w:pBdr>
                <w:top w:val="nil"/>
                <w:left w:val="nil"/>
                <w:bottom w:val="nil"/>
                <w:right w:val="nil"/>
                <w:between w:val="nil"/>
              </w:pBdr>
              <w:ind w:right="-108"/>
              <w:rPr>
                <w:color w:val="000000"/>
                <w:sz w:val="18"/>
                <w:szCs w:val="18"/>
              </w:rPr>
            </w:pPr>
            <w:r>
              <w:rPr>
                <w:color w:val="000000"/>
                <w:sz w:val="18"/>
                <w:szCs w:val="18"/>
              </w:rPr>
              <w:t>Amortization of notes payable transaction costs ($)</w:t>
            </w:r>
          </w:p>
        </w:tc>
        <w:tc>
          <w:tcPr>
            <w:tcW w:w="1151" w:type="dxa"/>
          </w:tcPr>
          <w:p w14:paraId="12204920" w14:textId="1AAEB44F" w:rsidR="00222F7E" w:rsidRPr="00B9294A"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(83,611)</w:t>
            </w:r>
          </w:p>
        </w:tc>
        <w:tc>
          <w:tcPr>
            <w:tcW w:w="1152" w:type="dxa"/>
            <w:vAlign w:val="bottom"/>
          </w:tcPr>
          <w:p w14:paraId="7BA21315" w14:textId="5F8F7327" w:rsidR="00222F7E" w:rsidRPr="00B9294A" w:rsidRDefault="00222F7E" w:rsidP="00222F7E">
            <w:pPr>
              <w:pBdr>
                <w:top w:val="nil"/>
                <w:left w:val="nil"/>
                <w:bottom w:val="nil"/>
                <w:right w:val="nil"/>
                <w:between w:val="nil"/>
              </w:pBdr>
              <w:tabs>
                <w:tab w:val="decimal" w:pos="1061"/>
              </w:tabs>
              <w:ind w:right="-18"/>
              <w:rPr>
                <w:rFonts w:cs="Arial"/>
                <w:sz w:val="18"/>
                <w:szCs w:val="18"/>
              </w:rPr>
            </w:pPr>
            <w:r w:rsidRPr="007F2C3C">
              <w:rPr>
                <w:sz w:val="18"/>
                <w:szCs w:val="18"/>
              </w:rPr>
              <w:t xml:space="preserve"> (89,507)</w:t>
            </w:r>
          </w:p>
        </w:tc>
        <w:tc>
          <w:tcPr>
            <w:tcW w:w="1350" w:type="dxa"/>
            <w:vAlign w:val="bottom"/>
          </w:tcPr>
          <w:p w14:paraId="13C31141" w14:textId="33FD85BC" w:rsidR="00222F7E" w:rsidRPr="00BA0643"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(166,219)</w:t>
            </w:r>
          </w:p>
        </w:tc>
        <w:tc>
          <w:tcPr>
            <w:tcW w:w="1350" w:type="dxa"/>
            <w:vAlign w:val="bottom"/>
          </w:tcPr>
          <w:p w14:paraId="3D79B192" w14:textId="36C0DD44" w:rsidR="00222F7E" w:rsidRDefault="00222F7E" w:rsidP="00222F7E">
            <w:pPr>
              <w:pBdr>
                <w:top w:val="nil"/>
                <w:left w:val="nil"/>
                <w:bottom w:val="nil"/>
                <w:right w:val="nil"/>
                <w:between w:val="nil"/>
              </w:pBdr>
              <w:tabs>
                <w:tab w:val="decimal" w:pos="1061"/>
              </w:tabs>
              <w:ind w:right="-18"/>
              <w:rPr>
                <w:color w:val="000000"/>
                <w:sz w:val="18"/>
                <w:szCs w:val="18"/>
              </w:rPr>
            </w:pPr>
            <w:r w:rsidRPr="007F2C3C">
              <w:rPr>
                <w:sz w:val="18"/>
                <w:szCs w:val="18"/>
              </w:rPr>
              <w:t xml:space="preserve"> (179,014)</w:t>
            </w:r>
          </w:p>
        </w:tc>
      </w:tr>
      <w:tr w:rsidR="00222F7E" w14:paraId="5BBDAD44" w14:textId="77777777" w:rsidTr="00DE6066">
        <w:trPr>
          <w:trHeight w:val="131"/>
          <w:jc w:val="right"/>
        </w:trPr>
        <w:tc>
          <w:tcPr>
            <w:tcW w:w="4395" w:type="dxa"/>
            <w:vAlign w:val="bottom"/>
          </w:tcPr>
          <w:p w14:paraId="49B53381" w14:textId="77777777" w:rsidR="00222F7E" w:rsidRDefault="00222F7E" w:rsidP="00222F7E">
            <w:pPr>
              <w:pBdr>
                <w:top w:val="nil"/>
                <w:left w:val="nil"/>
                <w:bottom w:val="nil"/>
                <w:right w:val="nil"/>
                <w:between w:val="nil"/>
              </w:pBdr>
              <w:rPr>
                <w:color w:val="000000"/>
                <w:sz w:val="18"/>
                <w:szCs w:val="18"/>
              </w:rPr>
            </w:pPr>
            <w:r>
              <w:rPr>
                <w:color w:val="000000"/>
                <w:sz w:val="18"/>
                <w:szCs w:val="18"/>
              </w:rPr>
              <w:t>Accretion of decommissioning provision ($)</w:t>
            </w:r>
          </w:p>
        </w:tc>
        <w:tc>
          <w:tcPr>
            <w:tcW w:w="1151" w:type="dxa"/>
            <w:vAlign w:val="bottom"/>
          </w:tcPr>
          <w:p w14:paraId="4785BEC5" w14:textId="0784138D" w:rsidR="00222F7E" w:rsidRPr="00B9294A"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(1,105,319)</w:t>
            </w:r>
          </w:p>
        </w:tc>
        <w:tc>
          <w:tcPr>
            <w:tcW w:w="1152" w:type="dxa"/>
            <w:vAlign w:val="bottom"/>
          </w:tcPr>
          <w:p w14:paraId="70F467E0" w14:textId="1D417C15" w:rsidR="00222F7E" w:rsidRPr="00B9294A" w:rsidRDefault="00222F7E" w:rsidP="00222F7E">
            <w:pPr>
              <w:pBdr>
                <w:top w:val="nil"/>
                <w:left w:val="nil"/>
                <w:bottom w:val="nil"/>
                <w:right w:val="nil"/>
                <w:between w:val="nil"/>
              </w:pBdr>
              <w:tabs>
                <w:tab w:val="decimal" w:pos="1061"/>
              </w:tabs>
              <w:ind w:right="-18"/>
              <w:rPr>
                <w:rFonts w:cs="Arial"/>
                <w:sz w:val="18"/>
                <w:szCs w:val="18"/>
              </w:rPr>
            </w:pPr>
            <w:r w:rsidRPr="007F2C3C">
              <w:rPr>
                <w:sz w:val="18"/>
                <w:szCs w:val="18"/>
              </w:rPr>
              <w:t xml:space="preserve"> (397,810)</w:t>
            </w:r>
          </w:p>
        </w:tc>
        <w:tc>
          <w:tcPr>
            <w:tcW w:w="1350" w:type="dxa"/>
            <w:vAlign w:val="bottom"/>
          </w:tcPr>
          <w:p w14:paraId="6B41F42F" w14:textId="4143FEAE" w:rsidR="00222F7E" w:rsidRPr="00BA0643"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(2,170,764)</w:t>
            </w:r>
          </w:p>
        </w:tc>
        <w:tc>
          <w:tcPr>
            <w:tcW w:w="1350" w:type="dxa"/>
            <w:vAlign w:val="bottom"/>
          </w:tcPr>
          <w:p w14:paraId="5C4199FF" w14:textId="20569B65" w:rsidR="00222F7E" w:rsidRDefault="00222F7E" w:rsidP="00222F7E">
            <w:pPr>
              <w:pBdr>
                <w:top w:val="nil"/>
                <w:left w:val="nil"/>
                <w:bottom w:val="nil"/>
                <w:right w:val="nil"/>
                <w:between w:val="nil"/>
              </w:pBdr>
              <w:tabs>
                <w:tab w:val="decimal" w:pos="1061"/>
              </w:tabs>
              <w:ind w:right="-18"/>
              <w:rPr>
                <w:color w:val="000000"/>
                <w:sz w:val="18"/>
                <w:szCs w:val="18"/>
              </w:rPr>
            </w:pPr>
            <w:r w:rsidRPr="007F2C3C">
              <w:rPr>
                <w:sz w:val="18"/>
                <w:szCs w:val="18"/>
              </w:rPr>
              <w:t xml:space="preserve"> (787,249)</w:t>
            </w:r>
          </w:p>
        </w:tc>
      </w:tr>
      <w:tr w:rsidR="00222F7E" w14:paraId="1A419579" w14:textId="77777777" w:rsidTr="00DE6066">
        <w:trPr>
          <w:jc w:val="right"/>
        </w:trPr>
        <w:tc>
          <w:tcPr>
            <w:tcW w:w="4395" w:type="dxa"/>
            <w:vAlign w:val="bottom"/>
          </w:tcPr>
          <w:p w14:paraId="70912DF9" w14:textId="0FC897E1" w:rsidR="00222F7E" w:rsidRDefault="00222F7E" w:rsidP="00222F7E">
            <w:pPr>
              <w:pBdr>
                <w:top w:val="nil"/>
                <w:left w:val="nil"/>
                <w:bottom w:val="nil"/>
                <w:right w:val="nil"/>
                <w:between w:val="nil"/>
              </w:pBdr>
              <w:rPr>
                <w:color w:val="000000"/>
                <w:sz w:val="18"/>
                <w:szCs w:val="18"/>
              </w:rPr>
            </w:pPr>
            <w:r w:rsidRPr="0069432B">
              <w:rPr>
                <w:color w:val="000000"/>
                <w:sz w:val="18"/>
                <w:szCs w:val="18"/>
              </w:rPr>
              <w:t xml:space="preserve">Interest on lease liabilities </w:t>
            </w:r>
            <w:r w:rsidRPr="00E43F8A">
              <w:rPr>
                <w:color w:val="000000"/>
                <w:sz w:val="18"/>
                <w:szCs w:val="18"/>
              </w:rPr>
              <w:t>($)</w:t>
            </w:r>
          </w:p>
        </w:tc>
        <w:tc>
          <w:tcPr>
            <w:tcW w:w="1151" w:type="dxa"/>
          </w:tcPr>
          <w:p w14:paraId="0C9DA64B" w14:textId="2C72D73E" w:rsidR="00222F7E" w:rsidRPr="00B9294A"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(11,002)</w:t>
            </w:r>
          </w:p>
        </w:tc>
        <w:tc>
          <w:tcPr>
            <w:tcW w:w="1152" w:type="dxa"/>
            <w:vAlign w:val="bottom"/>
          </w:tcPr>
          <w:p w14:paraId="1701300A" w14:textId="7441EE18" w:rsidR="00222F7E" w:rsidRPr="00B9294A" w:rsidRDefault="00222F7E" w:rsidP="00222F7E">
            <w:pPr>
              <w:pBdr>
                <w:top w:val="nil"/>
                <w:left w:val="nil"/>
                <w:bottom w:val="nil"/>
                <w:right w:val="nil"/>
                <w:between w:val="nil"/>
              </w:pBdr>
              <w:tabs>
                <w:tab w:val="decimal" w:pos="1061"/>
              </w:tabs>
              <w:ind w:right="-18"/>
              <w:rPr>
                <w:rFonts w:cs="Arial"/>
                <w:sz w:val="18"/>
                <w:szCs w:val="18"/>
              </w:rPr>
            </w:pPr>
            <w:r w:rsidRPr="007F2C3C">
              <w:rPr>
                <w:sz w:val="18"/>
                <w:szCs w:val="18"/>
              </w:rPr>
              <w:t xml:space="preserve">(29,498)   </w:t>
            </w:r>
          </w:p>
        </w:tc>
        <w:tc>
          <w:tcPr>
            <w:tcW w:w="1350" w:type="dxa"/>
            <w:vAlign w:val="bottom"/>
          </w:tcPr>
          <w:p w14:paraId="239CAA3B" w14:textId="600DBC6B" w:rsidR="00222F7E" w:rsidRPr="00BA0643"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(26,748)</w:t>
            </w:r>
          </w:p>
        </w:tc>
        <w:tc>
          <w:tcPr>
            <w:tcW w:w="1350" w:type="dxa"/>
            <w:vAlign w:val="bottom"/>
          </w:tcPr>
          <w:p w14:paraId="4C3B4E8F" w14:textId="1402FF04" w:rsidR="00222F7E" w:rsidRDefault="00222F7E" w:rsidP="00222F7E">
            <w:pPr>
              <w:pBdr>
                <w:top w:val="nil"/>
                <w:left w:val="nil"/>
                <w:bottom w:val="nil"/>
                <w:right w:val="nil"/>
                <w:between w:val="nil"/>
              </w:pBdr>
              <w:tabs>
                <w:tab w:val="decimal" w:pos="1061"/>
              </w:tabs>
              <w:ind w:right="-18"/>
              <w:rPr>
                <w:color w:val="000000"/>
                <w:sz w:val="18"/>
                <w:szCs w:val="18"/>
              </w:rPr>
            </w:pPr>
            <w:r w:rsidRPr="007F2C3C">
              <w:rPr>
                <w:sz w:val="18"/>
                <w:szCs w:val="18"/>
              </w:rPr>
              <w:t xml:space="preserve">(63,636)  </w:t>
            </w:r>
          </w:p>
        </w:tc>
      </w:tr>
      <w:tr w:rsidR="00222F7E" w14:paraId="689B6139" w14:textId="77777777">
        <w:trPr>
          <w:jc w:val="right"/>
        </w:trPr>
        <w:tc>
          <w:tcPr>
            <w:tcW w:w="4395" w:type="dxa"/>
            <w:tcBorders>
              <w:bottom w:val="single" w:sz="4" w:space="0" w:color="auto"/>
            </w:tcBorders>
            <w:vAlign w:val="bottom"/>
          </w:tcPr>
          <w:p w14:paraId="16ACFD8C" w14:textId="70B2DB65" w:rsidR="00222F7E" w:rsidRDefault="00222F7E" w:rsidP="00222F7E">
            <w:pPr>
              <w:pBdr>
                <w:top w:val="nil"/>
                <w:left w:val="nil"/>
                <w:bottom w:val="nil"/>
                <w:right w:val="nil"/>
                <w:between w:val="nil"/>
              </w:pBdr>
              <w:rPr>
                <w:color w:val="000000"/>
                <w:sz w:val="18"/>
                <w:szCs w:val="18"/>
              </w:rPr>
            </w:pPr>
            <w:r w:rsidRPr="00385FFE">
              <w:rPr>
                <w:color w:val="000000"/>
                <w:sz w:val="18"/>
                <w:szCs w:val="18"/>
              </w:rPr>
              <w:t>Accretion of other liabilities</w:t>
            </w:r>
            <w:r>
              <w:rPr>
                <w:color w:val="000000"/>
                <w:sz w:val="18"/>
                <w:szCs w:val="18"/>
              </w:rPr>
              <w:t xml:space="preserve"> ($)</w:t>
            </w:r>
          </w:p>
        </w:tc>
        <w:tc>
          <w:tcPr>
            <w:tcW w:w="1151" w:type="dxa"/>
            <w:tcBorders>
              <w:bottom w:val="single" w:sz="4" w:space="0" w:color="auto"/>
            </w:tcBorders>
          </w:tcPr>
          <w:p w14:paraId="0587904C" w14:textId="25408E19" w:rsidR="00222F7E" w:rsidRPr="00B9294A"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w:t>
            </w:r>
          </w:p>
        </w:tc>
        <w:tc>
          <w:tcPr>
            <w:tcW w:w="1152" w:type="dxa"/>
            <w:tcBorders>
              <w:bottom w:val="single" w:sz="4" w:space="0" w:color="auto"/>
            </w:tcBorders>
            <w:vAlign w:val="bottom"/>
          </w:tcPr>
          <w:p w14:paraId="3CB75C12" w14:textId="3C2580C4" w:rsidR="00222F7E" w:rsidRPr="00B9294A"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w:t>
            </w:r>
          </w:p>
        </w:tc>
        <w:tc>
          <w:tcPr>
            <w:tcW w:w="1350" w:type="dxa"/>
            <w:tcBorders>
              <w:bottom w:val="single" w:sz="4" w:space="0" w:color="auto"/>
            </w:tcBorders>
            <w:vAlign w:val="bottom"/>
          </w:tcPr>
          <w:p w14:paraId="6153FBAC" w14:textId="2B723E1F" w:rsidR="00222F7E" w:rsidRPr="00BA0643"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(14,402)</w:t>
            </w:r>
          </w:p>
        </w:tc>
        <w:tc>
          <w:tcPr>
            <w:tcW w:w="1350" w:type="dxa"/>
            <w:tcBorders>
              <w:bottom w:val="single" w:sz="4" w:space="0" w:color="auto"/>
            </w:tcBorders>
            <w:vAlign w:val="bottom"/>
          </w:tcPr>
          <w:p w14:paraId="6DEAED38" w14:textId="096B9117" w:rsidR="00222F7E" w:rsidRPr="00385FFE" w:rsidRDefault="00222F7E" w:rsidP="00222F7E">
            <w:pPr>
              <w:pBdr>
                <w:top w:val="nil"/>
                <w:left w:val="nil"/>
                <w:bottom w:val="nil"/>
                <w:right w:val="nil"/>
                <w:between w:val="nil"/>
              </w:pBdr>
              <w:tabs>
                <w:tab w:val="decimal" w:pos="1061"/>
              </w:tabs>
              <w:ind w:right="-18"/>
              <w:rPr>
                <w:color w:val="000000"/>
                <w:sz w:val="18"/>
                <w:szCs w:val="18"/>
              </w:rPr>
            </w:pPr>
            <w:r w:rsidRPr="00BA0643">
              <w:rPr>
                <w:sz w:val="18"/>
                <w:szCs w:val="18"/>
              </w:rPr>
              <w:t xml:space="preserve"> (14,964)</w:t>
            </w:r>
          </w:p>
        </w:tc>
      </w:tr>
      <w:tr w:rsidR="00222F7E" w14:paraId="563373DE" w14:textId="77777777" w:rsidTr="0002313A">
        <w:trPr>
          <w:trHeight w:val="293"/>
          <w:jc w:val="right"/>
        </w:trPr>
        <w:tc>
          <w:tcPr>
            <w:tcW w:w="4395" w:type="dxa"/>
            <w:tcBorders>
              <w:bottom w:val="single" w:sz="4" w:space="0" w:color="auto"/>
            </w:tcBorders>
            <w:vAlign w:val="center"/>
          </w:tcPr>
          <w:p w14:paraId="6D231304" w14:textId="5435F02C" w:rsidR="00222F7E" w:rsidRPr="00385FFE" w:rsidRDefault="00222F7E" w:rsidP="00222F7E">
            <w:pPr>
              <w:pBdr>
                <w:top w:val="nil"/>
                <w:left w:val="nil"/>
                <w:bottom w:val="nil"/>
                <w:right w:val="nil"/>
                <w:between w:val="nil"/>
              </w:pBdr>
              <w:rPr>
                <w:color w:val="000000"/>
                <w:sz w:val="18"/>
                <w:szCs w:val="18"/>
              </w:rPr>
            </w:pPr>
            <w:r w:rsidRPr="00CA1F3D">
              <w:rPr>
                <w:rFonts w:cs="Arial"/>
                <w:kern w:val="24"/>
                <w:sz w:val="18"/>
                <w:szCs w:val="18"/>
              </w:rPr>
              <w:t>Finance expense ($)</w:t>
            </w:r>
          </w:p>
        </w:tc>
        <w:tc>
          <w:tcPr>
            <w:tcW w:w="1151" w:type="dxa"/>
            <w:tcBorders>
              <w:bottom w:val="single" w:sz="4" w:space="0" w:color="auto"/>
            </w:tcBorders>
            <w:vAlign w:val="center"/>
          </w:tcPr>
          <w:p w14:paraId="759D68AD" w14:textId="48404B2B" w:rsidR="00222F7E" w:rsidRPr="00B9294A"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w:t>
            </w:r>
            <w:r>
              <w:rPr>
                <w:rFonts w:eastAsia="Arial" w:cs="Arial"/>
                <w:sz w:val="18"/>
                <w:szCs w:val="18"/>
              </w:rPr>
              <w:t>5,957,283</w:t>
            </w:r>
            <w:r>
              <w:rPr>
                <w:rFonts w:cs="Arial"/>
                <w:sz w:val="18"/>
                <w:szCs w:val="18"/>
              </w:rPr>
              <w:t>)</w:t>
            </w:r>
          </w:p>
        </w:tc>
        <w:tc>
          <w:tcPr>
            <w:tcW w:w="1152" w:type="dxa"/>
            <w:tcBorders>
              <w:bottom w:val="single" w:sz="4" w:space="0" w:color="auto"/>
            </w:tcBorders>
            <w:vAlign w:val="center"/>
          </w:tcPr>
          <w:p w14:paraId="32C5A82A" w14:textId="7FE70EB8" w:rsidR="00222F7E" w:rsidRPr="00B9294A" w:rsidRDefault="00222F7E" w:rsidP="00222F7E">
            <w:pPr>
              <w:pBdr>
                <w:top w:val="nil"/>
                <w:left w:val="nil"/>
                <w:bottom w:val="nil"/>
                <w:right w:val="nil"/>
                <w:between w:val="nil"/>
              </w:pBdr>
              <w:tabs>
                <w:tab w:val="decimal" w:pos="1061"/>
              </w:tabs>
              <w:ind w:right="-18"/>
              <w:rPr>
                <w:rFonts w:cs="Arial"/>
                <w:sz w:val="18"/>
                <w:szCs w:val="18"/>
              </w:rPr>
            </w:pPr>
            <w:r w:rsidRPr="007F2C3C">
              <w:rPr>
                <w:rFonts w:cs="Arial"/>
                <w:sz w:val="18"/>
                <w:szCs w:val="18"/>
              </w:rPr>
              <w:t>(3,190,105)</w:t>
            </w:r>
          </w:p>
        </w:tc>
        <w:tc>
          <w:tcPr>
            <w:tcW w:w="1350" w:type="dxa"/>
            <w:tcBorders>
              <w:bottom w:val="single" w:sz="4" w:space="0" w:color="auto"/>
            </w:tcBorders>
            <w:vAlign w:val="center"/>
          </w:tcPr>
          <w:p w14:paraId="63D11BB6" w14:textId="659086C9" w:rsidR="00222F7E"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w:t>
            </w:r>
            <w:r>
              <w:rPr>
                <w:rFonts w:eastAsia="Arial" w:cs="Arial"/>
                <w:sz w:val="18"/>
                <w:szCs w:val="18"/>
              </w:rPr>
              <w:t>12,008,331</w:t>
            </w:r>
            <w:r>
              <w:rPr>
                <w:rFonts w:cs="Arial"/>
                <w:sz w:val="18"/>
                <w:szCs w:val="18"/>
              </w:rPr>
              <w:t>)</w:t>
            </w:r>
          </w:p>
        </w:tc>
        <w:tc>
          <w:tcPr>
            <w:tcW w:w="1350" w:type="dxa"/>
            <w:tcBorders>
              <w:bottom w:val="single" w:sz="4" w:space="0" w:color="auto"/>
            </w:tcBorders>
            <w:vAlign w:val="center"/>
          </w:tcPr>
          <w:p w14:paraId="682107C1" w14:textId="1B1839A8" w:rsidR="00222F7E" w:rsidRPr="00BA0643" w:rsidRDefault="00222F7E" w:rsidP="00222F7E">
            <w:pPr>
              <w:pBdr>
                <w:top w:val="nil"/>
                <w:left w:val="nil"/>
                <w:bottom w:val="nil"/>
                <w:right w:val="nil"/>
                <w:between w:val="nil"/>
              </w:pBdr>
              <w:tabs>
                <w:tab w:val="decimal" w:pos="1061"/>
              </w:tabs>
              <w:ind w:right="-18"/>
              <w:rPr>
                <w:sz w:val="18"/>
                <w:szCs w:val="18"/>
              </w:rPr>
            </w:pPr>
            <w:r w:rsidRPr="007F2C3C">
              <w:rPr>
                <w:rFonts w:cs="Arial"/>
                <w:sz w:val="18"/>
                <w:szCs w:val="18"/>
              </w:rPr>
              <w:t>(6,235,580)</w:t>
            </w:r>
          </w:p>
        </w:tc>
      </w:tr>
      <w:tr w:rsidR="00222F7E" w:rsidRPr="00281181" w14:paraId="6C45FC6D" w14:textId="77777777" w:rsidTr="0002313A">
        <w:trPr>
          <w:trHeight w:val="320"/>
          <w:jc w:val="right"/>
        </w:trPr>
        <w:tc>
          <w:tcPr>
            <w:tcW w:w="4395" w:type="dxa"/>
            <w:tcBorders>
              <w:top w:val="single" w:sz="4" w:space="0" w:color="auto"/>
              <w:left w:val="nil"/>
              <w:bottom w:val="single" w:sz="12" w:space="0" w:color="auto"/>
              <w:right w:val="nil"/>
            </w:tcBorders>
            <w:vAlign w:val="center"/>
          </w:tcPr>
          <w:p w14:paraId="532385E0" w14:textId="08FEDBED" w:rsidR="00222F7E" w:rsidRPr="00CA1F3D" w:rsidRDefault="00222F7E" w:rsidP="00222F7E">
            <w:pPr>
              <w:pBdr>
                <w:top w:val="nil"/>
                <w:left w:val="nil"/>
                <w:bottom w:val="nil"/>
                <w:right w:val="nil"/>
                <w:between w:val="nil"/>
              </w:pBdr>
              <w:rPr>
                <w:color w:val="000000"/>
                <w:sz w:val="18"/>
                <w:szCs w:val="18"/>
              </w:rPr>
            </w:pPr>
            <w:r w:rsidRPr="00CA1F3D">
              <w:rPr>
                <w:color w:val="000000"/>
                <w:sz w:val="18"/>
                <w:szCs w:val="18"/>
              </w:rPr>
              <w:t>Net finance expense ($)</w:t>
            </w:r>
          </w:p>
        </w:tc>
        <w:tc>
          <w:tcPr>
            <w:tcW w:w="1151" w:type="dxa"/>
            <w:tcBorders>
              <w:top w:val="single" w:sz="4" w:space="0" w:color="auto"/>
              <w:left w:val="nil"/>
              <w:bottom w:val="single" w:sz="12" w:space="0" w:color="auto"/>
              <w:right w:val="nil"/>
            </w:tcBorders>
            <w:vAlign w:val="center"/>
          </w:tcPr>
          <w:p w14:paraId="14D3C176" w14:textId="7FAF189D" w:rsidR="00222F7E" w:rsidRPr="00B9294A"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(3,658,402)</w:t>
            </w:r>
          </w:p>
        </w:tc>
        <w:tc>
          <w:tcPr>
            <w:tcW w:w="1152" w:type="dxa"/>
            <w:tcBorders>
              <w:top w:val="single" w:sz="4" w:space="0" w:color="auto"/>
              <w:left w:val="nil"/>
              <w:bottom w:val="single" w:sz="12" w:space="0" w:color="auto"/>
              <w:right w:val="nil"/>
            </w:tcBorders>
            <w:vAlign w:val="center"/>
          </w:tcPr>
          <w:p w14:paraId="1AB1929A" w14:textId="5E2CA765" w:rsidR="00222F7E" w:rsidRPr="00B9294A" w:rsidRDefault="00222F7E" w:rsidP="00222F7E">
            <w:pPr>
              <w:pBdr>
                <w:top w:val="nil"/>
                <w:left w:val="nil"/>
                <w:bottom w:val="nil"/>
                <w:right w:val="nil"/>
                <w:between w:val="nil"/>
              </w:pBdr>
              <w:tabs>
                <w:tab w:val="decimal" w:pos="1061"/>
              </w:tabs>
              <w:ind w:right="-15"/>
              <w:rPr>
                <w:rFonts w:cs="Arial"/>
                <w:sz w:val="18"/>
                <w:szCs w:val="18"/>
              </w:rPr>
            </w:pPr>
            <w:r w:rsidRPr="007F2C3C">
              <w:rPr>
                <w:rFonts w:cs="Arial"/>
                <w:sz w:val="18"/>
                <w:szCs w:val="18"/>
              </w:rPr>
              <w:t>(3,061,943)</w:t>
            </w:r>
          </w:p>
        </w:tc>
        <w:tc>
          <w:tcPr>
            <w:tcW w:w="1350" w:type="dxa"/>
            <w:tcBorders>
              <w:top w:val="single" w:sz="4" w:space="0" w:color="auto"/>
              <w:left w:val="nil"/>
              <w:bottom w:val="single" w:sz="12" w:space="0" w:color="auto"/>
              <w:right w:val="nil"/>
            </w:tcBorders>
            <w:vAlign w:val="center"/>
          </w:tcPr>
          <w:p w14:paraId="2951E368" w14:textId="7686B46D" w:rsidR="00222F7E" w:rsidRPr="00BA0643" w:rsidRDefault="00222F7E" w:rsidP="00222F7E">
            <w:pPr>
              <w:pBdr>
                <w:top w:val="nil"/>
                <w:left w:val="nil"/>
                <w:bottom w:val="nil"/>
                <w:right w:val="nil"/>
                <w:between w:val="nil"/>
              </w:pBdr>
              <w:tabs>
                <w:tab w:val="decimal" w:pos="1061"/>
              </w:tabs>
              <w:ind w:right="-18"/>
              <w:rPr>
                <w:rFonts w:cs="Arial"/>
                <w:sz w:val="18"/>
                <w:szCs w:val="18"/>
              </w:rPr>
            </w:pPr>
            <w:r>
              <w:rPr>
                <w:rFonts w:cs="Arial"/>
                <w:sz w:val="18"/>
                <w:szCs w:val="18"/>
              </w:rPr>
              <w:t>(9,109,033)</w:t>
            </w:r>
          </w:p>
        </w:tc>
        <w:tc>
          <w:tcPr>
            <w:tcW w:w="1350" w:type="dxa"/>
            <w:tcBorders>
              <w:top w:val="single" w:sz="4" w:space="0" w:color="auto"/>
              <w:left w:val="nil"/>
              <w:bottom w:val="single" w:sz="12" w:space="0" w:color="auto"/>
              <w:right w:val="nil"/>
            </w:tcBorders>
            <w:vAlign w:val="center"/>
          </w:tcPr>
          <w:p w14:paraId="458DCEDE" w14:textId="4AABDAD0" w:rsidR="00222F7E" w:rsidRPr="00CA1F3D" w:rsidRDefault="00222F7E" w:rsidP="00222F7E">
            <w:pPr>
              <w:pBdr>
                <w:top w:val="nil"/>
                <w:left w:val="nil"/>
                <w:bottom w:val="nil"/>
                <w:right w:val="nil"/>
                <w:between w:val="nil"/>
              </w:pBdr>
              <w:tabs>
                <w:tab w:val="decimal" w:pos="1061"/>
              </w:tabs>
              <w:ind w:right="-18"/>
              <w:rPr>
                <w:color w:val="000000"/>
                <w:sz w:val="18"/>
                <w:szCs w:val="18"/>
              </w:rPr>
            </w:pPr>
            <w:r w:rsidRPr="007F2C3C">
              <w:rPr>
                <w:rFonts w:cs="Arial"/>
                <w:sz w:val="18"/>
                <w:szCs w:val="18"/>
              </w:rPr>
              <w:t>(5,882,169)</w:t>
            </w:r>
          </w:p>
        </w:tc>
      </w:tr>
    </w:tbl>
    <w:p w14:paraId="7B735954" w14:textId="72EEC7EA" w:rsidR="00891509" w:rsidRDefault="00891509" w:rsidP="00891509">
      <w:pPr>
        <w:pStyle w:val="BodyText2"/>
        <w:widowControl w:val="0"/>
        <w:spacing w:before="120"/>
        <w:outlineLvl w:val="0"/>
      </w:pPr>
      <w:r w:rsidRPr="00AB45FF">
        <w:t xml:space="preserve">Interest income is earned on interest-earning bank accounts, restricted cash held in a </w:t>
      </w:r>
      <w:r w:rsidRPr="00AB45FF">
        <w:rPr>
          <w:rFonts w:cs="Arial"/>
          <w:color w:val="000000" w:themeColor="text1"/>
        </w:rPr>
        <w:t>trust account and investments in mutual funds. T</w:t>
      </w:r>
      <w:r w:rsidRPr="00AB45FF">
        <w:t xml:space="preserve">he amount earned in </w:t>
      </w:r>
      <w:r w:rsidR="00655CE8" w:rsidRPr="00700881">
        <w:t>the 2026 periods</w:t>
      </w:r>
      <w:r w:rsidRPr="00700881">
        <w:t xml:space="preserve"> is higher than in </w:t>
      </w:r>
      <w:r w:rsidR="00655CE8" w:rsidRPr="00700881">
        <w:t>the 2025 periods</w:t>
      </w:r>
      <w:r w:rsidRPr="00700881">
        <w:rPr>
          <w:color w:val="000000"/>
        </w:rPr>
        <w:t xml:space="preserve"> due to the increase of funds held in interest</w:t>
      </w:r>
      <w:r w:rsidR="00803C64">
        <w:rPr>
          <w:color w:val="000000"/>
        </w:rPr>
        <w:t>-</w:t>
      </w:r>
      <w:r w:rsidRPr="00700881">
        <w:rPr>
          <w:color w:val="000000"/>
        </w:rPr>
        <w:t xml:space="preserve">earning accounts and investments </w:t>
      </w:r>
      <w:r w:rsidR="00700881" w:rsidRPr="00770AC5">
        <w:t>in the 2026 periods</w:t>
      </w:r>
      <w:r w:rsidRPr="00700881">
        <w:rPr>
          <w:color w:val="000000"/>
        </w:rPr>
        <w:t>.</w:t>
      </w:r>
    </w:p>
    <w:p w14:paraId="5553D805" w14:textId="4B1A1CE1" w:rsidR="00222F7E" w:rsidRPr="00C73BDB" w:rsidRDefault="00222F7E" w:rsidP="00222F7E">
      <w:pPr>
        <w:pStyle w:val="BodyText2"/>
        <w:widowControl w:val="0"/>
        <w:spacing w:before="120"/>
        <w:outlineLvl w:val="0"/>
      </w:pPr>
      <w:r w:rsidRPr="00222F7E">
        <w:t xml:space="preserve">Gain on modification of financial liability </w:t>
      </w:r>
      <w:r>
        <w:t xml:space="preserve">is </w:t>
      </w:r>
      <w:r w:rsidRPr="00770AC5">
        <w:t xml:space="preserve">due to a reduction in the interest rate on the loan granted by </w:t>
      </w:r>
      <w:proofErr w:type="spellStart"/>
      <w:r w:rsidRPr="00770AC5">
        <w:t>Liminar</w:t>
      </w:r>
      <w:proofErr w:type="spellEnd"/>
      <w:r w:rsidRPr="00770AC5">
        <w:t xml:space="preserve"> from 10% to 4%. See “Liquidity and Capital Resources – Loans.”</w:t>
      </w:r>
    </w:p>
    <w:p w14:paraId="3B03DA5A" w14:textId="2E5D7651" w:rsidR="00891509" w:rsidRPr="00C73BDB" w:rsidRDefault="00891509" w:rsidP="00891509">
      <w:pPr>
        <w:pStyle w:val="BodyText2"/>
        <w:widowControl w:val="0"/>
        <w:spacing w:before="120"/>
        <w:outlineLvl w:val="0"/>
      </w:pPr>
      <w:r w:rsidRPr="00770AC5">
        <w:t xml:space="preserve">Financing fees and bank charges result primarily from bank taxes charged in Argentina on cash transfers.  Cash transfers were higher in </w:t>
      </w:r>
      <w:r w:rsidR="00655CE8" w:rsidRPr="00770AC5">
        <w:t>the 2026 periods than in the 2025 periods</w:t>
      </w:r>
      <w:r w:rsidRPr="00770AC5">
        <w:t xml:space="preserve"> mainly due to the Chubut Concessions acquisitions in </w:t>
      </w:r>
      <w:r w:rsidR="00B25E40" w:rsidRPr="00770AC5">
        <w:t xml:space="preserve">Q4 </w:t>
      </w:r>
      <w:r w:rsidRPr="00770AC5">
        <w:t>2025.</w:t>
      </w:r>
    </w:p>
    <w:p w14:paraId="2483F13F" w14:textId="43D2C5F8" w:rsidR="00222F7E" w:rsidRPr="00C73BDB" w:rsidRDefault="00770AC5" w:rsidP="00222F7E">
      <w:pPr>
        <w:pStyle w:val="BodyText2"/>
        <w:widowControl w:val="0"/>
        <w:spacing w:before="120"/>
        <w:outlineLvl w:val="0"/>
      </w:pPr>
      <w:r w:rsidRPr="00770AC5">
        <w:t xml:space="preserve">Interest on loans </w:t>
      </w:r>
      <w:r>
        <w:t>is</w:t>
      </w:r>
      <w:r w:rsidRPr="00770AC5">
        <w:t xml:space="preserve"> </w:t>
      </w:r>
      <w:r w:rsidR="00222F7E">
        <w:t>higher</w:t>
      </w:r>
      <w:r w:rsidR="00222F7E" w:rsidRPr="00770AC5">
        <w:t xml:space="preserve"> </w:t>
      </w:r>
      <w:r w:rsidRPr="00770AC5">
        <w:t>in the 2026 period</w:t>
      </w:r>
      <w:r>
        <w:t>s</w:t>
      </w:r>
      <w:r w:rsidRPr="00770AC5">
        <w:t xml:space="preserve"> than in the 2025 period</w:t>
      </w:r>
      <w:r>
        <w:t>s</w:t>
      </w:r>
      <w:r w:rsidRPr="00770AC5">
        <w:t xml:space="preserve">, </w:t>
      </w:r>
      <w:r w:rsidR="00222F7E" w:rsidRPr="00C73BDB">
        <w:t>due to</w:t>
      </w:r>
      <w:r w:rsidR="007D15E6">
        <w:t xml:space="preserve"> an</w:t>
      </w:r>
      <w:r w:rsidR="00222F7E" w:rsidRPr="00C73BDB">
        <w:t xml:space="preserve"> </w:t>
      </w:r>
      <w:r w:rsidR="00222F7E">
        <w:t>increase</w:t>
      </w:r>
      <w:r w:rsidR="00222F7E" w:rsidRPr="00C73BDB">
        <w:t xml:space="preserve"> in the average </w:t>
      </w:r>
      <w:r w:rsidR="00222F7E">
        <w:t>loan</w:t>
      </w:r>
      <w:r w:rsidR="00222F7E" w:rsidRPr="00C73BDB">
        <w:t xml:space="preserve"> amount outstanding </w:t>
      </w:r>
      <w:r w:rsidR="00222F7E">
        <w:t xml:space="preserve">in </w:t>
      </w:r>
      <w:r w:rsidR="00222F7E" w:rsidRPr="00C73BDB">
        <w:t>202</w:t>
      </w:r>
      <w:r w:rsidR="00222F7E">
        <w:t>6.</w:t>
      </w:r>
      <w:r w:rsidR="00222F7E" w:rsidRPr="00222F7E">
        <w:t xml:space="preserve"> </w:t>
      </w:r>
      <w:r w:rsidR="00222F7E" w:rsidRPr="00770AC5">
        <w:t>See “Liquidity and Capital Resources – Loans.”</w:t>
      </w:r>
    </w:p>
    <w:p w14:paraId="1287C2B8" w14:textId="46E9601D" w:rsidR="00AB45FF" w:rsidRDefault="00891509" w:rsidP="00402421">
      <w:pPr>
        <w:pStyle w:val="BodyText2"/>
        <w:widowControl w:val="0"/>
        <w:spacing w:before="120"/>
        <w:outlineLvl w:val="0"/>
      </w:pPr>
      <w:r w:rsidRPr="00C73BDB">
        <w:rPr>
          <w:color w:val="000000"/>
        </w:rPr>
        <w:t xml:space="preserve">Interest on notes </w:t>
      </w:r>
      <w:r w:rsidRPr="00770AC5">
        <w:rPr>
          <w:color w:val="000000"/>
        </w:rPr>
        <w:t xml:space="preserve">payable </w:t>
      </w:r>
      <w:r w:rsidR="00402421" w:rsidRPr="00770AC5">
        <w:rPr>
          <w:color w:val="000000"/>
        </w:rPr>
        <w:t xml:space="preserve">is </w:t>
      </w:r>
      <w:r w:rsidR="00655CE8" w:rsidRPr="00770AC5">
        <w:t xml:space="preserve">higher in the 2026 periods than in the 2025 periods </w:t>
      </w:r>
      <w:r w:rsidRPr="00770AC5">
        <w:rPr>
          <w:color w:val="000000"/>
        </w:rPr>
        <w:t xml:space="preserve">due to an increase in the principal </w:t>
      </w:r>
      <w:proofErr w:type="gramStart"/>
      <w:r w:rsidRPr="00770AC5">
        <w:rPr>
          <w:color w:val="000000"/>
        </w:rPr>
        <w:t>amount</w:t>
      </w:r>
      <w:proofErr w:type="gramEnd"/>
      <w:r w:rsidRPr="00770AC5">
        <w:rPr>
          <w:color w:val="000000"/>
        </w:rPr>
        <w:t xml:space="preserve"> of various series of notes payable outstanding during </w:t>
      </w:r>
      <w:r w:rsidR="00655CE8" w:rsidRPr="00770AC5">
        <w:rPr>
          <w:color w:val="000000"/>
        </w:rPr>
        <w:t>the</w:t>
      </w:r>
      <w:r w:rsidR="00655CE8">
        <w:rPr>
          <w:color w:val="000000"/>
        </w:rPr>
        <w:t xml:space="preserve"> June</w:t>
      </w:r>
      <w:r w:rsidR="00402421">
        <w:rPr>
          <w:color w:val="000000"/>
        </w:rPr>
        <w:t xml:space="preserve"> 2026</w:t>
      </w:r>
      <w:r w:rsidR="00655CE8">
        <w:rPr>
          <w:color w:val="000000"/>
        </w:rPr>
        <w:t xml:space="preserve"> period</w:t>
      </w:r>
      <w:r w:rsidRPr="00C73BDB">
        <w:rPr>
          <w:color w:val="000000"/>
        </w:rPr>
        <w:t xml:space="preserve">.  </w:t>
      </w:r>
      <w:r w:rsidR="00A6066F">
        <w:rPr>
          <w:rFonts w:cs="Arial"/>
          <w:lang w:val="en-US"/>
        </w:rPr>
        <w:t>See</w:t>
      </w:r>
      <w:r w:rsidR="00A6066F" w:rsidRPr="00C73BDB">
        <w:rPr>
          <w:rFonts w:cs="Arial"/>
          <w:lang w:val="en-US"/>
        </w:rPr>
        <w:t xml:space="preserve"> </w:t>
      </w:r>
      <w:r w:rsidR="00402421" w:rsidRPr="00C73BDB">
        <w:t xml:space="preserve">“Liquidity and Capital Resources – </w:t>
      </w:r>
      <w:r w:rsidR="00402421">
        <w:t>Notes Payable</w:t>
      </w:r>
      <w:r w:rsidR="00402421" w:rsidRPr="00C73BDB">
        <w:rPr>
          <w:rFonts w:cs="Arial"/>
          <w:lang w:val="en-US"/>
        </w:rPr>
        <w:t>”</w:t>
      </w:r>
      <w:r w:rsidR="00402421" w:rsidRPr="00C73BDB">
        <w:t xml:space="preserve">.    </w:t>
      </w:r>
    </w:p>
    <w:p w14:paraId="7FCB16CA" w14:textId="420EE1B3" w:rsidR="00655CE8" w:rsidRDefault="00AB45FF" w:rsidP="00655CE8">
      <w:pPr>
        <w:pStyle w:val="BodyText2"/>
        <w:widowControl w:val="0"/>
        <w:spacing w:before="120"/>
        <w:outlineLvl w:val="0"/>
      </w:pPr>
      <w:r w:rsidRPr="00771E0B">
        <w:t xml:space="preserve">The </w:t>
      </w:r>
      <w:r w:rsidRPr="00770AC5">
        <w:t>loss</w:t>
      </w:r>
      <w:r w:rsidRPr="00771E0B">
        <w:t xml:space="preserve"> on the fair value of </w:t>
      </w:r>
      <w:r w:rsidR="00BC5A59">
        <w:t>investments</w:t>
      </w:r>
      <w:r w:rsidRPr="00771E0B">
        <w:t xml:space="preserve"> in </w:t>
      </w:r>
      <w:r w:rsidR="00770AC5">
        <w:t xml:space="preserve">the </w:t>
      </w:r>
      <w:r w:rsidR="009F423B">
        <w:t xml:space="preserve">June </w:t>
      </w:r>
      <w:r>
        <w:t>2026</w:t>
      </w:r>
      <w:r w:rsidR="00770AC5">
        <w:t xml:space="preserve"> period </w:t>
      </w:r>
      <w:r w:rsidRPr="00862DD6">
        <w:rPr>
          <w:lang w:val="en-US"/>
        </w:rPr>
        <w:t xml:space="preserve">mainly reflects the fair value </w:t>
      </w:r>
      <w:r>
        <w:rPr>
          <w:lang w:val="en-US"/>
        </w:rPr>
        <w:t>depreciation</w:t>
      </w:r>
      <w:r w:rsidRPr="00862DD6">
        <w:rPr>
          <w:lang w:val="en-US"/>
        </w:rPr>
        <w:t xml:space="preserve"> of the </w:t>
      </w:r>
      <w:r>
        <w:rPr>
          <w:lang w:val="en-US"/>
        </w:rPr>
        <w:t>Argentine Republic</w:t>
      </w:r>
      <w:r w:rsidRPr="00862DD6">
        <w:rPr>
          <w:lang w:val="en-US"/>
        </w:rPr>
        <w:t xml:space="preserve"> </w:t>
      </w:r>
      <w:r>
        <w:rPr>
          <w:lang w:val="en-US"/>
        </w:rPr>
        <w:t>B</w:t>
      </w:r>
      <w:r w:rsidRPr="00862DD6">
        <w:rPr>
          <w:lang w:val="en-US"/>
        </w:rPr>
        <w:t xml:space="preserve">onds </w:t>
      </w:r>
      <w:r w:rsidRPr="00D30126">
        <w:rPr>
          <w:rFonts w:eastAsia="Arial" w:cs="Arial"/>
          <w:color w:val="000000"/>
        </w:rPr>
        <w:t>(“</w:t>
      </w:r>
      <w:r w:rsidRPr="00E131CA">
        <w:rPr>
          <w:rFonts w:eastAsia="Arial" w:cs="Arial"/>
          <w:b/>
          <w:bCs/>
          <w:color w:val="000000"/>
        </w:rPr>
        <w:t>AL30 bonds</w:t>
      </w:r>
      <w:r w:rsidRPr="00D30126">
        <w:rPr>
          <w:rFonts w:eastAsia="Arial" w:cs="Arial"/>
          <w:color w:val="000000"/>
        </w:rPr>
        <w:t>”)</w:t>
      </w:r>
      <w:r>
        <w:rPr>
          <w:rFonts w:eastAsia="Arial" w:cs="Arial"/>
          <w:color w:val="000000"/>
        </w:rPr>
        <w:t xml:space="preserve"> </w:t>
      </w:r>
      <w:r w:rsidRPr="00862DD6">
        <w:rPr>
          <w:lang w:val="en-US"/>
        </w:rPr>
        <w:t>held as investments.</w:t>
      </w:r>
      <w:r>
        <w:rPr>
          <w:lang w:val="en-US"/>
        </w:rPr>
        <w:t xml:space="preserve"> </w:t>
      </w:r>
      <w:r w:rsidR="00655CE8" w:rsidRPr="00EB7957">
        <w:t xml:space="preserve">The gain in the fair value of financial instruments in </w:t>
      </w:r>
      <w:r w:rsidR="00770AC5">
        <w:t xml:space="preserve">Q2 2026 and </w:t>
      </w:r>
      <w:r w:rsidR="00655CE8">
        <w:t>the 2025 periods</w:t>
      </w:r>
      <w:r w:rsidR="00655CE8" w:rsidRPr="00EB7957">
        <w:t xml:space="preserve"> relates to the appreciation of AL30 bonds </w:t>
      </w:r>
      <w:r w:rsidR="00655CE8">
        <w:t xml:space="preserve">held </w:t>
      </w:r>
      <w:r w:rsidR="00655CE8" w:rsidRPr="00EB7957">
        <w:rPr>
          <w:lang w:val="en-US"/>
        </w:rPr>
        <w:t>as collateral</w:t>
      </w:r>
      <w:r w:rsidR="00655CE8">
        <w:rPr>
          <w:lang w:val="en-US"/>
        </w:rPr>
        <w:t xml:space="preserve"> of a financing loan</w:t>
      </w:r>
      <w:r w:rsidR="00655CE8" w:rsidRPr="00EB7957">
        <w:t xml:space="preserve">. </w:t>
      </w:r>
    </w:p>
    <w:p w14:paraId="70BA072C" w14:textId="5F9FEEAE" w:rsidR="00891509" w:rsidRDefault="00891509" w:rsidP="00655CE8">
      <w:pPr>
        <w:pStyle w:val="BodyText2"/>
        <w:widowControl w:val="0"/>
        <w:spacing w:before="120"/>
        <w:outlineLvl w:val="0"/>
      </w:pPr>
      <w:r w:rsidRPr="00C73BDB">
        <w:rPr>
          <w:color w:val="000000"/>
        </w:rPr>
        <w:t xml:space="preserve">Amortization of notes </w:t>
      </w:r>
      <w:r w:rsidRPr="00770AC5">
        <w:rPr>
          <w:color w:val="000000"/>
        </w:rPr>
        <w:t xml:space="preserve">payable transaction costs </w:t>
      </w:r>
      <w:r w:rsidR="00402421" w:rsidRPr="00770AC5">
        <w:t xml:space="preserve">in </w:t>
      </w:r>
      <w:r w:rsidR="00655CE8" w:rsidRPr="00770AC5">
        <w:t>the 2026 periods</w:t>
      </w:r>
      <w:r w:rsidR="00402421" w:rsidRPr="00770AC5">
        <w:t xml:space="preserve"> </w:t>
      </w:r>
      <w:r w:rsidR="00AB45FF" w:rsidRPr="00770AC5">
        <w:t>is comparable to</w:t>
      </w:r>
      <w:r w:rsidR="00655CE8" w:rsidRPr="00770AC5">
        <w:t xml:space="preserve"> the 2025</w:t>
      </w:r>
      <w:r w:rsidR="00655CE8">
        <w:t xml:space="preserve"> periods</w:t>
      </w:r>
      <w:r w:rsidR="00AB45FF">
        <w:t>.</w:t>
      </w:r>
    </w:p>
    <w:p w14:paraId="60BEA3E0" w14:textId="2062B36D" w:rsidR="00AB45FF" w:rsidRDefault="00AB45FF" w:rsidP="00891509">
      <w:pPr>
        <w:widowControl w:val="0"/>
        <w:pBdr>
          <w:top w:val="nil"/>
          <w:left w:val="nil"/>
          <w:bottom w:val="nil"/>
          <w:right w:val="nil"/>
          <w:between w:val="nil"/>
        </w:pBdr>
        <w:spacing w:before="120"/>
        <w:jc w:val="both"/>
        <w:rPr>
          <w:color w:val="000000"/>
        </w:rPr>
      </w:pPr>
      <w:r w:rsidRPr="00770AC5">
        <w:rPr>
          <w:color w:val="000000"/>
        </w:rPr>
        <w:t>Accretion of decommissioning provision increase</w:t>
      </w:r>
      <w:r w:rsidR="00950975" w:rsidRPr="00770AC5">
        <w:rPr>
          <w:color w:val="000000"/>
        </w:rPr>
        <w:t>d</w:t>
      </w:r>
      <w:r w:rsidRPr="00770AC5">
        <w:rPr>
          <w:color w:val="000000"/>
        </w:rPr>
        <w:t xml:space="preserve"> in </w:t>
      </w:r>
      <w:r w:rsidR="00655CE8" w:rsidRPr="00770AC5">
        <w:rPr>
          <w:color w:val="000000"/>
        </w:rPr>
        <w:t>the 2026 periods compared to the 2025 periods</w:t>
      </w:r>
      <w:r>
        <w:rPr>
          <w:color w:val="000000"/>
        </w:rPr>
        <w:t xml:space="preserve"> mainly due to the Chubut Concessions acquired in Q4 2025</w:t>
      </w:r>
      <w:r w:rsidR="0017517F">
        <w:rPr>
          <w:color w:val="000000"/>
        </w:rPr>
        <w:t xml:space="preserve"> and the change in estimate to a credit-adjusted risk-free rate in Q4 2025</w:t>
      </w:r>
      <w:r>
        <w:rPr>
          <w:color w:val="000000"/>
        </w:rPr>
        <w:t>.</w:t>
      </w:r>
    </w:p>
    <w:p w14:paraId="16562069" w14:textId="23472712" w:rsidR="006044F5" w:rsidRDefault="00641F56" w:rsidP="00591EC8">
      <w:pPr>
        <w:spacing w:before="240" w:after="120"/>
        <w:rPr>
          <w:rFonts w:cs="Arial"/>
          <w:b/>
          <w:sz w:val="22"/>
          <w:szCs w:val="22"/>
        </w:rPr>
      </w:pPr>
      <w:r w:rsidRPr="00592A2C">
        <w:rPr>
          <w:rFonts w:cs="Arial"/>
          <w:b/>
          <w:sz w:val="22"/>
          <w:szCs w:val="22"/>
        </w:rPr>
        <w:t>Taxes</w:t>
      </w:r>
      <w:r>
        <w:rPr>
          <w:rFonts w:cs="Arial"/>
          <w:b/>
          <w:sz w:val="22"/>
          <w:szCs w:val="22"/>
        </w:rPr>
        <w:t xml:space="preserve"> </w:t>
      </w:r>
    </w:p>
    <w:p w14:paraId="05F423CD" w14:textId="05CB8B46" w:rsidR="005009D5" w:rsidRPr="002527F2" w:rsidRDefault="005009D5" w:rsidP="002527F2">
      <w:pPr>
        <w:pStyle w:val="BodyText2"/>
        <w:widowControl w:val="0"/>
        <w:spacing w:before="120"/>
        <w:outlineLvl w:val="0"/>
        <w:rPr>
          <w:lang w:val="en-US"/>
        </w:rPr>
      </w:pPr>
      <w:r w:rsidRPr="002527F2">
        <w:rPr>
          <w:lang w:val="en-US"/>
        </w:rPr>
        <w:t xml:space="preserve">As </w:t>
      </w:r>
      <w:proofErr w:type="gramStart"/>
      <w:r w:rsidRPr="002527F2">
        <w:rPr>
          <w:lang w:val="en-US"/>
        </w:rPr>
        <w:t>at</w:t>
      </w:r>
      <w:proofErr w:type="gramEnd"/>
      <w:r w:rsidRPr="002527F2">
        <w:rPr>
          <w:lang w:val="en-US"/>
        </w:rPr>
        <w:t xml:space="preserve"> </w:t>
      </w:r>
      <w:r w:rsidR="00E91EF5" w:rsidRPr="002527F2">
        <w:rPr>
          <w:lang w:val="en-US"/>
        </w:rPr>
        <w:t>June 30</w:t>
      </w:r>
      <w:r w:rsidRPr="002527F2">
        <w:rPr>
          <w:lang w:val="en-US"/>
        </w:rPr>
        <w:t>, 2026, current taxes payable consisted of VAT liabilities in the amount of $</w:t>
      </w:r>
      <w:r w:rsidR="00770AC5" w:rsidRPr="002527F2">
        <w:rPr>
          <w:lang w:val="en-US"/>
        </w:rPr>
        <w:t>1,330,231</w:t>
      </w:r>
      <w:r w:rsidR="00A6066F" w:rsidRPr="002527F2">
        <w:rPr>
          <w:lang w:val="en-US"/>
        </w:rPr>
        <w:t>.</w:t>
      </w:r>
    </w:p>
    <w:p w14:paraId="0BB04EA7" w14:textId="4D0CD62C" w:rsidR="005009D5" w:rsidRPr="002527F2" w:rsidRDefault="005009D5" w:rsidP="002527F2">
      <w:pPr>
        <w:pStyle w:val="BodyText2"/>
        <w:widowControl w:val="0"/>
        <w:spacing w:before="120"/>
        <w:outlineLvl w:val="0"/>
        <w:rPr>
          <w:lang w:val="en-US"/>
        </w:rPr>
      </w:pPr>
      <w:r w:rsidRPr="002527F2">
        <w:rPr>
          <w:lang w:val="en-US"/>
        </w:rPr>
        <w:t xml:space="preserve">As </w:t>
      </w:r>
      <w:proofErr w:type="gramStart"/>
      <w:r w:rsidRPr="002527F2">
        <w:rPr>
          <w:lang w:val="en-US"/>
        </w:rPr>
        <w:t>at</w:t>
      </w:r>
      <w:proofErr w:type="gramEnd"/>
      <w:r w:rsidRPr="002527F2">
        <w:rPr>
          <w:lang w:val="en-US"/>
        </w:rPr>
        <w:t xml:space="preserve"> </w:t>
      </w:r>
      <w:r w:rsidR="00E91EF5" w:rsidRPr="002527F2">
        <w:rPr>
          <w:lang w:val="en-US"/>
        </w:rPr>
        <w:t>June 30</w:t>
      </w:r>
      <w:r w:rsidRPr="002527F2">
        <w:rPr>
          <w:lang w:val="en-US"/>
        </w:rPr>
        <w:t>, 2026, the Company’s deferred tax liability was $</w:t>
      </w:r>
      <w:r w:rsidR="00770AC5" w:rsidRPr="002527F2">
        <w:rPr>
          <w:lang w:val="en-US"/>
        </w:rPr>
        <w:t>10,284,285</w:t>
      </w:r>
      <w:r w:rsidRPr="002527F2">
        <w:rPr>
          <w:lang w:val="en-US"/>
        </w:rPr>
        <w:t xml:space="preserve"> (December 31, 2025 – $15,548,657).</w:t>
      </w:r>
    </w:p>
    <w:p w14:paraId="691F47BB" w14:textId="4FF55735" w:rsidR="005009D5" w:rsidRPr="002527F2" w:rsidRDefault="00F33FFF" w:rsidP="002527F2">
      <w:pPr>
        <w:pStyle w:val="BodyText2"/>
        <w:widowControl w:val="0"/>
        <w:spacing w:before="120"/>
        <w:outlineLvl w:val="0"/>
        <w:rPr>
          <w:lang w:val="en-US"/>
        </w:rPr>
      </w:pPr>
      <w:r w:rsidRPr="002527F2">
        <w:rPr>
          <w:lang w:val="en-US"/>
        </w:rPr>
        <w:t>The Company’s tax provision is comprised of the following:</w:t>
      </w:r>
    </w:p>
    <w:tbl>
      <w:tblPr>
        <w:tblW w:w="9540" w:type="dxa"/>
        <w:tblLayout w:type="fixed"/>
        <w:tblLook w:val="0400" w:firstRow="0" w:lastRow="0" w:firstColumn="0" w:lastColumn="0" w:noHBand="0" w:noVBand="1"/>
      </w:tblPr>
      <w:tblGrid>
        <w:gridCol w:w="3780"/>
        <w:gridCol w:w="281"/>
        <w:gridCol w:w="1369"/>
        <w:gridCol w:w="1370"/>
        <w:gridCol w:w="1370"/>
        <w:gridCol w:w="1370"/>
      </w:tblGrid>
      <w:tr w:rsidR="00E91EF5" w:rsidRPr="009C6E15" w14:paraId="5A94E916" w14:textId="77777777" w:rsidTr="0092481D">
        <w:tc>
          <w:tcPr>
            <w:tcW w:w="3780" w:type="dxa"/>
            <w:tcBorders>
              <w:top w:val="single" w:sz="12" w:space="0" w:color="000000"/>
              <w:left w:val="nil"/>
              <w:right w:val="nil"/>
            </w:tcBorders>
          </w:tcPr>
          <w:p w14:paraId="564EEECC" w14:textId="77777777" w:rsidR="00E91EF5" w:rsidRPr="006F415F" w:rsidRDefault="00E91EF5" w:rsidP="00E91EF5">
            <w:pPr>
              <w:spacing w:before="60"/>
              <w:jc w:val="both"/>
              <w:rPr>
                <w:b/>
                <w:color w:val="000000"/>
                <w:sz w:val="16"/>
                <w:szCs w:val="16"/>
              </w:rPr>
            </w:pPr>
          </w:p>
        </w:tc>
        <w:tc>
          <w:tcPr>
            <w:tcW w:w="281" w:type="dxa"/>
            <w:tcBorders>
              <w:top w:val="single" w:sz="12" w:space="0" w:color="000000"/>
              <w:left w:val="nil"/>
              <w:right w:val="nil"/>
            </w:tcBorders>
            <w:vAlign w:val="bottom"/>
          </w:tcPr>
          <w:p w14:paraId="2D2BE060" w14:textId="77777777" w:rsidR="00E91EF5" w:rsidRPr="006F415F" w:rsidRDefault="00E91EF5" w:rsidP="00E91EF5">
            <w:pPr>
              <w:spacing w:before="60"/>
              <w:jc w:val="both"/>
              <w:rPr>
                <w:b/>
                <w:color w:val="000000"/>
                <w:sz w:val="16"/>
                <w:szCs w:val="16"/>
              </w:rPr>
            </w:pPr>
          </w:p>
        </w:tc>
        <w:tc>
          <w:tcPr>
            <w:tcW w:w="2739" w:type="dxa"/>
            <w:gridSpan w:val="2"/>
            <w:tcBorders>
              <w:top w:val="single" w:sz="12" w:space="0" w:color="000000"/>
              <w:left w:val="nil"/>
              <w:right w:val="nil"/>
            </w:tcBorders>
            <w:vAlign w:val="bottom"/>
          </w:tcPr>
          <w:p w14:paraId="074B9BAB" w14:textId="6539E963" w:rsidR="00E91EF5" w:rsidRPr="006F415F" w:rsidRDefault="00E91EF5" w:rsidP="00E91EF5">
            <w:pPr>
              <w:spacing w:before="60"/>
              <w:jc w:val="center"/>
              <w:rPr>
                <w:b/>
                <w:color w:val="000000"/>
                <w:sz w:val="16"/>
                <w:szCs w:val="16"/>
              </w:rPr>
            </w:pPr>
            <w:r>
              <w:rPr>
                <w:rFonts w:cs="Arial"/>
                <w:b/>
                <w:sz w:val="16"/>
                <w:szCs w:val="16"/>
              </w:rPr>
              <w:t>Three months ended</w:t>
            </w:r>
          </w:p>
        </w:tc>
        <w:tc>
          <w:tcPr>
            <w:tcW w:w="2740" w:type="dxa"/>
            <w:gridSpan w:val="2"/>
            <w:tcBorders>
              <w:top w:val="single" w:sz="12" w:space="0" w:color="000000"/>
              <w:left w:val="nil"/>
              <w:right w:val="nil"/>
            </w:tcBorders>
            <w:vAlign w:val="bottom"/>
          </w:tcPr>
          <w:p w14:paraId="7A9FABF6" w14:textId="23692C3C" w:rsidR="00E91EF5" w:rsidRPr="006F415F" w:rsidRDefault="00E91EF5" w:rsidP="00E91EF5">
            <w:pPr>
              <w:spacing w:before="60"/>
              <w:jc w:val="center"/>
              <w:rPr>
                <w:b/>
                <w:color w:val="000000"/>
                <w:sz w:val="16"/>
                <w:szCs w:val="16"/>
              </w:rPr>
            </w:pPr>
            <w:r>
              <w:rPr>
                <w:rFonts w:cs="Arial"/>
                <w:b/>
                <w:sz w:val="16"/>
                <w:szCs w:val="16"/>
              </w:rPr>
              <w:t>Six months ended</w:t>
            </w:r>
          </w:p>
        </w:tc>
      </w:tr>
      <w:tr w:rsidR="00E91EF5" w:rsidRPr="009C6E15" w14:paraId="5EC5E3DD" w14:textId="77777777" w:rsidTr="0092481D">
        <w:tc>
          <w:tcPr>
            <w:tcW w:w="3780" w:type="dxa"/>
            <w:tcBorders>
              <w:left w:val="nil"/>
              <w:bottom w:val="nil"/>
              <w:right w:val="nil"/>
            </w:tcBorders>
          </w:tcPr>
          <w:p w14:paraId="1DBEE06A" w14:textId="77777777" w:rsidR="00E91EF5" w:rsidRPr="0092481D" w:rsidRDefault="00E91EF5" w:rsidP="00E91EF5">
            <w:pPr>
              <w:jc w:val="both"/>
              <w:rPr>
                <w:b/>
                <w:color w:val="000000"/>
                <w:sz w:val="18"/>
                <w:szCs w:val="18"/>
              </w:rPr>
            </w:pPr>
          </w:p>
        </w:tc>
        <w:tc>
          <w:tcPr>
            <w:tcW w:w="281" w:type="dxa"/>
            <w:tcBorders>
              <w:left w:val="nil"/>
              <w:bottom w:val="nil"/>
              <w:right w:val="nil"/>
            </w:tcBorders>
            <w:vAlign w:val="bottom"/>
          </w:tcPr>
          <w:p w14:paraId="3EB3F9CE" w14:textId="77777777" w:rsidR="00E91EF5" w:rsidRPr="009C6E15" w:rsidRDefault="00E91EF5" w:rsidP="00E91EF5">
            <w:pPr>
              <w:jc w:val="both"/>
              <w:rPr>
                <w:b/>
                <w:color w:val="000000"/>
                <w:sz w:val="16"/>
                <w:szCs w:val="16"/>
              </w:rPr>
            </w:pPr>
          </w:p>
        </w:tc>
        <w:tc>
          <w:tcPr>
            <w:tcW w:w="2739" w:type="dxa"/>
            <w:gridSpan w:val="2"/>
            <w:tcBorders>
              <w:left w:val="nil"/>
              <w:bottom w:val="nil"/>
              <w:right w:val="nil"/>
            </w:tcBorders>
            <w:vAlign w:val="bottom"/>
          </w:tcPr>
          <w:p w14:paraId="19832FA0" w14:textId="14D2B1C5" w:rsidR="00E91EF5" w:rsidRPr="009C6E15" w:rsidRDefault="00E91EF5" w:rsidP="00E91EF5">
            <w:pPr>
              <w:jc w:val="center"/>
              <w:rPr>
                <w:b/>
                <w:color w:val="000000"/>
                <w:sz w:val="16"/>
                <w:szCs w:val="16"/>
              </w:rPr>
            </w:pPr>
            <w:r>
              <w:rPr>
                <w:rFonts w:cs="Arial"/>
                <w:b/>
                <w:sz w:val="16"/>
                <w:szCs w:val="16"/>
              </w:rPr>
              <w:t>June 30</w:t>
            </w:r>
          </w:p>
        </w:tc>
        <w:tc>
          <w:tcPr>
            <w:tcW w:w="2740" w:type="dxa"/>
            <w:gridSpan w:val="2"/>
            <w:tcBorders>
              <w:left w:val="nil"/>
              <w:bottom w:val="nil"/>
              <w:right w:val="nil"/>
            </w:tcBorders>
            <w:vAlign w:val="bottom"/>
          </w:tcPr>
          <w:p w14:paraId="58C6D428" w14:textId="36E61847" w:rsidR="00E91EF5" w:rsidRPr="009C6E15" w:rsidRDefault="00E91EF5" w:rsidP="00E91EF5">
            <w:pPr>
              <w:jc w:val="center"/>
              <w:rPr>
                <w:b/>
                <w:color w:val="000000"/>
                <w:sz w:val="16"/>
                <w:szCs w:val="16"/>
              </w:rPr>
            </w:pPr>
            <w:r>
              <w:rPr>
                <w:rFonts w:cs="Arial"/>
                <w:b/>
                <w:sz w:val="16"/>
                <w:szCs w:val="16"/>
              </w:rPr>
              <w:t>June 30</w:t>
            </w:r>
          </w:p>
        </w:tc>
      </w:tr>
      <w:tr w:rsidR="00E91EF5" w:rsidRPr="009C6E15" w14:paraId="67CC1E82" w14:textId="77777777" w:rsidTr="0092481D">
        <w:trPr>
          <w:trHeight w:val="60"/>
        </w:trPr>
        <w:tc>
          <w:tcPr>
            <w:tcW w:w="3780" w:type="dxa"/>
            <w:tcBorders>
              <w:top w:val="nil"/>
              <w:left w:val="nil"/>
              <w:bottom w:val="single" w:sz="4" w:space="0" w:color="000000"/>
              <w:right w:val="nil"/>
            </w:tcBorders>
          </w:tcPr>
          <w:p w14:paraId="68C36D40" w14:textId="77777777" w:rsidR="00E91EF5" w:rsidRPr="009C6E15" w:rsidRDefault="00E91EF5" w:rsidP="00E91EF5">
            <w:pPr>
              <w:widowControl w:val="0"/>
              <w:pBdr>
                <w:top w:val="nil"/>
                <w:left w:val="nil"/>
                <w:bottom w:val="nil"/>
                <w:right w:val="nil"/>
                <w:between w:val="nil"/>
              </w:pBdr>
              <w:jc w:val="both"/>
              <w:rPr>
                <w:color w:val="000000"/>
                <w:sz w:val="18"/>
                <w:szCs w:val="18"/>
              </w:rPr>
            </w:pPr>
          </w:p>
        </w:tc>
        <w:tc>
          <w:tcPr>
            <w:tcW w:w="281" w:type="dxa"/>
            <w:tcBorders>
              <w:top w:val="nil"/>
              <w:left w:val="nil"/>
              <w:bottom w:val="single" w:sz="4" w:space="0" w:color="000000"/>
              <w:right w:val="nil"/>
            </w:tcBorders>
            <w:vAlign w:val="bottom"/>
          </w:tcPr>
          <w:p w14:paraId="2C431388" w14:textId="77777777" w:rsidR="00E91EF5" w:rsidRPr="009C6E15" w:rsidRDefault="00E91EF5" w:rsidP="00E91EF5">
            <w:pPr>
              <w:widowControl w:val="0"/>
              <w:pBdr>
                <w:top w:val="nil"/>
                <w:left w:val="nil"/>
                <w:bottom w:val="nil"/>
                <w:right w:val="nil"/>
                <w:between w:val="nil"/>
              </w:pBdr>
              <w:jc w:val="center"/>
              <w:rPr>
                <w:b/>
                <w:color w:val="000000"/>
                <w:sz w:val="16"/>
                <w:szCs w:val="16"/>
              </w:rPr>
            </w:pPr>
          </w:p>
        </w:tc>
        <w:tc>
          <w:tcPr>
            <w:tcW w:w="1369" w:type="dxa"/>
            <w:tcBorders>
              <w:top w:val="nil"/>
              <w:left w:val="nil"/>
              <w:bottom w:val="single" w:sz="4" w:space="0" w:color="000000"/>
              <w:right w:val="nil"/>
            </w:tcBorders>
            <w:vAlign w:val="bottom"/>
          </w:tcPr>
          <w:p w14:paraId="245115BC" w14:textId="343E1A36" w:rsidR="00E91EF5" w:rsidRPr="009C6E1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70" w:type="dxa"/>
            <w:tcBorders>
              <w:top w:val="nil"/>
              <w:left w:val="nil"/>
              <w:bottom w:val="single" w:sz="4" w:space="0" w:color="000000"/>
              <w:right w:val="nil"/>
            </w:tcBorders>
            <w:vAlign w:val="bottom"/>
          </w:tcPr>
          <w:p w14:paraId="55BB9228" w14:textId="4D8048DB" w:rsidR="00E91EF5" w:rsidRPr="009C6E1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c>
          <w:tcPr>
            <w:tcW w:w="1370" w:type="dxa"/>
            <w:tcBorders>
              <w:top w:val="nil"/>
              <w:left w:val="nil"/>
              <w:bottom w:val="single" w:sz="4" w:space="0" w:color="000000"/>
              <w:right w:val="nil"/>
            </w:tcBorders>
            <w:vAlign w:val="bottom"/>
          </w:tcPr>
          <w:p w14:paraId="17E2DF9A" w14:textId="0AB62D8E" w:rsidR="00E91EF5" w:rsidRPr="009C6E1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2026</w:t>
            </w:r>
          </w:p>
        </w:tc>
        <w:tc>
          <w:tcPr>
            <w:tcW w:w="1370" w:type="dxa"/>
            <w:tcBorders>
              <w:top w:val="nil"/>
              <w:left w:val="nil"/>
              <w:bottom w:val="single" w:sz="4" w:space="0" w:color="000000"/>
              <w:right w:val="nil"/>
            </w:tcBorders>
            <w:vAlign w:val="bottom"/>
          </w:tcPr>
          <w:p w14:paraId="75A8CCF7" w14:textId="7E3EEC38" w:rsidR="00E91EF5" w:rsidRPr="009C6E15" w:rsidRDefault="00E91EF5" w:rsidP="00E91EF5">
            <w:pPr>
              <w:widowControl w:val="0"/>
              <w:pBdr>
                <w:top w:val="nil"/>
                <w:left w:val="nil"/>
                <w:bottom w:val="nil"/>
                <w:right w:val="nil"/>
                <w:between w:val="nil"/>
              </w:pBdr>
              <w:jc w:val="center"/>
              <w:rPr>
                <w:b/>
                <w:color w:val="000000"/>
                <w:sz w:val="16"/>
                <w:szCs w:val="16"/>
              </w:rPr>
            </w:pPr>
            <w:r>
              <w:rPr>
                <w:rFonts w:cs="Arial"/>
                <w:b/>
                <w:sz w:val="16"/>
                <w:szCs w:val="16"/>
              </w:rPr>
              <w:t>2025</w:t>
            </w:r>
          </w:p>
        </w:tc>
      </w:tr>
      <w:tr w:rsidR="00E91EF5" w:rsidRPr="009C6E15" w14:paraId="07DFB77A" w14:textId="77777777" w:rsidTr="00B3621E">
        <w:trPr>
          <w:trHeight w:val="161"/>
        </w:trPr>
        <w:tc>
          <w:tcPr>
            <w:tcW w:w="3780" w:type="dxa"/>
            <w:tcBorders>
              <w:top w:val="single" w:sz="4" w:space="0" w:color="000000"/>
              <w:left w:val="nil"/>
              <w:bottom w:val="nil"/>
              <w:right w:val="nil"/>
            </w:tcBorders>
            <w:vAlign w:val="bottom"/>
          </w:tcPr>
          <w:p w14:paraId="1CBB47F5" w14:textId="77777777" w:rsidR="00E91EF5" w:rsidRPr="009C6E15" w:rsidRDefault="00E91EF5" w:rsidP="00E91EF5">
            <w:pPr>
              <w:pBdr>
                <w:top w:val="nil"/>
                <w:left w:val="nil"/>
                <w:bottom w:val="nil"/>
                <w:right w:val="nil"/>
                <w:between w:val="nil"/>
              </w:pBdr>
              <w:spacing w:before="60"/>
              <w:rPr>
                <w:color w:val="000000"/>
                <w:sz w:val="18"/>
                <w:szCs w:val="18"/>
              </w:rPr>
            </w:pPr>
            <w:r w:rsidRPr="009C6E15">
              <w:rPr>
                <w:color w:val="000000"/>
                <w:sz w:val="18"/>
                <w:szCs w:val="18"/>
              </w:rPr>
              <w:t>Current tax ($)</w:t>
            </w:r>
          </w:p>
        </w:tc>
        <w:tc>
          <w:tcPr>
            <w:tcW w:w="281" w:type="dxa"/>
            <w:tcBorders>
              <w:top w:val="single" w:sz="4" w:space="0" w:color="000000"/>
              <w:left w:val="nil"/>
              <w:bottom w:val="nil"/>
              <w:right w:val="nil"/>
            </w:tcBorders>
            <w:vAlign w:val="bottom"/>
          </w:tcPr>
          <w:p w14:paraId="57C4369A" w14:textId="77777777" w:rsidR="00E91EF5" w:rsidRPr="009C6E15" w:rsidRDefault="00E91EF5" w:rsidP="00E91EF5">
            <w:pPr>
              <w:pBdr>
                <w:top w:val="nil"/>
                <w:left w:val="nil"/>
                <w:bottom w:val="nil"/>
                <w:right w:val="nil"/>
                <w:between w:val="nil"/>
              </w:pBdr>
              <w:spacing w:before="60"/>
              <w:ind w:right="72"/>
              <w:jc w:val="right"/>
              <w:rPr>
                <w:color w:val="000000"/>
                <w:sz w:val="18"/>
                <w:szCs w:val="18"/>
              </w:rPr>
            </w:pPr>
          </w:p>
        </w:tc>
        <w:tc>
          <w:tcPr>
            <w:tcW w:w="1369" w:type="dxa"/>
            <w:tcBorders>
              <w:top w:val="single" w:sz="4" w:space="0" w:color="000000"/>
              <w:left w:val="nil"/>
              <w:bottom w:val="nil"/>
              <w:right w:val="nil"/>
            </w:tcBorders>
            <w:vAlign w:val="bottom"/>
          </w:tcPr>
          <w:p w14:paraId="1D6F9F6B" w14:textId="42AEA3E7" w:rsidR="00E91EF5" w:rsidRPr="009C6E15" w:rsidRDefault="00DE6066" w:rsidP="00E91EF5">
            <w:pPr>
              <w:pBdr>
                <w:top w:val="nil"/>
                <w:left w:val="nil"/>
                <w:bottom w:val="nil"/>
                <w:right w:val="nil"/>
                <w:between w:val="nil"/>
              </w:pBdr>
              <w:spacing w:before="60"/>
              <w:ind w:right="105"/>
              <w:jc w:val="right"/>
              <w:rPr>
                <w:color w:val="000000"/>
                <w:sz w:val="18"/>
                <w:szCs w:val="18"/>
              </w:rPr>
            </w:pPr>
            <w:r>
              <w:rPr>
                <w:color w:val="000000"/>
                <w:sz w:val="18"/>
                <w:szCs w:val="18"/>
              </w:rPr>
              <w:t>–</w:t>
            </w:r>
          </w:p>
        </w:tc>
        <w:tc>
          <w:tcPr>
            <w:tcW w:w="1370" w:type="dxa"/>
            <w:tcBorders>
              <w:top w:val="single" w:sz="4" w:space="0" w:color="000000"/>
              <w:left w:val="nil"/>
              <w:bottom w:val="nil"/>
              <w:right w:val="nil"/>
            </w:tcBorders>
            <w:vAlign w:val="bottom"/>
          </w:tcPr>
          <w:p w14:paraId="5E438DCE" w14:textId="40D2AE9B" w:rsidR="00E91EF5" w:rsidRPr="009C6E15" w:rsidRDefault="00DE6066" w:rsidP="00E91EF5">
            <w:pPr>
              <w:pBdr>
                <w:top w:val="nil"/>
                <w:left w:val="nil"/>
                <w:bottom w:val="nil"/>
                <w:right w:val="nil"/>
                <w:between w:val="nil"/>
              </w:pBdr>
              <w:spacing w:before="60"/>
              <w:ind w:right="30"/>
              <w:jc w:val="right"/>
              <w:rPr>
                <w:color w:val="000000"/>
                <w:sz w:val="18"/>
                <w:szCs w:val="18"/>
              </w:rPr>
            </w:pPr>
            <w:r>
              <w:rPr>
                <w:color w:val="000000"/>
                <w:sz w:val="18"/>
                <w:szCs w:val="18"/>
              </w:rPr>
              <w:t>–</w:t>
            </w:r>
          </w:p>
        </w:tc>
        <w:tc>
          <w:tcPr>
            <w:tcW w:w="1370" w:type="dxa"/>
            <w:tcBorders>
              <w:top w:val="single" w:sz="4" w:space="0" w:color="000000"/>
              <w:left w:val="nil"/>
              <w:bottom w:val="nil"/>
              <w:right w:val="nil"/>
            </w:tcBorders>
            <w:vAlign w:val="bottom"/>
          </w:tcPr>
          <w:p w14:paraId="60A4120B" w14:textId="77777777" w:rsidR="00E91EF5" w:rsidRPr="00806EBE" w:rsidRDefault="00E91EF5" w:rsidP="00E91EF5">
            <w:pPr>
              <w:pBdr>
                <w:top w:val="nil"/>
                <w:left w:val="nil"/>
                <w:bottom w:val="nil"/>
                <w:right w:val="nil"/>
                <w:between w:val="nil"/>
              </w:pBdr>
              <w:spacing w:before="60"/>
              <w:ind w:right="117"/>
              <w:jc w:val="right"/>
              <w:rPr>
                <w:color w:val="000000"/>
                <w:sz w:val="18"/>
                <w:szCs w:val="18"/>
              </w:rPr>
            </w:pPr>
            <w:r w:rsidRPr="00806EBE">
              <w:rPr>
                <w:color w:val="000000"/>
                <w:sz w:val="18"/>
                <w:szCs w:val="18"/>
              </w:rPr>
              <w:t>–</w:t>
            </w:r>
          </w:p>
        </w:tc>
        <w:tc>
          <w:tcPr>
            <w:tcW w:w="1370" w:type="dxa"/>
            <w:tcBorders>
              <w:top w:val="single" w:sz="4" w:space="0" w:color="000000"/>
              <w:left w:val="nil"/>
              <w:bottom w:val="nil"/>
              <w:right w:val="nil"/>
            </w:tcBorders>
            <w:vAlign w:val="bottom"/>
          </w:tcPr>
          <w:p w14:paraId="115513A7" w14:textId="0D5A4CB4" w:rsidR="00E91EF5" w:rsidRPr="009C6E15" w:rsidRDefault="00E91EF5" w:rsidP="00E91EF5">
            <w:pPr>
              <w:pBdr>
                <w:top w:val="nil"/>
                <w:left w:val="nil"/>
                <w:bottom w:val="nil"/>
                <w:right w:val="nil"/>
                <w:between w:val="nil"/>
              </w:pBdr>
              <w:spacing w:before="60"/>
              <w:ind w:right="165"/>
              <w:jc w:val="right"/>
              <w:rPr>
                <w:color w:val="000000"/>
                <w:sz w:val="18"/>
                <w:szCs w:val="18"/>
              </w:rPr>
            </w:pPr>
            <w:r w:rsidRPr="00806EBE">
              <w:rPr>
                <w:color w:val="000000"/>
                <w:sz w:val="18"/>
                <w:szCs w:val="18"/>
              </w:rPr>
              <w:t>–</w:t>
            </w:r>
          </w:p>
        </w:tc>
      </w:tr>
      <w:tr w:rsidR="00DE6066" w:rsidRPr="009C6E15" w14:paraId="68607BAC" w14:textId="77777777">
        <w:trPr>
          <w:trHeight w:val="122"/>
        </w:trPr>
        <w:tc>
          <w:tcPr>
            <w:tcW w:w="3780" w:type="dxa"/>
            <w:tcBorders>
              <w:top w:val="nil"/>
              <w:left w:val="nil"/>
              <w:bottom w:val="single" w:sz="4" w:space="0" w:color="000000"/>
              <w:right w:val="nil"/>
            </w:tcBorders>
            <w:vAlign w:val="bottom"/>
          </w:tcPr>
          <w:p w14:paraId="2C8E7393" w14:textId="79B5BEC2" w:rsidR="00DE6066" w:rsidRPr="009C6E15" w:rsidRDefault="00DE6066" w:rsidP="00DE6066">
            <w:pPr>
              <w:pBdr>
                <w:top w:val="nil"/>
                <w:left w:val="nil"/>
                <w:bottom w:val="nil"/>
                <w:right w:val="nil"/>
                <w:between w:val="nil"/>
              </w:pBdr>
              <w:rPr>
                <w:color w:val="000000"/>
                <w:sz w:val="18"/>
                <w:szCs w:val="18"/>
              </w:rPr>
            </w:pPr>
            <w:r w:rsidRPr="009C6E15">
              <w:rPr>
                <w:color w:val="000000"/>
                <w:sz w:val="18"/>
                <w:szCs w:val="18"/>
              </w:rPr>
              <w:t xml:space="preserve">Deferred tax </w:t>
            </w:r>
            <w:r w:rsidR="00770AC5">
              <w:rPr>
                <w:color w:val="000000"/>
                <w:sz w:val="18"/>
                <w:szCs w:val="18"/>
              </w:rPr>
              <w:t xml:space="preserve">(expense) </w:t>
            </w:r>
            <w:r w:rsidRPr="009C6E15">
              <w:rPr>
                <w:color w:val="000000"/>
                <w:sz w:val="18"/>
                <w:szCs w:val="18"/>
              </w:rPr>
              <w:t>recovery ($)</w:t>
            </w:r>
          </w:p>
        </w:tc>
        <w:tc>
          <w:tcPr>
            <w:tcW w:w="281" w:type="dxa"/>
            <w:tcBorders>
              <w:top w:val="nil"/>
              <w:left w:val="nil"/>
              <w:bottom w:val="single" w:sz="4" w:space="0" w:color="000000"/>
              <w:right w:val="nil"/>
            </w:tcBorders>
            <w:vAlign w:val="bottom"/>
          </w:tcPr>
          <w:p w14:paraId="6FF4A757" w14:textId="77777777" w:rsidR="00DE6066" w:rsidRPr="009C6E15" w:rsidRDefault="00DE6066" w:rsidP="00DE6066">
            <w:pPr>
              <w:pBdr>
                <w:top w:val="nil"/>
                <w:left w:val="nil"/>
                <w:bottom w:val="nil"/>
                <w:right w:val="nil"/>
                <w:between w:val="nil"/>
              </w:pBdr>
              <w:ind w:right="72"/>
              <w:jc w:val="right"/>
              <w:rPr>
                <w:color w:val="000000"/>
                <w:sz w:val="18"/>
                <w:szCs w:val="18"/>
              </w:rPr>
            </w:pPr>
          </w:p>
        </w:tc>
        <w:tc>
          <w:tcPr>
            <w:tcW w:w="1369" w:type="dxa"/>
            <w:tcBorders>
              <w:top w:val="nil"/>
              <w:left w:val="nil"/>
              <w:bottom w:val="single" w:sz="4" w:space="0" w:color="000000"/>
              <w:right w:val="nil"/>
            </w:tcBorders>
            <w:vAlign w:val="bottom"/>
          </w:tcPr>
          <w:p w14:paraId="17C4A5C0" w14:textId="3BE1BF76" w:rsidR="00DE6066" w:rsidRPr="009C6E15" w:rsidRDefault="00770AC5" w:rsidP="00DE6066">
            <w:pPr>
              <w:pBdr>
                <w:top w:val="nil"/>
                <w:left w:val="nil"/>
                <w:bottom w:val="nil"/>
                <w:right w:val="nil"/>
                <w:between w:val="nil"/>
              </w:pBdr>
              <w:ind w:right="30"/>
              <w:jc w:val="right"/>
              <w:rPr>
                <w:color w:val="000000"/>
                <w:sz w:val="18"/>
                <w:szCs w:val="18"/>
              </w:rPr>
            </w:pPr>
            <w:r>
              <w:rPr>
                <w:color w:val="000000"/>
                <w:sz w:val="18"/>
                <w:szCs w:val="18"/>
              </w:rPr>
              <w:t>(38,350)</w:t>
            </w:r>
          </w:p>
        </w:tc>
        <w:tc>
          <w:tcPr>
            <w:tcW w:w="1370" w:type="dxa"/>
            <w:tcBorders>
              <w:top w:val="nil"/>
              <w:left w:val="nil"/>
              <w:bottom w:val="single" w:sz="4" w:space="0" w:color="000000"/>
              <w:right w:val="nil"/>
            </w:tcBorders>
            <w:vAlign w:val="bottom"/>
          </w:tcPr>
          <w:p w14:paraId="6E177503" w14:textId="0D4AC56A" w:rsidR="00DE6066" w:rsidRPr="009C6E15" w:rsidRDefault="00DE6066" w:rsidP="00DE6066">
            <w:pPr>
              <w:pBdr>
                <w:top w:val="nil"/>
                <w:left w:val="nil"/>
                <w:bottom w:val="nil"/>
                <w:right w:val="nil"/>
                <w:between w:val="nil"/>
              </w:pBdr>
              <w:ind w:right="30"/>
              <w:jc w:val="right"/>
              <w:rPr>
                <w:color w:val="000000"/>
                <w:sz w:val="18"/>
                <w:szCs w:val="18"/>
              </w:rPr>
            </w:pPr>
            <w:r w:rsidRPr="00385458">
              <w:rPr>
                <w:color w:val="000000"/>
                <w:sz w:val="18"/>
                <w:szCs w:val="18"/>
              </w:rPr>
              <w:t>3,357,090</w:t>
            </w:r>
          </w:p>
        </w:tc>
        <w:tc>
          <w:tcPr>
            <w:tcW w:w="1370" w:type="dxa"/>
            <w:tcBorders>
              <w:top w:val="nil"/>
              <w:left w:val="nil"/>
              <w:bottom w:val="single" w:sz="4" w:space="0" w:color="000000"/>
              <w:right w:val="nil"/>
            </w:tcBorders>
            <w:vAlign w:val="bottom"/>
          </w:tcPr>
          <w:p w14:paraId="14F0F21F" w14:textId="30AD5B3E" w:rsidR="00DE6066" w:rsidRPr="00806EBE" w:rsidRDefault="00770AC5" w:rsidP="00DE6066">
            <w:pPr>
              <w:pBdr>
                <w:top w:val="nil"/>
                <w:left w:val="nil"/>
                <w:bottom w:val="nil"/>
                <w:right w:val="nil"/>
                <w:between w:val="nil"/>
              </w:pBdr>
              <w:ind w:right="117"/>
              <w:jc w:val="right"/>
              <w:rPr>
                <w:color w:val="000000"/>
                <w:sz w:val="18"/>
                <w:szCs w:val="18"/>
              </w:rPr>
            </w:pPr>
            <w:r>
              <w:rPr>
                <w:color w:val="000000"/>
                <w:sz w:val="18"/>
                <w:szCs w:val="18"/>
              </w:rPr>
              <w:t>5,264,372</w:t>
            </w:r>
          </w:p>
        </w:tc>
        <w:tc>
          <w:tcPr>
            <w:tcW w:w="1370" w:type="dxa"/>
            <w:tcBorders>
              <w:top w:val="nil"/>
              <w:left w:val="nil"/>
              <w:bottom w:val="single" w:sz="4" w:space="0" w:color="000000"/>
              <w:right w:val="nil"/>
            </w:tcBorders>
          </w:tcPr>
          <w:p w14:paraId="7A8556D1" w14:textId="02A32A53" w:rsidR="00DE6066" w:rsidRPr="009C6E15" w:rsidRDefault="00DE6066" w:rsidP="00DE6066">
            <w:pPr>
              <w:pBdr>
                <w:top w:val="nil"/>
                <w:left w:val="nil"/>
                <w:bottom w:val="nil"/>
                <w:right w:val="nil"/>
                <w:between w:val="nil"/>
              </w:pBdr>
              <w:ind w:right="79"/>
              <w:jc w:val="right"/>
              <w:rPr>
                <w:color w:val="000000"/>
                <w:sz w:val="18"/>
                <w:szCs w:val="18"/>
              </w:rPr>
            </w:pPr>
            <w:r w:rsidRPr="00385458">
              <w:rPr>
                <w:sz w:val="18"/>
                <w:szCs w:val="18"/>
              </w:rPr>
              <w:t>6,511,155</w:t>
            </w:r>
          </w:p>
        </w:tc>
      </w:tr>
      <w:tr w:rsidR="00DE6066" w:rsidRPr="009C6E15" w14:paraId="5634B239" w14:textId="77777777" w:rsidTr="006F415F">
        <w:trPr>
          <w:trHeight w:val="355"/>
        </w:trPr>
        <w:tc>
          <w:tcPr>
            <w:tcW w:w="3780" w:type="dxa"/>
            <w:tcBorders>
              <w:top w:val="single" w:sz="4" w:space="0" w:color="000000"/>
              <w:left w:val="nil"/>
              <w:bottom w:val="single" w:sz="12" w:space="0" w:color="000000"/>
              <w:right w:val="nil"/>
            </w:tcBorders>
            <w:vAlign w:val="center"/>
          </w:tcPr>
          <w:p w14:paraId="3F999C42" w14:textId="2BB5BD2E" w:rsidR="00DE6066" w:rsidRPr="009C6E15" w:rsidRDefault="00DE6066" w:rsidP="00DE6066">
            <w:pPr>
              <w:pBdr>
                <w:top w:val="nil"/>
                <w:left w:val="nil"/>
                <w:bottom w:val="nil"/>
                <w:right w:val="nil"/>
                <w:between w:val="nil"/>
              </w:pBdr>
              <w:rPr>
                <w:color w:val="000000"/>
                <w:sz w:val="18"/>
                <w:szCs w:val="18"/>
              </w:rPr>
            </w:pPr>
            <w:r w:rsidRPr="009C6E15">
              <w:rPr>
                <w:color w:val="000000"/>
                <w:sz w:val="18"/>
                <w:szCs w:val="18"/>
              </w:rPr>
              <w:t>Total tax</w:t>
            </w:r>
            <w:r w:rsidR="00770AC5">
              <w:rPr>
                <w:color w:val="000000"/>
                <w:sz w:val="18"/>
                <w:szCs w:val="18"/>
              </w:rPr>
              <w:t xml:space="preserve"> (expense) </w:t>
            </w:r>
            <w:r w:rsidRPr="009C6E15">
              <w:rPr>
                <w:color w:val="000000"/>
                <w:sz w:val="18"/>
                <w:szCs w:val="18"/>
              </w:rPr>
              <w:t>recovery ($)</w:t>
            </w:r>
          </w:p>
        </w:tc>
        <w:tc>
          <w:tcPr>
            <w:tcW w:w="281" w:type="dxa"/>
            <w:tcBorders>
              <w:top w:val="single" w:sz="4" w:space="0" w:color="000000"/>
              <w:left w:val="nil"/>
              <w:bottom w:val="single" w:sz="12" w:space="0" w:color="000000"/>
              <w:right w:val="nil"/>
            </w:tcBorders>
            <w:vAlign w:val="center"/>
          </w:tcPr>
          <w:p w14:paraId="030C70CA" w14:textId="77777777" w:rsidR="00DE6066" w:rsidRPr="009C6E15" w:rsidRDefault="00DE6066" w:rsidP="00DE6066">
            <w:pPr>
              <w:pBdr>
                <w:top w:val="nil"/>
                <w:left w:val="nil"/>
                <w:bottom w:val="nil"/>
                <w:right w:val="nil"/>
                <w:between w:val="nil"/>
              </w:pBdr>
              <w:ind w:right="72"/>
              <w:jc w:val="right"/>
              <w:rPr>
                <w:color w:val="000000"/>
                <w:sz w:val="18"/>
                <w:szCs w:val="18"/>
              </w:rPr>
            </w:pPr>
          </w:p>
        </w:tc>
        <w:tc>
          <w:tcPr>
            <w:tcW w:w="1369" w:type="dxa"/>
            <w:tcBorders>
              <w:top w:val="single" w:sz="4" w:space="0" w:color="000000"/>
              <w:left w:val="nil"/>
              <w:bottom w:val="single" w:sz="12" w:space="0" w:color="000000"/>
              <w:right w:val="nil"/>
            </w:tcBorders>
            <w:vAlign w:val="center"/>
          </w:tcPr>
          <w:p w14:paraId="0F4F9C93" w14:textId="78A3DA3E" w:rsidR="00DE6066" w:rsidDel="008E7CB5" w:rsidRDefault="00770AC5" w:rsidP="00DE6066">
            <w:pPr>
              <w:pBdr>
                <w:top w:val="nil"/>
                <w:left w:val="nil"/>
                <w:bottom w:val="nil"/>
                <w:right w:val="nil"/>
                <w:between w:val="nil"/>
              </w:pBdr>
              <w:ind w:right="30"/>
              <w:jc w:val="right"/>
              <w:rPr>
                <w:color w:val="000000"/>
                <w:sz w:val="18"/>
                <w:szCs w:val="18"/>
              </w:rPr>
            </w:pPr>
            <w:r>
              <w:rPr>
                <w:color w:val="000000"/>
                <w:sz w:val="18"/>
                <w:szCs w:val="18"/>
              </w:rPr>
              <w:t>(38,350)</w:t>
            </w:r>
          </w:p>
        </w:tc>
        <w:tc>
          <w:tcPr>
            <w:tcW w:w="1370" w:type="dxa"/>
            <w:tcBorders>
              <w:top w:val="single" w:sz="4" w:space="0" w:color="000000"/>
              <w:left w:val="nil"/>
              <w:bottom w:val="single" w:sz="12" w:space="0" w:color="000000"/>
              <w:right w:val="nil"/>
            </w:tcBorders>
            <w:vAlign w:val="center"/>
          </w:tcPr>
          <w:p w14:paraId="7C3666CD" w14:textId="08843094" w:rsidR="00DE6066" w:rsidRDefault="00DE6066" w:rsidP="00DE6066">
            <w:pPr>
              <w:pBdr>
                <w:top w:val="nil"/>
                <w:left w:val="nil"/>
                <w:bottom w:val="nil"/>
                <w:right w:val="nil"/>
                <w:between w:val="nil"/>
              </w:pBdr>
              <w:ind w:right="30"/>
              <w:jc w:val="right"/>
              <w:rPr>
                <w:rFonts w:cs="Arial"/>
                <w:color w:val="000000"/>
                <w:sz w:val="18"/>
                <w:szCs w:val="18"/>
              </w:rPr>
            </w:pPr>
            <w:r w:rsidRPr="00385458">
              <w:rPr>
                <w:color w:val="000000"/>
                <w:sz w:val="18"/>
                <w:szCs w:val="18"/>
              </w:rPr>
              <w:t>3,357,090</w:t>
            </w:r>
          </w:p>
        </w:tc>
        <w:tc>
          <w:tcPr>
            <w:tcW w:w="1370" w:type="dxa"/>
            <w:tcBorders>
              <w:top w:val="single" w:sz="4" w:space="0" w:color="000000"/>
              <w:left w:val="nil"/>
              <w:bottom w:val="single" w:sz="12" w:space="0" w:color="000000"/>
              <w:right w:val="nil"/>
            </w:tcBorders>
            <w:vAlign w:val="center"/>
          </w:tcPr>
          <w:p w14:paraId="4E12CE8B" w14:textId="4161B185" w:rsidR="00DE6066" w:rsidRPr="00806EBE" w:rsidDel="008E7CB5" w:rsidRDefault="00770AC5" w:rsidP="00DE6066">
            <w:pPr>
              <w:pBdr>
                <w:top w:val="nil"/>
                <w:left w:val="nil"/>
                <w:bottom w:val="nil"/>
                <w:right w:val="nil"/>
                <w:between w:val="nil"/>
              </w:pBdr>
              <w:ind w:right="117"/>
              <w:jc w:val="right"/>
              <w:rPr>
                <w:color w:val="000000"/>
                <w:sz w:val="18"/>
                <w:szCs w:val="18"/>
              </w:rPr>
            </w:pPr>
            <w:r>
              <w:rPr>
                <w:color w:val="000000"/>
                <w:sz w:val="18"/>
                <w:szCs w:val="18"/>
              </w:rPr>
              <w:t>5,264,372</w:t>
            </w:r>
          </w:p>
        </w:tc>
        <w:tc>
          <w:tcPr>
            <w:tcW w:w="1370" w:type="dxa"/>
            <w:tcBorders>
              <w:top w:val="single" w:sz="4" w:space="0" w:color="000000"/>
              <w:left w:val="nil"/>
              <w:bottom w:val="single" w:sz="12" w:space="0" w:color="000000"/>
              <w:right w:val="nil"/>
            </w:tcBorders>
            <w:vAlign w:val="center"/>
          </w:tcPr>
          <w:p w14:paraId="428A7EF1" w14:textId="0DD2D4F1" w:rsidR="00DE6066" w:rsidRDefault="00DE6066" w:rsidP="00DE6066">
            <w:pPr>
              <w:pBdr>
                <w:top w:val="nil"/>
                <w:left w:val="nil"/>
                <w:bottom w:val="nil"/>
                <w:right w:val="nil"/>
                <w:between w:val="nil"/>
              </w:pBdr>
              <w:ind w:right="79"/>
              <w:jc w:val="right"/>
              <w:rPr>
                <w:rFonts w:cs="Arial"/>
                <w:color w:val="000000"/>
                <w:sz w:val="18"/>
                <w:szCs w:val="18"/>
              </w:rPr>
            </w:pPr>
            <w:r w:rsidRPr="00385458">
              <w:rPr>
                <w:sz w:val="18"/>
                <w:szCs w:val="18"/>
              </w:rPr>
              <w:t xml:space="preserve"> 6,511,155</w:t>
            </w:r>
          </w:p>
        </w:tc>
      </w:tr>
    </w:tbl>
    <w:p w14:paraId="323E6F68" w14:textId="4137F5E8" w:rsidR="005009D5" w:rsidRDefault="00D433F6" w:rsidP="005009D5">
      <w:pPr>
        <w:autoSpaceDE w:val="0"/>
        <w:autoSpaceDN w:val="0"/>
        <w:adjustRightInd w:val="0"/>
        <w:spacing w:before="120"/>
        <w:jc w:val="both"/>
        <w:rPr>
          <w:rFonts w:cs="Arial"/>
          <w:color w:val="000000"/>
        </w:rPr>
      </w:pPr>
      <w:bookmarkStart w:id="14" w:name="_Hlk166239104"/>
      <w:r>
        <w:rPr>
          <w:rFonts w:cs="Arial"/>
          <w:color w:val="000000"/>
        </w:rPr>
        <w:t>CPESA</w:t>
      </w:r>
      <w:r w:rsidR="00262163" w:rsidRPr="00262163">
        <w:rPr>
          <w:rFonts w:cs="Arial"/>
          <w:color w:val="000000"/>
        </w:rPr>
        <w:t xml:space="preserve"> has sufficient non-capital loss and other tax pools available to reduce taxable income in Argentina to $nil. The deferred tax recovery reported </w:t>
      </w:r>
      <w:r w:rsidR="00262163">
        <w:rPr>
          <w:rFonts w:cs="Arial"/>
          <w:color w:val="000000"/>
        </w:rPr>
        <w:t xml:space="preserve">in </w:t>
      </w:r>
      <w:r w:rsidR="00655CE8">
        <w:rPr>
          <w:rFonts w:cs="Arial"/>
          <w:color w:val="000000"/>
        </w:rPr>
        <w:t xml:space="preserve">the </w:t>
      </w:r>
      <w:r w:rsidR="00BB26A8">
        <w:rPr>
          <w:rFonts w:cs="Arial"/>
          <w:color w:val="000000"/>
        </w:rPr>
        <w:t xml:space="preserve">six months ended June 30, </w:t>
      </w:r>
      <w:proofErr w:type="gramStart"/>
      <w:r w:rsidR="00655CE8">
        <w:rPr>
          <w:rFonts w:cs="Arial"/>
          <w:color w:val="000000"/>
        </w:rPr>
        <w:t>2026</w:t>
      </w:r>
      <w:proofErr w:type="gramEnd"/>
      <w:r w:rsidR="00655CE8">
        <w:rPr>
          <w:rFonts w:cs="Arial"/>
          <w:color w:val="000000"/>
        </w:rPr>
        <w:t xml:space="preserve"> </w:t>
      </w:r>
      <w:r w:rsidR="00262163" w:rsidRPr="00262163">
        <w:rPr>
          <w:rFonts w:cs="Arial"/>
          <w:color w:val="000000"/>
        </w:rPr>
        <w:t xml:space="preserve">is mainly related </w:t>
      </w:r>
      <w:r w:rsidR="005009D5">
        <w:rPr>
          <w:rFonts w:cs="Arial"/>
          <w:color w:val="000000"/>
        </w:rPr>
        <w:t>to</w:t>
      </w:r>
      <w:r w:rsidR="00262163" w:rsidRPr="00262163">
        <w:rPr>
          <w:rFonts w:cs="Arial"/>
          <w:color w:val="000000"/>
        </w:rPr>
        <w:t xml:space="preserve"> changes in the Company’s ARS denominated tax pools.</w:t>
      </w:r>
      <w:r w:rsidR="005009D5">
        <w:rPr>
          <w:rFonts w:cs="Arial"/>
          <w:color w:val="000000"/>
        </w:rPr>
        <w:t xml:space="preserve"> </w:t>
      </w:r>
      <w:r w:rsidR="005009D5" w:rsidRPr="00262163">
        <w:rPr>
          <w:rFonts w:cs="Arial"/>
          <w:color w:val="000000"/>
        </w:rPr>
        <w:t xml:space="preserve">The deferred tax recovery reported </w:t>
      </w:r>
      <w:r w:rsidR="005009D5">
        <w:rPr>
          <w:rFonts w:cs="Arial"/>
          <w:color w:val="000000"/>
        </w:rPr>
        <w:t xml:space="preserve">in </w:t>
      </w:r>
      <w:r w:rsidR="00655CE8">
        <w:rPr>
          <w:rFonts w:cs="Arial"/>
          <w:color w:val="000000"/>
        </w:rPr>
        <w:t>the 2025 periods</w:t>
      </w:r>
      <w:r w:rsidR="005009D5">
        <w:rPr>
          <w:rFonts w:cs="Arial"/>
          <w:color w:val="000000"/>
        </w:rPr>
        <w:t xml:space="preserve"> is mainly due </w:t>
      </w:r>
      <w:r w:rsidR="005009D5" w:rsidRPr="005009D5">
        <w:rPr>
          <w:rFonts w:cs="Arial"/>
          <w:color w:val="000000"/>
        </w:rPr>
        <w:t>to the increase in tax losses combined with changes in the Company’s ARS denominated tax pools.</w:t>
      </w:r>
    </w:p>
    <w:bookmarkEnd w:id="14"/>
    <w:p w14:paraId="6015D50E" w14:textId="77777777" w:rsidR="00D15F35" w:rsidRPr="00D15F35" w:rsidRDefault="00D15F35" w:rsidP="00591EC8">
      <w:pPr>
        <w:rPr>
          <w:rFonts w:cs="Arial"/>
          <w:b/>
          <w:bCs/>
          <w:caps/>
          <w:color w:val="000000"/>
          <w:sz w:val="10"/>
          <w:szCs w:val="10"/>
        </w:rPr>
      </w:pPr>
    </w:p>
    <w:p w14:paraId="279CDC45" w14:textId="26993F15" w:rsidR="00FE1AC0" w:rsidRDefault="006044F5" w:rsidP="00591EC8">
      <w:pPr>
        <w:rPr>
          <w:rFonts w:cs="Arial"/>
          <w:b/>
          <w:bCs/>
          <w:caps/>
          <w:color w:val="000000"/>
          <w:sz w:val="24"/>
          <w:szCs w:val="24"/>
        </w:rPr>
      </w:pPr>
      <w:r>
        <w:rPr>
          <w:rFonts w:cs="Arial"/>
          <w:b/>
          <w:bCs/>
          <w:caps/>
          <w:color w:val="000000"/>
          <w:sz w:val="24"/>
          <w:szCs w:val="24"/>
        </w:rPr>
        <w:t>Capital expenditures</w:t>
      </w:r>
    </w:p>
    <w:p w14:paraId="190DCF14" w14:textId="1502E735" w:rsidR="00F5756D" w:rsidRDefault="006F415F" w:rsidP="00591EC8">
      <w:pPr>
        <w:spacing w:before="120" w:after="120"/>
        <w:jc w:val="both"/>
        <w:rPr>
          <w:bCs/>
        </w:rPr>
      </w:pPr>
      <w:r>
        <w:rPr>
          <w:bCs/>
        </w:rPr>
        <w:t>T</w:t>
      </w:r>
      <w:r w:rsidR="00F5756D">
        <w:rPr>
          <w:bCs/>
        </w:rPr>
        <w:t xml:space="preserve">he Company recognized the following additions to property and equipment assets during </w:t>
      </w:r>
      <w:r w:rsidR="00655CE8">
        <w:rPr>
          <w:bCs/>
        </w:rPr>
        <w:t>the June 2026 period and the June 2025 period</w:t>
      </w:r>
      <w:r w:rsidR="00F5756D">
        <w:rPr>
          <w:bCs/>
        </w:rPr>
        <w:t xml:space="preserve">:  </w:t>
      </w:r>
    </w:p>
    <w:tbl>
      <w:tblPr>
        <w:tblW w:w="9572" w:type="dxa"/>
        <w:tblLayout w:type="fixed"/>
        <w:tblLook w:val="04A0" w:firstRow="1" w:lastRow="0" w:firstColumn="1" w:lastColumn="0" w:noHBand="0" w:noVBand="1"/>
      </w:tblPr>
      <w:tblGrid>
        <w:gridCol w:w="4536"/>
        <w:gridCol w:w="241"/>
        <w:gridCol w:w="1374"/>
        <w:gridCol w:w="653"/>
        <w:gridCol w:w="1429"/>
        <w:gridCol w:w="1339"/>
      </w:tblGrid>
      <w:tr w:rsidR="00E91EF5" w14:paraId="108AAE0C" w14:textId="77777777" w:rsidTr="001F1867">
        <w:trPr>
          <w:trHeight w:val="152"/>
        </w:trPr>
        <w:tc>
          <w:tcPr>
            <w:tcW w:w="4536" w:type="dxa"/>
            <w:tcBorders>
              <w:top w:val="single" w:sz="12" w:space="0" w:color="auto"/>
            </w:tcBorders>
          </w:tcPr>
          <w:p w14:paraId="41CDE152" w14:textId="77777777" w:rsidR="00E91EF5" w:rsidRPr="006F415F" w:rsidRDefault="00E91EF5" w:rsidP="00E91EF5">
            <w:pPr>
              <w:pStyle w:val="BodyText"/>
              <w:widowControl w:val="0"/>
              <w:spacing w:before="60"/>
              <w:rPr>
                <w:rFonts w:cs="Arial"/>
                <w:b/>
                <w:color w:val="000000"/>
                <w:sz w:val="16"/>
                <w:szCs w:val="16"/>
              </w:rPr>
            </w:pPr>
          </w:p>
        </w:tc>
        <w:tc>
          <w:tcPr>
            <w:tcW w:w="241" w:type="dxa"/>
            <w:tcBorders>
              <w:top w:val="single" w:sz="12" w:space="0" w:color="auto"/>
            </w:tcBorders>
            <w:vAlign w:val="bottom"/>
          </w:tcPr>
          <w:p w14:paraId="1249E354" w14:textId="77777777" w:rsidR="00E91EF5" w:rsidRPr="006F415F" w:rsidRDefault="00E91EF5" w:rsidP="00E91EF5">
            <w:pPr>
              <w:pStyle w:val="BodyText"/>
              <w:widowControl w:val="0"/>
              <w:spacing w:before="60"/>
              <w:jc w:val="center"/>
              <w:rPr>
                <w:rFonts w:cs="Arial"/>
                <w:b/>
                <w:color w:val="000000"/>
                <w:sz w:val="16"/>
                <w:szCs w:val="16"/>
              </w:rPr>
            </w:pPr>
          </w:p>
        </w:tc>
        <w:tc>
          <w:tcPr>
            <w:tcW w:w="2027" w:type="dxa"/>
            <w:gridSpan w:val="2"/>
            <w:tcBorders>
              <w:top w:val="single" w:sz="12" w:space="0" w:color="auto"/>
            </w:tcBorders>
            <w:vAlign w:val="bottom"/>
          </w:tcPr>
          <w:p w14:paraId="37A2CD81" w14:textId="77777777" w:rsidR="00E91EF5" w:rsidRPr="006F415F" w:rsidRDefault="00E91EF5" w:rsidP="00E91EF5">
            <w:pPr>
              <w:pStyle w:val="BodyText"/>
              <w:widowControl w:val="0"/>
              <w:spacing w:before="60"/>
              <w:jc w:val="center"/>
              <w:rPr>
                <w:rFonts w:cs="Arial"/>
                <w:b/>
                <w:sz w:val="16"/>
                <w:szCs w:val="16"/>
              </w:rPr>
            </w:pPr>
          </w:p>
        </w:tc>
        <w:tc>
          <w:tcPr>
            <w:tcW w:w="2768" w:type="dxa"/>
            <w:gridSpan w:val="2"/>
            <w:tcBorders>
              <w:top w:val="single" w:sz="12" w:space="0" w:color="auto"/>
            </w:tcBorders>
            <w:vAlign w:val="bottom"/>
          </w:tcPr>
          <w:p w14:paraId="7BB2AC58" w14:textId="06A6B0B4" w:rsidR="00E91EF5" w:rsidRPr="006F415F" w:rsidRDefault="00E91EF5" w:rsidP="00E91EF5">
            <w:pPr>
              <w:pStyle w:val="BodyText"/>
              <w:widowControl w:val="0"/>
              <w:spacing w:before="60"/>
              <w:jc w:val="center"/>
              <w:rPr>
                <w:rFonts w:cs="Arial"/>
                <w:b/>
                <w:sz w:val="16"/>
                <w:szCs w:val="16"/>
              </w:rPr>
            </w:pPr>
            <w:r>
              <w:rPr>
                <w:rFonts w:cs="Arial"/>
                <w:b/>
                <w:sz w:val="16"/>
                <w:szCs w:val="16"/>
              </w:rPr>
              <w:t>Six months ended</w:t>
            </w:r>
          </w:p>
        </w:tc>
      </w:tr>
      <w:tr w:rsidR="00E91EF5" w14:paraId="48123266" w14:textId="77777777" w:rsidTr="00D9210B">
        <w:trPr>
          <w:trHeight w:val="199"/>
        </w:trPr>
        <w:tc>
          <w:tcPr>
            <w:tcW w:w="4536" w:type="dxa"/>
          </w:tcPr>
          <w:p w14:paraId="3343C26D" w14:textId="77777777" w:rsidR="00E91EF5" w:rsidRPr="009B4CF9" w:rsidRDefault="00E91EF5" w:rsidP="00E91EF5">
            <w:pPr>
              <w:pStyle w:val="BodyText"/>
              <w:widowControl w:val="0"/>
              <w:rPr>
                <w:rFonts w:cs="Arial"/>
                <w:color w:val="000000"/>
                <w:sz w:val="18"/>
                <w:szCs w:val="18"/>
              </w:rPr>
            </w:pPr>
          </w:p>
        </w:tc>
        <w:tc>
          <w:tcPr>
            <w:tcW w:w="241" w:type="dxa"/>
            <w:vAlign w:val="bottom"/>
          </w:tcPr>
          <w:p w14:paraId="49868EB0" w14:textId="77777777" w:rsidR="00E91EF5" w:rsidRPr="009B4CF9" w:rsidRDefault="00E91EF5" w:rsidP="00E91EF5">
            <w:pPr>
              <w:pStyle w:val="BodyText"/>
              <w:widowControl w:val="0"/>
              <w:ind w:left="-108" w:right="-108"/>
              <w:jc w:val="center"/>
              <w:rPr>
                <w:rFonts w:cs="Arial"/>
                <w:b/>
                <w:color w:val="000000"/>
                <w:sz w:val="18"/>
                <w:szCs w:val="18"/>
              </w:rPr>
            </w:pPr>
          </w:p>
        </w:tc>
        <w:tc>
          <w:tcPr>
            <w:tcW w:w="2027" w:type="dxa"/>
            <w:gridSpan w:val="2"/>
            <w:vAlign w:val="bottom"/>
          </w:tcPr>
          <w:p w14:paraId="4A1CCD87" w14:textId="77777777" w:rsidR="00E91EF5" w:rsidRPr="009B4CF9" w:rsidRDefault="00E91EF5" w:rsidP="00E91EF5">
            <w:pPr>
              <w:pStyle w:val="BodyText"/>
              <w:widowControl w:val="0"/>
              <w:jc w:val="center"/>
              <w:rPr>
                <w:rFonts w:cs="Arial"/>
                <w:b/>
                <w:sz w:val="18"/>
                <w:szCs w:val="18"/>
              </w:rPr>
            </w:pPr>
          </w:p>
        </w:tc>
        <w:tc>
          <w:tcPr>
            <w:tcW w:w="2768" w:type="dxa"/>
            <w:gridSpan w:val="2"/>
            <w:vAlign w:val="bottom"/>
          </w:tcPr>
          <w:p w14:paraId="4E059AD8" w14:textId="76DB4C34" w:rsidR="00E91EF5" w:rsidRPr="009B4CF9" w:rsidRDefault="00E91EF5" w:rsidP="00E91EF5">
            <w:pPr>
              <w:pStyle w:val="BodyText"/>
              <w:widowControl w:val="0"/>
              <w:jc w:val="center"/>
              <w:rPr>
                <w:rFonts w:cs="Arial"/>
                <w:b/>
                <w:sz w:val="18"/>
                <w:szCs w:val="18"/>
              </w:rPr>
            </w:pPr>
            <w:r>
              <w:rPr>
                <w:rFonts w:cs="Arial"/>
                <w:b/>
                <w:sz w:val="16"/>
                <w:szCs w:val="16"/>
              </w:rPr>
              <w:t>June 30</w:t>
            </w:r>
          </w:p>
        </w:tc>
      </w:tr>
      <w:tr w:rsidR="00E91EF5" w14:paraId="61862227" w14:textId="77777777" w:rsidTr="00D9210B">
        <w:trPr>
          <w:trHeight w:val="184"/>
        </w:trPr>
        <w:tc>
          <w:tcPr>
            <w:tcW w:w="4536" w:type="dxa"/>
            <w:tcBorders>
              <w:bottom w:val="single" w:sz="4" w:space="0" w:color="auto"/>
            </w:tcBorders>
          </w:tcPr>
          <w:p w14:paraId="7D245C67" w14:textId="77777777" w:rsidR="00E91EF5" w:rsidRPr="009B4CF9" w:rsidRDefault="00E91EF5" w:rsidP="00E91EF5">
            <w:pPr>
              <w:pStyle w:val="BodyText"/>
              <w:widowControl w:val="0"/>
              <w:rPr>
                <w:rFonts w:cs="Arial"/>
                <w:color w:val="000000"/>
                <w:sz w:val="18"/>
                <w:szCs w:val="18"/>
              </w:rPr>
            </w:pPr>
          </w:p>
        </w:tc>
        <w:tc>
          <w:tcPr>
            <w:tcW w:w="241" w:type="dxa"/>
            <w:tcBorders>
              <w:bottom w:val="single" w:sz="4" w:space="0" w:color="auto"/>
            </w:tcBorders>
            <w:vAlign w:val="bottom"/>
          </w:tcPr>
          <w:p w14:paraId="76F9C417" w14:textId="77777777" w:rsidR="00E91EF5" w:rsidRPr="009B4CF9" w:rsidRDefault="00E91EF5" w:rsidP="00E91EF5">
            <w:pPr>
              <w:pStyle w:val="BodyText"/>
              <w:widowControl w:val="0"/>
              <w:jc w:val="center"/>
              <w:rPr>
                <w:rFonts w:cs="Arial"/>
                <w:b/>
                <w:color w:val="000000"/>
                <w:sz w:val="18"/>
                <w:szCs w:val="18"/>
              </w:rPr>
            </w:pPr>
          </w:p>
        </w:tc>
        <w:tc>
          <w:tcPr>
            <w:tcW w:w="1374" w:type="dxa"/>
            <w:tcBorders>
              <w:bottom w:val="single" w:sz="4" w:space="0" w:color="auto"/>
            </w:tcBorders>
            <w:vAlign w:val="bottom"/>
          </w:tcPr>
          <w:p w14:paraId="66E49D1D" w14:textId="77777777" w:rsidR="00E91EF5" w:rsidRPr="009B4CF9" w:rsidRDefault="00E91EF5" w:rsidP="00E91EF5">
            <w:pPr>
              <w:pStyle w:val="BodyText"/>
              <w:widowControl w:val="0"/>
              <w:jc w:val="center"/>
              <w:rPr>
                <w:rFonts w:cs="Arial"/>
                <w:b/>
                <w:sz w:val="18"/>
                <w:szCs w:val="18"/>
              </w:rPr>
            </w:pPr>
          </w:p>
        </w:tc>
        <w:tc>
          <w:tcPr>
            <w:tcW w:w="653" w:type="dxa"/>
            <w:tcBorders>
              <w:bottom w:val="single" w:sz="4" w:space="0" w:color="auto"/>
            </w:tcBorders>
            <w:vAlign w:val="bottom"/>
          </w:tcPr>
          <w:p w14:paraId="6B6C5DFD" w14:textId="77777777" w:rsidR="00E91EF5" w:rsidRPr="009B4CF9" w:rsidRDefault="00E91EF5" w:rsidP="00E91EF5">
            <w:pPr>
              <w:pStyle w:val="BodyText"/>
              <w:widowControl w:val="0"/>
              <w:jc w:val="center"/>
              <w:rPr>
                <w:rFonts w:cs="Arial"/>
                <w:b/>
                <w:sz w:val="18"/>
                <w:szCs w:val="18"/>
              </w:rPr>
            </w:pPr>
          </w:p>
        </w:tc>
        <w:tc>
          <w:tcPr>
            <w:tcW w:w="1429" w:type="dxa"/>
            <w:tcBorders>
              <w:bottom w:val="single" w:sz="4" w:space="0" w:color="auto"/>
            </w:tcBorders>
            <w:vAlign w:val="bottom"/>
          </w:tcPr>
          <w:p w14:paraId="375EA7CD" w14:textId="221BA18C" w:rsidR="00E91EF5" w:rsidRPr="009B4CF9" w:rsidRDefault="00E91EF5" w:rsidP="00E91EF5">
            <w:pPr>
              <w:pStyle w:val="BodyText"/>
              <w:widowControl w:val="0"/>
              <w:jc w:val="center"/>
              <w:rPr>
                <w:rFonts w:cs="Arial"/>
                <w:b/>
                <w:sz w:val="18"/>
                <w:szCs w:val="18"/>
              </w:rPr>
            </w:pPr>
            <w:r>
              <w:rPr>
                <w:b/>
                <w:color w:val="000000"/>
                <w:sz w:val="16"/>
                <w:szCs w:val="16"/>
              </w:rPr>
              <w:t>2026</w:t>
            </w:r>
          </w:p>
        </w:tc>
        <w:tc>
          <w:tcPr>
            <w:tcW w:w="1339" w:type="dxa"/>
            <w:tcBorders>
              <w:bottom w:val="single" w:sz="4" w:space="0" w:color="auto"/>
            </w:tcBorders>
            <w:vAlign w:val="bottom"/>
          </w:tcPr>
          <w:p w14:paraId="455824BC" w14:textId="467868B8" w:rsidR="00E91EF5" w:rsidRPr="009B4CF9" w:rsidRDefault="00E91EF5" w:rsidP="00E91EF5">
            <w:pPr>
              <w:pStyle w:val="BodyText"/>
              <w:widowControl w:val="0"/>
              <w:jc w:val="center"/>
              <w:rPr>
                <w:rFonts w:cs="Arial"/>
                <w:b/>
                <w:sz w:val="18"/>
                <w:szCs w:val="18"/>
              </w:rPr>
            </w:pPr>
            <w:r>
              <w:rPr>
                <w:b/>
                <w:color w:val="000000"/>
                <w:sz w:val="16"/>
                <w:szCs w:val="16"/>
              </w:rPr>
              <w:t>2025</w:t>
            </w:r>
          </w:p>
        </w:tc>
      </w:tr>
      <w:tr w:rsidR="00DE6066" w14:paraId="480E660C" w14:textId="77777777">
        <w:tblPrEx>
          <w:tblLook w:val="01E0" w:firstRow="1" w:lastRow="1" w:firstColumn="1" w:lastColumn="1" w:noHBand="0" w:noVBand="0"/>
        </w:tblPrEx>
        <w:trPr>
          <w:trHeight w:val="240"/>
        </w:trPr>
        <w:tc>
          <w:tcPr>
            <w:tcW w:w="4536" w:type="dxa"/>
            <w:tcBorders>
              <w:top w:val="single" w:sz="4" w:space="0" w:color="auto"/>
            </w:tcBorders>
            <w:vAlign w:val="bottom"/>
          </w:tcPr>
          <w:p w14:paraId="71D9148C" w14:textId="6AA2F849" w:rsidR="00DE6066" w:rsidRPr="009B4CF9" w:rsidRDefault="00DE6066" w:rsidP="00DE6066">
            <w:pPr>
              <w:pStyle w:val="BodyText"/>
              <w:widowControl w:val="0"/>
              <w:spacing w:before="60"/>
              <w:jc w:val="left"/>
              <w:rPr>
                <w:rFonts w:cs="Arial"/>
                <w:b/>
                <w:color w:val="000000"/>
                <w:sz w:val="18"/>
                <w:szCs w:val="18"/>
              </w:rPr>
            </w:pPr>
            <w:r>
              <w:rPr>
                <w:rFonts w:cs="Arial"/>
                <w:color w:val="000000"/>
                <w:sz w:val="18"/>
                <w:szCs w:val="18"/>
              </w:rPr>
              <w:t>Development and production asset expenditures ($)</w:t>
            </w:r>
          </w:p>
        </w:tc>
        <w:tc>
          <w:tcPr>
            <w:tcW w:w="241" w:type="dxa"/>
            <w:tcBorders>
              <w:top w:val="single" w:sz="4" w:space="0" w:color="auto"/>
            </w:tcBorders>
            <w:vAlign w:val="bottom"/>
          </w:tcPr>
          <w:p w14:paraId="2FF62BA8" w14:textId="77777777" w:rsidR="00DE6066" w:rsidRPr="009B4CF9" w:rsidRDefault="00DE6066" w:rsidP="00DE6066">
            <w:pPr>
              <w:pStyle w:val="BodyText2"/>
              <w:spacing w:before="60"/>
              <w:ind w:right="72"/>
              <w:jc w:val="right"/>
              <w:rPr>
                <w:rFonts w:cs="Arial"/>
                <w:color w:val="000000"/>
                <w:sz w:val="18"/>
                <w:szCs w:val="18"/>
              </w:rPr>
            </w:pPr>
          </w:p>
        </w:tc>
        <w:tc>
          <w:tcPr>
            <w:tcW w:w="1374" w:type="dxa"/>
            <w:tcBorders>
              <w:top w:val="single" w:sz="4" w:space="0" w:color="auto"/>
            </w:tcBorders>
            <w:vAlign w:val="bottom"/>
          </w:tcPr>
          <w:p w14:paraId="11F59BFC" w14:textId="77777777" w:rsidR="00DE6066" w:rsidRPr="009B4CF9" w:rsidRDefault="00DE6066" w:rsidP="00DE6066">
            <w:pPr>
              <w:pStyle w:val="BodyText2"/>
              <w:spacing w:before="60"/>
              <w:ind w:right="72"/>
              <w:jc w:val="right"/>
              <w:rPr>
                <w:rFonts w:cs="Arial"/>
                <w:color w:val="000000"/>
                <w:sz w:val="18"/>
                <w:szCs w:val="18"/>
              </w:rPr>
            </w:pPr>
          </w:p>
        </w:tc>
        <w:tc>
          <w:tcPr>
            <w:tcW w:w="653" w:type="dxa"/>
            <w:tcBorders>
              <w:top w:val="single" w:sz="4" w:space="0" w:color="auto"/>
            </w:tcBorders>
            <w:vAlign w:val="bottom"/>
          </w:tcPr>
          <w:p w14:paraId="166DBEC2" w14:textId="77777777" w:rsidR="00DE6066" w:rsidRPr="009B4CF9" w:rsidRDefault="00DE6066" w:rsidP="00DE6066">
            <w:pPr>
              <w:pStyle w:val="BodyText2"/>
              <w:spacing w:before="60"/>
              <w:ind w:right="72"/>
              <w:jc w:val="right"/>
              <w:rPr>
                <w:rFonts w:cs="Arial"/>
                <w:color w:val="000000"/>
                <w:sz w:val="18"/>
                <w:szCs w:val="18"/>
              </w:rPr>
            </w:pPr>
          </w:p>
        </w:tc>
        <w:tc>
          <w:tcPr>
            <w:tcW w:w="1429" w:type="dxa"/>
            <w:tcBorders>
              <w:top w:val="single" w:sz="4" w:space="0" w:color="auto"/>
            </w:tcBorders>
            <w:vAlign w:val="bottom"/>
          </w:tcPr>
          <w:p w14:paraId="0B3BD266" w14:textId="20CB3348" w:rsidR="00DE6066" w:rsidRPr="00806EBE" w:rsidRDefault="0051003D" w:rsidP="00DE6066">
            <w:pPr>
              <w:pStyle w:val="BodyText2"/>
              <w:tabs>
                <w:tab w:val="decimal" w:pos="980"/>
              </w:tabs>
              <w:spacing w:before="60"/>
              <w:ind w:right="102"/>
              <w:jc w:val="left"/>
              <w:rPr>
                <w:rFonts w:cs="Arial"/>
                <w:color w:val="000000"/>
                <w:sz w:val="18"/>
                <w:szCs w:val="18"/>
              </w:rPr>
            </w:pPr>
            <w:r>
              <w:rPr>
                <w:rFonts w:cs="Arial"/>
                <w:color w:val="000000"/>
                <w:sz w:val="18"/>
                <w:szCs w:val="18"/>
              </w:rPr>
              <w:t>9,659,174</w:t>
            </w:r>
          </w:p>
        </w:tc>
        <w:tc>
          <w:tcPr>
            <w:tcW w:w="1339" w:type="dxa"/>
            <w:tcBorders>
              <w:top w:val="single" w:sz="4" w:space="0" w:color="auto"/>
            </w:tcBorders>
          </w:tcPr>
          <w:p w14:paraId="11035632" w14:textId="15211CAC" w:rsidR="00DE6066" w:rsidRPr="006D1DAE" w:rsidRDefault="00DE6066" w:rsidP="00DE6066">
            <w:pPr>
              <w:pStyle w:val="BodyText2"/>
              <w:tabs>
                <w:tab w:val="decimal" w:pos="991"/>
              </w:tabs>
              <w:spacing w:before="60"/>
              <w:ind w:right="102"/>
              <w:jc w:val="left"/>
              <w:rPr>
                <w:rFonts w:cs="Arial"/>
                <w:color w:val="000000"/>
                <w:sz w:val="18"/>
                <w:szCs w:val="18"/>
              </w:rPr>
            </w:pPr>
            <w:r w:rsidRPr="00E11575">
              <w:rPr>
                <w:sz w:val="18"/>
                <w:szCs w:val="18"/>
              </w:rPr>
              <w:t xml:space="preserve"> 4,218,714 </w:t>
            </w:r>
          </w:p>
        </w:tc>
      </w:tr>
      <w:tr w:rsidR="00DE6066" w14:paraId="4FA9A359" w14:textId="77777777" w:rsidTr="00806EBE">
        <w:tblPrEx>
          <w:tblLook w:val="01E0" w:firstRow="1" w:lastRow="1" w:firstColumn="1" w:lastColumn="1" w:noHBand="0" w:noVBand="0"/>
        </w:tblPrEx>
        <w:trPr>
          <w:trHeight w:val="228"/>
        </w:trPr>
        <w:tc>
          <w:tcPr>
            <w:tcW w:w="4536" w:type="dxa"/>
            <w:tcBorders>
              <w:bottom w:val="single" w:sz="4" w:space="0" w:color="auto"/>
            </w:tcBorders>
            <w:vAlign w:val="bottom"/>
          </w:tcPr>
          <w:p w14:paraId="6B6DC8CD" w14:textId="77777777" w:rsidR="00DE6066" w:rsidRPr="009B4CF9" w:rsidRDefault="00DE6066" w:rsidP="00DE6066">
            <w:pPr>
              <w:pStyle w:val="BodyText2"/>
              <w:tabs>
                <w:tab w:val="decimal" w:pos="972"/>
              </w:tabs>
              <w:jc w:val="left"/>
              <w:rPr>
                <w:rFonts w:cs="Arial"/>
                <w:color w:val="000000"/>
                <w:sz w:val="18"/>
                <w:szCs w:val="18"/>
              </w:rPr>
            </w:pPr>
            <w:r>
              <w:rPr>
                <w:rFonts w:cs="Arial"/>
                <w:color w:val="000000"/>
                <w:sz w:val="18"/>
                <w:szCs w:val="18"/>
              </w:rPr>
              <w:t>Other asset expenditures ($)</w:t>
            </w:r>
          </w:p>
        </w:tc>
        <w:tc>
          <w:tcPr>
            <w:tcW w:w="241" w:type="dxa"/>
            <w:tcBorders>
              <w:bottom w:val="single" w:sz="4" w:space="0" w:color="auto"/>
            </w:tcBorders>
            <w:vAlign w:val="bottom"/>
          </w:tcPr>
          <w:p w14:paraId="6DBD56A2" w14:textId="77777777" w:rsidR="00DE6066" w:rsidRPr="009B4CF9" w:rsidRDefault="00DE6066" w:rsidP="00DE6066">
            <w:pPr>
              <w:pStyle w:val="BodyText2"/>
              <w:ind w:right="72"/>
              <w:jc w:val="right"/>
              <w:rPr>
                <w:rFonts w:cs="Arial"/>
                <w:color w:val="000000"/>
                <w:sz w:val="18"/>
                <w:szCs w:val="18"/>
              </w:rPr>
            </w:pPr>
          </w:p>
        </w:tc>
        <w:tc>
          <w:tcPr>
            <w:tcW w:w="1374" w:type="dxa"/>
            <w:tcBorders>
              <w:bottom w:val="single" w:sz="4" w:space="0" w:color="auto"/>
            </w:tcBorders>
            <w:vAlign w:val="bottom"/>
          </w:tcPr>
          <w:p w14:paraId="13B16FED" w14:textId="77777777" w:rsidR="00DE6066" w:rsidRPr="009B4CF9" w:rsidRDefault="00DE6066" w:rsidP="00DE6066">
            <w:pPr>
              <w:pStyle w:val="BodyText2"/>
              <w:ind w:right="72"/>
              <w:jc w:val="right"/>
              <w:rPr>
                <w:rFonts w:cs="Arial"/>
                <w:color w:val="000000"/>
                <w:sz w:val="18"/>
                <w:szCs w:val="18"/>
              </w:rPr>
            </w:pPr>
          </w:p>
        </w:tc>
        <w:tc>
          <w:tcPr>
            <w:tcW w:w="653" w:type="dxa"/>
            <w:tcBorders>
              <w:bottom w:val="single" w:sz="4" w:space="0" w:color="auto"/>
            </w:tcBorders>
            <w:vAlign w:val="bottom"/>
          </w:tcPr>
          <w:p w14:paraId="191FA04E" w14:textId="77777777" w:rsidR="00DE6066" w:rsidRPr="009B4CF9" w:rsidRDefault="00DE6066" w:rsidP="00DE6066">
            <w:pPr>
              <w:pStyle w:val="BodyText2"/>
              <w:ind w:right="72"/>
              <w:jc w:val="right"/>
              <w:rPr>
                <w:rFonts w:cs="Arial"/>
                <w:color w:val="000000"/>
                <w:sz w:val="18"/>
                <w:szCs w:val="18"/>
              </w:rPr>
            </w:pPr>
          </w:p>
        </w:tc>
        <w:tc>
          <w:tcPr>
            <w:tcW w:w="1429" w:type="dxa"/>
            <w:tcBorders>
              <w:bottom w:val="single" w:sz="4" w:space="0" w:color="auto"/>
            </w:tcBorders>
            <w:vAlign w:val="bottom"/>
          </w:tcPr>
          <w:p w14:paraId="6D559591" w14:textId="491B5F8F" w:rsidR="00DE6066" w:rsidRPr="00806EBE" w:rsidRDefault="0051003D" w:rsidP="00DE6066">
            <w:pPr>
              <w:pStyle w:val="BodyText2"/>
              <w:tabs>
                <w:tab w:val="decimal" w:pos="980"/>
              </w:tabs>
              <w:ind w:right="102"/>
              <w:jc w:val="left"/>
              <w:rPr>
                <w:rFonts w:cs="Arial"/>
                <w:color w:val="000000"/>
                <w:sz w:val="18"/>
                <w:szCs w:val="18"/>
              </w:rPr>
            </w:pPr>
            <w:r>
              <w:rPr>
                <w:rFonts w:cs="Arial"/>
                <w:color w:val="000000"/>
                <w:sz w:val="18"/>
                <w:szCs w:val="18"/>
              </w:rPr>
              <w:t>212,784</w:t>
            </w:r>
          </w:p>
        </w:tc>
        <w:tc>
          <w:tcPr>
            <w:tcW w:w="1339" w:type="dxa"/>
            <w:tcBorders>
              <w:bottom w:val="single" w:sz="4" w:space="0" w:color="auto"/>
            </w:tcBorders>
            <w:vAlign w:val="bottom"/>
          </w:tcPr>
          <w:p w14:paraId="0757D597" w14:textId="1BE3737F" w:rsidR="00DE6066" w:rsidRPr="006D1DAE" w:rsidRDefault="00DE6066" w:rsidP="00DE6066">
            <w:pPr>
              <w:pStyle w:val="BodyText2"/>
              <w:tabs>
                <w:tab w:val="decimal" w:pos="991"/>
              </w:tabs>
              <w:ind w:right="102"/>
              <w:jc w:val="left"/>
              <w:rPr>
                <w:rFonts w:cs="Arial"/>
                <w:color w:val="000000"/>
                <w:sz w:val="18"/>
                <w:szCs w:val="18"/>
              </w:rPr>
            </w:pPr>
            <w:r w:rsidRPr="00E11575">
              <w:rPr>
                <w:sz w:val="18"/>
                <w:szCs w:val="18"/>
              </w:rPr>
              <w:t xml:space="preserve"> 387,789 </w:t>
            </w:r>
          </w:p>
        </w:tc>
      </w:tr>
      <w:tr w:rsidR="00DE6066" w14:paraId="22393849" w14:textId="77777777" w:rsidTr="00806EBE">
        <w:tblPrEx>
          <w:tblLook w:val="01E0" w:firstRow="1" w:lastRow="1" w:firstColumn="1" w:lastColumn="1" w:noHBand="0" w:noVBand="0"/>
        </w:tblPrEx>
        <w:trPr>
          <w:trHeight w:val="329"/>
        </w:trPr>
        <w:tc>
          <w:tcPr>
            <w:tcW w:w="4536" w:type="dxa"/>
            <w:tcBorders>
              <w:top w:val="single" w:sz="4" w:space="0" w:color="auto"/>
              <w:bottom w:val="single" w:sz="12" w:space="0" w:color="auto"/>
            </w:tcBorders>
            <w:vAlign w:val="center"/>
          </w:tcPr>
          <w:p w14:paraId="5B33F5AD" w14:textId="5F5AB1E1" w:rsidR="00DE6066" w:rsidRDefault="00DE6066" w:rsidP="00DE6066">
            <w:pPr>
              <w:pStyle w:val="BodyText2"/>
              <w:jc w:val="left"/>
              <w:rPr>
                <w:rFonts w:cs="Arial"/>
                <w:color w:val="000000"/>
                <w:sz w:val="18"/>
                <w:szCs w:val="18"/>
              </w:rPr>
            </w:pPr>
            <w:r>
              <w:rPr>
                <w:rFonts w:cs="Arial"/>
                <w:color w:val="000000"/>
                <w:sz w:val="18"/>
                <w:szCs w:val="18"/>
              </w:rPr>
              <w:t>Property and equipment expenditures ($)</w:t>
            </w:r>
          </w:p>
        </w:tc>
        <w:tc>
          <w:tcPr>
            <w:tcW w:w="241" w:type="dxa"/>
            <w:tcBorders>
              <w:top w:val="single" w:sz="4" w:space="0" w:color="auto"/>
              <w:bottom w:val="single" w:sz="12" w:space="0" w:color="auto"/>
            </w:tcBorders>
            <w:vAlign w:val="center"/>
          </w:tcPr>
          <w:p w14:paraId="7364D2B3" w14:textId="77777777" w:rsidR="00DE6066" w:rsidRPr="009B4CF9" w:rsidRDefault="00DE6066" w:rsidP="00DE6066">
            <w:pPr>
              <w:pStyle w:val="BodyText2"/>
              <w:ind w:right="72"/>
              <w:jc w:val="left"/>
              <w:rPr>
                <w:rFonts w:cs="Arial"/>
                <w:color w:val="000000"/>
                <w:sz w:val="18"/>
                <w:szCs w:val="18"/>
              </w:rPr>
            </w:pPr>
          </w:p>
        </w:tc>
        <w:tc>
          <w:tcPr>
            <w:tcW w:w="1374" w:type="dxa"/>
            <w:tcBorders>
              <w:top w:val="single" w:sz="4" w:space="0" w:color="auto"/>
              <w:bottom w:val="single" w:sz="12" w:space="0" w:color="auto"/>
            </w:tcBorders>
            <w:vAlign w:val="center"/>
          </w:tcPr>
          <w:p w14:paraId="7DF40998" w14:textId="77777777" w:rsidR="00DE6066" w:rsidRPr="009B4CF9" w:rsidRDefault="00DE6066" w:rsidP="00DE6066">
            <w:pPr>
              <w:pStyle w:val="BodyText2"/>
              <w:ind w:right="72"/>
              <w:jc w:val="left"/>
              <w:rPr>
                <w:rFonts w:cs="Arial"/>
                <w:color w:val="000000"/>
                <w:sz w:val="18"/>
                <w:szCs w:val="18"/>
              </w:rPr>
            </w:pPr>
          </w:p>
        </w:tc>
        <w:tc>
          <w:tcPr>
            <w:tcW w:w="653" w:type="dxa"/>
            <w:tcBorders>
              <w:top w:val="single" w:sz="4" w:space="0" w:color="auto"/>
              <w:bottom w:val="single" w:sz="12" w:space="0" w:color="auto"/>
            </w:tcBorders>
            <w:vAlign w:val="center"/>
          </w:tcPr>
          <w:p w14:paraId="16211411" w14:textId="77777777" w:rsidR="00DE6066" w:rsidRPr="009B4CF9" w:rsidRDefault="00DE6066" w:rsidP="00DE6066">
            <w:pPr>
              <w:pStyle w:val="BodyText2"/>
              <w:ind w:right="72"/>
              <w:jc w:val="left"/>
              <w:rPr>
                <w:rFonts w:cs="Arial"/>
                <w:color w:val="000000"/>
                <w:sz w:val="18"/>
                <w:szCs w:val="18"/>
              </w:rPr>
            </w:pPr>
          </w:p>
        </w:tc>
        <w:tc>
          <w:tcPr>
            <w:tcW w:w="1429" w:type="dxa"/>
            <w:tcBorders>
              <w:top w:val="single" w:sz="4" w:space="0" w:color="auto"/>
              <w:bottom w:val="single" w:sz="12" w:space="0" w:color="auto"/>
            </w:tcBorders>
            <w:vAlign w:val="center"/>
          </w:tcPr>
          <w:p w14:paraId="0E0B8FCB" w14:textId="6AE15506" w:rsidR="00DE6066" w:rsidRPr="00806EBE" w:rsidRDefault="0051003D" w:rsidP="00DE6066">
            <w:pPr>
              <w:pStyle w:val="BodyText2"/>
              <w:tabs>
                <w:tab w:val="decimal" w:pos="980"/>
              </w:tabs>
              <w:ind w:right="101"/>
              <w:jc w:val="left"/>
              <w:rPr>
                <w:rFonts w:cs="Arial"/>
                <w:color w:val="000000"/>
                <w:sz w:val="18"/>
                <w:szCs w:val="18"/>
              </w:rPr>
            </w:pPr>
            <w:r>
              <w:rPr>
                <w:rFonts w:cs="Arial"/>
                <w:color w:val="000000"/>
                <w:sz w:val="18"/>
                <w:szCs w:val="18"/>
              </w:rPr>
              <w:t>9,871,958</w:t>
            </w:r>
          </w:p>
        </w:tc>
        <w:tc>
          <w:tcPr>
            <w:tcW w:w="1339" w:type="dxa"/>
            <w:tcBorders>
              <w:top w:val="single" w:sz="4" w:space="0" w:color="auto"/>
              <w:bottom w:val="single" w:sz="12" w:space="0" w:color="auto"/>
            </w:tcBorders>
            <w:vAlign w:val="center"/>
          </w:tcPr>
          <w:p w14:paraId="6C981A63" w14:textId="3207C000" w:rsidR="00DE6066" w:rsidRPr="00EF46C9" w:rsidRDefault="00DE6066" w:rsidP="00DE6066">
            <w:pPr>
              <w:pStyle w:val="BodyText2"/>
              <w:tabs>
                <w:tab w:val="decimal" w:pos="991"/>
              </w:tabs>
              <w:ind w:right="101"/>
              <w:jc w:val="left"/>
              <w:rPr>
                <w:rFonts w:cs="Arial"/>
                <w:color w:val="000000"/>
                <w:sz w:val="18"/>
                <w:szCs w:val="18"/>
              </w:rPr>
            </w:pPr>
            <w:r w:rsidRPr="00806EBE">
              <w:rPr>
                <w:sz w:val="18"/>
                <w:szCs w:val="18"/>
              </w:rPr>
              <w:t xml:space="preserve"> </w:t>
            </w:r>
            <w:r>
              <w:rPr>
                <w:sz w:val="18"/>
                <w:szCs w:val="18"/>
              </w:rPr>
              <w:t>4,606,503</w:t>
            </w:r>
            <w:r w:rsidRPr="00806EBE">
              <w:rPr>
                <w:sz w:val="18"/>
                <w:szCs w:val="18"/>
              </w:rPr>
              <w:t xml:space="preserve"> </w:t>
            </w:r>
          </w:p>
        </w:tc>
      </w:tr>
      <w:tr w:rsidR="00DE6066" w:rsidRPr="00091361" w14:paraId="5C9E7B1F" w14:textId="77777777" w:rsidTr="00091361">
        <w:tblPrEx>
          <w:tblLook w:val="01E0" w:firstRow="1" w:lastRow="1" w:firstColumn="1" w:lastColumn="1" w:noHBand="0" w:noVBand="0"/>
        </w:tblPrEx>
        <w:trPr>
          <w:trHeight w:val="92"/>
        </w:trPr>
        <w:tc>
          <w:tcPr>
            <w:tcW w:w="4536" w:type="dxa"/>
            <w:tcBorders>
              <w:top w:val="single" w:sz="12" w:space="0" w:color="auto"/>
            </w:tcBorders>
            <w:vAlign w:val="center"/>
          </w:tcPr>
          <w:p w14:paraId="4F2C07DE" w14:textId="77777777" w:rsidR="00DE6066" w:rsidRPr="00091361" w:rsidRDefault="00DE6066" w:rsidP="00DE6066">
            <w:pPr>
              <w:pStyle w:val="BodyText2"/>
              <w:jc w:val="left"/>
              <w:rPr>
                <w:rFonts w:cs="Arial"/>
                <w:color w:val="000000"/>
                <w:sz w:val="4"/>
                <w:szCs w:val="4"/>
              </w:rPr>
            </w:pPr>
          </w:p>
        </w:tc>
        <w:tc>
          <w:tcPr>
            <w:tcW w:w="241" w:type="dxa"/>
            <w:tcBorders>
              <w:top w:val="single" w:sz="12" w:space="0" w:color="auto"/>
            </w:tcBorders>
            <w:vAlign w:val="center"/>
          </w:tcPr>
          <w:p w14:paraId="6736A776" w14:textId="77777777" w:rsidR="00DE6066" w:rsidRPr="00091361" w:rsidRDefault="00DE6066" w:rsidP="00DE6066">
            <w:pPr>
              <w:pStyle w:val="BodyText2"/>
              <w:ind w:right="72"/>
              <w:jc w:val="left"/>
              <w:rPr>
                <w:rFonts w:cs="Arial"/>
                <w:color w:val="000000"/>
                <w:sz w:val="4"/>
                <w:szCs w:val="4"/>
              </w:rPr>
            </w:pPr>
          </w:p>
        </w:tc>
        <w:tc>
          <w:tcPr>
            <w:tcW w:w="1374" w:type="dxa"/>
            <w:tcBorders>
              <w:top w:val="single" w:sz="12" w:space="0" w:color="auto"/>
            </w:tcBorders>
            <w:vAlign w:val="center"/>
          </w:tcPr>
          <w:p w14:paraId="36C35593" w14:textId="77777777" w:rsidR="00DE6066" w:rsidRPr="00091361" w:rsidRDefault="00DE6066" w:rsidP="00DE6066">
            <w:pPr>
              <w:pStyle w:val="BodyText2"/>
              <w:ind w:right="72"/>
              <w:jc w:val="left"/>
              <w:rPr>
                <w:rFonts w:cs="Arial"/>
                <w:color w:val="000000"/>
                <w:sz w:val="4"/>
                <w:szCs w:val="4"/>
              </w:rPr>
            </w:pPr>
          </w:p>
        </w:tc>
        <w:tc>
          <w:tcPr>
            <w:tcW w:w="653" w:type="dxa"/>
            <w:tcBorders>
              <w:top w:val="single" w:sz="12" w:space="0" w:color="auto"/>
            </w:tcBorders>
            <w:vAlign w:val="center"/>
          </w:tcPr>
          <w:p w14:paraId="7EB6BDF8" w14:textId="77777777" w:rsidR="00DE6066" w:rsidRPr="00091361" w:rsidRDefault="00DE6066" w:rsidP="00DE6066">
            <w:pPr>
              <w:pStyle w:val="BodyText2"/>
              <w:ind w:right="72"/>
              <w:jc w:val="left"/>
              <w:rPr>
                <w:rFonts w:cs="Arial"/>
                <w:color w:val="000000"/>
                <w:sz w:val="4"/>
                <w:szCs w:val="4"/>
              </w:rPr>
            </w:pPr>
          </w:p>
        </w:tc>
        <w:tc>
          <w:tcPr>
            <w:tcW w:w="1429" w:type="dxa"/>
            <w:tcBorders>
              <w:top w:val="single" w:sz="12" w:space="0" w:color="auto"/>
            </w:tcBorders>
            <w:vAlign w:val="center"/>
          </w:tcPr>
          <w:p w14:paraId="43A2BD91" w14:textId="77777777" w:rsidR="00DE6066" w:rsidRPr="00091361" w:rsidRDefault="00DE6066" w:rsidP="00DE6066">
            <w:pPr>
              <w:pStyle w:val="BodyText2"/>
              <w:tabs>
                <w:tab w:val="decimal" w:pos="980"/>
              </w:tabs>
              <w:ind w:right="101"/>
              <w:jc w:val="left"/>
              <w:rPr>
                <w:rFonts w:cs="Arial"/>
                <w:color w:val="000000"/>
                <w:sz w:val="4"/>
                <w:szCs w:val="4"/>
              </w:rPr>
            </w:pPr>
          </w:p>
        </w:tc>
        <w:tc>
          <w:tcPr>
            <w:tcW w:w="1339" w:type="dxa"/>
            <w:tcBorders>
              <w:top w:val="single" w:sz="12" w:space="0" w:color="auto"/>
            </w:tcBorders>
            <w:vAlign w:val="center"/>
          </w:tcPr>
          <w:p w14:paraId="554F41DC" w14:textId="77777777" w:rsidR="00DE6066" w:rsidRPr="00091361" w:rsidRDefault="00DE6066" w:rsidP="00DE6066">
            <w:pPr>
              <w:pStyle w:val="BodyText2"/>
              <w:tabs>
                <w:tab w:val="decimal" w:pos="991"/>
              </w:tabs>
              <w:ind w:right="101"/>
              <w:jc w:val="left"/>
              <w:rPr>
                <w:rFonts w:cs="Arial"/>
                <w:color w:val="000000"/>
                <w:sz w:val="4"/>
                <w:szCs w:val="4"/>
              </w:rPr>
            </w:pPr>
          </w:p>
        </w:tc>
      </w:tr>
    </w:tbl>
    <w:p w14:paraId="1D4A3802" w14:textId="6BDCD557" w:rsidR="00D87D2C" w:rsidRDefault="00D87D2C" w:rsidP="00591EC8">
      <w:pPr>
        <w:widowControl w:val="0"/>
        <w:spacing w:before="120"/>
        <w:jc w:val="both"/>
      </w:pPr>
      <w:r>
        <w:t xml:space="preserve">During </w:t>
      </w:r>
      <w:r w:rsidR="00DE6066">
        <w:t>the June 2026 period</w:t>
      </w:r>
      <w:r>
        <w:t xml:space="preserve">, </w:t>
      </w:r>
      <w:r w:rsidR="00FE3968">
        <w:t xml:space="preserve">the Company </w:t>
      </w:r>
      <w:r w:rsidR="009827C9">
        <w:t>incurred $</w:t>
      </w:r>
      <w:r w:rsidR="0051003D">
        <w:t>9,659,174</w:t>
      </w:r>
      <w:r w:rsidR="009827C9" w:rsidRPr="009827C9">
        <w:t xml:space="preserve"> of expenditures primarily related to expenditures in </w:t>
      </w:r>
      <w:r w:rsidR="007571A3">
        <w:t xml:space="preserve">the </w:t>
      </w:r>
      <w:r w:rsidR="009827C9" w:rsidRPr="009827C9">
        <w:t>Chubut and Santa Cruz Concessions related to well workovers and facilities improvements.</w:t>
      </w:r>
    </w:p>
    <w:p w14:paraId="3AA600EC" w14:textId="77777777" w:rsidR="00DE6066" w:rsidRDefault="00742FD6" w:rsidP="00DE6066">
      <w:pPr>
        <w:widowControl w:val="0"/>
        <w:spacing w:before="120"/>
        <w:jc w:val="both"/>
      </w:pPr>
      <w:r w:rsidRPr="0007306C">
        <w:t xml:space="preserve">During </w:t>
      </w:r>
      <w:r w:rsidR="00DE6066">
        <w:t xml:space="preserve">the June </w:t>
      </w:r>
      <w:r w:rsidR="00D224F3" w:rsidRPr="0007306C">
        <w:t>202</w:t>
      </w:r>
      <w:r w:rsidR="00541E6F" w:rsidRPr="0007306C">
        <w:t>5</w:t>
      </w:r>
      <w:r w:rsidR="00DE6066">
        <w:t xml:space="preserve"> period</w:t>
      </w:r>
      <w:r w:rsidRPr="0007306C">
        <w:t xml:space="preserve">, the Company </w:t>
      </w:r>
      <w:bookmarkStart w:id="15" w:name="_Hlk160820330"/>
      <w:r w:rsidR="00DE6066" w:rsidRPr="00E11575">
        <w:t>incurred $4,218,714</w:t>
      </w:r>
      <w:r w:rsidR="00DE6066" w:rsidRPr="0007306C">
        <w:t xml:space="preserve"> of expenditures primarily related to expenditures in the Santa Cruz and Mendoza Concessions related to well workovers,</w:t>
      </w:r>
      <w:r w:rsidR="00DE6066">
        <w:t xml:space="preserve"> </w:t>
      </w:r>
      <w:r w:rsidR="00DE6066" w:rsidRPr="0007306C">
        <w:t>extractive system enhancements and facilities improvements</w:t>
      </w:r>
      <w:r w:rsidR="00DE6066">
        <w:t>.</w:t>
      </w:r>
    </w:p>
    <w:p w14:paraId="7CB835A4" w14:textId="0D7E1F4D" w:rsidR="00B04DD3" w:rsidRDefault="00B04DD3" w:rsidP="00DE6066">
      <w:pPr>
        <w:widowControl w:val="0"/>
        <w:spacing w:before="120"/>
        <w:jc w:val="both"/>
        <w:rPr>
          <w:rFonts w:cs="Arial"/>
          <w:b/>
          <w:bCs/>
          <w:caps/>
          <w:color w:val="000000"/>
          <w:sz w:val="24"/>
          <w:szCs w:val="24"/>
        </w:rPr>
      </w:pPr>
      <w:r w:rsidRPr="006461C4">
        <w:rPr>
          <w:rFonts w:cs="Arial"/>
          <w:b/>
          <w:bCs/>
          <w:caps/>
          <w:color w:val="000000"/>
          <w:sz w:val="24"/>
          <w:szCs w:val="24"/>
        </w:rPr>
        <w:t>LIQUIDITY AND CAPITAL RESOURCES</w:t>
      </w:r>
    </w:p>
    <w:bookmarkEnd w:id="15"/>
    <w:p w14:paraId="41EECF76" w14:textId="6EA4A68D" w:rsidR="007B43C0" w:rsidRDefault="007B43C0" w:rsidP="00591EC8">
      <w:pPr>
        <w:widowControl w:val="0"/>
        <w:overflowPunct w:val="0"/>
        <w:autoSpaceDE w:val="0"/>
        <w:autoSpaceDN w:val="0"/>
        <w:adjustRightInd w:val="0"/>
        <w:spacing w:before="120"/>
        <w:jc w:val="both"/>
        <w:textAlignment w:val="baseline"/>
        <w:rPr>
          <w:rFonts w:cs="Arial"/>
        </w:rPr>
      </w:pPr>
      <w:r>
        <w:rPr>
          <w:rFonts w:cs="Arial"/>
        </w:rPr>
        <w:t xml:space="preserve">Liquidity risk is the risk that the Company will not meet its financial obligations as they become due. </w:t>
      </w:r>
      <w:bookmarkStart w:id="16" w:name="_Hlk134349318"/>
      <w:r>
        <w:rPr>
          <w:rFonts w:cs="Arial"/>
        </w:rPr>
        <w:t>The Company manages its liquidity risk through management of its capital structure and annual budgeting of its revenues, expenditures and cash flows.</w:t>
      </w:r>
      <w:bookmarkEnd w:id="16"/>
      <w:r>
        <w:rPr>
          <w:rFonts w:cs="Arial"/>
        </w:rPr>
        <w:t xml:space="preserve">  </w:t>
      </w:r>
    </w:p>
    <w:p w14:paraId="505F2301" w14:textId="59EF4E72" w:rsidR="001B01E9" w:rsidRDefault="00031B7F" w:rsidP="008A60D2">
      <w:pPr>
        <w:widowControl w:val="0"/>
        <w:overflowPunct w:val="0"/>
        <w:autoSpaceDE w:val="0"/>
        <w:autoSpaceDN w:val="0"/>
        <w:adjustRightInd w:val="0"/>
        <w:spacing w:before="120"/>
        <w:jc w:val="both"/>
        <w:textAlignment w:val="baseline"/>
        <w:rPr>
          <w:rFonts w:cs="Arial"/>
          <w:color w:val="000000"/>
        </w:rPr>
      </w:pPr>
      <w:bookmarkStart w:id="17" w:name="_Hlk103162396"/>
      <w:r w:rsidRPr="00031B7F">
        <w:rPr>
          <w:color w:val="000000"/>
        </w:rPr>
        <w:t xml:space="preserve">During </w:t>
      </w:r>
      <w:r w:rsidR="00655CE8">
        <w:rPr>
          <w:color w:val="000000"/>
        </w:rPr>
        <w:t>the June 2026 period</w:t>
      </w:r>
      <w:r w:rsidRPr="00031B7F">
        <w:rPr>
          <w:color w:val="000000"/>
        </w:rPr>
        <w:t xml:space="preserve">, the Company </w:t>
      </w:r>
      <w:r w:rsidRPr="008F3DC2">
        <w:rPr>
          <w:color w:val="000000"/>
        </w:rPr>
        <w:t>reported net income of $</w:t>
      </w:r>
      <w:r w:rsidR="00395F6C">
        <w:rPr>
          <w:color w:val="000000"/>
        </w:rPr>
        <w:t>14,652,033</w:t>
      </w:r>
      <w:r w:rsidRPr="008F3DC2">
        <w:rPr>
          <w:color w:val="000000"/>
        </w:rPr>
        <w:t xml:space="preserve"> mainly</w:t>
      </w:r>
      <w:r w:rsidRPr="00031B7F">
        <w:rPr>
          <w:color w:val="000000"/>
        </w:rPr>
        <w:t xml:space="preserve"> due to </w:t>
      </w:r>
      <w:r w:rsidR="009F423B">
        <w:rPr>
          <w:color w:val="000000"/>
        </w:rPr>
        <w:t xml:space="preserve">higher </w:t>
      </w:r>
      <w:r w:rsidR="002D62BB">
        <w:rPr>
          <w:color w:val="000000"/>
        </w:rPr>
        <w:t xml:space="preserve">crude oil </w:t>
      </w:r>
      <w:r w:rsidR="009F423B">
        <w:rPr>
          <w:color w:val="000000"/>
        </w:rPr>
        <w:t>sales volumes and</w:t>
      </w:r>
      <w:r w:rsidR="008F3DC2">
        <w:rPr>
          <w:color w:val="000000"/>
        </w:rPr>
        <w:t xml:space="preserve"> the increase in </w:t>
      </w:r>
      <w:r w:rsidR="002D62BB">
        <w:rPr>
          <w:color w:val="000000"/>
        </w:rPr>
        <w:t xml:space="preserve">crude </w:t>
      </w:r>
      <w:r w:rsidR="008F3DC2">
        <w:rPr>
          <w:color w:val="000000"/>
        </w:rPr>
        <w:t>oil prices</w:t>
      </w:r>
      <w:r w:rsidR="001B01E9">
        <w:rPr>
          <w:color w:val="000000"/>
        </w:rPr>
        <w:t xml:space="preserve"> </w:t>
      </w:r>
      <w:r w:rsidR="001B01E9" w:rsidRPr="00031B7F">
        <w:rPr>
          <w:color w:val="000000"/>
        </w:rPr>
        <w:t>(</w:t>
      </w:r>
      <w:r w:rsidR="00655CE8">
        <w:rPr>
          <w:color w:val="000000"/>
        </w:rPr>
        <w:t>June 2025 period</w:t>
      </w:r>
      <w:r w:rsidR="001B01E9" w:rsidRPr="00031B7F">
        <w:rPr>
          <w:color w:val="000000"/>
        </w:rPr>
        <w:t xml:space="preserve"> – net i</w:t>
      </w:r>
      <w:r w:rsidR="001B01E9" w:rsidRPr="008F3DC2">
        <w:rPr>
          <w:color w:val="000000"/>
        </w:rPr>
        <w:t xml:space="preserve">ncome of </w:t>
      </w:r>
      <w:r w:rsidR="00655CE8" w:rsidRPr="008F3DC2">
        <w:rPr>
          <w:color w:val="000000"/>
        </w:rPr>
        <w:t xml:space="preserve">$5,767,929 </w:t>
      </w:r>
      <w:r w:rsidR="001B01E9" w:rsidRPr="008F3DC2">
        <w:rPr>
          <w:color w:val="000000"/>
        </w:rPr>
        <w:t>mainly due to the fair value adjustment on the contingent consideration)</w:t>
      </w:r>
      <w:r w:rsidR="000C3C99" w:rsidRPr="008F3DC2">
        <w:rPr>
          <w:color w:val="000000"/>
        </w:rPr>
        <w:t>;</w:t>
      </w:r>
      <w:r w:rsidR="001A615C" w:rsidRPr="008F3DC2">
        <w:rPr>
          <w:color w:val="000000"/>
        </w:rPr>
        <w:t xml:space="preserve"> $</w:t>
      </w:r>
      <w:r w:rsidR="008F3DC2" w:rsidRPr="008F3DC2">
        <w:rPr>
          <w:color w:val="000000"/>
        </w:rPr>
        <w:t>29,101,159</w:t>
      </w:r>
      <w:r w:rsidR="001A615C" w:rsidRPr="0014691C">
        <w:rPr>
          <w:color w:val="000000"/>
        </w:rPr>
        <w:t xml:space="preserve"> </w:t>
      </w:r>
      <w:r w:rsidR="0014691C" w:rsidRPr="0014691C">
        <w:rPr>
          <w:color w:val="000000"/>
        </w:rPr>
        <w:t>of f</w:t>
      </w:r>
      <w:r w:rsidR="0014691C" w:rsidRPr="0014691C">
        <w:rPr>
          <w:rFonts w:cs="Arial"/>
          <w:color w:val="000000"/>
        </w:rPr>
        <w:t xml:space="preserve">unds flow </w:t>
      </w:r>
      <w:r w:rsidR="000C3C99" w:rsidRPr="008F3DC2">
        <w:rPr>
          <w:rFonts w:cs="Arial"/>
          <w:color w:val="000000"/>
        </w:rPr>
        <w:t xml:space="preserve">provided by </w:t>
      </w:r>
      <w:r w:rsidR="0014691C" w:rsidRPr="008F3DC2">
        <w:rPr>
          <w:rFonts w:cs="Arial"/>
          <w:color w:val="000000"/>
        </w:rPr>
        <w:t>ope</w:t>
      </w:r>
      <w:r w:rsidR="0014691C" w:rsidRPr="0014691C">
        <w:rPr>
          <w:rFonts w:cs="Arial"/>
          <w:color w:val="000000"/>
        </w:rPr>
        <w:t xml:space="preserve">rating activities </w:t>
      </w:r>
      <w:r w:rsidR="001A615C" w:rsidRPr="0014691C">
        <w:rPr>
          <w:color w:val="000000"/>
        </w:rPr>
        <w:t>(</w:t>
      </w:r>
      <w:r w:rsidR="00655CE8">
        <w:rPr>
          <w:color w:val="000000"/>
        </w:rPr>
        <w:t>June 2025 period</w:t>
      </w:r>
      <w:r w:rsidR="001A615C" w:rsidRPr="0014691C">
        <w:rPr>
          <w:color w:val="000000"/>
        </w:rPr>
        <w:t xml:space="preserve"> </w:t>
      </w:r>
      <w:r w:rsidR="001A615C" w:rsidRPr="0014691C">
        <w:rPr>
          <w:rFonts w:cs="Arial"/>
        </w:rPr>
        <w:t xml:space="preserve">– </w:t>
      </w:r>
      <w:r w:rsidR="00E25BA1" w:rsidRPr="00FC77D4">
        <w:rPr>
          <w:color w:val="000000"/>
        </w:rPr>
        <w:t>$</w:t>
      </w:r>
      <w:r w:rsidR="00E25BA1">
        <w:rPr>
          <w:color w:val="000000"/>
        </w:rPr>
        <w:t>5,315,212</w:t>
      </w:r>
      <w:r w:rsidR="00E25BA1" w:rsidRPr="00FC77D4">
        <w:rPr>
          <w:color w:val="000000"/>
        </w:rPr>
        <w:t xml:space="preserve"> </w:t>
      </w:r>
      <w:r w:rsidR="0014691C" w:rsidRPr="0014691C">
        <w:rPr>
          <w:color w:val="000000"/>
        </w:rPr>
        <w:t>of f</w:t>
      </w:r>
      <w:r w:rsidR="0014691C" w:rsidRPr="0014691C">
        <w:rPr>
          <w:rFonts w:cs="Arial"/>
          <w:color w:val="000000"/>
        </w:rPr>
        <w:t xml:space="preserve">unds flow </w:t>
      </w:r>
      <w:r w:rsidR="00FE28E3">
        <w:rPr>
          <w:rFonts w:cs="Arial"/>
          <w:color w:val="000000"/>
        </w:rPr>
        <w:t xml:space="preserve">used in </w:t>
      </w:r>
      <w:r w:rsidR="0014691C" w:rsidRPr="0014691C">
        <w:rPr>
          <w:rFonts w:cs="Arial"/>
          <w:color w:val="000000"/>
        </w:rPr>
        <w:t>operating activities</w:t>
      </w:r>
      <w:r w:rsidR="001A615C" w:rsidRPr="00E94F00">
        <w:rPr>
          <w:color w:val="000000"/>
        </w:rPr>
        <w:t>)</w:t>
      </w:r>
      <w:r w:rsidR="0014691C">
        <w:rPr>
          <w:color w:val="000000"/>
        </w:rPr>
        <w:t>;</w:t>
      </w:r>
      <w:r w:rsidR="001A615C">
        <w:rPr>
          <w:color w:val="000000"/>
        </w:rPr>
        <w:t xml:space="preserve"> </w:t>
      </w:r>
      <w:r w:rsidR="001A615C" w:rsidRPr="008F3DC2">
        <w:rPr>
          <w:rFonts w:cs="Arial"/>
          <w:color w:val="000000"/>
        </w:rPr>
        <w:t xml:space="preserve">and </w:t>
      </w:r>
      <w:r w:rsidR="001A615C" w:rsidRPr="008F3DC2">
        <w:rPr>
          <w:color w:val="000000"/>
        </w:rPr>
        <w:t>$</w:t>
      </w:r>
      <w:r w:rsidR="00395F6C">
        <w:rPr>
          <w:color w:val="000000"/>
        </w:rPr>
        <w:t>28,951,508</w:t>
      </w:r>
      <w:r w:rsidR="001A615C">
        <w:rPr>
          <w:color w:val="000000"/>
        </w:rPr>
        <w:t xml:space="preserve"> of </w:t>
      </w:r>
      <w:r w:rsidR="001A615C" w:rsidRPr="008E7CB5">
        <w:rPr>
          <w:color w:val="000000"/>
        </w:rPr>
        <w:t xml:space="preserve">net </w:t>
      </w:r>
      <w:r w:rsidR="001A615C" w:rsidRPr="008F3DC2">
        <w:rPr>
          <w:color w:val="000000"/>
        </w:rPr>
        <w:t>cash provided by operating a</w:t>
      </w:r>
      <w:r w:rsidR="001A615C">
        <w:rPr>
          <w:color w:val="000000"/>
        </w:rPr>
        <w:t>ctivities</w:t>
      </w:r>
      <w:r w:rsidR="00824855" w:rsidRPr="00824855">
        <w:rPr>
          <w:color w:val="000000"/>
        </w:rPr>
        <w:t xml:space="preserve"> </w:t>
      </w:r>
      <w:r w:rsidR="00824855">
        <w:rPr>
          <w:color w:val="000000"/>
        </w:rPr>
        <w:t>(</w:t>
      </w:r>
      <w:r w:rsidR="00655CE8">
        <w:rPr>
          <w:color w:val="000000"/>
        </w:rPr>
        <w:t>June 2025 period</w:t>
      </w:r>
      <w:r w:rsidR="00824855">
        <w:rPr>
          <w:color w:val="000000"/>
        </w:rPr>
        <w:t xml:space="preserve"> </w:t>
      </w:r>
      <w:r w:rsidR="00824855" w:rsidRPr="008E7CB5">
        <w:rPr>
          <w:rFonts w:cs="Arial"/>
        </w:rPr>
        <w:t>–</w:t>
      </w:r>
      <w:r w:rsidR="00824855" w:rsidRPr="00E94F00">
        <w:rPr>
          <w:color w:val="000000"/>
        </w:rPr>
        <w:t xml:space="preserve"> </w:t>
      </w:r>
      <w:r w:rsidR="00E25BA1" w:rsidRPr="00FC77D4">
        <w:rPr>
          <w:color w:val="000000"/>
        </w:rPr>
        <w:t>$</w:t>
      </w:r>
      <w:r w:rsidR="00E25BA1">
        <w:rPr>
          <w:color w:val="000000"/>
        </w:rPr>
        <w:t>8,745,617</w:t>
      </w:r>
      <w:r w:rsidR="00E25BA1" w:rsidRPr="00FC77D4">
        <w:rPr>
          <w:color w:val="000000"/>
        </w:rPr>
        <w:t xml:space="preserve"> </w:t>
      </w:r>
      <w:r w:rsidR="00B52F64" w:rsidRPr="008E7CB5">
        <w:rPr>
          <w:color w:val="000000"/>
        </w:rPr>
        <w:t>net ca</w:t>
      </w:r>
      <w:r w:rsidR="00B52F64" w:rsidRPr="00C57DF3">
        <w:rPr>
          <w:color w:val="000000"/>
        </w:rPr>
        <w:t xml:space="preserve">sh </w:t>
      </w:r>
      <w:r w:rsidR="00B52F64" w:rsidRPr="000D2587">
        <w:rPr>
          <w:color w:val="000000"/>
        </w:rPr>
        <w:t>provided by</w:t>
      </w:r>
      <w:r w:rsidR="00B52F64">
        <w:rPr>
          <w:color w:val="000000"/>
        </w:rPr>
        <w:t xml:space="preserve"> operating activities</w:t>
      </w:r>
      <w:r w:rsidR="00824855" w:rsidRPr="007F2888">
        <w:rPr>
          <w:color w:val="000000"/>
        </w:rPr>
        <w:t>)</w:t>
      </w:r>
      <w:r w:rsidR="007B43C0" w:rsidRPr="007F2888">
        <w:rPr>
          <w:rFonts w:cs="Arial"/>
          <w:color w:val="000000"/>
        </w:rPr>
        <w:t xml:space="preserve">. </w:t>
      </w:r>
      <w:bookmarkStart w:id="18" w:name="_Hlk134349602"/>
      <w:r w:rsidR="007F2888" w:rsidRPr="007F2888">
        <w:rPr>
          <w:rFonts w:cs="Arial"/>
          <w:color w:val="000000"/>
        </w:rPr>
        <w:t xml:space="preserve"> </w:t>
      </w:r>
    </w:p>
    <w:p w14:paraId="64EBB395" w14:textId="66686C8E" w:rsidR="007F2888" w:rsidRPr="007F2888" w:rsidRDefault="007F2888" w:rsidP="008A60D2">
      <w:pPr>
        <w:widowControl w:val="0"/>
        <w:overflowPunct w:val="0"/>
        <w:autoSpaceDE w:val="0"/>
        <w:autoSpaceDN w:val="0"/>
        <w:adjustRightInd w:val="0"/>
        <w:spacing w:before="120"/>
        <w:jc w:val="both"/>
        <w:textAlignment w:val="baseline"/>
        <w:rPr>
          <w:rFonts w:cs="Arial"/>
          <w:spacing w:val="1"/>
        </w:rPr>
      </w:pPr>
      <w:r w:rsidRPr="007F2888">
        <w:rPr>
          <w:rFonts w:cs="Arial"/>
        </w:rPr>
        <w:t>As</w:t>
      </w:r>
      <w:r w:rsidRPr="007F2888">
        <w:rPr>
          <w:rFonts w:cs="Arial"/>
          <w:spacing w:val="-4"/>
        </w:rPr>
        <w:t xml:space="preserve"> </w:t>
      </w:r>
      <w:proofErr w:type="gramStart"/>
      <w:r w:rsidRPr="007F2888">
        <w:rPr>
          <w:rFonts w:cs="Arial"/>
        </w:rPr>
        <w:t>at</w:t>
      </w:r>
      <w:proofErr w:type="gramEnd"/>
      <w:r w:rsidRPr="007F2888">
        <w:rPr>
          <w:rFonts w:cs="Arial"/>
          <w:spacing w:val="-6"/>
        </w:rPr>
        <w:t xml:space="preserve"> </w:t>
      </w:r>
      <w:r w:rsidR="00E91EF5">
        <w:rPr>
          <w:rFonts w:cs="Arial"/>
        </w:rPr>
        <w:t>June 30</w:t>
      </w:r>
      <w:r w:rsidRPr="007F2888">
        <w:rPr>
          <w:rFonts w:cs="Arial"/>
        </w:rPr>
        <w:t>, 2026,</w:t>
      </w:r>
      <w:r w:rsidRPr="007F2888">
        <w:rPr>
          <w:rFonts w:cs="Arial"/>
          <w:spacing w:val="-4"/>
        </w:rPr>
        <w:t xml:space="preserve"> </w:t>
      </w:r>
      <w:r w:rsidRPr="007F2888">
        <w:rPr>
          <w:rFonts w:cs="Arial"/>
        </w:rPr>
        <w:t>the</w:t>
      </w:r>
      <w:r w:rsidRPr="007F2888">
        <w:rPr>
          <w:rFonts w:cs="Arial"/>
          <w:spacing w:val="-6"/>
        </w:rPr>
        <w:t xml:space="preserve"> </w:t>
      </w:r>
      <w:r w:rsidRPr="007F2888">
        <w:rPr>
          <w:rFonts w:cs="Arial"/>
        </w:rPr>
        <w:t>Company</w:t>
      </w:r>
      <w:r w:rsidRPr="007F2888">
        <w:rPr>
          <w:rFonts w:cs="Arial"/>
          <w:spacing w:val="-5"/>
        </w:rPr>
        <w:t xml:space="preserve"> </w:t>
      </w:r>
      <w:r w:rsidRPr="007F2888">
        <w:rPr>
          <w:rFonts w:cs="Arial"/>
        </w:rPr>
        <w:t>has</w:t>
      </w:r>
      <w:r w:rsidRPr="007F2888">
        <w:rPr>
          <w:rFonts w:cs="Arial"/>
          <w:spacing w:val="-2"/>
        </w:rPr>
        <w:t xml:space="preserve"> </w:t>
      </w:r>
      <w:r w:rsidRPr="007F2888">
        <w:rPr>
          <w:rFonts w:cs="Arial"/>
        </w:rPr>
        <w:t>a</w:t>
      </w:r>
      <w:r w:rsidRPr="007F2888">
        <w:rPr>
          <w:rFonts w:cs="Arial"/>
          <w:spacing w:val="-5"/>
        </w:rPr>
        <w:t xml:space="preserve"> </w:t>
      </w:r>
      <w:r w:rsidRPr="007F2888">
        <w:rPr>
          <w:rFonts w:cs="Arial"/>
        </w:rPr>
        <w:t>working</w:t>
      </w:r>
      <w:r w:rsidRPr="007F2888">
        <w:rPr>
          <w:rFonts w:cs="Arial"/>
          <w:spacing w:val="-4"/>
        </w:rPr>
        <w:t xml:space="preserve"> </w:t>
      </w:r>
      <w:r w:rsidRPr="007F2888">
        <w:rPr>
          <w:rFonts w:cs="Arial"/>
        </w:rPr>
        <w:t>capital</w:t>
      </w:r>
      <w:r w:rsidRPr="007F2888">
        <w:rPr>
          <w:rFonts w:cs="Arial"/>
          <w:spacing w:val="-5"/>
        </w:rPr>
        <w:t xml:space="preserve"> </w:t>
      </w:r>
      <w:r w:rsidRPr="007F2888">
        <w:rPr>
          <w:rFonts w:cs="Arial"/>
        </w:rPr>
        <w:t>deficit</w:t>
      </w:r>
      <w:r w:rsidRPr="007F2888">
        <w:rPr>
          <w:rFonts w:cs="Arial"/>
          <w:spacing w:val="-4"/>
        </w:rPr>
        <w:t xml:space="preserve"> </w:t>
      </w:r>
      <w:r w:rsidRPr="007F2888">
        <w:rPr>
          <w:rFonts w:cs="Arial"/>
        </w:rPr>
        <w:t>of</w:t>
      </w:r>
      <w:r w:rsidRPr="007F2888">
        <w:rPr>
          <w:rFonts w:cs="Arial"/>
          <w:spacing w:val="-3"/>
        </w:rPr>
        <w:t xml:space="preserve"> </w:t>
      </w:r>
      <w:r w:rsidRPr="007F2888">
        <w:rPr>
          <w:rFonts w:cs="Arial"/>
        </w:rPr>
        <w:t>$</w:t>
      </w:r>
      <w:r w:rsidR="008916AF">
        <w:rPr>
          <w:rFonts w:cs="Arial"/>
        </w:rPr>
        <w:t>63,357,139</w:t>
      </w:r>
      <w:r w:rsidRPr="007F2888">
        <w:rPr>
          <w:rFonts w:cs="Arial"/>
        </w:rPr>
        <w:t xml:space="preserve"> </w:t>
      </w:r>
      <w:r w:rsidRPr="007F2888">
        <w:rPr>
          <w:rFonts w:cs="Arial"/>
          <w:spacing w:val="-5"/>
        </w:rPr>
        <w:t xml:space="preserve">(December 31, 2025 – </w:t>
      </w:r>
      <w:r w:rsidRPr="007F2888">
        <w:rPr>
          <w:rFonts w:cs="Arial"/>
        </w:rPr>
        <w:t>$71,815,326</w:t>
      </w:r>
      <w:r w:rsidRPr="007F2888">
        <w:rPr>
          <w:rFonts w:cs="Arial"/>
          <w:spacing w:val="-5"/>
        </w:rPr>
        <w:t xml:space="preserve">) </w:t>
      </w:r>
      <w:r w:rsidRPr="007F2888">
        <w:rPr>
          <w:rFonts w:cs="Arial"/>
        </w:rPr>
        <w:t>which</w:t>
      </w:r>
      <w:r w:rsidRPr="007F2888">
        <w:rPr>
          <w:rFonts w:cs="Arial"/>
          <w:spacing w:val="-3"/>
        </w:rPr>
        <w:t xml:space="preserve"> </w:t>
      </w:r>
      <w:r w:rsidRPr="007F2888">
        <w:rPr>
          <w:rFonts w:cs="Arial"/>
        </w:rPr>
        <w:t>includes</w:t>
      </w:r>
      <w:r w:rsidRPr="007F2888">
        <w:rPr>
          <w:rFonts w:cs="Arial"/>
          <w:spacing w:val="-4"/>
        </w:rPr>
        <w:t xml:space="preserve"> </w:t>
      </w:r>
      <w:r w:rsidRPr="007F2888">
        <w:rPr>
          <w:rFonts w:cs="Arial"/>
        </w:rPr>
        <w:t>$</w:t>
      </w:r>
      <w:r w:rsidR="00B25495" w:rsidRPr="00837FBD">
        <w:rPr>
          <w:rFonts w:cs="Arial"/>
        </w:rPr>
        <w:t>26,072,082</w:t>
      </w:r>
      <w:r w:rsidR="00B25495" w:rsidRPr="00837FBD" w:rsidDel="00B25495">
        <w:rPr>
          <w:rFonts w:cs="Arial"/>
        </w:rPr>
        <w:t xml:space="preserve"> </w:t>
      </w:r>
      <w:r w:rsidRPr="00837FBD">
        <w:rPr>
          <w:rFonts w:cs="Arial"/>
          <w:spacing w:val="-5"/>
        </w:rPr>
        <w:t>(December 31, 2025 – $</w:t>
      </w:r>
      <w:r w:rsidRPr="00837FBD">
        <w:rPr>
          <w:rFonts w:cs="Arial"/>
        </w:rPr>
        <w:t>19,711,207</w:t>
      </w:r>
      <w:r w:rsidRPr="00837FBD">
        <w:rPr>
          <w:rFonts w:cs="Arial"/>
          <w:spacing w:val="-5"/>
        </w:rPr>
        <w:t xml:space="preserve">) </w:t>
      </w:r>
      <w:r w:rsidRPr="00837FBD">
        <w:rPr>
          <w:rFonts w:cs="Arial"/>
        </w:rPr>
        <w:t>of financial assets comprised of cash,</w:t>
      </w:r>
      <w:r w:rsidR="00B25495" w:rsidRPr="00837FBD">
        <w:rPr>
          <w:rFonts w:cs="Arial"/>
        </w:rPr>
        <w:t xml:space="preserve"> restricted cash,</w:t>
      </w:r>
      <w:r w:rsidRPr="00837FBD">
        <w:rPr>
          <w:rFonts w:cs="Arial"/>
        </w:rPr>
        <w:t xml:space="preserve"> investments and trade and other receivables and $</w:t>
      </w:r>
      <w:r w:rsidR="008916AF" w:rsidRPr="00837FBD">
        <w:rPr>
          <w:rFonts w:cs="Arial"/>
        </w:rPr>
        <w:t>109,</w:t>
      </w:r>
      <w:r w:rsidR="006445C9" w:rsidRPr="00837FBD">
        <w:rPr>
          <w:rFonts w:cs="Arial"/>
        </w:rPr>
        <w:t>246,339</w:t>
      </w:r>
      <w:r w:rsidR="00E25BA1" w:rsidRPr="00837FBD">
        <w:rPr>
          <w:rFonts w:cs="Arial"/>
        </w:rPr>
        <w:t xml:space="preserve"> </w:t>
      </w:r>
      <w:r w:rsidRPr="00837FBD">
        <w:rPr>
          <w:rFonts w:cs="Arial"/>
        </w:rPr>
        <w:t xml:space="preserve">(December 31, </w:t>
      </w:r>
      <w:proofErr w:type="gramStart"/>
      <w:r w:rsidRPr="00837FBD">
        <w:rPr>
          <w:rFonts w:cs="Arial"/>
        </w:rPr>
        <w:t>2025</w:t>
      </w:r>
      <w:proofErr w:type="gramEnd"/>
      <w:r w:rsidR="00E25BA1" w:rsidRPr="00837FBD">
        <w:rPr>
          <w:rFonts w:cs="Arial"/>
        </w:rPr>
        <w:t xml:space="preserve"> </w:t>
      </w:r>
      <w:r w:rsidRPr="00837FBD">
        <w:rPr>
          <w:rFonts w:cs="Arial"/>
        </w:rPr>
        <w:softHyphen/>
        <w:t>– $122,164,191) of financial liabilities</w:t>
      </w:r>
      <w:r w:rsidR="00363B66" w:rsidRPr="00837FBD">
        <w:rPr>
          <w:rFonts w:cs="Arial"/>
          <w:spacing w:val="1"/>
        </w:rPr>
        <w:t xml:space="preserve"> (see “Summary</w:t>
      </w:r>
      <w:r w:rsidR="00363B66">
        <w:rPr>
          <w:rFonts w:cs="Arial"/>
          <w:spacing w:val="1"/>
        </w:rPr>
        <w:t xml:space="preserve"> of Financial Information</w:t>
      </w:r>
      <w:r w:rsidR="009F423B">
        <w:rPr>
          <w:rFonts w:cs="Arial"/>
          <w:spacing w:val="1"/>
        </w:rPr>
        <w:t>”</w:t>
      </w:r>
      <w:r w:rsidR="00363B66">
        <w:rPr>
          <w:rFonts w:cs="Arial"/>
          <w:spacing w:val="1"/>
        </w:rPr>
        <w:t xml:space="preserve"> for details)</w:t>
      </w:r>
      <w:r w:rsidRPr="007F2888">
        <w:rPr>
          <w:rFonts w:cs="Arial"/>
        </w:rPr>
        <w:t>.</w:t>
      </w:r>
      <w:r w:rsidRPr="007F2888">
        <w:rPr>
          <w:rFonts w:cs="Arial"/>
          <w:spacing w:val="1"/>
        </w:rPr>
        <w:t xml:space="preserve"> </w:t>
      </w:r>
    </w:p>
    <w:p w14:paraId="05BA7519" w14:textId="2D969410" w:rsidR="008A60D2" w:rsidRDefault="00C34F51" w:rsidP="008A60D2">
      <w:pPr>
        <w:widowControl w:val="0"/>
        <w:overflowPunct w:val="0"/>
        <w:autoSpaceDE w:val="0"/>
        <w:autoSpaceDN w:val="0"/>
        <w:adjustRightInd w:val="0"/>
        <w:spacing w:before="120"/>
        <w:jc w:val="both"/>
        <w:textAlignment w:val="baseline"/>
      </w:pPr>
      <w:r w:rsidRPr="009D398E">
        <w:t>The Company’s capital expenditure budget for fiscal 202</w:t>
      </w:r>
      <w:r w:rsidR="00405710" w:rsidRPr="009D398E">
        <w:t>6</w:t>
      </w:r>
      <w:r w:rsidRPr="009D398E">
        <w:t xml:space="preserve"> </w:t>
      </w:r>
      <w:r w:rsidR="008A60D2" w:rsidRPr="009D398E">
        <w:t xml:space="preserve">is estimated to </w:t>
      </w:r>
      <w:r w:rsidR="008A60D2" w:rsidRPr="00700881">
        <w:t>be $</w:t>
      </w:r>
      <w:r w:rsidR="00A13382">
        <w:t>54.3</w:t>
      </w:r>
      <w:r w:rsidR="00700881" w:rsidRPr="00700881">
        <w:t xml:space="preserve"> </w:t>
      </w:r>
      <w:r w:rsidR="008A60D2" w:rsidRPr="00700881">
        <w:t>million</w:t>
      </w:r>
      <w:r w:rsidR="0069217A" w:rsidRPr="00700881">
        <w:t>,</w:t>
      </w:r>
      <w:r w:rsidR="0069217A" w:rsidRPr="009D398E">
        <w:t xml:space="preserve"> of which $</w:t>
      </w:r>
      <w:r w:rsidR="009D398E" w:rsidRPr="009D398E">
        <w:t>9.7</w:t>
      </w:r>
      <w:r w:rsidR="0069217A" w:rsidRPr="009D398E">
        <w:t xml:space="preserve"> million was </w:t>
      </w:r>
      <w:r w:rsidR="008E204F" w:rsidRPr="009D398E">
        <w:t xml:space="preserve">spent in </w:t>
      </w:r>
      <w:r w:rsidR="00E25BA1" w:rsidRPr="009D398E">
        <w:t>the June 2026 period</w:t>
      </w:r>
      <w:r w:rsidR="008A60D2" w:rsidRPr="009D398E">
        <w:t xml:space="preserve">.  For details of the Company’s fiscal </w:t>
      </w:r>
      <w:r w:rsidR="00AD3C5C" w:rsidRPr="009D398E">
        <w:t xml:space="preserve">2026 </w:t>
      </w:r>
      <w:r w:rsidR="008A60D2" w:rsidRPr="009D398E">
        <w:t>capital expenditure program, see “Outlook”.</w:t>
      </w:r>
    </w:p>
    <w:p w14:paraId="63ACCC28" w14:textId="4161D320" w:rsidR="00575989" w:rsidRDefault="00575989" w:rsidP="00575989">
      <w:pPr>
        <w:widowControl w:val="0"/>
        <w:overflowPunct w:val="0"/>
        <w:autoSpaceDE w:val="0"/>
        <w:autoSpaceDN w:val="0"/>
        <w:adjustRightInd w:val="0"/>
        <w:spacing w:before="120"/>
        <w:jc w:val="both"/>
        <w:textAlignment w:val="baseline"/>
        <w:rPr>
          <w:rFonts w:cs="Arial"/>
          <w:lang w:val="en-US"/>
        </w:rPr>
      </w:pPr>
      <w:bookmarkStart w:id="19" w:name="_Hlk118463546"/>
      <w:bookmarkEnd w:id="17"/>
      <w:bookmarkEnd w:id="18"/>
      <w:r w:rsidRPr="00EE3B03">
        <w:rPr>
          <w:rFonts w:cs="Arial"/>
          <w:lang w:val="en-US"/>
        </w:rPr>
        <w:t xml:space="preserve">On November 3, 2025, Argentina's National Security Commission authorized the extension of the Global Notes Payables Program by up to $300 million (or its equivalent in other currencies) and its extension for </w:t>
      </w:r>
      <w:r w:rsidRPr="00EE3B03">
        <w:rPr>
          <w:rFonts w:cs="Arial"/>
          <w:lang w:val="en-US"/>
        </w:rPr>
        <w:lastRenderedPageBreak/>
        <w:t>a period of 5 years from its original maturity date</w:t>
      </w:r>
      <w:r>
        <w:rPr>
          <w:rFonts w:cs="Arial"/>
          <w:lang w:val="en-US"/>
        </w:rPr>
        <w:t>.</w:t>
      </w:r>
    </w:p>
    <w:p w14:paraId="77210B38" w14:textId="37AEF38E" w:rsidR="00575989" w:rsidRPr="00F94FAC" w:rsidRDefault="00575989" w:rsidP="00575989">
      <w:pPr>
        <w:widowControl w:val="0"/>
        <w:overflowPunct w:val="0"/>
        <w:autoSpaceDE w:val="0"/>
        <w:autoSpaceDN w:val="0"/>
        <w:adjustRightInd w:val="0"/>
        <w:spacing w:before="120"/>
        <w:jc w:val="both"/>
        <w:textAlignment w:val="baseline"/>
        <w:rPr>
          <w:rFonts w:cs="Arial"/>
        </w:rPr>
      </w:pPr>
      <w:r w:rsidRPr="008916AF">
        <w:rPr>
          <w:color w:val="000000" w:themeColor="text1"/>
          <w:lang w:val="en-US"/>
        </w:rPr>
        <w:t xml:space="preserve">Between 2021 and </w:t>
      </w:r>
      <w:r w:rsidR="00E91EF5" w:rsidRPr="008916AF">
        <w:rPr>
          <w:color w:val="000000" w:themeColor="text1"/>
          <w:lang w:val="en-US"/>
        </w:rPr>
        <w:t>June 30</w:t>
      </w:r>
      <w:r w:rsidRPr="008916AF">
        <w:rPr>
          <w:color w:val="000000" w:themeColor="text1"/>
          <w:lang w:val="en-US"/>
        </w:rPr>
        <w:t>, 2026, the Company issued a total of $</w:t>
      </w:r>
      <w:r w:rsidR="000C3C99" w:rsidRPr="008916AF">
        <w:rPr>
          <w:color w:val="000000" w:themeColor="text1"/>
          <w:lang w:val="en-US"/>
        </w:rPr>
        <w:t>117.8</w:t>
      </w:r>
      <w:r w:rsidRPr="008916AF">
        <w:rPr>
          <w:color w:val="000000" w:themeColor="text1"/>
          <w:lang w:val="en-US"/>
        </w:rPr>
        <w:t xml:space="preserve"> million of notes payable, repaid $</w:t>
      </w:r>
      <w:r w:rsidR="000C3C99" w:rsidRPr="008916AF">
        <w:rPr>
          <w:color w:val="000000" w:themeColor="text1"/>
          <w:lang w:val="en-US"/>
        </w:rPr>
        <w:t xml:space="preserve">40.8 </w:t>
      </w:r>
      <w:r w:rsidRPr="008916AF">
        <w:rPr>
          <w:color w:val="000000" w:themeColor="text1"/>
          <w:lang w:val="en-US"/>
        </w:rPr>
        <w:t>million of notes payable and has $</w:t>
      </w:r>
      <w:r w:rsidR="000C3C99" w:rsidRPr="008916AF">
        <w:rPr>
          <w:color w:val="000000" w:themeColor="text1"/>
          <w:lang w:val="en-US"/>
        </w:rPr>
        <w:t>223</w:t>
      </w:r>
      <w:r w:rsidRPr="008916AF">
        <w:rPr>
          <w:color w:val="000000" w:themeColor="text1"/>
          <w:lang w:val="en-US"/>
        </w:rPr>
        <w:t xml:space="preserve"> million available for future offerings. </w:t>
      </w:r>
      <w:r w:rsidRPr="008916AF">
        <w:rPr>
          <w:rFonts w:cs="Arial"/>
        </w:rPr>
        <w:t>The Company has</w:t>
      </w:r>
      <w:r w:rsidR="008A40EA">
        <w:rPr>
          <w:rFonts w:cs="Arial"/>
        </w:rPr>
        <w:t xml:space="preserve"> </w:t>
      </w:r>
      <w:proofErr w:type="spellStart"/>
      <w:r w:rsidR="008A40EA">
        <w:rPr>
          <w:rFonts w:cs="Arial"/>
        </w:rPr>
        <w:t>signficant</w:t>
      </w:r>
      <w:proofErr w:type="spellEnd"/>
      <w:r w:rsidRPr="008916AF">
        <w:rPr>
          <w:rFonts w:cs="Arial"/>
        </w:rPr>
        <w:t xml:space="preserve"> </w:t>
      </w:r>
      <w:r w:rsidRPr="008916AF">
        <w:rPr>
          <w:rFonts w:cs="Arial"/>
          <w:color w:val="000000"/>
        </w:rPr>
        <w:t>future capital commitments to develop its properties as</w:t>
      </w:r>
      <w:r w:rsidRPr="00F94FAC">
        <w:rPr>
          <w:rFonts w:cs="Arial"/>
          <w:color w:val="000000"/>
        </w:rPr>
        <w:t xml:space="preserve"> described in the Commitments section of this MD&amp;A. </w:t>
      </w:r>
    </w:p>
    <w:bookmarkEnd w:id="19"/>
    <w:p w14:paraId="1C507A04" w14:textId="042537D4" w:rsidR="00AE21F2" w:rsidRPr="00856EC8" w:rsidRDefault="00AE21F2" w:rsidP="009E656C">
      <w:pPr>
        <w:autoSpaceDE w:val="0"/>
        <w:autoSpaceDN w:val="0"/>
        <w:adjustRightInd w:val="0"/>
        <w:spacing w:before="120"/>
        <w:jc w:val="both"/>
        <w:rPr>
          <w:rFonts w:cs="Arial"/>
          <w:color w:val="000000"/>
          <w:u w:val="single"/>
        </w:rPr>
      </w:pPr>
      <w:r>
        <w:rPr>
          <w:rFonts w:cs="Arial"/>
          <w:color w:val="000000"/>
          <w:u w:val="single"/>
        </w:rPr>
        <w:t>Notes Payable</w:t>
      </w:r>
    </w:p>
    <w:p w14:paraId="461C51ED" w14:textId="21787A1F" w:rsidR="00AE1E14" w:rsidRDefault="00AD3C5C" w:rsidP="00AE1E14">
      <w:pPr>
        <w:widowControl w:val="0"/>
        <w:overflowPunct w:val="0"/>
        <w:autoSpaceDE w:val="0"/>
        <w:autoSpaceDN w:val="0"/>
        <w:adjustRightInd w:val="0"/>
        <w:spacing w:before="120" w:after="120"/>
        <w:jc w:val="both"/>
        <w:textAlignment w:val="baseline"/>
        <w:rPr>
          <w:rFonts w:cs="Arial"/>
          <w:sz w:val="18"/>
          <w:szCs w:val="18"/>
        </w:rPr>
      </w:pPr>
      <w:r>
        <w:rPr>
          <w:rFonts w:cs="Arial"/>
        </w:rPr>
        <w:t>CPESA</w:t>
      </w:r>
      <w:r w:rsidR="00AE1E14" w:rsidRPr="00AE1E14">
        <w:rPr>
          <w:rFonts w:cs="Arial"/>
        </w:rPr>
        <w:t xml:space="preserve"> had the following principal amounts of notes payable outstanding</w:t>
      </w:r>
      <w:r>
        <w:rPr>
          <w:rFonts w:cs="Arial"/>
        </w:rPr>
        <w:t xml:space="preserve"> at the dates indicated</w:t>
      </w:r>
      <w:r w:rsidR="00AE1E14" w:rsidRPr="00AE1E14">
        <w:rPr>
          <w:rFonts w:cs="Arial"/>
        </w:rPr>
        <w:t>:</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851"/>
        <w:gridCol w:w="283"/>
        <w:gridCol w:w="1701"/>
        <w:gridCol w:w="284"/>
        <w:gridCol w:w="1701"/>
      </w:tblGrid>
      <w:tr w:rsidR="00AE1E14" w:rsidRPr="00612555" w14:paraId="7A70F756" w14:textId="77777777" w:rsidTr="00AE1E14">
        <w:tc>
          <w:tcPr>
            <w:tcW w:w="4536" w:type="dxa"/>
            <w:tcBorders>
              <w:bottom w:val="single" w:sz="4" w:space="0" w:color="auto"/>
            </w:tcBorders>
            <w:vAlign w:val="bottom"/>
          </w:tcPr>
          <w:p w14:paraId="477FD953" w14:textId="77777777" w:rsidR="00AE1E14" w:rsidRPr="00AE1E14" w:rsidRDefault="00AE1E14">
            <w:pPr>
              <w:pStyle w:val="BodyText"/>
              <w:rPr>
                <w:rFonts w:cs="Arial"/>
                <w:sz w:val="20"/>
                <w:szCs w:val="20"/>
              </w:rPr>
            </w:pPr>
          </w:p>
        </w:tc>
        <w:tc>
          <w:tcPr>
            <w:tcW w:w="851" w:type="dxa"/>
            <w:tcBorders>
              <w:bottom w:val="single" w:sz="4" w:space="0" w:color="auto"/>
            </w:tcBorders>
            <w:vAlign w:val="bottom"/>
          </w:tcPr>
          <w:p w14:paraId="0EC11208" w14:textId="77777777" w:rsidR="00AE1E14" w:rsidRPr="00AE1E14" w:rsidRDefault="00AE1E14">
            <w:pPr>
              <w:pStyle w:val="BodyText"/>
              <w:jc w:val="center"/>
              <w:rPr>
                <w:rFonts w:cs="Arial"/>
                <w:sz w:val="20"/>
                <w:szCs w:val="20"/>
              </w:rPr>
            </w:pPr>
          </w:p>
        </w:tc>
        <w:tc>
          <w:tcPr>
            <w:tcW w:w="283" w:type="dxa"/>
            <w:tcBorders>
              <w:bottom w:val="single" w:sz="4" w:space="0" w:color="auto"/>
            </w:tcBorders>
            <w:vAlign w:val="bottom"/>
          </w:tcPr>
          <w:p w14:paraId="1FDD7E52" w14:textId="77777777" w:rsidR="00AE1E14" w:rsidRPr="00AE1E14" w:rsidRDefault="00AE1E14">
            <w:pPr>
              <w:pStyle w:val="BodyText"/>
              <w:jc w:val="right"/>
              <w:rPr>
                <w:rFonts w:cs="Arial"/>
                <w:sz w:val="20"/>
                <w:szCs w:val="20"/>
              </w:rPr>
            </w:pPr>
          </w:p>
        </w:tc>
        <w:tc>
          <w:tcPr>
            <w:tcW w:w="1701" w:type="dxa"/>
            <w:tcBorders>
              <w:bottom w:val="single" w:sz="4" w:space="0" w:color="auto"/>
            </w:tcBorders>
            <w:vAlign w:val="bottom"/>
          </w:tcPr>
          <w:p w14:paraId="350D261A" w14:textId="5708F631" w:rsidR="00AE1E14" w:rsidRPr="00AE1E14" w:rsidRDefault="00E91EF5">
            <w:pPr>
              <w:pStyle w:val="BodyText"/>
              <w:tabs>
                <w:tab w:val="decimal" w:pos="1241"/>
              </w:tabs>
              <w:rPr>
                <w:rFonts w:cs="Arial"/>
                <w:sz w:val="20"/>
                <w:szCs w:val="20"/>
              </w:rPr>
            </w:pPr>
            <w:r>
              <w:rPr>
                <w:rFonts w:cs="Arial"/>
                <w:sz w:val="20"/>
                <w:szCs w:val="20"/>
              </w:rPr>
              <w:t>June 30</w:t>
            </w:r>
          </w:p>
          <w:p w14:paraId="0F43D939" w14:textId="5E4FC388" w:rsidR="00AE1E14" w:rsidRPr="00AE1E14" w:rsidRDefault="00AE1E14">
            <w:pPr>
              <w:pStyle w:val="BodyText"/>
              <w:tabs>
                <w:tab w:val="decimal" w:pos="1241"/>
              </w:tabs>
              <w:rPr>
                <w:rFonts w:cs="Arial"/>
                <w:sz w:val="20"/>
                <w:szCs w:val="20"/>
              </w:rPr>
            </w:pPr>
            <w:r w:rsidRPr="00AE1E14">
              <w:rPr>
                <w:rFonts w:cs="Arial"/>
                <w:sz w:val="20"/>
                <w:szCs w:val="20"/>
              </w:rPr>
              <w:t xml:space="preserve">      2026</w:t>
            </w:r>
          </w:p>
        </w:tc>
        <w:tc>
          <w:tcPr>
            <w:tcW w:w="284" w:type="dxa"/>
            <w:tcBorders>
              <w:bottom w:val="single" w:sz="4" w:space="0" w:color="auto"/>
            </w:tcBorders>
            <w:vAlign w:val="bottom"/>
          </w:tcPr>
          <w:p w14:paraId="38F1137C" w14:textId="77777777" w:rsidR="00AE1E14" w:rsidRPr="00AE1E14" w:rsidRDefault="00AE1E14">
            <w:pPr>
              <w:pStyle w:val="BodyText"/>
              <w:jc w:val="right"/>
              <w:rPr>
                <w:rFonts w:cs="Arial"/>
                <w:sz w:val="20"/>
                <w:szCs w:val="20"/>
              </w:rPr>
            </w:pPr>
          </w:p>
        </w:tc>
        <w:tc>
          <w:tcPr>
            <w:tcW w:w="1701" w:type="dxa"/>
            <w:tcBorders>
              <w:bottom w:val="single" w:sz="4" w:space="0" w:color="auto"/>
            </w:tcBorders>
            <w:vAlign w:val="bottom"/>
          </w:tcPr>
          <w:p w14:paraId="5E367DEA" w14:textId="77777777" w:rsidR="00AE1E14" w:rsidRPr="00AE1E14" w:rsidRDefault="00AE1E14">
            <w:pPr>
              <w:pStyle w:val="BodyText"/>
              <w:tabs>
                <w:tab w:val="decimal" w:pos="1241"/>
              </w:tabs>
              <w:rPr>
                <w:rFonts w:cs="Arial"/>
                <w:sz w:val="20"/>
                <w:szCs w:val="20"/>
              </w:rPr>
            </w:pPr>
            <w:r w:rsidRPr="00AE1E14">
              <w:rPr>
                <w:rFonts w:cs="Arial"/>
                <w:sz w:val="20"/>
                <w:szCs w:val="20"/>
              </w:rPr>
              <w:t>December 31</w:t>
            </w:r>
          </w:p>
          <w:p w14:paraId="1385433B" w14:textId="7D9BD48F" w:rsidR="00AE1E14" w:rsidRPr="00AE1E14" w:rsidRDefault="00AE1E14">
            <w:pPr>
              <w:pStyle w:val="BodyText"/>
              <w:tabs>
                <w:tab w:val="decimal" w:pos="1241"/>
              </w:tabs>
              <w:rPr>
                <w:rFonts w:cs="Arial"/>
                <w:sz w:val="20"/>
                <w:szCs w:val="20"/>
              </w:rPr>
            </w:pPr>
            <w:r w:rsidRPr="00AE1E14">
              <w:rPr>
                <w:rFonts w:cs="Arial"/>
                <w:sz w:val="20"/>
                <w:szCs w:val="20"/>
              </w:rPr>
              <w:t xml:space="preserve"> 2025</w:t>
            </w:r>
          </w:p>
        </w:tc>
      </w:tr>
      <w:tr w:rsidR="008C6348" w:rsidRPr="00612555" w14:paraId="5BECCC86" w14:textId="77777777" w:rsidTr="00AE1E14">
        <w:tc>
          <w:tcPr>
            <w:tcW w:w="4536" w:type="dxa"/>
            <w:vAlign w:val="bottom"/>
          </w:tcPr>
          <w:p w14:paraId="5ACD9454" w14:textId="77777777" w:rsidR="008C6348" w:rsidRPr="00AE1E14" w:rsidRDefault="008C6348" w:rsidP="008C6348">
            <w:pPr>
              <w:pStyle w:val="BodyText"/>
              <w:spacing w:before="40"/>
              <w:rPr>
                <w:rFonts w:cs="Arial"/>
                <w:sz w:val="20"/>
                <w:szCs w:val="20"/>
              </w:rPr>
            </w:pPr>
            <w:r w:rsidRPr="00AE1E14">
              <w:rPr>
                <w:rFonts w:cs="Arial"/>
                <w:sz w:val="20"/>
                <w:szCs w:val="20"/>
              </w:rPr>
              <w:t>Series V Notes</w:t>
            </w:r>
          </w:p>
        </w:tc>
        <w:tc>
          <w:tcPr>
            <w:tcW w:w="851" w:type="dxa"/>
            <w:vAlign w:val="bottom"/>
          </w:tcPr>
          <w:p w14:paraId="1BC03E8C" w14:textId="77777777" w:rsidR="008C6348" w:rsidRPr="00AE1E14" w:rsidRDefault="008C6348" w:rsidP="008C6348">
            <w:pPr>
              <w:pStyle w:val="BodyText"/>
              <w:spacing w:before="40"/>
              <w:jc w:val="center"/>
              <w:rPr>
                <w:rFonts w:cs="Arial"/>
                <w:sz w:val="20"/>
                <w:szCs w:val="20"/>
              </w:rPr>
            </w:pPr>
          </w:p>
        </w:tc>
        <w:tc>
          <w:tcPr>
            <w:tcW w:w="283" w:type="dxa"/>
            <w:vAlign w:val="bottom"/>
          </w:tcPr>
          <w:p w14:paraId="392C4725" w14:textId="77777777" w:rsidR="008C6348" w:rsidRPr="00AE1E14" w:rsidRDefault="008C6348" w:rsidP="008C6348">
            <w:pPr>
              <w:pStyle w:val="BodyText"/>
              <w:spacing w:before="40"/>
              <w:jc w:val="right"/>
              <w:rPr>
                <w:rFonts w:cs="Arial"/>
                <w:sz w:val="20"/>
                <w:szCs w:val="20"/>
              </w:rPr>
            </w:pPr>
            <w:r w:rsidRPr="00AE1E14">
              <w:rPr>
                <w:rFonts w:cs="Arial"/>
                <w:sz w:val="20"/>
                <w:szCs w:val="20"/>
              </w:rPr>
              <w:t>$</w:t>
            </w:r>
          </w:p>
        </w:tc>
        <w:tc>
          <w:tcPr>
            <w:tcW w:w="1701" w:type="dxa"/>
            <w:vAlign w:val="bottom"/>
          </w:tcPr>
          <w:p w14:paraId="72B21873" w14:textId="0D0C3FF8" w:rsidR="008C6348" w:rsidRPr="00AE1E14" w:rsidRDefault="008C6348" w:rsidP="008C6348">
            <w:pPr>
              <w:pStyle w:val="BodyText"/>
              <w:spacing w:before="40"/>
              <w:ind w:right="225"/>
              <w:jc w:val="right"/>
              <w:rPr>
                <w:rFonts w:cs="Arial"/>
                <w:sz w:val="20"/>
                <w:szCs w:val="20"/>
              </w:rPr>
            </w:pPr>
            <w:r w:rsidRPr="00AE1E14">
              <w:rPr>
                <w:rFonts w:cs="Arial"/>
                <w:sz w:val="20"/>
                <w:szCs w:val="20"/>
              </w:rPr>
              <w:t>–</w:t>
            </w:r>
          </w:p>
        </w:tc>
        <w:tc>
          <w:tcPr>
            <w:tcW w:w="284" w:type="dxa"/>
            <w:vAlign w:val="bottom"/>
          </w:tcPr>
          <w:p w14:paraId="3560F4F4" w14:textId="77777777" w:rsidR="008C6348" w:rsidRPr="00AE1E14" w:rsidRDefault="008C6348" w:rsidP="008C6348">
            <w:pPr>
              <w:pStyle w:val="BodyText"/>
              <w:spacing w:before="40"/>
              <w:jc w:val="right"/>
              <w:rPr>
                <w:rFonts w:cs="Arial"/>
                <w:sz w:val="20"/>
                <w:szCs w:val="20"/>
              </w:rPr>
            </w:pPr>
            <w:r w:rsidRPr="00AE1E14">
              <w:rPr>
                <w:rFonts w:cs="Arial"/>
                <w:sz w:val="20"/>
                <w:szCs w:val="20"/>
              </w:rPr>
              <w:t>$</w:t>
            </w:r>
          </w:p>
        </w:tc>
        <w:tc>
          <w:tcPr>
            <w:tcW w:w="1701" w:type="dxa"/>
            <w:vAlign w:val="bottom"/>
          </w:tcPr>
          <w:p w14:paraId="63A2142C" w14:textId="77777777" w:rsidR="008C6348" w:rsidRPr="00AE1E14" w:rsidRDefault="008C6348" w:rsidP="008C6348">
            <w:pPr>
              <w:pStyle w:val="BodyText"/>
              <w:spacing w:before="40"/>
              <w:ind w:right="236"/>
              <w:jc w:val="right"/>
              <w:rPr>
                <w:rFonts w:cs="Arial"/>
                <w:sz w:val="20"/>
                <w:szCs w:val="20"/>
              </w:rPr>
            </w:pPr>
            <w:r w:rsidRPr="00AE1E14">
              <w:rPr>
                <w:rFonts w:cs="Arial"/>
                <w:sz w:val="20"/>
                <w:szCs w:val="20"/>
              </w:rPr>
              <w:t>7.18 million</w:t>
            </w:r>
          </w:p>
        </w:tc>
      </w:tr>
      <w:tr w:rsidR="008C6348" w:rsidRPr="00612555" w14:paraId="7C84E069" w14:textId="77777777" w:rsidTr="00AE1E14">
        <w:tc>
          <w:tcPr>
            <w:tcW w:w="4536" w:type="dxa"/>
            <w:vAlign w:val="bottom"/>
          </w:tcPr>
          <w:p w14:paraId="266F2A24" w14:textId="77777777" w:rsidR="008C6348" w:rsidRPr="00AE1E14" w:rsidRDefault="008C6348" w:rsidP="008C6348">
            <w:pPr>
              <w:pStyle w:val="BodyText"/>
              <w:rPr>
                <w:rFonts w:cs="Arial"/>
                <w:sz w:val="20"/>
                <w:szCs w:val="20"/>
                <w:lang w:val="es-AR"/>
              </w:rPr>
            </w:pPr>
            <w:r w:rsidRPr="00AE1E14">
              <w:rPr>
                <w:rFonts w:cs="Arial"/>
                <w:sz w:val="20"/>
                <w:szCs w:val="20"/>
                <w:lang w:val="es-AR"/>
              </w:rPr>
              <w:t>Series VI Notes</w:t>
            </w:r>
          </w:p>
        </w:tc>
        <w:tc>
          <w:tcPr>
            <w:tcW w:w="851" w:type="dxa"/>
            <w:vAlign w:val="bottom"/>
          </w:tcPr>
          <w:p w14:paraId="11B06B6A" w14:textId="77777777" w:rsidR="008C6348" w:rsidRPr="00AE1E14" w:rsidRDefault="008C6348" w:rsidP="008C6348">
            <w:pPr>
              <w:pStyle w:val="BodyText"/>
              <w:jc w:val="center"/>
              <w:rPr>
                <w:rFonts w:cs="Arial"/>
                <w:sz w:val="20"/>
                <w:szCs w:val="20"/>
                <w:lang w:val="es-AR"/>
              </w:rPr>
            </w:pPr>
          </w:p>
        </w:tc>
        <w:tc>
          <w:tcPr>
            <w:tcW w:w="283" w:type="dxa"/>
            <w:vAlign w:val="bottom"/>
          </w:tcPr>
          <w:p w14:paraId="38158E29" w14:textId="77777777" w:rsidR="008C6348" w:rsidRPr="00AE1E14" w:rsidRDefault="008C6348" w:rsidP="008C6348">
            <w:pPr>
              <w:pStyle w:val="BodyText"/>
              <w:jc w:val="right"/>
              <w:rPr>
                <w:rFonts w:cs="Arial"/>
                <w:sz w:val="20"/>
                <w:szCs w:val="20"/>
                <w:lang w:val="es-AR"/>
              </w:rPr>
            </w:pPr>
          </w:p>
        </w:tc>
        <w:tc>
          <w:tcPr>
            <w:tcW w:w="1701" w:type="dxa"/>
            <w:vAlign w:val="bottom"/>
          </w:tcPr>
          <w:p w14:paraId="2DFB8DC4" w14:textId="40349F18" w:rsidR="008C6348" w:rsidRPr="008C6348" w:rsidRDefault="008C6348" w:rsidP="008C6348">
            <w:pPr>
              <w:pStyle w:val="BodyText"/>
              <w:ind w:right="225"/>
              <w:jc w:val="right"/>
              <w:rPr>
                <w:rFonts w:cs="Arial"/>
                <w:sz w:val="20"/>
                <w:szCs w:val="20"/>
              </w:rPr>
            </w:pPr>
            <w:r w:rsidRPr="008C6348">
              <w:rPr>
                <w:rFonts w:cs="Arial"/>
                <w:sz w:val="20"/>
                <w:szCs w:val="20"/>
              </w:rPr>
              <w:t>22.00 million</w:t>
            </w:r>
          </w:p>
        </w:tc>
        <w:tc>
          <w:tcPr>
            <w:tcW w:w="284" w:type="dxa"/>
            <w:vAlign w:val="bottom"/>
          </w:tcPr>
          <w:p w14:paraId="267A6DFF" w14:textId="77777777" w:rsidR="008C6348" w:rsidRPr="00AE1E14" w:rsidRDefault="008C6348" w:rsidP="008C6348">
            <w:pPr>
              <w:pStyle w:val="BodyText"/>
              <w:jc w:val="right"/>
              <w:rPr>
                <w:rFonts w:cs="Arial"/>
                <w:sz w:val="20"/>
                <w:szCs w:val="20"/>
              </w:rPr>
            </w:pPr>
          </w:p>
        </w:tc>
        <w:tc>
          <w:tcPr>
            <w:tcW w:w="1701" w:type="dxa"/>
            <w:vAlign w:val="bottom"/>
          </w:tcPr>
          <w:p w14:paraId="41DAA8A7" w14:textId="77777777" w:rsidR="008C6348" w:rsidRPr="00AE1E14" w:rsidRDefault="008C6348" w:rsidP="008C6348">
            <w:pPr>
              <w:pStyle w:val="BodyText"/>
              <w:ind w:right="236"/>
              <w:jc w:val="right"/>
              <w:rPr>
                <w:rFonts w:cs="Arial"/>
                <w:sz w:val="20"/>
                <w:szCs w:val="20"/>
              </w:rPr>
            </w:pPr>
            <w:r w:rsidRPr="00AE1E14">
              <w:rPr>
                <w:rFonts w:cs="Arial"/>
                <w:sz w:val="20"/>
                <w:szCs w:val="20"/>
              </w:rPr>
              <w:t>22.00 million</w:t>
            </w:r>
          </w:p>
        </w:tc>
      </w:tr>
      <w:tr w:rsidR="008C6348" w:rsidRPr="00612555" w14:paraId="7C0D5A13" w14:textId="77777777" w:rsidTr="00AE1E14">
        <w:tc>
          <w:tcPr>
            <w:tcW w:w="4536" w:type="dxa"/>
            <w:vAlign w:val="bottom"/>
          </w:tcPr>
          <w:p w14:paraId="10A222DE" w14:textId="77777777" w:rsidR="008C6348" w:rsidRPr="00AE1E14" w:rsidRDefault="008C6348" w:rsidP="008C6348">
            <w:pPr>
              <w:pStyle w:val="BodyText"/>
              <w:rPr>
                <w:rFonts w:cs="Arial"/>
                <w:sz w:val="20"/>
                <w:szCs w:val="20"/>
                <w:lang w:val="es-AR"/>
              </w:rPr>
            </w:pPr>
            <w:r w:rsidRPr="00AE1E14">
              <w:rPr>
                <w:rFonts w:cs="Arial"/>
                <w:sz w:val="20"/>
                <w:szCs w:val="20"/>
                <w:lang w:val="es-AR"/>
              </w:rPr>
              <w:t>Series VII Notes</w:t>
            </w:r>
          </w:p>
        </w:tc>
        <w:tc>
          <w:tcPr>
            <w:tcW w:w="851" w:type="dxa"/>
            <w:vAlign w:val="bottom"/>
          </w:tcPr>
          <w:p w14:paraId="372068E7" w14:textId="77777777" w:rsidR="008C6348" w:rsidRPr="00AE1E14" w:rsidRDefault="008C6348" w:rsidP="008C6348">
            <w:pPr>
              <w:pStyle w:val="BodyText"/>
              <w:jc w:val="center"/>
              <w:rPr>
                <w:rFonts w:cs="Arial"/>
                <w:sz w:val="20"/>
                <w:szCs w:val="20"/>
                <w:lang w:val="es-AR"/>
              </w:rPr>
            </w:pPr>
          </w:p>
        </w:tc>
        <w:tc>
          <w:tcPr>
            <w:tcW w:w="283" w:type="dxa"/>
            <w:vAlign w:val="bottom"/>
          </w:tcPr>
          <w:p w14:paraId="71653FFB" w14:textId="77777777" w:rsidR="008C6348" w:rsidRPr="00AE1E14" w:rsidRDefault="008C6348" w:rsidP="008C6348">
            <w:pPr>
              <w:pStyle w:val="BodyText"/>
              <w:jc w:val="right"/>
              <w:rPr>
                <w:rFonts w:cs="Arial"/>
                <w:sz w:val="20"/>
                <w:szCs w:val="20"/>
                <w:lang w:val="es-AR"/>
              </w:rPr>
            </w:pPr>
          </w:p>
        </w:tc>
        <w:tc>
          <w:tcPr>
            <w:tcW w:w="1701" w:type="dxa"/>
            <w:vAlign w:val="bottom"/>
          </w:tcPr>
          <w:p w14:paraId="545466C2" w14:textId="3DC82F57" w:rsidR="008C6348" w:rsidRPr="008C6348" w:rsidRDefault="008C6348" w:rsidP="008C6348">
            <w:pPr>
              <w:pStyle w:val="BodyText"/>
              <w:ind w:right="225"/>
              <w:jc w:val="right"/>
              <w:rPr>
                <w:rFonts w:cs="Arial"/>
                <w:sz w:val="20"/>
                <w:szCs w:val="20"/>
              </w:rPr>
            </w:pPr>
            <w:r w:rsidRPr="008C6348">
              <w:rPr>
                <w:rFonts w:cs="Arial"/>
                <w:sz w:val="20"/>
                <w:szCs w:val="20"/>
              </w:rPr>
              <w:t>25.00 million</w:t>
            </w:r>
          </w:p>
        </w:tc>
        <w:tc>
          <w:tcPr>
            <w:tcW w:w="284" w:type="dxa"/>
            <w:vAlign w:val="bottom"/>
          </w:tcPr>
          <w:p w14:paraId="44F713F1" w14:textId="77777777" w:rsidR="008C6348" w:rsidRPr="00AE1E14" w:rsidRDefault="008C6348" w:rsidP="008C6348">
            <w:pPr>
              <w:pStyle w:val="BodyText"/>
              <w:jc w:val="right"/>
              <w:rPr>
                <w:rFonts w:cs="Arial"/>
                <w:sz w:val="20"/>
                <w:szCs w:val="20"/>
              </w:rPr>
            </w:pPr>
          </w:p>
        </w:tc>
        <w:tc>
          <w:tcPr>
            <w:tcW w:w="1701" w:type="dxa"/>
            <w:vAlign w:val="bottom"/>
          </w:tcPr>
          <w:p w14:paraId="55C4DADE" w14:textId="77777777" w:rsidR="008C6348" w:rsidRPr="00AE1E14" w:rsidRDefault="008C6348" w:rsidP="008C6348">
            <w:pPr>
              <w:pStyle w:val="BodyText"/>
              <w:ind w:right="236"/>
              <w:jc w:val="right"/>
              <w:rPr>
                <w:rFonts w:cs="Arial"/>
                <w:sz w:val="20"/>
                <w:szCs w:val="20"/>
              </w:rPr>
            </w:pPr>
            <w:r w:rsidRPr="00AE1E14">
              <w:rPr>
                <w:rFonts w:cs="Arial"/>
                <w:sz w:val="20"/>
                <w:szCs w:val="20"/>
              </w:rPr>
              <w:t>25.00 million</w:t>
            </w:r>
          </w:p>
        </w:tc>
      </w:tr>
      <w:tr w:rsidR="008C6348" w:rsidRPr="00612555" w14:paraId="1AA81B62" w14:textId="77777777" w:rsidTr="00AE1E14">
        <w:tc>
          <w:tcPr>
            <w:tcW w:w="4536" w:type="dxa"/>
            <w:vAlign w:val="bottom"/>
          </w:tcPr>
          <w:p w14:paraId="1E1CA7CC" w14:textId="7C1EDE75" w:rsidR="008C6348" w:rsidRPr="00AE1E14" w:rsidRDefault="008C6348" w:rsidP="008C6348">
            <w:pPr>
              <w:pStyle w:val="BodyText"/>
              <w:rPr>
                <w:rFonts w:cs="Arial"/>
                <w:sz w:val="20"/>
                <w:szCs w:val="20"/>
                <w:lang w:val="es-AR"/>
              </w:rPr>
            </w:pPr>
            <w:r w:rsidRPr="00AE1E14">
              <w:rPr>
                <w:rFonts w:cs="Arial"/>
                <w:sz w:val="20"/>
                <w:szCs w:val="20"/>
                <w:lang w:val="es-AR"/>
              </w:rPr>
              <w:t xml:space="preserve">Series IX Notes </w:t>
            </w:r>
          </w:p>
        </w:tc>
        <w:tc>
          <w:tcPr>
            <w:tcW w:w="851" w:type="dxa"/>
            <w:vAlign w:val="bottom"/>
          </w:tcPr>
          <w:p w14:paraId="4C5DEEDD" w14:textId="77777777" w:rsidR="008C6348" w:rsidRPr="00AE1E14" w:rsidRDefault="008C6348" w:rsidP="008C6348">
            <w:pPr>
              <w:pStyle w:val="BodyText"/>
              <w:jc w:val="center"/>
              <w:rPr>
                <w:rFonts w:cs="Arial"/>
                <w:sz w:val="20"/>
                <w:szCs w:val="20"/>
                <w:lang w:val="es-AR"/>
              </w:rPr>
            </w:pPr>
          </w:p>
        </w:tc>
        <w:tc>
          <w:tcPr>
            <w:tcW w:w="283" w:type="dxa"/>
            <w:vAlign w:val="bottom"/>
          </w:tcPr>
          <w:p w14:paraId="4AA17624" w14:textId="77777777" w:rsidR="008C6348" w:rsidRPr="00AE1E14" w:rsidRDefault="008C6348" w:rsidP="008C6348">
            <w:pPr>
              <w:pStyle w:val="BodyText"/>
              <w:jc w:val="right"/>
              <w:rPr>
                <w:rFonts w:cs="Arial"/>
                <w:sz w:val="20"/>
                <w:szCs w:val="20"/>
                <w:lang w:val="es-AR"/>
              </w:rPr>
            </w:pPr>
          </w:p>
        </w:tc>
        <w:tc>
          <w:tcPr>
            <w:tcW w:w="1701" w:type="dxa"/>
            <w:vAlign w:val="bottom"/>
          </w:tcPr>
          <w:p w14:paraId="2F3E2576" w14:textId="43CCEB5B" w:rsidR="008C6348" w:rsidRPr="008C6348" w:rsidRDefault="008C6348" w:rsidP="008C6348">
            <w:pPr>
              <w:pStyle w:val="BodyText"/>
              <w:ind w:right="225"/>
              <w:jc w:val="right"/>
              <w:rPr>
                <w:rFonts w:cs="Arial"/>
                <w:sz w:val="20"/>
                <w:szCs w:val="20"/>
              </w:rPr>
            </w:pPr>
            <w:r w:rsidRPr="008C6348">
              <w:rPr>
                <w:rFonts w:cs="Arial"/>
                <w:sz w:val="20"/>
                <w:szCs w:val="20"/>
              </w:rPr>
              <w:t>30.00 million</w:t>
            </w:r>
          </w:p>
        </w:tc>
        <w:tc>
          <w:tcPr>
            <w:tcW w:w="284" w:type="dxa"/>
            <w:vAlign w:val="bottom"/>
          </w:tcPr>
          <w:p w14:paraId="7E2FE64C" w14:textId="77777777" w:rsidR="008C6348" w:rsidRPr="00AE1E14" w:rsidRDefault="008C6348" w:rsidP="008C6348">
            <w:pPr>
              <w:pStyle w:val="BodyText"/>
              <w:jc w:val="right"/>
              <w:rPr>
                <w:rFonts w:cs="Arial"/>
                <w:sz w:val="20"/>
                <w:szCs w:val="20"/>
              </w:rPr>
            </w:pPr>
          </w:p>
        </w:tc>
        <w:tc>
          <w:tcPr>
            <w:tcW w:w="1701" w:type="dxa"/>
            <w:vAlign w:val="bottom"/>
          </w:tcPr>
          <w:p w14:paraId="0EA2E7ED" w14:textId="77777777" w:rsidR="008C6348" w:rsidRPr="00AE1E14" w:rsidRDefault="008C6348" w:rsidP="008C6348">
            <w:pPr>
              <w:pStyle w:val="BodyText"/>
              <w:ind w:right="236"/>
              <w:jc w:val="right"/>
              <w:rPr>
                <w:rFonts w:cs="Arial"/>
                <w:sz w:val="20"/>
                <w:szCs w:val="20"/>
              </w:rPr>
            </w:pPr>
            <w:r w:rsidRPr="00AE1E14">
              <w:rPr>
                <w:rFonts w:cs="Arial"/>
                <w:sz w:val="20"/>
                <w:szCs w:val="20"/>
              </w:rPr>
              <w:t>–</w:t>
            </w:r>
          </w:p>
        </w:tc>
      </w:tr>
      <w:tr w:rsidR="008C6348" w:rsidRPr="00612555" w14:paraId="1B0B4797" w14:textId="77777777" w:rsidTr="00AE1E14">
        <w:tc>
          <w:tcPr>
            <w:tcW w:w="4536" w:type="dxa"/>
            <w:tcBorders>
              <w:top w:val="single" w:sz="4" w:space="0" w:color="auto"/>
              <w:bottom w:val="single" w:sz="12" w:space="0" w:color="auto"/>
            </w:tcBorders>
            <w:vAlign w:val="bottom"/>
          </w:tcPr>
          <w:p w14:paraId="3E2F3F7D" w14:textId="77777777" w:rsidR="008C6348" w:rsidRPr="00AE1E14" w:rsidRDefault="008C6348" w:rsidP="008C6348">
            <w:pPr>
              <w:pStyle w:val="BodyText"/>
              <w:spacing w:before="120"/>
              <w:rPr>
                <w:rFonts w:cs="Arial"/>
                <w:sz w:val="20"/>
                <w:szCs w:val="20"/>
              </w:rPr>
            </w:pPr>
          </w:p>
        </w:tc>
        <w:tc>
          <w:tcPr>
            <w:tcW w:w="851" w:type="dxa"/>
            <w:tcBorders>
              <w:top w:val="single" w:sz="4" w:space="0" w:color="auto"/>
              <w:bottom w:val="single" w:sz="12" w:space="0" w:color="auto"/>
            </w:tcBorders>
            <w:vAlign w:val="bottom"/>
          </w:tcPr>
          <w:p w14:paraId="35A383CA" w14:textId="77777777" w:rsidR="008C6348" w:rsidRPr="00AE1E14" w:rsidRDefault="008C6348" w:rsidP="008C6348">
            <w:pPr>
              <w:pStyle w:val="BodyText"/>
              <w:spacing w:before="120"/>
              <w:jc w:val="center"/>
              <w:rPr>
                <w:rFonts w:cs="Arial"/>
                <w:sz w:val="20"/>
                <w:szCs w:val="20"/>
              </w:rPr>
            </w:pPr>
          </w:p>
        </w:tc>
        <w:tc>
          <w:tcPr>
            <w:tcW w:w="283" w:type="dxa"/>
            <w:tcBorders>
              <w:top w:val="single" w:sz="4" w:space="0" w:color="auto"/>
              <w:bottom w:val="single" w:sz="12" w:space="0" w:color="auto"/>
            </w:tcBorders>
            <w:vAlign w:val="bottom"/>
          </w:tcPr>
          <w:p w14:paraId="5D03AD01" w14:textId="77777777" w:rsidR="008C6348" w:rsidRPr="00AE1E14" w:rsidRDefault="008C6348" w:rsidP="008C6348">
            <w:pPr>
              <w:pStyle w:val="BodyText"/>
              <w:spacing w:before="120"/>
              <w:jc w:val="right"/>
              <w:rPr>
                <w:rFonts w:cs="Arial"/>
                <w:sz w:val="20"/>
                <w:szCs w:val="20"/>
              </w:rPr>
            </w:pPr>
            <w:r w:rsidRPr="00AE1E14">
              <w:rPr>
                <w:rFonts w:cs="Arial"/>
                <w:sz w:val="20"/>
                <w:szCs w:val="20"/>
              </w:rPr>
              <w:t>$</w:t>
            </w:r>
          </w:p>
        </w:tc>
        <w:tc>
          <w:tcPr>
            <w:tcW w:w="1701" w:type="dxa"/>
            <w:tcBorders>
              <w:top w:val="single" w:sz="4" w:space="0" w:color="auto"/>
              <w:bottom w:val="single" w:sz="12" w:space="0" w:color="auto"/>
            </w:tcBorders>
            <w:vAlign w:val="bottom"/>
          </w:tcPr>
          <w:p w14:paraId="7110EA49" w14:textId="276DD83A" w:rsidR="008C6348" w:rsidRPr="008C6348" w:rsidRDefault="008C6348" w:rsidP="008C6348">
            <w:pPr>
              <w:pStyle w:val="BodyText"/>
              <w:spacing w:before="120"/>
              <w:ind w:right="225"/>
              <w:jc w:val="right"/>
              <w:rPr>
                <w:rFonts w:cs="Arial"/>
                <w:sz w:val="20"/>
                <w:szCs w:val="20"/>
              </w:rPr>
            </w:pPr>
            <w:r w:rsidRPr="008C6348">
              <w:rPr>
                <w:rFonts w:cs="Arial"/>
                <w:sz w:val="20"/>
                <w:szCs w:val="20"/>
              </w:rPr>
              <w:t>77.00 million</w:t>
            </w:r>
          </w:p>
        </w:tc>
        <w:tc>
          <w:tcPr>
            <w:tcW w:w="284" w:type="dxa"/>
            <w:tcBorders>
              <w:top w:val="single" w:sz="4" w:space="0" w:color="auto"/>
              <w:bottom w:val="single" w:sz="12" w:space="0" w:color="auto"/>
            </w:tcBorders>
            <w:vAlign w:val="bottom"/>
          </w:tcPr>
          <w:p w14:paraId="30F8D414" w14:textId="77777777" w:rsidR="008C6348" w:rsidRPr="00AE1E14" w:rsidRDefault="008C6348" w:rsidP="008C6348">
            <w:pPr>
              <w:pStyle w:val="BodyText"/>
              <w:spacing w:before="120"/>
              <w:jc w:val="right"/>
              <w:rPr>
                <w:rFonts w:cs="Arial"/>
                <w:sz w:val="20"/>
                <w:szCs w:val="20"/>
              </w:rPr>
            </w:pPr>
            <w:r w:rsidRPr="00AE1E14">
              <w:rPr>
                <w:rFonts w:cs="Arial"/>
                <w:sz w:val="20"/>
                <w:szCs w:val="20"/>
              </w:rPr>
              <w:t>$</w:t>
            </w:r>
          </w:p>
        </w:tc>
        <w:tc>
          <w:tcPr>
            <w:tcW w:w="1701" w:type="dxa"/>
            <w:tcBorders>
              <w:top w:val="single" w:sz="4" w:space="0" w:color="auto"/>
              <w:bottom w:val="single" w:sz="12" w:space="0" w:color="auto"/>
            </w:tcBorders>
            <w:vAlign w:val="bottom"/>
          </w:tcPr>
          <w:p w14:paraId="54ECC9EC" w14:textId="77777777" w:rsidR="008C6348" w:rsidRPr="00AE1E14" w:rsidRDefault="008C6348" w:rsidP="008C6348">
            <w:pPr>
              <w:pStyle w:val="BodyText"/>
              <w:spacing w:before="120"/>
              <w:ind w:right="236"/>
              <w:jc w:val="right"/>
              <w:rPr>
                <w:rFonts w:cs="Arial"/>
                <w:sz w:val="20"/>
                <w:szCs w:val="20"/>
              </w:rPr>
            </w:pPr>
            <w:r w:rsidRPr="00AE1E14">
              <w:rPr>
                <w:rFonts w:cs="Arial"/>
                <w:sz w:val="20"/>
                <w:szCs w:val="20"/>
              </w:rPr>
              <w:t>54.18 million</w:t>
            </w:r>
          </w:p>
        </w:tc>
      </w:tr>
      <w:tr w:rsidR="008C6348" w:rsidRPr="00612555" w14:paraId="780DCE28" w14:textId="77777777" w:rsidTr="00AE1E14">
        <w:tc>
          <w:tcPr>
            <w:tcW w:w="4536" w:type="dxa"/>
            <w:tcBorders>
              <w:top w:val="single" w:sz="12" w:space="0" w:color="auto"/>
            </w:tcBorders>
            <w:vAlign w:val="bottom"/>
          </w:tcPr>
          <w:p w14:paraId="1AC63211" w14:textId="77777777" w:rsidR="008C6348" w:rsidRPr="00612555" w:rsidRDefault="008C6348" w:rsidP="008C6348">
            <w:pPr>
              <w:pStyle w:val="BodyText"/>
              <w:rPr>
                <w:rFonts w:cs="Arial"/>
                <w:sz w:val="4"/>
                <w:szCs w:val="4"/>
              </w:rPr>
            </w:pPr>
          </w:p>
        </w:tc>
        <w:tc>
          <w:tcPr>
            <w:tcW w:w="851" w:type="dxa"/>
            <w:tcBorders>
              <w:top w:val="single" w:sz="12" w:space="0" w:color="auto"/>
            </w:tcBorders>
            <w:vAlign w:val="bottom"/>
          </w:tcPr>
          <w:p w14:paraId="407B7138" w14:textId="77777777" w:rsidR="008C6348" w:rsidRPr="00612555" w:rsidRDefault="008C6348" w:rsidP="008C6348">
            <w:pPr>
              <w:pStyle w:val="BodyText"/>
              <w:jc w:val="center"/>
              <w:rPr>
                <w:rFonts w:cs="Arial"/>
                <w:sz w:val="4"/>
                <w:szCs w:val="4"/>
              </w:rPr>
            </w:pPr>
          </w:p>
        </w:tc>
        <w:tc>
          <w:tcPr>
            <w:tcW w:w="283" w:type="dxa"/>
            <w:tcBorders>
              <w:top w:val="single" w:sz="12" w:space="0" w:color="auto"/>
            </w:tcBorders>
            <w:vAlign w:val="bottom"/>
          </w:tcPr>
          <w:p w14:paraId="5AB35047" w14:textId="77777777" w:rsidR="008C6348" w:rsidRPr="00612555" w:rsidRDefault="008C6348" w:rsidP="008C6348">
            <w:pPr>
              <w:pStyle w:val="BodyText"/>
              <w:jc w:val="right"/>
              <w:rPr>
                <w:rFonts w:cs="Arial"/>
                <w:sz w:val="4"/>
                <w:szCs w:val="4"/>
              </w:rPr>
            </w:pPr>
          </w:p>
        </w:tc>
        <w:tc>
          <w:tcPr>
            <w:tcW w:w="1701" w:type="dxa"/>
            <w:tcBorders>
              <w:top w:val="single" w:sz="12" w:space="0" w:color="auto"/>
            </w:tcBorders>
            <w:vAlign w:val="bottom"/>
          </w:tcPr>
          <w:p w14:paraId="2C1B92F4" w14:textId="77777777" w:rsidR="008C6348" w:rsidRPr="00612555" w:rsidRDefault="008C6348" w:rsidP="008C6348">
            <w:pPr>
              <w:pStyle w:val="BodyText"/>
              <w:tabs>
                <w:tab w:val="decimal" w:pos="1241"/>
              </w:tabs>
              <w:rPr>
                <w:rFonts w:cs="Arial"/>
                <w:sz w:val="4"/>
                <w:szCs w:val="4"/>
              </w:rPr>
            </w:pPr>
          </w:p>
        </w:tc>
        <w:tc>
          <w:tcPr>
            <w:tcW w:w="284" w:type="dxa"/>
            <w:tcBorders>
              <w:top w:val="single" w:sz="12" w:space="0" w:color="auto"/>
            </w:tcBorders>
            <w:vAlign w:val="bottom"/>
          </w:tcPr>
          <w:p w14:paraId="38E16858" w14:textId="77777777" w:rsidR="008C6348" w:rsidRPr="00612555" w:rsidRDefault="008C6348" w:rsidP="008C6348">
            <w:pPr>
              <w:pStyle w:val="BodyText"/>
              <w:jc w:val="right"/>
              <w:rPr>
                <w:rFonts w:cs="Arial"/>
                <w:sz w:val="4"/>
                <w:szCs w:val="4"/>
              </w:rPr>
            </w:pPr>
          </w:p>
        </w:tc>
        <w:tc>
          <w:tcPr>
            <w:tcW w:w="1701" w:type="dxa"/>
            <w:tcBorders>
              <w:top w:val="single" w:sz="12" w:space="0" w:color="auto"/>
            </w:tcBorders>
            <w:vAlign w:val="bottom"/>
          </w:tcPr>
          <w:p w14:paraId="3A6CB94F" w14:textId="77777777" w:rsidR="008C6348" w:rsidRPr="00612555" w:rsidRDefault="008C6348" w:rsidP="008C6348">
            <w:pPr>
              <w:pStyle w:val="BodyText"/>
              <w:tabs>
                <w:tab w:val="decimal" w:pos="1241"/>
              </w:tabs>
              <w:rPr>
                <w:rFonts w:cs="Arial"/>
                <w:sz w:val="4"/>
                <w:szCs w:val="4"/>
              </w:rPr>
            </w:pPr>
          </w:p>
        </w:tc>
      </w:tr>
    </w:tbl>
    <w:p w14:paraId="4716762A" w14:textId="25F1AE69" w:rsidR="00C22385" w:rsidRPr="00C22385" w:rsidRDefault="00C22385" w:rsidP="00C22385">
      <w:pPr>
        <w:pStyle w:val="BodyText"/>
        <w:spacing w:before="120" w:line="220" w:lineRule="atLeast"/>
        <w:ind w:right="184"/>
        <w:rPr>
          <w:rFonts w:cs="Arial"/>
          <w:sz w:val="20"/>
          <w:szCs w:val="20"/>
        </w:rPr>
      </w:pPr>
      <w:bookmarkStart w:id="20" w:name="_Hlk159324758"/>
      <w:bookmarkStart w:id="21" w:name="_Hlk181736422"/>
      <w:bookmarkStart w:id="22" w:name="_Hlk197936904"/>
      <w:r w:rsidRPr="00C22385">
        <w:rPr>
          <w:rFonts w:cs="Arial"/>
          <w:sz w:val="20"/>
          <w:szCs w:val="20"/>
        </w:rPr>
        <w:t xml:space="preserve">Series V Notes </w:t>
      </w:r>
      <w:r w:rsidR="00EC45C9">
        <w:rPr>
          <w:rFonts w:cs="Arial"/>
          <w:sz w:val="20"/>
          <w:szCs w:val="20"/>
        </w:rPr>
        <w:t>were</w:t>
      </w:r>
      <w:r w:rsidR="00EC45C9" w:rsidRPr="00C22385">
        <w:rPr>
          <w:rFonts w:cs="Arial"/>
          <w:sz w:val="20"/>
          <w:szCs w:val="20"/>
        </w:rPr>
        <w:t xml:space="preserve"> </w:t>
      </w:r>
      <w:r w:rsidRPr="00C22385">
        <w:rPr>
          <w:rFonts w:cs="Arial"/>
          <w:sz w:val="20"/>
          <w:szCs w:val="20"/>
        </w:rPr>
        <w:t>unsecured fixed-rate notes, denominated in USD and payable in ARS in a single installment on February 8, 2026. Series V Notes accrue</w:t>
      </w:r>
      <w:r w:rsidR="00EC45C9">
        <w:rPr>
          <w:rFonts w:cs="Arial"/>
          <w:sz w:val="20"/>
          <w:szCs w:val="20"/>
        </w:rPr>
        <w:t>d</w:t>
      </w:r>
      <w:r w:rsidRPr="00C22385">
        <w:rPr>
          <w:rFonts w:cs="Arial"/>
          <w:sz w:val="20"/>
          <w:szCs w:val="20"/>
        </w:rPr>
        <w:t xml:space="preserve"> interest at a fixed rate of 8% per annum, payable every three months in arrears from the issue date. The principal amount was repaid on February 8, 2026.</w:t>
      </w:r>
    </w:p>
    <w:p w14:paraId="43BFF862" w14:textId="77777777" w:rsidR="00C22385" w:rsidRPr="00C22385" w:rsidRDefault="00C22385" w:rsidP="00C22385">
      <w:pPr>
        <w:pStyle w:val="BodyText"/>
        <w:spacing w:before="120" w:line="220" w:lineRule="atLeast"/>
        <w:ind w:right="184"/>
        <w:rPr>
          <w:rFonts w:cs="Arial"/>
          <w:sz w:val="20"/>
          <w:szCs w:val="20"/>
        </w:rPr>
      </w:pPr>
      <w:r w:rsidRPr="00C22385">
        <w:rPr>
          <w:rFonts w:cs="Arial"/>
          <w:sz w:val="20"/>
          <w:szCs w:val="20"/>
        </w:rPr>
        <w:t xml:space="preserve">Series VI Notes are secured fixed-rate notes, denominated and payable in USD. The principal </w:t>
      </w:r>
      <w:proofErr w:type="gramStart"/>
      <w:r w:rsidRPr="00C22385">
        <w:rPr>
          <w:rFonts w:cs="Arial"/>
          <w:sz w:val="20"/>
          <w:szCs w:val="20"/>
        </w:rPr>
        <w:t>amount</w:t>
      </w:r>
      <w:proofErr w:type="gramEnd"/>
      <w:r w:rsidRPr="00C22385">
        <w:rPr>
          <w:rFonts w:cs="Arial"/>
          <w:sz w:val="20"/>
          <w:szCs w:val="20"/>
        </w:rPr>
        <w:t xml:space="preserve"> of Series VI Notes is repayable in three equal installments starting on October 30, </w:t>
      </w:r>
      <w:proofErr w:type="gramStart"/>
      <w:r w:rsidRPr="00C22385">
        <w:rPr>
          <w:rFonts w:cs="Arial"/>
          <w:sz w:val="20"/>
          <w:szCs w:val="20"/>
        </w:rPr>
        <w:t>2026</w:t>
      </w:r>
      <w:proofErr w:type="gramEnd"/>
      <w:r w:rsidRPr="00C22385">
        <w:rPr>
          <w:rFonts w:cs="Arial"/>
          <w:sz w:val="20"/>
          <w:szCs w:val="20"/>
        </w:rPr>
        <w:t xml:space="preserve"> and ending on October 30, 2027.  Series VI Notes accrue interest at a fixed rate of 9.5% per annum, payable every six months in arrears from the issue date. Series VI Notes are secured by a pledge on crude oil sales collections from the Santa Cruz Concessions.</w:t>
      </w:r>
    </w:p>
    <w:p w14:paraId="36A89A40" w14:textId="5C82A064" w:rsidR="00C22385" w:rsidRPr="00C22385" w:rsidRDefault="00C22385" w:rsidP="00C22385">
      <w:pPr>
        <w:pStyle w:val="BodyText"/>
        <w:spacing w:before="120" w:line="220" w:lineRule="atLeast"/>
        <w:ind w:right="184"/>
        <w:rPr>
          <w:rFonts w:cs="Arial"/>
          <w:sz w:val="20"/>
          <w:szCs w:val="20"/>
        </w:rPr>
      </w:pPr>
      <w:r w:rsidRPr="00C22385">
        <w:rPr>
          <w:rFonts w:cs="Arial"/>
          <w:sz w:val="20"/>
          <w:szCs w:val="20"/>
        </w:rPr>
        <w:t>Series VII Notes are unsecured fixed-rate notes, denominated in USD and payable in ARS</w:t>
      </w:r>
      <w:r w:rsidR="00EC45C9">
        <w:rPr>
          <w:rFonts w:cs="Arial"/>
          <w:sz w:val="20"/>
          <w:szCs w:val="20"/>
        </w:rPr>
        <w:t xml:space="preserve"> </w:t>
      </w:r>
      <w:r w:rsidRPr="00C22385">
        <w:rPr>
          <w:rFonts w:cs="Arial"/>
          <w:sz w:val="20"/>
          <w:szCs w:val="20"/>
        </w:rPr>
        <w:t xml:space="preserve">in two equal installments on January 11, </w:t>
      </w:r>
      <w:proofErr w:type="gramStart"/>
      <w:r w:rsidRPr="00C22385">
        <w:rPr>
          <w:rFonts w:cs="Arial"/>
          <w:sz w:val="20"/>
          <w:szCs w:val="20"/>
        </w:rPr>
        <w:t>2027</w:t>
      </w:r>
      <w:proofErr w:type="gramEnd"/>
      <w:r w:rsidRPr="00C22385">
        <w:rPr>
          <w:rFonts w:cs="Arial"/>
          <w:sz w:val="20"/>
          <w:szCs w:val="20"/>
        </w:rPr>
        <w:t xml:space="preserve"> and July 11, 2027.  Series VII Notes accrue interest at a fixed rate of 13% per annum, payable every six months in arrears from the issue date.</w:t>
      </w:r>
    </w:p>
    <w:p w14:paraId="7D324A22" w14:textId="77777777" w:rsidR="00C22385" w:rsidRPr="00C22385" w:rsidRDefault="00C22385" w:rsidP="00C22385">
      <w:pPr>
        <w:pStyle w:val="BodyText"/>
        <w:spacing w:before="120" w:line="220" w:lineRule="atLeast"/>
        <w:ind w:right="184"/>
        <w:rPr>
          <w:rFonts w:cs="Arial"/>
          <w:sz w:val="20"/>
          <w:szCs w:val="20"/>
        </w:rPr>
      </w:pPr>
      <w:r w:rsidRPr="00C22385">
        <w:rPr>
          <w:rFonts w:cs="Arial"/>
          <w:sz w:val="20"/>
          <w:szCs w:val="20"/>
        </w:rPr>
        <w:t>On January 30, 2026, the Company issued $30 million of Series IX secured fixed-rate notes (“</w:t>
      </w:r>
      <w:r w:rsidRPr="00E131CA">
        <w:rPr>
          <w:rFonts w:cs="Arial"/>
          <w:b/>
          <w:bCs w:val="0"/>
          <w:sz w:val="20"/>
          <w:szCs w:val="20"/>
        </w:rPr>
        <w:t>Series IX Notes</w:t>
      </w:r>
      <w:r w:rsidRPr="00C22385">
        <w:rPr>
          <w:rFonts w:cs="Arial"/>
          <w:sz w:val="20"/>
          <w:szCs w:val="20"/>
        </w:rPr>
        <w:t>”), denominated in USD and repayable in ARS.  The total principal amount of the Series IX Notes will be repaid in ten equal installments starting on October 30, 2026, and the last installment will be payable on January 30, 2029. The Series IX Notes accrue interest at a fixed rate of 10.75% per annum, payable every three months in arrears from the issue date. The Series IX Notes are guaranteed with a pledge on crude oil sales collections from the Chubut Concessions.</w:t>
      </w:r>
    </w:p>
    <w:p w14:paraId="0D530619" w14:textId="77777777" w:rsidR="00C22385" w:rsidRPr="00C22385" w:rsidRDefault="00C22385" w:rsidP="00C22385">
      <w:pPr>
        <w:pStyle w:val="BodyText"/>
        <w:spacing w:before="120" w:line="220" w:lineRule="atLeast"/>
        <w:ind w:right="184"/>
        <w:rPr>
          <w:rFonts w:cs="Arial"/>
          <w:sz w:val="20"/>
          <w:szCs w:val="20"/>
        </w:rPr>
      </w:pPr>
      <w:r w:rsidRPr="00C22385">
        <w:rPr>
          <w:rFonts w:cs="Arial"/>
          <w:sz w:val="20"/>
          <w:szCs w:val="20"/>
        </w:rPr>
        <w:t>Series IX Notes proceeds were comprised of $24.6 million of cash consideration and $5.4 million in exchange for the surrender and cancellation of $5.4 million principal amount of Series V Notes at an exchange ratio of $100 principal amount of Series IX Notes for every $100 principal amount of Series V Notes.</w:t>
      </w:r>
    </w:p>
    <w:bookmarkEnd w:id="20"/>
    <w:bookmarkEnd w:id="21"/>
    <w:p w14:paraId="1D5F09B7" w14:textId="7229533A" w:rsidR="000012AB" w:rsidRDefault="000012AB" w:rsidP="006B1FC6">
      <w:pPr>
        <w:autoSpaceDE w:val="0"/>
        <w:autoSpaceDN w:val="0"/>
        <w:adjustRightInd w:val="0"/>
        <w:spacing w:before="120"/>
        <w:jc w:val="both"/>
        <w:rPr>
          <w:rFonts w:cs="Arial"/>
        </w:rPr>
      </w:pPr>
      <w:r w:rsidRPr="00A32B05">
        <w:rPr>
          <w:rFonts w:cs="Arial"/>
        </w:rPr>
        <w:t xml:space="preserve">The Company’s </w:t>
      </w:r>
      <w:r>
        <w:rPr>
          <w:rFonts w:cs="Arial"/>
        </w:rPr>
        <w:t>notes payable</w:t>
      </w:r>
      <w:r w:rsidRPr="00A32B05">
        <w:rPr>
          <w:rFonts w:cs="Arial"/>
        </w:rPr>
        <w:t xml:space="preserve"> </w:t>
      </w:r>
      <w:proofErr w:type="gramStart"/>
      <w:r w:rsidRPr="00A32B05">
        <w:rPr>
          <w:rFonts w:cs="Arial"/>
        </w:rPr>
        <w:t>are</w:t>
      </w:r>
      <w:proofErr w:type="gramEnd"/>
      <w:r w:rsidRPr="00A32B05">
        <w:rPr>
          <w:rFonts w:cs="Arial"/>
        </w:rPr>
        <w:t xml:space="preserve"> not subject to financial covenants</w:t>
      </w:r>
      <w:bookmarkEnd w:id="22"/>
      <w:r w:rsidRPr="00A32B05">
        <w:rPr>
          <w:rFonts w:cs="Arial"/>
        </w:rPr>
        <w:t>.</w:t>
      </w:r>
      <w:r>
        <w:rPr>
          <w:rFonts w:cs="Arial"/>
        </w:rPr>
        <w:t xml:space="preserve"> </w:t>
      </w:r>
    </w:p>
    <w:p w14:paraId="7250CE47" w14:textId="4EE99BB8" w:rsidR="00B04DD3" w:rsidRDefault="00B04DD3" w:rsidP="006B1FC6">
      <w:pPr>
        <w:autoSpaceDE w:val="0"/>
        <w:autoSpaceDN w:val="0"/>
        <w:adjustRightInd w:val="0"/>
        <w:spacing w:before="120"/>
        <w:jc w:val="both"/>
        <w:rPr>
          <w:rFonts w:cs="Arial"/>
          <w:u w:val="single"/>
        </w:rPr>
      </w:pPr>
      <w:r w:rsidRPr="006750AA">
        <w:rPr>
          <w:rFonts w:cs="Arial"/>
          <w:u w:val="single"/>
        </w:rPr>
        <w:t>Loans</w:t>
      </w:r>
    </w:p>
    <w:p w14:paraId="40C068B9" w14:textId="3F3CB6DB" w:rsidR="00564533" w:rsidRDefault="007A2499" w:rsidP="00591EC8">
      <w:pPr>
        <w:widowControl w:val="0"/>
        <w:autoSpaceDE w:val="0"/>
        <w:autoSpaceDN w:val="0"/>
        <w:adjustRightInd w:val="0"/>
        <w:spacing w:before="120" w:after="120"/>
        <w:jc w:val="both"/>
        <w:rPr>
          <w:rFonts w:cs="Arial"/>
        </w:rPr>
      </w:pPr>
      <w:r w:rsidRPr="00A32B05">
        <w:rPr>
          <w:rFonts w:cs="Arial"/>
        </w:rPr>
        <w:t>The Company’s loans are not subject to financial covenants.</w:t>
      </w:r>
      <w:r>
        <w:rPr>
          <w:rFonts w:cs="Arial"/>
        </w:rPr>
        <w:t xml:space="preserve">  </w:t>
      </w:r>
      <w:r w:rsidR="00564533" w:rsidRPr="003A26D0">
        <w:rPr>
          <w:rFonts w:cs="Arial"/>
        </w:rPr>
        <w:t xml:space="preserve">As </w:t>
      </w:r>
      <w:proofErr w:type="gramStart"/>
      <w:r w:rsidR="00564533" w:rsidRPr="003A26D0">
        <w:rPr>
          <w:rFonts w:cs="Arial"/>
        </w:rPr>
        <w:t>at</w:t>
      </w:r>
      <w:proofErr w:type="gramEnd"/>
      <w:r w:rsidR="00564533" w:rsidRPr="003A26D0">
        <w:rPr>
          <w:rFonts w:cs="Arial"/>
        </w:rPr>
        <w:t xml:space="preserve"> </w:t>
      </w:r>
      <w:r w:rsidR="00E91EF5">
        <w:rPr>
          <w:rFonts w:cs="Arial"/>
        </w:rPr>
        <w:t>June 30</w:t>
      </w:r>
      <w:r w:rsidR="00B3640C">
        <w:rPr>
          <w:rFonts w:cs="Arial"/>
        </w:rPr>
        <w:t>, 202</w:t>
      </w:r>
      <w:r w:rsidR="00CC446F">
        <w:rPr>
          <w:rFonts w:cs="Arial"/>
        </w:rPr>
        <w:t>6</w:t>
      </w:r>
      <w:r w:rsidR="00564533" w:rsidRPr="003A26D0">
        <w:rPr>
          <w:rFonts w:cs="Arial"/>
        </w:rPr>
        <w:t xml:space="preserve">, the Company </w:t>
      </w:r>
      <w:r w:rsidR="003A26D0" w:rsidRPr="003A26D0">
        <w:rPr>
          <w:rFonts w:cs="Arial"/>
        </w:rPr>
        <w:t xml:space="preserve">had the following </w:t>
      </w:r>
      <w:r w:rsidR="00E07809">
        <w:rPr>
          <w:rFonts w:cs="Arial"/>
        </w:rPr>
        <w:t>loan</w:t>
      </w:r>
      <w:r w:rsidR="003A26D0" w:rsidRPr="003A26D0">
        <w:rPr>
          <w:rFonts w:cs="Arial"/>
        </w:rPr>
        <w:t xml:space="preserve"> arrangements in place:</w:t>
      </w:r>
    </w:p>
    <w:p w14:paraId="36C91A59" w14:textId="77777777" w:rsidR="00DB3648" w:rsidRDefault="00DB3648" w:rsidP="00591EC8">
      <w:pPr>
        <w:widowControl w:val="0"/>
        <w:autoSpaceDE w:val="0"/>
        <w:autoSpaceDN w:val="0"/>
        <w:adjustRightInd w:val="0"/>
        <w:spacing w:before="120" w:after="120"/>
        <w:jc w:val="both"/>
        <w:rPr>
          <w:rFonts w:cs="Arial"/>
        </w:rPr>
      </w:pPr>
    </w:p>
    <w:p w14:paraId="39E2373E" w14:textId="77777777" w:rsidR="00DB3648" w:rsidRDefault="00DB3648" w:rsidP="00591EC8">
      <w:pPr>
        <w:widowControl w:val="0"/>
        <w:autoSpaceDE w:val="0"/>
        <w:autoSpaceDN w:val="0"/>
        <w:adjustRightInd w:val="0"/>
        <w:spacing w:before="120" w:after="120"/>
        <w:jc w:val="both"/>
        <w:rPr>
          <w:rFonts w:cs="Arial"/>
        </w:rPr>
      </w:pPr>
    </w:p>
    <w:p w14:paraId="37D8D9ED" w14:textId="77777777" w:rsidR="00DB3648" w:rsidRDefault="00DB3648" w:rsidP="00591EC8">
      <w:pPr>
        <w:widowControl w:val="0"/>
        <w:autoSpaceDE w:val="0"/>
        <w:autoSpaceDN w:val="0"/>
        <w:adjustRightInd w:val="0"/>
        <w:spacing w:before="120" w:after="120"/>
        <w:jc w:val="both"/>
        <w:rPr>
          <w:rFonts w:cs="Arial"/>
        </w:rPr>
      </w:pPr>
    </w:p>
    <w:p w14:paraId="00FF7EC3" w14:textId="77777777" w:rsidR="00DB3648" w:rsidRDefault="00DB3648" w:rsidP="00591EC8">
      <w:pPr>
        <w:widowControl w:val="0"/>
        <w:autoSpaceDE w:val="0"/>
        <w:autoSpaceDN w:val="0"/>
        <w:adjustRightInd w:val="0"/>
        <w:spacing w:before="120" w:after="120"/>
        <w:jc w:val="both"/>
        <w:rPr>
          <w:rFonts w:cs="Arial"/>
        </w:rPr>
      </w:pPr>
    </w:p>
    <w:p w14:paraId="1C3DE7A3" w14:textId="77777777" w:rsidR="00DB3648" w:rsidRDefault="00DB3648" w:rsidP="00591EC8">
      <w:pPr>
        <w:widowControl w:val="0"/>
        <w:autoSpaceDE w:val="0"/>
        <w:autoSpaceDN w:val="0"/>
        <w:adjustRightInd w:val="0"/>
        <w:spacing w:before="120" w:after="120"/>
        <w:jc w:val="both"/>
        <w:rPr>
          <w:rFonts w:cs="Arial"/>
        </w:rPr>
      </w:pPr>
    </w:p>
    <w:p w14:paraId="35B41E04" w14:textId="77777777" w:rsidR="00DB3648" w:rsidRDefault="00DB3648" w:rsidP="00591EC8">
      <w:pPr>
        <w:widowControl w:val="0"/>
        <w:autoSpaceDE w:val="0"/>
        <w:autoSpaceDN w:val="0"/>
        <w:adjustRightInd w:val="0"/>
        <w:spacing w:before="120" w:after="120"/>
        <w:jc w:val="both"/>
        <w:rPr>
          <w:rFonts w:cs="Arial"/>
        </w:rPr>
      </w:pPr>
    </w:p>
    <w:tbl>
      <w:tblPr>
        <w:tblStyle w:val="TableGrid"/>
        <w:tblW w:w="91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283"/>
        <w:gridCol w:w="1276"/>
        <w:gridCol w:w="1134"/>
        <w:gridCol w:w="2693"/>
        <w:gridCol w:w="93"/>
      </w:tblGrid>
      <w:tr w:rsidR="004B612C" w:rsidRPr="00896FA4" w14:paraId="5D5DA4F1" w14:textId="77777777" w:rsidTr="008A40EA">
        <w:trPr>
          <w:gridAfter w:val="1"/>
          <w:wAfter w:w="93" w:type="dxa"/>
          <w:trHeight w:val="209"/>
          <w:jc w:val="center"/>
        </w:trPr>
        <w:tc>
          <w:tcPr>
            <w:tcW w:w="3686" w:type="dxa"/>
          </w:tcPr>
          <w:p w14:paraId="77A17FC7" w14:textId="77777777" w:rsidR="004B612C" w:rsidRPr="00896FA4" w:rsidRDefault="004B612C">
            <w:pPr>
              <w:widowControl w:val="0"/>
              <w:autoSpaceDE w:val="0"/>
              <w:autoSpaceDN w:val="0"/>
              <w:adjustRightInd w:val="0"/>
              <w:jc w:val="both"/>
              <w:rPr>
                <w:rFonts w:cs="Arial"/>
                <w:sz w:val="18"/>
                <w:szCs w:val="18"/>
              </w:rPr>
            </w:pPr>
          </w:p>
        </w:tc>
        <w:tc>
          <w:tcPr>
            <w:tcW w:w="1559" w:type="dxa"/>
            <w:gridSpan w:val="2"/>
            <w:vAlign w:val="bottom"/>
          </w:tcPr>
          <w:p w14:paraId="09AFE34B" w14:textId="04BAEBD4" w:rsidR="004B612C" w:rsidRPr="00896FA4" w:rsidRDefault="004B612C" w:rsidP="008A40EA">
            <w:pPr>
              <w:widowControl w:val="0"/>
              <w:autoSpaceDE w:val="0"/>
              <w:autoSpaceDN w:val="0"/>
              <w:adjustRightInd w:val="0"/>
              <w:ind w:left="-108"/>
              <w:jc w:val="right"/>
              <w:rPr>
                <w:rFonts w:cs="Arial"/>
                <w:sz w:val="18"/>
                <w:szCs w:val="18"/>
              </w:rPr>
            </w:pPr>
            <w:r w:rsidRPr="00896FA4">
              <w:rPr>
                <w:rFonts w:cs="Arial"/>
                <w:sz w:val="18"/>
                <w:szCs w:val="18"/>
              </w:rPr>
              <w:t xml:space="preserve">Amount drawn </w:t>
            </w:r>
            <w:r w:rsidR="008A40EA">
              <w:rPr>
                <w:rFonts w:cs="Arial"/>
                <w:sz w:val="18"/>
                <w:szCs w:val="18"/>
              </w:rPr>
              <w:t>a</w:t>
            </w:r>
            <w:r w:rsidRPr="00896FA4">
              <w:rPr>
                <w:rFonts w:cs="Arial"/>
                <w:sz w:val="18"/>
                <w:szCs w:val="18"/>
              </w:rPr>
              <w:t>t</w:t>
            </w:r>
          </w:p>
          <w:p w14:paraId="3BAF65C6" w14:textId="0BADB9E6" w:rsidR="004B612C" w:rsidRPr="00896FA4" w:rsidRDefault="00E91EF5" w:rsidP="008A40EA">
            <w:pPr>
              <w:widowControl w:val="0"/>
              <w:autoSpaceDE w:val="0"/>
              <w:autoSpaceDN w:val="0"/>
              <w:adjustRightInd w:val="0"/>
              <w:ind w:left="-108"/>
              <w:jc w:val="right"/>
              <w:rPr>
                <w:rFonts w:cs="Arial"/>
                <w:sz w:val="18"/>
                <w:szCs w:val="18"/>
              </w:rPr>
            </w:pPr>
            <w:r>
              <w:rPr>
                <w:rFonts w:cs="Arial"/>
                <w:sz w:val="18"/>
                <w:szCs w:val="18"/>
              </w:rPr>
              <w:t>June 30, 2026</w:t>
            </w:r>
          </w:p>
        </w:tc>
        <w:tc>
          <w:tcPr>
            <w:tcW w:w="1134" w:type="dxa"/>
            <w:vAlign w:val="bottom"/>
          </w:tcPr>
          <w:p w14:paraId="52E0393E" w14:textId="77777777" w:rsidR="004B612C" w:rsidRPr="00896FA4" w:rsidRDefault="004B612C">
            <w:pPr>
              <w:widowControl w:val="0"/>
              <w:autoSpaceDE w:val="0"/>
              <w:autoSpaceDN w:val="0"/>
              <w:adjustRightInd w:val="0"/>
              <w:jc w:val="center"/>
              <w:rPr>
                <w:rFonts w:cs="Arial"/>
                <w:sz w:val="18"/>
                <w:szCs w:val="18"/>
              </w:rPr>
            </w:pPr>
            <w:r w:rsidRPr="00896FA4">
              <w:rPr>
                <w:rFonts w:cs="Arial"/>
                <w:sz w:val="18"/>
                <w:szCs w:val="18"/>
              </w:rPr>
              <w:t xml:space="preserve">Annual rate </w:t>
            </w:r>
          </w:p>
        </w:tc>
        <w:tc>
          <w:tcPr>
            <w:tcW w:w="2693" w:type="dxa"/>
            <w:vAlign w:val="bottom"/>
          </w:tcPr>
          <w:p w14:paraId="7F00D0F8" w14:textId="77777777" w:rsidR="004B612C" w:rsidRPr="00896FA4" w:rsidRDefault="004B612C">
            <w:pPr>
              <w:widowControl w:val="0"/>
              <w:autoSpaceDE w:val="0"/>
              <w:autoSpaceDN w:val="0"/>
              <w:adjustRightInd w:val="0"/>
              <w:jc w:val="center"/>
              <w:rPr>
                <w:rFonts w:cs="Arial"/>
                <w:sz w:val="18"/>
                <w:szCs w:val="18"/>
              </w:rPr>
            </w:pPr>
            <w:r w:rsidRPr="00896FA4">
              <w:rPr>
                <w:rFonts w:cs="Arial"/>
                <w:sz w:val="18"/>
                <w:szCs w:val="18"/>
              </w:rPr>
              <w:t>Maturity</w:t>
            </w:r>
          </w:p>
        </w:tc>
      </w:tr>
      <w:tr w:rsidR="004B612C" w:rsidRPr="00896FA4" w14:paraId="5C1F33DD" w14:textId="77777777" w:rsidTr="008A40EA">
        <w:trPr>
          <w:gridAfter w:val="1"/>
          <w:wAfter w:w="93" w:type="dxa"/>
          <w:trHeight w:val="221"/>
          <w:jc w:val="center"/>
        </w:trPr>
        <w:tc>
          <w:tcPr>
            <w:tcW w:w="3686" w:type="dxa"/>
            <w:tcBorders>
              <w:bottom w:val="single" w:sz="4" w:space="0" w:color="auto"/>
            </w:tcBorders>
          </w:tcPr>
          <w:p w14:paraId="6C8D8C49" w14:textId="77777777" w:rsidR="004B612C" w:rsidRPr="00896FA4" w:rsidRDefault="004B612C">
            <w:pPr>
              <w:widowControl w:val="0"/>
              <w:autoSpaceDE w:val="0"/>
              <w:autoSpaceDN w:val="0"/>
              <w:adjustRightInd w:val="0"/>
              <w:jc w:val="both"/>
              <w:rPr>
                <w:rFonts w:cs="Arial"/>
                <w:sz w:val="18"/>
                <w:szCs w:val="18"/>
              </w:rPr>
            </w:pPr>
            <w:r w:rsidRPr="00896FA4">
              <w:rPr>
                <w:rFonts w:cs="Arial"/>
                <w:sz w:val="18"/>
                <w:szCs w:val="18"/>
              </w:rPr>
              <w:t>Lender</w:t>
            </w:r>
          </w:p>
        </w:tc>
        <w:tc>
          <w:tcPr>
            <w:tcW w:w="283" w:type="dxa"/>
            <w:tcBorders>
              <w:bottom w:val="single" w:sz="4" w:space="0" w:color="auto"/>
            </w:tcBorders>
            <w:vAlign w:val="bottom"/>
          </w:tcPr>
          <w:p w14:paraId="0D4BCB74" w14:textId="11F5D878" w:rsidR="004B612C" w:rsidRPr="00896FA4" w:rsidRDefault="004B612C">
            <w:pPr>
              <w:widowControl w:val="0"/>
              <w:autoSpaceDE w:val="0"/>
              <w:autoSpaceDN w:val="0"/>
              <w:adjustRightInd w:val="0"/>
              <w:jc w:val="center"/>
              <w:rPr>
                <w:rFonts w:cs="Arial"/>
                <w:sz w:val="18"/>
                <w:szCs w:val="18"/>
              </w:rPr>
            </w:pPr>
          </w:p>
        </w:tc>
        <w:tc>
          <w:tcPr>
            <w:tcW w:w="1276" w:type="dxa"/>
            <w:tcBorders>
              <w:bottom w:val="single" w:sz="4" w:space="0" w:color="auto"/>
            </w:tcBorders>
            <w:vAlign w:val="bottom"/>
          </w:tcPr>
          <w:p w14:paraId="2FC8C93B" w14:textId="77777777" w:rsidR="004B612C" w:rsidRPr="00896FA4" w:rsidRDefault="004B612C">
            <w:pPr>
              <w:widowControl w:val="0"/>
              <w:autoSpaceDE w:val="0"/>
              <w:autoSpaceDN w:val="0"/>
              <w:adjustRightInd w:val="0"/>
              <w:jc w:val="center"/>
              <w:rPr>
                <w:rFonts w:cs="Arial"/>
                <w:sz w:val="18"/>
                <w:szCs w:val="18"/>
              </w:rPr>
            </w:pPr>
            <w:r w:rsidRPr="00896FA4">
              <w:rPr>
                <w:rFonts w:cs="Arial"/>
                <w:sz w:val="18"/>
                <w:szCs w:val="18"/>
              </w:rPr>
              <w:t>USD</w:t>
            </w:r>
          </w:p>
        </w:tc>
        <w:tc>
          <w:tcPr>
            <w:tcW w:w="1134" w:type="dxa"/>
            <w:tcBorders>
              <w:bottom w:val="single" w:sz="4" w:space="0" w:color="auto"/>
            </w:tcBorders>
            <w:vAlign w:val="bottom"/>
          </w:tcPr>
          <w:p w14:paraId="44DC96BA" w14:textId="77777777" w:rsidR="004B612C" w:rsidRPr="00896FA4" w:rsidRDefault="004B612C">
            <w:pPr>
              <w:widowControl w:val="0"/>
              <w:autoSpaceDE w:val="0"/>
              <w:autoSpaceDN w:val="0"/>
              <w:adjustRightInd w:val="0"/>
              <w:jc w:val="center"/>
              <w:rPr>
                <w:rFonts w:cs="Arial"/>
                <w:sz w:val="18"/>
                <w:szCs w:val="18"/>
              </w:rPr>
            </w:pPr>
            <w:r w:rsidRPr="00896FA4">
              <w:rPr>
                <w:rFonts w:cs="Arial"/>
                <w:sz w:val="18"/>
                <w:szCs w:val="18"/>
              </w:rPr>
              <w:t>of interest</w:t>
            </w:r>
          </w:p>
        </w:tc>
        <w:tc>
          <w:tcPr>
            <w:tcW w:w="2693" w:type="dxa"/>
            <w:tcBorders>
              <w:bottom w:val="single" w:sz="4" w:space="0" w:color="auto"/>
            </w:tcBorders>
            <w:vAlign w:val="bottom"/>
          </w:tcPr>
          <w:p w14:paraId="5D8F438C" w14:textId="77777777" w:rsidR="004B612C" w:rsidRPr="00896FA4" w:rsidRDefault="004B612C">
            <w:pPr>
              <w:widowControl w:val="0"/>
              <w:autoSpaceDE w:val="0"/>
              <w:autoSpaceDN w:val="0"/>
              <w:adjustRightInd w:val="0"/>
              <w:jc w:val="center"/>
              <w:rPr>
                <w:rFonts w:cs="Arial"/>
                <w:sz w:val="18"/>
                <w:szCs w:val="18"/>
              </w:rPr>
            </w:pPr>
            <w:r w:rsidRPr="00896FA4">
              <w:rPr>
                <w:rFonts w:cs="Arial"/>
                <w:sz w:val="18"/>
                <w:szCs w:val="18"/>
              </w:rPr>
              <w:t>date</w:t>
            </w:r>
          </w:p>
        </w:tc>
      </w:tr>
      <w:tr w:rsidR="004B612C" w:rsidRPr="004E4E70" w14:paraId="1F3C3C36" w14:textId="77777777" w:rsidTr="008A40EA">
        <w:trPr>
          <w:gridAfter w:val="1"/>
          <w:wAfter w:w="93" w:type="dxa"/>
          <w:trHeight w:val="60"/>
          <w:jc w:val="center"/>
        </w:trPr>
        <w:tc>
          <w:tcPr>
            <w:tcW w:w="3686" w:type="dxa"/>
            <w:vAlign w:val="bottom"/>
          </w:tcPr>
          <w:p w14:paraId="71189349" w14:textId="77777777" w:rsidR="004B612C" w:rsidRPr="00896FA4" w:rsidRDefault="004B612C">
            <w:pPr>
              <w:widowControl w:val="0"/>
              <w:autoSpaceDE w:val="0"/>
              <w:autoSpaceDN w:val="0"/>
              <w:adjustRightInd w:val="0"/>
              <w:rPr>
                <w:sz w:val="18"/>
                <w:szCs w:val="18"/>
              </w:rPr>
            </w:pPr>
          </w:p>
        </w:tc>
        <w:tc>
          <w:tcPr>
            <w:tcW w:w="283" w:type="dxa"/>
            <w:vAlign w:val="bottom"/>
          </w:tcPr>
          <w:p w14:paraId="56D745AA" w14:textId="77777777" w:rsidR="004B612C" w:rsidRPr="000C3C99" w:rsidRDefault="004B612C">
            <w:pPr>
              <w:widowControl w:val="0"/>
              <w:autoSpaceDE w:val="0"/>
              <w:autoSpaceDN w:val="0"/>
              <w:adjustRightInd w:val="0"/>
              <w:ind w:left="-115"/>
              <w:jc w:val="right"/>
              <w:rPr>
                <w:rFonts w:cs="Arial"/>
                <w:sz w:val="18"/>
                <w:szCs w:val="18"/>
              </w:rPr>
            </w:pPr>
          </w:p>
        </w:tc>
        <w:tc>
          <w:tcPr>
            <w:tcW w:w="1276" w:type="dxa"/>
            <w:tcBorders>
              <w:top w:val="single" w:sz="4" w:space="0" w:color="auto"/>
            </w:tcBorders>
            <w:vAlign w:val="bottom"/>
          </w:tcPr>
          <w:p w14:paraId="1B986533" w14:textId="77777777" w:rsidR="004B612C" w:rsidRPr="000C3C99" w:rsidRDefault="004B612C">
            <w:pPr>
              <w:widowControl w:val="0"/>
              <w:autoSpaceDE w:val="0"/>
              <w:autoSpaceDN w:val="0"/>
              <w:adjustRightInd w:val="0"/>
              <w:jc w:val="right"/>
              <w:rPr>
                <w:rFonts w:cs="Arial"/>
                <w:sz w:val="18"/>
                <w:szCs w:val="18"/>
              </w:rPr>
            </w:pPr>
          </w:p>
        </w:tc>
        <w:tc>
          <w:tcPr>
            <w:tcW w:w="1134" w:type="dxa"/>
            <w:vAlign w:val="bottom"/>
          </w:tcPr>
          <w:p w14:paraId="406F1238" w14:textId="77777777" w:rsidR="004B612C" w:rsidRPr="00896FA4" w:rsidRDefault="004B612C">
            <w:pPr>
              <w:widowControl w:val="0"/>
              <w:autoSpaceDE w:val="0"/>
              <w:autoSpaceDN w:val="0"/>
              <w:adjustRightInd w:val="0"/>
              <w:ind w:left="-103" w:right="-110"/>
              <w:jc w:val="center"/>
              <w:rPr>
                <w:rFonts w:cs="Arial"/>
                <w:sz w:val="18"/>
                <w:szCs w:val="18"/>
              </w:rPr>
            </w:pPr>
          </w:p>
        </w:tc>
        <w:tc>
          <w:tcPr>
            <w:tcW w:w="2693" w:type="dxa"/>
          </w:tcPr>
          <w:p w14:paraId="001ACD22" w14:textId="77777777" w:rsidR="004B612C" w:rsidRPr="004E4E70" w:rsidRDefault="004B612C" w:rsidP="007D6B74">
            <w:pPr>
              <w:widowControl w:val="0"/>
              <w:autoSpaceDE w:val="0"/>
              <w:autoSpaceDN w:val="0"/>
              <w:adjustRightInd w:val="0"/>
              <w:ind w:right="-106"/>
              <w:jc w:val="both"/>
              <w:rPr>
                <w:rFonts w:cs="Arial"/>
                <w:sz w:val="18"/>
                <w:szCs w:val="18"/>
              </w:rPr>
            </w:pPr>
          </w:p>
        </w:tc>
      </w:tr>
      <w:tr w:rsidR="000C3C99" w:rsidRPr="004E4E70" w14:paraId="3782B351" w14:textId="77777777" w:rsidTr="008A40EA">
        <w:trPr>
          <w:gridAfter w:val="1"/>
          <w:wAfter w:w="93" w:type="dxa"/>
          <w:trHeight w:val="60"/>
          <w:jc w:val="center"/>
        </w:trPr>
        <w:tc>
          <w:tcPr>
            <w:tcW w:w="3686" w:type="dxa"/>
            <w:vAlign w:val="bottom"/>
          </w:tcPr>
          <w:p w14:paraId="2106574B" w14:textId="0E20E47F" w:rsidR="000C3C99" w:rsidRPr="00896FA4" w:rsidRDefault="000C3C99">
            <w:pPr>
              <w:widowControl w:val="0"/>
              <w:autoSpaceDE w:val="0"/>
              <w:autoSpaceDN w:val="0"/>
              <w:adjustRightInd w:val="0"/>
              <w:rPr>
                <w:sz w:val="18"/>
                <w:szCs w:val="18"/>
              </w:rPr>
            </w:pPr>
            <w:r>
              <w:rPr>
                <w:sz w:val="18"/>
                <w:szCs w:val="18"/>
              </w:rPr>
              <w:t>Banco Macro S.A.</w:t>
            </w:r>
          </w:p>
        </w:tc>
        <w:tc>
          <w:tcPr>
            <w:tcW w:w="283" w:type="dxa"/>
            <w:vAlign w:val="bottom"/>
          </w:tcPr>
          <w:p w14:paraId="0B4F8C40" w14:textId="77777777" w:rsidR="000C3C99" w:rsidRPr="000C3C99" w:rsidRDefault="000C3C99">
            <w:pPr>
              <w:widowControl w:val="0"/>
              <w:autoSpaceDE w:val="0"/>
              <w:autoSpaceDN w:val="0"/>
              <w:adjustRightInd w:val="0"/>
              <w:ind w:left="-115"/>
              <w:jc w:val="right"/>
              <w:rPr>
                <w:rFonts w:cs="Arial"/>
                <w:sz w:val="18"/>
                <w:szCs w:val="18"/>
              </w:rPr>
            </w:pPr>
          </w:p>
        </w:tc>
        <w:tc>
          <w:tcPr>
            <w:tcW w:w="1276" w:type="dxa"/>
            <w:vAlign w:val="bottom"/>
          </w:tcPr>
          <w:p w14:paraId="05C428FA" w14:textId="63C8F34D" w:rsidR="000C3C99" w:rsidRPr="000C3C99" w:rsidRDefault="008A40EA" w:rsidP="00E000E5">
            <w:pPr>
              <w:widowControl w:val="0"/>
              <w:autoSpaceDE w:val="0"/>
              <w:autoSpaceDN w:val="0"/>
              <w:adjustRightInd w:val="0"/>
              <w:ind w:left="-113"/>
              <w:jc w:val="right"/>
              <w:rPr>
                <w:rFonts w:cs="Arial"/>
                <w:sz w:val="18"/>
                <w:szCs w:val="18"/>
              </w:rPr>
            </w:pPr>
            <w:r>
              <w:rPr>
                <w:rFonts w:cs="Arial"/>
                <w:sz w:val="18"/>
                <w:szCs w:val="18"/>
              </w:rPr>
              <w:t>$</w:t>
            </w:r>
            <w:r w:rsidR="00E000E5">
              <w:rPr>
                <w:rFonts w:cs="Arial"/>
                <w:sz w:val="18"/>
                <w:szCs w:val="18"/>
              </w:rPr>
              <w:t xml:space="preserve">   </w:t>
            </w:r>
            <w:r>
              <w:rPr>
                <w:rFonts w:cs="Arial"/>
                <w:sz w:val="18"/>
                <w:szCs w:val="18"/>
              </w:rPr>
              <w:t xml:space="preserve"> </w:t>
            </w:r>
            <w:r w:rsidR="000C3C99">
              <w:rPr>
                <w:rFonts w:cs="Arial"/>
                <w:sz w:val="18"/>
                <w:szCs w:val="18"/>
              </w:rPr>
              <w:t>2.5 million</w:t>
            </w:r>
          </w:p>
        </w:tc>
        <w:tc>
          <w:tcPr>
            <w:tcW w:w="1134" w:type="dxa"/>
            <w:vAlign w:val="bottom"/>
          </w:tcPr>
          <w:p w14:paraId="5164BB5D" w14:textId="07966E74" w:rsidR="000C3C99" w:rsidRPr="00896FA4" w:rsidRDefault="00127CF7">
            <w:pPr>
              <w:widowControl w:val="0"/>
              <w:autoSpaceDE w:val="0"/>
              <w:autoSpaceDN w:val="0"/>
              <w:adjustRightInd w:val="0"/>
              <w:ind w:left="-103" w:right="-110"/>
              <w:jc w:val="center"/>
              <w:rPr>
                <w:rFonts w:cs="Arial"/>
                <w:sz w:val="18"/>
                <w:szCs w:val="18"/>
              </w:rPr>
            </w:pPr>
            <w:r>
              <w:rPr>
                <w:rFonts w:cs="Arial"/>
                <w:sz w:val="18"/>
                <w:szCs w:val="18"/>
              </w:rPr>
              <w:t>7%</w:t>
            </w:r>
          </w:p>
        </w:tc>
        <w:tc>
          <w:tcPr>
            <w:tcW w:w="2693" w:type="dxa"/>
          </w:tcPr>
          <w:p w14:paraId="2074AFA3" w14:textId="36E13194" w:rsidR="000C3C99" w:rsidRPr="004E4E70" w:rsidRDefault="00127CF7" w:rsidP="007D6B74">
            <w:pPr>
              <w:widowControl w:val="0"/>
              <w:autoSpaceDE w:val="0"/>
              <w:autoSpaceDN w:val="0"/>
              <w:adjustRightInd w:val="0"/>
              <w:ind w:right="-106"/>
              <w:jc w:val="both"/>
              <w:rPr>
                <w:rFonts w:cs="Arial"/>
                <w:sz w:val="18"/>
                <w:szCs w:val="18"/>
              </w:rPr>
            </w:pPr>
            <w:r>
              <w:rPr>
                <w:rFonts w:cs="Arial"/>
                <w:sz w:val="18"/>
                <w:szCs w:val="18"/>
              </w:rPr>
              <w:t>September 11, 2026</w:t>
            </w:r>
          </w:p>
        </w:tc>
      </w:tr>
      <w:tr w:rsidR="000C3C99" w:rsidRPr="004E4E70" w14:paraId="7A721C3E" w14:textId="77777777" w:rsidTr="008A40EA">
        <w:trPr>
          <w:gridAfter w:val="1"/>
          <w:wAfter w:w="93" w:type="dxa"/>
          <w:trHeight w:val="60"/>
          <w:jc w:val="center"/>
        </w:trPr>
        <w:tc>
          <w:tcPr>
            <w:tcW w:w="3686" w:type="dxa"/>
            <w:vAlign w:val="bottom"/>
          </w:tcPr>
          <w:p w14:paraId="1EB7F8DE" w14:textId="77777777" w:rsidR="000C3C99" w:rsidRPr="00896FA4" w:rsidRDefault="000C3C99">
            <w:pPr>
              <w:widowControl w:val="0"/>
              <w:autoSpaceDE w:val="0"/>
              <w:autoSpaceDN w:val="0"/>
              <w:adjustRightInd w:val="0"/>
              <w:rPr>
                <w:sz w:val="18"/>
                <w:szCs w:val="18"/>
              </w:rPr>
            </w:pPr>
          </w:p>
        </w:tc>
        <w:tc>
          <w:tcPr>
            <w:tcW w:w="283" w:type="dxa"/>
            <w:vAlign w:val="bottom"/>
          </w:tcPr>
          <w:p w14:paraId="12D31752" w14:textId="77777777" w:rsidR="000C3C99" w:rsidRPr="000C3C99" w:rsidRDefault="000C3C99">
            <w:pPr>
              <w:widowControl w:val="0"/>
              <w:autoSpaceDE w:val="0"/>
              <w:autoSpaceDN w:val="0"/>
              <w:adjustRightInd w:val="0"/>
              <w:ind w:left="-115"/>
              <w:jc w:val="right"/>
              <w:rPr>
                <w:rFonts w:cs="Arial"/>
                <w:sz w:val="18"/>
                <w:szCs w:val="18"/>
              </w:rPr>
            </w:pPr>
          </w:p>
        </w:tc>
        <w:tc>
          <w:tcPr>
            <w:tcW w:w="1276" w:type="dxa"/>
            <w:vAlign w:val="bottom"/>
          </w:tcPr>
          <w:p w14:paraId="473260E2" w14:textId="77777777" w:rsidR="000C3C99" w:rsidRPr="000C3C99" w:rsidRDefault="000C3C99">
            <w:pPr>
              <w:widowControl w:val="0"/>
              <w:autoSpaceDE w:val="0"/>
              <w:autoSpaceDN w:val="0"/>
              <w:adjustRightInd w:val="0"/>
              <w:jc w:val="right"/>
              <w:rPr>
                <w:rFonts w:cs="Arial"/>
                <w:sz w:val="18"/>
                <w:szCs w:val="18"/>
              </w:rPr>
            </w:pPr>
          </w:p>
        </w:tc>
        <w:tc>
          <w:tcPr>
            <w:tcW w:w="1134" w:type="dxa"/>
            <w:vAlign w:val="bottom"/>
          </w:tcPr>
          <w:p w14:paraId="72BB8B80" w14:textId="77777777" w:rsidR="000C3C99" w:rsidRPr="00896FA4" w:rsidRDefault="000C3C99">
            <w:pPr>
              <w:widowControl w:val="0"/>
              <w:autoSpaceDE w:val="0"/>
              <w:autoSpaceDN w:val="0"/>
              <w:adjustRightInd w:val="0"/>
              <w:ind w:left="-103" w:right="-110"/>
              <w:jc w:val="center"/>
              <w:rPr>
                <w:rFonts w:cs="Arial"/>
                <w:sz w:val="18"/>
                <w:szCs w:val="18"/>
              </w:rPr>
            </w:pPr>
          </w:p>
        </w:tc>
        <w:tc>
          <w:tcPr>
            <w:tcW w:w="2693" w:type="dxa"/>
          </w:tcPr>
          <w:p w14:paraId="1FE39FB1" w14:textId="77777777" w:rsidR="000C3C99" w:rsidRPr="004E4E70" w:rsidRDefault="000C3C99" w:rsidP="007D6B74">
            <w:pPr>
              <w:widowControl w:val="0"/>
              <w:autoSpaceDE w:val="0"/>
              <w:autoSpaceDN w:val="0"/>
              <w:adjustRightInd w:val="0"/>
              <w:ind w:right="-106"/>
              <w:jc w:val="both"/>
              <w:rPr>
                <w:rFonts w:cs="Arial"/>
                <w:sz w:val="18"/>
                <w:szCs w:val="18"/>
              </w:rPr>
            </w:pPr>
          </w:p>
        </w:tc>
      </w:tr>
      <w:tr w:rsidR="004B612C" w:rsidRPr="009C3F3D" w14:paraId="75C99E8B" w14:textId="77777777" w:rsidTr="008A40EA">
        <w:trPr>
          <w:gridAfter w:val="1"/>
          <w:wAfter w:w="93" w:type="dxa"/>
          <w:trHeight w:val="60"/>
          <w:jc w:val="center"/>
        </w:trPr>
        <w:tc>
          <w:tcPr>
            <w:tcW w:w="3686" w:type="dxa"/>
            <w:vAlign w:val="bottom"/>
          </w:tcPr>
          <w:p w14:paraId="64DEB98F" w14:textId="77777777" w:rsidR="004B612C" w:rsidRDefault="004B612C">
            <w:pPr>
              <w:widowControl w:val="0"/>
              <w:autoSpaceDE w:val="0"/>
              <w:autoSpaceDN w:val="0"/>
              <w:adjustRightInd w:val="0"/>
              <w:rPr>
                <w:sz w:val="18"/>
                <w:szCs w:val="18"/>
              </w:rPr>
            </w:pPr>
            <w:r>
              <w:rPr>
                <w:sz w:val="18"/>
                <w:szCs w:val="18"/>
              </w:rPr>
              <w:t xml:space="preserve">USD Discounted promissory notes </w:t>
            </w:r>
            <w:r w:rsidRPr="008D7AEA">
              <w:rPr>
                <w:sz w:val="18"/>
                <w:szCs w:val="18"/>
                <w:vertAlign w:val="superscript"/>
              </w:rPr>
              <w:t>(</w:t>
            </w:r>
            <w:r>
              <w:rPr>
                <w:sz w:val="18"/>
                <w:szCs w:val="18"/>
                <w:vertAlign w:val="superscript"/>
              </w:rPr>
              <w:t>1</w:t>
            </w:r>
            <w:r w:rsidRPr="008D7AEA">
              <w:rPr>
                <w:sz w:val="18"/>
                <w:szCs w:val="18"/>
                <w:vertAlign w:val="superscript"/>
              </w:rPr>
              <w:t xml:space="preserve">) </w:t>
            </w:r>
          </w:p>
        </w:tc>
        <w:tc>
          <w:tcPr>
            <w:tcW w:w="283" w:type="dxa"/>
            <w:vAlign w:val="bottom"/>
          </w:tcPr>
          <w:p w14:paraId="4F819849" w14:textId="77777777" w:rsidR="004B612C" w:rsidRDefault="004B612C">
            <w:pPr>
              <w:widowControl w:val="0"/>
              <w:autoSpaceDE w:val="0"/>
              <w:autoSpaceDN w:val="0"/>
              <w:adjustRightInd w:val="0"/>
              <w:ind w:left="-115"/>
              <w:jc w:val="right"/>
              <w:rPr>
                <w:rFonts w:cs="Arial"/>
                <w:sz w:val="18"/>
                <w:szCs w:val="18"/>
              </w:rPr>
            </w:pPr>
          </w:p>
        </w:tc>
        <w:tc>
          <w:tcPr>
            <w:tcW w:w="1276" w:type="dxa"/>
            <w:vAlign w:val="bottom"/>
          </w:tcPr>
          <w:p w14:paraId="39BC1398" w14:textId="7497ED82" w:rsidR="004B612C" w:rsidRPr="000C3C99" w:rsidRDefault="00CD3B55">
            <w:pPr>
              <w:widowControl w:val="0"/>
              <w:autoSpaceDE w:val="0"/>
              <w:autoSpaceDN w:val="0"/>
              <w:adjustRightInd w:val="0"/>
              <w:jc w:val="right"/>
              <w:rPr>
                <w:rFonts w:cs="Arial"/>
                <w:sz w:val="18"/>
                <w:szCs w:val="18"/>
              </w:rPr>
            </w:pPr>
            <w:r>
              <w:rPr>
                <w:rFonts w:cs="Arial"/>
                <w:sz w:val="18"/>
                <w:szCs w:val="18"/>
              </w:rPr>
              <w:t>24.2</w:t>
            </w:r>
            <w:r w:rsidR="004B612C" w:rsidRPr="000C3C99">
              <w:rPr>
                <w:rFonts w:cs="Arial"/>
                <w:sz w:val="18"/>
                <w:szCs w:val="18"/>
              </w:rPr>
              <w:t xml:space="preserve"> million</w:t>
            </w:r>
          </w:p>
        </w:tc>
        <w:tc>
          <w:tcPr>
            <w:tcW w:w="1134" w:type="dxa"/>
            <w:vAlign w:val="bottom"/>
          </w:tcPr>
          <w:p w14:paraId="7F487758" w14:textId="582F39D4" w:rsidR="004B612C" w:rsidRPr="000C3C99" w:rsidRDefault="00CE5B9D">
            <w:pPr>
              <w:widowControl w:val="0"/>
              <w:autoSpaceDE w:val="0"/>
              <w:autoSpaceDN w:val="0"/>
              <w:adjustRightInd w:val="0"/>
              <w:ind w:left="-103" w:right="-110"/>
              <w:jc w:val="center"/>
              <w:rPr>
                <w:rFonts w:cs="Arial"/>
                <w:sz w:val="18"/>
                <w:szCs w:val="18"/>
              </w:rPr>
            </w:pPr>
            <w:r>
              <w:rPr>
                <w:rFonts w:cs="Arial"/>
                <w:sz w:val="18"/>
                <w:szCs w:val="18"/>
              </w:rPr>
              <w:t>10.1</w:t>
            </w:r>
            <w:r w:rsidR="004B612C" w:rsidRPr="000C3C99">
              <w:rPr>
                <w:rFonts w:cs="Arial"/>
                <w:sz w:val="18"/>
                <w:szCs w:val="18"/>
              </w:rPr>
              <w:t>%</w:t>
            </w:r>
          </w:p>
        </w:tc>
        <w:tc>
          <w:tcPr>
            <w:tcW w:w="2693" w:type="dxa"/>
          </w:tcPr>
          <w:p w14:paraId="1115361D" w14:textId="1F7E2CC4" w:rsidR="004B612C" w:rsidRPr="00CE5B9D" w:rsidRDefault="00CE5B9D" w:rsidP="008A40EA">
            <w:pPr>
              <w:widowControl w:val="0"/>
              <w:autoSpaceDE w:val="0"/>
              <w:autoSpaceDN w:val="0"/>
              <w:adjustRightInd w:val="0"/>
              <w:ind w:right="-106"/>
              <w:jc w:val="both"/>
              <w:rPr>
                <w:rFonts w:cs="Arial"/>
                <w:sz w:val="18"/>
                <w:szCs w:val="18"/>
              </w:rPr>
            </w:pPr>
            <w:r w:rsidRPr="00CE5B9D">
              <w:rPr>
                <w:rFonts w:cs="Arial"/>
                <w:sz w:val="18"/>
                <w:szCs w:val="18"/>
              </w:rPr>
              <w:t>July</w:t>
            </w:r>
            <w:r w:rsidR="00BC7C02" w:rsidRPr="00CE5B9D">
              <w:rPr>
                <w:rFonts w:cs="Arial"/>
                <w:sz w:val="18"/>
                <w:szCs w:val="18"/>
              </w:rPr>
              <w:t xml:space="preserve"> </w:t>
            </w:r>
            <w:r w:rsidRPr="00CE5B9D">
              <w:rPr>
                <w:rFonts w:cs="Arial"/>
                <w:sz w:val="18"/>
                <w:szCs w:val="18"/>
              </w:rPr>
              <w:t>4</w:t>
            </w:r>
            <w:r w:rsidR="004B612C" w:rsidRPr="00CE5B9D">
              <w:rPr>
                <w:rFonts w:cs="Arial"/>
                <w:sz w:val="18"/>
                <w:szCs w:val="18"/>
              </w:rPr>
              <w:t xml:space="preserve">, </w:t>
            </w:r>
            <w:proofErr w:type="gramStart"/>
            <w:r w:rsidR="004B612C" w:rsidRPr="00CE5B9D">
              <w:rPr>
                <w:rFonts w:cs="Arial"/>
                <w:sz w:val="18"/>
                <w:szCs w:val="18"/>
              </w:rPr>
              <w:t>2026</w:t>
            </w:r>
            <w:proofErr w:type="gramEnd"/>
            <w:r w:rsidR="004B612C" w:rsidRPr="00CE5B9D">
              <w:rPr>
                <w:rFonts w:cs="Arial"/>
                <w:sz w:val="18"/>
                <w:szCs w:val="18"/>
              </w:rPr>
              <w:t xml:space="preserve"> to </w:t>
            </w:r>
            <w:r w:rsidRPr="00CE5B9D">
              <w:rPr>
                <w:rFonts w:cs="Arial"/>
                <w:sz w:val="18"/>
                <w:szCs w:val="18"/>
              </w:rPr>
              <w:t>June</w:t>
            </w:r>
            <w:r w:rsidR="004B612C" w:rsidRPr="00CE5B9D">
              <w:rPr>
                <w:rFonts w:cs="Arial"/>
                <w:sz w:val="18"/>
                <w:szCs w:val="18"/>
              </w:rPr>
              <w:t xml:space="preserve"> </w:t>
            </w:r>
            <w:r w:rsidRPr="00CE5B9D">
              <w:rPr>
                <w:rFonts w:cs="Arial"/>
                <w:sz w:val="18"/>
                <w:szCs w:val="18"/>
              </w:rPr>
              <w:t>22</w:t>
            </w:r>
            <w:r w:rsidR="004B612C" w:rsidRPr="00CE5B9D">
              <w:rPr>
                <w:rFonts w:cs="Arial"/>
                <w:sz w:val="18"/>
                <w:szCs w:val="18"/>
              </w:rPr>
              <w:t>, 202</w:t>
            </w:r>
            <w:r w:rsidRPr="00CE5B9D">
              <w:rPr>
                <w:rFonts w:cs="Arial"/>
                <w:sz w:val="18"/>
                <w:szCs w:val="18"/>
              </w:rPr>
              <w:t>7</w:t>
            </w:r>
          </w:p>
        </w:tc>
      </w:tr>
      <w:tr w:rsidR="004C22BB" w:rsidRPr="009C3F3D" w14:paraId="71B06DCF" w14:textId="77777777" w:rsidTr="008A40EA">
        <w:trPr>
          <w:gridAfter w:val="1"/>
          <w:wAfter w:w="93" w:type="dxa"/>
          <w:trHeight w:val="60"/>
          <w:jc w:val="center"/>
        </w:trPr>
        <w:tc>
          <w:tcPr>
            <w:tcW w:w="3686" w:type="dxa"/>
            <w:vAlign w:val="bottom"/>
          </w:tcPr>
          <w:p w14:paraId="2DE8A574" w14:textId="77777777" w:rsidR="004C22BB" w:rsidRDefault="004C22BB">
            <w:pPr>
              <w:widowControl w:val="0"/>
              <w:autoSpaceDE w:val="0"/>
              <w:autoSpaceDN w:val="0"/>
              <w:adjustRightInd w:val="0"/>
              <w:rPr>
                <w:sz w:val="18"/>
                <w:szCs w:val="18"/>
              </w:rPr>
            </w:pPr>
          </w:p>
        </w:tc>
        <w:tc>
          <w:tcPr>
            <w:tcW w:w="283" w:type="dxa"/>
            <w:vAlign w:val="bottom"/>
          </w:tcPr>
          <w:p w14:paraId="5120244A" w14:textId="77777777" w:rsidR="004C22BB" w:rsidRDefault="004C22BB">
            <w:pPr>
              <w:widowControl w:val="0"/>
              <w:autoSpaceDE w:val="0"/>
              <w:autoSpaceDN w:val="0"/>
              <w:adjustRightInd w:val="0"/>
              <w:ind w:left="-115"/>
              <w:jc w:val="right"/>
              <w:rPr>
                <w:rFonts w:cs="Arial"/>
                <w:sz w:val="18"/>
                <w:szCs w:val="18"/>
              </w:rPr>
            </w:pPr>
          </w:p>
        </w:tc>
        <w:tc>
          <w:tcPr>
            <w:tcW w:w="1276" w:type="dxa"/>
            <w:vAlign w:val="bottom"/>
          </w:tcPr>
          <w:p w14:paraId="591CF9DB" w14:textId="77777777" w:rsidR="004C22BB" w:rsidRDefault="004C22BB">
            <w:pPr>
              <w:widowControl w:val="0"/>
              <w:autoSpaceDE w:val="0"/>
              <w:autoSpaceDN w:val="0"/>
              <w:adjustRightInd w:val="0"/>
              <w:jc w:val="right"/>
              <w:rPr>
                <w:rFonts w:cs="Arial"/>
                <w:sz w:val="18"/>
                <w:szCs w:val="18"/>
              </w:rPr>
            </w:pPr>
          </w:p>
        </w:tc>
        <w:tc>
          <w:tcPr>
            <w:tcW w:w="1134" w:type="dxa"/>
            <w:vAlign w:val="bottom"/>
          </w:tcPr>
          <w:p w14:paraId="47AA31A2" w14:textId="77777777" w:rsidR="004C22BB" w:rsidRDefault="004C22BB">
            <w:pPr>
              <w:widowControl w:val="0"/>
              <w:autoSpaceDE w:val="0"/>
              <w:autoSpaceDN w:val="0"/>
              <w:adjustRightInd w:val="0"/>
              <w:ind w:left="-103" w:right="-110"/>
              <w:jc w:val="center"/>
              <w:rPr>
                <w:rFonts w:cs="Arial"/>
                <w:sz w:val="18"/>
                <w:szCs w:val="18"/>
              </w:rPr>
            </w:pPr>
          </w:p>
        </w:tc>
        <w:tc>
          <w:tcPr>
            <w:tcW w:w="2693" w:type="dxa"/>
          </w:tcPr>
          <w:p w14:paraId="673EDCFB" w14:textId="77777777" w:rsidR="004C22BB" w:rsidRPr="00CE5B9D" w:rsidRDefault="004C22BB" w:rsidP="007D6B74">
            <w:pPr>
              <w:widowControl w:val="0"/>
              <w:autoSpaceDE w:val="0"/>
              <w:autoSpaceDN w:val="0"/>
              <w:adjustRightInd w:val="0"/>
              <w:ind w:right="-106"/>
              <w:jc w:val="both"/>
              <w:rPr>
                <w:rFonts w:cs="Arial"/>
                <w:sz w:val="18"/>
                <w:szCs w:val="18"/>
              </w:rPr>
            </w:pPr>
          </w:p>
        </w:tc>
      </w:tr>
      <w:tr w:rsidR="004B612C" w:rsidRPr="004C22BB" w14:paraId="3572F239" w14:textId="77777777" w:rsidTr="008A40EA">
        <w:trPr>
          <w:gridAfter w:val="1"/>
          <w:wAfter w:w="93" w:type="dxa"/>
          <w:trHeight w:val="60"/>
          <w:jc w:val="center"/>
        </w:trPr>
        <w:tc>
          <w:tcPr>
            <w:tcW w:w="3686" w:type="dxa"/>
            <w:vAlign w:val="bottom"/>
          </w:tcPr>
          <w:p w14:paraId="52D43A8C" w14:textId="77777777" w:rsidR="004B612C" w:rsidRDefault="004B612C">
            <w:pPr>
              <w:widowControl w:val="0"/>
              <w:autoSpaceDE w:val="0"/>
              <w:autoSpaceDN w:val="0"/>
              <w:adjustRightInd w:val="0"/>
              <w:rPr>
                <w:sz w:val="18"/>
                <w:szCs w:val="18"/>
              </w:rPr>
            </w:pPr>
            <w:r>
              <w:rPr>
                <w:sz w:val="18"/>
                <w:szCs w:val="18"/>
              </w:rPr>
              <w:t xml:space="preserve">USD Other financing </w:t>
            </w:r>
            <w:r w:rsidRPr="008D7AEA">
              <w:rPr>
                <w:sz w:val="18"/>
                <w:szCs w:val="18"/>
                <w:vertAlign w:val="superscript"/>
              </w:rPr>
              <w:t>(</w:t>
            </w:r>
            <w:r>
              <w:rPr>
                <w:sz w:val="18"/>
                <w:szCs w:val="18"/>
                <w:vertAlign w:val="superscript"/>
              </w:rPr>
              <w:t>2)</w:t>
            </w:r>
          </w:p>
        </w:tc>
        <w:tc>
          <w:tcPr>
            <w:tcW w:w="283" w:type="dxa"/>
            <w:vAlign w:val="bottom"/>
          </w:tcPr>
          <w:p w14:paraId="32D6F709" w14:textId="77777777" w:rsidR="004B612C" w:rsidRDefault="004B612C">
            <w:pPr>
              <w:widowControl w:val="0"/>
              <w:autoSpaceDE w:val="0"/>
              <w:autoSpaceDN w:val="0"/>
              <w:adjustRightInd w:val="0"/>
              <w:ind w:left="-115"/>
              <w:jc w:val="right"/>
              <w:rPr>
                <w:rFonts w:cs="Arial"/>
                <w:sz w:val="18"/>
                <w:szCs w:val="18"/>
              </w:rPr>
            </w:pPr>
          </w:p>
        </w:tc>
        <w:tc>
          <w:tcPr>
            <w:tcW w:w="1276" w:type="dxa"/>
            <w:vAlign w:val="bottom"/>
          </w:tcPr>
          <w:p w14:paraId="7BCFD681" w14:textId="79134776" w:rsidR="004B612C" w:rsidRPr="004C22BB" w:rsidRDefault="00CD3B55">
            <w:pPr>
              <w:widowControl w:val="0"/>
              <w:autoSpaceDE w:val="0"/>
              <w:autoSpaceDN w:val="0"/>
              <w:adjustRightInd w:val="0"/>
              <w:jc w:val="right"/>
              <w:rPr>
                <w:rFonts w:cs="Arial"/>
                <w:sz w:val="18"/>
                <w:szCs w:val="18"/>
              </w:rPr>
            </w:pPr>
            <w:r w:rsidRPr="004C22BB">
              <w:rPr>
                <w:rFonts w:cs="Arial"/>
                <w:sz w:val="18"/>
                <w:szCs w:val="18"/>
              </w:rPr>
              <w:t>2.8</w:t>
            </w:r>
            <w:r w:rsidR="004B612C" w:rsidRPr="004C22BB">
              <w:rPr>
                <w:rFonts w:cs="Arial"/>
                <w:sz w:val="18"/>
                <w:szCs w:val="18"/>
              </w:rPr>
              <w:t xml:space="preserve"> million</w:t>
            </w:r>
          </w:p>
        </w:tc>
        <w:tc>
          <w:tcPr>
            <w:tcW w:w="1134" w:type="dxa"/>
            <w:vAlign w:val="bottom"/>
          </w:tcPr>
          <w:p w14:paraId="6F650294" w14:textId="77777777" w:rsidR="004B612C" w:rsidRPr="004C22BB" w:rsidRDefault="004B612C">
            <w:pPr>
              <w:widowControl w:val="0"/>
              <w:autoSpaceDE w:val="0"/>
              <w:autoSpaceDN w:val="0"/>
              <w:adjustRightInd w:val="0"/>
              <w:ind w:left="-103" w:right="-110"/>
              <w:jc w:val="center"/>
              <w:rPr>
                <w:rFonts w:cs="Arial"/>
                <w:sz w:val="18"/>
                <w:szCs w:val="18"/>
              </w:rPr>
            </w:pPr>
            <w:r w:rsidRPr="004C22BB">
              <w:rPr>
                <w:rFonts w:cs="Arial"/>
                <w:sz w:val="18"/>
                <w:szCs w:val="18"/>
              </w:rPr>
              <w:t>Variable</w:t>
            </w:r>
          </w:p>
        </w:tc>
        <w:tc>
          <w:tcPr>
            <w:tcW w:w="2693" w:type="dxa"/>
          </w:tcPr>
          <w:p w14:paraId="1120E161" w14:textId="1400D32C" w:rsidR="004B612C" w:rsidRPr="004C22BB" w:rsidRDefault="004C22BB" w:rsidP="007D6B74">
            <w:pPr>
              <w:widowControl w:val="0"/>
              <w:autoSpaceDE w:val="0"/>
              <w:autoSpaceDN w:val="0"/>
              <w:adjustRightInd w:val="0"/>
              <w:ind w:right="-106"/>
              <w:jc w:val="both"/>
              <w:rPr>
                <w:rFonts w:cs="Arial"/>
                <w:sz w:val="18"/>
                <w:szCs w:val="18"/>
              </w:rPr>
            </w:pPr>
            <w:r w:rsidRPr="004C22BB">
              <w:rPr>
                <w:rFonts w:cs="Arial"/>
                <w:sz w:val="18"/>
                <w:szCs w:val="18"/>
              </w:rPr>
              <w:t>December 31, 2026</w:t>
            </w:r>
          </w:p>
        </w:tc>
      </w:tr>
      <w:tr w:rsidR="004B612C" w:rsidRPr="00896FA4" w14:paraId="4AEA0BAC" w14:textId="77777777" w:rsidTr="008A40EA">
        <w:trPr>
          <w:gridAfter w:val="1"/>
          <w:wAfter w:w="93" w:type="dxa"/>
          <w:trHeight w:val="80"/>
          <w:jc w:val="center"/>
        </w:trPr>
        <w:tc>
          <w:tcPr>
            <w:tcW w:w="3686" w:type="dxa"/>
            <w:vAlign w:val="bottom"/>
          </w:tcPr>
          <w:p w14:paraId="15C34016" w14:textId="77777777" w:rsidR="004B612C" w:rsidRDefault="004B612C">
            <w:pPr>
              <w:widowControl w:val="0"/>
              <w:autoSpaceDE w:val="0"/>
              <w:autoSpaceDN w:val="0"/>
              <w:adjustRightInd w:val="0"/>
              <w:rPr>
                <w:sz w:val="18"/>
                <w:szCs w:val="18"/>
              </w:rPr>
            </w:pPr>
          </w:p>
        </w:tc>
        <w:tc>
          <w:tcPr>
            <w:tcW w:w="283" w:type="dxa"/>
            <w:vAlign w:val="bottom"/>
          </w:tcPr>
          <w:p w14:paraId="7E7E5B7D" w14:textId="77777777" w:rsidR="004B612C" w:rsidRPr="00896FA4" w:rsidRDefault="004B612C">
            <w:pPr>
              <w:widowControl w:val="0"/>
              <w:autoSpaceDE w:val="0"/>
              <w:autoSpaceDN w:val="0"/>
              <w:adjustRightInd w:val="0"/>
              <w:ind w:left="-115"/>
              <w:jc w:val="right"/>
              <w:rPr>
                <w:rFonts w:cs="Arial"/>
                <w:sz w:val="18"/>
                <w:szCs w:val="18"/>
              </w:rPr>
            </w:pPr>
          </w:p>
        </w:tc>
        <w:tc>
          <w:tcPr>
            <w:tcW w:w="1276" w:type="dxa"/>
            <w:vAlign w:val="bottom"/>
          </w:tcPr>
          <w:p w14:paraId="5088BFE6" w14:textId="77777777" w:rsidR="004B612C" w:rsidRPr="00C877F8" w:rsidRDefault="004B612C">
            <w:pPr>
              <w:widowControl w:val="0"/>
              <w:autoSpaceDE w:val="0"/>
              <w:autoSpaceDN w:val="0"/>
              <w:adjustRightInd w:val="0"/>
              <w:jc w:val="right"/>
              <w:rPr>
                <w:rFonts w:cs="Arial"/>
                <w:sz w:val="18"/>
                <w:szCs w:val="18"/>
              </w:rPr>
            </w:pPr>
          </w:p>
        </w:tc>
        <w:tc>
          <w:tcPr>
            <w:tcW w:w="1134" w:type="dxa"/>
            <w:vAlign w:val="bottom"/>
          </w:tcPr>
          <w:p w14:paraId="2936AD34" w14:textId="77777777" w:rsidR="004B612C" w:rsidRPr="00896FA4" w:rsidRDefault="004B612C">
            <w:pPr>
              <w:widowControl w:val="0"/>
              <w:autoSpaceDE w:val="0"/>
              <w:autoSpaceDN w:val="0"/>
              <w:adjustRightInd w:val="0"/>
              <w:ind w:left="-103" w:right="-110"/>
              <w:jc w:val="center"/>
              <w:rPr>
                <w:rFonts w:cs="Arial"/>
                <w:sz w:val="18"/>
                <w:szCs w:val="18"/>
              </w:rPr>
            </w:pPr>
          </w:p>
        </w:tc>
        <w:tc>
          <w:tcPr>
            <w:tcW w:w="2693" w:type="dxa"/>
          </w:tcPr>
          <w:p w14:paraId="319F64C8" w14:textId="77777777" w:rsidR="004B612C" w:rsidRPr="00896FA4" w:rsidRDefault="004B612C" w:rsidP="007D6B74">
            <w:pPr>
              <w:widowControl w:val="0"/>
              <w:autoSpaceDE w:val="0"/>
              <w:autoSpaceDN w:val="0"/>
              <w:adjustRightInd w:val="0"/>
              <w:ind w:right="-106"/>
              <w:jc w:val="both"/>
              <w:rPr>
                <w:rFonts w:cs="Arial"/>
                <w:sz w:val="18"/>
                <w:szCs w:val="18"/>
              </w:rPr>
            </w:pPr>
          </w:p>
        </w:tc>
      </w:tr>
      <w:tr w:rsidR="004B612C" w:rsidRPr="00896FA4" w14:paraId="50EE435A" w14:textId="77777777" w:rsidTr="008A40EA">
        <w:trPr>
          <w:gridAfter w:val="1"/>
          <w:wAfter w:w="93" w:type="dxa"/>
          <w:trHeight w:val="80"/>
          <w:jc w:val="center"/>
        </w:trPr>
        <w:tc>
          <w:tcPr>
            <w:tcW w:w="3686" w:type="dxa"/>
            <w:vAlign w:val="bottom"/>
          </w:tcPr>
          <w:p w14:paraId="0FCE961C" w14:textId="77777777" w:rsidR="004B612C" w:rsidRPr="008244B9" w:rsidRDefault="004B612C">
            <w:pPr>
              <w:widowControl w:val="0"/>
              <w:autoSpaceDE w:val="0"/>
              <w:autoSpaceDN w:val="0"/>
              <w:adjustRightInd w:val="0"/>
              <w:rPr>
                <w:sz w:val="18"/>
                <w:szCs w:val="18"/>
              </w:rPr>
            </w:pPr>
            <w:proofErr w:type="spellStart"/>
            <w:r w:rsidRPr="008244B9">
              <w:rPr>
                <w:sz w:val="18"/>
                <w:szCs w:val="18"/>
              </w:rPr>
              <w:t>Liminar</w:t>
            </w:r>
            <w:proofErr w:type="spellEnd"/>
            <w:r w:rsidRPr="008244B9">
              <w:rPr>
                <w:sz w:val="18"/>
                <w:szCs w:val="18"/>
              </w:rPr>
              <w:t xml:space="preserve"> Energía S.A.</w:t>
            </w:r>
            <w:r w:rsidRPr="008244B9">
              <w:rPr>
                <w:rFonts w:eastAsia="Arial" w:cs="Arial"/>
                <w:color w:val="000000"/>
                <w:lang w:val="es-AR"/>
              </w:rPr>
              <w:t xml:space="preserve"> </w:t>
            </w:r>
            <w:r w:rsidRPr="008244B9">
              <w:rPr>
                <w:sz w:val="18"/>
                <w:szCs w:val="18"/>
                <w:vertAlign w:val="superscript"/>
              </w:rPr>
              <w:t>(</w:t>
            </w:r>
            <w:r>
              <w:rPr>
                <w:sz w:val="18"/>
                <w:szCs w:val="18"/>
                <w:vertAlign w:val="superscript"/>
              </w:rPr>
              <w:t>3</w:t>
            </w:r>
            <w:r w:rsidRPr="008244B9">
              <w:rPr>
                <w:sz w:val="18"/>
                <w:szCs w:val="18"/>
                <w:vertAlign w:val="superscript"/>
              </w:rPr>
              <w:t>)</w:t>
            </w:r>
          </w:p>
        </w:tc>
        <w:tc>
          <w:tcPr>
            <w:tcW w:w="283" w:type="dxa"/>
            <w:vAlign w:val="bottom"/>
          </w:tcPr>
          <w:p w14:paraId="036174BC" w14:textId="77777777" w:rsidR="004B612C" w:rsidRPr="008244B9" w:rsidRDefault="004B612C">
            <w:pPr>
              <w:widowControl w:val="0"/>
              <w:autoSpaceDE w:val="0"/>
              <w:autoSpaceDN w:val="0"/>
              <w:adjustRightInd w:val="0"/>
              <w:ind w:left="-115"/>
              <w:jc w:val="right"/>
              <w:rPr>
                <w:rFonts w:cs="Arial"/>
                <w:sz w:val="18"/>
                <w:szCs w:val="18"/>
              </w:rPr>
            </w:pPr>
          </w:p>
        </w:tc>
        <w:tc>
          <w:tcPr>
            <w:tcW w:w="1276" w:type="dxa"/>
            <w:vAlign w:val="bottom"/>
          </w:tcPr>
          <w:p w14:paraId="4CC80B7D" w14:textId="77777777" w:rsidR="004B612C" w:rsidRPr="008244B9" w:rsidRDefault="004B612C">
            <w:pPr>
              <w:widowControl w:val="0"/>
              <w:autoSpaceDE w:val="0"/>
              <w:autoSpaceDN w:val="0"/>
              <w:adjustRightInd w:val="0"/>
              <w:jc w:val="right"/>
              <w:rPr>
                <w:rFonts w:cs="Arial"/>
                <w:sz w:val="18"/>
                <w:szCs w:val="18"/>
              </w:rPr>
            </w:pPr>
            <w:r w:rsidRPr="008244B9">
              <w:rPr>
                <w:rFonts w:cs="Arial"/>
                <w:sz w:val="18"/>
                <w:szCs w:val="18"/>
              </w:rPr>
              <w:t>29.9 million</w:t>
            </w:r>
          </w:p>
        </w:tc>
        <w:tc>
          <w:tcPr>
            <w:tcW w:w="1134" w:type="dxa"/>
            <w:vAlign w:val="bottom"/>
          </w:tcPr>
          <w:p w14:paraId="316DA748" w14:textId="674883E0" w:rsidR="004B612C" w:rsidRPr="008244B9" w:rsidRDefault="00076B12">
            <w:pPr>
              <w:widowControl w:val="0"/>
              <w:autoSpaceDE w:val="0"/>
              <w:autoSpaceDN w:val="0"/>
              <w:adjustRightInd w:val="0"/>
              <w:ind w:left="-103" w:right="-110"/>
              <w:jc w:val="center"/>
              <w:rPr>
                <w:rFonts w:cs="Arial"/>
                <w:sz w:val="18"/>
                <w:szCs w:val="18"/>
              </w:rPr>
            </w:pPr>
            <w:r>
              <w:rPr>
                <w:rFonts w:cs="Arial"/>
                <w:sz w:val="18"/>
                <w:szCs w:val="18"/>
              </w:rPr>
              <w:t>4</w:t>
            </w:r>
            <w:r w:rsidR="004B612C" w:rsidRPr="008244B9">
              <w:rPr>
                <w:rFonts w:cs="Arial"/>
                <w:sz w:val="18"/>
                <w:szCs w:val="18"/>
              </w:rPr>
              <w:t>%</w:t>
            </w:r>
          </w:p>
        </w:tc>
        <w:tc>
          <w:tcPr>
            <w:tcW w:w="2693" w:type="dxa"/>
          </w:tcPr>
          <w:p w14:paraId="56B74C12" w14:textId="3345B236" w:rsidR="004B612C" w:rsidRPr="008244B9" w:rsidRDefault="00076B12" w:rsidP="007D6B74">
            <w:pPr>
              <w:widowControl w:val="0"/>
              <w:autoSpaceDE w:val="0"/>
              <w:autoSpaceDN w:val="0"/>
              <w:adjustRightInd w:val="0"/>
              <w:ind w:right="-106"/>
              <w:jc w:val="both"/>
              <w:rPr>
                <w:rFonts w:cs="Arial"/>
                <w:sz w:val="18"/>
                <w:szCs w:val="18"/>
              </w:rPr>
            </w:pPr>
            <w:r>
              <w:rPr>
                <w:rFonts w:cs="Arial"/>
                <w:sz w:val="18"/>
                <w:szCs w:val="18"/>
              </w:rPr>
              <w:t xml:space="preserve">July </w:t>
            </w:r>
            <w:r w:rsidR="004B612C" w:rsidRPr="008244B9">
              <w:rPr>
                <w:rFonts w:cs="Arial"/>
                <w:sz w:val="18"/>
                <w:szCs w:val="18"/>
              </w:rPr>
              <w:t>1</w:t>
            </w:r>
            <w:r>
              <w:rPr>
                <w:rFonts w:cs="Arial"/>
                <w:sz w:val="18"/>
                <w:szCs w:val="18"/>
              </w:rPr>
              <w:t>6</w:t>
            </w:r>
            <w:r w:rsidR="004B612C" w:rsidRPr="008244B9">
              <w:rPr>
                <w:rFonts w:cs="Arial"/>
                <w:sz w:val="18"/>
                <w:szCs w:val="18"/>
              </w:rPr>
              <w:t>, 202</w:t>
            </w:r>
            <w:r>
              <w:rPr>
                <w:rFonts w:cs="Arial"/>
                <w:sz w:val="18"/>
                <w:szCs w:val="18"/>
              </w:rPr>
              <w:t>6</w:t>
            </w:r>
          </w:p>
        </w:tc>
      </w:tr>
      <w:tr w:rsidR="004B612C" w:rsidRPr="00896FA4" w14:paraId="6F79E131" w14:textId="77777777" w:rsidTr="008A40EA">
        <w:trPr>
          <w:gridAfter w:val="1"/>
          <w:wAfter w:w="93" w:type="dxa"/>
          <w:trHeight w:val="80"/>
          <w:jc w:val="center"/>
        </w:trPr>
        <w:tc>
          <w:tcPr>
            <w:tcW w:w="3686" w:type="dxa"/>
            <w:vAlign w:val="bottom"/>
          </w:tcPr>
          <w:p w14:paraId="5F9AB45A" w14:textId="77777777" w:rsidR="004B612C" w:rsidRPr="008244B9" w:rsidRDefault="004B612C">
            <w:pPr>
              <w:widowControl w:val="0"/>
              <w:autoSpaceDE w:val="0"/>
              <w:autoSpaceDN w:val="0"/>
              <w:adjustRightInd w:val="0"/>
              <w:rPr>
                <w:sz w:val="18"/>
                <w:szCs w:val="18"/>
              </w:rPr>
            </w:pPr>
          </w:p>
        </w:tc>
        <w:tc>
          <w:tcPr>
            <w:tcW w:w="283" w:type="dxa"/>
            <w:vAlign w:val="bottom"/>
          </w:tcPr>
          <w:p w14:paraId="4D05C6AC" w14:textId="77777777" w:rsidR="004B612C" w:rsidRPr="008244B9" w:rsidRDefault="004B612C">
            <w:pPr>
              <w:widowControl w:val="0"/>
              <w:autoSpaceDE w:val="0"/>
              <w:autoSpaceDN w:val="0"/>
              <w:adjustRightInd w:val="0"/>
              <w:ind w:left="-115"/>
              <w:jc w:val="right"/>
              <w:rPr>
                <w:rFonts w:cs="Arial"/>
                <w:sz w:val="18"/>
                <w:szCs w:val="18"/>
              </w:rPr>
            </w:pPr>
          </w:p>
        </w:tc>
        <w:tc>
          <w:tcPr>
            <w:tcW w:w="1276" w:type="dxa"/>
            <w:vAlign w:val="bottom"/>
          </w:tcPr>
          <w:p w14:paraId="71A3967D" w14:textId="77777777" w:rsidR="004B612C" w:rsidRPr="008244B9" w:rsidRDefault="004B612C">
            <w:pPr>
              <w:widowControl w:val="0"/>
              <w:autoSpaceDE w:val="0"/>
              <w:autoSpaceDN w:val="0"/>
              <w:adjustRightInd w:val="0"/>
              <w:jc w:val="right"/>
              <w:rPr>
                <w:rFonts w:cs="Arial"/>
                <w:sz w:val="18"/>
                <w:szCs w:val="18"/>
              </w:rPr>
            </w:pPr>
          </w:p>
        </w:tc>
        <w:tc>
          <w:tcPr>
            <w:tcW w:w="1134" w:type="dxa"/>
            <w:vAlign w:val="bottom"/>
          </w:tcPr>
          <w:p w14:paraId="2BD129BB" w14:textId="77777777" w:rsidR="004B612C" w:rsidRPr="008244B9" w:rsidRDefault="004B612C">
            <w:pPr>
              <w:widowControl w:val="0"/>
              <w:autoSpaceDE w:val="0"/>
              <w:autoSpaceDN w:val="0"/>
              <w:adjustRightInd w:val="0"/>
              <w:ind w:left="-103" w:right="-110"/>
              <w:jc w:val="center"/>
              <w:rPr>
                <w:rFonts w:cs="Arial"/>
                <w:sz w:val="18"/>
                <w:szCs w:val="18"/>
              </w:rPr>
            </w:pPr>
          </w:p>
        </w:tc>
        <w:tc>
          <w:tcPr>
            <w:tcW w:w="2693" w:type="dxa"/>
          </w:tcPr>
          <w:p w14:paraId="123AA934" w14:textId="77777777" w:rsidR="004B612C" w:rsidRPr="008244B9" w:rsidRDefault="004B612C" w:rsidP="007D6B74">
            <w:pPr>
              <w:widowControl w:val="0"/>
              <w:autoSpaceDE w:val="0"/>
              <w:autoSpaceDN w:val="0"/>
              <w:adjustRightInd w:val="0"/>
              <w:ind w:right="-106"/>
              <w:jc w:val="both"/>
              <w:rPr>
                <w:rFonts w:cs="Arial"/>
                <w:sz w:val="18"/>
                <w:szCs w:val="18"/>
              </w:rPr>
            </w:pPr>
          </w:p>
        </w:tc>
      </w:tr>
      <w:tr w:rsidR="004B612C" w:rsidRPr="00896FA4" w14:paraId="3493AF51" w14:textId="77777777" w:rsidTr="008A40EA">
        <w:trPr>
          <w:gridAfter w:val="1"/>
          <w:wAfter w:w="93" w:type="dxa"/>
          <w:trHeight w:val="238"/>
          <w:jc w:val="center"/>
        </w:trPr>
        <w:tc>
          <w:tcPr>
            <w:tcW w:w="3686" w:type="dxa"/>
            <w:vAlign w:val="bottom"/>
          </w:tcPr>
          <w:p w14:paraId="31C10292" w14:textId="77777777" w:rsidR="004B612C" w:rsidRPr="00896FA4" w:rsidRDefault="004B612C">
            <w:pPr>
              <w:widowControl w:val="0"/>
              <w:autoSpaceDE w:val="0"/>
              <w:autoSpaceDN w:val="0"/>
              <w:adjustRightInd w:val="0"/>
              <w:rPr>
                <w:rFonts w:cs="Arial"/>
                <w:sz w:val="18"/>
                <w:szCs w:val="18"/>
              </w:rPr>
            </w:pPr>
            <w:r w:rsidRPr="00896FA4">
              <w:rPr>
                <w:rFonts w:cs="Arial"/>
                <w:sz w:val="18"/>
                <w:szCs w:val="18"/>
              </w:rPr>
              <w:t xml:space="preserve">Total principal amount of </w:t>
            </w:r>
            <w:r>
              <w:rPr>
                <w:rFonts w:cs="Arial"/>
                <w:sz w:val="18"/>
                <w:szCs w:val="18"/>
              </w:rPr>
              <w:t>loans</w:t>
            </w:r>
          </w:p>
        </w:tc>
        <w:tc>
          <w:tcPr>
            <w:tcW w:w="283" w:type="dxa"/>
            <w:vAlign w:val="bottom"/>
          </w:tcPr>
          <w:p w14:paraId="548C78EC" w14:textId="77777777" w:rsidR="004B612C" w:rsidRPr="00896FA4" w:rsidRDefault="004B612C">
            <w:pPr>
              <w:widowControl w:val="0"/>
              <w:autoSpaceDE w:val="0"/>
              <w:autoSpaceDN w:val="0"/>
              <w:adjustRightInd w:val="0"/>
              <w:ind w:left="-115"/>
              <w:jc w:val="right"/>
              <w:rPr>
                <w:rFonts w:cs="Arial"/>
                <w:sz w:val="18"/>
                <w:szCs w:val="18"/>
              </w:rPr>
            </w:pPr>
          </w:p>
        </w:tc>
        <w:tc>
          <w:tcPr>
            <w:tcW w:w="1276" w:type="dxa"/>
            <w:tcBorders>
              <w:top w:val="single" w:sz="4" w:space="0" w:color="auto"/>
              <w:bottom w:val="single" w:sz="12" w:space="0" w:color="auto"/>
            </w:tcBorders>
            <w:vAlign w:val="bottom"/>
          </w:tcPr>
          <w:p w14:paraId="2C07E66E" w14:textId="6202AC2D" w:rsidR="004B612C" w:rsidRPr="00C877F8" w:rsidRDefault="008A40EA" w:rsidP="008A40EA">
            <w:pPr>
              <w:widowControl w:val="0"/>
              <w:autoSpaceDE w:val="0"/>
              <w:autoSpaceDN w:val="0"/>
              <w:adjustRightInd w:val="0"/>
              <w:ind w:left="-113"/>
              <w:jc w:val="right"/>
              <w:rPr>
                <w:rFonts w:cs="Arial"/>
                <w:sz w:val="18"/>
                <w:szCs w:val="18"/>
              </w:rPr>
            </w:pPr>
            <w:r>
              <w:rPr>
                <w:rFonts w:cs="Arial"/>
                <w:sz w:val="18"/>
                <w:szCs w:val="18"/>
              </w:rPr>
              <w:t xml:space="preserve">$ </w:t>
            </w:r>
            <w:r w:rsidR="00CD3B55">
              <w:rPr>
                <w:rFonts w:cs="Arial"/>
                <w:sz w:val="18"/>
                <w:szCs w:val="18"/>
              </w:rPr>
              <w:t>59.40</w:t>
            </w:r>
            <w:r w:rsidR="004B612C" w:rsidRPr="00AA0194">
              <w:rPr>
                <w:rFonts w:cs="Arial"/>
                <w:sz w:val="18"/>
                <w:szCs w:val="18"/>
              </w:rPr>
              <w:t xml:space="preserve"> million</w:t>
            </w:r>
          </w:p>
        </w:tc>
        <w:tc>
          <w:tcPr>
            <w:tcW w:w="1134" w:type="dxa"/>
            <w:vAlign w:val="bottom"/>
          </w:tcPr>
          <w:p w14:paraId="461FC4A1" w14:textId="77777777" w:rsidR="004B612C" w:rsidRPr="00896FA4" w:rsidRDefault="004B612C">
            <w:pPr>
              <w:widowControl w:val="0"/>
              <w:autoSpaceDE w:val="0"/>
              <w:autoSpaceDN w:val="0"/>
              <w:adjustRightInd w:val="0"/>
              <w:jc w:val="center"/>
              <w:rPr>
                <w:rFonts w:cs="Arial"/>
                <w:sz w:val="18"/>
                <w:szCs w:val="18"/>
              </w:rPr>
            </w:pPr>
          </w:p>
        </w:tc>
        <w:tc>
          <w:tcPr>
            <w:tcW w:w="2693" w:type="dxa"/>
          </w:tcPr>
          <w:p w14:paraId="4BC736F2" w14:textId="77777777" w:rsidR="004B612C" w:rsidRPr="00896FA4" w:rsidRDefault="004B612C" w:rsidP="007D6B74">
            <w:pPr>
              <w:widowControl w:val="0"/>
              <w:autoSpaceDE w:val="0"/>
              <w:autoSpaceDN w:val="0"/>
              <w:adjustRightInd w:val="0"/>
              <w:ind w:right="-106"/>
              <w:jc w:val="both"/>
              <w:rPr>
                <w:rFonts w:cs="Arial"/>
                <w:sz w:val="18"/>
                <w:szCs w:val="18"/>
              </w:rPr>
            </w:pPr>
          </w:p>
        </w:tc>
      </w:tr>
      <w:tr w:rsidR="004B612C" w:rsidRPr="000A456B" w14:paraId="5EA07453" w14:textId="77777777" w:rsidTr="008A40EA">
        <w:trPr>
          <w:trHeight w:val="40"/>
          <w:jc w:val="center"/>
        </w:trPr>
        <w:tc>
          <w:tcPr>
            <w:tcW w:w="3686" w:type="dxa"/>
          </w:tcPr>
          <w:p w14:paraId="20B98241" w14:textId="77777777" w:rsidR="004B612C" w:rsidRPr="000A456B" w:rsidRDefault="004B612C">
            <w:pPr>
              <w:widowControl w:val="0"/>
              <w:autoSpaceDE w:val="0"/>
              <w:autoSpaceDN w:val="0"/>
              <w:adjustRightInd w:val="0"/>
              <w:jc w:val="both"/>
              <w:rPr>
                <w:rFonts w:cs="Arial"/>
                <w:sz w:val="4"/>
                <w:szCs w:val="4"/>
              </w:rPr>
            </w:pPr>
          </w:p>
        </w:tc>
        <w:tc>
          <w:tcPr>
            <w:tcW w:w="283" w:type="dxa"/>
          </w:tcPr>
          <w:p w14:paraId="07C6CA90" w14:textId="77777777" w:rsidR="004B612C" w:rsidRPr="000A456B" w:rsidRDefault="004B612C">
            <w:pPr>
              <w:widowControl w:val="0"/>
              <w:autoSpaceDE w:val="0"/>
              <w:autoSpaceDN w:val="0"/>
              <w:adjustRightInd w:val="0"/>
              <w:jc w:val="both"/>
              <w:rPr>
                <w:rFonts w:cs="Arial"/>
                <w:sz w:val="4"/>
                <w:szCs w:val="4"/>
              </w:rPr>
            </w:pPr>
          </w:p>
        </w:tc>
        <w:tc>
          <w:tcPr>
            <w:tcW w:w="1276" w:type="dxa"/>
            <w:tcBorders>
              <w:top w:val="single" w:sz="12" w:space="0" w:color="auto"/>
            </w:tcBorders>
          </w:tcPr>
          <w:p w14:paraId="7055ACB5" w14:textId="77777777" w:rsidR="004B612C" w:rsidRPr="000A456B" w:rsidRDefault="004B612C">
            <w:pPr>
              <w:widowControl w:val="0"/>
              <w:autoSpaceDE w:val="0"/>
              <w:autoSpaceDN w:val="0"/>
              <w:adjustRightInd w:val="0"/>
              <w:jc w:val="both"/>
              <w:rPr>
                <w:rFonts w:cs="Arial"/>
                <w:sz w:val="4"/>
                <w:szCs w:val="4"/>
              </w:rPr>
            </w:pPr>
          </w:p>
        </w:tc>
        <w:tc>
          <w:tcPr>
            <w:tcW w:w="1134" w:type="dxa"/>
          </w:tcPr>
          <w:p w14:paraId="21CF9703" w14:textId="77777777" w:rsidR="004B612C" w:rsidRPr="000A456B" w:rsidRDefault="004B612C">
            <w:pPr>
              <w:widowControl w:val="0"/>
              <w:autoSpaceDE w:val="0"/>
              <w:autoSpaceDN w:val="0"/>
              <w:adjustRightInd w:val="0"/>
              <w:jc w:val="both"/>
              <w:rPr>
                <w:rFonts w:cs="Arial"/>
                <w:sz w:val="4"/>
                <w:szCs w:val="4"/>
              </w:rPr>
            </w:pPr>
          </w:p>
        </w:tc>
        <w:tc>
          <w:tcPr>
            <w:tcW w:w="2786" w:type="dxa"/>
            <w:gridSpan w:val="2"/>
          </w:tcPr>
          <w:p w14:paraId="33E1204A" w14:textId="77777777" w:rsidR="004B612C" w:rsidRPr="000A456B" w:rsidRDefault="004B612C">
            <w:pPr>
              <w:widowControl w:val="0"/>
              <w:autoSpaceDE w:val="0"/>
              <w:autoSpaceDN w:val="0"/>
              <w:adjustRightInd w:val="0"/>
              <w:jc w:val="both"/>
              <w:rPr>
                <w:rFonts w:cs="Arial"/>
                <w:sz w:val="4"/>
                <w:szCs w:val="4"/>
              </w:rPr>
            </w:pPr>
          </w:p>
        </w:tc>
      </w:tr>
    </w:tbl>
    <w:p w14:paraId="4C9B6BE5" w14:textId="4708D960" w:rsidR="004B612C" w:rsidRPr="00163142" w:rsidRDefault="004B612C" w:rsidP="004B612C">
      <w:pPr>
        <w:pStyle w:val="ListParagraph"/>
        <w:widowControl w:val="0"/>
        <w:numPr>
          <w:ilvl w:val="0"/>
          <w:numId w:val="33"/>
        </w:numPr>
        <w:tabs>
          <w:tab w:val="left" w:pos="284"/>
        </w:tabs>
        <w:autoSpaceDE w:val="0"/>
        <w:autoSpaceDN w:val="0"/>
        <w:adjustRightInd w:val="0"/>
        <w:spacing w:before="60" w:after="60"/>
        <w:ind w:left="714" w:hanging="357"/>
        <w:rPr>
          <w:rFonts w:ascii="Arial" w:hAnsi="Arial" w:cs="Arial"/>
          <w:sz w:val="16"/>
          <w:szCs w:val="16"/>
        </w:rPr>
      </w:pPr>
      <w:r w:rsidRPr="00163142">
        <w:rPr>
          <w:rFonts w:ascii="Arial" w:hAnsi="Arial" w:cs="Arial"/>
          <w:sz w:val="16"/>
          <w:szCs w:val="16"/>
        </w:rPr>
        <w:t xml:space="preserve">During 2025, the Company </w:t>
      </w:r>
      <w:proofErr w:type="gramStart"/>
      <w:r w:rsidRPr="00163142">
        <w:rPr>
          <w:rFonts w:ascii="Arial" w:hAnsi="Arial" w:cs="Arial"/>
          <w:sz w:val="16"/>
          <w:szCs w:val="16"/>
        </w:rPr>
        <w:t>entered into</w:t>
      </w:r>
      <w:proofErr w:type="gramEnd"/>
      <w:r w:rsidRPr="00163142">
        <w:rPr>
          <w:rFonts w:ascii="Arial" w:hAnsi="Arial" w:cs="Arial"/>
          <w:sz w:val="16"/>
          <w:szCs w:val="16"/>
        </w:rPr>
        <w:t xml:space="preserve"> a financing arrangement with several mutual funds and institutional investors, under which it issued $50.75 million in discounted promissory notes, denominated in USD, bearing interest at an average rate of 11% paid in advance</w:t>
      </w:r>
      <w:r w:rsidR="00D14CC2">
        <w:rPr>
          <w:rFonts w:ascii="Arial" w:hAnsi="Arial" w:cs="Arial"/>
          <w:sz w:val="16"/>
          <w:szCs w:val="16"/>
        </w:rPr>
        <w:t>, of which $43.0 million was repaid in the June 2026 period</w:t>
      </w:r>
      <w:r w:rsidRPr="00163142">
        <w:rPr>
          <w:rFonts w:ascii="Arial" w:hAnsi="Arial" w:cs="Arial"/>
          <w:sz w:val="16"/>
          <w:szCs w:val="16"/>
        </w:rPr>
        <w:t xml:space="preserve">. </w:t>
      </w:r>
      <w:r w:rsidR="00E000E5" w:rsidRPr="00D14CC2">
        <w:rPr>
          <w:rFonts w:ascii="Arial" w:hAnsi="Arial" w:cs="Arial"/>
          <w:sz w:val="16"/>
          <w:szCs w:val="16"/>
        </w:rPr>
        <w:t xml:space="preserve">In June 2026, the Company </w:t>
      </w:r>
      <w:r w:rsidR="009C7E5D">
        <w:rPr>
          <w:rFonts w:ascii="Arial" w:hAnsi="Arial" w:cs="Arial"/>
          <w:sz w:val="16"/>
          <w:szCs w:val="16"/>
        </w:rPr>
        <w:t>issued</w:t>
      </w:r>
      <w:r w:rsidR="009C7E5D" w:rsidRPr="00D14CC2">
        <w:rPr>
          <w:rFonts w:ascii="Arial" w:hAnsi="Arial" w:cs="Arial"/>
          <w:sz w:val="16"/>
          <w:szCs w:val="16"/>
        </w:rPr>
        <w:t xml:space="preserve"> </w:t>
      </w:r>
      <w:r w:rsidR="00E000E5" w:rsidRPr="00D14CC2">
        <w:rPr>
          <w:rFonts w:ascii="Arial" w:hAnsi="Arial" w:cs="Arial"/>
          <w:sz w:val="16"/>
          <w:szCs w:val="16"/>
        </w:rPr>
        <w:t>an additional $16.4 million of discounted promissory notes denominated in USD</w:t>
      </w:r>
      <w:r w:rsidR="00D14CC2" w:rsidRPr="00D14CC2">
        <w:rPr>
          <w:rFonts w:ascii="Arial" w:hAnsi="Arial" w:cs="Arial"/>
          <w:sz w:val="16"/>
          <w:szCs w:val="16"/>
        </w:rPr>
        <w:t xml:space="preserve"> bearing interest at an average rate of </w:t>
      </w:r>
      <w:r w:rsidR="00D14CC2">
        <w:rPr>
          <w:rFonts w:ascii="Arial" w:hAnsi="Arial" w:cs="Arial"/>
          <w:sz w:val="16"/>
          <w:szCs w:val="16"/>
        </w:rPr>
        <w:t>10.1</w:t>
      </w:r>
      <w:r w:rsidR="00D14CC2" w:rsidRPr="00D14CC2">
        <w:rPr>
          <w:rFonts w:ascii="Arial" w:hAnsi="Arial" w:cs="Arial"/>
          <w:sz w:val="16"/>
          <w:szCs w:val="16"/>
        </w:rPr>
        <w:t>% paid in advance.</w:t>
      </w:r>
      <w:r w:rsidR="00E000E5">
        <w:rPr>
          <w:rFonts w:ascii="Arial" w:hAnsi="Arial" w:cs="Arial"/>
          <w:sz w:val="18"/>
          <w:szCs w:val="18"/>
        </w:rPr>
        <w:t xml:space="preserve"> </w:t>
      </w:r>
      <w:r w:rsidRPr="00163142">
        <w:rPr>
          <w:rFonts w:ascii="Arial" w:hAnsi="Arial" w:cs="Arial"/>
          <w:sz w:val="16"/>
          <w:szCs w:val="16"/>
        </w:rPr>
        <w:t xml:space="preserve">The principal is repayable on various dates between </w:t>
      </w:r>
      <w:r w:rsidR="00E000E5">
        <w:rPr>
          <w:rFonts w:ascii="Arial" w:hAnsi="Arial" w:cs="Arial"/>
          <w:sz w:val="16"/>
          <w:szCs w:val="16"/>
        </w:rPr>
        <w:t>July 4</w:t>
      </w:r>
      <w:r w:rsidRPr="00163142">
        <w:rPr>
          <w:rFonts w:ascii="Arial" w:hAnsi="Arial" w:cs="Arial"/>
          <w:sz w:val="16"/>
          <w:szCs w:val="16"/>
        </w:rPr>
        <w:t xml:space="preserve">, </w:t>
      </w:r>
      <w:proofErr w:type="gramStart"/>
      <w:r w:rsidRPr="00163142">
        <w:rPr>
          <w:rFonts w:ascii="Arial" w:hAnsi="Arial" w:cs="Arial"/>
          <w:sz w:val="16"/>
          <w:szCs w:val="16"/>
        </w:rPr>
        <w:t>2026</w:t>
      </w:r>
      <w:proofErr w:type="gramEnd"/>
      <w:r w:rsidRPr="00163142">
        <w:rPr>
          <w:rFonts w:ascii="Arial" w:hAnsi="Arial" w:cs="Arial"/>
          <w:sz w:val="16"/>
          <w:szCs w:val="16"/>
        </w:rPr>
        <w:t xml:space="preserve"> and </w:t>
      </w:r>
      <w:r w:rsidR="00E000E5">
        <w:rPr>
          <w:rFonts w:ascii="Arial" w:hAnsi="Arial" w:cs="Arial"/>
          <w:sz w:val="16"/>
          <w:szCs w:val="16"/>
        </w:rPr>
        <w:t>June 22, 2027</w:t>
      </w:r>
      <w:r w:rsidRPr="00163142">
        <w:rPr>
          <w:rFonts w:ascii="Arial" w:hAnsi="Arial" w:cs="Arial"/>
          <w:sz w:val="16"/>
          <w:szCs w:val="16"/>
        </w:rPr>
        <w:t xml:space="preserve">. </w:t>
      </w:r>
    </w:p>
    <w:p w14:paraId="0186FE92" w14:textId="12E31E90" w:rsidR="004B612C" w:rsidRPr="00163142" w:rsidRDefault="004B612C" w:rsidP="004B612C">
      <w:pPr>
        <w:pStyle w:val="ListParagraph"/>
        <w:widowControl w:val="0"/>
        <w:numPr>
          <w:ilvl w:val="0"/>
          <w:numId w:val="33"/>
        </w:numPr>
        <w:tabs>
          <w:tab w:val="left" w:pos="284"/>
        </w:tabs>
        <w:autoSpaceDE w:val="0"/>
        <w:autoSpaceDN w:val="0"/>
        <w:adjustRightInd w:val="0"/>
        <w:spacing w:before="60" w:after="60"/>
        <w:ind w:left="714" w:hanging="357"/>
        <w:rPr>
          <w:rFonts w:ascii="Arial" w:hAnsi="Arial" w:cs="Arial"/>
          <w:sz w:val="16"/>
          <w:szCs w:val="16"/>
        </w:rPr>
      </w:pPr>
      <w:r w:rsidRPr="00163142">
        <w:rPr>
          <w:rFonts w:ascii="Arial" w:hAnsi="Arial" w:cs="Arial"/>
          <w:sz w:val="16"/>
          <w:szCs w:val="16"/>
        </w:rPr>
        <w:t>During 2025</w:t>
      </w:r>
      <w:r w:rsidR="00E000E5">
        <w:rPr>
          <w:rFonts w:ascii="Arial" w:hAnsi="Arial" w:cs="Arial"/>
          <w:sz w:val="16"/>
          <w:szCs w:val="16"/>
        </w:rPr>
        <w:t xml:space="preserve"> and 2026</w:t>
      </w:r>
      <w:r w:rsidRPr="00163142">
        <w:rPr>
          <w:rFonts w:ascii="Arial" w:hAnsi="Arial" w:cs="Arial"/>
          <w:sz w:val="16"/>
          <w:szCs w:val="16"/>
        </w:rPr>
        <w:t xml:space="preserve">, the Company used its AL30 bonds as collateral to obtain a short-term loan from the Argentine stock exchange, with Banco de </w:t>
      </w:r>
      <w:proofErr w:type="spellStart"/>
      <w:r w:rsidRPr="00163142">
        <w:rPr>
          <w:rFonts w:ascii="Arial" w:hAnsi="Arial" w:cs="Arial"/>
          <w:sz w:val="16"/>
          <w:szCs w:val="16"/>
        </w:rPr>
        <w:t>Servicios</w:t>
      </w:r>
      <w:proofErr w:type="spellEnd"/>
      <w:r w:rsidRPr="00163142">
        <w:rPr>
          <w:rFonts w:ascii="Arial" w:hAnsi="Arial" w:cs="Arial"/>
          <w:sz w:val="16"/>
          <w:szCs w:val="16"/>
        </w:rPr>
        <w:t xml:space="preserve"> y </w:t>
      </w:r>
      <w:proofErr w:type="spellStart"/>
      <w:r w:rsidRPr="00163142">
        <w:rPr>
          <w:rFonts w:ascii="Arial" w:hAnsi="Arial" w:cs="Arial"/>
          <w:sz w:val="16"/>
          <w:szCs w:val="16"/>
        </w:rPr>
        <w:t>Transacciones</w:t>
      </w:r>
      <w:proofErr w:type="spellEnd"/>
      <w:r w:rsidRPr="00163142">
        <w:rPr>
          <w:rFonts w:ascii="Arial" w:hAnsi="Arial" w:cs="Arial"/>
          <w:sz w:val="16"/>
          <w:szCs w:val="16"/>
        </w:rPr>
        <w:t xml:space="preserve"> S.A. acting as an agent.  The loan bears interest at an average rate of 2% per year and renews weekly.</w:t>
      </w:r>
    </w:p>
    <w:p w14:paraId="32E0DA5E" w14:textId="15D8D084" w:rsidR="004B612C" w:rsidRPr="00763473" w:rsidRDefault="004B612C" w:rsidP="00763473">
      <w:pPr>
        <w:pStyle w:val="ListParagraph"/>
        <w:widowControl w:val="0"/>
        <w:numPr>
          <w:ilvl w:val="0"/>
          <w:numId w:val="33"/>
        </w:numPr>
        <w:tabs>
          <w:tab w:val="left" w:pos="284"/>
        </w:tabs>
        <w:autoSpaceDE w:val="0"/>
        <w:autoSpaceDN w:val="0"/>
        <w:adjustRightInd w:val="0"/>
        <w:spacing w:before="60" w:after="60"/>
        <w:ind w:left="714" w:hanging="357"/>
        <w:rPr>
          <w:rFonts w:ascii="Arial" w:hAnsi="Arial" w:cs="Arial"/>
          <w:sz w:val="16"/>
          <w:szCs w:val="16"/>
        </w:rPr>
      </w:pPr>
      <w:r w:rsidRPr="00763473">
        <w:rPr>
          <w:rFonts w:ascii="Arial" w:hAnsi="Arial" w:cs="Arial"/>
          <w:sz w:val="16"/>
          <w:szCs w:val="16"/>
        </w:rPr>
        <w:t xml:space="preserve">On November 11, 2025, CPESA entered into a loan agreement with </w:t>
      </w:r>
      <w:proofErr w:type="spellStart"/>
      <w:r w:rsidRPr="00763473">
        <w:rPr>
          <w:rFonts w:ascii="Arial" w:hAnsi="Arial" w:cs="Arial"/>
          <w:sz w:val="16"/>
          <w:szCs w:val="16"/>
        </w:rPr>
        <w:t>Liminar</w:t>
      </w:r>
      <w:proofErr w:type="spellEnd"/>
      <w:r w:rsidRPr="00763473">
        <w:rPr>
          <w:rFonts w:ascii="Arial" w:hAnsi="Arial" w:cs="Arial"/>
          <w:sz w:val="16"/>
          <w:szCs w:val="16"/>
        </w:rPr>
        <w:t xml:space="preserve"> Energía S.A. </w:t>
      </w:r>
      <w:r w:rsidR="00195E62" w:rsidRPr="00763473">
        <w:rPr>
          <w:rFonts w:ascii="Arial" w:hAnsi="Arial" w:cs="Arial"/>
          <w:sz w:val="16"/>
          <w:szCs w:val="16"/>
        </w:rPr>
        <w:t>("</w:t>
      </w:r>
      <w:proofErr w:type="spellStart"/>
      <w:r w:rsidR="00195E62" w:rsidRPr="00763473">
        <w:rPr>
          <w:rFonts w:ascii="Arial" w:hAnsi="Arial" w:cs="Arial"/>
          <w:b/>
          <w:bCs/>
          <w:sz w:val="16"/>
          <w:szCs w:val="16"/>
        </w:rPr>
        <w:t>Liminar</w:t>
      </w:r>
      <w:proofErr w:type="spellEnd"/>
      <w:r w:rsidR="00195E62" w:rsidRPr="00763473">
        <w:rPr>
          <w:rFonts w:ascii="Arial" w:hAnsi="Arial" w:cs="Arial"/>
          <w:sz w:val="16"/>
          <w:szCs w:val="16"/>
        </w:rPr>
        <w:t xml:space="preserve">") </w:t>
      </w:r>
      <w:r w:rsidRPr="00763473">
        <w:rPr>
          <w:rFonts w:ascii="Arial" w:hAnsi="Arial" w:cs="Arial"/>
          <w:sz w:val="16"/>
          <w:szCs w:val="16"/>
        </w:rPr>
        <w:t xml:space="preserve">for up to $30 million to be disbursed in one or more installments. </w:t>
      </w:r>
      <w:r w:rsidR="00763473" w:rsidRPr="00763473">
        <w:rPr>
          <w:rFonts w:ascii="Arial" w:hAnsi="Arial" w:cs="Arial"/>
          <w:sz w:val="16"/>
          <w:szCs w:val="16"/>
        </w:rPr>
        <w:t xml:space="preserve">The loan </w:t>
      </w:r>
      <w:r w:rsidR="00076B12">
        <w:rPr>
          <w:rFonts w:ascii="Arial" w:hAnsi="Arial" w:cs="Arial"/>
          <w:sz w:val="16"/>
          <w:szCs w:val="16"/>
        </w:rPr>
        <w:t>bore</w:t>
      </w:r>
      <w:r w:rsidR="00763473" w:rsidRPr="00763473">
        <w:rPr>
          <w:rFonts w:ascii="Arial" w:hAnsi="Arial" w:cs="Arial"/>
          <w:sz w:val="16"/>
          <w:szCs w:val="16"/>
        </w:rPr>
        <w:t xml:space="preserve"> interest at a rate of 10% per annum and </w:t>
      </w:r>
      <w:r w:rsidR="009C7E5D">
        <w:rPr>
          <w:rFonts w:ascii="Arial" w:hAnsi="Arial" w:cs="Arial"/>
          <w:sz w:val="16"/>
          <w:szCs w:val="16"/>
        </w:rPr>
        <w:t>had a maturity date of</w:t>
      </w:r>
      <w:r w:rsidR="00763473" w:rsidRPr="00763473">
        <w:rPr>
          <w:rFonts w:ascii="Arial" w:hAnsi="Arial" w:cs="Arial"/>
          <w:sz w:val="16"/>
          <w:szCs w:val="16"/>
        </w:rPr>
        <w:t xml:space="preserve"> November 1, 2027</w:t>
      </w:r>
      <w:r w:rsidR="00194735" w:rsidRPr="00194735">
        <w:rPr>
          <w:rFonts w:ascii="Arial" w:hAnsi="Arial" w:cs="Arial"/>
          <w:sz w:val="16"/>
          <w:szCs w:val="16"/>
        </w:rPr>
        <w:t>. On June 25, 2026, the loan was amended such that (</w:t>
      </w:r>
      <w:proofErr w:type="spellStart"/>
      <w:r w:rsidR="00194735" w:rsidRPr="00194735">
        <w:rPr>
          <w:rFonts w:ascii="Arial" w:hAnsi="Arial" w:cs="Arial"/>
          <w:sz w:val="16"/>
          <w:szCs w:val="16"/>
        </w:rPr>
        <w:t>i</w:t>
      </w:r>
      <w:proofErr w:type="spellEnd"/>
      <w:r w:rsidR="00194735" w:rsidRPr="00194735">
        <w:rPr>
          <w:rFonts w:ascii="Arial" w:hAnsi="Arial" w:cs="Arial"/>
          <w:sz w:val="16"/>
          <w:szCs w:val="16"/>
        </w:rPr>
        <w:t>) no interest accrue</w:t>
      </w:r>
      <w:r w:rsidR="009C7E5D">
        <w:rPr>
          <w:rFonts w:ascii="Arial" w:hAnsi="Arial" w:cs="Arial"/>
          <w:sz w:val="16"/>
          <w:szCs w:val="16"/>
        </w:rPr>
        <w:t>d</w:t>
      </w:r>
      <w:r w:rsidR="00194735" w:rsidRPr="00194735">
        <w:rPr>
          <w:rFonts w:ascii="Arial" w:hAnsi="Arial" w:cs="Arial"/>
          <w:sz w:val="16"/>
          <w:szCs w:val="16"/>
        </w:rPr>
        <w:t xml:space="preserve"> or </w:t>
      </w:r>
      <w:r w:rsidR="009C7E5D">
        <w:rPr>
          <w:rFonts w:ascii="Arial" w:hAnsi="Arial" w:cs="Arial"/>
          <w:sz w:val="16"/>
          <w:szCs w:val="16"/>
        </w:rPr>
        <w:t>was</w:t>
      </w:r>
      <w:r w:rsidR="009C7E5D" w:rsidRPr="00194735">
        <w:rPr>
          <w:rFonts w:ascii="Arial" w:hAnsi="Arial" w:cs="Arial"/>
          <w:sz w:val="16"/>
          <w:szCs w:val="16"/>
        </w:rPr>
        <w:t xml:space="preserve"> </w:t>
      </w:r>
      <w:r w:rsidR="00194735" w:rsidRPr="00194735">
        <w:rPr>
          <w:rFonts w:ascii="Arial" w:hAnsi="Arial" w:cs="Arial"/>
          <w:sz w:val="16"/>
          <w:szCs w:val="16"/>
        </w:rPr>
        <w:t xml:space="preserve">payable in respect of amounts drawn on the loan from November 11, </w:t>
      </w:r>
      <w:proofErr w:type="gramStart"/>
      <w:r w:rsidR="00194735" w:rsidRPr="00194735">
        <w:rPr>
          <w:rFonts w:ascii="Arial" w:hAnsi="Arial" w:cs="Arial"/>
          <w:sz w:val="16"/>
          <w:szCs w:val="16"/>
        </w:rPr>
        <w:t>2025</w:t>
      </w:r>
      <w:proofErr w:type="gramEnd"/>
      <w:r w:rsidR="00194735" w:rsidRPr="00194735">
        <w:rPr>
          <w:rFonts w:ascii="Arial" w:hAnsi="Arial" w:cs="Arial"/>
          <w:sz w:val="16"/>
          <w:szCs w:val="16"/>
        </w:rPr>
        <w:t xml:space="preserve"> to February 26, </w:t>
      </w:r>
      <w:proofErr w:type="gramStart"/>
      <w:r w:rsidR="00194735" w:rsidRPr="00194735">
        <w:rPr>
          <w:rFonts w:ascii="Arial" w:hAnsi="Arial" w:cs="Arial"/>
          <w:sz w:val="16"/>
          <w:szCs w:val="16"/>
        </w:rPr>
        <w:t>2026</w:t>
      </w:r>
      <w:proofErr w:type="gramEnd"/>
      <w:r w:rsidR="00194735" w:rsidRPr="00194735">
        <w:rPr>
          <w:rFonts w:ascii="Arial" w:hAnsi="Arial" w:cs="Arial"/>
          <w:sz w:val="16"/>
          <w:szCs w:val="16"/>
        </w:rPr>
        <w:t xml:space="preserve"> and (ii) from and including February 27, 2026, interest accrue</w:t>
      </w:r>
      <w:r w:rsidR="009C7E5D">
        <w:rPr>
          <w:rFonts w:ascii="Arial" w:hAnsi="Arial" w:cs="Arial"/>
          <w:sz w:val="16"/>
          <w:szCs w:val="16"/>
        </w:rPr>
        <w:t>d</w:t>
      </w:r>
      <w:r w:rsidR="00194735" w:rsidRPr="00194735">
        <w:rPr>
          <w:rFonts w:ascii="Arial" w:hAnsi="Arial" w:cs="Arial"/>
          <w:sz w:val="16"/>
          <w:szCs w:val="16"/>
        </w:rPr>
        <w:t xml:space="preserve"> at 4% per annum.</w:t>
      </w:r>
      <w:r w:rsidRPr="00763473">
        <w:rPr>
          <w:rFonts w:ascii="Arial" w:hAnsi="Arial" w:cs="Arial"/>
          <w:sz w:val="16"/>
          <w:szCs w:val="16"/>
        </w:rPr>
        <w:t xml:space="preserve"> As </w:t>
      </w:r>
      <w:proofErr w:type="gramStart"/>
      <w:r w:rsidRPr="00763473">
        <w:rPr>
          <w:rFonts w:ascii="Arial" w:hAnsi="Arial" w:cs="Arial"/>
          <w:sz w:val="16"/>
          <w:szCs w:val="16"/>
        </w:rPr>
        <w:t>at</w:t>
      </w:r>
      <w:proofErr w:type="gramEnd"/>
      <w:r w:rsidRPr="00763473">
        <w:rPr>
          <w:rFonts w:ascii="Arial" w:hAnsi="Arial" w:cs="Arial"/>
          <w:sz w:val="16"/>
          <w:szCs w:val="16"/>
        </w:rPr>
        <w:t xml:space="preserve"> </w:t>
      </w:r>
      <w:r w:rsidR="00E91EF5" w:rsidRPr="00763473">
        <w:rPr>
          <w:rFonts w:ascii="Arial" w:hAnsi="Arial" w:cs="Arial"/>
          <w:sz w:val="16"/>
          <w:szCs w:val="16"/>
        </w:rPr>
        <w:t>June 30</w:t>
      </w:r>
      <w:r w:rsidR="00544125" w:rsidRPr="00763473">
        <w:rPr>
          <w:rFonts w:ascii="Arial" w:hAnsi="Arial" w:cs="Arial"/>
          <w:sz w:val="16"/>
          <w:szCs w:val="16"/>
        </w:rPr>
        <w:t>, 2026</w:t>
      </w:r>
      <w:r w:rsidRPr="00763473">
        <w:rPr>
          <w:rFonts w:ascii="Arial" w:hAnsi="Arial" w:cs="Arial"/>
          <w:sz w:val="16"/>
          <w:szCs w:val="16"/>
        </w:rPr>
        <w:t xml:space="preserve">, the balance outstanding </w:t>
      </w:r>
      <w:r w:rsidR="009C7E5D">
        <w:rPr>
          <w:rFonts w:ascii="Arial" w:hAnsi="Arial" w:cs="Arial"/>
          <w:sz w:val="16"/>
          <w:szCs w:val="16"/>
        </w:rPr>
        <w:t>was</w:t>
      </w:r>
      <w:r w:rsidR="009C7E5D" w:rsidRPr="00763473">
        <w:rPr>
          <w:rFonts w:ascii="Arial" w:hAnsi="Arial" w:cs="Arial"/>
          <w:sz w:val="16"/>
          <w:szCs w:val="16"/>
        </w:rPr>
        <w:t xml:space="preserve"> </w:t>
      </w:r>
      <w:r w:rsidRPr="00763473">
        <w:rPr>
          <w:rFonts w:ascii="Arial" w:hAnsi="Arial" w:cs="Arial"/>
          <w:sz w:val="16"/>
          <w:szCs w:val="16"/>
        </w:rPr>
        <w:t>$29.9 million</w:t>
      </w:r>
      <w:r w:rsidR="00F33FFF" w:rsidRPr="00763473">
        <w:rPr>
          <w:rFonts w:ascii="Arial" w:hAnsi="Arial" w:cs="Arial"/>
          <w:sz w:val="16"/>
          <w:szCs w:val="16"/>
        </w:rPr>
        <w:t xml:space="preserve"> plus accrued and unpaid interest of $</w:t>
      </w:r>
      <w:r w:rsidR="00763473">
        <w:rPr>
          <w:rFonts w:ascii="Arial" w:hAnsi="Arial" w:cs="Arial"/>
          <w:sz w:val="16"/>
          <w:szCs w:val="16"/>
        </w:rPr>
        <w:t>0</w:t>
      </w:r>
      <w:r w:rsidR="00F33FFF" w:rsidRPr="00763473">
        <w:rPr>
          <w:rFonts w:ascii="Arial" w:hAnsi="Arial" w:cs="Arial"/>
          <w:sz w:val="16"/>
          <w:szCs w:val="16"/>
        </w:rPr>
        <w:t>.</w:t>
      </w:r>
      <w:r w:rsidR="00763473">
        <w:rPr>
          <w:rFonts w:ascii="Arial" w:hAnsi="Arial" w:cs="Arial"/>
          <w:sz w:val="16"/>
          <w:szCs w:val="16"/>
        </w:rPr>
        <w:t>4</w:t>
      </w:r>
      <w:r w:rsidR="00F33FFF" w:rsidRPr="00763473">
        <w:rPr>
          <w:rFonts w:ascii="Arial" w:hAnsi="Arial" w:cs="Arial"/>
          <w:sz w:val="16"/>
          <w:szCs w:val="16"/>
        </w:rPr>
        <w:t xml:space="preserve"> million</w:t>
      </w:r>
      <w:r w:rsidRPr="00763473">
        <w:rPr>
          <w:rFonts w:ascii="Arial" w:hAnsi="Arial" w:cs="Arial"/>
          <w:sz w:val="16"/>
          <w:szCs w:val="16"/>
        </w:rPr>
        <w:t xml:space="preserve">.  </w:t>
      </w:r>
      <w:r w:rsidR="00D14CC2">
        <w:rPr>
          <w:rFonts w:ascii="Arial" w:hAnsi="Arial" w:cs="Arial"/>
          <w:sz w:val="16"/>
          <w:szCs w:val="16"/>
        </w:rPr>
        <w:t>The loan plus</w:t>
      </w:r>
      <w:r w:rsidR="001060F3">
        <w:rPr>
          <w:rFonts w:ascii="Arial" w:hAnsi="Arial" w:cs="Arial"/>
          <w:sz w:val="16"/>
          <w:szCs w:val="16"/>
        </w:rPr>
        <w:t xml:space="preserve"> $0.1 million</w:t>
      </w:r>
      <w:r w:rsidR="00D14CC2">
        <w:rPr>
          <w:rFonts w:ascii="Arial" w:hAnsi="Arial" w:cs="Arial"/>
          <w:sz w:val="16"/>
          <w:szCs w:val="16"/>
        </w:rPr>
        <w:t xml:space="preserve"> </w:t>
      </w:r>
      <w:r w:rsidR="009C7E5D">
        <w:rPr>
          <w:rFonts w:ascii="Arial" w:hAnsi="Arial" w:cs="Arial"/>
          <w:sz w:val="16"/>
          <w:szCs w:val="16"/>
        </w:rPr>
        <w:t xml:space="preserve">of </w:t>
      </w:r>
      <w:r w:rsidR="00D14CC2">
        <w:rPr>
          <w:rFonts w:ascii="Arial" w:hAnsi="Arial" w:cs="Arial"/>
          <w:sz w:val="16"/>
          <w:szCs w:val="16"/>
        </w:rPr>
        <w:t>accrued interest was repaid on July 16, 2026.</w:t>
      </w:r>
    </w:p>
    <w:p w14:paraId="74333EB5" w14:textId="2D436736" w:rsidR="00956173" w:rsidRPr="00956173" w:rsidRDefault="00956173" w:rsidP="00956173">
      <w:pPr>
        <w:autoSpaceDE w:val="0"/>
        <w:autoSpaceDN w:val="0"/>
        <w:adjustRightInd w:val="0"/>
        <w:spacing w:before="120"/>
        <w:jc w:val="both"/>
        <w:rPr>
          <w:rFonts w:cs="Arial"/>
          <w:u w:val="single"/>
        </w:rPr>
      </w:pPr>
      <w:bookmarkStart w:id="23" w:name="_Hlk160955812"/>
      <w:r w:rsidRPr="00956173">
        <w:rPr>
          <w:rFonts w:cs="Arial"/>
          <w:u w:val="single"/>
        </w:rPr>
        <w:t>Investment</w:t>
      </w:r>
      <w:r w:rsidR="00D14CC2">
        <w:rPr>
          <w:rFonts w:cs="Arial"/>
          <w:u w:val="single"/>
        </w:rPr>
        <w:t>s</w:t>
      </w:r>
    </w:p>
    <w:p w14:paraId="22A10BD7" w14:textId="5F43309D" w:rsidR="006211F7" w:rsidRDefault="006211F7" w:rsidP="00956173">
      <w:pPr>
        <w:pStyle w:val="BodyText"/>
        <w:spacing w:before="120" w:line="220" w:lineRule="atLeast"/>
        <w:ind w:right="187"/>
        <w:rPr>
          <w:rFonts w:cs="Arial"/>
          <w:sz w:val="20"/>
          <w:szCs w:val="20"/>
        </w:rPr>
      </w:pPr>
      <w:r w:rsidRPr="006211F7">
        <w:rPr>
          <w:rFonts w:cs="Arial"/>
          <w:sz w:val="20"/>
          <w:szCs w:val="20"/>
        </w:rPr>
        <w:t>The Company holds 4,371,880 AL30 bonds which were purchased on the Argentine stock market in 2025 at a weighted average price of ARS 803.29 per AL30 bond for an aggregate cost of ARS 3,512 million ($</w:t>
      </w:r>
      <w:r w:rsidR="00D14CC2">
        <w:rPr>
          <w:rFonts w:cs="Arial"/>
          <w:sz w:val="20"/>
          <w:szCs w:val="20"/>
        </w:rPr>
        <w:t>2.7 million</w:t>
      </w:r>
      <w:r w:rsidRPr="006211F7">
        <w:rPr>
          <w:rFonts w:cs="Arial"/>
          <w:sz w:val="20"/>
          <w:szCs w:val="20"/>
        </w:rPr>
        <w:t>) and 767,904 AL30 bonds purchased in April and May 2026 at a weighted average price of ARS 918.81 per A</w:t>
      </w:r>
      <w:r>
        <w:rPr>
          <w:rFonts w:cs="Arial"/>
          <w:sz w:val="20"/>
          <w:szCs w:val="20"/>
        </w:rPr>
        <w:t>L</w:t>
      </w:r>
      <w:r w:rsidRPr="006211F7">
        <w:rPr>
          <w:rFonts w:cs="Arial"/>
          <w:sz w:val="20"/>
          <w:szCs w:val="20"/>
        </w:rPr>
        <w:t>30 bond for an aggregate cost of ARS 705.6 million ($</w:t>
      </w:r>
      <w:r w:rsidR="00D14CC2">
        <w:rPr>
          <w:rFonts w:cs="Arial"/>
          <w:sz w:val="20"/>
          <w:szCs w:val="20"/>
        </w:rPr>
        <w:t>0.5 million</w:t>
      </w:r>
      <w:r w:rsidRPr="006211F7">
        <w:rPr>
          <w:rFonts w:cs="Arial"/>
          <w:sz w:val="20"/>
          <w:szCs w:val="20"/>
        </w:rPr>
        <w:t>). AL30 bonds were issued by the Argentine government in 2020 with a maturity date of July 9, 2030, and an initial coupon rate of 0.125% which will gradually increase to 1.75% by 2030. Interest at the coupon rate is paid semi-annually on January 9 and July 9.</w:t>
      </w:r>
    </w:p>
    <w:p w14:paraId="42E90615" w14:textId="269AD19E" w:rsidR="00956173" w:rsidRDefault="006211F7" w:rsidP="00956173">
      <w:pPr>
        <w:pStyle w:val="BodyText"/>
        <w:spacing w:before="120" w:line="220" w:lineRule="atLeast"/>
        <w:ind w:right="187"/>
        <w:rPr>
          <w:rFonts w:cs="Arial"/>
          <w:sz w:val="20"/>
          <w:szCs w:val="20"/>
        </w:rPr>
      </w:pPr>
      <w:r>
        <w:rPr>
          <w:rFonts w:cs="Arial"/>
          <w:sz w:val="20"/>
          <w:szCs w:val="20"/>
        </w:rPr>
        <w:t>T</w:t>
      </w:r>
      <w:r w:rsidR="00956173" w:rsidRPr="00956173">
        <w:rPr>
          <w:rFonts w:cs="Arial"/>
          <w:sz w:val="20"/>
          <w:szCs w:val="20"/>
        </w:rPr>
        <w:t xml:space="preserve">he AL30 bonds are classified as financial </w:t>
      </w:r>
      <w:r w:rsidR="00956173" w:rsidRPr="00790A06">
        <w:rPr>
          <w:rFonts w:cs="Arial"/>
          <w:sz w:val="20"/>
          <w:szCs w:val="20"/>
        </w:rPr>
        <w:t xml:space="preserve">instruments measured at fair value through profit </w:t>
      </w:r>
      <w:r w:rsidR="00195E62" w:rsidRPr="00790A06">
        <w:rPr>
          <w:rFonts w:cs="Arial"/>
          <w:sz w:val="20"/>
          <w:szCs w:val="20"/>
        </w:rPr>
        <w:t xml:space="preserve">or </w:t>
      </w:r>
      <w:r w:rsidR="00956173" w:rsidRPr="00790A06">
        <w:rPr>
          <w:rFonts w:cs="Arial"/>
          <w:sz w:val="20"/>
          <w:szCs w:val="20"/>
        </w:rPr>
        <w:t xml:space="preserve">loss.  As </w:t>
      </w:r>
      <w:proofErr w:type="gramStart"/>
      <w:r w:rsidR="00956173" w:rsidRPr="00790A06">
        <w:rPr>
          <w:rFonts w:cs="Arial"/>
          <w:sz w:val="20"/>
          <w:szCs w:val="20"/>
        </w:rPr>
        <w:t>at</w:t>
      </w:r>
      <w:proofErr w:type="gramEnd"/>
      <w:r w:rsidR="00956173" w:rsidRPr="00790A06">
        <w:rPr>
          <w:rFonts w:cs="Arial"/>
          <w:sz w:val="20"/>
          <w:szCs w:val="20"/>
        </w:rPr>
        <w:t xml:space="preserve"> </w:t>
      </w:r>
      <w:r w:rsidR="00E91EF5" w:rsidRPr="00790A06">
        <w:rPr>
          <w:rFonts w:cs="Arial"/>
          <w:sz w:val="20"/>
          <w:szCs w:val="20"/>
        </w:rPr>
        <w:t>June 30</w:t>
      </w:r>
      <w:r w:rsidR="00956173" w:rsidRPr="00790A06">
        <w:rPr>
          <w:rFonts w:cs="Arial"/>
          <w:sz w:val="20"/>
          <w:szCs w:val="20"/>
        </w:rPr>
        <w:t xml:space="preserve">, 2026, the fair value of the AL30 Bonds was ARS </w:t>
      </w:r>
      <w:r w:rsidR="00790A06" w:rsidRPr="00790A06">
        <w:rPr>
          <w:rFonts w:cs="Arial"/>
          <w:sz w:val="20"/>
          <w:szCs w:val="20"/>
        </w:rPr>
        <w:t>5,014</w:t>
      </w:r>
      <w:r w:rsidR="00956173" w:rsidRPr="00790A06">
        <w:rPr>
          <w:rFonts w:cs="Arial"/>
          <w:sz w:val="20"/>
          <w:szCs w:val="20"/>
        </w:rPr>
        <w:t xml:space="preserve"> million </w:t>
      </w:r>
      <w:r w:rsidR="00127CF7" w:rsidRPr="00790A06">
        <w:rPr>
          <w:rFonts w:cs="Arial"/>
          <w:sz w:val="20"/>
          <w:szCs w:val="20"/>
        </w:rPr>
        <w:t>($</w:t>
      </w:r>
      <w:r w:rsidR="00D14CC2">
        <w:rPr>
          <w:rFonts w:cs="Arial"/>
          <w:sz w:val="20"/>
          <w:szCs w:val="20"/>
        </w:rPr>
        <w:t>3.4 million</w:t>
      </w:r>
      <w:r w:rsidR="00956173" w:rsidRPr="00790A06">
        <w:rPr>
          <w:rFonts w:cs="Arial"/>
          <w:sz w:val="20"/>
          <w:szCs w:val="20"/>
        </w:rPr>
        <w:t>) (December 31, 2025 – ARS 4,370 million ($</w:t>
      </w:r>
      <w:r w:rsidR="00D14CC2">
        <w:rPr>
          <w:rFonts w:cs="Arial"/>
          <w:sz w:val="20"/>
          <w:szCs w:val="20"/>
        </w:rPr>
        <w:t>3.0 million</w:t>
      </w:r>
      <w:r w:rsidR="00956173" w:rsidRPr="00790A06">
        <w:rPr>
          <w:rFonts w:cs="Arial"/>
          <w:sz w:val="20"/>
          <w:szCs w:val="20"/>
        </w:rPr>
        <w:t>)</w:t>
      </w:r>
      <w:r w:rsidR="00A549E5">
        <w:rPr>
          <w:rFonts w:cs="Arial"/>
          <w:sz w:val="20"/>
          <w:szCs w:val="20"/>
        </w:rPr>
        <w:t>)</w:t>
      </w:r>
      <w:r w:rsidR="00956173" w:rsidRPr="00790A06">
        <w:rPr>
          <w:rFonts w:cs="Arial"/>
          <w:sz w:val="20"/>
          <w:szCs w:val="20"/>
        </w:rPr>
        <w:t xml:space="preserve"> resulting in a </w:t>
      </w:r>
      <w:r w:rsidR="00D14CC2">
        <w:rPr>
          <w:rFonts w:cs="Arial"/>
          <w:sz w:val="20"/>
          <w:szCs w:val="20"/>
        </w:rPr>
        <w:t xml:space="preserve">nominal </w:t>
      </w:r>
      <w:r w:rsidR="00956173" w:rsidRPr="00790A06">
        <w:rPr>
          <w:rFonts w:cs="Arial"/>
          <w:sz w:val="20"/>
          <w:szCs w:val="20"/>
        </w:rPr>
        <w:t>fair value adjustment.</w:t>
      </w:r>
    </w:p>
    <w:p w14:paraId="6D3FE046" w14:textId="2454649A" w:rsidR="00D14CC2" w:rsidRPr="00D14CC2" w:rsidRDefault="00D14CC2" w:rsidP="00D14CC2">
      <w:pPr>
        <w:pStyle w:val="BodyText"/>
        <w:spacing w:before="120" w:line="220" w:lineRule="atLeast"/>
        <w:ind w:right="187"/>
        <w:rPr>
          <w:rFonts w:cs="Arial"/>
          <w:sz w:val="20"/>
          <w:szCs w:val="20"/>
        </w:rPr>
      </w:pPr>
      <w:r w:rsidRPr="00D14CC2">
        <w:rPr>
          <w:rFonts w:cs="Arial"/>
          <w:sz w:val="20"/>
          <w:szCs w:val="20"/>
        </w:rPr>
        <w:t xml:space="preserve">During </w:t>
      </w:r>
      <w:r>
        <w:rPr>
          <w:rFonts w:cs="Arial"/>
          <w:sz w:val="20"/>
          <w:szCs w:val="20"/>
        </w:rPr>
        <w:t xml:space="preserve">the </w:t>
      </w:r>
      <w:r w:rsidRPr="00D14CC2">
        <w:rPr>
          <w:rFonts w:cs="Arial"/>
          <w:sz w:val="20"/>
          <w:szCs w:val="20"/>
        </w:rPr>
        <w:t>June 2026</w:t>
      </w:r>
      <w:r>
        <w:rPr>
          <w:rFonts w:cs="Arial"/>
          <w:sz w:val="20"/>
          <w:szCs w:val="20"/>
        </w:rPr>
        <w:t xml:space="preserve"> period</w:t>
      </w:r>
      <w:r w:rsidRPr="00D14CC2">
        <w:rPr>
          <w:rFonts w:cs="Arial"/>
          <w:sz w:val="20"/>
          <w:szCs w:val="20"/>
        </w:rPr>
        <w:t>, an amount of $</w:t>
      </w:r>
      <w:r>
        <w:rPr>
          <w:rFonts w:cs="Arial"/>
          <w:sz w:val="20"/>
          <w:szCs w:val="20"/>
        </w:rPr>
        <w:t>1.6 million</w:t>
      </w:r>
      <w:r w:rsidRPr="00D14CC2">
        <w:rPr>
          <w:rFonts w:cs="Arial"/>
          <w:sz w:val="20"/>
          <w:szCs w:val="20"/>
        </w:rPr>
        <w:t xml:space="preserve"> (ARS 2,302.9 million) was placed in a fixed term deposit.</w:t>
      </w:r>
    </w:p>
    <w:p w14:paraId="3326C795" w14:textId="131C6136" w:rsidR="00B04DD3" w:rsidRDefault="00B04DD3" w:rsidP="00591EC8">
      <w:pPr>
        <w:widowControl w:val="0"/>
        <w:spacing w:before="360" w:after="120"/>
        <w:jc w:val="both"/>
        <w:rPr>
          <w:rFonts w:cs="Arial"/>
          <w:b/>
          <w:bCs/>
          <w:caps/>
          <w:color w:val="000000"/>
          <w:sz w:val="24"/>
          <w:szCs w:val="24"/>
        </w:rPr>
      </w:pPr>
      <w:r>
        <w:rPr>
          <w:rFonts w:cs="Arial"/>
          <w:b/>
          <w:bCs/>
          <w:caps/>
          <w:color w:val="000000"/>
          <w:sz w:val="24"/>
          <w:szCs w:val="24"/>
        </w:rPr>
        <w:t xml:space="preserve">RELATED PARTY TRANSACTIONS </w:t>
      </w:r>
    </w:p>
    <w:p w14:paraId="2CA55CF8" w14:textId="2FACDCA4" w:rsidR="00E15A12" w:rsidRPr="00517F51" w:rsidRDefault="00517F51" w:rsidP="00517F51">
      <w:pPr>
        <w:pStyle w:val="BodyText"/>
        <w:spacing w:before="120" w:line="220" w:lineRule="atLeast"/>
        <w:ind w:right="193"/>
        <w:rPr>
          <w:rFonts w:cs="Arial"/>
          <w:sz w:val="20"/>
          <w:szCs w:val="20"/>
        </w:rPr>
      </w:pPr>
      <w:bookmarkStart w:id="24" w:name="_Hlk132902866"/>
      <w:bookmarkStart w:id="25" w:name="_Hlk22724475"/>
      <w:bookmarkEnd w:id="23"/>
      <w:r w:rsidRPr="00517F51">
        <w:rPr>
          <w:rFonts w:cs="Arial"/>
          <w:sz w:val="20"/>
          <w:szCs w:val="20"/>
        </w:rPr>
        <w:t xml:space="preserve">Mr. Pablo Peralta </w:t>
      </w:r>
      <w:bookmarkStart w:id="26" w:name="_Hlk159579278"/>
      <w:r w:rsidRPr="00517F51">
        <w:rPr>
          <w:rFonts w:cs="Arial"/>
          <w:sz w:val="20"/>
          <w:szCs w:val="20"/>
        </w:rPr>
        <w:t xml:space="preserve">is a </w:t>
      </w:r>
      <w:bookmarkEnd w:id="26"/>
      <w:r w:rsidRPr="00517F51">
        <w:rPr>
          <w:rFonts w:cs="Arial"/>
          <w:sz w:val="20"/>
          <w:szCs w:val="20"/>
        </w:rPr>
        <w:t xml:space="preserve">director of the Company and is the President and a director of </w:t>
      </w:r>
      <w:proofErr w:type="spellStart"/>
      <w:r w:rsidRPr="00517F51">
        <w:rPr>
          <w:rFonts w:cs="Arial"/>
          <w:sz w:val="20"/>
          <w:szCs w:val="20"/>
        </w:rPr>
        <w:t>Liminar</w:t>
      </w:r>
      <w:proofErr w:type="spellEnd"/>
      <w:r w:rsidRPr="00517F51">
        <w:rPr>
          <w:rFonts w:cs="Arial"/>
          <w:sz w:val="20"/>
          <w:szCs w:val="20"/>
        </w:rPr>
        <w:t xml:space="preserve"> and controls 45% of the voting shares of </w:t>
      </w:r>
      <w:proofErr w:type="spellStart"/>
      <w:r w:rsidRPr="00517F51">
        <w:rPr>
          <w:rFonts w:cs="Arial"/>
          <w:sz w:val="20"/>
          <w:szCs w:val="20"/>
        </w:rPr>
        <w:t>Liminar</w:t>
      </w:r>
      <w:proofErr w:type="spellEnd"/>
      <w:r w:rsidRPr="00517F51">
        <w:rPr>
          <w:rFonts w:cs="Arial"/>
          <w:sz w:val="20"/>
          <w:szCs w:val="20"/>
        </w:rPr>
        <w:t xml:space="preserve">. </w:t>
      </w:r>
      <w:r w:rsidR="00D22044" w:rsidRPr="00BE0E20">
        <w:rPr>
          <w:rFonts w:cs="Arial"/>
          <w:sz w:val="20"/>
          <w:szCs w:val="20"/>
        </w:rPr>
        <w:t xml:space="preserve">Mr. Andrés Peralta, the President and a director of CPESA, is a director of </w:t>
      </w:r>
      <w:proofErr w:type="spellStart"/>
      <w:r w:rsidR="00D22044" w:rsidRPr="00BE0E20">
        <w:rPr>
          <w:rFonts w:cs="Arial"/>
          <w:sz w:val="20"/>
          <w:szCs w:val="20"/>
        </w:rPr>
        <w:t>Liminar</w:t>
      </w:r>
      <w:proofErr w:type="spellEnd"/>
      <w:r w:rsidR="00D22044" w:rsidRPr="00BE0E20">
        <w:rPr>
          <w:rFonts w:cs="Arial"/>
          <w:sz w:val="20"/>
          <w:szCs w:val="20"/>
        </w:rPr>
        <w:t xml:space="preserve"> and indirectly controls 10% of the voting shares of </w:t>
      </w:r>
      <w:proofErr w:type="spellStart"/>
      <w:r w:rsidR="00D22044" w:rsidRPr="00BE0E20">
        <w:rPr>
          <w:rFonts w:cs="Arial"/>
          <w:sz w:val="20"/>
          <w:szCs w:val="20"/>
        </w:rPr>
        <w:t>Liminar</w:t>
      </w:r>
      <w:proofErr w:type="spellEnd"/>
      <w:r w:rsidR="00D22044" w:rsidRPr="00BE0E20">
        <w:rPr>
          <w:rFonts w:cs="Arial"/>
          <w:sz w:val="20"/>
          <w:szCs w:val="20"/>
        </w:rPr>
        <w:t xml:space="preserve">.  Mr. Juan Llado, a director of each of the Company and CPESA, is a director of </w:t>
      </w:r>
      <w:proofErr w:type="spellStart"/>
      <w:r w:rsidR="00D22044" w:rsidRPr="00BE0E20">
        <w:rPr>
          <w:rFonts w:cs="Arial"/>
          <w:sz w:val="20"/>
          <w:szCs w:val="20"/>
        </w:rPr>
        <w:t>Liminar</w:t>
      </w:r>
      <w:proofErr w:type="spellEnd"/>
      <w:r w:rsidR="00D22044" w:rsidRPr="00BE0E20">
        <w:rPr>
          <w:rFonts w:cs="Arial"/>
          <w:sz w:val="20"/>
          <w:szCs w:val="20"/>
        </w:rPr>
        <w:t xml:space="preserve">. </w:t>
      </w:r>
      <w:r w:rsidRPr="00517F51">
        <w:rPr>
          <w:rFonts w:cs="Arial"/>
          <w:sz w:val="20"/>
          <w:szCs w:val="20"/>
        </w:rPr>
        <w:t xml:space="preserve"> </w:t>
      </w:r>
      <w:proofErr w:type="spellStart"/>
      <w:r w:rsidRPr="00517F51">
        <w:rPr>
          <w:rFonts w:cs="Arial"/>
          <w:sz w:val="20"/>
          <w:szCs w:val="20"/>
        </w:rPr>
        <w:t>Liminar</w:t>
      </w:r>
      <w:proofErr w:type="spellEnd"/>
      <w:r w:rsidRPr="00517F51">
        <w:rPr>
          <w:rFonts w:cs="Arial"/>
          <w:sz w:val="20"/>
          <w:szCs w:val="20"/>
        </w:rPr>
        <w:t xml:space="preserve"> owns approximately </w:t>
      </w:r>
      <w:r w:rsidR="000F04EA">
        <w:rPr>
          <w:rFonts w:cs="Arial"/>
          <w:sz w:val="20"/>
          <w:szCs w:val="20"/>
        </w:rPr>
        <w:t>91.0</w:t>
      </w:r>
      <w:r w:rsidRPr="00517F51">
        <w:rPr>
          <w:rFonts w:cs="Arial"/>
          <w:sz w:val="20"/>
          <w:szCs w:val="20"/>
        </w:rPr>
        <w:t>% of the Company’s outstanding common shares.</w:t>
      </w:r>
    </w:p>
    <w:p w14:paraId="480ABE59" w14:textId="47088706" w:rsidR="00517F51" w:rsidRPr="00517F51" w:rsidRDefault="00517F51" w:rsidP="00517F51">
      <w:pPr>
        <w:pStyle w:val="BodyText"/>
        <w:spacing w:before="120" w:line="220" w:lineRule="atLeast"/>
        <w:ind w:right="193"/>
        <w:rPr>
          <w:rFonts w:cs="Arial"/>
          <w:sz w:val="20"/>
          <w:szCs w:val="20"/>
        </w:rPr>
      </w:pPr>
      <w:proofErr w:type="spellStart"/>
      <w:r w:rsidRPr="00517F51">
        <w:rPr>
          <w:rFonts w:cs="Arial"/>
          <w:sz w:val="20"/>
          <w:szCs w:val="20"/>
        </w:rPr>
        <w:t>Liminar</w:t>
      </w:r>
      <w:proofErr w:type="spellEnd"/>
      <w:r w:rsidRPr="00517F51">
        <w:rPr>
          <w:rFonts w:cs="Arial"/>
          <w:sz w:val="20"/>
          <w:szCs w:val="20"/>
        </w:rPr>
        <w:t xml:space="preserve"> has provided a guarantee of certain </w:t>
      </w:r>
      <w:r>
        <w:rPr>
          <w:rFonts w:cs="Arial"/>
          <w:sz w:val="20"/>
          <w:szCs w:val="20"/>
        </w:rPr>
        <w:t xml:space="preserve">loan </w:t>
      </w:r>
      <w:r w:rsidRPr="00517F51">
        <w:rPr>
          <w:rFonts w:cs="Arial"/>
          <w:sz w:val="20"/>
          <w:szCs w:val="20"/>
        </w:rPr>
        <w:t xml:space="preserve">financing arrangements for which the Company is charged </w:t>
      </w:r>
      <w:r w:rsidR="00D22044">
        <w:rPr>
          <w:rFonts w:cs="Arial"/>
          <w:sz w:val="20"/>
          <w:szCs w:val="20"/>
        </w:rPr>
        <w:t xml:space="preserve">a </w:t>
      </w:r>
      <w:r w:rsidRPr="00517F51">
        <w:rPr>
          <w:rFonts w:cs="Arial"/>
          <w:sz w:val="20"/>
          <w:szCs w:val="20"/>
        </w:rPr>
        <w:t xml:space="preserve">loan guarantee fee based on 1% of the financed balance per annum. During the </w:t>
      </w:r>
      <w:r w:rsidR="00E25BA1">
        <w:rPr>
          <w:rFonts w:cs="Arial"/>
          <w:sz w:val="20"/>
          <w:szCs w:val="20"/>
        </w:rPr>
        <w:t>June 2026 period</w:t>
      </w:r>
      <w:r w:rsidRPr="00517F51">
        <w:rPr>
          <w:rFonts w:cs="Arial"/>
          <w:sz w:val="20"/>
          <w:szCs w:val="20"/>
        </w:rPr>
        <w:t xml:space="preserve">, </w:t>
      </w:r>
      <w:proofErr w:type="spellStart"/>
      <w:r w:rsidRPr="00517F51">
        <w:rPr>
          <w:rFonts w:cs="Arial"/>
          <w:sz w:val="20"/>
          <w:szCs w:val="20"/>
        </w:rPr>
        <w:t>Liminar</w:t>
      </w:r>
      <w:proofErr w:type="spellEnd"/>
      <w:r w:rsidRPr="00517F51">
        <w:rPr>
          <w:rFonts w:cs="Arial"/>
          <w:sz w:val="20"/>
          <w:szCs w:val="20"/>
        </w:rPr>
        <w:t xml:space="preserve"> charged the Company $</w:t>
      </w:r>
      <w:r w:rsidR="00167FBD" w:rsidRPr="00167FBD">
        <w:rPr>
          <w:rFonts w:cs="Arial"/>
          <w:sz w:val="20"/>
          <w:szCs w:val="20"/>
        </w:rPr>
        <w:t>nil</w:t>
      </w:r>
      <w:r w:rsidRPr="00167FBD">
        <w:rPr>
          <w:rFonts w:cs="Arial"/>
          <w:sz w:val="20"/>
          <w:szCs w:val="20"/>
        </w:rPr>
        <w:t xml:space="preserve"> (</w:t>
      </w:r>
      <w:r w:rsidR="00E25BA1">
        <w:rPr>
          <w:rFonts w:cs="Arial"/>
          <w:sz w:val="20"/>
          <w:szCs w:val="20"/>
        </w:rPr>
        <w:t>June 2025 period</w:t>
      </w:r>
      <w:r w:rsidRPr="00167FBD">
        <w:rPr>
          <w:rFonts w:cs="Arial"/>
          <w:sz w:val="20"/>
          <w:szCs w:val="20"/>
        </w:rPr>
        <w:t xml:space="preserve"> – $</w:t>
      </w:r>
      <w:r w:rsidR="00E25BA1">
        <w:rPr>
          <w:rFonts w:cs="Arial"/>
          <w:sz w:val="20"/>
          <w:szCs w:val="20"/>
        </w:rPr>
        <w:t>79,868</w:t>
      </w:r>
      <w:r w:rsidRPr="00167FBD">
        <w:rPr>
          <w:rFonts w:cs="Arial"/>
          <w:sz w:val="20"/>
          <w:szCs w:val="20"/>
        </w:rPr>
        <w:t xml:space="preserve">) of </w:t>
      </w:r>
      <w:proofErr w:type="gramStart"/>
      <w:r w:rsidRPr="00167FBD">
        <w:rPr>
          <w:rFonts w:cs="Arial"/>
          <w:sz w:val="20"/>
          <w:szCs w:val="20"/>
        </w:rPr>
        <w:t>guarantee</w:t>
      </w:r>
      <w:proofErr w:type="gramEnd"/>
      <w:r w:rsidRPr="00167FBD">
        <w:rPr>
          <w:rFonts w:cs="Arial"/>
          <w:sz w:val="20"/>
          <w:szCs w:val="20"/>
        </w:rPr>
        <w:t xml:space="preserve"> fees.  Included in trade and other payables as </w:t>
      </w:r>
      <w:proofErr w:type="gramStart"/>
      <w:r w:rsidRPr="00167FBD">
        <w:rPr>
          <w:rFonts w:cs="Arial"/>
          <w:sz w:val="20"/>
          <w:szCs w:val="20"/>
        </w:rPr>
        <w:t>at</w:t>
      </w:r>
      <w:proofErr w:type="gramEnd"/>
      <w:r w:rsidRPr="00167FBD">
        <w:rPr>
          <w:rFonts w:cs="Arial"/>
          <w:sz w:val="20"/>
          <w:szCs w:val="20"/>
        </w:rPr>
        <w:t xml:space="preserve"> </w:t>
      </w:r>
      <w:r w:rsidR="00E91EF5">
        <w:rPr>
          <w:rFonts w:cs="Arial"/>
          <w:sz w:val="20"/>
          <w:szCs w:val="20"/>
        </w:rPr>
        <w:t>June 30</w:t>
      </w:r>
      <w:r w:rsidRPr="00167FBD">
        <w:rPr>
          <w:rFonts w:cs="Arial"/>
          <w:sz w:val="20"/>
          <w:szCs w:val="20"/>
        </w:rPr>
        <w:t xml:space="preserve">, </w:t>
      </w:r>
      <w:proofErr w:type="gramStart"/>
      <w:r w:rsidRPr="005903E3">
        <w:rPr>
          <w:rFonts w:cs="Arial"/>
          <w:sz w:val="20"/>
          <w:szCs w:val="20"/>
        </w:rPr>
        <w:t>2026</w:t>
      </w:r>
      <w:proofErr w:type="gramEnd"/>
      <w:r w:rsidRPr="005903E3">
        <w:rPr>
          <w:rFonts w:cs="Arial"/>
          <w:sz w:val="20"/>
          <w:szCs w:val="20"/>
        </w:rPr>
        <w:t xml:space="preserve"> is $nil</w:t>
      </w:r>
      <w:r w:rsidRPr="00167FBD">
        <w:rPr>
          <w:rFonts w:cs="Arial"/>
          <w:sz w:val="20"/>
          <w:szCs w:val="20"/>
        </w:rPr>
        <w:t xml:space="preserve"> (December 31, 2025 – $nil) payable to </w:t>
      </w:r>
      <w:proofErr w:type="spellStart"/>
      <w:r w:rsidRPr="00167FBD">
        <w:rPr>
          <w:rFonts w:cs="Arial"/>
          <w:sz w:val="20"/>
          <w:szCs w:val="20"/>
        </w:rPr>
        <w:t>Liminar</w:t>
      </w:r>
      <w:proofErr w:type="spellEnd"/>
      <w:r w:rsidRPr="00167FBD">
        <w:rPr>
          <w:rFonts w:cs="Arial"/>
          <w:sz w:val="20"/>
          <w:szCs w:val="20"/>
        </w:rPr>
        <w:t>.</w:t>
      </w:r>
    </w:p>
    <w:p w14:paraId="5F353AF7" w14:textId="6BCE6C9B" w:rsidR="00517F51" w:rsidRPr="00517F51" w:rsidRDefault="00517F51" w:rsidP="00222F7E">
      <w:pPr>
        <w:pStyle w:val="ListParagraph"/>
        <w:tabs>
          <w:tab w:val="left" w:pos="580"/>
          <w:tab w:val="left" w:pos="581"/>
        </w:tabs>
        <w:spacing w:before="120" w:line="220" w:lineRule="atLeast"/>
        <w:ind w:left="0"/>
        <w:rPr>
          <w:rFonts w:ascii="Arial" w:hAnsi="Arial" w:cs="Arial"/>
          <w:sz w:val="20"/>
          <w:szCs w:val="20"/>
        </w:rPr>
      </w:pPr>
      <w:r w:rsidRPr="00517F51">
        <w:rPr>
          <w:rFonts w:ascii="Arial" w:hAnsi="Arial" w:cs="Arial"/>
          <w:sz w:val="20"/>
          <w:szCs w:val="20"/>
        </w:rPr>
        <w:lastRenderedPageBreak/>
        <w:t xml:space="preserve">During the </w:t>
      </w:r>
      <w:r w:rsidR="00E25BA1">
        <w:rPr>
          <w:rFonts w:ascii="Arial" w:hAnsi="Arial" w:cs="Arial"/>
          <w:sz w:val="20"/>
          <w:szCs w:val="20"/>
        </w:rPr>
        <w:t>June 2026 period</w:t>
      </w:r>
      <w:r w:rsidRPr="00517F51">
        <w:rPr>
          <w:rFonts w:ascii="Arial" w:hAnsi="Arial" w:cs="Arial"/>
          <w:sz w:val="20"/>
          <w:szCs w:val="20"/>
        </w:rPr>
        <w:t xml:space="preserve">, the Company incurred </w:t>
      </w:r>
      <w:r w:rsidR="00222F7E" w:rsidRPr="00222F7E">
        <w:rPr>
          <w:rFonts w:ascii="Arial" w:hAnsi="Arial" w:cs="Arial"/>
          <w:sz w:val="20"/>
          <w:szCs w:val="20"/>
        </w:rPr>
        <w:t xml:space="preserve">$1,482,789 </w:t>
      </w:r>
      <w:r w:rsidRPr="00517F51">
        <w:rPr>
          <w:rFonts w:ascii="Arial" w:hAnsi="Arial" w:cs="Arial"/>
          <w:sz w:val="20"/>
          <w:szCs w:val="20"/>
        </w:rPr>
        <w:t>(</w:t>
      </w:r>
      <w:r w:rsidR="00E25BA1">
        <w:rPr>
          <w:rFonts w:ascii="Arial" w:hAnsi="Arial" w:cs="Arial"/>
          <w:sz w:val="20"/>
          <w:szCs w:val="20"/>
        </w:rPr>
        <w:t>June 2025 period</w:t>
      </w:r>
      <w:r w:rsidRPr="00517F51">
        <w:rPr>
          <w:rFonts w:ascii="Arial" w:hAnsi="Arial" w:cs="Arial"/>
          <w:sz w:val="20"/>
          <w:szCs w:val="20"/>
        </w:rPr>
        <w:t xml:space="preserve"> – $nil) of interest on a loan fro</w:t>
      </w:r>
      <w:r w:rsidRPr="00BC7C02">
        <w:rPr>
          <w:rFonts w:ascii="Arial" w:hAnsi="Arial" w:cs="Arial"/>
          <w:sz w:val="20"/>
          <w:szCs w:val="20"/>
        </w:rPr>
        <w:t xml:space="preserve">m </w:t>
      </w:r>
      <w:proofErr w:type="spellStart"/>
      <w:r w:rsidRPr="00BC7C02">
        <w:rPr>
          <w:rFonts w:ascii="Arial" w:hAnsi="Arial" w:cs="Arial"/>
          <w:sz w:val="20"/>
          <w:szCs w:val="20"/>
        </w:rPr>
        <w:t>Liminar</w:t>
      </w:r>
      <w:proofErr w:type="spellEnd"/>
      <w:r w:rsidR="00222F7E">
        <w:rPr>
          <w:rFonts w:ascii="Arial" w:hAnsi="Arial" w:cs="Arial"/>
          <w:sz w:val="20"/>
          <w:szCs w:val="20"/>
        </w:rPr>
        <w:t xml:space="preserve">. </w:t>
      </w:r>
      <w:r w:rsidR="00222F7E" w:rsidRPr="00222F7E">
        <w:rPr>
          <w:rFonts w:ascii="Arial" w:hAnsi="Arial" w:cs="Arial"/>
          <w:sz w:val="20"/>
          <w:szCs w:val="20"/>
        </w:rPr>
        <w:t xml:space="preserve">On June 25, 2026, the loan was amended </w:t>
      </w:r>
      <w:r w:rsidR="009C3988">
        <w:rPr>
          <w:rFonts w:ascii="Arial" w:hAnsi="Arial" w:cs="Arial"/>
          <w:sz w:val="20"/>
          <w:szCs w:val="20"/>
        </w:rPr>
        <w:t>and as</w:t>
      </w:r>
      <w:r w:rsidR="00222F7E" w:rsidRPr="00222F7E">
        <w:rPr>
          <w:rFonts w:ascii="Arial" w:hAnsi="Arial" w:cs="Arial"/>
          <w:sz w:val="20"/>
          <w:szCs w:val="20"/>
        </w:rPr>
        <w:t xml:space="preserve"> a result, $1,377,127 was recognized as a gain on modification of financial liability</w:t>
      </w:r>
      <w:r w:rsidR="00222F7E">
        <w:rPr>
          <w:rFonts w:ascii="Arial" w:hAnsi="Arial" w:cs="Arial"/>
          <w:sz w:val="20"/>
          <w:szCs w:val="20"/>
        </w:rPr>
        <w:t>.</w:t>
      </w:r>
      <w:r w:rsidR="00222F7E" w:rsidRPr="00222F7E">
        <w:rPr>
          <w:rFonts w:ascii="Arial" w:hAnsi="Arial" w:cs="Arial"/>
          <w:sz w:val="20"/>
          <w:szCs w:val="20"/>
        </w:rPr>
        <w:t xml:space="preserve"> As </w:t>
      </w:r>
      <w:proofErr w:type="gramStart"/>
      <w:r w:rsidR="00222F7E" w:rsidRPr="00222F7E">
        <w:rPr>
          <w:rFonts w:ascii="Arial" w:hAnsi="Arial" w:cs="Arial"/>
          <w:sz w:val="20"/>
          <w:szCs w:val="20"/>
        </w:rPr>
        <w:t>at</w:t>
      </w:r>
      <w:proofErr w:type="gramEnd"/>
      <w:r w:rsidR="00222F7E" w:rsidRPr="00222F7E">
        <w:rPr>
          <w:rFonts w:ascii="Arial" w:hAnsi="Arial" w:cs="Arial"/>
          <w:sz w:val="20"/>
          <w:szCs w:val="20"/>
        </w:rPr>
        <w:t xml:space="preserve"> June 30, 2026, $411,977</w:t>
      </w:r>
      <w:r w:rsidR="00222F7E">
        <w:rPr>
          <w:rFonts w:ascii="Arial" w:hAnsi="Arial" w:cs="Arial"/>
          <w:sz w:val="20"/>
          <w:szCs w:val="20"/>
        </w:rPr>
        <w:t xml:space="preserve"> </w:t>
      </w:r>
      <w:r w:rsidR="00222F7E" w:rsidRPr="00BC7C02">
        <w:rPr>
          <w:rFonts w:ascii="Arial" w:hAnsi="Arial" w:cs="Arial"/>
          <w:sz w:val="20"/>
          <w:szCs w:val="20"/>
        </w:rPr>
        <w:t xml:space="preserve">of </w:t>
      </w:r>
      <w:r w:rsidR="00222F7E">
        <w:rPr>
          <w:rFonts w:ascii="Arial" w:hAnsi="Arial" w:cs="Arial"/>
          <w:sz w:val="20"/>
          <w:szCs w:val="20"/>
        </w:rPr>
        <w:t xml:space="preserve">accrued </w:t>
      </w:r>
      <w:r w:rsidR="00222F7E" w:rsidRPr="00BC7C02">
        <w:rPr>
          <w:rFonts w:ascii="Arial" w:hAnsi="Arial" w:cs="Arial"/>
          <w:sz w:val="20"/>
          <w:szCs w:val="20"/>
        </w:rPr>
        <w:t>interest</w:t>
      </w:r>
      <w:r w:rsidR="00222F7E" w:rsidRPr="00222F7E">
        <w:rPr>
          <w:rFonts w:ascii="Arial" w:hAnsi="Arial" w:cs="Arial"/>
          <w:sz w:val="20"/>
          <w:szCs w:val="20"/>
        </w:rPr>
        <w:t xml:space="preserve"> is included in the loan balance</w:t>
      </w:r>
      <w:r w:rsidR="00222F7E">
        <w:rPr>
          <w:rFonts w:ascii="Arial" w:hAnsi="Arial" w:cs="Arial"/>
          <w:sz w:val="20"/>
          <w:szCs w:val="20"/>
        </w:rPr>
        <w:t>.</w:t>
      </w:r>
      <w:r w:rsidR="007E33EF">
        <w:rPr>
          <w:rFonts w:ascii="Arial" w:hAnsi="Arial" w:cs="Arial"/>
          <w:sz w:val="20"/>
          <w:szCs w:val="20"/>
        </w:rPr>
        <w:t xml:space="preserve"> See "Liquidity and Capital Resources – Loan</w:t>
      </w:r>
      <w:r w:rsidR="000F04EA">
        <w:rPr>
          <w:rFonts w:ascii="Arial" w:hAnsi="Arial" w:cs="Arial"/>
          <w:sz w:val="20"/>
          <w:szCs w:val="20"/>
        </w:rPr>
        <w:t>s</w:t>
      </w:r>
      <w:r w:rsidR="007E33EF">
        <w:rPr>
          <w:rFonts w:ascii="Arial" w:hAnsi="Arial" w:cs="Arial"/>
          <w:sz w:val="20"/>
          <w:szCs w:val="20"/>
        </w:rPr>
        <w:t>".</w:t>
      </w:r>
    </w:p>
    <w:p w14:paraId="1823FF62" w14:textId="77777777" w:rsidR="00517F51" w:rsidRPr="00F53C34" w:rsidRDefault="00517F51" w:rsidP="00F53C34">
      <w:pPr>
        <w:pStyle w:val="ListParagraph"/>
        <w:tabs>
          <w:tab w:val="left" w:pos="580"/>
          <w:tab w:val="left" w:pos="581"/>
        </w:tabs>
        <w:spacing w:before="120" w:line="220" w:lineRule="atLeast"/>
        <w:ind w:left="0"/>
        <w:rPr>
          <w:rFonts w:ascii="Arial" w:hAnsi="Arial" w:cs="Arial"/>
          <w:sz w:val="20"/>
          <w:szCs w:val="20"/>
        </w:rPr>
      </w:pPr>
      <w:r w:rsidRPr="00F53C34">
        <w:rPr>
          <w:rFonts w:ascii="Arial" w:hAnsi="Arial" w:cs="Arial"/>
          <w:sz w:val="20"/>
          <w:szCs w:val="20"/>
        </w:rPr>
        <w:t>Transactions with related parties are conducted and recorded at the exchange amount.</w:t>
      </w:r>
    </w:p>
    <w:p w14:paraId="59A693D1" w14:textId="36FD64CE" w:rsidR="00372DEE" w:rsidRPr="00DF7D2F" w:rsidRDefault="006644AE" w:rsidP="00F53C34">
      <w:pPr>
        <w:pStyle w:val="ListParagraph"/>
        <w:tabs>
          <w:tab w:val="left" w:pos="580"/>
          <w:tab w:val="left" w:pos="581"/>
        </w:tabs>
        <w:spacing w:before="120" w:line="220" w:lineRule="atLeast"/>
        <w:ind w:left="0"/>
        <w:rPr>
          <w:rFonts w:ascii="Arial" w:hAnsi="Arial" w:cs="Arial"/>
          <w:sz w:val="20"/>
          <w:szCs w:val="20"/>
        </w:rPr>
      </w:pPr>
      <w:r w:rsidRPr="00F53C34">
        <w:rPr>
          <w:rFonts w:ascii="Arial" w:hAnsi="Arial" w:cs="Arial"/>
          <w:sz w:val="20"/>
          <w:szCs w:val="20"/>
        </w:rPr>
        <w:t>There were no other transactions between the Company and related</w:t>
      </w:r>
      <w:r w:rsidRPr="00DF7D2F">
        <w:rPr>
          <w:rFonts w:ascii="Arial" w:hAnsi="Arial" w:cs="Arial"/>
          <w:sz w:val="20"/>
          <w:szCs w:val="20"/>
        </w:rPr>
        <w:t xml:space="preserve"> parties of the Company during </w:t>
      </w:r>
      <w:r w:rsidR="008234F6" w:rsidRPr="00DF7D2F">
        <w:rPr>
          <w:rFonts w:ascii="Arial" w:hAnsi="Arial" w:cs="Arial"/>
          <w:sz w:val="20"/>
          <w:szCs w:val="20"/>
        </w:rPr>
        <w:t xml:space="preserve">the June </w:t>
      </w:r>
      <w:r w:rsidR="00AD29A1" w:rsidRPr="00DF7D2F">
        <w:rPr>
          <w:rFonts w:ascii="Arial" w:hAnsi="Arial" w:cs="Arial"/>
          <w:sz w:val="20"/>
          <w:szCs w:val="20"/>
        </w:rPr>
        <w:t>202</w:t>
      </w:r>
      <w:r w:rsidR="00517F51" w:rsidRPr="00DF7D2F">
        <w:rPr>
          <w:rFonts w:ascii="Arial" w:hAnsi="Arial" w:cs="Arial"/>
          <w:sz w:val="20"/>
          <w:szCs w:val="20"/>
        </w:rPr>
        <w:t>6</w:t>
      </w:r>
      <w:r w:rsidR="008234F6" w:rsidRPr="00DF7D2F">
        <w:rPr>
          <w:rFonts w:ascii="Arial" w:hAnsi="Arial" w:cs="Arial"/>
          <w:sz w:val="20"/>
          <w:szCs w:val="20"/>
        </w:rPr>
        <w:t xml:space="preserve"> period</w:t>
      </w:r>
      <w:r w:rsidRPr="00DF7D2F">
        <w:rPr>
          <w:rFonts w:ascii="Arial" w:hAnsi="Arial" w:cs="Arial"/>
          <w:sz w:val="20"/>
          <w:szCs w:val="20"/>
        </w:rPr>
        <w:t>.</w:t>
      </w:r>
      <w:bookmarkEnd w:id="24"/>
      <w:bookmarkEnd w:id="25"/>
    </w:p>
    <w:p w14:paraId="2D0D01D4" w14:textId="071D8357" w:rsidR="00B04DD3" w:rsidRDefault="00B04DD3" w:rsidP="00372DEE">
      <w:pPr>
        <w:widowControl w:val="0"/>
        <w:pBdr>
          <w:top w:val="nil"/>
          <w:left w:val="nil"/>
          <w:bottom w:val="nil"/>
          <w:right w:val="nil"/>
          <w:between w:val="nil"/>
        </w:pBdr>
        <w:spacing w:before="120"/>
        <w:jc w:val="both"/>
        <w:rPr>
          <w:rFonts w:cs="Arial"/>
          <w:b/>
          <w:bCs/>
          <w:caps/>
          <w:color w:val="000000"/>
          <w:sz w:val="24"/>
          <w:szCs w:val="24"/>
        </w:rPr>
      </w:pPr>
      <w:bookmarkStart w:id="27" w:name="_Hlk160955950"/>
      <w:r w:rsidRPr="0509CAAE">
        <w:rPr>
          <w:rFonts w:cs="Arial"/>
          <w:b/>
          <w:bCs/>
          <w:caps/>
          <w:color w:val="000000" w:themeColor="text1"/>
          <w:sz w:val="24"/>
          <w:szCs w:val="24"/>
        </w:rPr>
        <w:t>SUBSEQUENT EVENTs</w:t>
      </w:r>
      <w:r>
        <w:tab/>
      </w:r>
    </w:p>
    <w:p w14:paraId="0EA14FF4" w14:textId="3F5BE097" w:rsidR="002F7FD2" w:rsidRPr="006E5EC0" w:rsidRDefault="002F7FD2" w:rsidP="002F7FD2">
      <w:pPr>
        <w:pStyle w:val="BodyText"/>
        <w:spacing w:before="120" w:line="220" w:lineRule="atLeast"/>
        <w:rPr>
          <w:rFonts w:cs="Arial"/>
          <w:b/>
          <w:bCs w:val="0"/>
          <w:sz w:val="20"/>
          <w:szCs w:val="20"/>
        </w:rPr>
      </w:pPr>
      <w:bookmarkStart w:id="28" w:name="_Hlk159583048"/>
      <w:bookmarkEnd w:id="27"/>
      <w:r w:rsidRPr="006E5EC0">
        <w:rPr>
          <w:rFonts w:cs="Arial"/>
          <w:b/>
          <w:bCs w:val="0"/>
          <w:sz w:val="20"/>
          <w:szCs w:val="20"/>
        </w:rPr>
        <w:t>Rights Offering</w:t>
      </w:r>
      <w:r>
        <w:rPr>
          <w:rFonts w:cs="Arial"/>
          <w:b/>
          <w:bCs w:val="0"/>
          <w:sz w:val="20"/>
          <w:szCs w:val="20"/>
        </w:rPr>
        <w:t xml:space="preserve"> </w:t>
      </w:r>
    </w:p>
    <w:p w14:paraId="6232F053" w14:textId="31190A82" w:rsidR="002F7FD2" w:rsidRPr="002F7FD2" w:rsidRDefault="002F7FD2" w:rsidP="002F7FD2">
      <w:pPr>
        <w:widowControl w:val="0"/>
        <w:autoSpaceDE w:val="0"/>
        <w:autoSpaceDN w:val="0"/>
        <w:spacing w:before="120" w:line="220" w:lineRule="atLeast"/>
        <w:jc w:val="both"/>
        <w:rPr>
          <w:rFonts w:cs="Arial"/>
        </w:rPr>
      </w:pPr>
      <w:r w:rsidRPr="002F7FD2">
        <w:rPr>
          <w:rFonts w:cs="Arial"/>
        </w:rPr>
        <w:t xml:space="preserve">On July 16, 2026, the Company completed </w:t>
      </w:r>
      <w:r w:rsidR="000D73B9">
        <w:rPr>
          <w:rFonts w:cs="Arial"/>
        </w:rPr>
        <w:t>a</w:t>
      </w:r>
      <w:r w:rsidR="000D73B9" w:rsidRPr="002F7FD2">
        <w:rPr>
          <w:rFonts w:cs="Arial"/>
        </w:rPr>
        <w:t xml:space="preserve"> </w:t>
      </w:r>
      <w:r w:rsidR="000D73B9">
        <w:rPr>
          <w:rFonts w:cs="Arial"/>
        </w:rPr>
        <w:t>r</w:t>
      </w:r>
      <w:r w:rsidRPr="002F7FD2">
        <w:rPr>
          <w:rFonts w:cs="Arial"/>
        </w:rPr>
        <w:t xml:space="preserve">ights </w:t>
      </w:r>
      <w:r w:rsidR="000D73B9">
        <w:rPr>
          <w:rFonts w:cs="Arial"/>
        </w:rPr>
        <w:t>o</w:t>
      </w:r>
      <w:r w:rsidRPr="002F7FD2">
        <w:rPr>
          <w:rFonts w:cs="Arial"/>
        </w:rPr>
        <w:t>ffering</w:t>
      </w:r>
      <w:r w:rsidR="000D73B9">
        <w:rPr>
          <w:rFonts w:cs="Arial"/>
        </w:rPr>
        <w:t xml:space="preserve"> pursuant to which t</w:t>
      </w:r>
      <w:r w:rsidRPr="002F7FD2">
        <w:rPr>
          <w:rFonts w:cs="Arial"/>
        </w:rPr>
        <w:t>he Company issued 240,000,000 common shares at a price of $0.125 per share for gross proceeds of $30 million</w:t>
      </w:r>
      <w:r w:rsidR="000D73B9">
        <w:rPr>
          <w:rFonts w:cs="Arial"/>
        </w:rPr>
        <w:t xml:space="preserve"> (the "</w:t>
      </w:r>
      <w:r w:rsidR="000D73B9" w:rsidRPr="000D73B9">
        <w:rPr>
          <w:rFonts w:cs="Arial"/>
          <w:b/>
          <w:bCs/>
        </w:rPr>
        <w:t>Rights Offering</w:t>
      </w:r>
      <w:r w:rsidR="000D73B9">
        <w:rPr>
          <w:rFonts w:cs="Arial"/>
        </w:rPr>
        <w:t>")</w:t>
      </w:r>
      <w:r w:rsidRPr="002F7FD2">
        <w:rPr>
          <w:rFonts w:cs="Arial"/>
        </w:rPr>
        <w:t xml:space="preserve">, of which 238,289,708 common shares were acquired by </w:t>
      </w:r>
      <w:proofErr w:type="spellStart"/>
      <w:r w:rsidRPr="002F7FD2">
        <w:rPr>
          <w:rFonts w:cs="Arial"/>
        </w:rPr>
        <w:t>Liminar</w:t>
      </w:r>
      <w:proofErr w:type="spellEnd"/>
      <w:r w:rsidRPr="002F7FD2">
        <w:rPr>
          <w:rFonts w:cs="Arial"/>
        </w:rPr>
        <w:t xml:space="preserve">.  Following the closing of the Rights Offering, the Company has 312,903,038 common shares issued and outstanding, of which 284,876,536 (approximately 91%) are owned by </w:t>
      </w:r>
      <w:proofErr w:type="spellStart"/>
      <w:r w:rsidRPr="002F7FD2">
        <w:rPr>
          <w:rFonts w:cs="Arial"/>
        </w:rPr>
        <w:t>Liminar</w:t>
      </w:r>
      <w:proofErr w:type="spellEnd"/>
      <w:r w:rsidRPr="002F7FD2">
        <w:rPr>
          <w:rFonts w:cs="Arial"/>
        </w:rPr>
        <w:t xml:space="preserve">.    </w:t>
      </w:r>
    </w:p>
    <w:p w14:paraId="744375C7" w14:textId="6019729E" w:rsidR="002F7FD2" w:rsidRPr="002F7FD2" w:rsidRDefault="002F7FD2" w:rsidP="002F7FD2">
      <w:pPr>
        <w:pStyle w:val="BodyText"/>
        <w:spacing w:before="120" w:line="220" w:lineRule="atLeast"/>
        <w:rPr>
          <w:rFonts w:cs="Arial"/>
          <w:b/>
          <w:bCs w:val="0"/>
          <w:sz w:val="20"/>
          <w:szCs w:val="20"/>
        </w:rPr>
      </w:pPr>
      <w:r>
        <w:rPr>
          <w:rFonts w:cs="Arial"/>
          <w:b/>
          <w:bCs w:val="0"/>
          <w:sz w:val="20"/>
          <w:szCs w:val="20"/>
        </w:rPr>
        <w:t>Loans</w:t>
      </w:r>
      <w:r w:rsidR="00892899">
        <w:rPr>
          <w:rFonts w:cs="Arial"/>
          <w:b/>
          <w:bCs w:val="0"/>
          <w:sz w:val="20"/>
          <w:szCs w:val="20"/>
        </w:rPr>
        <w:tab/>
      </w:r>
    </w:p>
    <w:p w14:paraId="6E993E85" w14:textId="28B4DCB1" w:rsidR="002F7FD2" w:rsidRPr="002F7FD2" w:rsidRDefault="002F7FD2" w:rsidP="002F7FD2">
      <w:pPr>
        <w:widowControl w:val="0"/>
        <w:autoSpaceDE w:val="0"/>
        <w:autoSpaceDN w:val="0"/>
        <w:spacing w:before="120" w:line="220" w:lineRule="atLeast"/>
        <w:jc w:val="both"/>
        <w:rPr>
          <w:rFonts w:cs="Arial"/>
        </w:rPr>
      </w:pPr>
      <w:r w:rsidRPr="002F7FD2">
        <w:rPr>
          <w:rFonts w:cs="Arial"/>
        </w:rPr>
        <w:t xml:space="preserve">From July 1, </w:t>
      </w:r>
      <w:proofErr w:type="gramStart"/>
      <w:r w:rsidRPr="002F7FD2">
        <w:rPr>
          <w:rFonts w:cs="Arial"/>
        </w:rPr>
        <w:t>2026</w:t>
      </w:r>
      <w:proofErr w:type="gramEnd"/>
      <w:r w:rsidRPr="002F7FD2">
        <w:rPr>
          <w:rFonts w:cs="Arial"/>
        </w:rPr>
        <w:t xml:space="preserve"> through the date of </w:t>
      </w:r>
      <w:r>
        <w:rPr>
          <w:rFonts w:cs="Arial"/>
        </w:rPr>
        <w:t>the MD&amp;A</w:t>
      </w:r>
      <w:r w:rsidRPr="002F7FD2">
        <w:rPr>
          <w:rFonts w:cs="Arial"/>
        </w:rPr>
        <w:t xml:space="preserve">, the Company repaid $11.6 million of discounted promissory notes and </w:t>
      </w:r>
      <w:r w:rsidR="000D73B9">
        <w:rPr>
          <w:rFonts w:cs="Arial"/>
        </w:rPr>
        <w:t>issued</w:t>
      </w:r>
      <w:r w:rsidR="000D73B9" w:rsidRPr="002F7FD2">
        <w:rPr>
          <w:rFonts w:cs="Arial"/>
        </w:rPr>
        <w:t xml:space="preserve"> </w:t>
      </w:r>
      <w:r w:rsidRPr="002F7FD2">
        <w:rPr>
          <w:rFonts w:cs="Arial"/>
        </w:rPr>
        <w:t xml:space="preserve">$13.2 million of discounted promissory notes denominated in USD with various maturity dates between August 31, </w:t>
      </w:r>
      <w:proofErr w:type="gramStart"/>
      <w:r w:rsidRPr="002F7FD2">
        <w:rPr>
          <w:rFonts w:cs="Arial"/>
        </w:rPr>
        <w:t>2026</w:t>
      </w:r>
      <w:proofErr w:type="gramEnd"/>
      <w:r w:rsidRPr="002F7FD2">
        <w:rPr>
          <w:rFonts w:cs="Arial"/>
        </w:rPr>
        <w:t xml:space="preserve"> and September 22, 2027</w:t>
      </w:r>
      <w:r>
        <w:rPr>
          <w:rFonts w:cs="Arial"/>
        </w:rPr>
        <w:t>.</w:t>
      </w:r>
    </w:p>
    <w:p w14:paraId="080059EC" w14:textId="3D83465F" w:rsidR="002F7FD2" w:rsidRPr="002F7FD2" w:rsidRDefault="002F7FD2" w:rsidP="002F7FD2">
      <w:pPr>
        <w:widowControl w:val="0"/>
        <w:autoSpaceDE w:val="0"/>
        <w:autoSpaceDN w:val="0"/>
        <w:spacing w:before="120" w:line="220" w:lineRule="atLeast"/>
        <w:jc w:val="both"/>
        <w:rPr>
          <w:rFonts w:cs="Arial"/>
        </w:rPr>
      </w:pPr>
      <w:r w:rsidRPr="002F7FD2">
        <w:rPr>
          <w:rFonts w:cs="Arial"/>
        </w:rPr>
        <w:t>On July 16, 2026, the Company repaid the $29.9 million loan plus</w:t>
      </w:r>
      <w:r w:rsidR="00892899">
        <w:rPr>
          <w:rFonts w:cs="Arial"/>
        </w:rPr>
        <w:t xml:space="preserve"> $0.1 million</w:t>
      </w:r>
      <w:r w:rsidRPr="002F7FD2">
        <w:rPr>
          <w:rFonts w:cs="Arial"/>
        </w:rPr>
        <w:t xml:space="preserve"> accrued interest owed to </w:t>
      </w:r>
      <w:proofErr w:type="spellStart"/>
      <w:r w:rsidRPr="002F7FD2">
        <w:rPr>
          <w:rFonts w:cs="Arial"/>
        </w:rPr>
        <w:t>Liminar</w:t>
      </w:r>
      <w:proofErr w:type="spellEnd"/>
      <w:r w:rsidRPr="002F7FD2">
        <w:rPr>
          <w:rFonts w:cs="Arial"/>
        </w:rPr>
        <w:t xml:space="preserve"> </w:t>
      </w:r>
      <w:r w:rsidR="000D73B9">
        <w:rPr>
          <w:rFonts w:cs="Arial"/>
        </w:rPr>
        <w:t>using the proceeds</w:t>
      </w:r>
      <w:r w:rsidRPr="002F7FD2">
        <w:rPr>
          <w:rFonts w:cs="Arial"/>
        </w:rPr>
        <w:t xml:space="preserve"> of the Rights Offering.</w:t>
      </w:r>
      <w:r w:rsidR="000F04EA">
        <w:rPr>
          <w:rFonts w:cs="Arial"/>
        </w:rPr>
        <w:t xml:space="preserve">  See "Liquidity and Capital Resources – Loans".</w:t>
      </w:r>
    </w:p>
    <w:p w14:paraId="108671E7" w14:textId="77777777" w:rsidR="002F7FD2" w:rsidRPr="002F7FD2" w:rsidRDefault="002F7FD2" w:rsidP="002F7FD2">
      <w:pPr>
        <w:pStyle w:val="BodyText"/>
        <w:spacing w:before="120" w:line="220" w:lineRule="atLeast"/>
        <w:rPr>
          <w:rFonts w:cs="Arial"/>
          <w:b/>
          <w:bCs w:val="0"/>
          <w:sz w:val="20"/>
          <w:szCs w:val="20"/>
        </w:rPr>
      </w:pPr>
      <w:r w:rsidRPr="002F7FD2">
        <w:rPr>
          <w:rFonts w:cs="Arial"/>
          <w:b/>
          <w:bCs w:val="0"/>
          <w:sz w:val="20"/>
          <w:szCs w:val="20"/>
        </w:rPr>
        <w:t>Consent fee</w:t>
      </w:r>
    </w:p>
    <w:p w14:paraId="10CC631E" w14:textId="702F7CB5" w:rsidR="002F7FD2" w:rsidRDefault="002F7FD2" w:rsidP="002F7FD2">
      <w:pPr>
        <w:widowControl w:val="0"/>
        <w:autoSpaceDE w:val="0"/>
        <w:autoSpaceDN w:val="0"/>
        <w:spacing w:before="120" w:line="220" w:lineRule="atLeast"/>
        <w:jc w:val="both"/>
        <w:rPr>
          <w:rFonts w:cs="Arial"/>
        </w:rPr>
      </w:pPr>
      <w:r w:rsidRPr="002F7FD2">
        <w:rPr>
          <w:rFonts w:cs="Arial"/>
        </w:rPr>
        <w:t>On July 30, 2026, the Company paid a consent fee equal to 1% of the principal amount of the Series IX</w:t>
      </w:r>
      <w:r w:rsidR="00307BE4">
        <w:rPr>
          <w:rFonts w:cs="Arial"/>
        </w:rPr>
        <w:t xml:space="preserve"> Notes</w:t>
      </w:r>
      <w:r w:rsidRPr="002F7FD2">
        <w:rPr>
          <w:rFonts w:cs="Arial"/>
        </w:rPr>
        <w:t>, in the amount of $300,000, in connection with obtaining the noteholders' consent to permit the Company to use the excess collateral represented by the pledge over crude oil sales collections from the Chubut Concessions to secure future issuances of Notes Payable up to an aggregate principal amount of $100 million.</w:t>
      </w:r>
    </w:p>
    <w:bookmarkEnd w:id="28"/>
    <w:p w14:paraId="5C1C31E0" w14:textId="08DBEC22" w:rsidR="00B04DD3" w:rsidRDefault="00B04DD3" w:rsidP="00D14CC2">
      <w:pPr>
        <w:widowControl w:val="0"/>
        <w:spacing w:before="360" w:after="120"/>
        <w:jc w:val="both"/>
        <w:rPr>
          <w:rFonts w:cs="Arial"/>
          <w:b/>
          <w:bCs/>
          <w:caps/>
          <w:color w:val="000000"/>
          <w:sz w:val="24"/>
          <w:szCs w:val="24"/>
        </w:rPr>
      </w:pPr>
      <w:r>
        <w:rPr>
          <w:rFonts w:cs="Arial"/>
          <w:b/>
          <w:bCs/>
          <w:caps/>
          <w:color w:val="000000"/>
          <w:sz w:val="24"/>
          <w:szCs w:val="24"/>
        </w:rPr>
        <w:t xml:space="preserve">SHARE CAPITAL </w:t>
      </w:r>
    </w:p>
    <w:tbl>
      <w:tblPr>
        <w:tblW w:w="9495" w:type="dxa"/>
        <w:jc w:val="center"/>
        <w:tblLayout w:type="fixed"/>
        <w:tblLook w:val="04A0" w:firstRow="1" w:lastRow="0" w:firstColumn="1" w:lastColumn="0" w:noHBand="0" w:noVBand="1"/>
      </w:tblPr>
      <w:tblGrid>
        <w:gridCol w:w="5670"/>
        <w:gridCol w:w="354"/>
        <w:gridCol w:w="1735"/>
        <w:gridCol w:w="1736"/>
      </w:tblGrid>
      <w:tr w:rsidR="0039550C" w14:paraId="4D9932C5" w14:textId="77777777">
        <w:trPr>
          <w:trHeight w:val="220"/>
          <w:jc w:val="center"/>
        </w:trPr>
        <w:tc>
          <w:tcPr>
            <w:tcW w:w="5670" w:type="dxa"/>
            <w:tcBorders>
              <w:top w:val="single" w:sz="12" w:space="0" w:color="auto"/>
              <w:left w:val="nil"/>
              <w:bottom w:val="nil"/>
              <w:right w:val="nil"/>
            </w:tcBorders>
            <w:hideMark/>
          </w:tcPr>
          <w:p w14:paraId="059590F9" w14:textId="77777777" w:rsidR="0039550C" w:rsidRDefault="0039550C">
            <w:pPr>
              <w:pStyle w:val="BodyText"/>
              <w:spacing w:before="120"/>
              <w:rPr>
                <w:rFonts w:cs="Arial"/>
                <w:b/>
                <w:color w:val="000000"/>
                <w:sz w:val="18"/>
                <w:szCs w:val="18"/>
              </w:rPr>
            </w:pPr>
            <w:r>
              <w:rPr>
                <w:rFonts w:cs="Arial"/>
                <w:b/>
                <w:color w:val="000000"/>
                <w:sz w:val="18"/>
                <w:szCs w:val="18"/>
              </w:rPr>
              <w:t>Issued and outstanding</w:t>
            </w:r>
          </w:p>
        </w:tc>
        <w:tc>
          <w:tcPr>
            <w:tcW w:w="354" w:type="dxa"/>
            <w:tcBorders>
              <w:top w:val="single" w:sz="12" w:space="0" w:color="auto"/>
              <w:left w:val="nil"/>
              <w:bottom w:val="nil"/>
              <w:right w:val="nil"/>
            </w:tcBorders>
            <w:vAlign w:val="bottom"/>
          </w:tcPr>
          <w:p w14:paraId="55E74672" w14:textId="77777777" w:rsidR="0039550C" w:rsidRDefault="0039550C">
            <w:pPr>
              <w:pStyle w:val="BodyText"/>
              <w:tabs>
                <w:tab w:val="decimal" w:pos="1309"/>
              </w:tabs>
              <w:spacing w:before="120"/>
              <w:jc w:val="left"/>
              <w:rPr>
                <w:rFonts w:cs="Arial"/>
                <w:b/>
                <w:color w:val="000000"/>
                <w:sz w:val="18"/>
                <w:szCs w:val="18"/>
              </w:rPr>
            </w:pPr>
          </w:p>
        </w:tc>
        <w:tc>
          <w:tcPr>
            <w:tcW w:w="1735" w:type="dxa"/>
            <w:tcBorders>
              <w:top w:val="single" w:sz="12" w:space="0" w:color="auto"/>
              <w:left w:val="nil"/>
              <w:bottom w:val="nil"/>
              <w:right w:val="nil"/>
            </w:tcBorders>
            <w:vAlign w:val="bottom"/>
            <w:hideMark/>
          </w:tcPr>
          <w:p w14:paraId="248660C7" w14:textId="77777777" w:rsidR="0039550C" w:rsidRDefault="0039550C">
            <w:pPr>
              <w:pStyle w:val="BodyText"/>
              <w:tabs>
                <w:tab w:val="decimal" w:pos="1309"/>
              </w:tabs>
              <w:spacing w:before="120"/>
              <w:jc w:val="left"/>
              <w:rPr>
                <w:rFonts w:cs="Arial"/>
                <w:b/>
                <w:color w:val="000000"/>
                <w:sz w:val="18"/>
                <w:szCs w:val="18"/>
              </w:rPr>
            </w:pPr>
            <w:r>
              <w:rPr>
                <w:rFonts w:cs="Arial"/>
                <w:b/>
                <w:color w:val="000000"/>
                <w:sz w:val="18"/>
                <w:szCs w:val="18"/>
              </w:rPr>
              <w:t>Common</w:t>
            </w:r>
          </w:p>
        </w:tc>
        <w:tc>
          <w:tcPr>
            <w:tcW w:w="1736" w:type="dxa"/>
            <w:tcBorders>
              <w:top w:val="single" w:sz="12" w:space="0" w:color="auto"/>
              <w:left w:val="nil"/>
              <w:bottom w:val="nil"/>
              <w:right w:val="nil"/>
            </w:tcBorders>
            <w:vAlign w:val="bottom"/>
            <w:hideMark/>
          </w:tcPr>
          <w:p w14:paraId="523B7235" w14:textId="77777777" w:rsidR="0039550C" w:rsidRDefault="0039550C">
            <w:pPr>
              <w:pStyle w:val="BodyText"/>
              <w:tabs>
                <w:tab w:val="decimal" w:pos="1404"/>
              </w:tabs>
              <w:spacing w:before="120"/>
              <w:jc w:val="left"/>
              <w:rPr>
                <w:rFonts w:cs="Arial"/>
                <w:b/>
                <w:color w:val="000000"/>
                <w:sz w:val="18"/>
                <w:szCs w:val="18"/>
              </w:rPr>
            </w:pPr>
            <w:r>
              <w:rPr>
                <w:rFonts w:cs="Arial"/>
                <w:b/>
                <w:color w:val="000000"/>
                <w:sz w:val="18"/>
                <w:szCs w:val="18"/>
              </w:rPr>
              <w:t>Stock</w:t>
            </w:r>
          </w:p>
        </w:tc>
      </w:tr>
      <w:tr w:rsidR="0039550C" w14:paraId="211DA220" w14:textId="77777777">
        <w:trPr>
          <w:trHeight w:val="42"/>
          <w:jc w:val="center"/>
        </w:trPr>
        <w:tc>
          <w:tcPr>
            <w:tcW w:w="5670" w:type="dxa"/>
            <w:tcBorders>
              <w:top w:val="nil"/>
              <w:left w:val="nil"/>
              <w:bottom w:val="single" w:sz="4" w:space="0" w:color="auto"/>
              <w:right w:val="nil"/>
            </w:tcBorders>
            <w:vAlign w:val="bottom"/>
          </w:tcPr>
          <w:p w14:paraId="093D8F67" w14:textId="77777777" w:rsidR="0039550C" w:rsidRDefault="0039550C">
            <w:pPr>
              <w:pStyle w:val="BodyText"/>
              <w:jc w:val="left"/>
              <w:rPr>
                <w:rFonts w:cs="Arial"/>
                <w:color w:val="000000"/>
                <w:sz w:val="18"/>
                <w:szCs w:val="18"/>
              </w:rPr>
            </w:pPr>
          </w:p>
        </w:tc>
        <w:tc>
          <w:tcPr>
            <w:tcW w:w="354" w:type="dxa"/>
            <w:tcBorders>
              <w:top w:val="nil"/>
              <w:left w:val="nil"/>
              <w:bottom w:val="single" w:sz="4" w:space="0" w:color="auto"/>
              <w:right w:val="nil"/>
            </w:tcBorders>
            <w:vAlign w:val="bottom"/>
          </w:tcPr>
          <w:p w14:paraId="19B3221C" w14:textId="77777777" w:rsidR="0039550C" w:rsidRDefault="0039550C">
            <w:pPr>
              <w:pStyle w:val="BodyText"/>
              <w:tabs>
                <w:tab w:val="decimal" w:pos="1309"/>
              </w:tabs>
              <w:jc w:val="left"/>
              <w:rPr>
                <w:rFonts w:cs="Arial"/>
                <w:b/>
                <w:color w:val="000000"/>
                <w:sz w:val="18"/>
                <w:szCs w:val="18"/>
              </w:rPr>
            </w:pPr>
          </w:p>
        </w:tc>
        <w:tc>
          <w:tcPr>
            <w:tcW w:w="1735" w:type="dxa"/>
            <w:tcBorders>
              <w:top w:val="nil"/>
              <w:left w:val="nil"/>
              <w:bottom w:val="single" w:sz="4" w:space="0" w:color="auto"/>
              <w:right w:val="nil"/>
            </w:tcBorders>
            <w:vAlign w:val="bottom"/>
            <w:hideMark/>
          </w:tcPr>
          <w:p w14:paraId="08304EC9" w14:textId="77777777" w:rsidR="0039550C" w:rsidRDefault="0039550C">
            <w:pPr>
              <w:pStyle w:val="BodyText"/>
              <w:tabs>
                <w:tab w:val="decimal" w:pos="1309"/>
              </w:tabs>
              <w:jc w:val="left"/>
              <w:rPr>
                <w:rFonts w:cs="Arial"/>
                <w:b/>
                <w:color w:val="000000"/>
                <w:sz w:val="18"/>
                <w:szCs w:val="18"/>
              </w:rPr>
            </w:pPr>
            <w:r>
              <w:rPr>
                <w:rFonts w:cs="Arial"/>
                <w:b/>
                <w:color w:val="000000"/>
                <w:sz w:val="18"/>
                <w:szCs w:val="18"/>
              </w:rPr>
              <w:t>Shares</w:t>
            </w:r>
          </w:p>
        </w:tc>
        <w:tc>
          <w:tcPr>
            <w:tcW w:w="1736" w:type="dxa"/>
            <w:tcBorders>
              <w:top w:val="nil"/>
              <w:left w:val="nil"/>
              <w:bottom w:val="single" w:sz="4" w:space="0" w:color="auto"/>
              <w:right w:val="nil"/>
            </w:tcBorders>
            <w:vAlign w:val="bottom"/>
            <w:hideMark/>
          </w:tcPr>
          <w:p w14:paraId="404B3ADA" w14:textId="77777777" w:rsidR="0039550C" w:rsidRDefault="0039550C">
            <w:pPr>
              <w:pStyle w:val="BodyText"/>
              <w:tabs>
                <w:tab w:val="decimal" w:pos="1404"/>
              </w:tabs>
              <w:jc w:val="left"/>
              <w:rPr>
                <w:rFonts w:cs="Arial"/>
                <w:b/>
                <w:color w:val="000000"/>
                <w:sz w:val="18"/>
                <w:szCs w:val="18"/>
              </w:rPr>
            </w:pPr>
            <w:r>
              <w:rPr>
                <w:rFonts w:cs="Arial"/>
                <w:b/>
                <w:color w:val="000000"/>
                <w:sz w:val="18"/>
                <w:szCs w:val="18"/>
              </w:rPr>
              <w:t>Options</w:t>
            </w:r>
          </w:p>
        </w:tc>
      </w:tr>
      <w:tr w:rsidR="0039550C" w:rsidRPr="00734B1F" w14:paraId="7C1C2A21" w14:textId="77777777" w:rsidTr="002B43DC">
        <w:trPr>
          <w:trHeight w:val="220"/>
          <w:jc w:val="center"/>
        </w:trPr>
        <w:tc>
          <w:tcPr>
            <w:tcW w:w="5670" w:type="dxa"/>
            <w:tcBorders>
              <w:top w:val="single" w:sz="2" w:space="0" w:color="auto"/>
              <w:left w:val="nil"/>
              <w:right w:val="nil"/>
            </w:tcBorders>
            <w:vAlign w:val="bottom"/>
          </w:tcPr>
          <w:p w14:paraId="6BE0C5AE" w14:textId="77777777" w:rsidR="0039550C" w:rsidRDefault="0039550C">
            <w:pPr>
              <w:pStyle w:val="BodyText2"/>
              <w:spacing w:before="120"/>
              <w:jc w:val="left"/>
              <w:rPr>
                <w:rFonts w:cs="Arial"/>
                <w:color w:val="000000"/>
                <w:sz w:val="18"/>
                <w:szCs w:val="18"/>
              </w:rPr>
            </w:pPr>
            <w:r>
              <w:rPr>
                <w:rFonts w:cs="Arial"/>
                <w:color w:val="000000"/>
                <w:sz w:val="18"/>
                <w:szCs w:val="18"/>
              </w:rPr>
              <w:t xml:space="preserve">Balance, December 31, </w:t>
            </w:r>
            <w:proofErr w:type="gramStart"/>
            <w:r>
              <w:rPr>
                <w:rFonts w:cs="Arial"/>
                <w:color w:val="000000"/>
                <w:sz w:val="18"/>
                <w:szCs w:val="18"/>
              </w:rPr>
              <w:t>2025</w:t>
            </w:r>
            <w:proofErr w:type="gramEnd"/>
            <w:r>
              <w:rPr>
                <w:rFonts w:cs="Arial"/>
                <w:color w:val="000000"/>
                <w:sz w:val="18"/>
                <w:szCs w:val="18"/>
              </w:rPr>
              <w:t xml:space="preserve"> </w:t>
            </w:r>
          </w:p>
        </w:tc>
        <w:tc>
          <w:tcPr>
            <w:tcW w:w="354" w:type="dxa"/>
            <w:tcBorders>
              <w:top w:val="single" w:sz="2" w:space="0" w:color="auto"/>
              <w:left w:val="nil"/>
              <w:right w:val="nil"/>
            </w:tcBorders>
            <w:vAlign w:val="bottom"/>
          </w:tcPr>
          <w:p w14:paraId="290C95CE" w14:textId="77777777" w:rsidR="0039550C" w:rsidRPr="008C5B3B" w:rsidRDefault="0039550C">
            <w:pPr>
              <w:pStyle w:val="BodyText2"/>
              <w:tabs>
                <w:tab w:val="decimal" w:pos="1309"/>
              </w:tabs>
              <w:spacing w:before="120"/>
              <w:jc w:val="left"/>
              <w:rPr>
                <w:rFonts w:cs="Arial"/>
                <w:color w:val="000000"/>
                <w:sz w:val="18"/>
                <w:szCs w:val="18"/>
              </w:rPr>
            </w:pPr>
          </w:p>
        </w:tc>
        <w:tc>
          <w:tcPr>
            <w:tcW w:w="1735" w:type="dxa"/>
            <w:tcBorders>
              <w:top w:val="single" w:sz="2" w:space="0" w:color="auto"/>
              <w:left w:val="nil"/>
              <w:right w:val="nil"/>
            </w:tcBorders>
            <w:vAlign w:val="bottom"/>
          </w:tcPr>
          <w:p w14:paraId="62DBC165" w14:textId="77777777" w:rsidR="0039550C" w:rsidRDefault="0039550C">
            <w:pPr>
              <w:pStyle w:val="BodyText2"/>
              <w:tabs>
                <w:tab w:val="decimal" w:pos="1309"/>
              </w:tabs>
              <w:spacing w:before="120"/>
              <w:jc w:val="left"/>
              <w:rPr>
                <w:rFonts w:cs="Arial"/>
                <w:color w:val="000000"/>
                <w:sz w:val="18"/>
                <w:szCs w:val="18"/>
              </w:rPr>
            </w:pPr>
            <w:r>
              <w:rPr>
                <w:rFonts w:cs="Arial"/>
                <w:color w:val="000000"/>
                <w:sz w:val="18"/>
                <w:szCs w:val="18"/>
              </w:rPr>
              <w:t>72,903,038</w:t>
            </w:r>
          </w:p>
        </w:tc>
        <w:tc>
          <w:tcPr>
            <w:tcW w:w="1736" w:type="dxa"/>
            <w:tcBorders>
              <w:top w:val="single" w:sz="2" w:space="0" w:color="auto"/>
              <w:left w:val="nil"/>
              <w:right w:val="nil"/>
            </w:tcBorders>
            <w:vAlign w:val="bottom"/>
          </w:tcPr>
          <w:p w14:paraId="23973D6C" w14:textId="77777777" w:rsidR="0039550C" w:rsidRPr="00734B1F" w:rsidRDefault="0039550C">
            <w:pPr>
              <w:pStyle w:val="BodyText2"/>
              <w:tabs>
                <w:tab w:val="decimal" w:pos="1404"/>
              </w:tabs>
              <w:spacing w:before="120"/>
              <w:jc w:val="left"/>
              <w:rPr>
                <w:rFonts w:cs="Arial"/>
                <w:color w:val="000000"/>
                <w:sz w:val="18"/>
                <w:szCs w:val="18"/>
              </w:rPr>
            </w:pPr>
            <w:r w:rsidRPr="00734B1F">
              <w:rPr>
                <w:rFonts w:cs="Arial"/>
                <w:color w:val="000000"/>
                <w:sz w:val="18"/>
                <w:szCs w:val="18"/>
              </w:rPr>
              <w:t>1,</w:t>
            </w:r>
            <w:r>
              <w:rPr>
                <w:rFonts w:cs="Arial"/>
                <w:color w:val="000000"/>
                <w:sz w:val="18"/>
                <w:szCs w:val="18"/>
              </w:rPr>
              <w:t>475</w:t>
            </w:r>
            <w:r w:rsidRPr="00734B1F">
              <w:rPr>
                <w:rFonts w:cs="Arial"/>
                <w:color w:val="000000"/>
                <w:sz w:val="18"/>
                <w:szCs w:val="18"/>
              </w:rPr>
              <w:t>,000</w:t>
            </w:r>
          </w:p>
        </w:tc>
      </w:tr>
      <w:tr w:rsidR="0039550C" w:rsidRPr="00734B1F" w14:paraId="59CE9083" w14:textId="77777777" w:rsidTr="002B43DC">
        <w:trPr>
          <w:trHeight w:val="220"/>
          <w:jc w:val="center"/>
        </w:trPr>
        <w:tc>
          <w:tcPr>
            <w:tcW w:w="5670" w:type="dxa"/>
            <w:tcBorders>
              <w:left w:val="nil"/>
              <w:right w:val="nil"/>
            </w:tcBorders>
            <w:vAlign w:val="bottom"/>
          </w:tcPr>
          <w:p w14:paraId="5F892248" w14:textId="77777777" w:rsidR="0039550C" w:rsidRDefault="0039550C">
            <w:pPr>
              <w:pStyle w:val="BodyText2"/>
              <w:jc w:val="left"/>
              <w:rPr>
                <w:rFonts w:cs="Arial"/>
                <w:color w:val="000000"/>
                <w:sz w:val="18"/>
                <w:szCs w:val="18"/>
              </w:rPr>
            </w:pPr>
            <w:r>
              <w:rPr>
                <w:rFonts w:cs="Arial"/>
                <w:color w:val="000000"/>
                <w:sz w:val="18"/>
                <w:szCs w:val="18"/>
              </w:rPr>
              <w:t>Forfeited</w:t>
            </w:r>
          </w:p>
        </w:tc>
        <w:tc>
          <w:tcPr>
            <w:tcW w:w="354" w:type="dxa"/>
            <w:tcBorders>
              <w:left w:val="nil"/>
              <w:right w:val="nil"/>
            </w:tcBorders>
            <w:vAlign w:val="bottom"/>
          </w:tcPr>
          <w:p w14:paraId="2AF50C62" w14:textId="77777777" w:rsidR="0039550C" w:rsidRPr="008C5B3B" w:rsidRDefault="0039550C">
            <w:pPr>
              <w:pStyle w:val="BodyText2"/>
              <w:tabs>
                <w:tab w:val="decimal" w:pos="1309"/>
              </w:tabs>
              <w:jc w:val="left"/>
              <w:rPr>
                <w:rFonts w:cs="Arial"/>
                <w:color w:val="000000"/>
                <w:sz w:val="18"/>
                <w:szCs w:val="18"/>
              </w:rPr>
            </w:pPr>
          </w:p>
        </w:tc>
        <w:tc>
          <w:tcPr>
            <w:tcW w:w="1735" w:type="dxa"/>
            <w:tcBorders>
              <w:left w:val="nil"/>
              <w:right w:val="nil"/>
            </w:tcBorders>
            <w:vAlign w:val="bottom"/>
          </w:tcPr>
          <w:p w14:paraId="15E8D87B" w14:textId="77777777" w:rsidR="0039550C" w:rsidRDefault="0039550C">
            <w:pPr>
              <w:pStyle w:val="BodyText2"/>
              <w:tabs>
                <w:tab w:val="decimal" w:pos="1309"/>
              </w:tabs>
              <w:jc w:val="left"/>
              <w:rPr>
                <w:rFonts w:cs="Arial"/>
                <w:color w:val="000000"/>
                <w:sz w:val="18"/>
                <w:szCs w:val="18"/>
              </w:rPr>
            </w:pPr>
            <w:r>
              <w:rPr>
                <w:rFonts w:cs="Arial"/>
                <w:color w:val="000000"/>
                <w:sz w:val="18"/>
                <w:szCs w:val="18"/>
              </w:rPr>
              <w:t>–</w:t>
            </w:r>
          </w:p>
        </w:tc>
        <w:tc>
          <w:tcPr>
            <w:tcW w:w="1736" w:type="dxa"/>
            <w:tcBorders>
              <w:left w:val="nil"/>
              <w:right w:val="nil"/>
            </w:tcBorders>
            <w:vAlign w:val="bottom"/>
          </w:tcPr>
          <w:p w14:paraId="20C5A819" w14:textId="77777777" w:rsidR="0039550C" w:rsidRPr="00734B1F" w:rsidRDefault="0039550C">
            <w:pPr>
              <w:pStyle w:val="BodyText2"/>
              <w:tabs>
                <w:tab w:val="decimal" w:pos="1404"/>
              </w:tabs>
              <w:jc w:val="left"/>
              <w:rPr>
                <w:rFonts w:cs="Arial"/>
                <w:color w:val="000000"/>
                <w:sz w:val="18"/>
                <w:szCs w:val="18"/>
              </w:rPr>
            </w:pPr>
            <w:r>
              <w:rPr>
                <w:rFonts w:cs="Arial"/>
                <w:color w:val="000000"/>
                <w:sz w:val="18"/>
                <w:szCs w:val="18"/>
              </w:rPr>
              <w:t>(350,000)</w:t>
            </w:r>
          </w:p>
        </w:tc>
      </w:tr>
      <w:tr w:rsidR="002B43DC" w:rsidRPr="00734B1F" w14:paraId="083A8F25" w14:textId="77777777" w:rsidTr="00D14CC2">
        <w:trPr>
          <w:trHeight w:val="220"/>
          <w:jc w:val="center"/>
        </w:trPr>
        <w:tc>
          <w:tcPr>
            <w:tcW w:w="5670" w:type="dxa"/>
            <w:tcBorders>
              <w:left w:val="nil"/>
              <w:bottom w:val="single" w:sz="4" w:space="0" w:color="auto"/>
              <w:right w:val="nil"/>
            </w:tcBorders>
            <w:vAlign w:val="bottom"/>
          </w:tcPr>
          <w:p w14:paraId="354A9B9B" w14:textId="3D22575A" w:rsidR="002B43DC" w:rsidRDefault="002B43DC">
            <w:pPr>
              <w:pStyle w:val="BodyText2"/>
              <w:jc w:val="left"/>
              <w:rPr>
                <w:rFonts w:cs="Arial"/>
                <w:color w:val="000000"/>
                <w:sz w:val="18"/>
                <w:szCs w:val="18"/>
              </w:rPr>
            </w:pPr>
            <w:r>
              <w:rPr>
                <w:rFonts w:cs="Arial"/>
                <w:color w:val="000000"/>
                <w:sz w:val="18"/>
                <w:szCs w:val="18"/>
              </w:rPr>
              <w:t>Expired, May 31, 2026</w:t>
            </w:r>
          </w:p>
        </w:tc>
        <w:tc>
          <w:tcPr>
            <w:tcW w:w="354" w:type="dxa"/>
            <w:tcBorders>
              <w:left w:val="nil"/>
              <w:bottom w:val="single" w:sz="4" w:space="0" w:color="auto"/>
              <w:right w:val="nil"/>
            </w:tcBorders>
            <w:vAlign w:val="bottom"/>
          </w:tcPr>
          <w:p w14:paraId="0A4052D1" w14:textId="77777777" w:rsidR="002B43DC" w:rsidRPr="008C5B3B" w:rsidRDefault="002B43DC">
            <w:pPr>
              <w:pStyle w:val="BodyText2"/>
              <w:tabs>
                <w:tab w:val="decimal" w:pos="1309"/>
              </w:tabs>
              <w:jc w:val="left"/>
              <w:rPr>
                <w:rFonts w:cs="Arial"/>
                <w:color w:val="000000"/>
                <w:sz w:val="18"/>
                <w:szCs w:val="18"/>
              </w:rPr>
            </w:pPr>
          </w:p>
        </w:tc>
        <w:tc>
          <w:tcPr>
            <w:tcW w:w="1735" w:type="dxa"/>
            <w:tcBorders>
              <w:left w:val="nil"/>
              <w:bottom w:val="single" w:sz="4" w:space="0" w:color="auto"/>
              <w:right w:val="nil"/>
            </w:tcBorders>
            <w:vAlign w:val="bottom"/>
          </w:tcPr>
          <w:p w14:paraId="60B5D6AB" w14:textId="77777777" w:rsidR="002B43DC" w:rsidRDefault="002B43DC">
            <w:pPr>
              <w:pStyle w:val="BodyText2"/>
              <w:tabs>
                <w:tab w:val="decimal" w:pos="1309"/>
              </w:tabs>
              <w:jc w:val="left"/>
              <w:rPr>
                <w:rFonts w:cs="Arial"/>
                <w:color w:val="000000"/>
                <w:sz w:val="18"/>
                <w:szCs w:val="18"/>
              </w:rPr>
            </w:pPr>
          </w:p>
        </w:tc>
        <w:tc>
          <w:tcPr>
            <w:tcW w:w="1736" w:type="dxa"/>
            <w:tcBorders>
              <w:left w:val="nil"/>
              <w:bottom w:val="single" w:sz="4" w:space="0" w:color="auto"/>
              <w:right w:val="nil"/>
            </w:tcBorders>
            <w:vAlign w:val="bottom"/>
          </w:tcPr>
          <w:p w14:paraId="3AF9478C" w14:textId="479CD7B9" w:rsidR="002B43DC" w:rsidRDefault="002B43DC">
            <w:pPr>
              <w:pStyle w:val="BodyText2"/>
              <w:tabs>
                <w:tab w:val="decimal" w:pos="1404"/>
              </w:tabs>
              <w:jc w:val="left"/>
              <w:rPr>
                <w:rFonts w:cs="Arial"/>
                <w:color w:val="000000"/>
                <w:sz w:val="18"/>
                <w:szCs w:val="18"/>
              </w:rPr>
            </w:pPr>
            <w:r>
              <w:rPr>
                <w:rFonts w:cs="Arial"/>
                <w:color w:val="000000"/>
                <w:sz w:val="18"/>
                <w:szCs w:val="18"/>
              </w:rPr>
              <w:t>(1,125,000)</w:t>
            </w:r>
          </w:p>
        </w:tc>
      </w:tr>
      <w:tr w:rsidR="0039550C" w:rsidRPr="00734B1F" w14:paraId="1CC102FB" w14:textId="77777777" w:rsidTr="00D14CC2">
        <w:trPr>
          <w:trHeight w:val="220"/>
          <w:jc w:val="center"/>
        </w:trPr>
        <w:tc>
          <w:tcPr>
            <w:tcW w:w="5670" w:type="dxa"/>
            <w:tcBorders>
              <w:top w:val="single" w:sz="4" w:space="0" w:color="auto"/>
              <w:left w:val="nil"/>
              <w:right w:val="nil"/>
            </w:tcBorders>
            <w:vAlign w:val="bottom"/>
          </w:tcPr>
          <w:p w14:paraId="648ACBBA" w14:textId="729444D2" w:rsidR="0039550C" w:rsidRDefault="0039550C">
            <w:pPr>
              <w:pStyle w:val="BodyText2"/>
              <w:spacing w:before="120"/>
              <w:jc w:val="left"/>
              <w:rPr>
                <w:rFonts w:cs="Arial"/>
                <w:color w:val="000000"/>
                <w:sz w:val="18"/>
                <w:szCs w:val="18"/>
              </w:rPr>
            </w:pPr>
            <w:r>
              <w:rPr>
                <w:rFonts w:cs="Arial"/>
                <w:color w:val="000000"/>
                <w:sz w:val="18"/>
                <w:szCs w:val="18"/>
              </w:rPr>
              <w:t xml:space="preserve">Balance, </w:t>
            </w:r>
            <w:r w:rsidR="00E91EF5">
              <w:rPr>
                <w:rFonts w:cs="Arial"/>
                <w:color w:val="000000"/>
                <w:sz w:val="18"/>
                <w:szCs w:val="18"/>
              </w:rPr>
              <w:t>June 30</w:t>
            </w:r>
            <w:r w:rsidR="00C74AFA">
              <w:rPr>
                <w:rFonts w:cs="Arial"/>
                <w:color w:val="000000"/>
                <w:sz w:val="18"/>
                <w:szCs w:val="18"/>
              </w:rPr>
              <w:t xml:space="preserve">, </w:t>
            </w:r>
            <w:proofErr w:type="gramStart"/>
            <w:r w:rsidR="00C74AFA">
              <w:rPr>
                <w:rFonts w:cs="Arial"/>
                <w:color w:val="000000"/>
                <w:sz w:val="18"/>
                <w:szCs w:val="18"/>
              </w:rPr>
              <w:t>2026</w:t>
            </w:r>
            <w:proofErr w:type="gramEnd"/>
            <w:r w:rsidR="00C74AFA">
              <w:rPr>
                <w:rFonts w:cs="Arial"/>
                <w:color w:val="000000"/>
                <w:sz w:val="18"/>
                <w:szCs w:val="18"/>
              </w:rPr>
              <w:t xml:space="preserve"> </w:t>
            </w:r>
          </w:p>
        </w:tc>
        <w:tc>
          <w:tcPr>
            <w:tcW w:w="354" w:type="dxa"/>
            <w:tcBorders>
              <w:top w:val="single" w:sz="4" w:space="0" w:color="auto"/>
              <w:left w:val="nil"/>
              <w:right w:val="nil"/>
            </w:tcBorders>
            <w:vAlign w:val="bottom"/>
          </w:tcPr>
          <w:p w14:paraId="3BB68C1E" w14:textId="77777777" w:rsidR="0039550C" w:rsidRPr="008C5B3B" w:rsidRDefault="0039550C">
            <w:pPr>
              <w:pStyle w:val="BodyText2"/>
              <w:tabs>
                <w:tab w:val="decimal" w:pos="1309"/>
              </w:tabs>
              <w:spacing w:before="120"/>
              <w:jc w:val="left"/>
              <w:rPr>
                <w:rFonts w:cs="Arial"/>
                <w:color w:val="000000"/>
                <w:sz w:val="18"/>
                <w:szCs w:val="18"/>
              </w:rPr>
            </w:pPr>
          </w:p>
        </w:tc>
        <w:tc>
          <w:tcPr>
            <w:tcW w:w="1735" w:type="dxa"/>
            <w:tcBorders>
              <w:top w:val="single" w:sz="4" w:space="0" w:color="auto"/>
              <w:left w:val="nil"/>
              <w:right w:val="nil"/>
            </w:tcBorders>
            <w:vAlign w:val="bottom"/>
          </w:tcPr>
          <w:p w14:paraId="652A23CD" w14:textId="77777777" w:rsidR="0039550C" w:rsidRDefault="0039550C">
            <w:pPr>
              <w:pStyle w:val="BodyText2"/>
              <w:tabs>
                <w:tab w:val="decimal" w:pos="1309"/>
              </w:tabs>
              <w:spacing w:before="120"/>
              <w:jc w:val="left"/>
              <w:rPr>
                <w:rFonts w:cs="Arial"/>
                <w:color w:val="000000"/>
                <w:sz w:val="18"/>
                <w:szCs w:val="18"/>
              </w:rPr>
            </w:pPr>
            <w:r>
              <w:rPr>
                <w:rFonts w:cs="Arial"/>
                <w:color w:val="000000"/>
                <w:sz w:val="18"/>
                <w:szCs w:val="18"/>
              </w:rPr>
              <w:t>72,903,038</w:t>
            </w:r>
          </w:p>
        </w:tc>
        <w:tc>
          <w:tcPr>
            <w:tcW w:w="1736" w:type="dxa"/>
            <w:tcBorders>
              <w:top w:val="single" w:sz="4" w:space="0" w:color="auto"/>
              <w:left w:val="nil"/>
              <w:right w:val="nil"/>
            </w:tcBorders>
            <w:vAlign w:val="bottom"/>
          </w:tcPr>
          <w:p w14:paraId="1CAC6590" w14:textId="1DF5402A" w:rsidR="0039550C" w:rsidRPr="00734B1F" w:rsidRDefault="002B43DC">
            <w:pPr>
              <w:pStyle w:val="BodyText2"/>
              <w:tabs>
                <w:tab w:val="decimal" w:pos="1404"/>
              </w:tabs>
              <w:spacing w:before="120"/>
              <w:jc w:val="left"/>
              <w:rPr>
                <w:rFonts w:cs="Arial"/>
                <w:color w:val="000000"/>
                <w:sz w:val="18"/>
                <w:szCs w:val="18"/>
              </w:rPr>
            </w:pPr>
            <w:r>
              <w:rPr>
                <w:rFonts w:cs="Arial"/>
                <w:color w:val="000000"/>
                <w:sz w:val="18"/>
                <w:szCs w:val="18"/>
              </w:rPr>
              <w:t>–</w:t>
            </w:r>
          </w:p>
        </w:tc>
      </w:tr>
      <w:tr w:rsidR="002F7FD2" w:rsidRPr="00734B1F" w14:paraId="75A2689D" w14:textId="77777777" w:rsidTr="00D14CC2">
        <w:trPr>
          <w:trHeight w:val="220"/>
          <w:jc w:val="center"/>
        </w:trPr>
        <w:tc>
          <w:tcPr>
            <w:tcW w:w="5670" w:type="dxa"/>
            <w:tcBorders>
              <w:left w:val="nil"/>
              <w:bottom w:val="single" w:sz="4" w:space="0" w:color="auto"/>
              <w:right w:val="nil"/>
            </w:tcBorders>
            <w:vAlign w:val="bottom"/>
          </w:tcPr>
          <w:p w14:paraId="7BAABB67" w14:textId="7F696FBF" w:rsidR="002F7FD2" w:rsidRDefault="002F7FD2">
            <w:pPr>
              <w:pStyle w:val="BodyText2"/>
              <w:spacing w:before="120"/>
              <w:jc w:val="left"/>
              <w:rPr>
                <w:rFonts w:cs="Arial"/>
                <w:color w:val="000000"/>
                <w:sz w:val="18"/>
                <w:szCs w:val="18"/>
              </w:rPr>
            </w:pPr>
            <w:r>
              <w:rPr>
                <w:rFonts w:cs="Arial"/>
                <w:color w:val="000000"/>
                <w:sz w:val="18"/>
                <w:szCs w:val="18"/>
              </w:rPr>
              <w:t>Rights Offering, July 16, 2026</w:t>
            </w:r>
          </w:p>
        </w:tc>
        <w:tc>
          <w:tcPr>
            <w:tcW w:w="354" w:type="dxa"/>
            <w:tcBorders>
              <w:left w:val="nil"/>
              <w:bottom w:val="single" w:sz="4" w:space="0" w:color="auto"/>
              <w:right w:val="nil"/>
            </w:tcBorders>
            <w:vAlign w:val="bottom"/>
          </w:tcPr>
          <w:p w14:paraId="5FE46789" w14:textId="77777777" w:rsidR="002F7FD2" w:rsidRPr="008C5B3B" w:rsidRDefault="002F7FD2">
            <w:pPr>
              <w:pStyle w:val="BodyText2"/>
              <w:tabs>
                <w:tab w:val="decimal" w:pos="1309"/>
              </w:tabs>
              <w:spacing w:before="120"/>
              <w:jc w:val="left"/>
              <w:rPr>
                <w:rFonts w:cs="Arial"/>
                <w:color w:val="000000"/>
                <w:sz w:val="18"/>
                <w:szCs w:val="18"/>
              </w:rPr>
            </w:pPr>
          </w:p>
        </w:tc>
        <w:tc>
          <w:tcPr>
            <w:tcW w:w="1735" w:type="dxa"/>
            <w:tcBorders>
              <w:left w:val="nil"/>
              <w:bottom w:val="single" w:sz="4" w:space="0" w:color="auto"/>
              <w:right w:val="nil"/>
            </w:tcBorders>
            <w:vAlign w:val="bottom"/>
          </w:tcPr>
          <w:p w14:paraId="5864DC31" w14:textId="0909F448" w:rsidR="002F7FD2" w:rsidRDefault="002F7FD2">
            <w:pPr>
              <w:pStyle w:val="BodyText2"/>
              <w:tabs>
                <w:tab w:val="decimal" w:pos="1309"/>
              </w:tabs>
              <w:spacing w:before="120"/>
              <w:jc w:val="left"/>
              <w:rPr>
                <w:rFonts w:cs="Arial"/>
                <w:color w:val="000000"/>
                <w:sz w:val="18"/>
                <w:szCs w:val="18"/>
              </w:rPr>
            </w:pPr>
            <w:r>
              <w:rPr>
                <w:rFonts w:cs="Arial"/>
                <w:color w:val="000000"/>
                <w:sz w:val="18"/>
                <w:szCs w:val="18"/>
              </w:rPr>
              <w:t>240,000,000</w:t>
            </w:r>
          </w:p>
        </w:tc>
        <w:tc>
          <w:tcPr>
            <w:tcW w:w="1736" w:type="dxa"/>
            <w:tcBorders>
              <w:left w:val="nil"/>
              <w:bottom w:val="single" w:sz="4" w:space="0" w:color="auto"/>
              <w:right w:val="nil"/>
            </w:tcBorders>
            <w:vAlign w:val="bottom"/>
          </w:tcPr>
          <w:p w14:paraId="30603372" w14:textId="4BC8C58F" w:rsidR="002F7FD2" w:rsidRDefault="002F7FD2">
            <w:pPr>
              <w:pStyle w:val="BodyText2"/>
              <w:tabs>
                <w:tab w:val="decimal" w:pos="1404"/>
              </w:tabs>
              <w:spacing w:before="120"/>
              <w:jc w:val="left"/>
              <w:rPr>
                <w:rFonts w:cs="Arial"/>
                <w:color w:val="000000"/>
                <w:sz w:val="18"/>
                <w:szCs w:val="18"/>
              </w:rPr>
            </w:pPr>
            <w:r>
              <w:rPr>
                <w:rFonts w:cs="Arial"/>
                <w:color w:val="000000"/>
                <w:sz w:val="18"/>
                <w:szCs w:val="18"/>
              </w:rPr>
              <w:t>–</w:t>
            </w:r>
          </w:p>
        </w:tc>
      </w:tr>
      <w:tr w:rsidR="002F7FD2" w:rsidRPr="00734B1F" w14:paraId="6CABE460" w14:textId="77777777" w:rsidTr="002F7FD2">
        <w:trPr>
          <w:trHeight w:val="220"/>
          <w:jc w:val="center"/>
        </w:trPr>
        <w:tc>
          <w:tcPr>
            <w:tcW w:w="5670" w:type="dxa"/>
            <w:tcBorders>
              <w:top w:val="single" w:sz="4" w:space="0" w:color="auto"/>
              <w:left w:val="nil"/>
              <w:bottom w:val="single" w:sz="12" w:space="0" w:color="auto"/>
              <w:right w:val="nil"/>
            </w:tcBorders>
            <w:vAlign w:val="bottom"/>
          </w:tcPr>
          <w:p w14:paraId="671618AF" w14:textId="244BB1A7" w:rsidR="002F7FD2" w:rsidRDefault="002F7FD2">
            <w:pPr>
              <w:pStyle w:val="BodyText2"/>
              <w:spacing w:before="120"/>
              <w:jc w:val="left"/>
              <w:rPr>
                <w:rFonts w:cs="Arial"/>
                <w:color w:val="000000"/>
                <w:sz w:val="18"/>
                <w:szCs w:val="18"/>
              </w:rPr>
            </w:pPr>
            <w:r>
              <w:rPr>
                <w:rFonts w:cs="Arial"/>
                <w:color w:val="000000"/>
                <w:sz w:val="18"/>
                <w:szCs w:val="18"/>
              </w:rPr>
              <w:t>Balance, date of the MD&amp;A</w:t>
            </w:r>
          </w:p>
        </w:tc>
        <w:tc>
          <w:tcPr>
            <w:tcW w:w="354" w:type="dxa"/>
            <w:tcBorders>
              <w:top w:val="single" w:sz="4" w:space="0" w:color="auto"/>
              <w:left w:val="nil"/>
              <w:bottom w:val="single" w:sz="12" w:space="0" w:color="auto"/>
              <w:right w:val="nil"/>
            </w:tcBorders>
            <w:vAlign w:val="bottom"/>
          </w:tcPr>
          <w:p w14:paraId="55BDD71A" w14:textId="77777777" w:rsidR="002F7FD2" w:rsidRPr="008C5B3B" w:rsidRDefault="002F7FD2">
            <w:pPr>
              <w:pStyle w:val="BodyText2"/>
              <w:tabs>
                <w:tab w:val="decimal" w:pos="1309"/>
              </w:tabs>
              <w:spacing w:before="120"/>
              <w:jc w:val="left"/>
              <w:rPr>
                <w:rFonts w:cs="Arial"/>
                <w:color w:val="000000"/>
                <w:sz w:val="18"/>
                <w:szCs w:val="18"/>
              </w:rPr>
            </w:pPr>
          </w:p>
        </w:tc>
        <w:tc>
          <w:tcPr>
            <w:tcW w:w="1735" w:type="dxa"/>
            <w:tcBorders>
              <w:top w:val="single" w:sz="4" w:space="0" w:color="auto"/>
              <w:left w:val="nil"/>
              <w:bottom w:val="single" w:sz="12" w:space="0" w:color="auto"/>
              <w:right w:val="nil"/>
            </w:tcBorders>
            <w:vAlign w:val="bottom"/>
          </w:tcPr>
          <w:p w14:paraId="6EF1DF01" w14:textId="5D9B209F" w:rsidR="002F7FD2" w:rsidRDefault="002F7FD2">
            <w:pPr>
              <w:pStyle w:val="BodyText2"/>
              <w:tabs>
                <w:tab w:val="decimal" w:pos="1309"/>
              </w:tabs>
              <w:spacing w:before="120"/>
              <w:jc w:val="left"/>
              <w:rPr>
                <w:rFonts w:cs="Arial"/>
                <w:color w:val="000000"/>
                <w:sz w:val="18"/>
                <w:szCs w:val="18"/>
              </w:rPr>
            </w:pPr>
            <w:r w:rsidRPr="002F7FD2">
              <w:rPr>
                <w:rFonts w:cs="Arial"/>
                <w:color w:val="000000"/>
                <w:sz w:val="18"/>
                <w:szCs w:val="18"/>
              </w:rPr>
              <w:t>312,903,038</w:t>
            </w:r>
          </w:p>
        </w:tc>
        <w:tc>
          <w:tcPr>
            <w:tcW w:w="1736" w:type="dxa"/>
            <w:tcBorders>
              <w:top w:val="single" w:sz="4" w:space="0" w:color="auto"/>
              <w:left w:val="nil"/>
              <w:bottom w:val="single" w:sz="12" w:space="0" w:color="auto"/>
              <w:right w:val="nil"/>
            </w:tcBorders>
            <w:vAlign w:val="bottom"/>
          </w:tcPr>
          <w:p w14:paraId="50050C0B" w14:textId="1BC4B7FF" w:rsidR="002F7FD2" w:rsidRDefault="002B43DC">
            <w:pPr>
              <w:pStyle w:val="BodyText2"/>
              <w:tabs>
                <w:tab w:val="decimal" w:pos="1404"/>
              </w:tabs>
              <w:spacing w:before="120"/>
              <w:jc w:val="left"/>
              <w:rPr>
                <w:rFonts w:cs="Arial"/>
                <w:color w:val="000000"/>
                <w:sz w:val="18"/>
                <w:szCs w:val="18"/>
              </w:rPr>
            </w:pPr>
            <w:r>
              <w:rPr>
                <w:rFonts w:cs="Arial"/>
                <w:color w:val="000000"/>
                <w:sz w:val="18"/>
                <w:szCs w:val="18"/>
              </w:rPr>
              <w:t>–</w:t>
            </w:r>
          </w:p>
        </w:tc>
      </w:tr>
      <w:tr w:rsidR="0039550C" w:rsidRPr="00E95624" w14:paraId="0C562B5E" w14:textId="77777777">
        <w:trPr>
          <w:trHeight w:val="50"/>
          <w:jc w:val="center"/>
        </w:trPr>
        <w:tc>
          <w:tcPr>
            <w:tcW w:w="5670" w:type="dxa"/>
            <w:tcBorders>
              <w:top w:val="single" w:sz="12" w:space="0" w:color="auto"/>
              <w:left w:val="nil"/>
              <w:right w:val="nil"/>
            </w:tcBorders>
            <w:vAlign w:val="bottom"/>
          </w:tcPr>
          <w:p w14:paraId="339C1D78" w14:textId="77777777" w:rsidR="0039550C" w:rsidRPr="00E95624" w:rsidRDefault="0039550C">
            <w:pPr>
              <w:pStyle w:val="BodyText2"/>
              <w:jc w:val="left"/>
              <w:rPr>
                <w:rFonts w:cs="Arial"/>
                <w:color w:val="000000"/>
                <w:sz w:val="4"/>
                <w:szCs w:val="4"/>
              </w:rPr>
            </w:pPr>
          </w:p>
        </w:tc>
        <w:tc>
          <w:tcPr>
            <w:tcW w:w="354" w:type="dxa"/>
            <w:tcBorders>
              <w:top w:val="single" w:sz="12" w:space="0" w:color="auto"/>
              <w:left w:val="nil"/>
              <w:right w:val="nil"/>
            </w:tcBorders>
            <w:vAlign w:val="bottom"/>
          </w:tcPr>
          <w:p w14:paraId="0723469C" w14:textId="77777777" w:rsidR="0039550C" w:rsidRPr="00E95624" w:rsidRDefault="0039550C">
            <w:pPr>
              <w:pStyle w:val="BodyText2"/>
              <w:tabs>
                <w:tab w:val="decimal" w:pos="1309"/>
              </w:tabs>
              <w:jc w:val="left"/>
              <w:rPr>
                <w:rFonts w:cs="Arial"/>
                <w:color w:val="000000"/>
                <w:sz w:val="4"/>
                <w:szCs w:val="4"/>
              </w:rPr>
            </w:pPr>
          </w:p>
        </w:tc>
        <w:tc>
          <w:tcPr>
            <w:tcW w:w="1735" w:type="dxa"/>
            <w:tcBorders>
              <w:top w:val="single" w:sz="12" w:space="0" w:color="auto"/>
              <w:left w:val="nil"/>
              <w:right w:val="nil"/>
            </w:tcBorders>
            <w:vAlign w:val="bottom"/>
          </w:tcPr>
          <w:p w14:paraId="6F58831E" w14:textId="77777777" w:rsidR="0039550C" w:rsidRPr="00E95624" w:rsidRDefault="0039550C">
            <w:pPr>
              <w:pStyle w:val="BodyText2"/>
              <w:tabs>
                <w:tab w:val="decimal" w:pos="1309"/>
              </w:tabs>
              <w:jc w:val="left"/>
              <w:rPr>
                <w:rFonts w:cs="Arial"/>
                <w:color w:val="000000"/>
                <w:sz w:val="4"/>
                <w:szCs w:val="4"/>
              </w:rPr>
            </w:pPr>
          </w:p>
        </w:tc>
        <w:tc>
          <w:tcPr>
            <w:tcW w:w="1736" w:type="dxa"/>
            <w:tcBorders>
              <w:top w:val="single" w:sz="12" w:space="0" w:color="auto"/>
              <w:left w:val="nil"/>
              <w:right w:val="nil"/>
            </w:tcBorders>
            <w:vAlign w:val="bottom"/>
          </w:tcPr>
          <w:p w14:paraId="31AB1BCC" w14:textId="77777777" w:rsidR="0039550C" w:rsidRPr="00E95624" w:rsidRDefault="0039550C">
            <w:pPr>
              <w:pStyle w:val="BodyText2"/>
              <w:tabs>
                <w:tab w:val="decimal" w:pos="1404"/>
              </w:tabs>
              <w:jc w:val="left"/>
              <w:rPr>
                <w:rFonts w:cs="Arial"/>
                <w:color w:val="000000"/>
                <w:sz w:val="4"/>
                <w:szCs w:val="4"/>
              </w:rPr>
            </w:pPr>
          </w:p>
        </w:tc>
      </w:tr>
    </w:tbl>
    <w:p w14:paraId="1A26895F" w14:textId="77777777" w:rsidR="0009160F" w:rsidRDefault="0009160F" w:rsidP="00E131CA">
      <w:pPr>
        <w:rPr>
          <w:rFonts w:cs="Arial"/>
          <w:b/>
          <w:bCs/>
          <w:caps/>
          <w:color w:val="000000"/>
          <w:sz w:val="24"/>
          <w:szCs w:val="24"/>
        </w:rPr>
      </w:pPr>
    </w:p>
    <w:p w14:paraId="1E9EDA29" w14:textId="056C8341" w:rsidR="00F4316F" w:rsidRPr="004D0C14" w:rsidRDefault="00F4316F" w:rsidP="00E131CA">
      <w:pPr>
        <w:rPr>
          <w:rFonts w:cs="Arial"/>
          <w:b/>
          <w:bCs/>
          <w:caps/>
          <w:color w:val="000000"/>
          <w:sz w:val="24"/>
          <w:szCs w:val="24"/>
        </w:rPr>
      </w:pPr>
      <w:r>
        <w:rPr>
          <w:rFonts w:cs="Arial"/>
          <w:b/>
          <w:bCs/>
          <w:caps/>
          <w:color w:val="000000"/>
          <w:sz w:val="24"/>
          <w:szCs w:val="24"/>
        </w:rPr>
        <w:t xml:space="preserve">commitments </w:t>
      </w:r>
    </w:p>
    <w:p w14:paraId="26C4194B" w14:textId="5FF00B44" w:rsidR="008774DB" w:rsidRPr="00C74AFA" w:rsidRDefault="008774DB" w:rsidP="008774DB">
      <w:pPr>
        <w:widowControl w:val="0"/>
        <w:autoSpaceDE w:val="0"/>
        <w:autoSpaceDN w:val="0"/>
        <w:spacing w:before="120" w:line="220" w:lineRule="atLeast"/>
        <w:rPr>
          <w:rFonts w:cs="Arial"/>
          <w:u w:val="single"/>
        </w:rPr>
      </w:pPr>
      <w:r w:rsidRPr="00C74AFA">
        <w:rPr>
          <w:rFonts w:cs="Arial"/>
          <w:u w:val="single"/>
        </w:rPr>
        <w:t>TDF</w:t>
      </w:r>
      <w:r w:rsidRPr="00C74AFA">
        <w:rPr>
          <w:rFonts w:cs="Arial"/>
          <w:spacing w:val="-6"/>
          <w:u w:val="single"/>
        </w:rPr>
        <w:t xml:space="preserve"> </w:t>
      </w:r>
      <w:r w:rsidRPr="00C74AFA">
        <w:rPr>
          <w:rFonts w:cs="Arial"/>
          <w:u w:val="single"/>
        </w:rPr>
        <w:t>Concessions</w:t>
      </w:r>
    </w:p>
    <w:p w14:paraId="4C0B28DD" w14:textId="70F41A00" w:rsidR="008774DB" w:rsidRDefault="008774DB" w:rsidP="008774DB">
      <w:pPr>
        <w:pStyle w:val="BodyText"/>
        <w:spacing w:before="120" w:line="220" w:lineRule="atLeast"/>
        <w:ind w:right="190"/>
        <w:rPr>
          <w:rFonts w:cs="Arial"/>
          <w:sz w:val="20"/>
          <w:szCs w:val="20"/>
        </w:rPr>
      </w:pPr>
      <w:r w:rsidRPr="007242D6">
        <w:rPr>
          <w:rFonts w:cs="Arial"/>
          <w:sz w:val="20"/>
          <w:szCs w:val="20"/>
        </w:rPr>
        <w:t xml:space="preserve">As </w:t>
      </w:r>
      <w:proofErr w:type="gramStart"/>
      <w:r w:rsidRPr="007242D6">
        <w:rPr>
          <w:rFonts w:cs="Arial"/>
          <w:sz w:val="20"/>
          <w:szCs w:val="20"/>
        </w:rPr>
        <w:t>at</w:t>
      </w:r>
      <w:proofErr w:type="gramEnd"/>
      <w:r w:rsidRPr="007242D6">
        <w:rPr>
          <w:rFonts w:cs="Arial"/>
          <w:sz w:val="20"/>
          <w:szCs w:val="20"/>
        </w:rPr>
        <w:t xml:space="preserve"> </w:t>
      </w:r>
      <w:r w:rsidR="00E91EF5" w:rsidRPr="007242D6">
        <w:rPr>
          <w:rFonts w:cs="Arial"/>
          <w:sz w:val="20"/>
          <w:szCs w:val="20"/>
        </w:rPr>
        <w:t>June 30</w:t>
      </w:r>
      <w:r w:rsidRPr="007242D6">
        <w:rPr>
          <w:rFonts w:cs="Arial"/>
          <w:sz w:val="20"/>
          <w:szCs w:val="20"/>
        </w:rPr>
        <w:t>, 2026, the Company’s share of expenditure commitments with respect to the Rio Cullen</w:t>
      </w:r>
      <w:r w:rsidRPr="007242D6">
        <w:rPr>
          <w:rFonts w:cs="Arial"/>
          <w:spacing w:val="1"/>
          <w:sz w:val="20"/>
          <w:szCs w:val="20"/>
        </w:rPr>
        <w:t xml:space="preserve"> </w:t>
      </w:r>
      <w:r w:rsidRPr="007242D6">
        <w:rPr>
          <w:rFonts w:cs="Arial"/>
          <w:sz w:val="20"/>
          <w:szCs w:val="20"/>
        </w:rPr>
        <w:t>exploitation</w:t>
      </w:r>
      <w:r w:rsidRPr="007242D6">
        <w:rPr>
          <w:rFonts w:cs="Arial"/>
          <w:spacing w:val="-2"/>
          <w:sz w:val="20"/>
          <w:szCs w:val="20"/>
        </w:rPr>
        <w:t xml:space="preserve"> </w:t>
      </w:r>
      <w:r w:rsidRPr="007242D6">
        <w:rPr>
          <w:rFonts w:cs="Arial"/>
          <w:sz w:val="20"/>
          <w:szCs w:val="20"/>
        </w:rPr>
        <w:t>concession</w:t>
      </w:r>
      <w:r w:rsidRPr="007242D6">
        <w:rPr>
          <w:rFonts w:cs="Arial"/>
          <w:spacing w:val="-2"/>
          <w:sz w:val="20"/>
          <w:szCs w:val="20"/>
        </w:rPr>
        <w:t xml:space="preserve"> </w:t>
      </w:r>
      <w:r w:rsidRPr="007242D6">
        <w:rPr>
          <w:rFonts w:cs="Arial"/>
          <w:sz w:val="20"/>
          <w:szCs w:val="20"/>
        </w:rPr>
        <w:t>in</w:t>
      </w:r>
      <w:r w:rsidRPr="007242D6">
        <w:rPr>
          <w:rFonts w:cs="Arial"/>
          <w:spacing w:val="4"/>
          <w:sz w:val="20"/>
          <w:szCs w:val="20"/>
        </w:rPr>
        <w:t xml:space="preserve"> </w:t>
      </w:r>
      <w:r w:rsidRPr="007242D6">
        <w:rPr>
          <w:rFonts w:cs="Arial"/>
          <w:sz w:val="20"/>
          <w:szCs w:val="20"/>
        </w:rPr>
        <w:t>TDF is $0.86 million</w:t>
      </w:r>
      <w:r w:rsidRPr="008774DB">
        <w:rPr>
          <w:rFonts w:cs="Arial"/>
          <w:sz w:val="20"/>
          <w:szCs w:val="20"/>
        </w:rPr>
        <w:t xml:space="preserve">. </w:t>
      </w:r>
      <w:r w:rsidRPr="005D0893">
        <w:rPr>
          <w:rFonts w:cs="Arial"/>
          <w:sz w:val="20"/>
          <w:szCs w:val="20"/>
        </w:rPr>
        <w:t>The UTE RCLV expects to offset the outstanding commitment in the Rio Cullen exploitation concession with infrastructure investments made in other parts of the TDF Concessions.</w:t>
      </w:r>
      <w:r w:rsidR="00BA56F0">
        <w:rPr>
          <w:rFonts w:cs="Arial"/>
          <w:sz w:val="20"/>
          <w:szCs w:val="20"/>
        </w:rPr>
        <w:t xml:space="preserve"> </w:t>
      </w:r>
    </w:p>
    <w:p w14:paraId="293D58A8" w14:textId="5D4F6F7A" w:rsidR="0009160F" w:rsidRPr="00847D1B" w:rsidRDefault="005D0893" w:rsidP="00847D1B">
      <w:pPr>
        <w:pStyle w:val="BodyText"/>
        <w:spacing w:before="120" w:line="220" w:lineRule="atLeast"/>
        <w:ind w:right="190"/>
        <w:rPr>
          <w:rFonts w:cs="Arial"/>
          <w:sz w:val="20"/>
          <w:szCs w:val="20"/>
        </w:rPr>
      </w:pPr>
      <w:r w:rsidRPr="00847D1B">
        <w:rPr>
          <w:rFonts w:cs="Arial"/>
          <w:sz w:val="20"/>
          <w:szCs w:val="20"/>
        </w:rPr>
        <w:lastRenderedPageBreak/>
        <w:t xml:space="preserve">Las Violetas and Rio Cullen Concessions expire on August 17, </w:t>
      </w:r>
      <w:proofErr w:type="gramStart"/>
      <w:r w:rsidRPr="00847D1B">
        <w:rPr>
          <w:rFonts w:cs="Arial"/>
          <w:sz w:val="20"/>
          <w:szCs w:val="20"/>
        </w:rPr>
        <w:t>2026</w:t>
      </w:r>
      <w:proofErr w:type="gramEnd"/>
      <w:r w:rsidRPr="00847D1B">
        <w:rPr>
          <w:rFonts w:cs="Arial"/>
          <w:sz w:val="20"/>
          <w:szCs w:val="20"/>
        </w:rPr>
        <w:t xml:space="preserve"> and </w:t>
      </w:r>
      <w:r w:rsidR="00CD48E0" w:rsidRPr="00847D1B">
        <w:rPr>
          <w:rFonts w:cs="Arial"/>
          <w:sz w:val="20"/>
          <w:szCs w:val="20"/>
        </w:rPr>
        <w:t xml:space="preserve">the </w:t>
      </w:r>
      <w:r w:rsidRPr="00847D1B">
        <w:rPr>
          <w:rFonts w:cs="Arial"/>
          <w:sz w:val="20"/>
          <w:szCs w:val="20"/>
        </w:rPr>
        <w:t xml:space="preserve">Angostura </w:t>
      </w:r>
      <w:r w:rsidR="00CD48E0" w:rsidRPr="00847D1B">
        <w:rPr>
          <w:rFonts w:cs="Arial"/>
          <w:sz w:val="20"/>
          <w:szCs w:val="20"/>
        </w:rPr>
        <w:t>c</w:t>
      </w:r>
      <w:r w:rsidRPr="00847D1B">
        <w:rPr>
          <w:rFonts w:cs="Arial"/>
          <w:sz w:val="20"/>
          <w:szCs w:val="20"/>
        </w:rPr>
        <w:t>oncession expire</w:t>
      </w:r>
      <w:r w:rsidR="00CD48E0" w:rsidRPr="00847D1B">
        <w:rPr>
          <w:rFonts w:cs="Arial"/>
          <w:sz w:val="20"/>
          <w:szCs w:val="20"/>
        </w:rPr>
        <w:t>s</w:t>
      </w:r>
      <w:r w:rsidRPr="00847D1B">
        <w:rPr>
          <w:rFonts w:cs="Arial"/>
          <w:sz w:val="20"/>
          <w:szCs w:val="20"/>
        </w:rPr>
        <w:t xml:space="preserve"> on August 16, 2026. The Company is currently negotiating with the Province of Tierra del Fuego to determine the terms of the </w:t>
      </w:r>
      <w:r w:rsidR="00CD48E0" w:rsidRPr="00847D1B">
        <w:rPr>
          <w:rFonts w:cs="Arial"/>
          <w:sz w:val="20"/>
          <w:szCs w:val="20"/>
        </w:rPr>
        <w:t xml:space="preserve">concession </w:t>
      </w:r>
      <w:r w:rsidRPr="00847D1B">
        <w:rPr>
          <w:rFonts w:cs="Arial"/>
          <w:sz w:val="20"/>
          <w:szCs w:val="20"/>
        </w:rPr>
        <w:t>extension</w:t>
      </w:r>
      <w:r w:rsidR="00CD48E0" w:rsidRPr="00847D1B">
        <w:rPr>
          <w:rFonts w:cs="Arial"/>
          <w:sz w:val="20"/>
          <w:szCs w:val="20"/>
        </w:rPr>
        <w:t>s</w:t>
      </w:r>
      <w:r w:rsidR="0009160F" w:rsidRPr="00847D1B">
        <w:rPr>
          <w:rFonts w:cs="Arial"/>
          <w:sz w:val="20"/>
          <w:szCs w:val="20"/>
        </w:rPr>
        <w:t>.</w:t>
      </w:r>
    </w:p>
    <w:p w14:paraId="632B7F39" w14:textId="5370CB8A" w:rsidR="008774DB" w:rsidRPr="00C74AFA" w:rsidRDefault="008774DB" w:rsidP="008774DB">
      <w:pPr>
        <w:widowControl w:val="0"/>
        <w:autoSpaceDE w:val="0"/>
        <w:autoSpaceDN w:val="0"/>
        <w:spacing w:before="120" w:line="220" w:lineRule="atLeast"/>
        <w:rPr>
          <w:rFonts w:cs="Arial"/>
          <w:u w:val="single"/>
        </w:rPr>
      </w:pPr>
      <w:r w:rsidRPr="00C74AFA">
        <w:rPr>
          <w:rFonts w:cs="Arial"/>
          <w:u w:val="single"/>
        </w:rPr>
        <w:t>Mendoza Concessions</w:t>
      </w:r>
    </w:p>
    <w:p w14:paraId="16BC9EDA" w14:textId="725CB542" w:rsidR="008774DB" w:rsidRPr="00303A59" w:rsidRDefault="008774DB" w:rsidP="008774DB">
      <w:pPr>
        <w:pStyle w:val="BodyText"/>
        <w:spacing w:before="120" w:line="220" w:lineRule="atLeast"/>
        <w:ind w:right="183"/>
        <w:rPr>
          <w:rFonts w:cs="Arial"/>
          <w:sz w:val="20"/>
          <w:szCs w:val="20"/>
        </w:rPr>
      </w:pPr>
      <w:r w:rsidRPr="007242D6">
        <w:rPr>
          <w:rFonts w:cs="Arial"/>
          <w:sz w:val="20"/>
          <w:szCs w:val="20"/>
        </w:rPr>
        <w:t>As</w:t>
      </w:r>
      <w:r w:rsidRPr="007242D6">
        <w:rPr>
          <w:rFonts w:cs="Arial"/>
          <w:spacing w:val="-4"/>
          <w:sz w:val="20"/>
          <w:szCs w:val="20"/>
        </w:rPr>
        <w:t xml:space="preserve"> </w:t>
      </w:r>
      <w:proofErr w:type="gramStart"/>
      <w:r w:rsidRPr="007242D6">
        <w:rPr>
          <w:rFonts w:cs="Arial"/>
          <w:sz w:val="20"/>
          <w:szCs w:val="20"/>
        </w:rPr>
        <w:t>at</w:t>
      </w:r>
      <w:proofErr w:type="gramEnd"/>
      <w:r w:rsidRPr="007242D6">
        <w:rPr>
          <w:rFonts w:cs="Arial"/>
          <w:spacing w:val="-4"/>
          <w:sz w:val="20"/>
          <w:szCs w:val="20"/>
        </w:rPr>
        <w:t xml:space="preserve"> </w:t>
      </w:r>
      <w:r w:rsidR="00E91EF5" w:rsidRPr="007242D6">
        <w:rPr>
          <w:rFonts w:cs="Arial"/>
          <w:sz w:val="20"/>
          <w:szCs w:val="20"/>
        </w:rPr>
        <w:t>June 30</w:t>
      </w:r>
      <w:r w:rsidRPr="007242D6">
        <w:rPr>
          <w:rFonts w:cs="Arial"/>
          <w:sz w:val="20"/>
          <w:szCs w:val="20"/>
        </w:rPr>
        <w:t>,</w:t>
      </w:r>
      <w:r w:rsidRPr="007242D6">
        <w:rPr>
          <w:rFonts w:cs="Arial"/>
          <w:spacing w:val="-3"/>
          <w:sz w:val="20"/>
          <w:szCs w:val="20"/>
        </w:rPr>
        <w:t xml:space="preserve"> </w:t>
      </w:r>
      <w:r w:rsidRPr="007242D6">
        <w:rPr>
          <w:rFonts w:cs="Arial"/>
          <w:sz w:val="20"/>
          <w:szCs w:val="20"/>
        </w:rPr>
        <w:t>2026,</w:t>
      </w:r>
      <w:r w:rsidRPr="007242D6">
        <w:rPr>
          <w:rFonts w:cs="Arial"/>
          <w:spacing w:val="-5"/>
          <w:sz w:val="20"/>
          <w:szCs w:val="20"/>
        </w:rPr>
        <w:t xml:space="preserve"> </w:t>
      </w:r>
      <w:r w:rsidRPr="007242D6">
        <w:rPr>
          <w:rFonts w:cs="Arial"/>
          <w:sz w:val="20"/>
          <w:szCs w:val="20"/>
        </w:rPr>
        <w:t>the</w:t>
      </w:r>
      <w:r w:rsidRPr="007242D6">
        <w:rPr>
          <w:rFonts w:cs="Arial"/>
          <w:spacing w:val="-5"/>
          <w:sz w:val="20"/>
          <w:szCs w:val="20"/>
        </w:rPr>
        <w:t xml:space="preserve"> </w:t>
      </w:r>
      <w:r w:rsidRPr="007242D6">
        <w:rPr>
          <w:rFonts w:cs="Arial"/>
          <w:sz w:val="20"/>
          <w:szCs w:val="20"/>
        </w:rPr>
        <w:t>Company’s</w:t>
      </w:r>
      <w:r w:rsidRPr="007242D6">
        <w:rPr>
          <w:rFonts w:cs="Arial"/>
          <w:spacing w:val="-2"/>
          <w:sz w:val="20"/>
          <w:szCs w:val="20"/>
        </w:rPr>
        <w:t xml:space="preserve"> </w:t>
      </w:r>
      <w:r w:rsidRPr="007242D6">
        <w:rPr>
          <w:rFonts w:cs="Arial"/>
          <w:sz w:val="20"/>
          <w:szCs w:val="20"/>
        </w:rPr>
        <w:t>share</w:t>
      </w:r>
      <w:r w:rsidRPr="007242D6">
        <w:rPr>
          <w:rFonts w:cs="Arial"/>
          <w:spacing w:val="-4"/>
          <w:sz w:val="20"/>
          <w:szCs w:val="20"/>
        </w:rPr>
        <w:t xml:space="preserve"> </w:t>
      </w:r>
      <w:r w:rsidRPr="007242D6">
        <w:rPr>
          <w:rFonts w:cs="Arial"/>
          <w:sz w:val="20"/>
          <w:szCs w:val="20"/>
        </w:rPr>
        <w:t>of</w:t>
      </w:r>
      <w:r w:rsidRPr="007242D6">
        <w:rPr>
          <w:rFonts w:cs="Arial"/>
          <w:spacing w:val="-4"/>
          <w:sz w:val="20"/>
          <w:szCs w:val="20"/>
        </w:rPr>
        <w:t xml:space="preserve"> </w:t>
      </w:r>
      <w:r w:rsidRPr="007242D6">
        <w:rPr>
          <w:rFonts w:cs="Arial"/>
          <w:sz w:val="20"/>
          <w:szCs w:val="20"/>
        </w:rPr>
        <w:t>expenditure</w:t>
      </w:r>
      <w:r w:rsidRPr="007242D6">
        <w:rPr>
          <w:rFonts w:cs="Arial"/>
          <w:spacing w:val="1"/>
          <w:sz w:val="20"/>
          <w:szCs w:val="20"/>
        </w:rPr>
        <w:t xml:space="preserve"> </w:t>
      </w:r>
      <w:r w:rsidRPr="007242D6">
        <w:rPr>
          <w:rFonts w:cs="Arial"/>
          <w:sz w:val="20"/>
          <w:szCs w:val="20"/>
        </w:rPr>
        <w:t>commitments</w:t>
      </w:r>
      <w:r w:rsidRPr="007242D6">
        <w:rPr>
          <w:rFonts w:cs="Arial"/>
          <w:spacing w:val="-4"/>
          <w:sz w:val="20"/>
          <w:szCs w:val="20"/>
        </w:rPr>
        <w:t xml:space="preserve"> </w:t>
      </w:r>
      <w:r w:rsidRPr="007242D6">
        <w:rPr>
          <w:rFonts w:cs="Arial"/>
          <w:sz w:val="20"/>
          <w:szCs w:val="20"/>
        </w:rPr>
        <w:t>with</w:t>
      </w:r>
      <w:r w:rsidRPr="007242D6">
        <w:rPr>
          <w:rFonts w:cs="Arial"/>
          <w:spacing w:val="-3"/>
          <w:sz w:val="20"/>
          <w:szCs w:val="20"/>
        </w:rPr>
        <w:t xml:space="preserve"> </w:t>
      </w:r>
      <w:r w:rsidRPr="007242D6">
        <w:rPr>
          <w:rFonts w:cs="Arial"/>
          <w:sz w:val="20"/>
          <w:szCs w:val="20"/>
        </w:rPr>
        <w:t>respect</w:t>
      </w:r>
      <w:r w:rsidRPr="007242D6">
        <w:rPr>
          <w:rFonts w:cs="Arial"/>
          <w:spacing w:val="-5"/>
          <w:sz w:val="20"/>
          <w:szCs w:val="20"/>
        </w:rPr>
        <w:t xml:space="preserve"> </w:t>
      </w:r>
      <w:r w:rsidRPr="007242D6">
        <w:rPr>
          <w:rFonts w:cs="Arial"/>
          <w:sz w:val="20"/>
          <w:szCs w:val="20"/>
        </w:rPr>
        <w:t>to</w:t>
      </w:r>
      <w:r w:rsidRPr="007242D6">
        <w:rPr>
          <w:rFonts w:cs="Arial"/>
          <w:spacing w:val="-3"/>
          <w:sz w:val="20"/>
          <w:szCs w:val="20"/>
        </w:rPr>
        <w:t xml:space="preserve"> </w:t>
      </w:r>
      <w:r w:rsidRPr="007242D6">
        <w:rPr>
          <w:rFonts w:cs="Arial"/>
          <w:sz w:val="20"/>
          <w:szCs w:val="20"/>
        </w:rPr>
        <w:t>the</w:t>
      </w:r>
      <w:r w:rsidRPr="007242D6">
        <w:rPr>
          <w:rFonts w:cs="Arial"/>
          <w:spacing w:val="-2"/>
          <w:sz w:val="20"/>
          <w:szCs w:val="20"/>
        </w:rPr>
        <w:t xml:space="preserve"> </w:t>
      </w:r>
      <w:r w:rsidRPr="007242D6">
        <w:rPr>
          <w:rFonts w:cs="Arial"/>
          <w:sz w:val="20"/>
          <w:szCs w:val="20"/>
        </w:rPr>
        <w:t>CH</w:t>
      </w:r>
      <w:r w:rsidRPr="007242D6">
        <w:rPr>
          <w:rFonts w:cs="Arial"/>
          <w:spacing w:val="-5"/>
          <w:sz w:val="20"/>
          <w:szCs w:val="20"/>
        </w:rPr>
        <w:t xml:space="preserve"> </w:t>
      </w:r>
      <w:r w:rsidRPr="007242D6">
        <w:rPr>
          <w:rFonts w:cs="Arial"/>
          <w:sz w:val="20"/>
          <w:szCs w:val="20"/>
        </w:rPr>
        <w:t>Concession is $28.4 million, consisting of a work program for well workovers, infrastructure optimization and a multi-well</w:t>
      </w:r>
      <w:r w:rsidRPr="007242D6">
        <w:rPr>
          <w:rFonts w:cs="Arial"/>
          <w:spacing w:val="1"/>
          <w:sz w:val="20"/>
          <w:szCs w:val="20"/>
        </w:rPr>
        <w:t xml:space="preserve"> </w:t>
      </w:r>
      <w:r w:rsidRPr="007242D6">
        <w:rPr>
          <w:rFonts w:cs="Arial"/>
          <w:sz w:val="20"/>
          <w:szCs w:val="20"/>
        </w:rPr>
        <w:t>drilling</w:t>
      </w:r>
      <w:r w:rsidRPr="007242D6">
        <w:rPr>
          <w:rFonts w:cs="Arial"/>
          <w:spacing w:val="-2"/>
          <w:sz w:val="20"/>
          <w:szCs w:val="20"/>
        </w:rPr>
        <w:t xml:space="preserve"> </w:t>
      </w:r>
      <w:r w:rsidRPr="007242D6">
        <w:rPr>
          <w:rFonts w:cs="Arial"/>
          <w:sz w:val="20"/>
          <w:szCs w:val="20"/>
        </w:rPr>
        <w:t>program</w:t>
      </w:r>
      <w:r w:rsidRPr="007242D6">
        <w:rPr>
          <w:rFonts w:cs="Arial"/>
          <w:spacing w:val="2"/>
          <w:sz w:val="20"/>
          <w:szCs w:val="20"/>
        </w:rPr>
        <w:t xml:space="preserve"> </w:t>
      </w:r>
      <w:r w:rsidRPr="007242D6">
        <w:rPr>
          <w:rFonts w:cs="Arial"/>
          <w:sz w:val="20"/>
          <w:szCs w:val="20"/>
        </w:rPr>
        <w:t>to</w:t>
      </w:r>
      <w:r w:rsidRPr="007242D6">
        <w:rPr>
          <w:rFonts w:cs="Arial"/>
          <w:spacing w:val="1"/>
          <w:sz w:val="20"/>
          <w:szCs w:val="20"/>
        </w:rPr>
        <w:t xml:space="preserve"> </w:t>
      </w:r>
      <w:r w:rsidRPr="007242D6">
        <w:rPr>
          <w:rFonts w:cs="Arial"/>
          <w:sz w:val="20"/>
          <w:szCs w:val="20"/>
        </w:rPr>
        <w:t>be</w:t>
      </w:r>
      <w:r w:rsidRPr="007242D6">
        <w:rPr>
          <w:rFonts w:cs="Arial"/>
          <w:spacing w:val="-1"/>
          <w:sz w:val="20"/>
          <w:szCs w:val="20"/>
        </w:rPr>
        <w:t xml:space="preserve"> </w:t>
      </w:r>
      <w:r w:rsidRPr="007242D6">
        <w:rPr>
          <w:rFonts w:cs="Arial"/>
          <w:sz w:val="20"/>
          <w:szCs w:val="20"/>
        </w:rPr>
        <w:t>fulfilled</w:t>
      </w:r>
      <w:r w:rsidRPr="007242D6">
        <w:rPr>
          <w:rFonts w:cs="Arial"/>
          <w:spacing w:val="-1"/>
          <w:sz w:val="20"/>
          <w:szCs w:val="20"/>
        </w:rPr>
        <w:t xml:space="preserve"> </w:t>
      </w:r>
      <w:r w:rsidRPr="007242D6">
        <w:rPr>
          <w:rFonts w:cs="Arial"/>
          <w:sz w:val="20"/>
          <w:szCs w:val="20"/>
        </w:rPr>
        <w:t>by</w:t>
      </w:r>
      <w:r w:rsidRPr="007242D6">
        <w:rPr>
          <w:rFonts w:cs="Arial"/>
          <w:spacing w:val="2"/>
          <w:sz w:val="20"/>
          <w:szCs w:val="20"/>
        </w:rPr>
        <w:t xml:space="preserve"> </w:t>
      </w:r>
      <w:r w:rsidRPr="007242D6">
        <w:rPr>
          <w:rFonts w:cs="Arial"/>
          <w:sz w:val="20"/>
          <w:szCs w:val="20"/>
        </w:rPr>
        <w:t>March</w:t>
      </w:r>
      <w:r w:rsidRPr="007242D6">
        <w:rPr>
          <w:rFonts w:cs="Arial"/>
          <w:spacing w:val="1"/>
          <w:sz w:val="20"/>
          <w:szCs w:val="20"/>
        </w:rPr>
        <w:t xml:space="preserve"> </w:t>
      </w:r>
      <w:r w:rsidRPr="007242D6">
        <w:rPr>
          <w:rFonts w:cs="Arial"/>
          <w:sz w:val="20"/>
          <w:szCs w:val="20"/>
        </w:rPr>
        <w:t>2031.</w:t>
      </w:r>
    </w:p>
    <w:p w14:paraId="5D26CF4F" w14:textId="1DEA1B6E" w:rsidR="008774DB" w:rsidRDefault="008774DB" w:rsidP="008774DB">
      <w:pPr>
        <w:pStyle w:val="BodyText"/>
        <w:spacing w:before="120" w:line="220" w:lineRule="atLeast"/>
        <w:ind w:right="190"/>
        <w:rPr>
          <w:rFonts w:cs="Arial"/>
          <w:sz w:val="20"/>
          <w:szCs w:val="20"/>
        </w:rPr>
      </w:pPr>
      <w:r w:rsidRPr="007242D6">
        <w:rPr>
          <w:rFonts w:cs="Arial"/>
          <w:sz w:val="20"/>
          <w:szCs w:val="20"/>
        </w:rPr>
        <w:t xml:space="preserve">As </w:t>
      </w:r>
      <w:proofErr w:type="gramStart"/>
      <w:r w:rsidRPr="007242D6">
        <w:rPr>
          <w:rFonts w:cs="Arial"/>
          <w:sz w:val="20"/>
          <w:szCs w:val="20"/>
        </w:rPr>
        <w:t>at</w:t>
      </w:r>
      <w:proofErr w:type="gramEnd"/>
      <w:r w:rsidRPr="007242D6">
        <w:rPr>
          <w:rFonts w:cs="Arial"/>
          <w:spacing w:val="1"/>
          <w:sz w:val="20"/>
          <w:szCs w:val="20"/>
        </w:rPr>
        <w:t xml:space="preserve"> </w:t>
      </w:r>
      <w:r w:rsidR="00E91EF5" w:rsidRPr="007242D6">
        <w:rPr>
          <w:rFonts w:cs="Arial"/>
          <w:sz w:val="20"/>
          <w:szCs w:val="20"/>
        </w:rPr>
        <w:t>June 30</w:t>
      </w:r>
      <w:r w:rsidRPr="007242D6">
        <w:rPr>
          <w:rFonts w:cs="Arial"/>
          <w:sz w:val="20"/>
          <w:szCs w:val="20"/>
        </w:rPr>
        <w:t>,</w:t>
      </w:r>
      <w:r w:rsidRPr="007242D6">
        <w:rPr>
          <w:rFonts w:cs="Arial"/>
          <w:spacing w:val="-3"/>
          <w:sz w:val="20"/>
          <w:szCs w:val="20"/>
        </w:rPr>
        <w:t xml:space="preserve"> </w:t>
      </w:r>
      <w:r w:rsidRPr="007242D6">
        <w:rPr>
          <w:rFonts w:cs="Arial"/>
          <w:sz w:val="20"/>
          <w:szCs w:val="20"/>
        </w:rPr>
        <w:t>2026, the Company’s share</w:t>
      </w:r>
      <w:r w:rsidRPr="007242D6">
        <w:rPr>
          <w:rFonts w:cs="Arial"/>
          <w:spacing w:val="1"/>
          <w:sz w:val="20"/>
          <w:szCs w:val="20"/>
        </w:rPr>
        <w:t xml:space="preserve"> </w:t>
      </w:r>
      <w:r w:rsidRPr="007242D6">
        <w:rPr>
          <w:rFonts w:cs="Arial"/>
          <w:sz w:val="20"/>
          <w:szCs w:val="20"/>
        </w:rPr>
        <w:t>of expenditure commitments with respect to the PPCO</w:t>
      </w:r>
      <w:r w:rsidRPr="007242D6">
        <w:rPr>
          <w:rFonts w:cs="Arial"/>
          <w:spacing w:val="1"/>
          <w:sz w:val="20"/>
          <w:szCs w:val="20"/>
        </w:rPr>
        <w:t xml:space="preserve"> </w:t>
      </w:r>
      <w:r w:rsidRPr="007242D6">
        <w:rPr>
          <w:rFonts w:cs="Arial"/>
          <w:sz w:val="20"/>
          <w:szCs w:val="20"/>
        </w:rPr>
        <w:t>Concession is $11.4 million, consisting of a work program for well workovers, infrastructure optimization and a</w:t>
      </w:r>
      <w:r w:rsidRPr="007242D6">
        <w:rPr>
          <w:rFonts w:cs="Arial"/>
          <w:spacing w:val="1"/>
          <w:sz w:val="20"/>
          <w:szCs w:val="20"/>
        </w:rPr>
        <w:t xml:space="preserve"> </w:t>
      </w:r>
      <w:r w:rsidRPr="007242D6">
        <w:rPr>
          <w:rFonts w:cs="Arial"/>
          <w:sz w:val="20"/>
          <w:szCs w:val="20"/>
        </w:rPr>
        <w:t>multi-well</w:t>
      </w:r>
      <w:r w:rsidRPr="007242D6">
        <w:rPr>
          <w:rFonts w:cs="Arial"/>
          <w:spacing w:val="-1"/>
          <w:sz w:val="20"/>
          <w:szCs w:val="20"/>
        </w:rPr>
        <w:t xml:space="preserve"> </w:t>
      </w:r>
      <w:r w:rsidRPr="007242D6">
        <w:rPr>
          <w:rFonts w:cs="Arial"/>
          <w:sz w:val="20"/>
          <w:szCs w:val="20"/>
        </w:rPr>
        <w:t>drilling</w:t>
      </w:r>
      <w:r w:rsidRPr="007242D6">
        <w:rPr>
          <w:rFonts w:cs="Arial"/>
          <w:spacing w:val="1"/>
          <w:sz w:val="20"/>
          <w:szCs w:val="20"/>
        </w:rPr>
        <w:t xml:space="preserve"> </w:t>
      </w:r>
      <w:r w:rsidRPr="007242D6">
        <w:rPr>
          <w:rFonts w:cs="Arial"/>
          <w:sz w:val="20"/>
          <w:szCs w:val="20"/>
        </w:rPr>
        <w:t>program</w:t>
      </w:r>
      <w:r w:rsidRPr="007242D6">
        <w:rPr>
          <w:rFonts w:cs="Arial"/>
          <w:spacing w:val="-1"/>
          <w:sz w:val="20"/>
          <w:szCs w:val="20"/>
        </w:rPr>
        <w:t xml:space="preserve"> </w:t>
      </w:r>
      <w:r w:rsidRPr="007242D6">
        <w:rPr>
          <w:rFonts w:cs="Arial"/>
          <w:sz w:val="20"/>
          <w:szCs w:val="20"/>
        </w:rPr>
        <w:t>to</w:t>
      </w:r>
      <w:r w:rsidRPr="007242D6">
        <w:rPr>
          <w:rFonts w:cs="Arial"/>
          <w:spacing w:val="-1"/>
          <w:sz w:val="20"/>
          <w:szCs w:val="20"/>
        </w:rPr>
        <w:t xml:space="preserve"> </w:t>
      </w:r>
      <w:r w:rsidRPr="007242D6">
        <w:rPr>
          <w:rFonts w:cs="Arial"/>
          <w:sz w:val="20"/>
          <w:szCs w:val="20"/>
        </w:rPr>
        <w:t>be</w:t>
      </w:r>
      <w:r w:rsidRPr="007242D6">
        <w:rPr>
          <w:rFonts w:cs="Arial"/>
          <w:spacing w:val="1"/>
          <w:sz w:val="20"/>
          <w:szCs w:val="20"/>
        </w:rPr>
        <w:t xml:space="preserve"> </w:t>
      </w:r>
      <w:r w:rsidRPr="007242D6">
        <w:rPr>
          <w:rFonts w:cs="Arial"/>
          <w:sz w:val="20"/>
          <w:szCs w:val="20"/>
        </w:rPr>
        <w:t>fulfilled</w:t>
      </w:r>
      <w:r w:rsidRPr="007242D6">
        <w:rPr>
          <w:rFonts w:cs="Arial"/>
          <w:spacing w:val="-2"/>
          <w:sz w:val="20"/>
          <w:szCs w:val="20"/>
        </w:rPr>
        <w:t xml:space="preserve"> </w:t>
      </w:r>
      <w:r w:rsidRPr="007242D6">
        <w:rPr>
          <w:rFonts w:cs="Arial"/>
          <w:sz w:val="20"/>
          <w:szCs w:val="20"/>
        </w:rPr>
        <w:t>by</w:t>
      </w:r>
      <w:r w:rsidRPr="007242D6">
        <w:rPr>
          <w:rFonts w:cs="Arial"/>
          <w:spacing w:val="2"/>
          <w:sz w:val="20"/>
          <w:szCs w:val="20"/>
        </w:rPr>
        <w:t xml:space="preserve"> </w:t>
      </w:r>
      <w:r w:rsidRPr="007242D6">
        <w:rPr>
          <w:rFonts w:cs="Arial"/>
          <w:sz w:val="20"/>
          <w:szCs w:val="20"/>
        </w:rPr>
        <w:t>August</w:t>
      </w:r>
      <w:r w:rsidRPr="007242D6">
        <w:rPr>
          <w:rFonts w:cs="Arial"/>
          <w:spacing w:val="-1"/>
          <w:sz w:val="20"/>
          <w:szCs w:val="20"/>
        </w:rPr>
        <w:t xml:space="preserve"> </w:t>
      </w:r>
      <w:r w:rsidRPr="007242D6">
        <w:rPr>
          <w:rFonts w:cs="Arial"/>
          <w:sz w:val="20"/>
          <w:szCs w:val="20"/>
        </w:rPr>
        <w:t>2028.</w:t>
      </w:r>
    </w:p>
    <w:p w14:paraId="3F3E1CBB" w14:textId="23F67593" w:rsidR="00B110D8" w:rsidRPr="008774DB" w:rsidRDefault="00B110D8" w:rsidP="008774DB">
      <w:pPr>
        <w:pStyle w:val="BodyText"/>
        <w:spacing w:before="120" w:line="220" w:lineRule="atLeast"/>
        <w:ind w:right="190"/>
        <w:rPr>
          <w:rFonts w:cs="Arial"/>
          <w:sz w:val="20"/>
          <w:szCs w:val="20"/>
        </w:rPr>
      </w:pPr>
      <w:r>
        <w:rPr>
          <w:rFonts w:cs="Arial"/>
          <w:sz w:val="20"/>
          <w:szCs w:val="20"/>
        </w:rPr>
        <w:t>The UTE partners are required to provide a performance guarantee in an amount equivalent to 10% of the total committed investment, and which remains in force until the investment is completed.</w:t>
      </w:r>
    </w:p>
    <w:p w14:paraId="34EBF9CB" w14:textId="7AA44E4E" w:rsidR="008774DB" w:rsidRPr="00C74AFA" w:rsidRDefault="008774DB" w:rsidP="008774DB">
      <w:pPr>
        <w:widowControl w:val="0"/>
        <w:autoSpaceDE w:val="0"/>
        <w:autoSpaceDN w:val="0"/>
        <w:spacing w:before="120" w:line="220" w:lineRule="atLeast"/>
        <w:rPr>
          <w:rFonts w:cs="Arial"/>
          <w:u w:val="single"/>
        </w:rPr>
      </w:pPr>
      <w:r w:rsidRPr="00C74AFA">
        <w:rPr>
          <w:rFonts w:cs="Arial"/>
          <w:u w:val="single"/>
        </w:rPr>
        <w:t>Santa Cruz Concessions</w:t>
      </w:r>
    </w:p>
    <w:p w14:paraId="5BDAB065" w14:textId="7B9FA355" w:rsidR="008774DB" w:rsidRPr="0003220F" w:rsidRDefault="008774DB" w:rsidP="008774DB">
      <w:pPr>
        <w:pStyle w:val="BodyText"/>
        <w:spacing w:before="120" w:line="220" w:lineRule="atLeast"/>
        <w:ind w:right="190"/>
        <w:rPr>
          <w:rFonts w:cs="Arial"/>
          <w:sz w:val="20"/>
          <w:szCs w:val="20"/>
        </w:rPr>
      </w:pPr>
      <w:bookmarkStart w:id="29" w:name="_Hlk192085287"/>
      <w:r w:rsidRPr="007242D6">
        <w:rPr>
          <w:rFonts w:cs="Arial"/>
          <w:sz w:val="20"/>
          <w:szCs w:val="20"/>
        </w:rPr>
        <w:t xml:space="preserve">As </w:t>
      </w:r>
      <w:proofErr w:type="gramStart"/>
      <w:r w:rsidRPr="007242D6">
        <w:rPr>
          <w:rFonts w:cs="Arial"/>
          <w:sz w:val="20"/>
          <w:szCs w:val="20"/>
        </w:rPr>
        <w:t>at</w:t>
      </w:r>
      <w:proofErr w:type="gramEnd"/>
      <w:r w:rsidRPr="007242D6">
        <w:rPr>
          <w:rFonts w:cs="Arial"/>
          <w:sz w:val="20"/>
          <w:szCs w:val="20"/>
        </w:rPr>
        <w:t xml:space="preserve"> </w:t>
      </w:r>
      <w:r w:rsidR="00E91EF5" w:rsidRPr="007242D6">
        <w:rPr>
          <w:rFonts w:cs="Arial"/>
          <w:sz w:val="20"/>
          <w:szCs w:val="20"/>
        </w:rPr>
        <w:t>June 30</w:t>
      </w:r>
      <w:r w:rsidRPr="007242D6">
        <w:rPr>
          <w:rFonts w:cs="Arial"/>
          <w:sz w:val="20"/>
          <w:szCs w:val="20"/>
        </w:rPr>
        <w:t>,</w:t>
      </w:r>
      <w:r w:rsidRPr="007242D6">
        <w:rPr>
          <w:rFonts w:cs="Arial"/>
          <w:spacing w:val="-3"/>
          <w:sz w:val="20"/>
          <w:szCs w:val="20"/>
        </w:rPr>
        <w:t xml:space="preserve"> </w:t>
      </w:r>
      <w:r w:rsidRPr="007242D6">
        <w:rPr>
          <w:rFonts w:cs="Arial"/>
          <w:sz w:val="20"/>
          <w:szCs w:val="20"/>
        </w:rPr>
        <w:t xml:space="preserve">2026, the Company’s expenditure </w:t>
      </w:r>
      <w:r w:rsidRPr="0003220F">
        <w:rPr>
          <w:rFonts w:cs="Arial"/>
          <w:sz w:val="20"/>
          <w:szCs w:val="20"/>
        </w:rPr>
        <w:t xml:space="preserve">commitments related to the Piedra </w:t>
      </w:r>
      <w:proofErr w:type="spellStart"/>
      <w:r w:rsidRPr="0003220F">
        <w:rPr>
          <w:rFonts w:cs="Arial"/>
          <w:sz w:val="20"/>
          <w:szCs w:val="20"/>
        </w:rPr>
        <w:t>Clavada</w:t>
      </w:r>
      <w:proofErr w:type="spellEnd"/>
      <w:r w:rsidRPr="0003220F">
        <w:rPr>
          <w:rFonts w:cs="Arial"/>
          <w:sz w:val="20"/>
          <w:szCs w:val="20"/>
        </w:rPr>
        <w:t xml:space="preserve"> Concession amount to $40.5 million, of which $30.2 million must be fulfilled by </w:t>
      </w:r>
      <w:r w:rsidR="00B110D8" w:rsidRPr="0003220F">
        <w:rPr>
          <w:rFonts w:cs="Arial"/>
          <w:sz w:val="20"/>
          <w:szCs w:val="20"/>
        </w:rPr>
        <w:t xml:space="preserve">December 31, </w:t>
      </w:r>
      <w:r w:rsidRPr="0003220F">
        <w:rPr>
          <w:rFonts w:cs="Arial"/>
          <w:sz w:val="20"/>
          <w:szCs w:val="20"/>
        </w:rPr>
        <w:t>2026, consisting of a work program that includes well workovers, infrastructure optimization, and a three-well drilling program.  The remaining $10.3 million must be fulfilled between 2027 and 2031, consisting of an additional three-well drilling program.</w:t>
      </w:r>
    </w:p>
    <w:p w14:paraId="6FADEFC0" w14:textId="3649EE03" w:rsidR="008774DB" w:rsidRPr="0003220F" w:rsidRDefault="008774DB" w:rsidP="008774DB">
      <w:pPr>
        <w:pStyle w:val="BodyText"/>
        <w:spacing w:before="120" w:line="220" w:lineRule="atLeast"/>
        <w:ind w:right="190"/>
        <w:rPr>
          <w:rFonts w:cs="Arial"/>
          <w:sz w:val="20"/>
          <w:szCs w:val="20"/>
        </w:rPr>
      </w:pPr>
      <w:r w:rsidRPr="0003220F">
        <w:rPr>
          <w:rFonts w:cs="Arial"/>
          <w:sz w:val="20"/>
          <w:szCs w:val="20"/>
        </w:rPr>
        <w:t xml:space="preserve">As </w:t>
      </w:r>
      <w:proofErr w:type="gramStart"/>
      <w:r w:rsidRPr="0003220F">
        <w:rPr>
          <w:rFonts w:cs="Arial"/>
          <w:sz w:val="20"/>
          <w:szCs w:val="20"/>
        </w:rPr>
        <w:t>at</w:t>
      </w:r>
      <w:proofErr w:type="gramEnd"/>
      <w:r w:rsidRPr="0003220F">
        <w:rPr>
          <w:rFonts w:cs="Arial"/>
          <w:sz w:val="20"/>
          <w:szCs w:val="20"/>
        </w:rPr>
        <w:t xml:space="preserve"> </w:t>
      </w:r>
      <w:r w:rsidR="00E91EF5" w:rsidRPr="0003220F">
        <w:rPr>
          <w:rFonts w:cs="Arial"/>
          <w:sz w:val="20"/>
          <w:szCs w:val="20"/>
        </w:rPr>
        <w:t>June 30</w:t>
      </w:r>
      <w:r w:rsidRPr="0003220F">
        <w:rPr>
          <w:rFonts w:cs="Arial"/>
          <w:sz w:val="20"/>
          <w:szCs w:val="20"/>
        </w:rPr>
        <w:t>,</w:t>
      </w:r>
      <w:r w:rsidRPr="0003220F">
        <w:rPr>
          <w:rFonts w:cs="Arial"/>
          <w:spacing w:val="-3"/>
          <w:sz w:val="20"/>
          <w:szCs w:val="20"/>
        </w:rPr>
        <w:t xml:space="preserve"> </w:t>
      </w:r>
      <w:r w:rsidRPr="0003220F">
        <w:rPr>
          <w:rFonts w:cs="Arial"/>
          <w:sz w:val="20"/>
          <w:szCs w:val="20"/>
        </w:rPr>
        <w:t xml:space="preserve">2026, the Company’s expenditure commitments related to the </w:t>
      </w:r>
      <w:proofErr w:type="spellStart"/>
      <w:r w:rsidRPr="0003220F">
        <w:rPr>
          <w:rFonts w:cs="Arial"/>
          <w:sz w:val="20"/>
          <w:szCs w:val="20"/>
        </w:rPr>
        <w:t>Koluel</w:t>
      </w:r>
      <w:proofErr w:type="spellEnd"/>
      <w:r w:rsidRPr="0003220F">
        <w:rPr>
          <w:rFonts w:cs="Arial"/>
          <w:sz w:val="20"/>
          <w:szCs w:val="20"/>
        </w:rPr>
        <w:t xml:space="preserve"> Kaike Concession amount to $21.6 million, of which $11.3 million must be fulfilled by </w:t>
      </w:r>
      <w:r w:rsidR="00B110D8" w:rsidRPr="0003220F">
        <w:rPr>
          <w:rFonts w:cs="Arial"/>
          <w:sz w:val="20"/>
          <w:szCs w:val="20"/>
        </w:rPr>
        <w:t xml:space="preserve">December 31, </w:t>
      </w:r>
      <w:r w:rsidRPr="0003220F">
        <w:rPr>
          <w:rFonts w:cs="Arial"/>
          <w:sz w:val="20"/>
          <w:szCs w:val="20"/>
        </w:rPr>
        <w:t>2026, consisting of a work program that includes well workovers, infrastructure optimization and one well to be drilled.  The remaining $10.3 million must be fulfilled between 2027 and 2031, consisting of an additional three-well drilling program.</w:t>
      </w:r>
    </w:p>
    <w:bookmarkEnd w:id="29"/>
    <w:p w14:paraId="7ED38983" w14:textId="4D3CC5ED" w:rsidR="008774DB" w:rsidRPr="0003220F" w:rsidRDefault="008774DB" w:rsidP="008774DB">
      <w:pPr>
        <w:widowControl w:val="0"/>
        <w:autoSpaceDE w:val="0"/>
        <w:autoSpaceDN w:val="0"/>
        <w:spacing w:before="120" w:line="220" w:lineRule="atLeast"/>
        <w:rPr>
          <w:rFonts w:cs="Arial"/>
          <w:u w:val="single"/>
        </w:rPr>
      </w:pPr>
      <w:r w:rsidRPr="0003220F">
        <w:rPr>
          <w:rFonts w:cs="Arial"/>
          <w:u w:val="single"/>
        </w:rPr>
        <w:t>Chubut</w:t>
      </w:r>
      <w:r w:rsidR="0003220F">
        <w:rPr>
          <w:rFonts w:cs="Arial"/>
          <w:u w:val="single"/>
        </w:rPr>
        <w:t xml:space="preserve"> </w:t>
      </w:r>
      <w:r w:rsidRPr="0003220F">
        <w:rPr>
          <w:rFonts w:cs="Arial"/>
          <w:u w:val="single"/>
        </w:rPr>
        <w:t>Concessions</w:t>
      </w:r>
    </w:p>
    <w:p w14:paraId="144F7508" w14:textId="2F81F0F6" w:rsidR="008774DB" w:rsidRPr="0003220F" w:rsidRDefault="008774DB" w:rsidP="008774DB">
      <w:pPr>
        <w:pStyle w:val="ListParagraph"/>
        <w:spacing w:before="120" w:line="220" w:lineRule="atLeast"/>
        <w:ind w:left="0"/>
        <w:rPr>
          <w:rFonts w:cs="Arial"/>
          <w:sz w:val="20"/>
          <w:szCs w:val="20"/>
        </w:rPr>
      </w:pPr>
      <w:r w:rsidRPr="0003220F">
        <w:rPr>
          <w:rFonts w:ascii="Arial" w:hAnsi="Arial" w:cs="Arial"/>
          <w:sz w:val="20"/>
          <w:szCs w:val="20"/>
        </w:rPr>
        <w:t xml:space="preserve">As </w:t>
      </w:r>
      <w:proofErr w:type="gramStart"/>
      <w:r w:rsidRPr="0003220F">
        <w:rPr>
          <w:rFonts w:ascii="Arial" w:hAnsi="Arial" w:cs="Arial"/>
          <w:sz w:val="20"/>
          <w:szCs w:val="20"/>
        </w:rPr>
        <w:t>at</w:t>
      </w:r>
      <w:proofErr w:type="gramEnd"/>
      <w:r w:rsidRPr="0003220F">
        <w:rPr>
          <w:rFonts w:ascii="Arial" w:hAnsi="Arial" w:cs="Arial"/>
          <w:sz w:val="20"/>
          <w:szCs w:val="20"/>
        </w:rPr>
        <w:t xml:space="preserve"> </w:t>
      </w:r>
      <w:r w:rsidR="00E91EF5" w:rsidRPr="0003220F">
        <w:rPr>
          <w:rFonts w:ascii="Arial" w:hAnsi="Arial" w:cs="Arial"/>
          <w:sz w:val="20"/>
          <w:szCs w:val="20"/>
        </w:rPr>
        <w:t>June 30</w:t>
      </w:r>
      <w:r w:rsidRPr="0003220F">
        <w:rPr>
          <w:rFonts w:ascii="Arial" w:hAnsi="Arial" w:cs="Arial"/>
          <w:sz w:val="20"/>
          <w:szCs w:val="20"/>
        </w:rPr>
        <w:t>, 2</w:t>
      </w:r>
      <w:r w:rsidR="00D846FB" w:rsidRPr="0003220F">
        <w:rPr>
          <w:rFonts w:ascii="Arial" w:hAnsi="Arial" w:cs="Arial"/>
          <w:sz w:val="20"/>
          <w:szCs w:val="20"/>
        </w:rPr>
        <w:t>02</w:t>
      </w:r>
      <w:r w:rsidRPr="0003220F">
        <w:rPr>
          <w:rFonts w:ascii="Arial" w:hAnsi="Arial" w:cs="Arial"/>
          <w:sz w:val="20"/>
          <w:szCs w:val="20"/>
        </w:rPr>
        <w:t>6, the Company’s expenditure commitments for the Chubut Concessions are estimated at $38.2 million consisting of a work program that includes well workovers and an eight-well drilling program to be fulfilled by the end of 2026.</w:t>
      </w:r>
      <w:r w:rsidR="00D77935" w:rsidRPr="0003220F">
        <w:rPr>
          <w:rFonts w:ascii="Arial" w:hAnsi="Arial" w:cs="Arial"/>
          <w:sz w:val="20"/>
          <w:szCs w:val="20"/>
        </w:rPr>
        <w:t xml:space="preserve"> </w:t>
      </w:r>
    </w:p>
    <w:p w14:paraId="474972EC" w14:textId="02EE59D5" w:rsidR="008774DB" w:rsidRPr="00C74AFA" w:rsidRDefault="008774DB" w:rsidP="008774DB">
      <w:pPr>
        <w:widowControl w:val="0"/>
        <w:autoSpaceDE w:val="0"/>
        <w:autoSpaceDN w:val="0"/>
        <w:spacing w:before="120" w:line="220" w:lineRule="atLeast"/>
        <w:rPr>
          <w:rFonts w:cs="Arial"/>
          <w:u w:val="single"/>
        </w:rPr>
      </w:pPr>
      <w:r w:rsidRPr="007242D6">
        <w:rPr>
          <w:rFonts w:cs="Arial"/>
          <w:u w:val="single"/>
        </w:rPr>
        <w:t>CLL</w:t>
      </w:r>
      <w:r w:rsidRPr="007242D6">
        <w:rPr>
          <w:rFonts w:cs="Arial"/>
          <w:spacing w:val="-4"/>
          <w:u w:val="single"/>
        </w:rPr>
        <w:t xml:space="preserve"> </w:t>
      </w:r>
      <w:r w:rsidRPr="007242D6">
        <w:rPr>
          <w:rFonts w:cs="Arial"/>
          <w:u w:val="single"/>
        </w:rPr>
        <w:t>Permit</w:t>
      </w:r>
    </w:p>
    <w:p w14:paraId="42044FE7" w14:textId="77777777" w:rsidR="007A0566" w:rsidRPr="007A0566" w:rsidRDefault="008774DB" w:rsidP="007A0566">
      <w:pPr>
        <w:pStyle w:val="ListParagraph"/>
        <w:spacing w:before="120" w:line="220" w:lineRule="atLeast"/>
        <w:ind w:left="0"/>
        <w:rPr>
          <w:rFonts w:ascii="Arial" w:hAnsi="Arial" w:cs="Arial"/>
          <w:sz w:val="20"/>
          <w:szCs w:val="20"/>
        </w:rPr>
      </w:pPr>
      <w:r w:rsidRPr="007A0566">
        <w:rPr>
          <w:rFonts w:ascii="Arial" w:hAnsi="Arial" w:cs="Arial"/>
          <w:sz w:val="20"/>
          <w:szCs w:val="20"/>
        </w:rPr>
        <w:t xml:space="preserve">As </w:t>
      </w:r>
      <w:proofErr w:type="gramStart"/>
      <w:r w:rsidRPr="007A0566">
        <w:rPr>
          <w:rFonts w:ascii="Arial" w:hAnsi="Arial" w:cs="Arial"/>
          <w:sz w:val="20"/>
          <w:szCs w:val="20"/>
        </w:rPr>
        <w:t>at</w:t>
      </w:r>
      <w:proofErr w:type="gramEnd"/>
      <w:r w:rsidRPr="007A0566">
        <w:rPr>
          <w:rFonts w:ascii="Arial" w:hAnsi="Arial" w:cs="Arial"/>
          <w:sz w:val="20"/>
          <w:szCs w:val="20"/>
        </w:rPr>
        <w:t xml:space="preserve"> </w:t>
      </w:r>
      <w:r w:rsidR="00E91EF5" w:rsidRPr="007A0566">
        <w:rPr>
          <w:rFonts w:ascii="Arial" w:hAnsi="Arial" w:cs="Arial"/>
          <w:sz w:val="20"/>
          <w:szCs w:val="20"/>
        </w:rPr>
        <w:t>June 30</w:t>
      </w:r>
      <w:r w:rsidRPr="007A0566">
        <w:rPr>
          <w:rFonts w:ascii="Arial" w:hAnsi="Arial" w:cs="Arial"/>
          <w:sz w:val="20"/>
          <w:szCs w:val="20"/>
        </w:rPr>
        <w:t xml:space="preserve">, 2026, </w:t>
      </w:r>
      <w:r w:rsidR="007A0566" w:rsidRPr="007A0566">
        <w:rPr>
          <w:rFonts w:ascii="Arial" w:hAnsi="Arial" w:cs="Arial"/>
          <w:sz w:val="20"/>
          <w:szCs w:val="20"/>
        </w:rPr>
        <w:t>the Company’s commitment for the CLL Permit is estimated at $0.5 million, consisting of a well repair to be fulfilled by May 18, 2027.</w:t>
      </w:r>
    </w:p>
    <w:p w14:paraId="62489290" w14:textId="5F4A31DA" w:rsidR="00A64E13" w:rsidRPr="00D14CC2" w:rsidRDefault="008774DB" w:rsidP="00D14CC2">
      <w:pPr>
        <w:widowControl w:val="0"/>
        <w:spacing w:before="360"/>
        <w:jc w:val="both"/>
        <w:rPr>
          <w:rFonts w:cs="Arial"/>
          <w:b/>
          <w:bCs/>
          <w:caps/>
          <w:color w:val="000000"/>
          <w:sz w:val="24"/>
          <w:szCs w:val="24"/>
        </w:rPr>
      </w:pPr>
      <w:r w:rsidRPr="00D14CC2">
        <w:rPr>
          <w:rFonts w:cs="Arial"/>
          <w:b/>
          <w:bCs/>
          <w:caps/>
          <w:color w:val="000000"/>
          <w:sz w:val="24"/>
          <w:szCs w:val="24"/>
        </w:rPr>
        <w:t>O</w:t>
      </w:r>
      <w:r w:rsidR="00A64E13" w:rsidRPr="00D14CC2">
        <w:rPr>
          <w:rFonts w:cs="Arial"/>
          <w:b/>
          <w:bCs/>
          <w:caps/>
          <w:color w:val="000000"/>
          <w:sz w:val="24"/>
          <w:szCs w:val="24"/>
        </w:rPr>
        <w:t xml:space="preserve">FF BALANCE SHEET ARRANGEMENTS </w:t>
      </w:r>
    </w:p>
    <w:p w14:paraId="7152FCFD" w14:textId="27639811" w:rsidR="00FF7D22" w:rsidRDefault="00A64E13" w:rsidP="000E4329">
      <w:pPr>
        <w:spacing w:before="120"/>
        <w:rPr>
          <w:rFonts w:cs="Arial"/>
          <w:lang w:val="en-GB"/>
        </w:rPr>
      </w:pPr>
      <w:r>
        <w:rPr>
          <w:rFonts w:cs="Arial"/>
          <w:lang w:val="en-GB"/>
        </w:rPr>
        <w:t>The Company has no off</w:t>
      </w:r>
      <w:r w:rsidR="00B55B61">
        <w:rPr>
          <w:rFonts w:cs="Arial"/>
          <w:lang w:val="en-GB"/>
        </w:rPr>
        <w:t>-</w:t>
      </w:r>
      <w:r>
        <w:rPr>
          <w:rFonts w:cs="Arial"/>
          <w:lang w:val="en-GB"/>
        </w:rPr>
        <w:t xml:space="preserve">balance sheet arrangements.  </w:t>
      </w:r>
    </w:p>
    <w:p w14:paraId="6493A520" w14:textId="1290EE93" w:rsidR="00733E9B" w:rsidRPr="00ED345A" w:rsidRDefault="00733E9B" w:rsidP="00D14CC2">
      <w:pPr>
        <w:widowControl w:val="0"/>
        <w:spacing w:before="360"/>
        <w:jc w:val="both"/>
        <w:rPr>
          <w:rFonts w:cs="Arial"/>
          <w:b/>
          <w:bCs/>
          <w:caps/>
          <w:color w:val="000000"/>
          <w:sz w:val="24"/>
          <w:szCs w:val="24"/>
        </w:rPr>
      </w:pPr>
      <w:r>
        <w:rPr>
          <w:rFonts w:cs="Arial"/>
          <w:b/>
          <w:bCs/>
          <w:caps/>
          <w:color w:val="000000"/>
          <w:sz w:val="24"/>
          <w:szCs w:val="24"/>
        </w:rPr>
        <w:t xml:space="preserve">FINANCIAL INSTRUMENTS </w:t>
      </w:r>
    </w:p>
    <w:p w14:paraId="265A9BA5" w14:textId="1FC140D3" w:rsidR="00AD2F2B" w:rsidRDefault="00AD2F2B" w:rsidP="00AD2F2B">
      <w:pPr>
        <w:pStyle w:val="Ne3"/>
        <w:spacing w:line="240" w:lineRule="auto"/>
        <w:ind w:left="0"/>
        <w:rPr>
          <w:rFonts w:cs="Arial"/>
        </w:rPr>
      </w:pPr>
      <w:r>
        <w:rPr>
          <w:rFonts w:cs="Arial"/>
        </w:rPr>
        <w:t xml:space="preserve">The fair values of cash, restricted cash, investments, trade and other receivables, trade and other payables and loans are estimated as the present value of future cash flows, discounted at the market rate of interest at the reporting date. </w:t>
      </w:r>
      <w:proofErr w:type="gramStart"/>
      <w:r>
        <w:rPr>
          <w:rFonts w:cs="Arial"/>
        </w:rPr>
        <w:t>At</w:t>
      </w:r>
      <w:proofErr w:type="gramEnd"/>
      <w:r>
        <w:rPr>
          <w:rFonts w:cs="Arial"/>
        </w:rPr>
        <w:t xml:space="preserve"> </w:t>
      </w:r>
      <w:r w:rsidR="00E91EF5">
        <w:rPr>
          <w:rFonts w:cs="Arial"/>
        </w:rPr>
        <w:t>June 30</w:t>
      </w:r>
      <w:r>
        <w:rPr>
          <w:rFonts w:cs="Arial"/>
        </w:rPr>
        <w:t xml:space="preserve">, </w:t>
      </w:r>
      <w:proofErr w:type="gramStart"/>
      <w:r>
        <w:rPr>
          <w:rFonts w:cs="Arial"/>
        </w:rPr>
        <w:t>2</w:t>
      </w:r>
      <w:r w:rsidR="00FC0A79">
        <w:rPr>
          <w:rFonts w:cs="Arial"/>
        </w:rPr>
        <w:t>0</w:t>
      </w:r>
      <w:r>
        <w:rPr>
          <w:rFonts w:cs="Arial"/>
        </w:rPr>
        <w:t>26</w:t>
      </w:r>
      <w:proofErr w:type="gramEnd"/>
      <w:r>
        <w:rPr>
          <w:rFonts w:cs="Arial"/>
        </w:rPr>
        <w:t xml:space="preserve"> and December 31, 2025, the fair value of these balances approximated their carrying amount due to their short terms to maturity.  The fair values of notes payable, lease liabilities and the contingent consideration liability are based on the discounted present value of future cash flows and approximate carrying amounts.</w:t>
      </w:r>
    </w:p>
    <w:p w14:paraId="1D80C861" w14:textId="0C707B5A" w:rsidR="000E4329" w:rsidRDefault="00AD2F2B" w:rsidP="007242D6">
      <w:pPr>
        <w:spacing w:before="120"/>
        <w:jc w:val="both"/>
        <w:rPr>
          <w:rFonts w:cs="Arial"/>
        </w:rPr>
      </w:pPr>
      <w:r>
        <w:rPr>
          <w:rFonts w:cs="Arial"/>
        </w:rPr>
        <w:t xml:space="preserve">The Company’s accounts receivable </w:t>
      </w:r>
      <w:proofErr w:type="gramStart"/>
      <w:r>
        <w:rPr>
          <w:rFonts w:cs="Arial"/>
        </w:rPr>
        <w:t>are</w:t>
      </w:r>
      <w:proofErr w:type="gramEnd"/>
      <w:r>
        <w:rPr>
          <w:rFonts w:cs="Arial"/>
        </w:rPr>
        <w:t xml:space="preserve"> primarily with industry partners and are subject to normal industry credit risks. The Company extends unsecured credit to these entities, and therefore, the collection of any receivables may be affected by changes in the economic environment or other conditions.  Management believes the risk is mitigated by the financial position of the entities.</w:t>
      </w:r>
    </w:p>
    <w:p w14:paraId="11057768" w14:textId="6DA60A93" w:rsidR="00360E29" w:rsidRDefault="00360E29" w:rsidP="00D14CC2">
      <w:pPr>
        <w:widowControl w:val="0"/>
        <w:spacing w:before="360"/>
        <w:jc w:val="both"/>
        <w:rPr>
          <w:rFonts w:cs="Arial"/>
          <w:b/>
          <w:bCs/>
          <w:caps/>
          <w:color w:val="000000"/>
          <w:sz w:val="24"/>
          <w:szCs w:val="24"/>
        </w:rPr>
      </w:pPr>
      <w:r>
        <w:rPr>
          <w:rFonts w:cs="Arial"/>
          <w:b/>
          <w:bCs/>
          <w:caps/>
          <w:color w:val="000000"/>
          <w:sz w:val="24"/>
          <w:szCs w:val="24"/>
        </w:rPr>
        <w:lastRenderedPageBreak/>
        <w:t>SELECTED CONSOLIDATED QUARTERLY INFORMATION</w:t>
      </w:r>
    </w:p>
    <w:p w14:paraId="0C623558" w14:textId="2070B4B2" w:rsidR="00981241" w:rsidRDefault="00981241" w:rsidP="00D14CC2">
      <w:pPr>
        <w:widowControl w:val="0"/>
        <w:spacing w:before="120" w:after="120"/>
        <w:jc w:val="both"/>
        <w:rPr>
          <w:rFonts w:cs="Arial"/>
          <w:lang w:val="en-GB"/>
        </w:rPr>
      </w:pPr>
      <w:r>
        <w:rPr>
          <w:rFonts w:cs="Arial"/>
          <w:lang w:val="en-GB"/>
        </w:rPr>
        <w:t xml:space="preserve">The following table sets forth selected consolidated financial information of the Company for the periods presented.  </w:t>
      </w:r>
    </w:p>
    <w:tbl>
      <w:tblPr>
        <w:tblW w:w="98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4"/>
        <w:gridCol w:w="977"/>
        <w:gridCol w:w="978"/>
        <w:gridCol w:w="977"/>
        <w:gridCol w:w="978"/>
        <w:gridCol w:w="978"/>
        <w:gridCol w:w="977"/>
        <w:gridCol w:w="930"/>
        <w:gridCol w:w="1026"/>
      </w:tblGrid>
      <w:tr w:rsidR="008234F6" w:rsidRPr="00E06E32" w14:paraId="6025A201" w14:textId="77777777" w:rsidTr="00C5405C">
        <w:trPr>
          <w:trHeight w:val="379"/>
        </w:trPr>
        <w:tc>
          <w:tcPr>
            <w:tcW w:w="1994" w:type="dxa"/>
            <w:tcBorders>
              <w:top w:val="single" w:sz="4" w:space="0" w:color="000000"/>
              <w:left w:val="single" w:sz="4" w:space="0" w:color="000000"/>
              <w:bottom w:val="single" w:sz="4" w:space="0" w:color="000000"/>
              <w:right w:val="single" w:sz="4" w:space="0" w:color="000000"/>
            </w:tcBorders>
            <w:vAlign w:val="center"/>
          </w:tcPr>
          <w:p w14:paraId="1460DD61" w14:textId="77777777" w:rsidR="008234F6" w:rsidRPr="00E06E32" w:rsidRDefault="008234F6" w:rsidP="008234F6">
            <w:pPr>
              <w:widowControl w:val="0"/>
              <w:pBdr>
                <w:top w:val="nil"/>
                <w:left w:val="nil"/>
                <w:bottom w:val="nil"/>
                <w:right w:val="nil"/>
                <w:between w:val="nil"/>
              </w:pBdr>
              <w:ind w:left="-41" w:right="-108"/>
              <w:rPr>
                <w:color w:val="000000"/>
                <w:sz w:val="14"/>
                <w:szCs w:val="14"/>
              </w:rPr>
            </w:pPr>
            <w:r w:rsidRPr="00E06E32">
              <w:rPr>
                <w:color w:val="000000"/>
                <w:sz w:val="14"/>
                <w:szCs w:val="14"/>
              </w:rPr>
              <w:t xml:space="preserve">Unaudited </w:t>
            </w:r>
          </w:p>
          <w:p w14:paraId="63197BD3" w14:textId="77777777" w:rsidR="008234F6" w:rsidRPr="00E06E32" w:rsidRDefault="008234F6" w:rsidP="008234F6">
            <w:pPr>
              <w:widowControl w:val="0"/>
              <w:pBdr>
                <w:top w:val="nil"/>
                <w:left w:val="nil"/>
                <w:bottom w:val="nil"/>
                <w:right w:val="nil"/>
                <w:between w:val="nil"/>
              </w:pBdr>
              <w:ind w:left="-41" w:right="-108"/>
              <w:rPr>
                <w:color w:val="000000"/>
                <w:sz w:val="14"/>
                <w:szCs w:val="14"/>
              </w:rPr>
            </w:pPr>
            <w:r w:rsidRPr="00E06E32">
              <w:rPr>
                <w:color w:val="000000"/>
                <w:sz w:val="14"/>
                <w:szCs w:val="14"/>
              </w:rPr>
              <w:t>Three months ended:</w:t>
            </w:r>
          </w:p>
        </w:tc>
        <w:tc>
          <w:tcPr>
            <w:tcW w:w="977" w:type="dxa"/>
            <w:tcBorders>
              <w:top w:val="single" w:sz="4" w:space="0" w:color="000000"/>
              <w:left w:val="single" w:sz="4" w:space="0" w:color="000000"/>
              <w:bottom w:val="single" w:sz="4" w:space="0" w:color="000000"/>
              <w:right w:val="single" w:sz="4" w:space="0" w:color="000000"/>
            </w:tcBorders>
            <w:vAlign w:val="center"/>
          </w:tcPr>
          <w:p w14:paraId="63B03739" w14:textId="2320FB08" w:rsidR="008234F6" w:rsidRPr="00E06E32" w:rsidRDefault="008234F6" w:rsidP="008234F6">
            <w:pPr>
              <w:widowControl w:val="0"/>
              <w:pBdr>
                <w:top w:val="nil"/>
                <w:left w:val="nil"/>
                <w:bottom w:val="nil"/>
                <w:right w:val="nil"/>
                <w:between w:val="nil"/>
              </w:pBdr>
              <w:ind w:left="-108" w:right="-139"/>
              <w:jc w:val="center"/>
              <w:rPr>
                <w:color w:val="000000"/>
                <w:sz w:val="14"/>
                <w:szCs w:val="14"/>
              </w:rPr>
            </w:pPr>
            <w:r>
              <w:rPr>
                <w:color w:val="000000"/>
                <w:sz w:val="14"/>
                <w:szCs w:val="14"/>
              </w:rPr>
              <w:t>June 30</w:t>
            </w:r>
          </w:p>
          <w:p w14:paraId="7A438349" w14:textId="123445D8" w:rsidR="008234F6" w:rsidRPr="00E06E32" w:rsidRDefault="008234F6" w:rsidP="008234F6">
            <w:pPr>
              <w:widowControl w:val="0"/>
              <w:pBdr>
                <w:top w:val="nil"/>
                <w:left w:val="nil"/>
                <w:bottom w:val="nil"/>
                <w:right w:val="nil"/>
                <w:between w:val="nil"/>
              </w:pBdr>
              <w:ind w:left="-108" w:right="-139"/>
              <w:jc w:val="center"/>
              <w:rPr>
                <w:color w:val="000000"/>
                <w:sz w:val="14"/>
                <w:szCs w:val="14"/>
              </w:rPr>
            </w:pPr>
            <w:r w:rsidRPr="00E06E32">
              <w:rPr>
                <w:color w:val="000000"/>
                <w:sz w:val="14"/>
                <w:szCs w:val="14"/>
              </w:rPr>
              <w:t>202</w:t>
            </w:r>
            <w:r>
              <w:rPr>
                <w:color w:val="000000"/>
                <w:sz w:val="14"/>
                <w:szCs w:val="14"/>
              </w:rPr>
              <w:t>6</w:t>
            </w:r>
          </w:p>
        </w:tc>
        <w:tc>
          <w:tcPr>
            <w:tcW w:w="978" w:type="dxa"/>
            <w:tcBorders>
              <w:top w:val="single" w:sz="4" w:space="0" w:color="000000"/>
              <w:left w:val="single" w:sz="4" w:space="0" w:color="000000"/>
              <w:bottom w:val="single" w:sz="4" w:space="0" w:color="000000"/>
              <w:right w:val="single" w:sz="4" w:space="0" w:color="000000"/>
            </w:tcBorders>
            <w:vAlign w:val="center"/>
          </w:tcPr>
          <w:p w14:paraId="17BC99EB" w14:textId="77777777" w:rsidR="008234F6" w:rsidRPr="00E06E32" w:rsidRDefault="008234F6" w:rsidP="008234F6">
            <w:pPr>
              <w:widowControl w:val="0"/>
              <w:pBdr>
                <w:top w:val="nil"/>
                <w:left w:val="nil"/>
                <w:bottom w:val="nil"/>
                <w:right w:val="nil"/>
                <w:between w:val="nil"/>
              </w:pBdr>
              <w:ind w:left="-108" w:right="-139"/>
              <w:jc w:val="center"/>
              <w:rPr>
                <w:color w:val="000000"/>
                <w:sz w:val="14"/>
                <w:szCs w:val="14"/>
              </w:rPr>
            </w:pPr>
            <w:r>
              <w:rPr>
                <w:color w:val="000000"/>
                <w:sz w:val="14"/>
                <w:szCs w:val="14"/>
              </w:rPr>
              <w:t>March 31</w:t>
            </w:r>
          </w:p>
          <w:p w14:paraId="10EC3BB8" w14:textId="396992BB" w:rsidR="008234F6" w:rsidRPr="00E06E32" w:rsidRDefault="008234F6" w:rsidP="008234F6">
            <w:pPr>
              <w:widowControl w:val="0"/>
              <w:pBdr>
                <w:top w:val="nil"/>
                <w:left w:val="nil"/>
                <w:bottom w:val="nil"/>
                <w:right w:val="nil"/>
                <w:between w:val="nil"/>
              </w:pBdr>
              <w:jc w:val="center"/>
              <w:rPr>
                <w:color w:val="000000"/>
                <w:sz w:val="14"/>
                <w:szCs w:val="14"/>
              </w:rPr>
            </w:pPr>
            <w:r w:rsidRPr="00E06E32">
              <w:rPr>
                <w:color w:val="000000"/>
                <w:sz w:val="14"/>
                <w:szCs w:val="14"/>
              </w:rPr>
              <w:t>202</w:t>
            </w:r>
            <w:r>
              <w:rPr>
                <w:color w:val="000000"/>
                <w:sz w:val="14"/>
                <w:szCs w:val="14"/>
              </w:rPr>
              <w:t>6</w:t>
            </w:r>
          </w:p>
        </w:tc>
        <w:tc>
          <w:tcPr>
            <w:tcW w:w="977" w:type="dxa"/>
            <w:tcBorders>
              <w:top w:val="single" w:sz="4" w:space="0" w:color="000000"/>
              <w:left w:val="single" w:sz="4" w:space="0" w:color="000000"/>
              <w:bottom w:val="single" w:sz="4" w:space="0" w:color="000000"/>
              <w:right w:val="single" w:sz="4" w:space="0" w:color="000000"/>
            </w:tcBorders>
            <w:vAlign w:val="center"/>
          </w:tcPr>
          <w:p w14:paraId="7A445FB2" w14:textId="77777777" w:rsidR="008234F6" w:rsidRPr="00E06E32" w:rsidRDefault="008234F6" w:rsidP="008234F6">
            <w:pPr>
              <w:widowControl w:val="0"/>
              <w:pBdr>
                <w:top w:val="nil"/>
                <w:left w:val="nil"/>
                <w:bottom w:val="nil"/>
                <w:right w:val="nil"/>
                <w:between w:val="nil"/>
              </w:pBdr>
              <w:ind w:left="-108" w:right="-139"/>
              <w:jc w:val="center"/>
              <w:rPr>
                <w:color w:val="000000"/>
                <w:sz w:val="14"/>
                <w:szCs w:val="14"/>
              </w:rPr>
            </w:pPr>
            <w:r>
              <w:rPr>
                <w:color w:val="000000"/>
                <w:sz w:val="14"/>
                <w:szCs w:val="14"/>
              </w:rPr>
              <w:t>December 31</w:t>
            </w:r>
          </w:p>
          <w:p w14:paraId="2C3E58E6" w14:textId="2C1835F0" w:rsidR="008234F6" w:rsidRPr="00E06E32" w:rsidRDefault="008234F6" w:rsidP="008234F6">
            <w:pPr>
              <w:widowControl w:val="0"/>
              <w:pBdr>
                <w:top w:val="nil"/>
                <w:left w:val="nil"/>
                <w:bottom w:val="nil"/>
                <w:right w:val="nil"/>
                <w:between w:val="nil"/>
              </w:pBdr>
              <w:ind w:left="-103" w:right="-115"/>
              <w:jc w:val="center"/>
              <w:rPr>
                <w:color w:val="000000"/>
                <w:sz w:val="14"/>
                <w:szCs w:val="14"/>
              </w:rPr>
            </w:pPr>
            <w:r w:rsidRPr="00E06E32">
              <w:rPr>
                <w:color w:val="000000"/>
                <w:sz w:val="14"/>
                <w:szCs w:val="14"/>
              </w:rPr>
              <w:t>2025</w:t>
            </w:r>
          </w:p>
        </w:tc>
        <w:tc>
          <w:tcPr>
            <w:tcW w:w="978" w:type="dxa"/>
            <w:tcBorders>
              <w:top w:val="single" w:sz="4" w:space="0" w:color="000000"/>
              <w:left w:val="single" w:sz="4" w:space="0" w:color="000000"/>
              <w:bottom w:val="single" w:sz="4" w:space="0" w:color="000000"/>
              <w:right w:val="single" w:sz="4" w:space="0" w:color="000000"/>
            </w:tcBorders>
            <w:vAlign w:val="center"/>
          </w:tcPr>
          <w:p w14:paraId="41128953" w14:textId="77777777" w:rsidR="008234F6" w:rsidRPr="00E06E32" w:rsidRDefault="008234F6" w:rsidP="008234F6">
            <w:pPr>
              <w:widowControl w:val="0"/>
              <w:pBdr>
                <w:top w:val="nil"/>
                <w:left w:val="nil"/>
                <w:bottom w:val="nil"/>
                <w:right w:val="nil"/>
                <w:between w:val="nil"/>
              </w:pBdr>
              <w:ind w:left="-108" w:right="-139"/>
              <w:jc w:val="center"/>
              <w:rPr>
                <w:color w:val="000000"/>
                <w:sz w:val="14"/>
                <w:szCs w:val="14"/>
              </w:rPr>
            </w:pPr>
            <w:r w:rsidRPr="00E06E32">
              <w:rPr>
                <w:color w:val="000000"/>
                <w:sz w:val="14"/>
                <w:szCs w:val="14"/>
              </w:rPr>
              <w:t>September 30</w:t>
            </w:r>
          </w:p>
          <w:p w14:paraId="6A0FFDF6" w14:textId="7F2AFB5B" w:rsidR="008234F6" w:rsidRPr="00E06E32" w:rsidRDefault="008234F6" w:rsidP="008234F6">
            <w:pPr>
              <w:widowControl w:val="0"/>
              <w:pBdr>
                <w:top w:val="nil"/>
                <w:left w:val="nil"/>
                <w:bottom w:val="nil"/>
                <w:right w:val="nil"/>
                <w:between w:val="nil"/>
              </w:pBdr>
              <w:ind w:left="-137" w:right="-111"/>
              <w:jc w:val="center"/>
              <w:rPr>
                <w:color w:val="000000"/>
                <w:sz w:val="14"/>
                <w:szCs w:val="14"/>
              </w:rPr>
            </w:pPr>
            <w:r w:rsidRPr="00E06E32">
              <w:rPr>
                <w:color w:val="000000"/>
                <w:sz w:val="14"/>
                <w:szCs w:val="14"/>
              </w:rPr>
              <w:t>2025</w:t>
            </w:r>
          </w:p>
        </w:tc>
        <w:tc>
          <w:tcPr>
            <w:tcW w:w="978" w:type="dxa"/>
            <w:tcBorders>
              <w:top w:val="single" w:sz="4" w:space="0" w:color="000000"/>
              <w:left w:val="single" w:sz="4" w:space="0" w:color="000000"/>
              <w:bottom w:val="single" w:sz="4" w:space="0" w:color="000000"/>
              <w:right w:val="single" w:sz="4" w:space="0" w:color="000000"/>
            </w:tcBorders>
            <w:vAlign w:val="center"/>
          </w:tcPr>
          <w:p w14:paraId="422678F3" w14:textId="77777777" w:rsidR="008234F6" w:rsidRPr="00E06E32" w:rsidRDefault="008234F6" w:rsidP="008234F6">
            <w:pPr>
              <w:widowControl w:val="0"/>
              <w:pBdr>
                <w:top w:val="nil"/>
                <w:left w:val="nil"/>
                <w:bottom w:val="nil"/>
                <w:right w:val="nil"/>
                <w:between w:val="nil"/>
              </w:pBdr>
              <w:jc w:val="center"/>
              <w:rPr>
                <w:color w:val="000000"/>
                <w:sz w:val="14"/>
                <w:szCs w:val="14"/>
              </w:rPr>
            </w:pPr>
            <w:r w:rsidRPr="00E06E32">
              <w:rPr>
                <w:color w:val="000000"/>
                <w:sz w:val="14"/>
                <w:szCs w:val="14"/>
              </w:rPr>
              <w:t>June 30</w:t>
            </w:r>
          </w:p>
          <w:p w14:paraId="36E3C910" w14:textId="58FAE16F" w:rsidR="008234F6" w:rsidRPr="00E06E32" w:rsidRDefault="008234F6" w:rsidP="008234F6">
            <w:pPr>
              <w:widowControl w:val="0"/>
              <w:pBdr>
                <w:top w:val="nil"/>
                <w:left w:val="nil"/>
                <w:bottom w:val="nil"/>
                <w:right w:val="nil"/>
                <w:between w:val="nil"/>
              </w:pBdr>
              <w:ind w:left="-112" w:right="-149"/>
              <w:jc w:val="center"/>
              <w:rPr>
                <w:color w:val="000000"/>
                <w:sz w:val="14"/>
                <w:szCs w:val="14"/>
              </w:rPr>
            </w:pPr>
            <w:r w:rsidRPr="00E06E32">
              <w:rPr>
                <w:color w:val="000000"/>
                <w:sz w:val="14"/>
                <w:szCs w:val="14"/>
              </w:rPr>
              <w:t>2025</w:t>
            </w:r>
          </w:p>
        </w:tc>
        <w:tc>
          <w:tcPr>
            <w:tcW w:w="977" w:type="dxa"/>
            <w:tcBorders>
              <w:top w:val="single" w:sz="4" w:space="0" w:color="000000"/>
              <w:left w:val="single" w:sz="4" w:space="0" w:color="000000"/>
              <w:bottom w:val="single" w:sz="4" w:space="0" w:color="000000"/>
              <w:right w:val="single" w:sz="4" w:space="0" w:color="000000"/>
            </w:tcBorders>
            <w:vAlign w:val="center"/>
          </w:tcPr>
          <w:p w14:paraId="4D36E4AA" w14:textId="77777777" w:rsidR="008234F6" w:rsidRPr="00E06E32" w:rsidRDefault="008234F6" w:rsidP="008234F6">
            <w:pPr>
              <w:widowControl w:val="0"/>
              <w:pBdr>
                <w:top w:val="nil"/>
                <w:left w:val="nil"/>
                <w:bottom w:val="nil"/>
                <w:right w:val="nil"/>
                <w:between w:val="nil"/>
              </w:pBdr>
              <w:jc w:val="center"/>
              <w:rPr>
                <w:color w:val="000000"/>
                <w:sz w:val="14"/>
                <w:szCs w:val="14"/>
              </w:rPr>
            </w:pPr>
            <w:r w:rsidRPr="00E06E32">
              <w:rPr>
                <w:color w:val="000000"/>
                <w:sz w:val="14"/>
                <w:szCs w:val="14"/>
              </w:rPr>
              <w:t>March 31</w:t>
            </w:r>
          </w:p>
          <w:p w14:paraId="6B6D8430" w14:textId="4DEF3695" w:rsidR="008234F6" w:rsidRPr="00E06E32" w:rsidRDefault="008234F6" w:rsidP="008234F6">
            <w:pPr>
              <w:widowControl w:val="0"/>
              <w:pBdr>
                <w:top w:val="nil"/>
                <w:left w:val="nil"/>
                <w:bottom w:val="nil"/>
                <w:right w:val="nil"/>
                <w:between w:val="nil"/>
              </w:pBdr>
              <w:ind w:left="-142" w:right="-106"/>
              <w:jc w:val="center"/>
              <w:rPr>
                <w:color w:val="000000"/>
                <w:sz w:val="14"/>
                <w:szCs w:val="14"/>
              </w:rPr>
            </w:pPr>
            <w:r w:rsidRPr="00E06E32">
              <w:rPr>
                <w:color w:val="000000"/>
                <w:sz w:val="14"/>
                <w:szCs w:val="14"/>
              </w:rPr>
              <w:t>2025</w:t>
            </w:r>
          </w:p>
        </w:tc>
        <w:tc>
          <w:tcPr>
            <w:tcW w:w="930" w:type="dxa"/>
            <w:tcBorders>
              <w:top w:val="single" w:sz="4" w:space="0" w:color="000000"/>
              <w:left w:val="single" w:sz="4" w:space="0" w:color="000000"/>
              <w:bottom w:val="single" w:sz="4" w:space="0" w:color="000000"/>
              <w:right w:val="single" w:sz="4" w:space="0" w:color="000000"/>
            </w:tcBorders>
            <w:vAlign w:val="center"/>
          </w:tcPr>
          <w:p w14:paraId="46005323" w14:textId="77777777" w:rsidR="008234F6" w:rsidRPr="00E06E32" w:rsidRDefault="008234F6" w:rsidP="008234F6">
            <w:pPr>
              <w:widowControl w:val="0"/>
              <w:pBdr>
                <w:top w:val="nil"/>
                <w:left w:val="nil"/>
                <w:bottom w:val="nil"/>
                <w:right w:val="nil"/>
                <w:between w:val="nil"/>
              </w:pBdr>
              <w:ind w:left="-137" w:right="-111"/>
              <w:jc w:val="center"/>
              <w:rPr>
                <w:color w:val="000000"/>
                <w:sz w:val="14"/>
                <w:szCs w:val="14"/>
              </w:rPr>
            </w:pPr>
            <w:r w:rsidRPr="00E06E32">
              <w:rPr>
                <w:color w:val="000000"/>
                <w:sz w:val="14"/>
                <w:szCs w:val="14"/>
              </w:rPr>
              <w:t>December 31</w:t>
            </w:r>
          </w:p>
          <w:p w14:paraId="206873F2" w14:textId="15823238" w:rsidR="008234F6" w:rsidRPr="00E06E32" w:rsidRDefault="008234F6" w:rsidP="008234F6">
            <w:pPr>
              <w:widowControl w:val="0"/>
              <w:pBdr>
                <w:top w:val="nil"/>
                <w:left w:val="nil"/>
                <w:bottom w:val="nil"/>
                <w:right w:val="nil"/>
                <w:between w:val="nil"/>
              </w:pBdr>
              <w:ind w:left="-95" w:right="-71"/>
              <w:jc w:val="center"/>
              <w:rPr>
                <w:color w:val="000000"/>
                <w:sz w:val="14"/>
                <w:szCs w:val="14"/>
              </w:rPr>
            </w:pPr>
            <w:r w:rsidRPr="00E06E32">
              <w:rPr>
                <w:color w:val="000000"/>
                <w:sz w:val="14"/>
                <w:szCs w:val="14"/>
              </w:rPr>
              <w:t>2024</w:t>
            </w:r>
          </w:p>
        </w:tc>
        <w:tc>
          <w:tcPr>
            <w:tcW w:w="1026" w:type="dxa"/>
            <w:tcBorders>
              <w:top w:val="single" w:sz="4" w:space="0" w:color="000000"/>
              <w:left w:val="single" w:sz="4" w:space="0" w:color="000000"/>
              <w:bottom w:val="single" w:sz="4" w:space="0" w:color="000000"/>
              <w:right w:val="single" w:sz="4" w:space="0" w:color="000000"/>
            </w:tcBorders>
            <w:vAlign w:val="center"/>
          </w:tcPr>
          <w:p w14:paraId="3ECD5347" w14:textId="77777777" w:rsidR="008234F6" w:rsidRPr="00E06E32" w:rsidRDefault="008234F6" w:rsidP="008234F6">
            <w:pPr>
              <w:widowControl w:val="0"/>
              <w:pBdr>
                <w:top w:val="nil"/>
                <w:left w:val="nil"/>
                <w:bottom w:val="nil"/>
                <w:right w:val="nil"/>
                <w:between w:val="nil"/>
              </w:pBdr>
              <w:ind w:left="-112" w:right="-149"/>
              <w:jc w:val="center"/>
              <w:rPr>
                <w:color w:val="000000"/>
                <w:sz w:val="14"/>
                <w:szCs w:val="14"/>
              </w:rPr>
            </w:pPr>
            <w:r w:rsidRPr="00E06E32">
              <w:rPr>
                <w:color w:val="000000"/>
                <w:sz w:val="14"/>
                <w:szCs w:val="14"/>
              </w:rPr>
              <w:t>September 30</w:t>
            </w:r>
          </w:p>
          <w:p w14:paraId="1E41DF71" w14:textId="6600A8D3" w:rsidR="008234F6" w:rsidRPr="00E06E32" w:rsidRDefault="008234F6" w:rsidP="008234F6">
            <w:pPr>
              <w:widowControl w:val="0"/>
              <w:pBdr>
                <w:top w:val="nil"/>
                <w:left w:val="nil"/>
                <w:bottom w:val="nil"/>
                <w:right w:val="nil"/>
                <w:between w:val="nil"/>
              </w:pBdr>
              <w:jc w:val="center"/>
              <w:rPr>
                <w:color w:val="000000"/>
                <w:sz w:val="14"/>
                <w:szCs w:val="14"/>
              </w:rPr>
            </w:pPr>
            <w:r w:rsidRPr="00E06E32">
              <w:rPr>
                <w:color w:val="000000"/>
                <w:sz w:val="14"/>
                <w:szCs w:val="14"/>
              </w:rPr>
              <w:t>2024</w:t>
            </w:r>
          </w:p>
        </w:tc>
      </w:tr>
      <w:tr w:rsidR="008234F6" w:rsidRPr="00E06E32" w14:paraId="71903932" w14:textId="77777777" w:rsidTr="00C5405C">
        <w:trPr>
          <w:trHeight w:val="167"/>
        </w:trPr>
        <w:tc>
          <w:tcPr>
            <w:tcW w:w="1994" w:type="dxa"/>
            <w:tcBorders>
              <w:top w:val="single" w:sz="4" w:space="0" w:color="000000"/>
              <w:left w:val="single" w:sz="4" w:space="0" w:color="000000"/>
              <w:bottom w:val="single" w:sz="4" w:space="0" w:color="000000"/>
              <w:right w:val="single" w:sz="4" w:space="0" w:color="000000"/>
            </w:tcBorders>
            <w:vAlign w:val="bottom"/>
          </w:tcPr>
          <w:p w14:paraId="1EC4E3CC" w14:textId="77777777" w:rsidR="008234F6" w:rsidRPr="00E06E32" w:rsidRDefault="008234F6" w:rsidP="008234F6">
            <w:pPr>
              <w:widowControl w:val="0"/>
              <w:pBdr>
                <w:top w:val="nil"/>
                <w:left w:val="nil"/>
                <w:bottom w:val="nil"/>
                <w:right w:val="nil"/>
                <w:between w:val="nil"/>
              </w:pBdr>
              <w:spacing w:before="40"/>
              <w:ind w:left="-41" w:right="-108"/>
              <w:rPr>
                <w:color w:val="000000"/>
                <w:sz w:val="14"/>
                <w:szCs w:val="14"/>
              </w:rPr>
            </w:pPr>
            <w:r w:rsidRPr="00E06E32">
              <w:rPr>
                <w:color w:val="000000"/>
                <w:sz w:val="14"/>
                <w:szCs w:val="14"/>
              </w:rPr>
              <w:t xml:space="preserve">Working capital </w:t>
            </w:r>
            <w:r w:rsidRPr="00E06E32">
              <w:rPr>
                <w:color w:val="000000"/>
                <w:sz w:val="14"/>
                <w:szCs w:val="14"/>
                <w:vertAlign w:val="superscript"/>
              </w:rPr>
              <w:t>(2)</w:t>
            </w:r>
            <w:r w:rsidRPr="00E06E32">
              <w:rPr>
                <w:color w:val="000000"/>
                <w:sz w:val="14"/>
                <w:szCs w:val="14"/>
              </w:rPr>
              <w:t xml:space="preserve"> ($)</w:t>
            </w:r>
          </w:p>
        </w:tc>
        <w:tc>
          <w:tcPr>
            <w:tcW w:w="977" w:type="dxa"/>
            <w:tcBorders>
              <w:top w:val="single" w:sz="4" w:space="0" w:color="000000"/>
              <w:left w:val="single" w:sz="4" w:space="0" w:color="000000"/>
              <w:bottom w:val="single" w:sz="4" w:space="0" w:color="000000"/>
              <w:right w:val="single" w:sz="4" w:space="0" w:color="000000"/>
            </w:tcBorders>
            <w:vAlign w:val="bottom"/>
          </w:tcPr>
          <w:p w14:paraId="0263BE03" w14:textId="47483A99" w:rsidR="008234F6" w:rsidRPr="00E06E32" w:rsidRDefault="00D730EF" w:rsidP="008234F6">
            <w:pPr>
              <w:widowControl w:val="0"/>
              <w:pBdr>
                <w:top w:val="nil"/>
                <w:left w:val="nil"/>
                <w:bottom w:val="nil"/>
                <w:right w:val="nil"/>
                <w:between w:val="nil"/>
              </w:pBdr>
              <w:ind w:left="-108"/>
              <w:jc w:val="right"/>
              <w:rPr>
                <w:color w:val="000000"/>
                <w:sz w:val="14"/>
                <w:szCs w:val="14"/>
              </w:rPr>
            </w:pPr>
            <w:r>
              <w:rPr>
                <w:color w:val="000000"/>
                <w:sz w:val="14"/>
                <w:szCs w:val="14"/>
              </w:rPr>
              <w:t>(63,357,139)</w:t>
            </w:r>
          </w:p>
        </w:tc>
        <w:tc>
          <w:tcPr>
            <w:tcW w:w="978" w:type="dxa"/>
            <w:tcBorders>
              <w:top w:val="single" w:sz="4" w:space="0" w:color="000000"/>
              <w:left w:val="single" w:sz="4" w:space="0" w:color="000000"/>
              <w:bottom w:val="single" w:sz="4" w:space="0" w:color="000000"/>
              <w:right w:val="single" w:sz="4" w:space="0" w:color="000000"/>
            </w:tcBorders>
            <w:vAlign w:val="bottom"/>
          </w:tcPr>
          <w:p w14:paraId="477D35B5" w14:textId="42487EBF" w:rsidR="008234F6" w:rsidRPr="00E06E32" w:rsidRDefault="008234F6" w:rsidP="008234F6">
            <w:pPr>
              <w:widowControl w:val="0"/>
              <w:pBdr>
                <w:top w:val="nil"/>
                <w:left w:val="nil"/>
                <w:bottom w:val="nil"/>
                <w:right w:val="nil"/>
                <w:between w:val="nil"/>
              </w:pBdr>
              <w:ind w:left="-108"/>
              <w:jc w:val="right"/>
              <w:rPr>
                <w:color w:val="000000"/>
                <w:sz w:val="14"/>
                <w:szCs w:val="14"/>
              </w:rPr>
            </w:pPr>
            <w:r>
              <w:rPr>
                <w:color w:val="000000"/>
                <w:sz w:val="14"/>
                <w:szCs w:val="14"/>
              </w:rPr>
              <w:t>(57,204,608)</w:t>
            </w:r>
          </w:p>
        </w:tc>
        <w:tc>
          <w:tcPr>
            <w:tcW w:w="977" w:type="dxa"/>
            <w:tcBorders>
              <w:top w:val="single" w:sz="4" w:space="0" w:color="000000"/>
              <w:left w:val="single" w:sz="4" w:space="0" w:color="000000"/>
              <w:bottom w:val="single" w:sz="4" w:space="0" w:color="000000"/>
              <w:right w:val="single" w:sz="4" w:space="0" w:color="000000"/>
            </w:tcBorders>
            <w:vAlign w:val="bottom"/>
          </w:tcPr>
          <w:p w14:paraId="29823893" w14:textId="317817FA" w:rsidR="008234F6" w:rsidRPr="00E06E32" w:rsidRDefault="008234F6" w:rsidP="008234F6">
            <w:pPr>
              <w:widowControl w:val="0"/>
              <w:pBdr>
                <w:top w:val="nil"/>
                <w:left w:val="nil"/>
                <w:bottom w:val="nil"/>
                <w:right w:val="nil"/>
                <w:between w:val="nil"/>
              </w:pBdr>
              <w:ind w:left="-33"/>
              <w:jc w:val="right"/>
              <w:rPr>
                <w:color w:val="000000"/>
                <w:sz w:val="14"/>
                <w:szCs w:val="14"/>
              </w:rPr>
            </w:pPr>
            <w:r w:rsidRPr="00E06E32">
              <w:rPr>
                <w:color w:val="000000"/>
                <w:sz w:val="14"/>
                <w:szCs w:val="14"/>
              </w:rPr>
              <w:t>(</w:t>
            </w:r>
            <w:r>
              <w:rPr>
                <w:color w:val="000000"/>
                <w:sz w:val="14"/>
                <w:szCs w:val="14"/>
              </w:rPr>
              <w:t>71,815,326</w:t>
            </w:r>
            <w:r w:rsidRPr="00E06E32">
              <w:rPr>
                <w:color w:val="000000"/>
                <w:sz w:val="14"/>
                <w:szCs w:val="14"/>
              </w:rPr>
              <w:t>)</w:t>
            </w:r>
          </w:p>
        </w:tc>
        <w:tc>
          <w:tcPr>
            <w:tcW w:w="978" w:type="dxa"/>
            <w:tcBorders>
              <w:top w:val="single" w:sz="4" w:space="0" w:color="000000"/>
              <w:left w:val="single" w:sz="4" w:space="0" w:color="000000"/>
              <w:bottom w:val="single" w:sz="4" w:space="0" w:color="000000"/>
              <w:right w:val="single" w:sz="4" w:space="0" w:color="000000"/>
            </w:tcBorders>
            <w:vAlign w:val="bottom"/>
          </w:tcPr>
          <w:p w14:paraId="03C12564" w14:textId="1E5B7B04" w:rsidR="008234F6" w:rsidRPr="00E06E32" w:rsidRDefault="008234F6" w:rsidP="008234F6">
            <w:pPr>
              <w:widowControl w:val="0"/>
              <w:pBdr>
                <w:top w:val="nil"/>
                <w:left w:val="nil"/>
                <w:bottom w:val="nil"/>
                <w:right w:val="nil"/>
                <w:between w:val="nil"/>
              </w:pBdr>
              <w:ind w:left="-108"/>
              <w:jc w:val="right"/>
              <w:rPr>
                <w:color w:val="000000"/>
                <w:sz w:val="14"/>
                <w:szCs w:val="14"/>
              </w:rPr>
            </w:pPr>
            <w:r w:rsidRPr="00E06E32">
              <w:rPr>
                <w:color w:val="000000"/>
                <w:sz w:val="14"/>
                <w:szCs w:val="14"/>
              </w:rPr>
              <w:t>(41,083,378)</w:t>
            </w:r>
          </w:p>
        </w:tc>
        <w:tc>
          <w:tcPr>
            <w:tcW w:w="978" w:type="dxa"/>
            <w:tcBorders>
              <w:top w:val="single" w:sz="4" w:space="0" w:color="000000"/>
              <w:left w:val="single" w:sz="4" w:space="0" w:color="000000"/>
              <w:bottom w:val="single" w:sz="4" w:space="0" w:color="000000"/>
              <w:right w:val="single" w:sz="4" w:space="0" w:color="000000"/>
            </w:tcBorders>
            <w:vAlign w:val="bottom"/>
          </w:tcPr>
          <w:p w14:paraId="23C41378" w14:textId="0FA18C19" w:rsidR="008234F6" w:rsidRPr="00E06E32" w:rsidRDefault="008234F6" w:rsidP="008234F6">
            <w:pPr>
              <w:widowControl w:val="0"/>
              <w:pBdr>
                <w:top w:val="nil"/>
                <w:left w:val="nil"/>
                <w:bottom w:val="nil"/>
                <w:right w:val="nil"/>
                <w:between w:val="nil"/>
              </w:pBdr>
              <w:ind w:left="-107" w:right="-28"/>
              <w:jc w:val="right"/>
              <w:rPr>
                <w:color w:val="000000"/>
                <w:sz w:val="14"/>
                <w:szCs w:val="14"/>
              </w:rPr>
            </w:pPr>
            <w:r w:rsidRPr="00E06E32">
              <w:rPr>
                <w:color w:val="000000"/>
                <w:sz w:val="14"/>
                <w:szCs w:val="14"/>
              </w:rPr>
              <w:t>(50,685,438)</w:t>
            </w:r>
          </w:p>
        </w:tc>
        <w:tc>
          <w:tcPr>
            <w:tcW w:w="977" w:type="dxa"/>
            <w:tcBorders>
              <w:top w:val="single" w:sz="4" w:space="0" w:color="000000"/>
              <w:left w:val="single" w:sz="4" w:space="0" w:color="000000"/>
              <w:bottom w:val="single" w:sz="4" w:space="0" w:color="000000"/>
              <w:right w:val="single" w:sz="4" w:space="0" w:color="000000"/>
            </w:tcBorders>
            <w:vAlign w:val="bottom"/>
          </w:tcPr>
          <w:p w14:paraId="342BA787" w14:textId="606B47E9" w:rsidR="008234F6" w:rsidRPr="00E06E32" w:rsidRDefault="008234F6" w:rsidP="008234F6">
            <w:pPr>
              <w:widowControl w:val="0"/>
              <w:pBdr>
                <w:top w:val="nil"/>
                <w:left w:val="nil"/>
                <w:bottom w:val="nil"/>
                <w:right w:val="nil"/>
                <w:between w:val="nil"/>
              </w:pBdr>
              <w:ind w:left="-108"/>
              <w:jc w:val="right"/>
              <w:rPr>
                <w:color w:val="000000"/>
                <w:sz w:val="14"/>
                <w:szCs w:val="14"/>
              </w:rPr>
            </w:pPr>
            <w:r w:rsidRPr="00E06E32">
              <w:rPr>
                <w:color w:val="000000"/>
                <w:sz w:val="14"/>
                <w:szCs w:val="14"/>
              </w:rPr>
              <w:t>(43,228,970)</w:t>
            </w:r>
          </w:p>
        </w:tc>
        <w:tc>
          <w:tcPr>
            <w:tcW w:w="930" w:type="dxa"/>
            <w:tcBorders>
              <w:top w:val="single" w:sz="4" w:space="0" w:color="000000"/>
              <w:left w:val="single" w:sz="4" w:space="0" w:color="000000"/>
              <w:bottom w:val="single" w:sz="4" w:space="0" w:color="000000"/>
              <w:right w:val="single" w:sz="4" w:space="0" w:color="000000"/>
            </w:tcBorders>
            <w:vAlign w:val="bottom"/>
          </w:tcPr>
          <w:p w14:paraId="09C6C415" w14:textId="76ACB1E2" w:rsidR="008234F6" w:rsidRPr="00E06E32" w:rsidRDefault="008234F6" w:rsidP="008234F6">
            <w:pPr>
              <w:widowControl w:val="0"/>
              <w:pBdr>
                <w:top w:val="nil"/>
                <w:left w:val="nil"/>
                <w:bottom w:val="nil"/>
                <w:right w:val="nil"/>
                <w:between w:val="nil"/>
              </w:pBdr>
              <w:ind w:left="-108"/>
              <w:jc w:val="right"/>
              <w:rPr>
                <w:color w:val="000000"/>
                <w:sz w:val="14"/>
                <w:szCs w:val="14"/>
              </w:rPr>
            </w:pPr>
            <w:r w:rsidRPr="00E06E32">
              <w:rPr>
                <w:rFonts w:cs="Arial"/>
                <w:color w:val="000000"/>
                <w:sz w:val="14"/>
                <w:szCs w:val="14"/>
              </w:rPr>
              <w:t>(28,816,056)</w:t>
            </w:r>
          </w:p>
        </w:tc>
        <w:tc>
          <w:tcPr>
            <w:tcW w:w="1026" w:type="dxa"/>
            <w:tcBorders>
              <w:top w:val="single" w:sz="4" w:space="0" w:color="000000"/>
              <w:left w:val="single" w:sz="4" w:space="0" w:color="000000"/>
              <w:bottom w:val="single" w:sz="4" w:space="0" w:color="000000"/>
              <w:right w:val="single" w:sz="4" w:space="0" w:color="000000"/>
            </w:tcBorders>
            <w:vAlign w:val="bottom"/>
          </w:tcPr>
          <w:p w14:paraId="295D0B88" w14:textId="5A31278E" w:rsidR="008234F6" w:rsidRPr="00E06E32" w:rsidRDefault="008234F6" w:rsidP="008234F6">
            <w:pPr>
              <w:widowControl w:val="0"/>
              <w:pBdr>
                <w:top w:val="nil"/>
                <w:left w:val="nil"/>
                <w:bottom w:val="nil"/>
                <w:right w:val="nil"/>
                <w:between w:val="nil"/>
              </w:pBdr>
              <w:ind w:left="-108"/>
              <w:jc w:val="right"/>
              <w:rPr>
                <w:color w:val="000000"/>
                <w:sz w:val="14"/>
                <w:szCs w:val="14"/>
              </w:rPr>
            </w:pPr>
            <w:r w:rsidRPr="00E06E32">
              <w:rPr>
                <w:color w:val="000000"/>
                <w:sz w:val="14"/>
                <w:szCs w:val="14"/>
              </w:rPr>
              <w:t xml:space="preserve"> (29,672,904)</w:t>
            </w:r>
          </w:p>
        </w:tc>
      </w:tr>
      <w:tr w:rsidR="008234F6" w:rsidRPr="00E06E32" w14:paraId="449063DF" w14:textId="77777777" w:rsidTr="00C5405C">
        <w:trPr>
          <w:trHeight w:val="233"/>
        </w:trPr>
        <w:tc>
          <w:tcPr>
            <w:tcW w:w="1994" w:type="dxa"/>
            <w:tcBorders>
              <w:top w:val="single" w:sz="4" w:space="0" w:color="000000"/>
              <w:left w:val="single" w:sz="4" w:space="0" w:color="000000"/>
              <w:bottom w:val="single" w:sz="4" w:space="0" w:color="000000"/>
              <w:right w:val="single" w:sz="4" w:space="0" w:color="000000"/>
            </w:tcBorders>
            <w:vAlign w:val="bottom"/>
          </w:tcPr>
          <w:p w14:paraId="44EF165F" w14:textId="77777777" w:rsidR="008234F6" w:rsidRPr="00E06E32" w:rsidRDefault="008234F6" w:rsidP="008234F6">
            <w:pPr>
              <w:widowControl w:val="0"/>
              <w:pBdr>
                <w:top w:val="nil"/>
                <w:left w:val="nil"/>
                <w:bottom w:val="nil"/>
                <w:right w:val="nil"/>
                <w:between w:val="nil"/>
              </w:pBdr>
              <w:spacing w:before="40"/>
              <w:ind w:left="-41" w:right="-108"/>
              <w:rPr>
                <w:b/>
                <w:color w:val="000000"/>
                <w:sz w:val="14"/>
                <w:szCs w:val="14"/>
              </w:rPr>
            </w:pPr>
            <w:r w:rsidRPr="00E06E32">
              <w:rPr>
                <w:color w:val="000000"/>
                <w:sz w:val="14"/>
                <w:szCs w:val="14"/>
              </w:rPr>
              <w:t>Oil and natural gas sales revenue ($)</w:t>
            </w:r>
          </w:p>
        </w:tc>
        <w:tc>
          <w:tcPr>
            <w:tcW w:w="977" w:type="dxa"/>
            <w:tcBorders>
              <w:top w:val="single" w:sz="4" w:space="0" w:color="000000"/>
              <w:left w:val="single" w:sz="4" w:space="0" w:color="000000"/>
              <w:bottom w:val="single" w:sz="4" w:space="0" w:color="000000"/>
              <w:right w:val="single" w:sz="4" w:space="0" w:color="000000"/>
            </w:tcBorders>
            <w:vAlign w:val="bottom"/>
          </w:tcPr>
          <w:p w14:paraId="233A00DF" w14:textId="5CEA0D38" w:rsidR="008234F6" w:rsidRPr="00E06E32" w:rsidRDefault="00D730EF" w:rsidP="008234F6">
            <w:pPr>
              <w:widowControl w:val="0"/>
              <w:pBdr>
                <w:top w:val="nil"/>
                <w:left w:val="nil"/>
                <w:bottom w:val="nil"/>
                <w:right w:val="nil"/>
                <w:between w:val="nil"/>
              </w:pBdr>
              <w:ind w:left="-108"/>
              <w:jc w:val="right"/>
              <w:rPr>
                <w:color w:val="000000"/>
                <w:sz w:val="14"/>
                <w:szCs w:val="14"/>
              </w:rPr>
            </w:pPr>
            <w:r>
              <w:rPr>
                <w:color w:val="000000"/>
                <w:sz w:val="14"/>
                <w:szCs w:val="14"/>
              </w:rPr>
              <w:t>69,206,301</w:t>
            </w:r>
          </w:p>
        </w:tc>
        <w:tc>
          <w:tcPr>
            <w:tcW w:w="978" w:type="dxa"/>
            <w:tcBorders>
              <w:top w:val="single" w:sz="4" w:space="0" w:color="000000"/>
              <w:left w:val="single" w:sz="4" w:space="0" w:color="000000"/>
              <w:bottom w:val="single" w:sz="4" w:space="0" w:color="000000"/>
              <w:right w:val="single" w:sz="4" w:space="0" w:color="000000"/>
            </w:tcBorders>
            <w:vAlign w:val="bottom"/>
          </w:tcPr>
          <w:p w14:paraId="034033FF" w14:textId="3EDC5474" w:rsidR="008234F6" w:rsidRPr="00E06E32" w:rsidRDefault="008234F6" w:rsidP="008234F6">
            <w:pPr>
              <w:widowControl w:val="0"/>
              <w:pBdr>
                <w:top w:val="nil"/>
                <w:left w:val="nil"/>
                <w:bottom w:val="nil"/>
                <w:right w:val="nil"/>
                <w:between w:val="nil"/>
              </w:pBdr>
              <w:ind w:left="-108"/>
              <w:jc w:val="right"/>
              <w:rPr>
                <w:color w:val="000000"/>
                <w:sz w:val="14"/>
                <w:szCs w:val="14"/>
              </w:rPr>
            </w:pPr>
            <w:r>
              <w:rPr>
                <w:color w:val="000000"/>
                <w:sz w:val="14"/>
                <w:szCs w:val="14"/>
              </w:rPr>
              <w:t>44,481,221</w:t>
            </w:r>
          </w:p>
        </w:tc>
        <w:tc>
          <w:tcPr>
            <w:tcW w:w="977" w:type="dxa"/>
            <w:tcBorders>
              <w:top w:val="single" w:sz="4" w:space="0" w:color="000000"/>
              <w:left w:val="single" w:sz="4" w:space="0" w:color="000000"/>
              <w:bottom w:val="single" w:sz="4" w:space="0" w:color="000000"/>
              <w:right w:val="single" w:sz="4" w:space="0" w:color="000000"/>
            </w:tcBorders>
            <w:vAlign w:val="bottom"/>
          </w:tcPr>
          <w:p w14:paraId="51176DF7" w14:textId="23874B22" w:rsidR="008234F6" w:rsidRPr="00E06E32" w:rsidRDefault="008234F6" w:rsidP="008234F6">
            <w:pPr>
              <w:widowControl w:val="0"/>
              <w:pBdr>
                <w:top w:val="nil"/>
                <w:left w:val="nil"/>
                <w:bottom w:val="nil"/>
                <w:right w:val="nil"/>
                <w:between w:val="nil"/>
              </w:pBdr>
              <w:spacing w:before="40"/>
              <w:jc w:val="right"/>
              <w:rPr>
                <w:color w:val="000000"/>
                <w:sz w:val="14"/>
                <w:szCs w:val="14"/>
              </w:rPr>
            </w:pPr>
            <w:r>
              <w:rPr>
                <w:color w:val="000000"/>
                <w:sz w:val="14"/>
                <w:szCs w:val="14"/>
              </w:rPr>
              <w:t>34,566,448</w:t>
            </w:r>
          </w:p>
        </w:tc>
        <w:tc>
          <w:tcPr>
            <w:tcW w:w="978" w:type="dxa"/>
            <w:tcBorders>
              <w:top w:val="single" w:sz="4" w:space="0" w:color="000000"/>
              <w:left w:val="single" w:sz="4" w:space="0" w:color="000000"/>
              <w:bottom w:val="single" w:sz="4" w:space="0" w:color="000000"/>
              <w:right w:val="single" w:sz="4" w:space="0" w:color="000000"/>
            </w:tcBorders>
            <w:vAlign w:val="bottom"/>
          </w:tcPr>
          <w:p w14:paraId="0AE27CA5" w14:textId="53AE5E0C" w:rsidR="008234F6" w:rsidRPr="00E06E32" w:rsidRDefault="008234F6" w:rsidP="008234F6">
            <w:pPr>
              <w:widowControl w:val="0"/>
              <w:pBdr>
                <w:top w:val="nil"/>
                <w:left w:val="nil"/>
                <w:bottom w:val="nil"/>
                <w:right w:val="nil"/>
                <w:between w:val="nil"/>
              </w:pBdr>
              <w:spacing w:before="40"/>
              <w:ind w:left="-108"/>
              <w:jc w:val="right"/>
              <w:rPr>
                <w:color w:val="000000"/>
                <w:sz w:val="14"/>
                <w:szCs w:val="14"/>
              </w:rPr>
            </w:pPr>
            <w:r w:rsidRPr="00E06E32">
              <w:rPr>
                <w:color w:val="000000"/>
                <w:sz w:val="14"/>
                <w:szCs w:val="14"/>
              </w:rPr>
              <w:t>21,703,343</w:t>
            </w:r>
          </w:p>
        </w:tc>
        <w:tc>
          <w:tcPr>
            <w:tcW w:w="978" w:type="dxa"/>
            <w:tcBorders>
              <w:top w:val="single" w:sz="4" w:space="0" w:color="000000"/>
              <w:left w:val="single" w:sz="4" w:space="0" w:color="000000"/>
              <w:bottom w:val="single" w:sz="4" w:space="0" w:color="000000"/>
              <w:right w:val="single" w:sz="4" w:space="0" w:color="000000"/>
            </w:tcBorders>
            <w:vAlign w:val="bottom"/>
          </w:tcPr>
          <w:p w14:paraId="2DD47D3D" w14:textId="2C899B83" w:rsidR="008234F6" w:rsidRPr="00E06E32" w:rsidRDefault="008234F6" w:rsidP="008234F6">
            <w:pPr>
              <w:widowControl w:val="0"/>
              <w:pBdr>
                <w:top w:val="nil"/>
                <w:left w:val="nil"/>
                <w:bottom w:val="nil"/>
                <w:right w:val="nil"/>
                <w:between w:val="nil"/>
              </w:pBdr>
              <w:ind w:left="-18" w:right="-28"/>
              <w:jc w:val="right"/>
              <w:rPr>
                <w:color w:val="000000"/>
                <w:sz w:val="14"/>
                <w:szCs w:val="14"/>
              </w:rPr>
            </w:pPr>
            <w:r w:rsidRPr="00E06E32">
              <w:rPr>
                <w:color w:val="000000"/>
                <w:sz w:val="14"/>
                <w:szCs w:val="14"/>
              </w:rPr>
              <w:t>22,208,934</w:t>
            </w:r>
          </w:p>
        </w:tc>
        <w:tc>
          <w:tcPr>
            <w:tcW w:w="977" w:type="dxa"/>
            <w:tcBorders>
              <w:top w:val="single" w:sz="4" w:space="0" w:color="000000"/>
              <w:left w:val="single" w:sz="4" w:space="0" w:color="000000"/>
              <w:bottom w:val="single" w:sz="4" w:space="0" w:color="000000"/>
              <w:right w:val="single" w:sz="4" w:space="0" w:color="000000"/>
            </w:tcBorders>
            <w:vAlign w:val="bottom"/>
          </w:tcPr>
          <w:p w14:paraId="4BD568F2" w14:textId="7B0D81FE" w:rsidR="008234F6" w:rsidRPr="00E06E32" w:rsidRDefault="008234F6" w:rsidP="008234F6">
            <w:pPr>
              <w:widowControl w:val="0"/>
              <w:pBdr>
                <w:top w:val="nil"/>
                <w:left w:val="nil"/>
                <w:bottom w:val="nil"/>
                <w:right w:val="nil"/>
                <w:between w:val="nil"/>
              </w:pBdr>
              <w:ind w:left="-108"/>
              <w:jc w:val="right"/>
              <w:rPr>
                <w:color w:val="000000"/>
                <w:sz w:val="14"/>
                <w:szCs w:val="14"/>
              </w:rPr>
            </w:pPr>
            <w:r w:rsidRPr="00E06E32">
              <w:rPr>
                <w:color w:val="000000"/>
                <w:sz w:val="14"/>
                <w:szCs w:val="14"/>
              </w:rPr>
              <w:t>23,508,494</w:t>
            </w:r>
          </w:p>
        </w:tc>
        <w:tc>
          <w:tcPr>
            <w:tcW w:w="930" w:type="dxa"/>
            <w:tcBorders>
              <w:top w:val="single" w:sz="4" w:space="0" w:color="000000"/>
              <w:left w:val="single" w:sz="4" w:space="0" w:color="000000"/>
              <w:bottom w:val="single" w:sz="4" w:space="0" w:color="000000"/>
              <w:right w:val="single" w:sz="4" w:space="0" w:color="000000"/>
            </w:tcBorders>
            <w:vAlign w:val="bottom"/>
          </w:tcPr>
          <w:p w14:paraId="5527F94F" w14:textId="6747A307" w:rsidR="008234F6" w:rsidRPr="00E06E32" w:rsidRDefault="008234F6" w:rsidP="008234F6">
            <w:pPr>
              <w:widowControl w:val="0"/>
              <w:pBdr>
                <w:top w:val="nil"/>
                <w:left w:val="nil"/>
                <w:bottom w:val="nil"/>
                <w:right w:val="nil"/>
                <w:between w:val="nil"/>
              </w:pBdr>
              <w:ind w:left="-108"/>
              <w:jc w:val="right"/>
              <w:rPr>
                <w:color w:val="000000"/>
                <w:sz w:val="14"/>
                <w:szCs w:val="14"/>
              </w:rPr>
            </w:pPr>
            <w:r w:rsidRPr="00E06E32">
              <w:rPr>
                <w:rFonts w:cs="Arial"/>
                <w:color w:val="000000"/>
                <w:sz w:val="14"/>
                <w:szCs w:val="14"/>
              </w:rPr>
              <w:t>19,580,949</w:t>
            </w:r>
          </w:p>
        </w:tc>
        <w:tc>
          <w:tcPr>
            <w:tcW w:w="1026" w:type="dxa"/>
            <w:tcBorders>
              <w:top w:val="single" w:sz="4" w:space="0" w:color="000000"/>
              <w:left w:val="single" w:sz="4" w:space="0" w:color="000000"/>
              <w:bottom w:val="single" w:sz="4" w:space="0" w:color="000000"/>
              <w:right w:val="single" w:sz="4" w:space="0" w:color="000000"/>
            </w:tcBorders>
            <w:vAlign w:val="bottom"/>
          </w:tcPr>
          <w:p w14:paraId="79942D07" w14:textId="42463DFA" w:rsidR="008234F6" w:rsidRPr="00E06E32" w:rsidRDefault="008234F6" w:rsidP="008234F6">
            <w:pPr>
              <w:widowControl w:val="0"/>
              <w:pBdr>
                <w:top w:val="nil"/>
                <w:left w:val="nil"/>
                <w:bottom w:val="nil"/>
                <w:right w:val="nil"/>
                <w:between w:val="nil"/>
              </w:pBdr>
              <w:ind w:left="-108"/>
              <w:jc w:val="right"/>
              <w:rPr>
                <w:color w:val="000000"/>
                <w:sz w:val="14"/>
                <w:szCs w:val="14"/>
              </w:rPr>
            </w:pPr>
            <w:r w:rsidRPr="00E06E32">
              <w:rPr>
                <w:color w:val="000000"/>
                <w:sz w:val="14"/>
                <w:szCs w:val="14"/>
              </w:rPr>
              <w:t xml:space="preserve"> 5,560,809 </w:t>
            </w:r>
          </w:p>
        </w:tc>
      </w:tr>
      <w:tr w:rsidR="008234F6" w:rsidRPr="00E06E32" w14:paraId="08AC94D3" w14:textId="77777777" w:rsidTr="00C5405C">
        <w:trPr>
          <w:trHeight w:val="108"/>
        </w:trPr>
        <w:tc>
          <w:tcPr>
            <w:tcW w:w="1994" w:type="dxa"/>
            <w:tcBorders>
              <w:top w:val="single" w:sz="4" w:space="0" w:color="000000"/>
              <w:left w:val="single" w:sz="4" w:space="0" w:color="000000"/>
              <w:bottom w:val="single" w:sz="4" w:space="0" w:color="000000"/>
              <w:right w:val="single" w:sz="4" w:space="0" w:color="000000"/>
            </w:tcBorders>
            <w:vAlign w:val="bottom"/>
          </w:tcPr>
          <w:p w14:paraId="72544570" w14:textId="77777777" w:rsidR="008234F6" w:rsidRPr="00E06E32" w:rsidRDefault="008234F6" w:rsidP="008234F6">
            <w:pPr>
              <w:widowControl w:val="0"/>
              <w:pBdr>
                <w:top w:val="nil"/>
                <w:left w:val="nil"/>
                <w:bottom w:val="nil"/>
                <w:right w:val="nil"/>
                <w:between w:val="nil"/>
              </w:pBdr>
              <w:spacing w:before="40"/>
              <w:ind w:left="-41" w:right="-108"/>
              <w:rPr>
                <w:b/>
                <w:color w:val="000000"/>
                <w:sz w:val="14"/>
                <w:szCs w:val="14"/>
              </w:rPr>
            </w:pPr>
            <w:r w:rsidRPr="00E06E32">
              <w:rPr>
                <w:color w:val="000000"/>
                <w:sz w:val="14"/>
                <w:szCs w:val="14"/>
              </w:rPr>
              <w:t>Net income (loss) ($)</w:t>
            </w:r>
          </w:p>
        </w:tc>
        <w:tc>
          <w:tcPr>
            <w:tcW w:w="977" w:type="dxa"/>
            <w:tcBorders>
              <w:top w:val="single" w:sz="4" w:space="0" w:color="000000"/>
              <w:left w:val="single" w:sz="4" w:space="0" w:color="000000"/>
              <w:bottom w:val="single" w:sz="4" w:space="0" w:color="000000"/>
              <w:right w:val="single" w:sz="4" w:space="0" w:color="000000"/>
            </w:tcBorders>
            <w:vAlign w:val="bottom"/>
          </w:tcPr>
          <w:p w14:paraId="25F8DB51" w14:textId="535E8DCE" w:rsidR="008234F6" w:rsidRPr="00E06E32" w:rsidRDefault="00D730EF" w:rsidP="008234F6">
            <w:pPr>
              <w:widowControl w:val="0"/>
              <w:pBdr>
                <w:top w:val="nil"/>
                <w:left w:val="nil"/>
                <w:bottom w:val="nil"/>
                <w:right w:val="nil"/>
                <w:between w:val="nil"/>
              </w:pBdr>
              <w:ind w:left="-108"/>
              <w:jc w:val="right"/>
              <w:rPr>
                <w:color w:val="000000"/>
                <w:sz w:val="14"/>
                <w:szCs w:val="14"/>
              </w:rPr>
            </w:pPr>
            <w:r>
              <w:rPr>
                <w:color w:val="000000"/>
                <w:sz w:val="14"/>
                <w:szCs w:val="14"/>
              </w:rPr>
              <w:t>9,216,967</w:t>
            </w:r>
          </w:p>
        </w:tc>
        <w:tc>
          <w:tcPr>
            <w:tcW w:w="978" w:type="dxa"/>
            <w:tcBorders>
              <w:top w:val="single" w:sz="4" w:space="0" w:color="000000"/>
              <w:left w:val="single" w:sz="4" w:space="0" w:color="000000"/>
              <w:bottom w:val="single" w:sz="4" w:space="0" w:color="000000"/>
              <w:right w:val="single" w:sz="4" w:space="0" w:color="000000"/>
            </w:tcBorders>
            <w:vAlign w:val="bottom"/>
          </w:tcPr>
          <w:p w14:paraId="57026F31" w14:textId="5A56E742" w:rsidR="008234F6" w:rsidRPr="00E06E32" w:rsidRDefault="008234F6" w:rsidP="008234F6">
            <w:pPr>
              <w:widowControl w:val="0"/>
              <w:pBdr>
                <w:top w:val="nil"/>
                <w:left w:val="nil"/>
                <w:bottom w:val="nil"/>
                <w:right w:val="nil"/>
                <w:between w:val="nil"/>
              </w:pBdr>
              <w:ind w:left="-108"/>
              <w:jc w:val="right"/>
              <w:rPr>
                <w:color w:val="000000"/>
                <w:sz w:val="14"/>
                <w:szCs w:val="14"/>
              </w:rPr>
            </w:pPr>
            <w:r>
              <w:rPr>
                <w:color w:val="000000"/>
                <w:sz w:val="14"/>
                <w:szCs w:val="14"/>
              </w:rPr>
              <w:t>5,435,066</w:t>
            </w:r>
          </w:p>
        </w:tc>
        <w:tc>
          <w:tcPr>
            <w:tcW w:w="977" w:type="dxa"/>
            <w:tcBorders>
              <w:top w:val="single" w:sz="4" w:space="0" w:color="000000"/>
              <w:left w:val="single" w:sz="4" w:space="0" w:color="000000"/>
              <w:bottom w:val="single" w:sz="4" w:space="0" w:color="000000"/>
              <w:right w:val="single" w:sz="4" w:space="0" w:color="000000"/>
            </w:tcBorders>
            <w:vAlign w:val="bottom"/>
          </w:tcPr>
          <w:p w14:paraId="1370908E" w14:textId="41F2AF38" w:rsidR="008234F6" w:rsidRPr="00E06E32" w:rsidRDefault="008234F6" w:rsidP="008234F6">
            <w:pPr>
              <w:widowControl w:val="0"/>
              <w:pBdr>
                <w:top w:val="nil"/>
                <w:left w:val="nil"/>
                <w:bottom w:val="nil"/>
                <w:right w:val="nil"/>
                <w:between w:val="nil"/>
              </w:pBdr>
              <w:jc w:val="right"/>
              <w:rPr>
                <w:color w:val="000000"/>
                <w:sz w:val="14"/>
                <w:szCs w:val="14"/>
                <w:highlight w:val="green"/>
              </w:rPr>
            </w:pPr>
            <w:r w:rsidRPr="00B51391">
              <w:rPr>
                <w:color w:val="000000"/>
                <w:sz w:val="14"/>
                <w:szCs w:val="14"/>
              </w:rPr>
              <w:t>(</w:t>
            </w:r>
            <w:r>
              <w:rPr>
                <w:color w:val="000000"/>
                <w:sz w:val="14"/>
                <w:szCs w:val="14"/>
              </w:rPr>
              <w:t>5,708,493</w:t>
            </w:r>
            <w:r w:rsidRPr="00B51391">
              <w:rPr>
                <w:color w:val="000000"/>
                <w:sz w:val="14"/>
                <w:szCs w:val="14"/>
              </w:rPr>
              <w:t>)</w:t>
            </w:r>
          </w:p>
        </w:tc>
        <w:tc>
          <w:tcPr>
            <w:tcW w:w="978" w:type="dxa"/>
            <w:tcBorders>
              <w:top w:val="single" w:sz="4" w:space="0" w:color="000000"/>
              <w:left w:val="single" w:sz="4" w:space="0" w:color="000000"/>
              <w:bottom w:val="single" w:sz="4" w:space="0" w:color="000000"/>
              <w:right w:val="single" w:sz="4" w:space="0" w:color="000000"/>
            </w:tcBorders>
            <w:vAlign w:val="bottom"/>
          </w:tcPr>
          <w:p w14:paraId="606664AF" w14:textId="1CB80A02" w:rsidR="008234F6" w:rsidRPr="00E06E32" w:rsidRDefault="008234F6" w:rsidP="008234F6">
            <w:pPr>
              <w:widowControl w:val="0"/>
              <w:pBdr>
                <w:top w:val="nil"/>
                <w:left w:val="nil"/>
                <w:bottom w:val="nil"/>
                <w:right w:val="nil"/>
                <w:between w:val="nil"/>
              </w:pBdr>
              <w:ind w:left="-18"/>
              <w:jc w:val="right"/>
              <w:rPr>
                <w:color w:val="000000"/>
                <w:sz w:val="14"/>
                <w:szCs w:val="14"/>
              </w:rPr>
            </w:pPr>
            <w:r w:rsidRPr="00B51391">
              <w:rPr>
                <w:color w:val="000000"/>
                <w:sz w:val="14"/>
                <w:szCs w:val="14"/>
              </w:rPr>
              <w:t>(4,796,787)</w:t>
            </w:r>
          </w:p>
        </w:tc>
        <w:tc>
          <w:tcPr>
            <w:tcW w:w="978" w:type="dxa"/>
            <w:tcBorders>
              <w:top w:val="single" w:sz="4" w:space="0" w:color="000000"/>
              <w:left w:val="single" w:sz="4" w:space="0" w:color="000000"/>
              <w:bottom w:val="single" w:sz="4" w:space="0" w:color="000000"/>
              <w:right w:val="single" w:sz="4" w:space="0" w:color="000000"/>
            </w:tcBorders>
            <w:vAlign w:val="bottom"/>
          </w:tcPr>
          <w:p w14:paraId="53318A41" w14:textId="3FDA691D" w:rsidR="008234F6" w:rsidRPr="00E06E32" w:rsidRDefault="008234F6" w:rsidP="008234F6">
            <w:pPr>
              <w:widowControl w:val="0"/>
              <w:pBdr>
                <w:top w:val="nil"/>
                <w:left w:val="nil"/>
                <w:bottom w:val="nil"/>
                <w:right w:val="nil"/>
                <w:between w:val="nil"/>
              </w:pBdr>
              <w:ind w:left="-18" w:right="-28"/>
              <w:jc w:val="right"/>
              <w:rPr>
                <w:color w:val="000000"/>
                <w:sz w:val="14"/>
                <w:szCs w:val="14"/>
              </w:rPr>
            </w:pPr>
            <w:r w:rsidRPr="00E06E32">
              <w:rPr>
                <w:color w:val="000000"/>
                <w:sz w:val="14"/>
                <w:szCs w:val="14"/>
              </w:rPr>
              <w:t>(5,712,871)</w:t>
            </w:r>
          </w:p>
        </w:tc>
        <w:tc>
          <w:tcPr>
            <w:tcW w:w="977" w:type="dxa"/>
            <w:tcBorders>
              <w:top w:val="single" w:sz="4" w:space="0" w:color="000000"/>
              <w:left w:val="single" w:sz="4" w:space="0" w:color="000000"/>
              <w:bottom w:val="single" w:sz="4" w:space="0" w:color="000000"/>
              <w:right w:val="single" w:sz="4" w:space="0" w:color="000000"/>
            </w:tcBorders>
            <w:vAlign w:val="bottom"/>
          </w:tcPr>
          <w:p w14:paraId="2E91C30B" w14:textId="35B99BB4" w:rsidR="008234F6" w:rsidRPr="00E06E32" w:rsidRDefault="008234F6" w:rsidP="008234F6">
            <w:pPr>
              <w:widowControl w:val="0"/>
              <w:pBdr>
                <w:top w:val="nil"/>
                <w:left w:val="nil"/>
                <w:bottom w:val="nil"/>
                <w:right w:val="nil"/>
                <w:between w:val="nil"/>
              </w:pBdr>
              <w:ind w:left="-108"/>
              <w:jc w:val="right"/>
              <w:rPr>
                <w:color w:val="000000"/>
                <w:sz w:val="14"/>
                <w:szCs w:val="14"/>
              </w:rPr>
            </w:pPr>
            <w:r w:rsidRPr="00E06E32">
              <w:rPr>
                <w:color w:val="000000"/>
                <w:sz w:val="14"/>
                <w:szCs w:val="14"/>
              </w:rPr>
              <w:t>11,480,800</w:t>
            </w:r>
          </w:p>
        </w:tc>
        <w:tc>
          <w:tcPr>
            <w:tcW w:w="930" w:type="dxa"/>
            <w:tcBorders>
              <w:top w:val="single" w:sz="4" w:space="0" w:color="000000"/>
              <w:left w:val="single" w:sz="4" w:space="0" w:color="000000"/>
              <w:bottom w:val="single" w:sz="4" w:space="0" w:color="000000"/>
              <w:right w:val="single" w:sz="4" w:space="0" w:color="000000"/>
            </w:tcBorders>
            <w:vAlign w:val="bottom"/>
          </w:tcPr>
          <w:p w14:paraId="28F45843" w14:textId="3D877D6A" w:rsidR="008234F6" w:rsidRPr="00E06E32" w:rsidRDefault="008234F6" w:rsidP="008234F6">
            <w:pPr>
              <w:widowControl w:val="0"/>
              <w:pBdr>
                <w:top w:val="nil"/>
                <w:left w:val="nil"/>
                <w:bottom w:val="nil"/>
                <w:right w:val="nil"/>
                <w:between w:val="nil"/>
              </w:pBdr>
              <w:ind w:left="-108"/>
              <w:jc w:val="right"/>
              <w:rPr>
                <w:color w:val="000000"/>
                <w:sz w:val="14"/>
                <w:szCs w:val="14"/>
              </w:rPr>
            </w:pPr>
            <w:r w:rsidRPr="00E06E32">
              <w:rPr>
                <w:rFonts w:cs="Arial"/>
                <w:color w:val="000000"/>
                <w:sz w:val="14"/>
                <w:szCs w:val="14"/>
              </w:rPr>
              <w:t>(3,121,431)</w:t>
            </w:r>
          </w:p>
        </w:tc>
        <w:tc>
          <w:tcPr>
            <w:tcW w:w="1026" w:type="dxa"/>
            <w:tcBorders>
              <w:top w:val="single" w:sz="4" w:space="0" w:color="000000"/>
              <w:left w:val="single" w:sz="4" w:space="0" w:color="000000"/>
              <w:bottom w:val="single" w:sz="4" w:space="0" w:color="000000"/>
              <w:right w:val="single" w:sz="4" w:space="0" w:color="000000"/>
            </w:tcBorders>
            <w:vAlign w:val="bottom"/>
          </w:tcPr>
          <w:p w14:paraId="40EABEF5" w14:textId="11E32F64" w:rsidR="008234F6" w:rsidRPr="00E06E32" w:rsidRDefault="008234F6" w:rsidP="008234F6">
            <w:pPr>
              <w:widowControl w:val="0"/>
              <w:pBdr>
                <w:top w:val="nil"/>
                <w:left w:val="nil"/>
                <w:bottom w:val="nil"/>
                <w:right w:val="nil"/>
                <w:between w:val="nil"/>
              </w:pBdr>
              <w:ind w:left="-108"/>
              <w:jc w:val="right"/>
              <w:rPr>
                <w:color w:val="000000"/>
                <w:sz w:val="14"/>
                <w:szCs w:val="14"/>
              </w:rPr>
            </w:pPr>
            <w:r w:rsidRPr="00E06E32">
              <w:rPr>
                <w:color w:val="000000"/>
                <w:sz w:val="14"/>
                <w:szCs w:val="14"/>
              </w:rPr>
              <w:t>(2,063,972)</w:t>
            </w:r>
          </w:p>
        </w:tc>
      </w:tr>
      <w:tr w:rsidR="008234F6" w:rsidRPr="00E06E32" w14:paraId="1B158595" w14:textId="77777777" w:rsidTr="00C5405C">
        <w:trPr>
          <w:trHeight w:val="203"/>
        </w:trPr>
        <w:tc>
          <w:tcPr>
            <w:tcW w:w="1994" w:type="dxa"/>
            <w:tcBorders>
              <w:top w:val="single" w:sz="4" w:space="0" w:color="000000"/>
              <w:left w:val="single" w:sz="4" w:space="0" w:color="000000"/>
              <w:bottom w:val="single" w:sz="4" w:space="0" w:color="000000"/>
              <w:right w:val="single" w:sz="4" w:space="0" w:color="000000"/>
            </w:tcBorders>
            <w:vAlign w:val="bottom"/>
          </w:tcPr>
          <w:p w14:paraId="5FD611A1" w14:textId="77777777" w:rsidR="008234F6" w:rsidRPr="00E06E32" w:rsidRDefault="008234F6" w:rsidP="008234F6">
            <w:pPr>
              <w:widowControl w:val="0"/>
              <w:pBdr>
                <w:top w:val="nil"/>
                <w:left w:val="nil"/>
                <w:bottom w:val="nil"/>
                <w:right w:val="nil"/>
                <w:between w:val="nil"/>
              </w:pBdr>
              <w:spacing w:before="40"/>
              <w:ind w:left="-41" w:right="-108"/>
              <w:rPr>
                <w:b/>
                <w:color w:val="000000"/>
                <w:sz w:val="14"/>
                <w:szCs w:val="14"/>
              </w:rPr>
            </w:pPr>
            <w:r w:rsidRPr="00E06E32">
              <w:rPr>
                <w:color w:val="000000"/>
                <w:sz w:val="14"/>
                <w:szCs w:val="14"/>
              </w:rPr>
              <w:t xml:space="preserve">Basic and diluted net income (loss) per share </w:t>
            </w:r>
            <w:r w:rsidRPr="00E06E32">
              <w:rPr>
                <w:color w:val="000000"/>
                <w:sz w:val="14"/>
                <w:szCs w:val="14"/>
                <w:vertAlign w:val="superscript"/>
              </w:rPr>
              <w:t xml:space="preserve">(1) </w:t>
            </w:r>
            <w:r w:rsidRPr="00E06E32">
              <w:rPr>
                <w:color w:val="000000"/>
                <w:sz w:val="14"/>
                <w:szCs w:val="14"/>
              </w:rPr>
              <w:t xml:space="preserve">($) </w:t>
            </w:r>
          </w:p>
        </w:tc>
        <w:tc>
          <w:tcPr>
            <w:tcW w:w="977" w:type="dxa"/>
            <w:tcBorders>
              <w:top w:val="single" w:sz="4" w:space="0" w:color="000000"/>
              <w:left w:val="single" w:sz="4" w:space="0" w:color="000000"/>
              <w:bottom w:val="single" w:sz="4" w:space="0" w:color="000000"/>
              <w:right w:val="single" w:sz="4" w:space="0" w:color="000000"/>
            </w:tcBorders>
            <w:vAlign w:val="bottom"/>
          </w:tcPr>
          <w:p w14:paraId="326F496C" w14:textId="490EFE6A" w:rsidR="008234F6" w:rsidRPr="00E06E32" w:rsidRDefault="00D730EF" w:rsidP="008234F6">
            <w:pPr>
              <w:widowControl w:val="0"/>
              <w:pBdr>
                <w:top w:val="nil"/>
                <w:left w:val="nil"/>
                <w:bottom w:val="nil"/>
                <w:right w:val="nil"/>
                <w:between w:val="nil"/>
              </w:pBdr>
              <w:ind w:left="-108"/>
              <w:jc w:val="right"/>
              <w:rPr>
                <w:color w:val="000000"/>
                <w:sz w:val="14"/>
                <w:szCs w:val="14"/>
              </w:rPr>
            </w:pPr>
            <w:r>
              <w:rPr>
                <w:color w:val="000000"/>
                <w:sz w:val="14"/>
                <w:szCs w:val="14"/>
              </w:rPr>
              <w:t>0.13</w:t>
            </w:r>
          </w:p>
        </w:tc>
        <w:tc>
          <w:tcPr>
            <w:tcW w:w="978" w:type="dxa"/>
            <w:tcBorders>
              <w:top w:val="single" w:sz="4" w:space="0" w:color="000000"/>
              <w:left w:val="single" w:sz="4" w:space="0" w:color="000000"/>
              <w:bottom w:val="single" w:sz="4" w:space="0" w:color="000000"/>
              <w:right w:val="single" w:sz="4" w:space="0" w:color="000000"/>
            </w:tcBorders>
            <w:vAlign w:val="bottom"/>
          </w:tcPr>
          <w:p w14:paraId="72607857" w14:textId="67020219" w:rsidR="008234F6" w:rsidRPr="00E06E32" w:rsidRDefault="008234F6" w:rsidP="008234F6">
            <w:pPr>
              <w:widowControl w:val="0"/>
              <w:pBdr>
                <w:top w:val="nil"/>
                <w:left w:val="nil"/>
                <w:bottom w:val="nil"/>
                <w:right w:val="nil"/>
                <w:between w:val="nil"/>
              </w:pBdr>
              <w:ind w:left="-108"/>
              <w:jc w:val="right"/>
              <w:rPr>
                <w:color w:val="000000"/>
                <w:sz w:val="14"/>
                <w:szCs w:val="14"/>
              </w:rPr>
            </w:pPr>
            <w:r>
              <w:rPr>
                <w:color w:val="000000"/>
                <w:sz w:val="14"/>
                <w:szCs w:val="14"/>
              </w:rPr>
              <w:t>0.07</w:t>
            </w:r>
          </w:p>
        </w:tc>
        <w:tc>
          <w:tcPr>
            <w:tcW w:w="977" w:type="dxa"/>
            <w:tcBorders>
              <w:top w:val="single" w:sz="4" w:space="0" w:color="000000"/>
              <w:left w:val="single" w:sz="4" w:space="0" w:color="000000"/>
              <w:bottom w:val="single" w:sz="4" w:space="0" w:color="000000"/>
              <w:right w:val="single" w:sz="4" w:space="0" w:color="000000"/>
            </w:tcBorders>
            <w:vAlign w:val="bottom"/>
          </w:tcPr>
          <w:p w14:paraId="79F5A613" w14:textId="469D56CE" w:rsidR="008234F6" w:rsidRPr="00E06E32" w:rsidRDefault="008234F6" w:rsidP="008234F6">
            <w:pPr>
              <w:widowControl w:val="0"/>
              <w:pBdr>
                <w:top w:val="nil"/>
                <w:left w:val="nil"/>
                <w:bottom w:val="nil"/>
                <w:right w:val="nil"/>
                <w:between w:val="nil"/>
              </w:pBdr>
              <w:jc w:val="right"/>
              <w:rPr>
                <w:color w:val="000000"/>
                <w:sz w:val="14"/>
                <w:szCs w:val="14"/>
              </w:rPr>
            </w:pPr>
            <w:r w:rsidRPr="00E06E32">
              <w:rPr>
                <w:color w:val="000000"/>
                <w:sz w:val="14"/>
                <w:szCs w:val="14"/>
              </w:rPr>
              <w:t>(</w:t>
            </w:r>
            <w:r>
              <w:rPr>
                <w:color w:val="000000"/>
                <w:sz w:val="14"/>
                <w:szCs w:val="14"/>
              </w:rPr>
              <w:t>0.08</w:t>
            </w:r>
            <w:r w:rsidRPr="00E06E32">
              <w:rPr>
                <w:color w:val="000000"/>
                <w:sz w:val="14"/>
                <w:szCs w:val="14"/>
              </w:rPr>
              <w:t>)</w:t>
            </w:r>
          </w:p>
        </w:tc>
        <w:tc>
          <w:tcPr>
            <w:tcW w:w="978" w:type="dxa"/>
            <w:tcBorders>
              <w:top w:val="single" w:sz="4" w:space="0" w:color="000000"/>
              <w:left w:val="single" w:sz="4" w:space="0" w:color="000000"/>
              <w:bottom w:val="single" w:sz="4" w:space="0" w:color="000000"/>
              <w:right w:val="single" w:sz="4" w:space="0" w:color="000000"/>
            </w:tcBorders>
            <w:vAlign w:val="bottom"/>
          </w:tcPr>
          <w:p w14:paraId="5FF12C7F" w14:textId="397392A3" w:rsidR="008234F6" w:rsidRPr="00E06E32" w:rsidRDefault="008234F6" w:rsidP="008234F6">
            <w:pPr>
              <w:widowControl w:val="0"/>
              <w:pBdr>
                <w:top w:val="nil"/>
                <w:left w:val="nil"/>
                <w:bottom w:val="nil"/>
                <w:right w:val="nil"/>
                <w:between w:val="nil"/>
              </w:pBdr>
              <w:jc w:val="right"/>
              <w:rPr>
                <w:color w:val="FF0000"/>
                <w:sz w:val="14"/>
                <w:szCs w:val="14"/>
              </w:rPr>
            </w:pPr>
            <w:r w:rsidRPr="00E06E32">
              <w:rPr>
                <w:color w:val="000000"/>
                <w:sz w:val="14"/>
                <w:szCs w:val="14"/>
              </w:rPr>
              <w:t>(0.</w:t>
            </w:r>
            <w:r>
              <w:rPr>
                <w:color w:val="000000"/>
                <w:sz w:val="14"/>
                <w:szCs w:val="14"/>
              </w:rPr>
              <w:t>07</w:t>
            </w:r>
            <w:r w:rsidRPr="00E06E32">
              <w:rPr>
                <w:color w:val="000000"/>
                <w:sz w:val="14"/>
                <w:szCs w:val="14"/>
              </w:rPr>
              <w:t>)</w:t>
            </w:r>
          </w:p>
        </w:tc>
        <w:tc>
          <w:tcPr>
            <w:tcW w:w="978" w:type="dxa"/>
            <w:tcBorders>
              <w:top w:val="single" w:sz="4" w:space="0" w:color="000000"/>
              <w:left w:val="single" w:sz="4" w:space="0" w:color="000000"/>
              <w:bottom w:val="single" w:sz="4" w:space="0" w:color="000000"/>
              <w:right w:val="single" w:sz="4" w:space="0" w:color="000000"/>
            </w:tcBorders>
            <w:vAlign w:val="bottom"/>
          </w:tcPr>
          <w:p w14:paraId="4244FF3E" w14:textId="58F9A24E" w:rsidR="008234F6" w:rsidRPr="00E06E32" w:rsidRDefault="008234F6" w:rsidP="008234F6">
            <w:pPr>
              <w:widowControl w:val="0"/>
              <w:pBdr>
                <w:top w:val="nil"/>
                <w:left w:val="nil"/>
                <w:bottom w:val="nil"/>
                <w:right w:val="nil"/>
                <w:between w:val="nil"/>
              </w:pBdr>
              <w:ind w:left="-18" w:right="-28"/>
              <w:jc w:val="right"/>
              <w:rPr>
                <w:color w:val="000000"/>
                <w:sz w:val="14"/>
                <w:szCs w:val="14"/>
              </w:rPr>
            </w:pPr>
            <w:r w:rsidRPr="00E06E32">
              <w:rPr>
                <w:color w:val="000000"/>
                <w:sz w:val="14"/>
                <w:szCs w:val="14"/>
              </w:rPr>
              <w:t>(0.08)</w:t>
            </w:r>
          </w:p>
        </w:tc>
        <w:tc>
          <w:tcPr>
            <w:tcW w:w="977" w:type="dxa"/>
            <w:tcBorders>
              <w:top w:val="single" w:sz="4" w:space="0" w:color="000000"/>
              <w:left w:val="single" w:sz="4" w:space="0" w:color="000000"/>
              <w:bottom w:val="single" w:sz="4" w:space="0" w:color="000000"/>
              <w:right w:val="single" w:sz="4" w:space="0" w:color="000000"/>
            </w:tcBorders>
            <w:vAlign w:val="bottom"/>
          </w:tcPr>
          <w:p w14:paraId="6C00D812" w14:textId="1FF9AE2A" w:rsidR="008234F6" w:rsidRPr="00E06E32" w:rsidRDefault="008234F6" w:rsidP="008234F6">
            <w:pPr>
              <w:widowControl w:val="0"/>
              <w:pBdr>
                <w:top w:val="nil"/>
                <w:left w:val="nil"/>
                <w:bottom w:val="nil"/>
                <w:right w:val="nil"/>
                <w:between w:val="nil"/>
              </w:pBdr>
              <w:jc w:val="right"/>
              <w:rPr>
                <w:color w:val="000000"/>
                <w:sz w:val="14"/>
                <w:szCs w:val="14"/>
              </w:rPr>
            </w:pPr>
            <w:r w:rsidRPr="00E06E32">
              <w:rPr>
                <w:color w:val="000000"/>
                <w:sz w:val="14"/>
                <w:szCs w:val="14"/>
              </w:rPr>
              <w:t>0.16</w:t>
            </w:r>
          </w:p>
        </w:tc>
        <w:tc>
          <w:tcPr>
            <w:tcW w:w="930" w:type="dxa"/>
            <w:tcBorders>
              <w:top w:val="single" w:sz="4" w:space="0" w:color="000000"/>
              <w:left w:val="single" w:sz="4" w:space="0" w:color="000000"/>
              <w:bottom w:val="single" w:sz="4" w:space="0" w:color="000000"/>
              <w:right w:val="single" w:sz="4" w:space="0" w:color="000000"/>
            </w:tcBorders>
            <w:vAlign w:val="bottom"/>
          </w:tcPr>
          <w:p w14:paraId="776E0F9D" w14:textId="0A112A9F" w:rsidR="008234F6" w:rsidRPr="00E06E32" w:rsidRDefault="008234F6" w:rsidP="008234F6">
            <w:pPr>
              <w:widowControl w:val="0"/>
              <w:pBdr>
                <w:top w:val="nil"/>
                <w:left w:val="nil"/>
                <w:bottom w:val="nil"/>
                <w:right w:val="nil"/>
                <w:between w:val="nil"/>
              </w:pBdr>
              <w:jc w:val="right"/>
              <w:rPr>
                <w:color w:val="000000"/>
                <w:sz w:val="14"/>
                <w:szCs w:val="14"/>
              </w:rPr>
            </w:pPr>
            <w:r w:rsidRPr="00E06E32">
              <w:rPr>
                <w:rFonts w:cs="Arial"/>
                <w:color w:val="000000"/>
                <w:sz w:val="14"/>
                <w:szCs w:val="14"/>
              </w:rPr>
              <w:t>(0.04)</w:t>
            </w:r>
          </w:p>
        </w:tc>
        <w:tc>
          <w:tcPr>
            <w:tcW w:w="1026" w:type="dxa"/>
            <w:tcBorders>
              <w:top w:val="single" w:sz="4" w:space="0" w:color="000000"/>
              <w:left w:val="single" w:sz="4" w:space="0" w:color="000000"/>
              <w:bottom w:val="single" w:sz="4" w:space="0" w:color="000000"/>
              <w:right w:val="single" w:sz="4" w:space="0" w:color="000000"/>
            </w:tcBorders>
            <w:vAlign w:val="bottom"/>
          </w:tcPr>
          <w:p w14:paraId="5459FB96" w14:textId="4F9CC9B0" w:rsidR="008234F6" w:rsidRPr="00E06E32" w:rsidRDefault="008234F6" w:rsidP="008234F6">
            <w:pPr>
              <w:widowControl w:val="0"/>
              <w:pBdr>
                <w:top w:val="nil"/>
                <w:left w:val="nil"/>
                <w:bottom w:val="nil"/>
                <w:right w:val="nil"/>
                <w:between w:val="nil"/>
              </w:pBdr>
              <w:jc w:val="right"/>
              <w:rPr>
                <w:color w:val="000000"/>
                <w:sz w:val="14"/>
                <w:szCs w:val="14"/>
              </w:rPr>
            </w:pPr>
            <w:r w:rsidRPr="00E06E32">
              <w:rPr>
                <w:color w:val="000000"/>
                <w:sz w:val="14"/>
                <w:szCs w:val="14"/>
              </w:rPr>
              <w:t xml:space="preserve"> (0.03)</w:t>
            </w:r>
          </w:p>
        </w:tc>
      </w:tr>
      <w:tr w:rsidR="008234F6" w:rsidRPr="00E06E32" w14:paraId="399C45E3" w14:textId="77777777" w:rsidTr="00C5405C">
        <w:trPr>
          <w:trHeight w:val="191"/>
        </w:trPr>
        <w:tc>
          <w:tcPr>
            <w:tcW w:w="1994" w:type="dxa"/>
            <w:tcBorders>
              <w:top w:val="single" w:sz="4" w:space="0" w:color="000000"/>
              <w:left w:val="single" w:sz="4" w:space="0" w:color="000000"/>
              <w:bottom w:val="single" w:sz="4" w:space="0" w:color="000000"/>
              <w:right w:val="single" w:sz="4" w:space="0" w:color="000000"/>
            </w:tcBorders>
            <w:vAlign w:val="bottom"/>
          </w:tcPr>
          <w:p w14:paraId="23B261AC" w14:textId="77777777" w:rsidR="008234F6" w:rsidRPr="00E06E32" w:rsidRDefault="008234F6" w:rsidP="008234F6">
            <w:pPr>
              <w:widowControl w:val="0"/>
              <w:pBdr>
                <w:top w:val="nil"/>
                <w:left w:val="nil"/>
                <w:bottom w:val="nil"/>
                <w:right w:val="nil"/>
                <w:between w:val="nil"/>
              </w:pBdr>
              <w:spacing w:before="40"/>
              <w:ind w:left="-41" w:right="-108"/>
              <w:rPr>
                <w:b/>
                <w:color w:val="000000"/>
                <w:sz w:val="14"/>
                <w:szCs w:val="14"/>
              </w:rPr>
            </w:pPr>
            <w:r w:rsidRPr="00E06E32">
              <w:rPr>
                <w:color w:val="000000"/>
                <w:sz w:val="14"/>
                <w:szCs w:val="14"/>
              </w:rPr>
              <w:t>Net cash provided (used) by operating activities ($)</w:t>
            </w:r>
          </w:p>
        </w:tc>
        <w:tc>
          <w:tcPr>
            <w:tcW w:w="977" w:type="dxa"/>
            <w:tcBorders>
              <w:top w:val="single" w:sz="4" w:space="0" w:color="000000"/>
              <w:left w:val="single" w:sz="4" w:space="0" w:color="000000"/>
              <w:bottom w:val="single" w:sz="4" w:space="0" w:color="000000"/>
              <w:right w:val="single" w:sz="4" w:space="0" w:color="000000"/>
            </w:tcBorders>
            <w:vAlign w:val="bottom"/>
          </w:tcPr>
          <w:p w14:paraId="0D59D456" w14:textId="0CF89D85" w:rsidR="008234F6" w:rsidRPr="00E06E32" w:rsidRDefault="00D730EF" w:rsidP="008234F6">
            <w:pPr>
              <w:widowControl w:val="0"/>
              <w:pBdr>
                <w:top w:val="nil"/>
                <w:left w:val="nil"/>
                <w:bottom w:val="nil"/>
                <w:right w:val="nil"/>
                <w:between w:val="nil"/>
              </w:pBdr>
              <w:ind w:left="-108"/>
              <w:jc w:val="right"/>
              <w:rPr>
                <w:color w:val="000000"/>
                <w:sz w:val="14"/>
                <w:szCs w:val="14"/>
              </w:rPr>
            </w:pPr>
            <w:r>
              <w:rPr>
                <w:color w:val="000000"/>
                <w:sz w:val="14"/>
                <w:szCs w:val="14"/>
              </w:rPr>
              <w:t>22,491,772</w:t>
            </w:r>
          </w:p>
        </w:tc>
        <w:tc>
          <w:tcPr>
            <w:tcW w:w="978" w:type="dxa"/>
            <w:tcBorders>
              <w:top w:val="single" w:sz="4" w:space="0" w:color="000000"/>
              <w:left w:val="single" w:sz="4" w:space="0" w:color="000000"/>
              <w:bottom w:val="single" w:sz="4" w:space="0" w:color="000000"/>
              <w:right w:val="single" w:sz="4" w:space="0" w:color="000000"/>
            </w:tcBorders>
            <w:vAlign w:val="bottom"/>
          </w:tcPr>
          <w:p w14:paraId="4A339A58" w14:textId="03AA121E" w:rsidR="008234F6" w:rsidRPr="00E06E32" w:rsidRDefault="008234F6" w:rsidP="008234F6">
            <w:pPr>
              <w:widowControl w:val="0"/>
              <w:pBdr>
                <w:top w:val="nil"/>
                <w:left w:val="nil"/>
                <w:bottom w:val="nil"/>
                <w:right w:val="nil"/>
                <w:between w:val="nil"/>
              </w:pBdr>
              <w:ind w:left="-108"/>
              <w:jc w:val="right"/>
              <w:rPr>
                <w:color w:val="000000"/>
                <w:sz w:val="14"/>
                <w:szCs w:val="14"/>
              </w:rPr>
            </w:pPr>
            <w:r>
              <w:rPr>
                <w:color w:val="000000"/>
                <w:sz w:val="14"/>
                <w:szCs w:val="14"/>
              </w:rPr>
              <w:t>6,459,736</w:t>
            </w:r>
          </w:p>
        </w:tc>
        <w:tc>
          <w:tcPr>
            <w:tcW w:w="977" w:type="dxa"/>
            <w:tcBorders>
              <w:top w:val="single" w:sz="4" w:space="0" w:color="000000"/>
              <w:left w:val="single" w:sz="4" w:space="0" w:color="000000"/>
              <w:bottom w:val="single" w:sz="4" w:space="0" w:color="000000"/>
              <w:right w:val="single" w:sz="4" w:space="0" w:color="000000"/>
            </w:tcBorders>
            <w:vAlign w:val="bottom"/>
          </w:tcPr>
          <w:p w14:paraId="38B4F72A" w14:textId="5A3130B6" w:rsidR="008234F6" w:rsidRPr="00E06E32" w:rsidRDefault="008234F6" w:rsidP="008234F6">
            <w:pPr>
              <w:widowControl w:val="0"/>
              <w:pBdr>
                <w:top w:val="nil"/>
                <w:left w:val="nil"/>
                <w:bottom w:val="nil"/>
                <w:right w:val="nil"/>
                <w:between w:val="nil"/>
              </w:pBdr>
              <w:jc w:val="right"/>
              <w:rPr>
                <w:color w:val="000000"/>
                <w:sz w:val="14"/>
                <w:szCs w:val="14"/>
              </w:rPr>
            </w:pPr>
            <w:r w:rsidRPr="00E06E32">
              <w:rPr>
                <w:color w:val="000000"/>
                <w:sz w:val="14"/>
                <w:szCs w:val="14"/>
              </w:rPr>
              <w:t>(</w:t>
            </w:r>
            <w:r>
              <w:rPr>
                <w:color w:val="000000"/>
                <w:sz w:val="14"/>
                <w:szCs w:val="14"/>
              </w:rPr>
              <w:t>4,497,008</w:t>
            </w:r>
            <w:r w:rsidRPr="00E06E32">
              <w:rPr>
                <w:color w:val="000000"/>
                <w:sz w:val="14"/>
                <w:szCs w:val="14"/>
              </w:rPr>
              <w:t>)</w:t>
            </w:r>
          </w:p>
        </w:tc>
        <w:tc>
          <w:tcPr>
            <w:tcW w:w="978" w:type="dxa"/>
            <w:tcBorders>
              <w:top w:val="single" w:sz="4" w:space="0" w:color="000000"/>
              <w:left w:val="single" w:sz="4" w:space="0" w:color="000000"/>
              <w:bottom w:val="single" w:sz="4" w:space="0" w:color="000000"/>
              <w:right w:val="single" w:sz="4" w:space="0" w:color="000000"/>
            </w:tcBorders>
            <w:vAlign w:val="bottom"/>
          </w:tcPr>
          <w:p w14:paraId="117ACDE4" w14:textId="60D1C021" w:rsidR="008234F6" w:rsidRPr="00E06E32" w:rsidRDefault="008234F6" w:rsidP="008234F6">
            <w:pPr>
              <w:widowControl w:val="0"/>
              <w:pBdr>
                <w:top w:val="nil"/>
                <w:left w:val="nil"/>
                <w:bottom w:val="nil"/>
                <w:right w:val="nil"/>
                <w:between w:val="nil"/>
              </w:pBdr>
              <w:jc w:val="right"/>
              <w:rPr>
                <w:color w:val="000000"/>
                <w:sz w:val="14"/>
                <w:szCs w:val="14"/>
              </w:rPr>
            </w:pPr>
            <w:r w:rsidRPr="00E06E32">
              <w:rPr>
                <w:color w:val="000000"/>
                <w:sz w:val="14"/>
                <w:szCs w:val="14"/>
              </w:rPr>
              <w:t>(3,562,563)</w:t>
            </w:r>
          </w:p>
        </w:tc>
        <w:tc>
          <w:tcPr>
            <w:tcW w:w="978" w:type="dxa"/>
            <w:tcBorders>
              <w:top w:val="single" w:sz="4" w:space="0" w:color="000000"/>
              <w:left w:val="single" w:sz="4" w:space="0" w:color="000000"/>
              <w:bottom w:val="single" w:sz="4" w:space="0" w:color="000000"/>
              <w:right w:val="single" w:sz="4" w:space="0" w:color="000000"/>
            </w:tcBorders>
            <w:vAlign w:val="bottom"/>
          </w:tcPr>
          <w:p w14:paraId="2F39702E" w14:textId="34D32E93" w:rsidR="008234F6" w:rsidRPr="00E06E32" w:rsidRDefault="008234F6" w:rsidP="008234F6">
            <w:pPr>
              <w:widowControl w:val="0"/>
              <w:pBdr>
                <w:top w:val="nil"/>
                <w:left w:val="nil"/>
                <w:bottom w:val="nil"/>
                <w:right w:val="nil"/>
                <w:between w:val="nil"/>
              </w:pBdr>
              <w:ind w:left="-18" w:right="-28"/>
              <w:jc w:val="right"/>
              <w:rPr>
                <w:color w:val="000000"/>
                <w:sz w:val="14"/>
                <w:szCs w:val="14"/>
              </w:rPr>
            </w:pPr>
            <w:r w:rsidRPr="00E06E32">
              <w:rPr>
                <w:color w:val="000000"/>
                <w:sz w:val="14"/>
                <w:szCs w:val="14"/>
              </w:rPr>
              <w:t>5,606,060</w:t>
            </w:r>
          </w:p>
        </w:tc>
        <w:tc>
          <w:tcPr>
            <w:tcW w:w="977" w:type="dxa"/>
            <w:tcBorders>
              <w:top w:val="single" w:sz="4" w:space="0" w:color="000000"/>
              <w:left w:val="single" w:sz="4" w:space="0" w:color="000000"/>
              <w:bottom w:val="single" w:sz="4" w:space="0" w:color="000000"/>
              <w:right w:val="single" w:sz="4" w:space="0" w:color="000000"/>
            </w:tcBorders>
            <w:vAlign w:val="bottom"/>
          </w:tcPr>
          <w:p w14:paraId="49917212" w14:textId="5962D1E4" w:rsidR="008234F6" w:rsidRPr="00E06E32" w:rsidRDefault="008234F6" w:rsidP="008234F6">
            <w:pPr>
              <w:widowControl w:val="0"/>
              <w:pBdr>
                <w:top w:val="nil"/>
                <w:left w:val="nil"/>
                <w:bottom w:val="nil"/>
                <w:right w:val="nil"/>
                <w:between w:val="nil"/>
              </w:pBdr>
              <w:jc w:val="right"/>
              <w:rPr>
                <w:color w:val="000000"/>
                <w:sz w:val="14"/>
                <w:szCs w:val="14"/>
              </w:rPr>
            </w:pPr>
            <w:r w:rsidRPr="00E06E32">
              <w:rPr>
                <w:color w:val="000000"/>
                <w:sz w:val="14"/>
                <w:szCs w:val="14"/>
              </w:rPr>
              <w:t>3,139,557</w:t>
            </w:r>
          </w:p>
        </w:tc>
        <w:tc>
          <w:tcPr>
            <w:tcW w:w="930" w:type="dxa"/>
            <w:tcBorders>
              <w:top w:val="single" w:sz="4" w:space="0" w:color="000000"/>
              <w:left w:val="single" w:sz="4" w:space="0" w:color="000000"/>
              <w:bottom w:val="single" w:sz="4" w:space="0" w:color="000000"/>
              <w:right w:val="single" w:sz="4" w:space="0" w:color="000000"/>
            </w:tcBorders>
            <w:vAlign w:val="bottom"/>
          </w:tcPr>
          <w:p w14:paraId="6BD202D0" w14:textId="0B117821" w:rsidR="008234F6" w:rsidRPr="00E06E32" w:rsidRDefault="008234F6" w:rsidP="008234F6">
            <w:pPr>
              <w:widowControl w:val="0"/>
              <w:pBdr>
                <w:top w:val="nil"/>
                <w:left w:val="nil"/>
                <w:bottom w:val="nil"/>
                <w:right w:val="nil"/>
                <w:between w:val="nil"/>
              </w:pBdr>
              <w:ind w:left="-167"/>
              <w:jc w:val="right"/>
              <w:rPr>
                <w:color w:val="000000"/>
                <w:sz w:val="14"/>
                <w:szCs w:val="14"/>
              </w:rPr>
            </w:pPr>
            <w:r w:rsidRPr="00E06E32">
              <w:rPr>
                <w:rFonts w:cs="Arial"/>
                <w:color w:val="000000"/>
                <w:sz w:val="14"/>
                <w:szCs w:val="14"/>
              </w:rPr>
              <w:t>(1,529,817)</w:t>
            </w:r>
          </w:p>
        </w:tc>
        <w:tc>
          <w:tcPr>
            <w:tcW w:w="1026" w:type="dxa"/>
            <w:tcBorders>
              <w:top w:val="single" w:sz="4" w:space="0" w:color="000000"/>
              <w:left w:val="single" w:sz="4" w:space="0" w:color="000000"/>
              <w:bottom w:val="single" w:sz="4" w:space="0" w:color="000000"/>
              <w:right w:val="single" w:sz="4" w:space="0" w:color="000000"/>
            </w:tcBorders>
            <w:vAlign w:val="bottom"/>
          </w:tcPr>
          <w:p w14:paraId="72C2E370" w14:textId="383A3872" w:rsidR="008234F6" w:rsidRPr="00E06E32" w:rsidRDefault="008234F6" w:rsidP="008234F6">
            <w:pPr>
              <w:widowControl w:val="0"/>
              <w:pBdr>
                <w:top w:val="nil"/>
                <w:left w:val="nil"/>
                <w:bottom w:val="nil"/>
                <w:right w:val="nil"/>
                <w:between w:val="nil"/>
              </w:pBdr>
              <w:jc w:val="right"/>
              <w:rPr>
                <w:color w:val="000000"/>
                <w:sz w:val="14"/>
                <w:szCs w:val="14"/>
              </w:rPr>
            </w:pPr>
            <w:r w:rsidRPr="00E06E32">
              <w:rPr>
                <w:color w:val="000000"/>
                <w:sz w:val="14"/>
                <w:szCs w:val="14"/>
              </w:rPr>
              <w:t>(1,793,711)</w:t>
            </w:r>
          </w:p>
        </w:tc>
      </w:tr>
      <w:tr w:rsidR="008234F6" w:rsidRPr="00E06E32" w14:paraId="704BA477" w14:textId="77777777" w:rsidTr="00C5405C">
        <w:trPr>
          <w:trHeight w:val="199"/>
        </w:trPr>
        <w:tc>
          <w:tcPr>
            <w:tcW w:w="1994" w:type="dxa"/>
            <w:tcBorders>
              <w:top w:val="single" w:sz="4" w:space="0" w:color="000000"/>
              <w:left w:val="single" w:sz="4" w:space="0" w:color="000000"/>
              <w:bottom w:val="single" w:sz="4" w:space="0" w:color="000000"/>
              <w:right w:val="single" w:sz="4" w:space="0" w:color="000000"/>
            </w:tcBorders>
            <w:vAlign w:val="bottom"/>
          </w:tcPr>
          <w:p w14:paraId="3B31D53B" w14:textId="76810A49" w:rsidR="008234F6" w:rsidRPr="00E06E32" w:rsidRDefault="008234F6" w:rsidP="008234F6">
            <w:pPr>
              <w:widowControl w:val="0"/>
              <w:pBdr>
                <w:top w:val="nil"/>
                <w:left w:val="nil"/>
                <w:bottom w:val="nil"/>
                <w:right w:val="nil"/>
                <w:between w:val="nil"/>
              </w:pBdr>
              <w:spacing w:before="40"/>
              <w:ind w:left="-41" w:right="-108"/>
              <w:rPr>
                <w:color w:val="000000"/>
                <w:sz w:val="14"/>
                <w:szCs w:val="14"/>
              </w:rPr>
            </w:pPr>
            <w:r w:rsidRPr="00E06E32">
              <w:rPr>
                <w:color w:val="000000"/>
                <w:sz w:val="14"/>
                <w:szCs w:val="14"/>
              </w:rPr>
              <w:t xml:space="preserve">Cash portion of working interest </w:t>
            </w:r>
            <w:r>
              <w:rPr>
                <w:color w:val="000000"/>
                <w:sz w:val="14"/>
                <w:szCs w:val="14"/>
              </w:rPr>
              <w:t xml:space="preserve">acquisition </w:t>
            </w:r>
            <w:r w:rsidRPr="00E06E32">
              <w:rPr>
                <w:color w:val="000000"/>
                <w:sz w:val="14"/>
                <w:szCs w:val="14"/>
              </w:rPr>
              <w:t>($)</w:t>
            </w:r>
          </w:p>
        </w:tc>
        <w:tc>
          <w:tcPr>
            <w:tcW w:w="977" w:type="dxa"/>
            <w:tcBorders>
              <w:top w:val="single" w:sz="4" w:space="0" w:color="000000"/>
              <w:left w:val="single" w:sz="4" w:space="0" w:color="000000"/>
              <w:bottom w:val="single" w:sz="4" w:space="0" w:color="000000"/>
              <w:right w:val="single" w:sz="4" w:space="0" w:color="000000"/>
            </w:tcBorders>
            <w:vAlign w:val="bottom"/>
          </w:tcPr>
          <w:p w14:paraId="01CE0204" w14:textId="71359AA6" w:rsidR="008234F6" w:rsidRPr="00E06E32" w:rsidRDefault="008234F6" w:rsidP="008234F6">
            <w:pPr>
              <w:widowControl w:val="0"/>
              <w:pBdr>
                <w:top w:val="nil"/>
                <w:left w:val="nil"/>
                <w:bottom w:val="nil"/>
                <w:right w:val="nil"/>
                <w:between w:val="nil"/>
              </w:pBdr>
              <w:ind w:left="-108"/>
              <w:jc w:val="right"/>
              <w:rPr>
                <w:color w:val="000000"/>
                <w:sz w:val="14"/>
                <w:szCs w:val="14"/>
              </w:rPr>
            </w:pPr>
            <w:r w:rsidRPr="00E06E32">
              <w:rPr>
                <w:color w:val="000000"/>
                <w:sz w:val="14"/>
                <w:szCs w:val="14"/>
              </w:rPr>
              <w:t>–</w:t>
            </w:r>
          </w:p>
        </w:tc>
        <w:tc>
          <w:tcPr>
            <w:tcW w:w="978" w:type="dxa"/>
            <w:tcBorders>
              <w:top w:val="single" w:sz="4" w:space="0" w:color="000000"/>
              <w:left w:val="single" w:sz="4" w:space="0" w:color="000000"/>
              <w:bottom w:val="single" w:sz="4" w:space="0" w:color="000000"/>
              <w:right w:val="single" w:sz="4" w:space="0" w:color="000000"/>
            </w:tcBorders>
            <w:vAlign w:val="bottom"/>
          </w:tcPr>
          <w:p w14:paraId="5730152A" w14:textId="4D4AF3A2" w:rsidR="008234F6" w:rsidRPr="00E06E32" w:rsidRDefault="008234F6" w:rsidP="008234F6">
            <w:pPr>
              <w:widowControl w:val="0"/>
              <w:pBdr>
                <w:top w:val="nil"/>
                <w:left w:val="nil"/>
                <w:bottom w:val="nil"/>
                <w:right w:val="nil"/>
                <w:between w:val="nil"/>
              </w:pBdr>
              <w:ind w:left="-108"/>
              <w:jc w:val="right"/>
              <w:rPr>
                <w:color w:val="000000"/>
                <w:sz w:val="14"/>
                <w:szCs w:val="14"/>
              </w:rPr>
            </w:pPr>
            <w:r w:rsidRPr="00E06E32">
              <w:rPr>
                <w:color w:val="000000"/>
                <w:sz w:val="14"/>
                <w:szCs w:val="14"/>
              </w:rPr>
              <w:t>–</w:t>
            </w:r>
          </w:p>
        </w:tc>
        <w:tc>
          <w:tcPr>
            <w:tcW w:w="977" w:type="dxa"/>
            <w:tcBorders>
              <w:top w:val="single" w:sz="4" w:space="0" w:color="000000"/>
              <w:left w:val="single" w:sz="4" w:space="0" w:color="000000"/>
              <w:bottom w:val="single" w:sz="4" w:space="0" w:color="000000"/>
              <w:right w:val="single" w:sz="4" w:space="0" w:color="000000"/>
            </w:tcBorders>
            <w:vAlign w:val="bottom"/>
          </w:tcPr>
          <w:p w14:paraId="6AA8D190" w14:textId="4CE30021" w:rsidR="008234F6" w:rsidRPr="00E06E32" w:rsidRDefault="008234F6" w:rsidP="008234F6">
            <w:pPr>
              <w:widowControl w:val="0"/>
              <w:pBdr>
                <w:top w:val="nil"/>
                <w:left w:val="nil"/>
                <w:bottom w:val="nil"/>
                <w:right w:val="nil"/>
                <w:between w:val="nil"/>
              </w:pBdr>
              <w:jc w:val="right"/>
              <w:rPr>
                <w:color w:val="000000"/>
                <w:sz w:val="14"/>
                <w:szCs w:val="14"/>
              </w:rPr>
            </w:pPr>
            <w:r>
              <w:rPr>
                <w:color w:val="000000"/>
                <w:sz w:val="14"/>
                <w:szCs w:val="14"/>
              </w:rPr>
              <w:t>56,615,206</w:t>
            </w:r>
          </w:p>
        </w:tc>
        <w:tc>
          <w:tcPr>
            <w:tcW w:w="978" w:type="dxa"/>
            <w:tcBorders>
              <w:top w:val="single" w:sz="4" w:space="0" w:color="000000"/>
              <w:left w:val="single" w:sz="4" w:space="0" w:color="000000"/>
              <w:bottom w:val="single" w:sz="4" w:space="0" w:color="000000"/>
              <w:right w:val="single" w:sz="4" w:space="0" w:color="000000"/>
            </w:tcBorders>
            <w:vAlign w:val="bottom"/>
          </w:tcPr>
          <w:p w14:paraId="697C61F8" w14:textId="07D86E86" w:rsidR="008234F6" w:rsidRPr="00E06E32" w:rsidRDefault="008234F6" w:rsidP="008234F6">
            <w:pPr>
              <w:widowControl w:val="0"/>
              <w:pBdr>
                <w:top w:val="nil"/>
                <w:left w:val="nil"/>
                <w:bottom w:val="nil"/>
                <w:right w:val="nil"/>
                <w:between w:val="nil"/>
              </w:pBdr>
              <w:jc w:val="right"/>
              <w:rPr>
                <w:color w:val="000000"/>
                <w:sz w:val="14"/>
                <w:szCs w:val="14"/>
              </w:rPr>
            </w:pPr>
            <w:r w:rsidRPr="00E06E32">
              <w:rPr>
                <w:color w:val="000000"/>
                <w:sz w:val="14"/>
                <w:szCs w:val="14"/>
              </w:rPr>
              <w:t>–</w:t>
            </w:r>
          </w:p>
        </w:tc>
        <w:tc>
          <w:tcPr>
            <w:tcW w:w="978" w:type="dxa"/>
            <w:tcBorders>
              <w:top w:val="single" w:sz="4" w:space="0" w:color="000000"/>
              <w:left w:val="single" w:sz="4" w:space="0" w:color="000000"/>
              <w:bottom w:val="single" w:sz="4" w:space="0" w:color="000000"/>
              <w:right w:val="single" w:sz="4" w:space="0" w:color="000000"/>
            </w:tcBorders>
            <w:vAlign w:val="bottom"/>
          </w:tcPr>
          <w:p w14:paraId="63C74D12" w14:textId="1514AF53" w:rsidR="008234F6" w:rsidRPr="00E06E32" w:rsidRDefault="008234F6" w:rsidP="008234F6">
            <w:pPr>
              <w:widowControl w:val="0"/>
              <w:pBdr>
                <w:top w:val="nil"/>
                <w:left w:val="nil"/>
                <w:bottom w:val="nil"/>
                <w:right w:val="nil"/>
                <w:between w:val="nil"/>
              </w:pBdr>
              <w:ind w:left="-18" w:right="-28"/>
              <w:jc w:val="right"/>
              <w:rPr>
                <w:color w:val="000000"/>
                <w:sz w:val="14"/>
                <w:szCs w:val="14"/>
              </w:rPr>
            </w:pPr>
            <w:r w:rsidRPr="00E06E32">
              <w:rPr>
                <w:color w:val="000000"/>
                <w:sz w:val="14"/>
                <w:szCs w:val="14"/>
              </w:rPr>
              <w:t>–</w:t>
            </w:r>
          </w:p>
        </w:tc>
        <w:tc>
          <w:tcPr>
            <w:tcW w:w="977" w:type="dxa"/>
            <w:tcBorders>
              <w:top w:val="single" w:sz="4" w:space="0" w:color="000000"/>
              <w:left w:val="single" w:sz="4" w:space="0" w:color="000000"/>
              <w:bottom w:val="single" w:sz="4" w:space="0" w:color="000000"/>
              <w:right w:val="single" w:sz="4" w:space="0" w:color="000000"/>
            </w:tcBorders>
            <w:vAlign w:val="bottom"/>
          </w:tcPr>
          <w:p w14:paraId="6FE48D8B" w14:textId="5596AFCF" w:rsidR="008234F6" w:rsidRPr="00E06E32" w:rsidRDefault="008234F6" w:rsidP="008234F6">
            <w:pPr>
              <w:widowControl w:val="0"/>
              <w:pBdr>
                <w:top w:val="nil"/>
                <w:left w:val="nil"/>
                <w:bottom w:val="nil"/>
                <w:right w:val="nil"/>
                <w:between w:val="nil"/>
              </w:pBdr>
              <w:jc w:val="right"/>
              <w:rPr>
                <w:color w:val="000000"/>
                <w:sz w:val="14"/>
                <w:szCs w:val="14"/>
              </w:rPr>
            </w:pPr>
          </w:p>
        </w:tc>
        <w:tc>
          <w:tcPr>
            <w:tcW w:w="930" w:type="dxa"/>
            <w:tcBorders>
              <w:top w:val="single" w:sz="4" w:space="0" w:color="000000"/>
              <w:left w:val="single" w:sz="4" w:space="0" w:color="000000"/>
              <w:bottom w:val="single" w:sz="4" w:space="0" w:color="000000"/>
              <w:right w:val="single" w:sz="4" w:space="0" w:color="000000"/>
            </w:tcBorders>
            <w:vAlign w:val="bottom"/>
          </w:tcPr>
          <w:p w14:paraId="2E16FDD1" w14:textId="02162A3D" w:rsidR="008234F6" w:rsidRPr="00E06E32" w:rsidRDefault="008234F6" w:rsidP="008234F6">
            <w:pPr>
              <w:widowControl w:val="0"/>
              <w:pBdr>
                <w:top w:val="nil"/>
                <w:left w:val="nil"/>
                <w:bottom w:val="nil"/>
                <w:right w:val="nil"/>
                <w:between w:val="nil"/>
              </w:pBdr>
              <w:jc w:val="right"/>
              <w:rPr>
                <w:color w:val="000000"/>
                <w:sz w:val="14"/>
                <w:szCs w:val="14"/>
              </w:rPr>
            </w:pPr>
            <w:r w:rsidRPr="00E06E32">
              <w:rPr>
                <w:rFonts w:cs="Arial"/>
                <w:color w:val="000000"/>
                <w:sz w:val="14"/>
                <w:szCs w:val="14"/>
              </w:rPr>
              <w:t>26,557,218</w:t>
            </w:r>
          </w:p>
        </w:tc>
        <w:tc>
          <w:tcPr>
            <w:tcW w:w="1026" w:type="dxa"/>
            <w:tcBorders>
              <w:top w:val="single" w:sz="4" w:space="0" w:color="000000"/>
              <w:left w:val="single" w:sz="4" w:space="0" w:color="000000"/>
              <w:bottom w:val="single" w:sz="4" w:space="0" w:color="000000"/>
              <w:right w:val="single" w:sz="4" w:space="0" w:color="000000"/>
            </w:tcBorders>
            <w:vAlign w:val="bottom"/>
          </w:tcPr>
          <w:p w14:paraId="4313F931" w14:textId="275F124B" w:rsidR="008234F6" w:rsidRPr="00E06E32" w:rsidRDefault="008234F6" w:rsidP="008234F6">
            <w:pPr>
              <w:widowControl w:val="0"/>
              <w:pBdr>
                <w:top w:val="nil"/>
                <w:left w:val="nil"/>
                <w:bottom w:val="nil"/>
                <w:right w:val="nil"/>
                <w:between w:val="nil"/>
              </w:pBdr>
              <w:jc w:val="right"/>
              <w:rPr>
                <w:color w:val="000000"/>
                <w:sz w:val="14"/>
                <w:szCs w:val="14"/>
              </w:rPr>
            </w:pPr>
            <w:r w:rsidRPr="00E06E32">
              <w:rPr>
                <w:color w:val="000000"/>
                <w:sz w:val="14"/>
                <w:szCs w:val="14"/>
              </w:rPr>
              <w:t xml:space="preserve">– </w:t>
            </w:r>
          </w:p>
        </w:tc>
      </w:tr>
      <w:tr w:rsidR="008234F6" w:rsidRPr="00E06E32" w14:paraId="7992A33D" w14:textId="77777777" w:rsidTr="00C5405C">
        <w:trPr>
          <w:trHeight w:val="221"/>
        </w:trPr>
        <w:tc>
          <w:tcPr>
            <w:tcW w:w="1994" w:type="dxa"/>
            <w:tcBorders>
              <w:top w:val="single" w:sz="4" w:space="0" w:color="000000"/>
              <w:left w:val="single" w:sz="4" w:space="0" w:color="000000"/>
              <w:bottom w:val="single" w:sz="4" w:space="0" w:color="000000"/>
              <w:right w:val="single" w:sz="4" w:space="0" w:color="000000"/>
            </w:tcBorders>
            <w:vAlign w:val="bottom"/>
          </w:tcPr>
          <w:p w14:paraId="20F15701" w14:textId="77777777" w:rsidR="008234F6" w:rsidRPr="00E06E32" w:rsidRDefault="008234F6" w:rsidP="008234F6">
            <w:pPr>
              <w:widowControl w:val="0"/>
              <w:pBdr>
                <w:top w:val="nil"/>
                <w:left w:val="nil"/>
                <w:bottom w:val="nil"/>
                <w:right w:val="nil"/>
                <w:between w:val="nil"/>
              </w:pBdr>
              <w:spacing w:before="40"/>
              <w:ind w:left="-41" w:right="-108"/>
              <w:rPr>
                <w:b/>
                <w:color w:val="000000"/>
                <w:sz w:val="14"/>
                <w:szCs w:val="14"/>
              </w:rPr>
            </w:pPr>
            <w:r w:rsidRPr="00E06E32">
              <w:rPr>
                <w:color w:val="000000"/>
                <w:sz w:val="14"/>
                <w:szCs w:val="14"/>
              </w:rPr>
              <w:t>Property and equipment expenditures ($)</w:t>
            </w:r>
          </w:p>
        </w:tc>
        <w:tc>
          <w:tcPr>
            <w:tcW w:w="977" w:type="dxa"/>
            <w:tcBorders>
              <w:top w:val="single" w:sz="4" w:space="0" w:color="000000"/>
              <w:left w:val="single" w:sz="4" w:space="0" w:color="000000"/>
              <w:bottom w:val="single" w:sz="4" w:space="0" w:color="000000"/>
              <w:right w:val="single" w:sz="4" w:space="0" w:color="000000"/>
            </w:tcBorders>
            <w:vAlign w:val="bottom"/>
          </w:tcPr>
          <w:p w14:paraId="65A378E2" w14:textId="14B0FE4E" w:rsidR="008234F6" w:rsidRPr="00E06E32" w:rsidRDefault="00D730EF" w:rsidP="008234F6">
            <w:pPr>
              <w:widowControl w:val="0"/>
              <w:pBdr>
                <w:top w:val="nil"/>
                <w:left w:val="nil"/>
                <w:bottom w:val="nil"/>
                <w:right w:val="nil"/>
                <w:between w:val="nil"/>
              </w:pBdr>
              <w:ind w:left="-108"/>
              <w:jc w:val="right"/>
              <w:rPr>
                <w:color w:val="000000"/>
                <w:sz w:val="14"/>
                <w:szCs w:val="14"/>
              </w:rPr>
            </w:pPr>
            <w:r>
              <w:rPr>
                <w:color w:val="000000"/>
                <w:sz w:val="14"/>
                <w:szCs w:val="14"/>
              </w:rPr>
              <w:t>6,117,825</w:t>
            </w:r>
          </w:p>
        </w:tc>
        <w:tc>
          <w:tcPr>
            <w:tcW w:w="978" w:type="dxa"/>
            <w:tcBorders>
              <w:top w:val="single" w:sz="4" w:space="0" w:color="000000"/>
              <w:left w:val="single" w:sz="4" w:space="0" w:color="000000"/>
              <w:bottom w:val="single" w:sz="4" w:space="0" w:color="000000"/>
              <w:right w:val="single" w:sz="4" w:space="0" w:color="000000"/>
            </w:tcBorders>
            <w:vAlign w:val="bottom"/>
          </w:tcPr>
          <w:p w14:paraId="4B6166CB" w14:textId="0E159293" w:rsidR="008234F6" w:rsidRPr="00E06E32" w:rsidRDefault="008234F6" w:rsidP="008234F6">
            <w:pPr>
              <w:widowControl w:val="0"/>
              <w:pBdr>
                <w:top w:val="nil"/>
                <w:left w:val="nil"/>
                <w:bottom w:val="nil"/>
                <w:right w:val="nil"/>
                <w:between w:val="nil"/>
              </w:pBdr>
              <w:ind w:left="-108"/>
              <w:jc w:val="right"/>
              <w:rPr>
                <w:color w:val="000000"/>
                <w:sz w:val="14"/>
                <w:szCs w:val="14"/>
              </w:rPr>
            </w:pPr>
            <w:r>
              <w:rPr>
                <w:color w:val="000000"/>
                <w:sz w:val="14"/>
                <w:szCs w:val="14"/>
              </w:rPr>
              <w:t>3,754,133</w:t>
            </w:r>
          </w:p>
        </w:tc>
        <w:tc>
          <w:tcPr>
            <w:tcW w:w="977" w:type="dxa"/>
            <w:tcBorders>
              <w:top w:val="single" w:sz="4" w:space="0" w:color="000000"/>
              <w:left w:val="single" w:sz="4" w:space="0" w:color="000000"/>
              <w:bottom w:val="single" w:sz="4" w:space="0" w:color="000000"/>
              <w:right w:val="single" w:sz="4" w:space="0" w:color="000000"/>
            </w:tcBorders>
            <w:vAlign w:val="bottom"/>
          </w:tcPr>
          <w:p w14:paraId="72B15AC7" w14:textId="0B075C0C" w:rsidR="008234F6" w:rsidRPr="00E06E32" w:rsidRDefault="008234F6" w:rsidP="008234F6">
            <w:pPr>
              <w:widowControl w:val="0"/>
              <w:pBdr>
                <w:top w:val="nil"/>
                <w:left w:val="nil"/>
                <w:bottom w:val="nil"/>
                <w:right w:val="nil"/>
                <w:between w:val="nil"/>
              </w:pBdr>
              <w:jc w:val="right"/>
              <w:rPr>
                <w:color w:val="000000"/>
                <w:sz w:val="14"/>
                <w:szCs w:val="14"/>
              </w:rPr>
            </w:pPr>
            <w:r>
              <w:rPr>
                <w:color w:val="000000"/>
                <w:sz w:val="14"/>
                <w:szCs w:val="14"/>
              </w:rPr>
              <w:t>2,719,536</w:t>
            </w:r>
          </w:p>
        </w:tc>
        <w:tc>
          <w:tcPr>
            <w:tcW w:w="978" w:type="dxa"/>
            <w:tcBorders>
              <w:top w:val="single" w:sz="4" w:space="0" w:color="000000"/>
              <w:left w:val="single" w:sz="4" w:space="0" w:color="000000"/>
              <w:bottom w:val="single" w:sz="4" w:space="0" w:color="000000"/>
              <w:right w:val="single" w:sz="4" w:space="0" w:color="000000"/>
            </w:tcBorders>
            <w:vAlign w:val="bottom"/>
          </w:tcPr>
          <w:p w14:paraId="18F466C0" w14:textId="5390B04F" w:rsidR="008234F6" w:rsidRPr="00E06E32" w:rsidRDefault="008234F6" w:rsidP="008234F6">
            <w:pPr>
              <w:widowControl w:val="0"/>
              <w:pBdr>
                <w:top w:val="nil"/>
                <w:left w:val="nil"/>
                <w:bottom w:val="nil"/>
                <w:right w:val="nil"/>
                <w:between w:val="nil"/>
              </w:pBdr>
              <w:jc w:val="right"/>
              <w:rPr>
                <w:color w:val="000000"/>
                <w:sz w:val="14"/>
                <w:szCs w:val="14"/>
              </w:rPr>
            </w:pPr>
            <w:r w:rsidRPr="00E06E32">
              <w:rPr>
                <w:color w:val="000000"/>
                <w:sz w:val="14"/>
                <w:szCs w:val="14"/>
              </w:rPr>
              <w:t>107,239</w:t>
            </w:r>
          </w:p>
        </w:tc>
        <w:tc>
          <w:tcPr>
            <w:tcW w:w="978" w:type="dxa"/>
            <w:tcBorders>
              <w:top w:val="single" w:sz="4" w:space="0" w:color="000000"/>
              <w:left w:val="single" w:sz="4" w:space="0" w:color="000000"/>
              <w:bottom w:val="single" w:sz="4" w:space="0" w:color="000000"/>
              <w:right w:val="single" w:sz="4" w:space="0" w:color="000000"/>
            </w:tcBorders>
            <w:vAlign w:val="bottom"/>
          </w:tcPr>
          <w:p w14:paraId="7316A14C" w14:textId="5B78E32A" w:rsidR="008234F6" w:rsidRPr="00E06E32" w:rsidRDefault="008234F6" w:rsidP="008234F6">
            <w:pPr>
              <w:widowControl w:val="0"/>
              <w:pBdr>
                <w:top w:val="nil"/>
                <w:left w:val="nil"/>
                <w:bottom w:val="nil"/>
                <w:right w:val="nil"/>
                <w:between w:val="nil"/>
              </w:pBdr>
              <w:ind w:left="-18" w:right="-28"/>
              <w:jc w:val="right"/>
              <w:rPr>
                <w:color w:val="000000"/>
                <w:sz w:val="14"/>
                <w:szCs w:val="14"/>
              </w:rPr>
            </w:pPr>
            <w:r w:rsidRPr="00E06E32">
              <w:rPr>
                <w:color w:val="000000"/>
                <w:sz w:val="14"/>
                <w:szCs w:val="14"/>
              </w:rPr>
              <w:t>1,438,947</w:t>
            </w:r>
          </w:p>
        </w:tc>
        <w:tc>
          <w:tcPr>
            <w:tcW w:w="977" w:type="dxa"/>
            <w:tcBorders>
              <w:top w:val="single" w:sz="4" w:space="0" w:color="000000"/>
              <w:left w:val="single" w:sz="4" w:space="0" w:color="000000"/>
              <w:bottom w:val="single" w:sz="4" w:space="0" w:color="000000"/>
              <w:right w:val="single" w:sz="4" w:space="0" w:color="000000"/>
            </w:tcBorders>
            <w:vAlign w:val="bottom"/>
          </w:tcPr>
          <w:p w14:paraId="4636E0BD" w14:textId="3B820906" w:rsidR="008234F6" w:rsidRPr="00E06E32" w:rsidRDefault="008234F6" w:rsidP="008234F6">
            <w:pPr>
              <w:widowControl w:val="0"/>
              <w:pBdr>
                <w:top w:val="nil"/>
                <w:left w:val="nil"/>
                <w:bottom w:val="nil"/>
                <w:right w:val="nil"/>
                <w:between w:val="nil"/>
              </w:pBdr>
              <w:jc w:val="right"/>
              <w:rPr>
                <w:color w:val="000000"/>
                <w:sz w:val="14"/>
                <w:szCs w:val="14"/>
              </w:rPr>
            </w:pPr>
            <w:r w:rsidRPr="00E06E32">
              <w:rPr>
                <w:color w:val="000000"/>
                <w:sz w:val="14"/>
                <w:szCs w:val="14"/>
              </w:rPr>
              <w:t>3,167,556</w:t>
            </w:r>
          </w:p>
        </w:tc>
        <w:tc>
          <w:tcPr>
            <w:tcW w:w="930" w:type="dxa"/>
            <w:tcBorders>
              <w:top w:val="single" w:sz="4" w:space="0" w:color="000000"/>
              <w:left w:val="single" w:sz="4" w:space="0" w:color="000000"/>
              <w:bottom w:val="single" w:sz="4" w:space="0" w:color="000000"/>
              <w:right w:val="single" w:sz="4" w:space="0" w:color="000000"/>
            </w:tcBorders>
            <w:vAlign w:val="bottom"/>
          </w:tcPr>
          <w:p w14:paraId="42587D84" w14:textId="6A672131" w:rsidR="008234F6" w:rsidRPr="00E06E32" w:rsidRDefault="008234F6" w:rsidP="008234F6">
            <w:pPr>
              <w:widowControl w:val="0"/>
              <w:pBdr>
                <w:top w:val="nil"/>
                <w:left w:val="nil"/>
                <w:bottom w:val="nil"/>
                <w:right w:val="nil"/>
                <w:between w:val="nil"/>
              </w:pBdr>
              <w:jc w:val="right"/>
              <w:rPr>
                <w:color w:val="000000"/>
                <w:sz w:val="14"/>
                <w:szCs w:val="14"/>
              </w:rPr>
            </w:pPr>
            <w:r w:rsidRPr="00E06E32">
              <w:rPr>
                <w:rFonts w:cs="Arial"/>
                <w:color w:val="000000"/>
                <w:sz w:val="14"/>
                <w:szCs w:val="14"/>
              </w:rPr>
              <w:t>4,408,320</w:t>
            </w:r>
          </w:p>
        </w:tc>
        <w:tc>
          <w:tcPr>
            <w:tcW w:w="1026" w:type="dxa"/>
            <w:tcBorders>
              <w:top w:val="single" w:sz="4" w:space="0" w:color="000000"/>
              <w:left w:val="single" w:sz="4" w:space="0" w:color="000000"/>
              <w:bottom w:val="single" w:sz="4" w:space="0" w:color="000000"/>
              <w:right w:val="single" w:sz="4" w:space="0" w:color="000000"/>
            </w:tcBorders>
            <w:vAlign w:val="bottom"/>
          </w:tcPr>
          <w:p w14:paraId="57D3F609" w14:textId="117151B6" w:rsidR="008234F6" w:rsidRPr="00E06E32" w:rsidRDefault="008234F6" w:rsidP="008234F6">
            <w:pPr>
              <w:widowControl w:val="0"/>
              <w:pBdr>
                <w:top w:val="nil"/>
                <w:left w:val="nil"/>
                <w:bottom w:val="nil"/>
                <w:right w:val="nil"/>
                <w:between w:val="nil"/>
              </w:pBdr>
              <w:jc w:val="right"/>
              <w:rPr>
                <w:color w:val="000000"/>
                <w:sz w:val="14"/>
                <w:szCs w:val="14"/>
              </w:rPr>
            </w:pPr>
            <w:r w:rsidRPr="00E06E32">
              <w:rPr>
                <w:color w:val="000000"/>
                <w:sz w:val="14"/>
                <w:szCs w:val="14"/>
              </w:rPr>
              <w:t>665,148</w:t>
            </w:r>
          </w:p>
        </w:tc>
      </w:tr>
      <w:tr w:rsidR="008234F6" w:rsidRPr="00E06E32" w14:paraId="7EB988D3" w14:textId="77777777" w:rsidTr="00C5405C">
        <w:trPr>
          <w:trHeight w:val="111"/>
        </w:trPr>
        <w:tc>
          <w:tcPr>
            <w:tcW w:w="1994" w:type="dxa"/>
            <w:tcBorders>
              <w:top w:val="single" w:sz="4" w:space="0" w:color="000000"/>
              <w:left w:val="single" w:sz="4" w:space="0" w:color="000000"/>
              <w:bottom w:val="single" w:sz="4" w:space="0" w:color="000000"/>
              <w:right w:val="single" w:sz="4" w:space="0" w:color="000000"/>
            </w:tcBorders>
            <w:vAlign w:val="bottom"/>
          </w:tcPr>
          <w:p w14:paraId="20487F2E" w14:textId="77777777" w:rsidR="008234F6" w:rsidRPr="00E06E32" w:rsidRDefault="008234F6" w:rsidP="008234F6">
            <w:pPr>
              <w:widowControl w:val="0"/>
              <w:pBdr>
                <w:top w:val="nil"/>
                <w:left w:val="nil"/>
                <w:bottom w:val="nil"/>
                <w:right w:val="nil"/>
                <w:between w:val="nil"/>
              </w:pBdr>
              <w:spacing w:before="40"/>
              <w:ind w:left="-41" w:right="-108"/>
              <w:rPr>
                <w:b/>
                <w:color w:val="000000"/>
                <w:sz w:val="14"/>
                <w:szCs w:val="14"/>
              </w:rPr>
            </w:pPr>
            <w:r w:rsidRPr="00E06E32">
              <w:rPr>
                <w:color w:val="000000"/>
                <w:sz w:val="14"/>
                <w:szCs w:val="14"/>
              </w:rPr>
              <w:t>Total assets ($)</w:t>
            </w:r>
          </w:p>
        </w:tc>
        <w:tc>
          <w:tcPr>
            <w:tcW w:w="977" w:type="dxa"/>
            <w:tcBorders>
              <w:top w:val="single" w:sz="4" w:space="0" w:color="000000"/>
              <w:left w:val="single" w:sz="4" w:space="0" w:color="000000"/>
              <w:bottom w:val="single" w:sz="4" w:space="0" w:color="000000"/>
              <w:right w:val="single" w:sz="4" w:space="0" w:color="000000"/>
            </w:tcBorders>
            <w:vAlign w:val="bottom"/>
          </w:tcPr>
          <w:p w14:paraId="1843C23C" w14:textId="68D8BFE7" w:rsidR="008234F6" w:rsidRPr="00E06E32" w:rsidRDefault="00D730EF" w:rsidP="008234F6">
            <w:pPr>
              <w:widowControl w:val="0"/>
              <w:pBdr>
                <w:top w:val="nil"/>
                <w:left w:val="nil"/>
                <w:bottom w:val="nil"/>
                <w:right w:val="nil"/>
                <w:between w:val="nil"/>
              </w:pBdr>
              <w:ind w:left="-108"/>
              <w:jc w:val="right"/>
              <w:rPr>
                <w:color w:val="000000"/>
                <w:sz w:val="14"/>
                <w:szCs w:val="14"/>
              </w:rPr>
            </w:pPr>
            <w:r>
              <w:rPr>
                <w:color w:val="000000"/>
                <w:sz w:val="14"/>
                <w:szCs w:val="14"/>
              </w:rPr>
              <w:t>292,472,177</w:t>
            </w:r>
          </w:p>
        </w:tc>
        <w:tc>
          <w:tcPr>
            <w:tcW w:w="978" w:type="dxa"/>
            <w:tcBorders>
              <w:top w:val="single" w:sz="4" w:space="0" w:color="000000"/>
              <w:left w:val="single" w:sz="4" w:space="0" w:color="000000"/>
              <w:bottom w:val="single" w:sz="4" w:space="0" w:color="000000"/>
              <w:right w:val="single" w:sz="4" w:space="0" w:color="000000"/>
            </w:tcBorders>
            <w:vAlign w:val="bottom"/>
          </w:tcPr>
          <w:p w14:paraId="7A7F25F3" w14:textId="3036D479" w:rsidR="008234F6" w:rsidRPr="00E06E32" w:rsidRDefault="008234F6" w:rsidP="008234F6">
            <w:pPr>
              <w:widowControl w:val="0"/>
              <w:pBdr>
                <w:top w:val="nil"/>
                <w:left w:val="nil"/>
                <w:bottom w:val="nil"/>
                <w:right w:val="nil"/>
                <w:between w:val="nil"/>
              </w:pBdr>
              <w:ind w:left="-108"/>
              <w:jc w:val="right"/>
              <w:rPr>
                <w:color w:val="000000"/>
                <w:sz w:val="14"/>
                <w:szCs w:val="14"/>
              </w:rPr>
            </w:pPr>
            <w:r>
              <w:rPr>
                <w:color w:val="000000"/>
                <w:sz w:val="14"/>
                <w:szCs w:val="14"/>
              </w:rPr>
              <w:t>298,763,667</w:t>
            </w:r>
          </w:p>
        </w:tc>
        <w:tc>
          <w:tcPr>
            <w:tcW w:w="977" w:type="dxa"/>
            <w:tcBorders>
              <w:top w:val="single" w:sz="4" w:space="0" w:color="000000"/>
              <w:left w:val="single" w:sz="4" w:space="0" w:color="000000"/>
              <w:bottom w:val="single" w:sz="4" w:space="0" w:color="000000"/>
              <w:right w:val="single" w:sz="4" w:space="0" w:color="000000"/>
            </w:tcBorders>
            <w:vAlign w:val="bottom"/>
          </w:tcPr>
          <w:p w14:paraId="7ADFD748" w14:textId="0C091748" w:rsidR="008234F6" w:rsidRPr="00E06E32" w:rsidRDefault="008234F6" w:rsidP="008234F6">
            <w:pPr>
              <w:widowControl w:val="0"/>
              <w:pBdr>
                <w:top w:val="nil"/>
                <w:left w:val="nil"/>
                <w:bottom w:val="nil"/>
                <w:right w:val="nil"/>
                <w:between w:val="nil"/>
              </w:pBdr>
              <w:ind w:left="-80"/>
              <w:jc w:val="right"/>
              <w:rPr>
                <w:color w:val="000000"/>
                <w:sz w:val="14"/>
                <w:szCs w:val="14"/>
              </w:rPr>
            </w:pPr>
            <w:r>
              <w:rPr>
                <w:color w:val="000000"/>
                <w:sz w:val="14"/>
                <w:szCs w:val="14"/>
              </w:rPr>
              <w:t>293,165,032</w:t>
            </w:r>
          </w:p>
        </w:tc>
        <w:tc>
          <w:tcPr>
            <w:tcW w:w="978" w:type="dxa"/>
            <w:tcBorders>
              <w:top w:val="single" w:sz="4" w:space="0" w:color="000000"/>
              <w:left w:val="single" w:sz="4" w:space="0" w:color="000000"/>
              <w:bottom w:val="single" w:sz="4" w:space="0" w:color="000000"/>
              <w:right w:val="single" w:sz="4" w:space="0" w:color="000000"/>
            </w:tcBorders>
            <w:vAlign w:val="bottom"/>
          </w:tcPr>
          <w:p w14:paraId="7852D6AB" w14:textId="42E91E8C" w:rsidR="008234F6" w:rsidRPr="00E06E32" w:rsidRDefault="008234F6" w:rsidP="008234F6">
            <w:pPr>
              <w:widowControl w:val="0"/>
              <w:pBdr>
                <w:top w:val="nil"/>
                <w:left w:val="nil"/>
                <w:bottom w:val="nil"/>
                <w:right w:val="nil"/>
                <w:between w:val="nil"/>
              </w:pBdr>
              <w:ind w:left="-77"/>
              <w:jc w:val="right"/>
              <w:rPr>
                <w:color w:val="000000"/>
                <w:sz w:val="14"/>
                <w:szCs w:val="14"/>
              </w:rPr>
            </w:pPr>
            <w:r w:rsidRPr="00E06E32">
              <w:rPr>
                <w:color w:val="000000"/>
                <w:sz w:val="14"/>
                <w:szCs w:val="14"/>
              </w:rPr>
              <w:t>220,687,432</w:t>
            </w:r>
          </w:p>
        </w:tc>
        <w:tc>
          <w:tcPr>
            <w:tcW w:w="978" w:type="dxa"/>
            <w:tcBorders>
              <w:top w:val="single" w:sz="4" w:space="0" w:color="000000"/>
              <w:left w:val="single" w:sz="4" w:space="0" w:color="000000"/>
              <w:bottom w:val="single" w:sz="4" w:space="0" w:color="000000"/>
              <w:right w:val="single" w:sz="4" w:space="0" w:color="000000"/>
            </w:tcBorders>
            <w:vAlign w:val="bottom"/>
          </w:tcPr>
          <w:p w14:paraId="1D026585" w14:textId="026B92F4" w:rsidR="008234F6" w:rsidRPr="00E06E32" w:rsidRDefault="008234F6" w:rsidP="008234F6">
            <w:pPr>
              <w:widowControl w:val="0"/>
              <w:pBdr>
                <w:top w:val="nil"/>
                <w:left w:val="nil"/>
                <w:bottom w:val="nil"/>
                <w:right w:val="nil"/>
                <w:between w:val="nil"/>
              </w:pBdr>
              <w:ind w:left="-18" w:right="-28"/>
              <w:jc w:val="right"/>
              <w:rPr>
                <w:color w:val="000000"/>
                <w:sz w:val="14"/>
                <w:szCs w:val="14"/>
              </w:rPr>
            </w:pPr>
            <w:r w:rsidRPr="00E06E32">
              <w:rPr>
                <w:color w:val="000000"/>
                <w:sz w:val="14"/>
                <w:szCs w:val="14"/>
              </w:rPr>
              <w:t>210,822,735</w:t>
            </w:r>
          </w:p>
        </w:tc>
        <w:tc>
          <w:tcPr>
            <w:tcW w:w="977" w:type="dxa"/>
            <w:tcBorders>
              <w:top w:val="single" w:sz="4" w:space="0" w:color="000000"/>
              <w:left w:val="single" w:sz="4" w:space="0" w:color="000000"/>
              <w:bottom w:val="single" w:sz="4" w:space="0" w:color="000000"/>
              <w:right w:val="single" w:sz="4" w:space="0" w:color="000000"/>
            </w:tcBorders>
            <w:vAlign w:val="bottom"/>
          </w:tcPr>
          <w:p w14:paraId="7FFD5B7B" w14:textId="0A93CEFB" w:rsidR="008234F6" w:rsidRPr="00E06E32" w:rsidRDefault="008234F6" w:rsidP="008234F6">
            <w:pPr>
              <w:widowControl w:val="0"/>
              <w:pBdr>
                <w:top w:val="nil"/>
                <w:left w:val="nil"/>
                <w:bottom w:val="nil"/>
                <w:right w:val="nil"/>
                <w:between w:val="nil"/>
              </w:pBdr>
              <w:ind w:left="-43"/>
              <w:jc w:val="right"/>
              <w:rPr>
                <w:color w:val="000000"/>
                <w:sz w:val="14"/>
                <w:szCs w:val="14"/>
              </w:rPr>
            </w:pPr>
            <w:r w:rsidRPr="00E06E32">
              <w:rPr>
                <w:color w:val="000000"/>
                <w:sz w:val="14"/>
                <w:szCs w:val="14"/>
              </w:rPr>
              <w:t>213,542,338</w:t>
            </w:r>
          </w:p>
        </w:tc>
        <w:tc>
          <w:tcPr>
            <w:tcW w:w="930" w:type="dxa"/>
            <w:tcBorders>
              <w:top w:val="single" w:sz="4" w:space="0" w:color="000000"/>
              <w:left w:val="single" w:sz="4" w:space="0" w:color="000000"/>
              <w:bottom w:val="single" w:sz="4" w:space="0" w:color="000000"/>
              <w:right w:val="single" w:sz="4" w:space="0" w:color="000000"/>
            </w:tcBorders>
            <w:vAlign w:val="bottom"/>
          </w:tcPr>
          <w:p w14:paraId="35AB786B" w14:textId="16B74D4E" w:rsidR="008234F6" w:rsidRPr="00E06E32" w:rsidRDefault="008234F6" w:rsidP="008234F6">
            <w:pPr>
              <w:widowControl w:val="0"/>
              <w:pBdr>
                <w:top w:val="nil"/>
                <w:left w:val="nil"/>
                <w:bottom w:val="nil"/>
                <w:right w:val="nil"/>
                <w:between w:val="nil"/>
              </w:pBdr>
              <w:jc w:val="right"/>
              <w:rPr>
                <w:color w:val="000000"/>
                <w:sz w:val="14"/>
                <w:szCs w:val="14"/>
              </w:rPr>
            </w:pPr>
            <w:r w:rsidRPr="00E06E32">
              <w:rPr>
                <w:rFonts w:cs="Arial"/>
                <w:color w:val="000000"/>
                <w:sz w:val="14"/>
                <w:szCs w:val="14"/>
              </w:rPr>
              <w:t>218,188,749</w:t>
            </w:r>
          </w:p>
        </w:tc>
        <w:tc>
          <w:tcPr>
            <w:tcW w:w="1026" w:type="dxa"/>
            <w:tcBorders>
              <w:top w:val="single" w:sz="4" w:space="0" w:color="000000"/>
              <w:left w:val="single" w:sz="4" w:space="0" w:color="000000"/>
              <w:bottom w:val="single" w:sz="4" w:space="0" w:color="000000"/>
              <w:right w:val="single" w:sz="4" w:space="0" w:color="000000"/>
            </w:tcBorders>
            <w:vAlign w:val="bottom"/>
          </w:tcPr>
          <w:p w14:paraId="0E3768BB" w14:textId="111D74A4" w:rsidR="008234F6" w:rsidRPr="00E06E32" w:rsidRDefault="008234F6" w:rsidP="008234F6">
            <w:pPr>
              <w:widowControl w:val="0"/>
              <w:pBdr>
                <w:top w:val="nil"/>
                <w:left w:val="nil"/>
                <w:bottom w:val="nil"/>
                <w:right w:val="nil"/>
                <w:between w:val="nil"/>
              </w:pBdr>
              <w:ind w:right="-47"/>
              <w:jc w:val="right"/>
              <w:rPr>
                <w:color w:val="000000"/>
                <w:sz w:val="14"/>
                <w:szCs w:val="14"/>
              </w:rPr>
            </w:pPr>
            <w:r w:rsidRPr="00E06E32">
              <w:rPr>
                <w:color w:val="000000"/>
                <w:sz w:val="14"/>
                <w:szCs w:val="14"/>
              </w:rPr>
              <w:t xml:space="preserve">66,215,433 </w:t>
            </w:r>
          </w:p>
        </w:tc>
      </w:tr>
      <w:tr w:rsidR="008234F6" w:rsidRPr="00E06E32" w14:paraId="20620A0D" w14:textId="77777777" w:rsidTr="00C5405C">
        <w:trPr>
          <w:trHeight w:val="108"/>
        </w:trPr>
        <w:tc>
          <w:tcPr>
            <w:tcW w:w="1994" w:type="dxa"/>
            <w:tcBorders>
              <w:top w:val="single" w:sz="4" w:space="0" w:color="000000"/>
              <w:left w:val="single" w:sz="4" w:space="0" w:color="000000"/>
              <w:bottom w:val="single" w:sz="4" w:space="0" w:color="000000"/>
              <w:right w:val="single" w:sz="4" w:space="0" w:color="000000"/>
            </w:tcBorders>
            <w:vAlign w:val="bottom"/>
          </w:tcPr>
          <w:p w14:paraId="2EC2FE04" w14:textId="73C9F509" w:rsidR="008234F6" w:rsidRPr="00E06E32" w:rsidRDefault="008234F6" w:rsidP="008234F6">
            <w:pPr>
              <w:widowControl w:val="0"/>
              <w:pBdr>
                <w:top w:val="nil"/>
                <w:left w:val="nil"/>
                <w:bottom w:val="nil"/>
                <w:right w:val="nil"/>
                <w:between w:val="nil"/>
              </w:pBdr>
              <w:spacing w:before="40"/>
              <w:ind w:left="-41" w:right="-108"/>
              <w:rPr>
                <w:color w:val="000000"/>
                <w:sz w:val="14"/>
                <w:szCs w:val="14"/>
              </w:rPr>
            </w:pPr>
            <w:r>
              <w:rPr>
                <w:color w:val="000000"/>
                <w:sz w:val="14"/>
                <w:szCs w:val="14"/>
              </w:rPr>
              <w:t>Loans</w:t>
            </w:r>
            <w:r w:rsidRPr="00E06E32">
              <w:rPr>
                <w:color w:val="000000"/>
                <w:sz w:val="14"/>
                <w:szCs w:val="14"/>
              </w:rPr>
              <w:t xml:space="preserve"> </w:t>
            </w:r>
            <w:r w:rsidRPr="00E06E32">
              <w:rPr>
                <w:color w:val="000000"/>
                <w:sz w:val="14"/>
                <w:szCs w:val="14"/>
                <w:vertAlign w:val="superscript"/>
              </w:rPr>
              <w:t xml:space="preserve">(3) </w:t>
            </w:r>
            <w:r w:rsidRPr="00E06E32">
              <w:rPr>
                <w:color w:val="000000"/>
                <w:sz w:val="14"/>
                <w:szCs w:val="14"/>
              </w:rPr>
              <w:t>($)</w:t>
            </w:r>
          </w:p>
        </w:tc>
        <w:tc>
          <w:tcPr>
            <w:tcW w:w="977" w:type="dxa"/>
            <w:tcBorders>
              <w:top w:val="single" w:sz="4" w:space="0" w:color="000000"/>
              <w:left w:val="single" w:sz="4" w:space="0" w:color="000000"/>
              <w:bottom w:val="single" w:sz="4" w:space="0" w:color="000000"/>
              <w:right w:val="single" w:sz="4" w:space="0" w:color="000000"/>
            </w:tcBorders>
            <w:vAlign w:val="bottom"/>
          </w:tcPr>
          <w:p w14:paraId="0997A092" w14:textId="0890DE2E" w:rsidR="008234F6" w:rsidRPr="00E06E32" w:rsidRDefault="00D730EF" w:rsidP="008234F6">
            <w:pPr>
              <w:widowControl w:val="0"/>
              <w:pBdr>
                <w:top w:val="nil"/>
                <w:left w:val="nil"/>
                <w:bottom w:val="nil"/>
                <w:right w:val="nil"/>
                <w:between w:val="nil"/>
              </w:pBdr>
              <w:ind w:left="-108"/>
              <w:jc w:val="right"/>
              <w:rPr>
                <w:color w:val="000000"/>
                <w:sz w:val="14"/>
                <w:szCs w:val="14"/>
              </w:rPr>
            </w:pPr>
            <w:r>
              <w:rPr>
                <w:color w:val="000000"/>
                <w:sz w:val="14"/>
                <w:szCs w:val="14"/>
              </w:rPr>
              <w:t>59,866,377</w:t>
            </w:r>
          </w:p>
        </w:tc>
        <w:tc>
          <w:tcPr>
            <w:tcW w:w="978" w:type="dxa"/>
            <w:tcBorders>
              <w:top w:val="single" w:sz="4" w:space="0" w:color="000000"/>
              <w:left w:val="single" w:sz="4" w:space="0" w:color="000000"/>
              <w:bottom w:val="single" w:sz="4" w:space="0" w:color="000000"/>
              <w:right w:val="single" w:sz="4" w:space="0" w:color="000000"/>
            </w:tcBorders>
            <w:vAlign w:val="bottom"/>
          </w:tcPr>
          <w:p w14:paraId="18F7AE99" w14:textId="3E0F856B" w:rsidR="008234F6" w:rsidRPr="00E06E32" w:rsidRDefault="008234F6" w:rsidP="008234F6">
            <w:pPr>
              <w:widowControl w:val="0"/>
              <w:pBdr>
                <w:top w:val="nil"/>
                <w:left w:val="nil"/>
                <w:bottom w:val="nil"/>
                <w:right w:val="nil"/>
                <w:between w:val="nil"/>
              </w:pBdr>
              <w:ind w:left="-108"/>
              <w:jc w:val="right"/>
              <w:rPr>
                <w:color w:val="000000"/>
                <w:sz w:val="14"/>
                <w:szCs w:val="14"/>
              </w:rPr>
            </w:pPr>
            <w:r>
              <w:rPr>
                <w:color w:val="000000"/>
                <w:sz w:val="14"/>
                <w:szCs w:val="14"/>
              </w:rPr>
              <w:t>75,305,657</w:t>
            </w:r>
          </w:p>
        </w:tc>
        <w:tc>
          <w:tcPr>
            <w:tcW w:w="977" w:type="dxa"/>
            <w:tcBorders>
              <w:top w:val="single" w:sz="4" w:space="0" w:color="000000"/>
              <w:left w:val="single" w:sz="4" w:space="0" w:color="000000"/>
              <w:bottom w:val="single" w:sz="4" w:space="0" w:color="000000"/>
              <w:right w:val="single" w:sz="4" w:space="0" w:color="000000"/>
            </w:tcBorders>
            <w:vAlign w:val="bottom"/>
          </w:tcPr>
          <w:p w14:paraId="70F1E7D7" w14:textId="27704BDA" w:rsidR="008234F6" w:rsidRPr="00E06E32" w:rsidRDefault="008234F6" w:rsidP="008234F6">
            <w:pPr>
              <w:widowControl w:val="0"/>
              <w:pBdr>
                <w:top w:val="nil"/>
                <w:left w:val="nil"/>
                <w:bottom w:val="nil"/>
                <w:right w:val="nil"/>
                <w:between w:val="nil"/>
              </w:pBdr>
              <w:jc w:val="right"/>
              <w:rPr>
                <w:color w:val="000000"/>
                <w:sz w:val="14"/>
                <w:szCs w:val="14"/>
              </w:rPr>
            </w:pPr>
            <w:r>
              <w:rPr>
                <w:color w:val="000000"/>
                <w:sz w:val="14"/>
                <w:szCs w:val="14"/>
              </w:rPr>
              <w:t>86,422,884</w:t>
            </w:r>
          </w:p>
        </w:tc>
        <w:tc>
          <w:tcPr>
            <w:tcW w:w="978" w:type="dxa"/>
            <w:tcBorders>
              <w:top w:val="single" w:sz="4" w:space="0" w:color="000000"/>
              <w:left w:val="single" w:sz="4" w:space="0" w:color="000000"/>
              <w:bottom w:val="single" w:sz="4" w:space="0" w:color="000000"/>
              <w:right w:val="single" w:sz="4" w:space="0" w:color="000000"/>
            </w:tcBorders>
            <w:vAlign w:val="bottom"/>
          </w:tcPr>
          <w:p w14:paraId="0B580F28" w14:textId="0EF3A98D" w:rsidR="008234F6" w:rsidRPr="00E06E32" w:rsidRDefault="008234F6" w:rsidP="008234F6">
            <w:pPr>
              <w:widowControl w:val="0"/>
              <w:pBdr>
                <w:top w:val="nil"/>
                <w:left w:val="nil"/>
                <w:bottom w:val="nil"/>
                <w:right w:val="nil"/>
                <w:between w:val="nil"/>
              </w:pBdr>
              <w:jc w:val="right"/>
              <w:rPr>
                <w:color w:val="000000"/>
                <w:sz w:val="14"/>
                <w:szCs w:val="14"/>
              </w:rPr>
            </w:pPr>
            <w:r w:rsidRPr="00E06E32">
              <w:rPr>
                <w:color w:val="000000"/>
                <w:sz w:val="14"/>
                <w:szCs w:val="14"/>
              </w:rPr>
              <w:t>24,490,093</w:t>
            </w:r>
          </w:p>
        </w:tc>
        <w:tc>
          <w:tcPr>
            <w:tcW w:w="978" w:type="dxa"/>
            <w:tcBorders>
              <w:top w:val="single" w:sz="4" w:space="0" w:color="000000"/>
              <w:left w:val="single" w:sz="4" w:space="0" w:color="000000"/>
              <w:bottom w:val="single" w:sz="4" w:space="0" w:color="000000"/>
              <w:right w:val="single" w:sz="4" w:space="0" w:color="000000"/>
            </w:tcBorders>
            <w:vAlign w:val="bottom"/>
          </w:tcPr>
          <w:p w14:paraId="4C4A224F" w14:textId="32D36726" w:rsidR="008234F6" w:rsidRPr="00E06E32" w:rsidRDefault="008234F6" w:rsidP="008234F6">
            <w:pPr>
              <w:widowControl w:val="0"/>
              <w:pBdr>
                <w:top w:val="nil"/>
                <w:left w:val="nil"/>
                <w:bottom w:val="nil"/>
                <w:right w:val="nil"/>
                <w:between w:val="nil"/>
              </w:pBdr>
              <w:ind w:left="-18" w:right="-28"/>
              <w:jc w:val="right"/>
              <w:rPr>
                <w:color w:val="000000"/>
                <w:sz w:val="14"/>
                <w:szCs w:val="14"/>
              </w:rPr>
            </w:pPr>
            <w:r w:rsidRPr="00E06E32">
              <w:rPr>
                <w:color w:val="000000"/>
                <w:sz w:val="14"/>
                <w:szCs w:val="14"/>
              </w:rPr>
              <w:t>24,586,131</w:t>
            </w:r>
          </w:p>
        </w:tc>
        <w:tc>
          <w:tcPr>
            <w:tcW w:w="977" w:type="dxa"/>
            <w:tcBorders>
              <w:top w:val="single" w:sz="4" w:space="0" w:color="000000"/>
              <w:left w:val="single" w:sz="4" w:space="0" w:color="000000"/>
              <w:bottom w:val="single" w:sz="4" w:space="0" w:color="000000"/>
              <w:right w:val="single" w:sz="4" w:space="0" w:color="000000"/>
            </w:tcBorders>
            <w:vAlign w:val="bottom"/>
          </w:tcPr>
          <w:p w14:paraId="5313140E" w14:textId="06769F03" w:rsidR="008234F6" w:rsidRPr="00E06E32" w:rsidRDefault="008234F6" w:rsidP="008234F6">
            <w:pPr>
              <w:widowControl w:val="0"/>
              <w:pBdr>
                <w:top w:val="nil"/>
                <w:left w:val="nil"/>
                <w:bottom w:val="nil"/>
                <w:right w:val="nil"/>
                <w:between w:val="nil"/>
              </w:pBdr>
              <w:jc w:val="right"/>
              <w:rPr>
                <w:color w:val="000000"/>
                <w:sz w:val="14"/>
                <w:szCs w:val="14"/>
              </w:rPr>
            </w:pPr>
            <w:r w:rsidRPr="00E06E32">
              <w:rPr>
                <w:color w:val="000000"/>
                <w:sz w:val="14"/>
                <w:szCs w:val="14"/>
              </w:rPr>
              <w:t>18,761,687</w:t>
            </w:r>
          </w:p>
        </w:tc>
        <w:tc>
          <w:tcPr>
            <w:tcW w:w="930" w:type="dxa"/>
            <w:tcBorders>
              <w:top w:val="single" w:sz="4" w:space="0" w:color="000000"/>
              <w:left w:val="single" w:sz="4" w:space="0" w:color="000000"/>
              <w:bottom w:val="single" w:sz="4" w:space="0" w:color="000000"/>
              <w:right w:val="single" w:sz="4" w:space="0" w:color="000000"/>
            </w:tcBorders>
            <w:vAlign w:val="bottom"/>
          </w:tcPr>
          <w:p w14:paraId="1DF53162" w14:textId="2B1BA574" w:rsidR="008234F6" w:rsidRPr="00E06E32" w:rsidRDefault="008234F6" w:rsidP="008234F6">
            <w:pPr>
              <w:widowControl w:val="0"/>
              <w:pBdr>
                <w:top w:val="nil"/>
                <w:left w:val="nil"/>
                <w:bottom w:val="nil"/>
                <w:right w:val="nil"/>
                <w:between w:val="nil"/>
              </w:pBdr>
              <w:jc w:val="right"/>
              <w:rPr>
                <w:color w:val="000000"/>
                <w:sz w:val="14"/>
                <w:szCs w:val="14"/>
              </w:rPr>
            </w:pPr>
            <w:r w:rsidRPr="00E06E32">
              <w:rPr>
                <w:rFonts w:cs="Arial"/>
                <w:color w:val="000000"/>
                <w:sz w:val="14"/>
                <w:szCs w:val="14"/>
              </w:rPr>
              <w:t>19,699,011</w:t>
            </w:r>
          </w:p>
        </w:tc>
        <w:tc>
          <w:tcPr>
            <w:tcW w:w="1026" w:type="dxa"/>
            <w:tcBorders>
              <w:top w:val="single" w:sz="4" w:space="0" w:color="000000"/>
              <w:left w:val="single" w:sz="4" w:space="0" w:color="000000"/>
              <w:bottom w:val="single" w:sz="4" w:space="0" w:color="000000"/>
              <w:right w:val="single" w:sz="4" w:space="0" w:color="000000"/>
            </w:tcBorders>
            <w:vAlign w:val="bottom"/>
          </w:tcPr>
          <w:p w14:paraId="62743D56" w14:textId="5EA70AA9" w:rsidR="008234F6" w:rsidRPr="00E06E32" w:rsidRDefault="008234F6" w:rsidP="008234F6">
            <w:pPr>
              <w:widowControl w:val="0"/>
              <w:pBdr>
                <w:top w:val="nil"/>
                <w:left w:val="nil"/>
                <w:bottom w:val="nil"/>
                <w:right w:val="nil"/>
                <w:between w:val="nil"/>
              </w:pBdr>
              <w:ind w:right="-47"/>
              <w:jc w:val="right"/>
              <w:rPr>
                <w:color w:val="000000"/>
                <w:sz w:val="14"/>
                <w:szCs w:val="14"/>
              </w:rPr>
            </w:pPr>
            <w:r w:rsidRPr="00E06E32">
              <w:rPr>
                <w:color w:val="000000"/>
                <w:sz w:val="14"/>
                <w:szCs w:val="14"/>
              </w:rPr>
              <w:t xml:space="preserve"> 6,918,248 </w:t>
            </w:r>
          </w:p>
        </w:tc>
      </w:tr>
      <w:tr w:rsidR="008234F6" w:rsidRPr="00E06E32" w14:paraId="6B459236" w14:textId="77777777" w:rsidTr="00C5405C">
        <w:trPr>
          <w:trHeight w:val="108"/>
        </w:trPr>
        <w:tc>
          <w:tcPr>
            <w:tcW w:w="1994" w:type="dxa"/>
            <w:tcBorders>
              <w:top w:val="single" w:sz="4" w:space="0" w:color="000000"/>
              <w:left w:val="single" w:sz="4" w:space="0" w:color="000000"/>
              <w:bottom w:val="single" w:sz="4" w:space="0" w:color="000000"/>
              <w:right w:val="single" w:sz="4" w:space="0" w:color="000000"/>
            </w:tcBorders>
            <w:vAlign w:val="bottom"/>
          </w:tcPr>
          <w:p w14:paraId="6C284739" w14:textId="77777777" w:rsidR="008234F6" w:rsidRPr="00E06E32" w:rsidRDefault="008234F6" w:rsidP="008234F6">
            <w:pPr>
              <w:widowControl w:val="0"/>
              <w:pBdr>
                <w:top w:val="nil"/>
                <w:left w:val="nil"/>
                <w:bottom w:val="nil"/>
                <w:right w:val="nil"/>
                <w:between w:val="nil"/>
              </w:pBdr>
              <w:spacing w:before="40"/>
              <w:ind w:left="-41" w:right="-108"/>
              <w:rPr>
                <w:color w:val="000000"/>
                <w:sz w:val="14"/>
                <w:szCs w:val="14"/>
              </w:rPr>
            </w:pPr>
            <w:r w:rsidRPr="00E06E32">
              <w:rPr>
                <w:color w:val="000000"/>
                <w:sz w:val="14"/>
                <w:szCs w:val="14"/>
              </w:rPr>
              <w:t xml:space="preserve">Notes payable </w:t>
            </w:r>
            <w:r w:rsidRPr="00E06E32">
              <w:rPr>
                <w:color w:val="000000"/>
                <w:sz w:val="14"/>
                <w:szCs w:val="14"/>
                <w:vertAlign w:val="superscript"/>
              </w:rPr>
              <w:t xml:space="preserve">(3) </w:t>
            </w:r>
            <w:r w:rsidRPr="00E06E32">
              <w:rPr>
                <w:color w:val="000000"/>
                <w:sz w:val="14"/>
                <w:szCs w:val="14"/>
              </w:rPr>
              <w:t>($)</w:t>
            </w:r>
          </w:p>
        </w:tc>
        <w:tc>
          <w:tcPr>
            <w:tcW w:w="977" w:type="dxa"/>
            <w:tcBorders>
              <w:top w:val="single" w:sz="4" w:space="0" w:color="000000"/>
              <w:left w:val="single" w:sz="4" w:space="0" w:color="000000"/>
              <w:bottom w:val="single" w:sz="4" w:space="0" w:color="000000"/>
              <w:right w:val="single" w:sz="4" w:space="0" w:color="000000"/>
            </w:tcBorders>
            <w:vAlign w:val="bottom"/>
          </w:tcPr>
          <w:p w14:paraId="60413FE1" w14:textId="0F63008D" w:rsidR="008234F6" w:rsidRPr="00E06E32" w:rsidRDefault="00D730EF" w:rsidP="008234F6">
            <w:pPr>
              <w:widowControl w:val="0"/>
              <w:pBdr>
                <w:top w:val="nil"/>
                <w:left w:val="nil"/>
                <w:bottom w:val="nil"/>
                <w:right w:val="nil"/>
                <w:between w:val="nil"/>
              </w:pBdr>
              <w:ind w:left="-108"/>
              <w:jc w:val="right"/>
              <w:rPr>
                <w:color w:val="000000"/>
                <w:sz w:val="14"/>
                <w:szCs w:val="14"/>
              </w:rPr>
            </w:pPr>
            <w:r>
              <w:rPr>
                <w:color w:val="000000"/>
                <w:sz w:val="14"/>
                <w:szCs w:val="14"/>
              </w:rPr>
              <w:t>78,918,367</w:t>
            </w:r>
          </w:p>
        </w:tc>
        <w:tc>
          <w:tcPr>
            <w:tcW w:w="978" w:type="dxa"/>
            <w:tcBorders>
              <w:top w:val="single" w:sz="4" w:space="0" w:color="000000"/>
              <w:left w:val="single" w:sz="4" w:space="0" w:color="000000"/>
              <w:bottom w:val="single" w:sz="4" w:space="0" w:color="000000"/>
              <w:right w:val="single" w:sz="4" w:space="0" w:color="000000"/>
            </w:tcBorders>
            <w:vAlign w:val="bottom"/>
          </w:tcPr>
          <w:p w14:paraId="423C836A" w14:textId="3F97BB06" w:rsidR="008234F6" w:rsidRPr="00E06E32" w:rsidRDefault="008234F6" w:rsidP="008234F6">
            <w:pPr>
              <w:widowControl w:val="0"/>
              <w:pBdr>
                <w:top w:val="nil"/>
                <w:left w:val="nil"/>
                <w:bottom w:val="nil"/>
                <w:right w:val="nil"/>
                <w:between w:val="nil"/>
              </w:pBdr>
              <w:ind w:left="-108"/>
              <w:jc w:val="right"/>
              <w:rPr>
                <w:color w:val="000000"/>
                <w:sz w:val="14"/>
                <w:szCs w:val="14"/>
              </w:rPr>
            </w:pPr>
            <w:r>
              <w:rPr>
                <w:color w:val="000000"/>
                <w:sz w:val="14"/>
                <w:szCs w:val="14"/>
              </w:rPr>
              <w:t>78,536,716</w:t>
            </w:r>
          </w:p>
        </w:tc>
        <w:tc>
          <w:tcPr>
            <w:tcW w:w="977" w:type="dxa"/>
            <w:tcBorders>
              <w:top w:val="single" w:sz="4" w:space="0" w:color="000000"/>
              <w:left w:val="single" w:sz="4" w:space="0" w:color="000000"/>
              <w:bottom w:val="single" w:sz="4" w:space="0" w:color="000000"/>
              <w:right w:val="single" w:sz="4" w:space="0" w:color="000000"/>
            </w:tcBorders>
            <w:vAlign w:val="bottom"/>
          </w:tcPr>
          <w:p w14:paraId="268A49D5" w14:textId="7307B59D" w:rsidR="008234F6" w:rsidRPr="00E06E32" w:rsidRDefault="008234F6" w:rsidP="008234F6">
            <w:pPr>
              <w:widowControl w:val="0"/>
              <w:pBdr>
                <w:top w:val="nil"/>
                <w:left w:val="nil"/>
                <w:bottom w:val="nil"/>
                <w:right w:val="nil"/>
                <w:between w:val="nil"/>
              </w:pBdr>
              <w:jc w:val="right"/>
              <w:rPr>
                <w:color w:val="000000"/>
                <w:sz w:val="14"/>
                <w:szCs w:val="14"/>
              </w:rPr>
            </w:pPr>
            <w:r>
              <w:rPr>
                <w:color w:val="000000"/>
                <w:sz w:val="14"/>
                <w:szCs w:val="14"/>
              </w:rPr>
              <w:t>55,771,803</w:t>
            </w:r>
          </w:p>
        </w:tc>
        <w:tc>
          <w:tcPr>
            <w:tcW w:w="978" w:type="dxa"/>
            <w:tcBorders>
              <w:top w:val="single" w:sz="4" w:space="0" w:color="000000"/>
              <w:left w:val="single" w:sz="4" w:space="0" w:color="000000"/>
              <w:bottom w:val="single" w:sz="4" w:space="0" w:color="000000"/>
              <w:right w:val="single" w:sz="4" w:space="0" w:color="000000"/>
            </w:tcBorders>
            <w:vAlign w:val="bottom"/>
          </w:tcPr>
          <w:p w14:paraId="223F3F6E" w14:textId="6DF99603" w:rsidR="008234F6" w:rsidRPr="00E06E32" w:rsidRDefault="008234F6" w:rsidP="008234F6">
            <w:pPr>
              <w:widowControl w:val="0"/>
              <w:pBdr>
                <w:top w:val="nil"/>
                <w:left w:val="nil"/>
                <w:bottom w:val="nil"/>
                <w:right w:val="nil"/>
                <w:between w:val="nil"/>
              </w:pBdr>
              <w:jc w:val="right"/>
              <w:rPr>
                <w:color w:val="000000"/>
                <w:sz w:val="14"/>
                <w:szCs w:val="14"/>
              </w:rPr>
            </w:pPr>
            <w:r w:rsidRPr="00E06E32">
              <w:rPr>
                <w:color w:val="000000"/>
                <w:sz w:val="14"/>
                <w:szCs w:val="14"/>
              </w:rPr>
              <w:t>55,393,092</w:t>
            </w:r>
          </w:p>
        </w:tc>
        <w:tc>
          <w:tcPr>
            <w:tcW w:w="978" w:type="dxa"/>
            <w:tcBorders>
              <w:top w:val="single" w:sz="4" w:space="0" w:color="000000"/>
              <w:left w:val="single" w:sz="4" w:space="0" w:color="000000"/>
              <w:bottom w:val="single" w:sz="4" w:space="0" w:color="000000"/>
              <w:right w:val="single" w:sz="4" w:space="0" w:color="000000"/>
            </w:tcBorders>
            <w:vAlign w:val="bottom"/>
          </w:tcPr>
          <w:p w14:paraId="6F712AA3" w14:textId="7531B705" w:rsidR="008234F6" w:rsidRPr="00E06E32" w:rsidRDefault="008234F6" w:rsidP="008234F6">
            <w:pPr>
              <w:widowControl w:val="0"/>
              <w:pBdr>
                <w:top w:val="nil"/>
                <w:left w:val="nil"/>
                <w:bottom w:val="nil"/>
                <w:right w:val="nil"/>
                <w:between w:val="nil"/>
              </w:pBdr>
              <w:ind w:left="-18" w:right="-28"/>
              <w:jc w:val="right"/>
              <w:rPr>
                <w:color w:val="000000"/>
                <w:sz w:val="14"/>
                <w:szCs w:val="14"/>
              </w:rPr>
            </w:pPr>
            <w:r w:rsidRPr="00E06E32">
              <w:rPr>
                <w:color w:val="000000"/>
                <w:sz w:val="14"/>
                <w:szCs w:val="14"/>
              </w:rPr>
              <w:t>34,847,129</w:t>
            </w:r>
          </w:p>
        </w:tc>
        <w:tc>
          <w:tcPr>
            <w:tcW w:w="977" w:type="dxa"/>
            <w:tcBorders>
              <w:top w:val="single" w:sz="4" w:space="0" w:color="000000"/>
              <w:left w:val="single" w:sz="4" w:space="0" w:color="000000"/>
              <w:bottom w:val="single" w:sz="4" w:space="0" w:color="000000"/>
              <w:right w:val="single" w:sz="4" w:space="0" w:color="000000"/>
            </w:tcBorders>
            <w:vAlign w:val="bottom"/>
          </w:tcPr>
          <w:p w14:paraId="637D9A96" w14:textId="3B9E95E8" w:rsidR="008234F6" w:rsidRPr="00E06E32" w:rsidRDefault="008234F6" w:rsidP="008234F6">
            <w:pPr>
              <w:widowControl w:val="0"/>
              <w:pBdr>
                <w:top w:val="nil"/>
                <w:left w:val="nil"/>
                <w:bottom w:val="nil"/>
                <w:right w:val="nil"/>
                <w:between w:val="nil"/>
              </w:pBdr>
              <w:jc w:val="right"/>
              <w:rPr>
                <w:color w:val="000000"/>
                <w:sz w:val="14"/>
                <w:szCs w:val="14"/>
              </w:rPr>
            </w:pPr>
            <w:r w:rsidRPr="00E06E32">
              <w:rPr>
                <w:color w:val="000000"/>
                <w:sz w:val="14"/>
                <w:szCs w:val="14"/>
              </w:rPr>
              <w:t>40,815,899</w:t>
            </w:r>
          </w:p>
        </w:tc>
        <w:tc>
          <w:tcPr>
            <w:tcW w:w="930" w:type="dxa"/>
            <w:tcBorders>
              <w:top w:val="single" w:sz="4" w:space="0" w:color="000000"/>
              <w:left w:val="single" w:sz="4" w:space="0" w:color="000000"/>
              <w:bottom w:val="single" w:sz="4" w:space="0" w:color="000000"/>
              <w:right w:val="single" w:sz="4" w:space="0" w:color="000000"/>
            </w:tcBorders>
            <w:vAlign w:val="bottom"/>
          </w:tcPr>
          <w:p w14:paraId="64A05192" w14:textId="18171F50" w:rsidR="008234F6" w:rsidRPr="00E06E32" w:rsidRDefault="008234F6" w:rsidP="008234F6">
            <w:pPr>
              <w:widowControl w:val="0"/>
              <w:pBdr>
                <w:top w:val="nil"/>
                <w:left w:val="nil"/>
                <w:bottom w:val="nil"/>
                <w:right w:val="nil"/>
                <w:between w:val="nil"/>
              </w:pBdr>
              <w:jc w:val="right"/>
              <w:rPr>
                <w:color w:val="000000"/>
                <w:sz w:val="14"/>
                <w:szCs w:val="14"/>
              </w:rPr>
            </w:pPr>
            <w:r w:rsidRPr="00E06E32">
              <w:rPr>
                <w:rFonts w:cs="Arial"/>
                <w:color w:val="000000"/>
                <w:sz w:val="14"/>
                <w:szCs w:val="14"/>
              </w:rPr>
              <w:t>45,787,526</w:t>
            </w:r>
          </w:p>
        </w:tc>
        <w:tc>
          <w:tcPr>
            <w:tcW w:w="1026" w:type="dxa"/>
            <w:tcBorders>
              <w:top w:val="single" w:sz="4" w:space="0" w:color="000000"/>
              <w:left w:val="single" w:sz="4" w:space="0" w:color="000000"/>
              <w:bottom w:val="single" w:sz="4" w:space="0" w:color="000000"/>
              <w:right w:val="single" w:sz="4" w:space="0" w:color="000000"/>
            </w:tcBorders>
            <w:vAlign w:val="bottom"/>
          </w:tcPr>
          <w:p w14:paraId="75662926" w14:textId="4A18F4D0" w:rsidR="008234F6" w:rsidRPr="00E06E32" w:rsidRDefault="008234F6" w:rsidP="008234F6">
            <w:pPr>
              <w:widowControl w:val="0"/>
              <w:pBdr>
                <w:top w:val="nil"/>
                <w:left w:val="nil"/>
                <w:bottom w:val="nil"/>
                <w:right w:val="nil"/>
                <w:between w:val="nil"/>
              </w:pBdr>
              <w:ind w:right="-47"/>
              <w:jc w:val="right"/>
              <w:rPr>
                <w:color w:val="000000"/>
                <w:sz w:val="14"/>
                <w:szCs w:val="14"/>
              </w:rPr>
            </w:pPr>
            <w:r w:rsidRPr="00E06E32">
              <w:rPr>
                <w:color w:val="000000"/>
                <w:sz w:val="14"/>
                <w:szCs w:val="14"/>
              </w:rPr>
              <w:t xml:space="preserve">29,244,240 </w:t>
            </w:r>
          </w:p>
        </w:tc>
      </w:tr>
    </w:tbl>
    <w:p w14:paraId="670701C0" w14:textId="77777777" w:rsidR="00D61203" w:rsidRPr="007A56EA" w:rsidRDefault="00D61203" w:rsidP="00D61203">
      <w:pPr>
        <w:pStyle w:val="Default"/>
        <w:tabs>
          <w:tab w:val="left" w:pos="270"/>
        </w:tabs>
        <w:spacing w:before="60"/>
        <w:rPr>
          <w:sz w:val="16"/>
          <w:szCs w:val="16"/>
          <w:lang w:val="en-GB"/>
        </w:rPr>
      </w:pPr>
      <w:r w:rsidRPr="00366B95">
        <w:rPr>
          <w:bCs/>
          <w:sz w:val="18"/>
          <w:szCs w:val="18"/>
          <w:vertAlign w:val="superscript"/>
        </w:rPr>
        <w:t>(1)</w:t>
      </w:r>
      <w:r w:rsidRPr="007A56EA">
        <w:rPr>
          <w:b/>
          <w:bCs/>
          <w:sz w:val="16"/>
          <w:szCs w:val="16"/>
        </w:rPr>
        <w:tab/>
      </w:r>
      <w:r w:rsidRPr="007A56EA">
        <w:rPr>
          <w:sz w:val="16"/>
          <w:szCs w:val="16"/>
          <w:lang w:val="en-GB"/>
        </w:rPr>
        <w:t xml:space="preserve">The sum of quarterly per share amounts may not add to annual figures due to rounding. </w:t>
      </w:r>
    </w:p>
    <w:p w14:paraId="12DAFE64" w14:textId="77777777" w:rsidR="00D61203" w:rsidRPr="007A56EA" w:rsidRDefault="00D61203" w:rsidP="00D61203">
      <w:pPr>
        <w:pStyle w:val="Default"/>
        <w:tabs>
          <w:tab w:val="left" w:pos="270"/>
        </w:tabs>
        <w:rPr>
          <w:sz w:val="16"/>
          <w:szCs w:val="16"/>
        </w:rPr>
      </w:pPr>
      <w:r w:rsidRPr="00366B95">
        <w:rPr>
          <w:bCs/>
          <w:sz w:val="18"/>
          <w:szCs w:val="18"/>
          <w:vertAlign w:val="superscript"/>
        </w:rPr>
        <w:t>(2)</w:t>
      </w:r>
      <w:r w:rsidRPr="007A56EA">
        <w:rPr>
          <w:b/>
          <w:bCs/>
          <w:sz w:val="16"/>
          <w:szCs w:val="16"/>
        </w:rPr>
        <w:tab/>
      </w:r>
      <w:r w:rsidRPr="007A56EA">
        <w:rPr>
          <w:sz w:val="16"/>
          <w:szCs w:val="16"/>
        </w:rPr>
        <w:t xml:space="preserve">"Working capital" is </w:t>
      </w:r>
      <w:r w:rsidRPr="005510A1">
        <w:rPr>
          <w:sz w:val="16"/>
          <w:szCs w:val="16"/>
        </w:rPr>
        <w:t>a capital management measure.</w:t>
      </w:r>
      <w:r w:rsidRPr="007A56EA">
        <w:rPr>
          <w:sz w:val="16"/>
          <w:szCs w:val="16"/>
        </w:rPr>
        <w:t xml:space="preserve">  See "Non-IFRS and Other Financial Measures" for additional disclosures.</w:t>
      </w:r>
    </w:p>
    <w:p w14:paraId="765DFB6C" w14:textId="3D66CCB9" w:rsidR="00D61203" w:rsidRPr="007A56EA" w:rsidRDefault="00D61203" w:rsidP="00D61203">
      <w:pPr>
        <w:pStyle w:val="Default"/>
        <w:tabs>
          <w:tab w:val="left" w:pos="270"/>
        </w:tabs>
        <w:rPr>
          <w:sz w:val="16"/>
          <w:szCs w:val="16"/>
          <w:lang w:val="en-GB"/>
        </w:rPr>
      </w:pPr>
      <w:r w:rsidRPr="00366B95">
        <w:rPr>
          <w:bCs/>
          <w:sz w:val="18"/>
          <w:szCs w:val="18"/>
          <w:vertAlign w:val="superscript"/>
        </w:rPr>
        <w:t>(3)</w:t>
      </w:r>
      <w:r w:rsidRPr="007A56EA">
        <w:rPr>
          <w:b/>
          <w:bCs/>
          <w:sz w:val="16"/>
          <w:szCs w:val="16"/>
        </w:rPr>
        <w:tab/>
      </w:r>
      <w:r w:rsidRPr="007A56EA">
        <w:rPr>
          <w:bCs/>
          <w:sz w:val="16"/>
          <w:szCs w:val="16"/>
        </w:rPr>
        <w:t xml:space="preserve">Total of current and non-current portions of </w:t>
      </w:r>
      <w:r w:rsidR="000957B8">
        <w:rPr>
          <w:bCs/>
          <w:sz w:val="16"/>
          <w:szCs w:val="16"/>
        </w:rPr>
        <w:t xml:space="preserve">loans and </w:t>
      </w:r>
      <w:r w:rsidRPr="007A56EA">
        <w:rPr>
          <w:bCs/>
          <w:sz w:val="16"/>
          <w:szCs w:val="16"/>
        </w:rPr>
        <w:t>notes payable.</w:t>
      </w:r>
    </w:p>
    <w:p w14:paraId="0E8347D0" w14:textId="77777777" w:rsidR="00D61203" w:rsidRPr="00E80A7E" w:rsidRDefault="00D61203" w:rsidP="00D61203">
      <w:pPr>
        <w:widowControl w:val="0"/>
        <w:spacing w:before="60"/>
      </w:pPr>
      <w:r w:rsidRPr="00E80A7E">
        <w:t>Significant quarter-over-quarter variances in net income (loss) and working capital are explained below:</w:t>
      </w:r>
    </w:p>
    <w:p w14:paraId="24CAE309" w14:textId="26BD825C" w:rsidR="008234F6" w:rsidRPr="009852C2" w:rsidRDefault="008234F6" w:rsidP="00D61203">
      <w:pPr>
        <w:widowControl w:val="0"/>
        <w:numPr>
          <w:ilvl w:val="0"/>
          <w:numId w:val="14"/>
        </w:numPr>
        <w:pBdr>
          <w:top w:val="nil"/>
          <w:left w:val="nil"/>
          <w:bottom w:val="nil"/>
          <w:right w:val="nil"/>
          <w:between w:val="nil"/>
        </w:pBdr>
        <w:spacing w:before="60"/>
        <w:jc w:val="both"/>
        <w:rPr>
          <w:color w:val="000000"/>
        </w:rPr>
      </w:pPr>
      <w:r w:rsidRPr="009852C2">
        <w:rPr>
          <w:color w:val="000000"/>
        </w:rPr>
        <w:t>The reported net income</w:t>
      </w:r>
      <w:r w:rsidR="009852C2" w:rsidRPr="009852C2">
        <w:rPr>
          <w:color w:val="000000"/>
        </w:rPr>
        <w:t xml:space="preserve"> increased</w:t>
      </w:r>
      <w:r w:rsidR="009852C2">
        <w:rPr>
          <w:color w:val="000000"/>
        </w:rPr>
        <w:t xml:space="preserve"> in Q2 2026</w:t>
      </w:r>
      <w:r w:rsidR="009852C2" w:rsidRPr="009852C2">
        <w:rPr>
          <w:color w:val="000000"/>
        </w:rPr>
        <w:t xml:space="preserve"> mainly due to the increase in </w:t>
      </w:r>
      <w:r w:rsidR="003A24E7">
        <w:rPr>
          <w:color w:val="000000"/>
        </w:rPr>
        <w:t xml:space="preserve">crude oil </w:t>
      </w:r>
      <w:r w:rsidR="00D14CC2">
        <w:rPr>
          <w:color w:val="000000"/>
        </w:rPr>
        <w:t xml:space="preserve">sales volumes and </w:t>
      </w:r>
      <w:r w:rsidR="003A24E7">
        <w:rPr>
          <w:color w:val="000000"/>
        </w:rPr>
        <w:t xml:space="preserve">crude </w:t>
      </w:r>
      <w:r w:rsidR="009852C2" w:rsidRPr="009852C2">
        <w:rPr>
          <w:color w:val="000000"/>
        </w:rPr>
        <w:t>oil prices.</w:t>
      </w:r>
    </w:p>
    <w:p w14:paraId="64D78991" w14:textId="50405A63" w:rsidR="009852C2" w:rsidRDefault="008234F6">
      <w:pPr>
        <w:widowControl w:val="0"/>
        <w:numPr>
          <w:ilvl w:val="0"/>
          <w:numId w:val="14"/>
        </w:numPr>
        <w:pBdr>
          <w:top w:val="nil"/>
          <w:left w:val="nil"/>
          <w:bottom w:val="nil"/>
          <w:right w:val="nil"/>
          <w:between w:val="nil"/>
        </w:pBdr>
        <w:spacing w:before="60"/>
        <w:jc w:val="both"/>
        <w:rPr>
          <w:color w:val="000000"/>
        </w:rPr>
      </w:pPr>
      <w:r w:rsidRPr="009852C2">
        <w:rPr>
          <w:color w:val="000000"/>
        </w:rPr>
        <w:t xml:space="preserve">The working capital deficit </w:t>
      </w:r>
      <w:r w:rsidR="009852C2" w:rsidRPr="009852C2">
        <w:rPr>
          <w:color w:val="000000"/>
        </w:rPr>
        <w:t xml:space="preserve">increased </w:t>
      </w:r>
      <w:r w:rsidR="009852C2">
        <w:rPr>
          <w:color w:val="000000"/>
        </w:rPr>
        <w:t xml:space="preserve">in Q2 2026 </w:t>
      </w:r>
      <w:r w:rsidR="009852C2" w:rsidRPr="009852C2">
        <w:rPr>
          <w:color w:val="000000"/>
        </w:rPr>
        <w:t>due to the reclassification of a portion of notes payable to current liabilities.</w:t>
      </w:r>
    </w:p>
    <w:p w14:paraId="6DE89787" w14:textId="3E4E81D4" w:rsidR="006C378E" w:rsidRPr="009852C2" w:rsidRDefault="006C378E">
      <w:pPr>
        <w:widowControl w:val="0"/>
        <w:numPr>
          <w:ilvl w:val="0"/>
          <w:numId w:val="14"/>
        </w:numPr>
        <w:pBdr>
          <w:top w:val="nil"/>
          <w:left w:val="nil"/>
          <w:bottom w:val="nil"/>
          <w:right w:val="nil"/>
          <w:between w:val="nil"/>
        </w:pBdr>
        <w:spacing w:before="60"/>
        <w:jc w:val="both"/>
        <w:rPr>
          <w:color w:val="000000"/>
        </w:rPr>
      </w:pPr>
      <w:r w:rsidRPr="009852C2">
        <w:rPr>
          <w:color w:val="000000"/>
        </w:rPr>
        <w:t xml:space="preserve">The </w:t>
      </w:r>
      <w:r w:rsidR="008234F6" w:rsidRPr="009852C2">
        <w:rPr>
          <w:color w:val="000000"/>
        </w:rPr>
        <w:t xml:space="preserve">reported </w:t>
      </w:r>
      <w:r w:rsidRPr="009852C2">
        <w:rPr>
          <w:color w:val="000000"/>
        </w:rPr>
        <w:t xml:space="preserve">net </w:t>
      </w:r>
      <w:r w:rsidR="0071644F" w:rsidRPr="009852C2">
        <w:rPr>
          <w:color w:val="000000"/>
        </w:rPr>
        <w:t>income</w:t>
      </w:r>
      <w:r w:rsidR="00785DD2" w:rsidRPr="009852C2">
        <w:rPr>
          <w:color w:val="000000"/>
        </w:rPr>
        <w:t xml:space="preserve"> increased</w:t>
      </w:r>
      <w:r w:rsidR="0071644F" w:rsidRPr="009852C2">
        <w:rPr>
          <w:color w:val="000000"/>
        </w:rPr>
        <w:t xml:space="preserve"> </w:t>
      </w:r>
      <w:r w:rsidR="00C5405C" w:rsidRPr="009852C2">
        <w:rPr>
          <w:color w:val="000000"/>
        </w:rPr>
        <w:t>in Q1 2026</w:t>
      </w:r>
      <w:r w:rsidR="0071644F" w:rsidRPr="009852C2">
        <w:rPr>
          <w:color w:val="000000"/>
        </w:rPr>
        <w:t xml:space="preserve"> </w:t>
      </w:r>
      <w:r w:rsidR="00785DD2" w:rsidRPr="009852C2">
        <w:rPr>
          <w:color w:val="000000"/>
        </w:rPr>
        <w:t>due mainly to the increase in oil and natural gas sales from the Chubut Concessions and the recovery of certain restructuring costs related to the Chubut Concessions, partially offset by higher finance expenses</w:t>
      </w:r>
      <w:r w:rsidR="00687CB8" w:rsidRPr="009852C2">
        <w:rPr>
          <w:color w:val="000000"/>
        </w:rPr>
        <w:t>.</w:t>
      </w:r>
    </w:p>
    <w:p w14:paraId="61B5CD26" w14:textId="3C0AD3B3" w:rsidR="00C5405C" w:rsidRPr="00785DD2" w:rsidRDefault="00C5405C" w:rsidP="00D61203">
      <w:pPr>
        <w:widowControl w:val="0"/>
        <w:numPr>
          <w:ilvl w:val="0"/>
          <w:numId w:val="14"/>
        </w:numPr>
        <w:pBdr>
          <w:top w:val="nil"/>
          <w:left w:val="nil"/>
          <w:bottom w:val="nil"/>
          <w:right w:val="nil"/>
          <w:between w:val="nil"/>
        </w:pBdr>
        <w:spacing w:before="60"/>
        <w:jc w:val="both"/>
        <w:rPr>
          <w:color w:val="000000"/>
        </w:rPr>
      </w:pPr>
      <w:r w:rsidRPr="00785DD2">
        <w:rPr>
          <w:color w:val="000000"/>
        </w:rPr>
        <w:t>The working capital deficit</w:t>
      </w:r>
      <w:r w:rsidR="00785DD2" w:rsidRPr="00785DD2">
        <w:rPr>
          <w:color w:val="000000"/>
        </w:rPr>
        <w:t xml:space="preserve"> decreased </w:t>
      </w:r>
      <w:r w:rsidRPr="00785DD2">
        <w:rPr>
          <w:color w:val="000000"/>
        </w:rPr>
        <w:t xml:space="preserve">in Q1 2026 </w:t>
      </w:r>
      <w:r w:rsidR="00785DD2" w:rsidRPr="00785DD2">
        <w:rPr>
          <w:color w:val="000000"/>
        </w:rPr>
        <w:t xml:space="preserve">due to the increase in </w:t>
      </w:r>
      <w:r w:rsidR="00BB23E4">
        <w:rPr>
          <w:color w:val="000000"/>
        </w:rPr>
        <w:t xml:space="preserve">cash </w:t>
      </w:r>
      <w:r w:rsidR="002137BA">
        <w:rPr>
          <w:color w:val="000000"/>
        </w:rPr>
        <w:t xml:space="preserve">related to proceeds from the issuance of notes payable and the increase in </w:t>
      </w:r>
      <w:r w:rsidR="00785DD2" w:rsidRPr="00785DD2">
        <w:rPr>
          <w:color w:val="000000"/>
        </w:rPr>
        <w:t>trade and other receivables</w:t>
      </w:r>
      <w:r w:rsidR="00643C14">
        <w:rPr>
          <w:color w:val="000000"/>
        </w:rPr>
        <w:t xml:space="preserve"> and hydrocarbon inventories</w:t>
      </w:r>
      <w:r w:rsidR="00785DD2" w:rsidRPr="00785DD2">
        <w:rPr>
          <w:color w:val="000000"/>
        </w:rPr>
        <w:t>.</w:t>
      </w:r>
    </w:p>
    <w:p w14:paraId="5D66A77D" w14:textId="057829CF" w:rsidR="00D61203" w:rsidRDefault="00D61203" w:rsidP="00D61203">
      <w:pPr>
        <w:widowControl w:val="0"/>
        <w:numPr>
          <w:ilvl w:val="0"/>
          <w:numId w:val="14"/>
        </w:numPr>
        <w:pBdr>
          <w:top w:val="nil"/>
          <w:left w:val="nil"/>
          <w:bottom w:val="nil"/>
          <w:right w:val="nil"/>
          <w:between w:val="nil"/>
        </w:pBdr>
        <w:spacing w:before="60"/>
        <w:jc w:val="both"/>
        <w:rPr>
          <w:color w:val="000000"/>
        </w:rPr>
      </w:pPr>
      <w:r w:rsidRPr="00E561AD">
        <w:rPr>
          <w:color w:val="000000"/>
        </w:rPr>
        <w:t>The reported net loss increased in Q4 2025, mainly due to restructuring costs incurred primarily in the Santa Cruz</w:t>
      </w:r>
      <w:r>
        <w:rPr>
          <w:color w:val="000000"/>
        </w:rPr>
        <w:t xml:space="preserve"> Concessions</w:t>
      </w:r>
      <w:r w:rsidRPr="00E561AD">
        <w:rPr>
          <w:color w:val="000000"/>
        </w:rPr>
        <w:t xml:space="preserve"> and Chubut Concessions.</w:t>
      </w:r>
    </w:p>
    <w:p w14:paraId="463457B4" w14:textId="77777777" w:rsidR="00D61203" w:rsidRDefault="00D61203" w:rsidP="00D61203">
      <w:pPr>
        <w:widowControl w:val="0"/>
        <w:numPr>
          <w:ilvl w:val="0"/>
          <w:numId w:val="14"/>
        </w:numPr>
        <w:pBdr>
          <w:top w:val="nil"/>
          <w:left w:val="nil"/>
          <w:bottom w:val="nil"/>
          <w:right w:val="nil"/>
          <w:between w:val="nil"/>
        </w:pBdr>
        <w:spacing w:before="60"/>
        <w:jc w:val="both"/>
        <w:rPr>
          <w:color w:val="000000"/>
        </w:rPr>
      </w:pPr>
      <w:r w:rsidRPr="00E561AD">
        <w:rPr>
          <w:color w:val="000000"/>
        </w:rPr>
        <w:t xml:space="preserve">The working capital deficit increased in Q4 2025, mainly due to the debt incurred to fund </w:t>
      </w:r>
      <w:r>
        <w:rPr>
          <w:color w:val="000000"/>
        </w:rPr>
        <w:t>the</w:t>
      </w:r>
      <w:r w:rsidRPr="00E561AD">
        <w:rPr>
          <w:color w:val="000000"/>
        </w:rPr>
        <w:t xml:space="preserve"> cash consideration for the acquisition of the Chubut Concessions.</w:t>
      </w:r>
    </w:p>
    <w:p w14:paraId="61156071" w14:textId="77777777" w:rsidR="00D61203" w:rsidRPr="00C36B09" w:rsidRDefault="00D61203" w:rsidP="00D61203">
      <w:pPr>
        <w:widowControl w:val="0"/>
        <w:numPr>
          <w:ilvl w:val="0"/>
          <w:numId w:val="14"/>
        </w:numPr>
        <w:pBdr>
          <w:top w:val="nil"/>
          <w:left w:val="nil"/>
          <w:bottom w:val="nil"/>
          <w:right w:val="nil"/>
          <w:between w:val="nil"/>
        </w:pBdr>
        <w:spacing w:before="60"/>
        <w:jc w:val="both"/>
        <w:rPr>
          <w:color w:val="000000"/>
        </w:rPr>
      </w:pPr>
      <w:r w:rsidRPr="00C36B09">
        <w:rPr>
          <w:color w:val="000000"/>
        </w:rPr>
        <w:t xml:space="preserve">The reported net </w:t>
      </w:r>
      <w:r>
        <w:rPr>
          <w:color w:val="000000"/>
        </w:rPr>
        <w:t xml:space="preserve">loss decreased </w:t>
      </w:r>
      <w:r w:rsidRPr="00C36B09">
        <w:t>in Q3 202</w:t>
      </w:r>
      <w:r w:rsidRPr="00C36B09">
        <w:rPr>
          <w:color w:val="000000"/>
        </w:rPr>
        <w:t xml:space="preserve">5 due mainly to </w:t>
      </w:r>
      <w:r>
        <w:rPr>
          <w:color w:val="000000"/>
        </w:rPr>
        <w:t>higher foreign exchange gain and a higher tax recovery.</w:t>
      </w:r>
    </w:p>
    <w:p w14:paraId="0C21B6E8" w14:textId="77777777" w:rsidR="00D61203" w:rsidRPr="00371FBB" w:rsidRDefault="00D61203" w:rsidP="00D61203">
      <w:pPr>
        <w:widowControl w:val="0"/>
        <w:numPr>
          <w:ilvl w:val="0"/>
          <w:numId w:val="14"/>
        </w:numPr>
        <w:pBdr>
          <w:top w:val="nil"/>
          <w:left w:val="nil"/>
          <w:bottom w:val="nil"/>
          <w:right w:val="nil"/>
          <w:between w:val="nil"/>
        </w:pBdr>
        <w:spacing w:before="60"/>
        <w:jc w:val="both"/>
        <w:rPr>
          <w:color w:val="000000"/>
        </w:rPr>
      </w:pPr>
      <w:r w:rsidRPr="00371FBB">
        <w:rPr>
          <w:color w:val="000000"/>
        </w:rPr>
        <w:t>Working capital deficit decreased in Q3 2025 due mainly</w:t>
      </w:r>
      <w:r w:rsidRPr="00B76728">
        <w:t xml:space="preserve"> </w:t>
      </w:r>
      <w:r>
        <w:t xml:space="preserve">to </w:t>
      </w:r>
      <w:r w:rsidRPr="00B76728">
        <w:rPr>
          <w:color w:val="000000"/>
        </w:rPr>
        <w:t xml:space="preserve">the issuance of Series VII Notes, which </w:t>
      </w:r>
      <w:r>
        <w:rPr>
          <w:color w:val="000000"/>
        </w:rPr>
        <w:t>increased cash balances and facilitated debt repayments which reduced current liabilities.</w:t>
      </w:r>
    </w:p>
    <w:p w14:paraId="04728C52" w14:textId="77777777" w:rsidR="00D61203" w:rsidRPr="00E80A7E" w:rsidRDefault="00D61203" w:rsidP="00D61203">
      <w:pPr>
        <w:widowControl w:val="0"/>
        <w:numPr>
          <w:ilvl w:val="0"/>
          <w:numId w:val="14"/>
        </w:numPr>
        <w:pBdr>
          <w:top w:val="nil"/>
          <w:left w:val="nil"/>
          <w:bottom w:val="nil"/>
          <w:right w:val="nil"/>
          <w:between w:val="nil"/>
        </w:pBdr>
        <w:spacing w:before="60"/>
        <w:jc w:val="both"/>
        <w:rPr>
          <w:color w:val="000000"/>
        </w:rPr>
      </w:pPr>
      <w:r w:rsidRPr="00E80A7E">
        <w:rPr>
          <w:color w:val="000000"/>
        </w:rPr>
        <w:t xml:space="preserve">The </w:t>
      </w:r>
      <w:r>
        <w:rPr>
          <w:color w:val="000000"/>
        </w:rPr>
        <w:t xml:space="preserve">Company </w:t>
      </w:r>
      <w:r w:rsidRPr="00E80A7E">
        <w:rPr>
          <w:color w:val="000000"/>
        </w:rPr>
        <w:t xml:space="preserve">reported </w:t>
      </w:r>
      <w:r>
        <w:rPr>
          <w:color w:val="000000"/>
        </w:rPr>
        <w:t>a net loss</w:t>
      </w:r>
      <w:r w:rsidRPr="00E80A7E">
        <w:rPr>
          <w:color w:val="000000"/>
        </w:rPr>
        <w:t xml:space="preserve"> in Q2 2025 due mainly to the increase in operating expenses </w:t>
      </w:r>
      <w:r>
        <w:rPr>
          <w:color w:val="000000"/>
        </w:rPr>
        <w:t xml:space="preserve">arising from the acquisition of the Santa Cruz Concessions </w:t>
      </w:r>
      <w:r w:rsidRPr="00E80A7E">
        <w:rPr>
          <w:color w:val="000000"/>
        </w:rPr>
        <w:t>combined with lower sales revenues.</w:t>
      </w:r>
    </w:p>
    <w:p w14:paraId="397DD572" w14:textId="77777777" w:rsidR="00D61203" w:rsidRPr="00E80A7E" w:rsidRDefault="00D61203" w:rsidP="00D61203">
      <w:pPr>
        <w:widowControl w:val="0"/>
        <w:numPr>
          <w:ilvl w:val="0"/>
          <w:numId w:val="14"/>
        </w:numPr>
        <w:pBdr>
          <w:top w:val="nil"/>
          <w:left w:val="nil"/>
          <w:bottom w:val="nil"/>
          <w:right w:val="nil"/>
          <w:between w:val="nil"/>
        </w:pBdr>
        <w:spacing w:before="60"/>
        <w:jc w:val="both"/>
        <w:rPr>
          <w:color w:val="000000"/>
        </w:rPr>
      </w:pPr>
      <w:r w:rsidRPr="00E80A7E">
        <w:rPr>
          <w:color w:val="000000"/>
        </w:rPr>
        <w:t xml:space="preserve">Working capital deficit increased in Q2 2025 due mainly </w:t>
      </w:r>
      <w:r w:rsidRPr="00E80A7E">
        <w:rPr>
          <w:color w:val="000000" w:themeColor="text1"/>
        </w:rPr>
        <w:t xml:space="preserve">to </w:t>
      </w:r>
      <w:r w:rsidRPr="00E80A7E">
        <w:rPr>
          <w:color w:val="000000"/>
        </w:rPr>
        <w:t>the increase in accounts payable related to the Santa Cruz Concessions partially offset by the repayment of the current portion of notes payable.</w:t>
      </w:r>
    </w:p>
    <w:p w14:paraId="2B723DF9" w14:textId="77777777" w:rsidR="00D61203" w:rsidRPr="00476004" w:rsidRDefault="00D61203" w:rsidP="00D61203">
      <w:pPr>
        <w:widowControl w:val="0"/>
        <w:numPr>
          <w:ilvl w:val="0"/>
          <w:numId w:val="14"/>
        </w:numPr>
        <w:pBdr>
          <w:top w:val="nil"/>
          <w:left w:val="nil"/>
          <w:bottom w:val="nil"/>
          <w:right w:val="nil"/>
          <w:between w:val="nil"/>
        </w:pBdr>
        <w:spacing w:before="60"/>
        <w:jc w:val="both"/>
        <w:rPr>
          <w:color w:val="000000"/>
        </w:rPr>
      </w:pPr>
      <w:r w:rsidRPr="00E80A7E">
        <w:rPr>
          <w:color w:val="000000"/>
        </w:rPr>
        <w:t>The reported net</w:t>
      </w:r>
      <w:r w:rsidRPr="00476004">
        <w:rPr>
          <w:color w:val="000000"/>
        </w:rPr>
        <w:t xml:space="preserve"> income increased in Q1 2025 due mainly to the fair value adjustment of the in-kind contingent </w:t>
      </w:r>
      <w:r>
        <w:rPr>
          <w:color w:val="000000"/>
        </w:rPr>
        <w:t xml:space="preserve">consideration </w:t>
      </w:r>
      <w:r w:rsidRPr="00476004">
        <w:rPr>
          <w:color w:val="000000"/>
        </w:rPr>
        <w:t>liability related to the Santa Cruz Concessions.</w:t>
      </w:r>
    </w:p>
    <w:p w14:paraId="58C03ED7" w14:textId="77777777" w:rsidR="00D61203" w:rsidRPr="006453A1" w:rsidRDefault="00D61203" w:rsidP="00D61203">
      <w:pPr>
        <w:widowControl w:val="0"/>
        <w:numPr>
          <w:ilvl w:val="0"/>
          <w:numId w:val="14"/>
        </w:numPr>
        <w:pBdr>
          <w:top w:val="nil"/>
          <w:left w:val="nil"/>
          <w:bottom w:val="nil"/>
          <w:right w:val="nil"/>
          <w:between w:val="nil"/>
        </w:pBdr>
        <w:spacing w:before="60"/>
        <w:jc w:val="both"/>
        <w:rPr>
          <w:color w:val="000000"/>
        </w:rPr>
      </w:pPr>
      <w:r w:rsidRPr="006453A1">
        <w:rPr>
          <w:color w:val="000000"/>
        </w:rPr>
        <w:t xml:space="preserve">Working capital deficit increased in Q1 2025 due mainly </w:t>
      </w:r>
      <w:r w:rsidRPr="006453A1">
        <w:rPr>
          <w:color w:val="000000" w:themeColor="text1"/>
        </w:rPr>
        <w:t xml:space="preserve">to </w:t>
      </w:r>
      <w:r w:rsidRPr="006453A1">
        <w:rPr>
          <w:color w:val="000000"/>
        </w:rPr>
        <w:t xml:space="preserve">the increase in accounts payable related to the Santa Cruz Concessions combined with the reclassification of a portion of notes payable to </w:t>
      </w:r>
      <w:r w:rsidRPr="006453A1">
        <w:rPr>
          <w:color w:val="000000"/>
        </w:rPr>
        <w:lastRenderedPageBreak/>
        <w:t>current liabilities.</w:t>
      </w:r>
    </w:p>
    <w:p w14:paraId="62379F96" w14:textId="77777777" w:rsidR="00D61203" w:rsidRPr="00993382" w:rsidRDefault="00D61203" w:rsidP="00D61203">
      <w:pPr>
        <w:widowControl w:val="0"/>
        <w:numPr>
          <w:ilvl w:val="0"/>
          <w:numId w:val="14"/>
        </w:numPr>
        <w:pBdr>
          <w:top w:val="nil"/>
          <w:left w:val="nil"/>
          <w:bottom w:val="nil"/>
          <w:right w:val="nil"/>
          <w:between w:val="nil"/>
        </w:pBdr>
        <w:spacing w:before="60"/>
        <w:jc w:val="both"/>
        <w:rPr>
          <w:color w:val="000000"/>
        </w:rPr>
      </w:pPr>
      <w:r w:rsidRPr="00993382">
        <w:rPr>
          <w:color w:val="000000"/>
        </w:rPr>
        <w:t>The reported net loss increased in Q4 2024 due mainly to the increase in operating expenses combined with the costs related to the acquisition of the Santa Cruz Concessions.</w:t>
      </w:r>
    </w:p>
    <w:p w14:paraId="0AF22366" w14:textId="77777777" w:rsidR="00D61203" w:rsidRPr="00993382" w:rsidRDefault="00D61203" w:rsidP="00D61203">
      <w:pPr>
        <w:widowControl w:val="0"/>
        <w:numPr>
          <w:ilvl w:val="0"/>
          <w:numId w:val="14"/>
        </w:numPr>
        <w:pBdr>
          <w:top w:val="nil"/>
          <w:left w:val="nil"/>
          <w:bottom w:val="nil"/>
          <w:right w:val="nil"/>
          <w:between w:val="nil"/>
        </w:pBdr>
        <w:spacing w:before="60"/>
        <w:jc w:val="both"/>
        <w:rPr>
          <w:color w:val="000000"/>
        </w:rPr>
      </w:pPr>
      <w:r w:rsidRPr="00993382">
        <w:rPr>
          <w:color w:val="000000"/>
        </w:rPr>
        <w:t xml:space="preserve">Working capital deficit decreased in Q4 2024 due mainly </w:t>
      </w:r>
      <w:r w:rsidRPr="00993382">
        <w:rPr>
          <w:color w:val="000000" w:themeColor="text1"/>
        </w:rPr>
        <w:t xml:space="preserve">to </w:t>
      </w:r>
      <w:r w:rsidRPr="00993382">
        <w:rPr>
          <w:color w:val="000000"/>
        </w:rPr>
        <w:t>the increase in accounts receivable related to the Santa Cruz Concessions.</w:t>
      </w:r>
    </w:p>
    <w:p w14:paraId="727D040D" w14:textId="2098029A" w:rsidR="006C378E" w:rsidRPr="00E03B81" w:rsidRDefault="006C378E" w:rsidP="006C378E">
      <w:pPr>
        <w:widowControl w:val="0"/>
        <w:spacing w:before="240" w:after="120"/>
        <w:jc w:val="both"/>
        <w:rPr>
          <w:rFonts w:cs="Arial"/>
          <w:b/>
          <w:bCs/>
          <w:caps/>
          <w:color w:val="000000"/>
          <w:sz w:val="24"/>
          <w:szCs w:val="24"/>
        </w:rPr>
      </w:pPr>
      <w:bookmarkStart w:id="30" w:name="_Hlk160956246"/>
      <w:r>
        <w:rPr>
          <w:rFonts w:cs="Arial"/>
          <w:b/>
          <w:bCs/>
          <w:caps/>
          <w:color w:val="000000"/>
          <w:sz w:val="24"/>
          <w:szCs w:val="24"/>
        </w:rPr>
        <w:t>BUSINESS RISKS AND UNCERTAINTIES</w:t>
      </w:r>
    </w:p>
    <w:bookmarkEnd w:id="30"/>
    <w:p w14:paraId="41114A9A" w14:textId="77777777" w:rsidR="006C378E" w:rsidRDefault="006C378E" w:rsidP="006C378E">
      <w:pPr>
        <w:widowControl w:val="0"/>
        <w:spacing w:before="120" w:after="120"/>
        <w:jc w:val="both"/>
      </w:pPr>
      <w:r>
        <w:t>Crown Point’s production and exploration activities are conducted only in Argentina, where activity is highly competitive and includes a variety of different sized companies ranging from smaller junior producers to the much larger integrated petroleum companies. Crown Point is subject to various types of business risks and uncertainties, which may materially affect the Company’s future financial and operating performance, including without limitation the following:</w:t>
      </w:r>
    </w:p>
    <w:p w14:paraId="4F67D4BB" w14:textId="77777777" w:rsidR="006C378E" w:rsidRPr="0003220F" w:rsidRDefault="006C378E" w:rsidP="006C378E">
      <w:pPr>
        <w:widowControl w:val="0"/>
        <w:numPr>
          <w:ilvl w:val="0"/>
          <w:numId w:val="14"/>
        </w:numPr>
        <w:pBdr>
          <w:top w:val="nil"/>
          <w:left w:val="nil"/>
          <w:bottom w:val="nil"/>
          <w:right w:val="nil"/>
          <w:between w:val="nil"/>
        </w:pBdr>
        <w:ind w:left="634" w:hanging="274"/>
        <w:jc w:val="both"/>
        <w:rPr>
          <w:color w:val="000000"/>
        </w:rPr>
      </w:pPr>
      <w:r>
        <w:rPr>
          <w:rFonts w:eastAsia="Arial" w:cs="Arial"/>
          <w:color w:val="000000"/>
        </w:rPr>
        <w:t xml:space="preserve">the risk that the tariffs imposed or </w:t>
      </w:r>
      <w:r w:rsidRPr="0003220F">
        <w:rPr>
          <w:rFonts w:eastAsia="Arial" w:cs="Arial"/>
          <w:color w:val="000000"/>
        </w:rPr>
        <w:t>threatened to be imposed by the U.S. on other countries, and retaliatory tariffs imposed or threatened to be imposed by other countries on the U.S., will trigger a broader global trade war which could have a material adverse effect on global economies, and by extension the Argentine oil and natural gas industry and the Company, including by decreasing demand for (and the price of) oil and natural gas, disrupting supply chains, increasing costs, causing volatility in global financial markets, and limiting access to (and/or increasing the cost of) financing;</w:t>
      </w:r>
    </w:p>
    <w:p w14:paraId="5D58DB28" w14:textId="4F3EDBC3" w:rsidR="006C378E" w:rsidRPr="0003220F" w:rsidRDefault="006C378E" w:rsidP="006C378E">
      <w:pPr>
        <w:widowControl w:val="0"/>
        <w:numPr>
          <w:ilvl w:val="0"/>
          <w:numId w:val="14"/>
        </w:numPr>
        <w:pBdr>
          <w:top w:val="nil"/>
          <w:left w:val="nil"/>
          <w:bottom w:val="nil"/>
          <w:right w:val="nil"/>
          <w:between w:val="nil"/>
        </w:pBdr>
        <w:ind w:left="634" w:hanging="274"/>
        <w:jc w:val="both"/>
        <w:rPr>
          <w:color w:val="000000"/>
        </w:rPr>
      </w:pPr>
      <w:r w:rsidRPr="0003220F">
        <w:rPr>
          <w:color w:val="000000"/>
        </w:rPr>
        <w:t>the ability of the Company to meet its obligations as they become due;</w:t>
      </w:r>
    </w:p>
    <w:p w14:paraId="34DC637A" w14:textId="77777777" w:rsidR="006C378E" w:rsidRDefault="006C378E" w:rsidP="006C378E">
      <w:pPr>
        <w:widowControl w:val="0"/>
        <w:numPr>
          <w:ilvl w:val="0"/>
          <w:numId w:val="14"/>
        </w:numPr>
        <w:pBdr>
          <w:top w:val="nil"/>
          <w:left w:val="nil"/>
          <w:bottom w:val="nil"/>
          <w:right w:val="nil"/>
          <w:between w:val="nil"/>
        </w:pBdr>
        <w:ind w:left="629" w:hanging="272"/>
        <w:jc w:val="both"/>
        <w:rPr>
          <w:color w:val="000000"/>
        </w:rPr>
      </w:pPr>
      <w:r w:rsidRPr="0003220F">
        <w:rPr>
          <w:color w:val="000000"/>
        </w:rPr>
        <w:t>the risk that climate change concerns could result in increased operating costs and reduced demand for our products, while the potential physical effects of climate change could</w:t>
      </w:r>
      <w:r>
        <w:rPr>
          <w:color w:val="000000"/>
        </w:rPr>
        <w:t xml:space="preserve"> disrupt our production and cause us to incur significant costs preparing for or responding to those effects;</w:t>
      </w:r>
    </w:p>
    <w:p w14:paraId="05E0FFEA" w14:textId="77777777" w:rsidR="006C378E" w:rsidRDefault="006C378E" w:rsidP="006C378E">
      <w:pPr>
        <w:widowControl w:val="0"/>
        <w:numPr>
          <w:ilvl w:val="0"/>
          <w:numId w:val="14"/>
        </w:numPr>
        <w:pBdr>
          <w:top w:val="nil"/>
          <w:left w:val="nil"/>
          <w:bottom w:val="nil"/>
          <w:right w:val="nil"/>
          <w:between w:val="nil"/>
        </w:pBdr>
        <w:ind w:left="634" w:hanging="274"/>
        <w:jc w:val="both"/>
        <w:rPr>
          <w:color w:val="000000"/>
        </w:rPr>
      </w:pPr>
      <w:r>
        <w:rPr>
          <w:color w:val="000000"/>
        </w:rPr>
        <w:t>risks associated with the ability of OPEC and other oil and gas exporting nations to set and maintain production levels and influence prices for crude oil;</w:t>
      </w:r>
    </w:p>
    <w:p w14:paraId="23C65727" w14:textId="77777777" w:rsidR="006C378E" w:rsidRDefault="006C378E" w:rsidP="006C378E">
      <w:pPr>
        <w:widowControl w:val="0"/>
        <w:numPr>
          <w:ilvl w:val="0"/>
          <w:numId w:val="14"/>
        </w:numPr>
        <w:pBdr>
          <w:top w:val="nil"/>
          <w:left w:val="nil"/>
          <w:bottom w:val="nil"/>
          <w:right w:val="nil"/>
          <w:between w:val="nil"/>
        </w:pBdr>
        <w:ind w:left="634" w:hanging="274"/>
        <w:jc w:val="both"/>
        <w:rPr>
          <w:color w:val="000000"/>
        </w:rPr>
      </w:pPr>
      <w:r>
        <w:rPr>
          <w:color w:val="000000"/>
        </w:rPr>
        <w:t>risks associated with operations in emerging markets, including: changes in energy policies or personnel administering them; nationalization of the Company’s assets; the development and/or persistence of hyper-inflationary conditions; the potential for a sovereign debt default; significant increases in interest rates; lack of availability of credit; currency fluctuations between the USD, the CDN and the ARS and/or devaluations of the ARS; commodity price controls; export controls; export taxes; changes in royalty and tax rates; and monetary and currency exchange controls, or exchange restrictions, as further discussed below;</w:t>
      </w:r>
    </w:p>
    <w:p w14:paraId="0B0A2DEA" w14:textId="0FCEF364" w:rsidR="006C378E" w:rsidRDefault="006C378E" w:rsidP="006C378E">
      <w:pPr>
        <w:widowControl w:val="0"/>
        <w:numPr>
          <w:ilvl w:val="0"/>
          <w:numId w:val="14"/>
        </w:numPr>
        <w:pBdr>
          <w:top w:val="nil"/>
          <w:left w:val="nil"/>
          <w:bottom w:val="nil"/>
          <w:right w:val="nil"/>
          <w:between w:val="nil"/>
        </w:pBdr>
        <w:ind w:left="634" w:hanging="274"/>
        <w:jc w:val="both"/>
        <w:rPr>
          <w:color w:val="000000"/>
        </w:rPr>
      </w:pPr>
      <w:r>
        <w:rPr>
          <w:color w:val="000000"/>
        </w:rPr>
        <w:t>risks associated with wars, insurrections and other armed conflicts and any resulting economic sanctions (including the ongoing war in Ukraine and related economic sanctions imposed on Russia and associated entities and individuals, the ongoing military conflicts in the Middle East and the conflict between U.S. and Iran), including the risk that such events impact economic activity in Argentina or globally and consequently the demand for crude oil and natural gas;</w:t>
      </w:r>
    </w:p>
    <w:p w14:paraId="20902D12" w14:textId="77777777" w:rsidR="006C378E" w:rsidRDefault="006C378E" w:rsidP="006C378E">
      <w:pPr>
        <w:widowControl w:val="0"/>
        <w:numPr>
          <w:ilvl w:val="0"/>
          <w:numId w:val="14"/>
        </w:numPr>
        <w:pBdr>
          <w:top w:val="nil"/>
          <w:left w:val="nil"/>
          <w:bottom w:val="nil"/>
          <w:right w:val="nil"/>
          <w:between w:val="nil"/>
        </w:pBdr>
        <w:ind w:left="634" w:hanging="274"/>
        <w:jc w:val="both"/>
        <w:rPr>
          <w:rFonts w:ascii="Times New Roman" w:hAnsi="Times New Roman"/>
          <w:color w:val="000000"/>
          <w:sz w:val="22"/>
          <w:szCs w:val="22"/>
        </w:rPr>
      </w:pPr>
      <w:r>
        <w:rPr>
          <w:color w:val="000000"/>
        </w:rPr>
        <w:t>exchange restrictions imposed by the Central Bank of Argentina on the Company’s subsidiaries from time to time, which may restrict, among other things: the payment of dividends and profits to the Company; the repatriation of funds by the Company from its subsidiaries; payments made to non-residents for the importation of goods; payments made to the Company for the importation of services; the funding of assets located outside of Argentina; and the obligation to settle certain transactions involving the receipt of foreign funds (i.e. USD) in ARS, including foreign funds obtained from the export of goods such as crude oil; all of which, among other things, may affect the ability of the Company’s subsidiaries to obtain the foreign currency necessary to meet their financial obligations and/or may affect the ability of the Company’s subsidiaries to distribute funds to the Company in order to permit the Company to discharge its financial obligations in the ordinary course of business;</w:t>
      </w:r>
    </w:p>
    <w:p w14:paraId="561DD4D1"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risks of the oil and gas industry both domestically and internationally, such as operational risks in exploring for, developing and producing crude oil and natural gas and market demand;</w:t>
      </w:r>
    </w:p>
    <w:p w14:paraId="517A487E"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general economic conditions in Canada, Argentina and globally, including the risk of a recession in Argentina and/or globally that reduces economic activity;</w:t>
      </w:r>
    </w:p>
    <w:p w14:paraId="5B3BD932"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ability of management to execute its business plan;</w:t>
      </w:r>
    </w:p>
    <w:p w14:paraId="220841AF"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lastRenderedPageBreak/>
        <w:t xml:space="preserve">reliance on third party operators and joint venture partners to satisfy their commitments under existing agreements and arrangements and to carry out operations in a safe, efficient and effective manner; </w:t>
      </w:r>
    </w:p>
    <w:p w14:paraId="31CCAD58"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 xml:space="preserve">the risks of disputes with third party operators and joint venture partners and the effect that such disputes can have on the Company’s operations and results; </w:t>
      </w:r>
    </w:p>
    <w:p w14:paraId="1422C97C"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 xml:space="preserve">uncertainties inherent in estimating quantities of oil and natural gas reserves and cash flows to be derived therefrom and the risk that the value of such reserves may be impaired in future periods, whether due to a change in well performance such as a well beginning to produce a significant amount of water after the effective date of the estimate, a material decline in commodity prices after the effective date of the estimate, or other developments; </w:t>
      </w:r>
    </w:p>
    <w:p w14:paraId="15985C96"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fluctuations in the price of oil and natural gas, interest rates, inflation rates and exchange rates;</w:t>
      </w:r>
    </w:p>
    <w:p w14:paraId="1124A55C"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 xml:space="preserve">the risk that the Company will not be able to reduce its operating costs and thereby improve the return on its investments, particularly given that the Company does not operate </w:t>
      </w:r>
      <w:proofErr w:type="gramStart"/>
      <w:r>
        <w:rPr>
          <w:color w:val="000000"/>
        </w:rPr>
        <w:t>all of</w:t>
      </w:r>
      <w:proofErr w:type="gramEnd"/>
      <w:r>
        <w:rPr>
          <w:color w:val="000000"/>
        </w:rPr>
        <w:t xml:space="preserve"> the concessions from which it derives its production;</w:t>
      </w:r>
    </w:p>
    <w:p w14:paraId="45E87D1C"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lack of diversification of the Company’s oil and gas interests;</w:t>
      </w:r>
    </w:p>
    <w:p w14:paraId="031467FA"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impact of work disruption and labour unrest on the Company’s operations;</w:t>
      </w:r>
    </w:p>
    <w:p w14:paraId="40E59C44"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actions taken by governmental authorities, including increases in taxes, the introduction of new taxes and changes in government regulations and incentive programs;</w:t>
      </w:r>
    </w:p>
    <w:p w14:paraId="43A8AA42"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geological, technical, drilling and processing problems;</w:t>
      </w:r>
    </w:p>
    <w:p w14:paraId="38987062"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risks inherent in marketing operations, including credit risk;</w:t>
      </w:r>
    </w:p>
    <w:p w14:paraId="4B1C213D"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 xml:space="preserve">the ability to </w:t>
      </w:r>
      <w:proofErr w:type="gramStart"/>
      <w:r>
        <w:rPr>
          <w:color w:val="000000"/>
        </w:rPr>
        <w:t>enter into</w:t>
      </w:r>
      <w:proofErr w:type="gramEnd"/>
      <w:r>
        <w:rPr>
          <w:color w:val="000000"/>
        </w:rPr>
        <w:t>, renew and/or extend leases and/or concessions;</w:t>
      </w:r>
    </w:p>
    <w:p w14:paraId="1133FF80"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uncertainty of estimates and projections relating to production, costs and expenses;</w:t>
      </w:r>
    </w:p>
    <w:p w14:paraId="12DD78EA"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potential delays or changes in plans with respect to exploration or development projects or capital expenditures including delays arising as a result of the Company’s inability to obtain the necessary oilfield services required, including drilling and fracture stimulation equipment and related personnel, delays arising as a result of the Company’s inability to obtain the necessary governmental approvals, including regulatory approvals relating to the protection of the environment, and delays arising as a result of a decline in commodity prices arising as a result of reduced demand for commodities and/or other factors;</w:t>
      </w:r>
    </w:p>
    <w:p w14:paraId="55747150"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insufficiency of cash flow to fund operations;</w:t>
      </w:r>
    </w:p>
    <w:p w14:paraId="6F2BEEC3"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uncertainty of finding reserves and developing and marketing those reserves;</w:t>
      </w:r>
    </w:p>
    <w:p w14:paraId="0373B3D7"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unanticipated operating events, which could reduce production or cause production to be shut in or delayed;</w:t>
      </w:r>
    </w:p>
    <w:p w14:paraId="08C70278"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ability of management to identify, finance and complete potential acquisitions;</w:t>
      </w:r>
    </w:p>
    <w:p w14:paraId="55B67462"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if completed, the failure to realize the anticipated benefits of acquisitions;</w:t>
      </w:r>
    </w:p>
    <w:p w14:paraId="539BB5AF"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incorrect assessments of the value of acquisitions;</w:t>
      </w:r>
    </w:p>
    <w:p w14:paraId="1795CB80"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shut-ins of connected wells resulting from extreme weather conditions;</w:t>
      </w:r>
    </w:p>
    <w:p w14:paraId="68ACA791"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insufficient storage or transportation or processing capacity for the Company’s production, or the need to halt or restrict production while such facilities receive maintenance or repairs or while international borders are closed, or the risk that the cost to use third party facilities increases or that such facilities are decommissioned or otherwise become unavailable to the Company;</w:t>
      </w:r>
    </w:p>
    <w:p w14:paraId="42A55D1D"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hazards such as fire, explosion, blowouts, cratering and spills, each of which could result in substantial damage to wells, production facilities, other property and the environment or in personal injury;</w:t>
      </w:r>
    </w:p>
    <w:p w14:paraId="5CF1E98A"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encountering unexpected formations or pressures, premature decline of reservoirs and the invasion of water into producing formations, and the resulting impact on our production and reserves;</w:t>
      </w:r>
    </w:p>
    <w:p w14:paraId="47994254"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failure to satisfy work commitments by the applicable deadline and the consequences thereof, including the potential loss of exploration and exploitation rights;</w:t>
      </w:r>
    </w:p>
    <w:p w14:paraId="5D925945"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enforcement of civil liability in Argentina;</w:t>
      </w:r>
    </w:p>
    <w:p w14:paraId="52779437"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risks associated with conflicting interests with partners;</w:t>
      </w:r>
    </w:p>
    <w:p w14:paraId="507DEE40"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income tax reassessments and other taxes payable by the Company;</w:t>
      </w:r>
    </w:p>
    <w:p w14:paraId="0A29F926"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ability to add production and reserves through development and exploration activities;</w:t>
      </w:r>
    </w:p>
    <w:p w14:paraId="0747EFDD"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 xml:space="preserve">governmental regulation of the oil and gas industry, including the possibility that governments, government policies or laws, including laws and regulations related to the environment, may change </w:t>
      </w:r>
      <w:r>
        <w:rPr>
          <w:color w:val="000000"/>
        </w:rPr>
        <w:lastRenderedPageBreak/>
        <w:t xml:space="preserve">in a manner that is </w:t>
      </w:r>
      <w:proofErr w:type="gramStart"/>
      <w:r>
        <w:rPr>
          <w:color w:val="000000"/>
        </w:rPr>
        <w:t>adverse</w:t>
      </w:r>
      <w:proofErr w:type="gramEnd"/>
      <w:r>
        <w:rPr>
          <w:color w:val="000000"/>
        </w:rPr>
        <w:t xml:space="preserve"> to the Company, or that governmental approvals may be delayed or withheld; </w:t>
      </w:r>
    </w:p>
    <w:p w14:paraId="6DC9A894"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 xml:space="preserve">failure to obtain industry partner and other </w:t>
      </w:r>
      <w:proofErr w:type="gramStart"/>
      <w:r>
        <w:rPr>
          <w:color w:val="000000"/>
        </w:rPr>
        <w:t>third party</w:t>
      </w:r>
      <w:proofErr w:type="gramEnd"/>
      <w:r>
        <w:rPr>
          <w:color w:val="000000"/>
        </w:rPr>
        <w:t xml:space="preserve"> consents and approvals, as and when required;</w:t>
      </w:r>
    </w:p>
    <w:p w14:paraId="6C5537EA" w14:textId="3981A799"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risks associated with having a control person (</w:t>
      </w:r>
      <w:proofErr w:type="spellStart"/>
      <w:r>
        <w:rPr>
          <w:color w:val="000000"/>
        </w:rPr>
        <w:t>Liminar</w:t>
      </w:r>
      <w:proofErr w:type="spellEnd"/>
      <w:r>
        <w:rPr>
          <w:color w:val="000000"/>
        </w:rPr>
        <w:t xml:space="preserve">) owning approximately </w:t>
      </w:r>
      <w:r w:rsidR="00BE4433">
        <w:rPr>
          <w:color w:val="000000"/>
        </w:rPr>
        <w:t>91.0</w:t>
      </w:r>
      <w:r>
        <w:rPr>
          <w:color w:val="000000"/>
        </w:rPr>
        <w:t>% of the Company’s common shares and having two representatives on the board of directors, including the potential that the control person may exert a significant amount of influence over the Company’s affairs and that the liquidity of the Company’s common shares may decline;</w:t>
      </w:r>
    </w:p>
    <w:p w14:paraId="1C4EF97B" w14:textId="3E0777AB" w:rsidR="006C378E" w:rsidRDefault="006C378E" w:rsidP="006C378E">
      <w:pPr>
        <w:widowControl w:val="0"/>
        <w:numPr>
          <w:ilvl w:val="0"/>
          <w:numId w:val="14"/>
        </w:numPr>
        <w:pBdr>
          <w:top w:val="nil"/>
          <w:left w:val="nil"/>
          <w:bottom w:val="nil"/>
          <w:right w:val="nil"/>
          <w:between w:val="nil"/>
        </w:pBdr>
        <w:ind w:left="630" w:hanging="270"/>
        <w:jc w:val="both"/>
        <w:rPr>
          <w:color w:val="000000"/>
        </w:rPr>
      </w:pPr>
      <w:bookmarkStart w:id="31" w:name="_Hlk160956265"/>
      <w:r>
        <w:rPr>
          <w:color w:val="000000"/>
        </w:rPr>
        <w:t xml:space="preserve">risks associated with having two shareholders who control approximately </w:t>
      </w:r>
      <w:r w:rsidR="00BE4433">
        <w:rPr>
          <w:color w:val="000000"/>
        </w:rPr>
        <w:t>94.</w:t>
      </w:r>
      <w:r w:rsidR="00360441">
        <w:rPr>
          <w:color w:val="000000"/>
        </w:rPr>
        <w:t>6</w:t>
      </w:r>
      <w:r>
        <w:rPr>
          <w:color w:val="000000"/>
        </w:rPr>
        <w:t>% of the Company’s common shares, including that the liquidity of the Company’s common shares may decline;</w:t>
      </w:r>
    </w:p>
    <w:bookmarkEnd w:id="31"/>
    <w:p w14:paraId="1CC5A5B3"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stock market volatility and market valuations;</w:t>
      </w:r>
    </w:p>
    <w:p w14:paraId="6572787A"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competition for, among other things, capital, acquisition of reserves, undeveloped land and skilled personnel;</w:t>
      </w:r>
    </w:p>
    <w:p w14:paraId="7384BFDA"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availability of capital on acceptable terms to fund the Company’s capital programs and acquisitions, including the ability of the Company to obtain new loans and/or issue new notes, renegotiate the terms of its existing loans and/or notes if necessary and/or repay the principal and interest owing under its existing loans and/or notes, and the risk that changing investor sentiment towards the crude oil and natural gas industry may impact our access to, and the cost of, capital and/or insurance;</w:t>
      </w:r>
    </w:p>
    <w:p w14:paraId="46C0FEBD"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risk that global or national health concerns, including the outbreak of pandemic or contagious diseases such as the COVID-19 pandemic, may adversely affect us;</w:t>
      </w:r>
    </w:p>
    <w:p w14:paraId="74F96BE7"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risks associated with the insolvency and/or bankruptcy of our joint venture partners and/or the operators of the concessions in which we have an interest, including the risk that any such insolvency and/or bankruptcy has an adverse effect on one of our UTEs, one of our concessions and/or the Company; and</w:t>
      </w:r>
    </w:p>
    <w:p w14:paraId="1FAD758E"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risk of breaches of our cyber-security and loss of, or unauthorized access to, our electronic data.</w:t>
      </w:r>
    </w:p>
    <w:p w14:paraId="5C838D25" w14:textId="77777777" w:rsidR="006C378E" w:rsidRDefault="006C378E" w:rsidP="006C378E">
      <w:pPr>
        <w:widowControl w:val="0"/>
        <w:spacing w:before="120"/>
        <w:jc w:val="both"/>
      </w:pPr>
      <w:r>
        <w:t xml:space="preserve">For additional details of the risks relating to the Company’s business, see the Company’s most current Annual Information Form, which is available on SEDAR+ at </w:t>
      </w:r>
      <w:hyperlink r:id="rId57" w:history="1">
        <w:r w:rsidRPr="00520118">
          <w:rPr>
            <w:rStyle w:val="Hyperlink"/>
          </w:rPr>
          <w:t>www.sedarplus.ca</w:t>
        </w:r>
      </w:hyperlink>
      <w:r>
        <w:t>.</w:t>
      </w:r>
    </w:p>
    <w:p w14:paraId="3DCAA600" w14:textId="77777777" w:rsidR="006C378E" w:rsidRDefault="006C378E" w:rsidP="006C378E">
      <w:pPr>
        <w:widowControl w:val="0"/>
        <w:spacing w:before="240" w:after="120"/>
        <w:jc w:val="both"/>
        <w:rPr>
          <w:rFonts w:cs="Arial"/>
          <w:b/>
          <w:bCs/>
          <w:caps/>
          <w:color w:val="000000"/>
          <w:sz w:val="24"/>
          <w:szCs w:val="24"/>
        </w:rPr>
      </w:pPr>
      <w:r>
        <w:rPr>
          <w:rFonts w:cs="Arial"/>
          <w:b/>
          <w:bCs/>
          <w:caps/>
          <w:color w:val="000000"/>
          <w:sz w:val="24"/>
          <w:szCs w:val="24"/>
        </w:rPr>
        <w:t xml:space="preserve">LEGAL, ENVIRONMENTAL, REMEDIATION AND OTHER CONTINGENT MATTERS </w:t>
      </w:r>
    </w:p>
    <w:p w14:paraId="224F1482" w14:textId="77777777" w:rsidR="006C378E" w:rsidRDefault="006C378E" w:rsidP="006C378E">
      <w:pPr>
        <w:widowControl w:val="0"/>
        <w:jc w:val="both"/>
        <w:rPr>
          <w:rFonts w:cs="Arial"/>
          <w:bCs/>
          <w:caps/>
          <w:color w:val="000000"/>
          <w:sz w:val="24"/>
          <w:szCs w:val="24"/>
        </w:rPr>
      </w:pPr>
      <w:r>
        <w:rPr>
          <w:rFonts w:cs="Arial"/>
          <w:lang w:val="en-GB"/>
        </w:rPr>
        <w:t xml:space="preserve">The Company reviews legal, environmental remediation and other contingent matters to both determine whether a loss is probable based on judgment and interpretation of laws and regulations and determine that the loss can reasonably be estimated. When the loss is determined, it is charged to earnings.  The Company’s management monitors known and potential contingent matters and makes appropriate provisions by charges to earnings when warranted by circumstances. </w:t>
      </w:r>
    </w:p>
    <w:p w14:paraId="4ED29625" w14:textId="77777777" w:rsidR="006C378E" w:rsidRDefault="006C378E" w:rsidP="006C378E">
      <w:pPr>
        <w:widowControl w:val="0"/>
        <w:spacing w:before="240" w:after="120"/>
        <w:jc w:val="both"/>
        <w:rPr>
          <w:rFonts w:cs="Arial"/>
          <w:b/>
          <w:bCs/>
          <w:caps/>
          <w:color w:val="000000"/>
          <w:sz w:val="24"/>
          <w:szCs w:val="24"/>
        </w:rPr>
      </w:pPr>
      <w:r>
        <w:rPr>
          <w:rFonts w:cs="Arial"/>
          <w:b/>
          <w:bCs/>
          <w:caps/>
          <w:color w:val="000000"/>
          <w:sz w:val="24"/>
          <w:szCs w:val="24"/>
        </w:rPr>
        <w:t>Non-IFRS AND OTHER FINANCIAL Measures</w:t>
      </w:r>
    </w:p>
    <w:p w14:paraId="7FD6D7E3" w14:textId="77777777" w:rsidR="006C378E" w:rsidRDefault="006C378E" w:rsidP="006C378E">
      <w:pPr>
        <w:widowControl w:val="0"/>
        <w:pBdr>
          <w:top w:val="nil"/>
          <w:left w:val="nil"/>
          <w:bottom w:val="nil"/>
          <w:right w:val="nil"/>
          <w:between w:val="nil"/>
        </w:pBdr>
        <w:spacing w:before="120"/>
        <w:jc w:val="both"/>
        <w:rPr>
          <w:color w:val="000000"/>
        </w:rPr>
      </w:pPr>
      <w:r>
        <w:rPr>
          <w:color w:val="000000"/>
        </w:rPr>
        <w:t xml:space="preserve">Throughout this MD&amp;A and in other materials disclosed by the Company, we employ certain measures to analyze financial performance, financial position, and cash flow. These non-IFRS and other financial measures do not have any standardized meaning prescribed by IFRS Accounting Standards and therefore may not be comparable to similar measures provided by other issuers.  The non-IFRS and other financial measures should not </w:t>
      </w:r>
      <w:proofErr w:type="gramStart"/>
      <w:r>
        <w:rPr>
          <w:color w:val="000000"/>
        </w:rPr>
        <w:t>be considered to be</w:t>
      </w:r>
      <w:proofErr w:type="gramEnd"/>
      <w:r>
        <w:rPr>
          <w:color w:val="000000"/>
        </w:rPr>
        <w:t xml:space="preserve"> more meaningful than financial measures which are determined in accordance with IFRS Accounting Standards, such as net income (loss), oil and natural gas sales revenue and net cash provided (used) by operating activities as indicators of our performance.  </w:t>
      </w:r>
    </w:p>
    <w:p w14:paraId="7025267C" w14:textId="77777777" w:rsidR="006C378E" w:rsidRDefault="006C378E" w:rsidP="006C378E">
      <w:pPr>
        <w:widowControl w:val="0"/>
        <w:pBdr>
          <w:top w:val="nil"/>
          <w:left w:val="nil"/>
          <w:bottom w:val="nil"/>
          <w:right w:val="nil"/>
          <w:between w:val="nil"/>
        </w:pBdr>
        <w:spacing w:before="120"/>
        <w:jc w:val="both"/>
        <w:rPr>
          <w:color w:val="000000"/>
        </w:rPr>
      </w:pPr>
      <w:r>
        <w:rPr>
          <w:color w:val="000000"/>
        </w:rPr>
        <w:t>“</w:t>
      </w:r>
      <w:r>
        <w:rPr>
          <w:b/>
          <w:color w:val="000000"/>
        </w:rPr>
        <w:t>Funds flow per share – operating activities</w:t>
      </w:r>
      <w:r>
        <w:rPr>
          <w:color w:val="000000"/>
        </w:rPr>
        <w:t xml:space="preserve">” is a supplemental financial measure.  Funds flow per share – operating activities is comprised of funds flow provided (used) by operating activities divided by the basic and diluted weighted average number of common shares outstanding for the period. See “Financial Information – Summary of Financial Information”. </w:t>
      </w:r>
    </w:p>
    <w:p w14:paraId="5C42492C" w14:textId="77777777" w:rsidR="006C378E" w:rsidRDefault="006C378E" w:rsidP="006C378E">
      <w:pPr>
        <w:widowControl w:val="0"/>
        <w:pBdr>
          <w:top w:val="nil"/>
          <w:left w:val="nil"/>
          <w:bottom w:val="nil"/>
          <w:right w:val="nil"/>
          <w:between w:val="nil"/>
        </w:pBdr>
        <w:spacing w:before="120"/>
        <w:jc w:val="both"/>
        <w:rPr>
          <w:color w:val="000000"/>
        </w:rPr>
      </w:pPr>
      <w:r>
        <w:rPr>
          <w:color w:val="000000"/>
        </w:rPr>
        <w:t>“</w:t>
      </w:r>
      <w:r>
        <w:rPr>
          <w:b/>
          <w:color w:val="000000"/>
        </w:rPr>
        <w:t>Net cash per share – operating activities</w:t>
      </w:r>
      <w:r>
        <w:rPr>
          <w:color w:val="000000"/>
        </w:rPr>
        <w:t xml:space="preserve">” is a supplemental financial measure. Net cash per share – operating activities is comprised of net cash provided (used) by operating activities divided by the basic and diluted weighted average number of common shares outstanding for the period. See “Financial Information – Summary of Financial Information”. </w:t>
      </w:r>
    </w:p>
    <w:p w14:paraId="75FE0D00" w14:textId="3AF621E3" w:rsidR="006C378E" w:rsidRDefault="006C378E" w:rsidP="006C378E">
      <w:pPr>
        <w:widowControl w:val="0"/>
        <w:pBdr>
          <w:top w:val="nil"/>
          <w:left w:val="nil"/>
          <w:bottom w:val="nil"/>
          <w:right w:val="nil"/>
          <w:between w:val="nil"/>
        </w:pBdr>
        <w:spacing w:before="120"/>
        <w:jc w:val="both"/>
        <w:rPr>
          <w:color w:val="000000"/>
        </w:rPr>
      </w:pPr>
      <w:r>
        <w:rPr>
          <w:color w:val="000000"/>
        </w:rPr>
        <w:lastRenderedPageBreak/>
        <w:t>“</w:t>
      </w:r>
      <w:r>
        <w:rPr>
          <w:b/>
          <w:color w:val="000000"/>
        </w:rPr>
        <w:t>Non-current financial liabilities</w:t>
      </w:r>
      <w:r>
        <w:rPr>
          <w:color w:val="000000"/>
        </w:rPr>
        <w:t xml:space="preserve">” is a supplemental financial measure.  Non-current financial liabilities </w:t>
      </w:r>
      <w:proofErr w:type="gramStart"/>
      <w:r>
        <w:rPr>
          <w:color w:val="000000"/>
        </w:rPr>
        <w:t>is</w:t>
      </w:r>
      <w:proofErr w:type="gramEnd"/>
      <w:r>
        <w:rPr>
          <w:color w:val="000000"/>
        </w:rPr>
        <w:t xml:space="preserve"> comprised of the non-current portions of trade and other payables, </w:t>
      </w:r>
      <w:r w:rsidR="007553B9">
        <w:rPr>
          <w:color w:val="000000"/>
        </w:rPr>
        <w:t xml:space="preserve">loans, </w:t>
      </w:r>
      <w:r>
        <w:rPr>
          <w:color w:val="000000"/>
        </w:rPr>
        <w:t xml:space="preserve">notes payable and lease liabilities as presented in the Company’s consolidated statements of financial position.  See “Financial Information – Summary of Financial Information”. </w:t>
      </w:r>
    </w:p>
    <w:p w14:paraId="2E45A80C" w14:textId="77777777" w:rsidR="006C378E" w:rsidRDefault="006C378E" w:rsidP="006C378E">
      <w:pPr>
        <w:widowControl w:val="0"/>
        <w:pBdr>
          <w:top w:val="nil"/>
          <w:left w:val="nil"/>
          <w:bottom w:val="nil"/>
          <w:right w:val="nil"/>
          <w:between w:val="nil"/>
        </w:pBdr>
        <w:spacing w:before="120"/>
        <w:jc w:val="both"/>
        <w:rPr>
          <w:color w:val="000000"/>
        </w:rPr>
      </w:pPr>
      <w:r>
        <w:rPr>
          <w:color w:val="000000"/>
        </w:rPr>
        <w:t>“</w:t>
      </w:r>
      <w:r>
        <w:rPr>
          <w:b/>
          <w:color w:val="000000"/>
        </w:rPr>
        <w:t>Operating Netback</w:t>
      </w:r>
      <w:r>
        <w:rPr>
          <w:color w:val="000000"/>
        </w:rPr>
        <w:t xml:space="preserve">” is a non-IFRS measure.  Operating netback is comprised of oil and natural gas sales revenue less export tax, royalties and turnover tax and operating costs.  Management believes this measure is a useful supplemental measure of the Company’s profitability relative to commodity prices.  See “Results of Operations – Operating Netback” for a reconciliation of operating netback to oil and natural gas sales revenue, being our nearest measure prescribed by IFRS Accounting Standards. </w:t>
      </w:r>
    </w:p>
    <w:p w14:paraId="414C8F54" w14:textId="77777777" w:rsidR="006C378E" w:rsidRDefault="006C378E" w:rsidP="006C378E">
      <w:pPr>
        <w:widowControl w:val="0"/>
        <w:pBdr>
          <w:top w:val="nil"/>
          <w:left w:val="nil"/>
          <w:bottom w:val="nil"/>
          <w:right w:val="nil"/>
          <w:between w:val="nil"/>
        </w:pBdr>
        <w:spacing w:before="120"/>
        <w:jc w:val="both"/>
        <w:rPr>
          <w:color w:val="000000"/>
        </w:rPr>
      </w:pPr>
      <w:r>
        <w:rPr>
          <w:color w:val="000000"/>
        </w:rPr>
        <w:t>“</w:t>
      </w:r>
      <w:r>
        <w:rPr>
          <w:b/>
          <w:color w:val="000000"/>
        </w:rPr>
        <w:t>Operating netback per BOE</w:t>
      </w:r>
      <w:r>
        <w:rPr>
          <w:color w:val="000000"/>
        </w:rPr>
        <w:t xml:space="preserve">” is a non-IFRS ratio.  Operating netback per BOE is comprised of operating netback divided by total BOE sales volumes in the period.  Management believes this measure is a useful supplemental measure of the Company’s profitability relative to commodity prices.  In addition, management believes that operating netback per BOE is a key industry performance measure of operational efficiency and provide investors with information that is also commonly presented by other crude oil and natural gas producers.  Operating netback is a non-IFRS measure.  See “Results of Operations – Operating Netback” for the calculation of operating netback per BOE.  </w:t>
      </w:r>
    </w:p>
    <w:p w14:paraId="3123617C" w14:textId="77777777" w:rsidR="006C378E" w:rsidRDefault="006C378E" w:rsidP="006C378E">
      <w:pPr>
        <w:widowControl w:val="0"/>
        <w:pBdr>
          <w:top w:val="nil"/>
          <w:left w:val="nil"/>
          <w:bottom w:val="nil"/>
          <w:right w:val="nil"/>
          <w:between w:val="nil"/>
        </w:pBdr>
        <w:spacing w:before="120"/>
        <w:jc w:val="both"/>
        <w:rPr>
          <w:color w:val="000000"/>
        </w:rPr>
      </w:pPr>
      <w:r>
        <w:rPr>
          <w:color w:val="000000"/>
        </w:rPr>
        <w:t>“</w:t>
      </w:r>
      <w:r>
        <w:rPr>
          <w:b/>
          <w:color w:val="000000"/>
        </w:rPr>
        <w:t>Working capital</w:t>
      </w:r>
      <w:r>
        <w:rPr>
          <w:color w:val="000000"/>
        </w:rPr>
        <w:t xml:space="preserve">” is a capital management measure.  Working capital is comprised of current assets </w:t>
      </w:r>
      <w:proofErr w:type="gramStart"/>
      <w:r>
        <w:rPr>
          <w:color w:val="000000"/>
        </w:rPr>
        <w:t>less</w:t>
      </w:r>
      <w:proofErr w:type="gramEnd"/>
      <w:r>
        <w:rPr>
          <w:color w:val="000000"/>
        </w:rPr>
        <w:t xml:space="preserve"> current liabilities.  Management believes that working capital is a useful measure to assess the Company’s capital position and its ability to execute its existing exploration commitments and its share of any development programs.  See “Financial Information – Summary of Financial Information” for a reconciliation of working capital to current assets and current liabilities, being our nearest measures prescribed by IFRS Accounting Standards. </w:t>
      </w:r>
    </w:p>
    <w:p w14:paraId="355F8EF7" w14:textId="6C9E2806" w:rsidR="006C378E" w:rsidRDefault="006C378E" w:rsidP="006C378E">
      <w:pPr>
        <w:pStyle w:val="BodyText"/>
        <w:widowControl w:val="0"/>
        <w:spacing w:before="240"/>
        <w:rPr>
          <w:rFonts w:cs="Arial"/>
          <w:b/>
          <w:bCs w:val="0"/>
          <w:caps/>
          <w:color w:val="000000"/>
          <w:sz w:val="24"/>
        </w:rPr>
      </w:pPr>
      <w:r>
        <w:rPr>
          <w:rFonts w:cs="Arial"/>
          <w:b/>
          <w:bCs w:val="0"/>
          <w:caps/>
          <w:color w:val="000000"/>
          <w:sz w:val="24"/>
        </w:rPr>
        <w:t>Abbreviations and boe presentation</w:t>
      </w:r>
    </w:p>
    <w:p w14:paraId="2DFC670F" w14:textId="77777777" w:rsidR="006C378E" w:rsidRDefault="006C378E" w:rsidP="006C378E">
      <w:pPr>
        <w:pStyle w:val="BodyText2"/>
        <w:widowControl w:val="0"/>
        <w:spacing w:before="120" w:after="120"/>
        <w:rPr>
          <w:rFonts w:cs="Arial"/>
        </w:rPr>
      </w:pPr>
      <w:r>
        <w:rPr>
          <w:rFonts w:cs="Arial"/>
        </w:rPr>
        <w:t xml:space="preserve">The following abbreviations that may be used in this MD&amp;A have the meanings set forth below: </w:t>
      </w:r>
    </w:p>
    <w:tbl>
      <w:tblPr>
        <w:tblW w:w="9365" w:type="dxa"/>
        <w:tblInd w:w="108" w:type="dxa"/>
        <w:tblLayout w:type="fixed"/>
        <w:tblLook w:val="04A0" w:firstRow="1" w:lastRow="0" w:firstColumn="1" w:lastColumn="0" w:noHBand="0" w:noVBand="1"/>
      </w:tblPr>
      <w:tblGrid>
        <w:gridCol w:w="972"/>
        <w:gridCol w:w="450"/>
        <w:gridCol w:w="7943"/>
      </w:tblGrid>
      <w:tr w:rsidR="006C378E" w14:paraId="5641E858" w14:textId="77777777" w:rsidTr="00645396">
        <w:tc>
          <w:tcPr>
            <w:tcW w:w="972" w:type="dxa"/>
            <w:hideMark/>
          </w:tcPr>
          <w:p w14:paraId="470A6F4F" w14:textId="77777777" w:rsidR="006C378E" w:rsidRDefault="006C378E">
            <w:pPr>
              <w:pStyle w:val="BodyText"/>
              <w:rPr>
                <w:rFonts w:cs="Arial"/>
                <w:b/>
                <w:sz w:val="20"/>
                <w:szCs w:val="20"/>
              </w:rPr>
            </w:pPr>
            <w:proofErr w:type="spellStart"/>
            <w:r>
              <w:rPr>
                <w:rFonts w:cs="Arial"/>
                <w:b/>
                <w:sz w:val="20"/>
                <w:szCs w:val="20"/>
              </w:rPr>
              <w:t>bbl</w:t>
            </w:r>
            <w:proofErr w:type="spellEnd"/>
          </w:p>
        </w:tc>
        <w:tc>
          <w:tcPr>
            <w:tcW w:w="450" w:type="dxa"/>
            <w:hideMark/>
          </w:tcPr>
          <w:p w14:paraId="765D00C3" w14:textId="77777777" w:rsidR="006C378E" w:rsidRDefault="006C378E">
            <w:pPr>
              <w:pStyle w:val="BodyText"/>
              <w:rPr>
                <w:rFonts w:cs="Arial"/>
                <w:sz w:val="20"/>
                <w:szCs w:val="20"/>
              </w:rPr>
            </w:pPr>
            <w:r>
              <w:rPr>
                <w:rFonts w:cs="Arial"/>
                <w:sz w:val="20"/>
                <w:szCs w:val="20"/>
              </w:rPr>
              <w:t>-</w:t>
            </w:r>
          </w:p>
        </w:tc>
        <w:tc>
          <w:tcPr>
            <w:tcW w:w="7943" w:type="dxa"/>
            <w:hideMark/>
          </w:tcPr>
          <w:p w14:paraId="68F33B96" w14:textId="77777777" w:rsidR="006C378E" w:rsidRDefault="006C378E">
            <w:pPr>
              <w:pStyle w:val="BodyText"/>
              <w:rPr>
                <w:rFonts w:cs="Arial"/>
                <w:sz w:val="20"/>
                <w:szCs w:val="20"/>
              </w:rPr>
            </w:pPr>
            <w:r>
              <w:rPr>
                <w:rFonts w:cs="Arial"/>
                <w:sz w:val="20"/>
                <w:szCs w:val="20"/>
              </w:rPr>
              <w:t>barrel</w:t>
            </w:r>
          </w:p>
        </w:tc>
      </w:tr>
      <w:tr w:rsidR="006C378E" w14:paraId="591B9260" w14:textId="77777777" w:rsidTr="00645396">
        <w:tc>
          <w:tcPr>
            <w:tcW w:w="972" w:type="dxa"/>
            <w:hideMark/>
          </w:tcPr>
          <w:p w14:paraId="397B65AA" w14:textId="77777777" w:rsidR="006C378E" w:rsidRDefault="006C378E">
            <w:pPr>
              <w:pStyle w:val="BodyText"/>
              <w:rPr>
                <w:rFonts w:cs="Arial"/>
                <w:b/>
                <w:sz w:val="20"/>
                <w:szCs w:val="20"/>
              </w:rPr>
            </w:pPr>
            <w:proofErr w:type="spellStart"/>
            <w:r>
              <w:rPr>
                <w:rFonts w:cs="Arial"/>
                <w:b/>
                <w:sz w:val="20"/>
                <w:szCs w:val="20"/>
              </w:rPr>
              <w:t>bbls</w:t>
            </w:r>
            <w:proofErr w:type="spellEnd"/>
          </w:p>
        </w:tc>
        <w:tc>
          <w:tcPr>
            <w:tcW w:w="450" w:type="dxa"/>
            <w:hideMark/>
          </w:tcPr>
          <w:p w14:paraId="4DF80199" w14:textId="77777777" w:rsidR="006C378E" w:rsidRDefault="006C378E">
            <w:pPr>
              <w:pStyle w:val="BodyText"/>
              <w:rPr>
                <w:rFonts w:cs="Arial"/>
                <w:sz w:val="20"/>
                <w:szCs w:val="20"/>
              </w:rPr>
            </w:pPr>
            <w:r>
              <w:rPr>
                <w:rFonts w:cs="Arial"/>
                <w:sz w:val="20"/>
                <w:szCs w:val="20"/>
              </w:rPr>
              <w:t>-</w:t>
            </w:r>
          </w:p>
        </w:tc>
        <w:tc>
          <w:tcPr>
            <w:tcW w:w="7943" w:type="dxa"/>
            <w:hideMark/>
          </w:tcPr>
          <w:p w14:paraId="3E62386D" w14:textId="77777777" w:rsidR="006C378E" w:rsidRDefault="006C378E">
            <w:pPr>
              <w:pStyle w:val="BodyText"/>
              <w:rPr>
                <w:rFonts w:cs="Arial"/>
                <w:sz w:val="20"/>
                <w:szCs w:val="20"/>
              </w:rPr>
            </w:pPr>
            <w:r>
              <w:rPr>
                <w:rFonts w:cs="Arial"/>
                <w:sz w:val="20"/>
                <w:szCs w:val="20"/>
              </w:rPr>
              <w:t>barrels</w:t>
            </w:r>
          </w:p>
        </w:tc>
      </w:tr>
      <w:tr w:rsidR="006C378E" w14:paraId="6106C502" w14:textId="77777777" w:rsidTr="00645396">
        <w:tc>
          <w:tcPr>
            <w:tcW w:w="972" w:type="dxa"/>
            <w:hideMark/>
          </w:tcPr>
          <w:p w14:paraId="11CB527B" w14:textId="77777777" w:rsidR="006C378E" w:rsidRDefault="006C378E">
            <w:pPr>
              <w:pStyle w:val="BodyText"/>
              <w:rPr>
                <w:rFonts w:cs="Arial"/>
                <w:b/>
                <w:sz w:val="20"/>
                <w:szCs w:val="20"/>
              </w:rPr>
            </w:pPr>
            <w:r>
              <w:rPr>
                <w:rFonts w:cs="Arial"/>
                <w:b/>
                <w:sz w:val="20"/>
                <w:szCs w:val="20"/>
              </w:rPr>
              <w:t>BOE</w:t>
            </w:r>
          </w:p>
        </w:tc>
        <w:tc>
          <w:tcPr>
            <w:tcW w:w="450" w:type="dxa"/>
            <w:hideMark/>
          </w:tcPr>
          <w:p w14:paraId="4027F7D9" w14:textId="77777777" w:rsidR="006C378E" w:rsidRDefault="006C378E">
            <w:pPr>
              <w:pStyle w:val="BodyText"/>
              <w:rPr>
                <w:rFonts w:cs="Arial"/>
                <w:sz w:val="20"/>
                <w:szCs w:val="20"/>
              </w:rPr>
            </w:pPr>
            <w:r>
              <w:rPr>
                <w:rFonts w:cs="Arial"/>
                <w:sz w:val="20"/>
                <w:szCs w:val="20"/>
              </w:rPr>
              <w:t>-</w:t>
            </w:r>
          </w:p>
        </w:tc>
        <w:tc>
          <w:tcPr>
            <w:tcW w:w="7943" w:type="dxa"/>
            <w:hideMark/>
          </w:tcPr>
          <w:p w14:paraId="585C1E64" w14:textId="77777777" w:rsidR="006C378E" w:rsidRDefault="006C378E">
            <w:pPr>
              <w:pStyle w:val="BodyText"/>
              <w:rPr>
                <w:rFonts w:cs="Arial"/>
                <w:sz w:val="20"/>
                <w:szCs w:val="20"/>
              </w:rPr>
            </w:pPr>
            <w:r>
              <w:rPr>
                <w:rFonts w:cs="Arial"/>
                <w:sz w:val="20"/>
                <w:szCs w:val="20"/>
              </w:rPr>
              <w:t>barrels of oil equivalent</w:t>
            </w:r>
          </w:p>
        </w:tc>
      </w:tr>
      <w:tr w:rsidR="006C378E" w14:paraId="3D8C8058" w14:textId="77777777" w:rsidTr="00645396">
        <w:tc>
          <w:tcPr>
            <w:tcW w:w="972" w:type="dxa"/>
            <w:hideMark/>
          </w:tcPr>
          <w:p w14:paraId="5BC0C008" w14:textId="77777777" w:rsidR="006C378E" w:rsidRDefault="006C378E">
            <w:pPr>
              <w:pStyle w:val="BodyText"/>
              <w:rPr>
                <w:rFonts w:cs="Arial"/>
                <w:b/>
                <w:sz w:val="20"/>
                <w:szCs w:val="20"/>
              </w:rPr>
            </w:pPr>
            <w:r>
              <w:rPr>
                <w:rFonts w:cs="Arial"/>
                <w:b/>
                <w:sz w:val="20"/>
                <w:szCs w:val="20"/>
              </w:rPr>
              <w:t>mcf</w:t>
            </w:r>
          </w:p>
        </w:tc>
        <w:tc>
          <w:tcPr>
            <w:tcW w:w="450" w:type="dxa"/>
            <w:hideMark/>
          </w:tcPr>
          <w:p w14:paraId="0C93D8BD" w14:textId="77777777" w:rsidR="006C378E" w:rsidRDefault="006C378E">
            <w:pPr>
              <w:pStyle w:val="BodyText"/>
              <w:rPr>
                <w:rFonts w:cs="Arial"/>
                <w:sz w:val="20"/>
                <w:szCs w:val="20"/>
              </w:rPr>
            </w:pPr>
            <w:r>
              <w:rPr>
                <w:rFonts w:cs="Arial"/>
                <w:sz w:val="20"/>
                <w:szCs w:val="20"/>
              </w:rPr>
              <w:t>-</w:t>
            </w:r>
          </w:p>
        </w:tc>
        <w:tc>
          <w:tcPr>
            <w:tcW w:w="7943" w:type="dxa"/>
            <w:hideMark/>
          </w:tcPr>
          <w:p w14:paraId="1EEE785E" w14:textId="77777777" w:rsidR="006C378E" w:rsidRDefault="006C378E">
            <w:pPr>
              <w:pStyle w:val="BodyText"/>
              <w:rPr>
                <w:rFonts w:cs="Arial"/>
                <w:sz w:val="20"/>
                <w:szCs w:val="20"/>
              </w:rPr>
            </w:pPr>
            <w:r>
              <w:rPr>
                <w:rFonts w:cs="Arial"/>
                <w:sz w:val="20"/>
                <w:szCs w:val="20"/>
              </w:rPr>
              <w:t>thousand cubic feet</w:t>
            </w:r>
          </w:p>
        </w:tc>
      </w:tr>
      <w:tr w:rsidR="006C378E" w14:paraId="7CD04F9C" w14:textId="77777777" w:rsidTr="00645396">
        <w:tc>
          <w:tcPr>
            <w:tcW w:w="972" w:type="dxa"/>
            <w:hideMark/>
          </w:tcPr>
          <w:p w14:paraId="522493C6" w14:textId="77777777" w:rsidR="006C378E" w:rsidRDefault="006C378E">
            <w:pPr>
              <w:pStyle w:val="BodyText"/>
              <w:rPr>
                <w:rFonts w:cs="Arial"/>
                <w:b/>
                <w:sz w:val="20"/>
                <w:szCs w:val="20"/>
              </w:rPr>
            </w:pPr>
            <w:r>
              <w:rPr>
                <w:rFonts w:cs="Arial"/>
                <w:b/>
                <w:sz w:val="20"/>
                <w:szCs w:val="20"/>
              </w:rPr>
              <w:t>NGL</w:t>
            </w:r>
          </w:p>
        </w:tc>
        <w:tc>
          <w:tcPr>
            <w:tcW w:w="450" w:type="dxa"/>
            <w:hideMark/>
          </w:tcPr>
          <w:p w14:paraId="6045EAAB" w14:textId="77777777" w:rsidR="006C378E" w:rsidRDefault="006C378E">
            <w:pPr>
              <w:pStyle w:val="BodyText"/>
              <w:rPr>
                <w:rFonts w:cs="Arial"/>
                <w:sz w:val="20"/>
                <w:szCs w:val="20"/>
              </w:rPr>
            </w:pPr>
            <w:r>
              <w:rPr>
                <w:rFonts w:cs="Arial"/>
                <w:sz w:val="20"/>
                <w:szCs w:val="20"/>
              </w:rPr>
              <w:t>-</w:t>
            </w:r>
          </w:p>
        </w:tc>
        <w:tc>
          <w:tcPr>
            <w:tcW w:w="7943" w:type="dxa"/>
            <w:hideMark/>
          </w:tcPr>
          <w:p w14:paraId="754896DB" w14:textId="77777777" w:rsidR="006C378E" w:rsidRDefault="006C378E">
            <w:pPr>
              <w:pStyle w:val="BodyText"/>
              <w:rPr>
                <w:rFonts w:cs="Arial"/>
                <w:sz w:val="20"/>
                <w:szCs w:val="20"/>
              </w:rPr>
            </w:pPr>
            <w:r>
              <w:rPr>
                <w:rFonts w:cs="Arial"/>
                <w:sz w:val="20"/>
                <w:szCs w:val="20"/>
              </w:rPr>
              <w:t>natural gas liquids</w:t>
            </w:r>
          </w:p>
        </w:tc>
      </w:tr>
      <w:tr w:rsidR="006C378E" w14:paraId="5CADED40" w14:textId="77777777" w:rsidTr="00645396">
        <w:tc>
          <w:tcPr>
            <w:tcW w:w="972" w:type="dxa"/>
            <w:hideMark/>
          </w:tcPr>
          <w:p w14:paraId="5E8AFDD8" w14:textId="77777777" w:rsidR="006C378E" w:rsidRDefault="006C378E">
            <w:pPr>
              <w:pStyle w:val="BodyText"/>
              <w:rPr>
                <w:rFonts w:cs="Arial"/>
                <w:b/>
                <w:sz w:val="20"/>
                <w:szCs w:val="20"/>
              </w:rPr>
            </w:pPr>
            <w:r>
              <w:rPr>
                <w:rFonts w:cs="Arial"/>
                <w:b/>
                <w:sz w:val="20"/>
                <w:szCs w:val="20"/>
              </w:rPr>
              <w:t>Q1</w:t>
            </w:r>
          </w:p>
        </w:tc>
        <w:tc>
          <w:tcPr>
            <w:tcW w:w="450" w:type="dxa"/>
            <w:hideMark/>
          </w:tcPr>
          <w:p w14:paraId="15393026" w14:textId="77777777" w:rsidR="006C378E" w:rsidRDefault="006C378E">
            <w:pPr>
              <w:pStyle w:val="BodyText"/>
              <w:rPr>
                <w:rFonts w:cs="Arial"/>
                <w:sz w:val="20"/>
                <w:szCs w:val="20"/>
              </w:rPr>
            </w:pPr>
            <w:r>
              <w:rPr>
                <w:rFonts w:cs="Arial"/>
                <w:sz w:val="20"/>
                <w:szCs w:val="20"/>
              </w:rPr>
              <w:t>-</w:t>
            </w:r>
          </w:p>
        </w:tc>
        <w:tc>
          <w:tcPr>
            <w:tcW w:w="7943" w:type="dxa"/>
            <w:hideMark/>
          </w:tcPr>
          <w:p w14:paraId="4DF8CBC4" w14:textId="77777777" w:rsidR="006C378E" w:rsidRDefault="006C378E">
            <w:pPr>
              <w:pStyle w:val="BodyText"/>
              <w:rPr>
                <w:rFonts w:cs="Arial"/>
                <w:sz w:val="20"/>
                <w:szCs w:val="20"/>
              </w:rPr>
            </w:pPr>
            <w:r>
              <w:rPr>
                <w:rFonts w:cs="Arial"/>
                <w:sz w:val="20"/>
                <w:szCs w:val="20"/>
              </w:rPr>
              <w:t>three months ended March 31</w:t>
            </w:r>
          </w:p>
        </w:tc>
      </w:tr>
      <w:tr w:rsidR="006C378E" w14:paraId="1D8F178C" w14:textId="77777777" w:rsidTr="00645396">
        <w:tc>
          <w:tcPr>
            <w:tcW w:w="972" w:type="dxa"/>
            <w:hideMark/>
          </w:tcPr>
          <w:p w14:paraId="1773A24B" w14:textId="77777777" w:rsidR="006C378E" w:rsidRDefault="006C378E">
            <w:pPr>
              <w:pStyle w:val="BodyText"/>
              <w:rPr>
                <w:rFonts w:cs="Arial"/>
                <w:b/>
                <w:sz w:val="20"/>
                <w:szCs w:val="20"/>
              </w:rPr>
            </w:pPr>
            <w:r>
              <w:rPr>
                <w:rFonts w:cs="Arial"/>
                <w:b/>
                <w:sz w:val="20"/>
                <w:szCs w:val="20"/>
              </w:rPr>
              <w:t>Q2</w:t>
            </w:r>
          </w:p>
        </w:tc>
        <w:tc>
          <w:tcPr>
            <w:tcW w:w="450" w:type="dxa"/>
            <w:hideMark/>
          </w:tcPr>
          <w:p w14:paraId="4A25DC41" w14:textId="77777777" w:rsidR="006C378E" w:rsidRDefault="006C378E">
            <w:pPr>
              <w:pStyle w:val="BodyText"/>
              <w:rPr>
                <w:rFonts w:cs="Arial"/>
                <w:sz w:val="20"/>
                <w:szCs w:val="20"/>
              </w:rPr>
            </w:pPr>
            <w:r>
              <w:rPr>
                <w:rFonts w:cs="Arial"/>
                <w:sz w:val="20"/>
                <w:szCs w:val="20"/>
              </w:rPr>
              <w:t>-</w:t>
            </w:r>
          </w:p>
        </w:tc>
        <w:tc>
          <w:tcPr>
            <w:tcW w:w="7943" w:type="dxa"/>
            <w:hideMark/>
          </w:tcPr>
          <w:p w14:paraId="297F8E9E" w14:textId="77777777" w:rsidR="006C378E" w:rsidRDefault="006C378E">
            <w:pPr>
              <w:pStyle w:val="BodyText"/>
              <w:rPr>
                <w:rFonts w:cs="Arial"/>
                <w:sz w:val="20"/>
                <w:szCs w:val="20"/>
              </w:rPr>
            </w:pPr>
            <w:r>
              <w:rPr>
                <w:rFonts w:cs="Arial"/>
                <w:sz w:val="20"/>
                <w:szCs w:val="20"/>
              </w:rPr>
              <w:t>three months ended June 30</w:t>
            </w:r>
          </w:p>
        </w:tc>
      </w:tr>
      <w:tr w:rsidR="006C378E" w14:paraId="5D4EC874" w14:textId="77777777" w:rsidTr="00645396">
        <w:tc>
          <w:tcPr>
            <w:tcW w:w="972" w:type="dxa"/>
            <w:hideMark/>
          </w:tcPr>
          <w:p w14:paraId="158708AA" w14:textId="77777777" w:rsidR="006C378E" w:rsidRDefault="006C378E">
            <w:pPr>
              <w:pStyle w:val="BodyText"/>
              <w:rPr>
                <w:rFonts w:cs="Arial"/>
                <w:b/>
                <w:sz w:val="20"/>
                <w:szCs w:val="20"/>
              </w:rPr>
            </w:pPr>
            <w:r>
              <w:rPr>
                <w:rFonts w:cs="Arial"/>
                <w:b/>
                <w:sz w:val="20"/>
                <w:szCs w:val="20"/>
              </w:rPr>
              <w:t>Q3</w:t>
            </w:r>
          </w:p>
        </w:tc>
        <w:tc>
          <w:tcPr>
            <w:tcW w:w="450" w:type="dxa"/>
            <w:hideMark/>
          </w:tcPr>
          <w:p w14:paraId="78641B13" w14:textId="77777777" w:rsidR="006C378E" w:rsidRDefault="006C378E">
            <w:pPr>
              <w:pStyle w:val="BodyText"/>
              <w:rPr>
                <w:rFonts w:cs="Arial"/>
                <w:sz w:val="20"/>
                <w:szCs w:val="20"/>
              </w:rPr>
            </w:pPr>
            <w:r>
              <w:rPr>
                <w:rFonts w:cs="Arial"/>
                <w:sz w:val="20"/>
                <w:szCs w:val="20"/>
              </w:rPr>
              <w:t>-</w:t>
            </w:r>
          </w:p>
        </w:tc>
        <w:tc>
          <w:tcPr>
            <w:tcW w:w="7943" w:type="dxa"/>
            <w:hideMark/>
          </w:tcPr>
          <w:p w14:paraId="336FA662" w14:textId="77777777" w:rsidR="006C378E" w:rsidRDefault="006C378E">
            <w:pPr>
              <w:pStyle w:val="BodyText"/>
              <w:rPr>
                <w:rFonts w:cs="Arial"/>
                <w:sz w:val="20"/>
                <w:szCs w:val="20"/>
              </w:rPr>
            </w:pPr>
            <w:r>
              <w:rPr>
                <w:rFonts w:cs="Arial"/>
                <w:sz w:val="20"/>
                <w:szCs w:val="20"/>
              </w:rPr>
              <w:t>three months ended September 30</w:t>
            </w:r>
          </w:p>
        </w:tc>
      </w:tr>
      <w:tr w:rsidR="006C378E" w14:paraId="17586728" w14:textId="77777777" w:rsidTr="00645396">
        <w:tc>
          <w:tcPr>
            <w:tcW w:w="972" w:type="dxa"/>
            <w:hideMark/>
          </w:tcPr>
          <w:p w14:paraId="326CF597" w14:textId="77777777" w:rsidR="006C378E" w:rsidRDefault="006C378E">
            <w:pPr>
              <w:pStyle w:val="BodyText"/>
              <w:rPr>
                <w:rFonts w:cs="Arial"/>
                <w:b/>
                <w:sz w:val="20"/>
                <w:szCs w:val="20"/>
              </w:rPr>
            </w:pPr>
            <w:r>
              <w:rPr>
                <w:rFonts w:cs="Arial"/>
                <w:b/>
                <w:sz w:val="20"/>
                <w:szCs w:val="20"/>
              </w:rPr>
              <w:t xml:space="preserve">Q4 </w:t>
            </w:r>
          </w:p>
        </w:tc>
        <w:tc>
          <w:tcPr>
            <w:tcW w:w="450" w:type="dxa"/>
            <w:hideMark/>
          </w:tcPr>
          <w:p w14:paraId="19166777" w14:textId="77777777" w:rsidR="006C378E" w:rsidRDefault="006C378E">
            <w:pPr>
              <w:pStyle w:val="BodyText"/>
              <w:rPr>
                <w:rFonts w:cs="Arial"/>
                <w:sz w:val="20"/>
                <w:szCs w:val="20"/>
              </w:rPr>
            </w:pPr>
            <w:r>
              <w:rPr>
                <w:rFonts w:cs="Arial"/>
                <w:sz w:val="20"/>
                <w:szCs w:val="20"/>
              </w:rPr>
              <w:t>-</w:t>
            </w:r>
          </w:p>
        </w:tc>
        <w:tc>
          <w:tcPr>
            <w:tcW w:w="7943" w:type="dxa"/>
            <w:hideMark/>
          </w:tcPr>
          <w:p w14:paraId="0B8C1042" w14:textId="77777777" w:rsidR="006C378E" w:rsidRDefault="006C378E">
            <w:pPr>
              <w:pStyle w:val="BodyText"/>
              <w:rPr>
                <w:rFonts w:cs="Arial"/>
                <w:sz w:val="20"/>
                <w:szCs w:val="20"/>
              </w:rPr>
            </w:pPr>
            <w:r>
              <w:rPr>
                <w:rFonts w:cs="Arial"/>
                <w:sz w:val="20"/>
                <w:szCs w:val="20"/>
              </w:rPr>
              <w:t>three months ended December 31</w:t>
            </w:r>
          </w:p>
        </w:tc>
      </w:tr>
      <w:tr w:rsidR="006C378E" w14:paraId="2F1D12ED" w14:textId="77777777" w:rsidTr="00645396">
        <w:tc>
          <w:tcPr>
            <w:tcW w:w="972" w:type="dxa"/>
            <w:hideMark/>
          </w:tcPr>
          <w:p w14:paraId="357A1F55" w14:textId="77777777" w:rsidR="006C378E" w:rsidRDefault="006C378E">
            <w:pPr>
              <w:pStyle w:val="BodyText"/>
              <w:rPr>
                <w:rFonts w:cs="Arial"/>
                <w:b/>
                <w:sz w:val="20"/>
                <w:szCs w:val="20"/>
              </w:rPr>
            </w:pPr>
            <w:r>
              <w:rPr>
                <w:rFonts w:cs="Arial"/>
                <w:b/>
                <w:sz w:val="20"/>
                <w:szCs w:val="20"/>
              </w:rPr>
              <w:t>UTE</w:t>
            </w:r>
          </w:p>
        </w:tc>
        <w:tc>
          <w:tcPr>
            <w:tcW w:w="450" w:type="dxa"/>
            <w:hideMark/>
          </w:tcPr>
          <w:p w14:paraId="2910C364" w14:textId="77777777" w:rsidR="006C378E" w:rsidRDefault="006C378E">
            <w:pPr>
              <w:pStyle w:val="BodyText"/>
              <w:rPr>
                <w:rFonts w:cs="Arial"/>
                <w:sz w:val="20"/>
                <w:szCs w:val="20"/>
              </w:rPr>
            </w:pPr>
            <w:r>
              <w:rPr>
                <w:rFonts w:cs="Arial"/>
                <w:sz w:val="20"/>
                <w:szCs w:val="20"/>
              </w:rPr>
              <w:t>-</w:t>
            </w:r>
          </w:p>
        </w:tc>
        <w:tc>
          <w:tcPr>
            <w:tcW w:w="7943" w:type="dxa"/>
            <w:hideMark/>
          </w:tcPr>
          <w:p w14:paraId="0324A00F" w14:textId="77777777" w:rsidR="006C378E" w:rsidRDefault="006C378E">
            <w:pPr>
              <w:pStyle w:val="BodyText"/>
              <w:rPr>
                <w:rFonts w:cs="Arial"/>
                <w:sz w:val="20"/>
                <w:szCs w:val="20"/>
              </w:rPr>
            </w:pPr>
            <w:r>
              <w:rPr>
                <w:sz w:val="20"/>
                <w:szCs w:val="20"/>
              </w:rPr>
              <w:t xml:space="preserve">Union </w:t>
            </w:r>
            <w:proofErr w:type="spellStart"/>
            <w:r>
              <w:rPr>
                <w:sz w:val="20"/>
                <w:szCs w:val="20"/>
              </w:rPr>
              <w:t>Transitoria</w:t>
            </w:r>
            <w:proofErr w:type="spellEnd"/>
            <w:r>
              <w:rPr>
                <w:sz w:val="20"/>
                <w:szCs w:val="20"/>
              </w:rPr>
              <w:t xml:space="preserve"> de Empresas, which is a registered joint venture contract established under the laws of Argentina</w:t>
            </w:r>
          </w:p>
        </w:tc>
      </w:tr>
    </w:tbl>
    <w:p w14:paraId="3D48A9F1" w14:textId="77777777" w:rsidR="006C378E" w:rsidRDefault="006C378E" w:rsidP="006C378E">
      <w:pPr>
        <w:pStyle w:val="BodyText"/>
        <w:widowControl w:val="0"/>
        <w:spacing w:before="120"/>
        <w:rPr>
          <w:sz w:val="20"/>
          <w:szCs w:val="20"/>
        </w:rPr>
      </w:pPr>
      <w:r>
        <w:rPr>
          <w:rFonts w:cs="Arial"/>
          <w:sz w:val="20"/>
          <w:szCs w:val="20"/>
        </w:rPr>
        <w:t xml:space="preserve">All BOE conversions in this MD&amp;A are derived by converting natural gas to oil in the ratio of six mcf of gas to one </w:t>
      </w:r>
      <w:proofErr w:type="spellStart"/>
      <w:r>
        <w:rPr>
          <w:rFonts w:cs="Arial"/>
          <w:sz w:val="20"/>
          <w:szCs w:val="20"/>
        </w:rPr>
        <w:t>bbl</w:t>
      </w:r>
      <w:proofErr w:type="spellEnd"/>
      <w:r>
        <w:rPr>
          <w:rFonts w:cs="Arial"/>
          <w:sz w:val="20"/>
          <w:szCs w:val="20"/>
        </w:rPr>
        <w:t xml:space="preserve"> of oil.  BOE may be misleading, particularly if used in isolation.  A BOE conversion ratio of six mcf of gas to one</w:t>
      </w:r>
      <w:r>
        <w:rPr>
          <w:sz w:val="20"/>
          <w:szCs w:val="20"/>
        </w:rPr>
        <w:t xml:space="preserve"> </w:t>
      </w:r>
      <w:proofErr w:type="spellStart"/>
      <w:r>
        <w:rPr>
          <w:sz w:val="20"/>
          <w:szCs w:val="20"/>
        </w:rPr>
        <w:t>bbl</w:t>
      </w:r>
      <w:proofErr w:type="spellEnd"/>
      <w:r>
        <w:rPr>
          <w:sz w:val="20"/>
          <w:szCs w:val="20"/>
        </w:rPr>
        <w:t xml:space="preserve"> of oil (6 mcf: 1 </w:t>
      </w:r>
      <w:proofErr w:type="spellStart"/>
      <w:r>
        <w:rPr>
          <w:sz w:val="20"/>
          <w:szCs w:val="20"/>
        </w:rPr>
        <w:t>bbl</w:t>
      </w:r>
      <w:proofErr w:type="spellEnd"/>
      <w:r>
        <w:rPr>
          <w:sz w:val="20"/>
          <w:szCs w:val="20"/>
        </w:rPr>
        <w:t>) is based on an energy equivalency conversion method primarily applicable at the burner tip and does not represent a value equivalency at the wellhead.  Given that the value ratio based on the price of crude oil as compared to natural gas in Argentina from time to time may be different from the energy equivalency conversion ratio of 6:1, utilizing a conversion on a 6:1 basis may be misleading as an indication of value.</w:t>
      </w:r>
    </w:p>
    <w:p w14:paraId="27AC58CC" w14:textId="77777777" w:rsidR="006C378E" w:rsidRDefault="006C378E" w:rsidP="006C378E">
      <w:pPr>
        <w:widowControl w:val="0"/>
        <w:spacing w:before="240" w:after="120"/>
        <w:jc w:val="both"/>
        <w:rPr>
          <w:rFonts w:cs="Arial"/>
          <w:b/>
          <w:bCs/>
          <w:caps/>
          <w:color w:val="000000"/>
          <w:sz w:val="24"/>
          <w:szCs w:val="24"/>
        </w:rPr>
      </w:pPr>
      <w:r>
        <w:rPr>
          <w:rFonts w:cs="Arial"/>
          <w:b/>
          <w:bCs/>
          <w:caps/>
          <w:color w:val="000000"/>
          <w:sz w:val="24"/>
          <w:szCs w:val="24"/>
        </w:rPr>
        <w:t>ADVISORIES</w:t>
      </w:r>
    </w:p>
    <w:p w14:paraId="7CD61FD1" w14:textId="77777777" w:rsidR="006C378E" w:rsidRDefault="006C378E" w:rsidP="006C378E">
      <w:pPr>
        <w:widowControl w:val="0"/>
        <w:pBdr>
          <w:top w:val="nil"/>
          <w:left w:val="nil"/>
          <w:bottom w:val="nil"/>
          <w:right w:val="nil"/>
          <w:between w:val="nil"/>
        </w:pBdr>
        <w:spacing w:before="120"/>
        <w:jc w:val="both"/>
        <w:rPr>
          <w:b/>
          <w:color w:val="000000"/>
        </w:rPr>
      </w:pPr>
      <w:r>
        <w:rPr>
          <w:b/>
          <w:color w:val="000000"/>
        </w:rPr>
        <w:t>Forward-Looking Information</w:t>
      </w:r>
    </w:p>
    <w:p w14:paraId="3D8F96A1" w14:textId="77777777" w:rsidR="006C378E" w:rsidRDefault="006C378E" w:rsidP="006C378E">
      <w:pPr>
        <w:widowControl w:val="0"/>
        <w:pBdr>
          <w:top w:val="nil"/>
          <w:left w:val="nil"/>
          <w:bottom w:val="nil"/>
          <w:right w:val="nil"/>
          <w:between w:val="nil"/>
        </w:pBdr>
        <w:spacing w:before="120"/>
        <w:jc w:val="both"/>
        <w:rPr>
          <w:color w:val="000000"/>
        </w:rPr>
      </w:pPr>
      <w:r>
        <w:rPr>
          <w:color w:val="000000"/>
        </w:rPr>
        <w:t xml:space="preserve">This MD&amp;A contains forward-looking information. This information relates to future events and the Company’s future performance.  All information and statements contained herein that are not clearly historical in nature constitute forward-looking information, and the words “may”, “will”, “should”, “could”, </w:t>
      </w:r>
      <w:r>
        <w:rPr>
          <w:color w:val="000000"/>
        </w:rPr>
        <w:lastRenderedPageBreak/>
        <w:t>“expect”, “plan”, “intend”, “anticipate”, “believe”, “estimate”, “propose”, “predict”, “potential”, “continue”, “aim”, “budget”, “project”, “outlook” or the negative of these terms or other comparable terminology are generally intended to identify forward-looking information. Such information represents the Company’s internal projections, estimates, expectations, beliefs, plans, objectives, assumptions, intentions or statements about future events or performance. This information involves known or unknown risks, uncertainties and other factors that may cause actual results or events to differ materially from those anticipated in such forward-looking information. In addition, this MD&amp;A may contain forward-looking information attributed to third party industry sources. Crown Point believes that the expectations reflected in this forward-looking information are reasonable; however, undue reliance should not be placed on this forward-looking information, as there can be no assurance that the plans, intentions or expectations upon which they are based will occur.</w:t>
      </w:r>
    </w:p>
    <w:p w14:paraId="48926226" w14:textId="3E37B058" w:rsidR="006C378E" w:rsidRDefault="006C378E" w:rsidP="006C378E">
      <w:pPr>
        <w:pStyle w:val="BodyText2"/>
        <w:spacing w:before="120"/>
        <w:rPr>
          <w:color w:val="000000"/>
        </w:rPr>
      </w:pPr>
      <w:r>
        <w:rPr>
          <w:color w:val="000000"/>
        </w:rPr>
        <w:t xml:space="preserve">This MD&amp;A contains forward-looking information concerning, among other things, the following: </w:t>
      </w:r>
      <w:r w:rsidRPr="00CA1AEF">
        <w:rPr>
          <w:color w:val="000000"/>
        </w:rPr>
        <w:t xml:space="preserve">under </w:t>
      </w:r>
      <w:r>
        <w:rPr>
          <w:color w:val="000000"/>
        </w:rPr>
        <w:t>“</w:t>
      </w:r>
      <w:r w:rsidRPr="00CA1AEF">
        <w:rPr>
          <w:color w:val="000000"/>
        </w:rPr>
        <w:t>Corporate Overview and Strategy</w:t>
      </w:r>
      <w:r>
        <w:rPr>
          <w:color w:val="000000"/>
        </w:rPr>
        <w:t>”</w:t>
      </w:r>
      <w:r w:rsidRPr="00CA1AEF">
        <w:rPr>
          <w:color w:val="000000"/>
        </w:rPr>
        <w:t>, all elements of the Company</w:t>
      </w:r>
      <w:r>
        <w:rPr>
          <w:color w:val="000000"/>
        </w:rPr>
        <w:t>’</w:t>
      </w:r>
      <w:r w:rsidRPr="00CA1AEF">
        <w:rPr>
          <w:color w:val="000000"/>
        </w:rPr>
        <w:t>s business strategy and focus, future operations to be conducted by the Company in furtherance of such business strategy and focus, the Company</w:t>
      </w:r>
      <w:r>
        <w:rPr>
          <w:color w:val="000000"/>
        </w:rPr>
        <w:t>’</w:t>
      </w:r>
      <w:r w:rsidRPr="00CA1AEF">
        <w:rPr>
          <w:color w:val="000000"/>
        </w:rPr>
        <w:t xml:space="preserve">s expectations of the benefits to be derived from such business strategy and focus and related future operations; under </w:t>
      </w:r>
      <w:r>
        <w:rPr>
          <w:color w:val="000000"/>
        </w:rPr>
        <w:t>“</w:t>
      </w:r>
      <w:r w:rsidRPr="00CA1AEF">
        <w:rPr>
          <w:color w:val="000000"/>
        </w:rPr>
        <w:t>Operational Update</w:t>
      </w:r>
      <w:r>
        <w:rPr>
          <w:color w:val="000000"/>
        </w:rPr>
        <w:t>”</w:t>
      </w:r>
      <w:r w:rsidRPr="00CA1AEF">
        <w:rPr>
          <w:color w:val="000000"/>
        </w:rPr>
        <w:t>, the Company</w:t>
      </w:r>
      <w:r>
        <w:rPr>
          <w:color w:val="000000"/>
        </w:rPr>
        <w:t>’</w:t>
      </w:r>
      <w:r w:rsidRPr="00CA1AEF">
        <w:rPr>
          <w:color w:val="000000"/>
        </w:rPr>
        <w:t>s plans for future operations and the anticipated benefits to be derived therefrom and timing thereof</w:t>
      </w:r>
      <w:r w:rsidR="00645396">
        <w:rPr>
          <w:color w:val="000000"/>
        </w:rPr>
        <w:t>, including the term of the CLL Permit</w:t>
      </w:r>
      <w:r w:rsidRPr="00CA1AEF">
        <w:rPr>
          <w:color w:val="000000"/>
        </w:rPr>
        <w:t xml:space="preserve">; under </w:t>
      </w:r>
      <w:r>
        <w:rPr>
          <w:color w:val="000000"/>
        </w:rPr>
        <w:t>“</w:t>
      </w:r>
      <w:r w:rsidRPr="00CA1AEF">
        <w:rPr>
          <w:color w:val="000000"/>
        </w:rPr>
        <w:t>Outlook</w:t>
      </w:r>
      <w:r>
        <w:rPr>
          <w:color w:val="000000"/>
        </w:rPr>
        <w:t>”</w:t>
      </w:r>
      <w:r w:rsidRPr="00CA1AEF">
        <w:rPr>
          <w:color w:val="000000"/>
        </w:rPr>
        <w:t>, our estimated capital expenditure budget for fiscal 202</w:t>
      </w:r>
      <w:r>
        <w:rPr>
          <w:color w:val="000000"/>
        </w:rPr>
        <w:t>6</w:t>
      </w:r>
      <w:r w:rsidRPr="00CA1AEF">
        <w:rPr>
          <w:color w:val="000000"/>
        </w:rPr>
        <w:t xml:space="preserve">, the </w:t>
      </w:r>
      <w:r w:rsidR="00645396">
        <w:rPr>
          <w:color w:val="000000"/>
        </w:rPr>
        <w:t xml:space="preserve">allocation of such </w:t>
      </w:r>
      <w:r w:rsidRPr="00CA1AEF">
        <w:rPr>
          <w:color w:val="000000"/>
        </w:rPr>
        <w:t xml:space="preserve">capital expenditures that we intend to make </w:t>
      </w:r>
      <w:r>
        <w:rPr>
          <w:color w:val="000000"/>
        </w:rPr>
        <w:t>on</w:t>
      </w:r>
      <w:r w:rsidRPr="00CA1AEF">
        <w:rPr>
          <w:color w:val="000000"/>
        </w:rPr>
        <w:t xml:space="preserve"> </w:t>
      </w:r>
      <w:r>
        <w:rPr>
          <w:color w:val="000000"/>
        </w:rPr>
        <w:t>our concessions</w:t>
      </w:r>
      <w:r w:rsidRPr="00CA1AEF">
        <w:rPr>
          <w:color w:val="000000"/>
        </w:rPr>
        <w:t xml:space="preserve"> during </w:t>
      </w:r>
      <w:r>
        <w:rPr>
          <w:color w:val="000000"/>
        </w:rPr>
        <w:t>2026</w:t>
      </w:r>
      <w:r w:rsidRPr="00CA1AEF">
        <w:rPr>
          <w:color w:val="000000"/>
        </w:rPr>
        <w:t>, our expectations for how we will fund our capital expenditures and other expenses during such period</w:t>
      </w:r>
      <w:r w:rsidR="00645396">
        <w:rPr>
          <w:color w:val="000000"/>
        </w:rPr>
        <w:t>, and the rescheduling of certain operations in 2027</w:t>
      </w:r>
      <w:r w:rsidRPr="00CA1AEF">
        <w:rPr>
          <w:color w:val="000000"/>
        </w:rPr>
        <w:t xml:space="preserve">; under </w:t>
      </w:r>
      <w:r>
        <w:rPr>
          <w:color w:val="000000"/>
        </w:rPr>
        <w:t>“</w:t>
      </w:r>
      <w:r w:rsidRPr="00CA1AEF">
        <w:rPr>
          <w:color w:val="000000"/>
        </w:rPr>
        <w:t>Outlook – Argentina – Economic Summary</w:t>
      </w:r>
      <w:r>
        <w:rPr>
          <w:color w:val="000000"/>
        </w:rPr>
        <w:t>”</w:t>
      </w:r>
      <w:r w:rsidRPr="00CA1AEF">
        <w:rPr>
          <w:color w:val="000000"/>
        </w:rPr>
        <w:t>, expectations relating to Argentina</w:t>
      </w:r>
      <w:r>
        <w:rPr>
          <w:color w:val="000000"/>
        </w:rPr>
        <w:t>’</w:t>
      </w:r>
      <w:r w:rsidRPr="00CA1AEF">
        <w:rPr>
          <w:color w:val="000000"/>
        </w:rPr>
        <w:t xml:space="preserve">s </w:t>
      </w:r>
      <w:r>
        <w:rPr>
          <w:color w:val="000000"/>
        </w:rPr>
        <w:t xml:space="preserve">economic outlook, and projections for the </w:t>
      </w:r>
      <w:r w:rsidRPr="00481377">
        <w:rPr>
          <w:color w:val="000000"/>
        </w:rPr>
        <w:t>economy</w:t>
      </w:r>
      <w:r>
        <w:rPr>
          <w:b/>
          <w:bCs/>
          <w:color w:val="000000"/>
        </w:rPr>
        <w:t xml:space="preserve"> </w:t>
      </w:r>
      <w:r>
        <w:rPr>
          <w:color w:val="000000"/>
        </w:rPr>
        <w:t>and inflation rates in Argentina</w:t>
      </w:r>
      <w:r w:rsidRPr="00E74644">
        <w:t xml:space="preserve">; </w:t>
      </w:r>
      <w:r w:rsidRPr="00CA1AEF">
        <w:rPr>
          <w:color w:val="000000"/>
        </w:rPr>
        <w:t xml:space="preserve">under </w:t>
      </w:r>
      <w:r>
        <w:rPr>
          <w:color w:val="000000"/>
        </w:rPr>
        <w:t>“</w:t>
      </w:r>
      <w:r w:rsidRPr="00CA1AEF">
        <w:rPr>
          <w:color w:val="000000"/>
        </w:rPr>
        <w:t>Liquidity and Capital Resources</w:t>
      </w:r>
      <w:r>
        <w:rPr>
          <w:color w:val="000000"/>
        </w:rPr>
        <w:t>”</w:t>
      </w:r>
      <w:r w:rsidRPr="00CA1AEF">
        <w:rPr>
          <w:color w:val="000000"/>
        </w:rPr>
        <w:t>, our strategies for managing our liquidity risks, our capital expenditure budget for fiscal 202</w:t>
      </w:r>
      <w:r>
        <w:rPr>
          <w:color w:val="000000"/>
        </w:rPr>
        <w:t>6</w:t>
      </w:r>
      <w:r w:rsidRPr="00CA1AEF">
        <w:rPr>
          <w:color w:val="000000"/>
        </w:rPr>
        <w:t xml:space="preserve">, and our expectations regarding our ability to obtain additional financing and generate funds from operating activities to meet current and future </w:t>
      </w:r>
      <w:r w:rsidRPr="00EF7F2C">
        <w:rPr>
          <w:color w:val="000000"/>
        </w:rPr>
        <w:t>obligations; under “Commitments”, our expectation to offset the outstanding commitment in the Rio Cullen concession with investments made in other</w:t>
      </w:r>
      <w:r w:rsidRPr="00CA1AEF">
        <w:rPr>
          <w:color w:val="000000"/>
        </w:rPr>
        <w:t xml:space="preserve"> parts of TDF</w:t>
      </w:r>
      <w:r w:rsidR="00645396">
        <w:rPr>
          <w:color w:val="000000"/>
        </w:rPr>
        <w:t xml:space="preserve"> and the expected timing to fulfill work programs</w:t>
      </w:r>
      <w:r w:rsidRPr="00CA1AEF">
        <w:rPr>
          <w:color w:val="000000"/>
        </w:rPr>
        <w:t xml:space="preserve">; and under </w:t>
      </w:r>
      <w:r>
        <w:rPr>
          <w:color w:val="000000"/>
        </w:rPr>
        <w:t>“</w:t>
      </w:r>
      <w:r w:rsidRPr="00CA1AEF">
        <w:rPr>
          <w:color w:val="000000"/>
        </w:rPr>
        <w:t>Business Risks and Uncertainties</w:t>
      </w:r>
      <w:r>
        <w:rPr>
          <w:color w:val="000000"/>
        </w:rPr>
        <w:t>”</w:t>
      </w:r>
      <w:r w:rsidRPr="00CA1AEF">
        <w:rPr>
          <w:color w:val="000000"/>
        </w:rPr>
        <w:t>, the business risks and uncertainties that we face and the potential impact such risks may have on the Company.</w:t>
      </w:r>
      <w:r>
        <w:rPr>
          <w:color w:val="000000"/>
        </w:rPr>
        <w:t xml:space="preserve"> Actual results achieved during the forecast period will vary from the information provided in this MD&amp;A </w:t>
      </w:r>
      <w:proofErr w:type="gramStart"/>
      <w:r>
        <w:rPr>
          <w:color w:val="000000"/>
        </w:rPr>
        <w:t>as a result of</w:t>
      </w:r>
      <w:proofErr w:type="gramEnd"/>
      <w:r>
        <w:rPr>
          <w:color w:val="000000"/>
        </w:rPr>
        <w:t xml:space="preserve"> numerous known and unknown risks and uncertainties and other factors.</w:t>
      </w:r>
    </w:p>
    <w:p w14:paraId="32CC2678" w14:textId="1804E759" w:rsidR="006C378E" w:rsidRDefault="006C378E" w:rsidP="006C378E">
      <w:pPr>
        <w:widowControl w:val="0"/>
        <w:pBdr>
          <w:top w:val="nil"/>
          <w:left w:val="nil"/>
          <w:bottom w:val="nil"/>
          <w:right w:val="nil"/>
          <w:between w:val="nil"/>
        </w:pBdr>
        <w:spacing w:before="120"/>
        <w:jc w:val="both"/>
        <w:rPr>
          <w:color w:val="000000"/>
        </w:rPr>
      </w:pPr>
      <w:r>
        <w:rPr>
          <w:color w:val="000000"/>
        </w:rPr>
        <w:t xml:space="preserve">A number of risks and other factors could cause actual results to differ materially from those expressed in the forward-looking information contained in this MD&amp;A including, but not limited to, the following: the risks and other factors described under “Business Risks and Uncertainties” in this MD&amp;A and under “Risk Factors” in the Company’s most recently filed Annual Information Form, which is available for viewing on SEDAR+ at </w:t>
      </w:r>
      <w:hyperlink r:id="rId58" w:history="1">
        <w:r w:rsidRPr="00520118">
          <w:rPr>
            <w:rStyle w:val="Hyperlink"/>
          </w:rPr>
          <w:t>www.sedarplus.ca</w:t>
        </w:r>
      </w:hyperlink>
      <w:r>
        <w:rPr>
          <w:color w:val="000000"/>
        </w:rPr>
        <w:t>.</w:t>
      </w:r>
    </w:p>
    <w:p w14:paraId="5CEC9B30" w14:textId="25AEAB9D" w:rsidR="006C378E" w:rsidRDefault="006C378E" w:rsidP="006C378E">
      <w:pPr>
        <w:spacing w:before="120"/>
        <w:jc w:val="both"/>
      </w:pPr>
      <w:r>
        <w:t xml:space="preserve">With respect to forward-looking information contained in this MD&amp;A, the Company has made assumptions regarding, among other things: trucking costs; that pandemics or global or regional health related events will not have a material impact on the Company and our operations going forward; the ability and willingness of OPEC+ nations and other major producers of crude oil to balance crude oil production levels and thereby sustain higher global crude oil prices; that our joint venture partners and the operators of our concessions that we do not operate will honour their contractual commitments in a timely fashion and will not become insolvent or bankrupt; the impact of inflation rates in Argentina and the devaluation of the ARS against the USD on the Company; the impact of increasing competition; the general stability of the economic and political environment in which the Company operates, including operating under a consistent regulatory and legal framework in Argentina; future oil, natural gas and NGL prices (including the effects of governmental incentive programs and government price controls thereon); the timely receipt of any required regulatory approvals; the ability of the Company to obtain qualified staff, equipment and services in a timely and cost efficient manner; drilling results; the costs of obtaining equipment and personnel to complete the Company’s capital expenditure program; the ability to operate the projects in which the Company has an interest in a safe, efficient and effective manner; that the Company will not pay dividends for the foreseeable future; the ability of the Company to obtain financing on acceptable terms when and if needed; the ability of the Company to service its debt repayments when required; field production rates and decline rates; the </w:t>
      </w:r>
      <w:r>
        <w:lastRenderedPageBreak/>
        <w:t xml:space="preserve">ability to replace and expand oil and natural gas reserves through acquisition, development and exploration activities; the timing and costs of pipeline, storage and facility construction and expansion and the ability of the Company to secure adequate product transportation; currency, exchange, inflation and interest rates; the regulatory framework regarding royalties, taxes and environmental matters in Argentina; and the ability of the Company to successfully market its oil and natural gas products.  Management of Crown Point has included the above summary of assumptions and risks related to forward-looking information included in this MD&amp;A </w:t>
      </w:r>
      <w:proofErr w:type="gramStart"/>
      <w:r>
        <w:t>in order to</w:t>
      </w:r>
      <w:proofErr w:type="gramEnd"/>
      <w:r>
        <w:t xml:space="preserve"> provide investors with a more complete perspective on the Company’s future operations.  Readers are cautioned that this information may not be appropriate for other purposes.</w:t>
      </w:r>
    </w:p>
    <w:p w14:paraId="7C0A7938" w14:textId="77777777" w:rsidR="006C378E" w:rsidRDefault="006C378E" w:rsidP="006C378E">
      <w:pPr>
        <w:spacing w:before="120"/>
        <w:jc w:val="both"/>
      </w:pPr>
      <w:r>
        <w:t>Readers are cautioned that the foregoing lists of factors are not exhaustive.  The forward-looking information contained in this MD&amp;A are expressly qualified by this cautionary statement.</w:t>
      </w:r>
    </w:p>
    <w:p w14:paraId="38D9520E" w14:textId="77777777" w:rsidR="006C378E" w:rsidRDefault="006C378E" w:rsidP="006C378E">
      <w:pPr>
        <w:widowControl w:val="0"/>
        <w:pBdr>
          <w:top w:val="nil"/>
          <w:left w:val="nil"/>
          <w:bottom w:val="nil"/>
          <w:right w:val="nil"/>
          <w:between w:val="nil"/>
        </w:pBdr>
        <w:spacing w:before="120"/>
        <w:jc w:val="both"/>
        <w:rPr>
          <w:b/>
          <w:color w:val="000000"/>
          <w:sz w:val="22"/>
          <w:szCs w:val="22"/>
        </w:rPr>
      </w:pPr>
      <w:r>
        <w:rPr>
          <w:b/>
          <w:color w:val="000000"/>
        </w:rPr>
        <w:t>The forward-looking information contained herein is made as of the date of this MD&amp;A and the Company disclaims any intent or obligation to update publicly any such forward-looking information, whether as a result of new information, future events or results or otherwise, other than as required by applicable Canadian securities laws.</w:t>
      </w:r>
    </w:p>
    <w:p w14:paraId="042DAE8B" w14:textId="5E5E4CD5" w:rsidR="006C378E" w:rsidRDefault="006C378E" w:rsidP="006C378E">
      <w:pPr>
        <w:widowControl w:val="0"/>
        <w:spacing w:before="240" w:after="120"/>
        <w:jc w:val="both"/>
        <w:rPr>
          <w:b/>
          <w:smallCaps/>
          <w:color w:val="000000"/>
          <w:sz w:val="24"/>
          <w:szCs w:val="24"/>
        </w:rPr>
      </w:pPr>
      <w:r>
        <w:rPr>
          <w:b/>
          <w:smallCaps/>
          <w:color w:val="000000"/>
          <w:sz w:val="24"/>
          <w:szCs w:val="24"/>
        </w:rPr>
        <w:t xml:space="preserve">ADDITIONAL INFORMATION </w:t>
      </w:r>
    </w:p>
    <w:p w14:paraId="678DBA99" w14:textId="77777777" w:rsidR="006C378E" w:rsidRDefault="006C378E" w:rsidP="006C378E">
      <w:pPr>
        <w:widowControl w:val="0"/>
        <w:jc w:val="both"/>
      </w:pPr>
      <w:r>
        <w:rPr>
          <w:color w:val="000000"/>
        </w:rPr>
        <w:t>Additional information regarding the Company, including the Company’s most recently filed Annual Information Form, and its business and operations is available on the Company</w:t>
      </w:r>
      <w:r>
        <w:t>’</w:t>
      </w:r>
      <w:r>
        <w:rPr>
          <w:color w:val="000000"/>
        </w:rPr>
        <w:t xml:space="preserve">s profile at </w:t>
      </w:r>
      <w:r>
        <w:rPr>
          <w:color w:val="0000FF"/>
          <w:u w:val="single"/>
        </w:rPr>
        <w:t>www.sedarplus.ca</w:t>
      </w:r>
      <w:r>
        <w:rPr>
          <w:color w:val="000000"/>
        </w:rPr>
        <w:t xml:space="preserve">. Copies of the information can also be obtained by contacting the Company at Crown Point Energy Inc., </w:t>
      </w:r>
      <w:r>
        <w:t>PO Box 1526 Station M, Calgary, Alberta, T2P 3B9</w:t>
      </w:r>
      <w:r>
        <w:rPr>
          <w:color w:val="000000"/>
        </w:rPr>
        <w:t xml:space="preserve">, or by phone at (403) 232-1150, by email at </w:t>
      </w:r>
      <w:hyperlink r:id="rId59">
        <w:r>
          <w:rPr>
            <w:color w:val="0000FF"/>
            <w:u w:val="single"/>
          </w:rPr>
          <w:t>info@crownpointenergy.com</w:t>
        </w:r>
      </w:hyperlink>
      <w:r>
        <w:rPr>
          <w:color w:val="000000"/>
        </w:rPr>
        <w:t xml:space="preserve"> or on the Company</w:t>
      </w:r>
      <w:r>
        <w:t>’</w:t>
      </w:r>
      <w:r>
        <w:rPr>
          <w:color w:val="000000"/>
        </w:rPr>
        <w:t>s website at www.crownpointenergy.com.</w:t>
      </w:r>
    </w:p>
    <w:p w14:paraId="01CD334D" w14:textId="74EED27B" w:rsidR="00301E5D" w:rsidRDefault="00301E5D" w:rsidP="006C378E">
      <w:pPr>
        <w:widowControl w:val="0"/>
        <w:spacing w:before="240" w:after="120"/>
        <w:jc w:val="both"/>
      </w:pPr>
    </w:p>
    <w:sectPr w:rsidR="00301E5D" w:rsidSect="00AB45FF">
      <w:headerReference w:type="default" r:id="rId60"/>
      <w:footerReference w:type="default" r:id="rId61"/>
      <w:headerReference w:type="first" r:id="rId62"/>
      <w:footerReference w:type="first" r:id="rId63"/>
      <w:type w:val="continuous"/>
      <w:pgSz w:w="12240" w:h="15840" w:code="1"/>
      <w:pgMar w:top="1138" w:right="1467" w:bottom="1008" w:left="1418" w:header="677" w:footer="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17852" w14:textId="77777777" w:rsidR="007E0933" w:rsidRDefault="007E0933">
      <w:r>
        <w:separator/>
      </w:r>
    </w:p>
  </w:endnote>
  <w:endnote w:type="continuationSeparator" w:id="0">
    <w:p w14:paraId="73413776" w14:textId="77777777" w:rsidR="007E0933" w:rsidRDefault="007E0933">
      <w:r>
        <w:continuationSeparator/>
      </w:r>
    </w:p>
  </w:endnote>
  <w:endnote w:type="continuationNotice" w:id="1">
    <w:p w14:paraId="30126575" w14:textId="77777777" w:rsidR="007E0933" w:rsidRDefault="007E09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EngravrsRoman BT">
    <w:charset w:val="00"/>
    <w:family w:val="roman"/>
    <w:pitch w:val="variable"/>
    <w:sig w:usb0="00000003" w:usb1="00000000" w:usb2="00000000" w:usb3="00000000" w:csb0="00000001" w:csb1="00000000"/>
  </w:font>
  <w:font w:name="Times New Roman Bold">
    <w:panose1 w:val="00000000000000000000"/>
    <w:charset w:val="00"/>
    <w:family w:val="roman"/>
    <w:notTrueType/>
    <w:pitch w:val="default"/>
    <w:sig w:usb0="00000003" w:usb1="00000000" w:usb2="00000000" w:usb3="00000000" w:csb0="00000001" w:csb1="00000000"/>
  </w:font>
  <w:font w:name="Dutch">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AE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Zurich B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7F73F" w14:textId="5F1CDF76" w:rsidR="00C4583C" w:rsidRPr="006E34F6" w:rsidRDefault="00C4583C" w:rsidP="00B568A1">
    <w:pPr>
      <w:pStyle w:val="Footer"/>
      <w:tabs>
        <w:tab w:val="center" w:pos="351"/>
        <w:tab w:val="right" w:pos="702"/>
      </w:tabs>
      <w:rPr>
        <w:sz w:val="16"/>
        <w:szCs w:val="16"/>
      </w:rPr>
    </w:pPr>
  </w:p>
  <w:tbl>
    <w:tblPr>
      <w:tblW w:w="5000" w:type="pct"/>
      <w:tblBorders>
        <w:top w:val="single" w:sz="18" w:space="0" w:color="808080"/>
        <w:insideV w:val="single" w:sz="18" w:space="0" w:color="808080"/>
      </w:tblBorders>
      <w:tblLook w:val="00A0" w:firstRow="1" w:lastRow="0" w:firstColumn="1" w:lastColumn="0" w:noHBand="0" w:noVBand="0"/>
    </w:tblPr>
    <w:tblGrid>
      <w:gridCol w:w="970"/>
      <w:gridCol w:w="8385"/>
    </w:tblGrid>
    <w:tr w:rsidR="00C4583C" w14:paraId="3FA98A22" w14:textId="77777777">
      <w:tc>
        <w:tcPr>
          <w:tcW w:w="918" w:type="dxa"/>
          <w:tcBorders>
            <w:top w:val="single" w:sz="18" w:space="0" w:color="808080"/>
          </w:tcBorders>
          <w:vAlign w:val="center"/>
        </w:tcPr>
        <w:p w14:paraId="71F50593" w14:textId="77777777" w:rsidR="00C4583C" w:rsidRPr="00177FF7" w:rsidRDefault="00C4583C" w:rsidP="003F15EE">
          <w:pPr>
            <w:pStyle w:val="Footer"/>
            <w:tabs>
              <w:tab w:val="center" w:pos="351"/>
              <w:tab w:val="right" w:pos="702"/>
            </w:tabs>
            <w:spacing w:before="120" w:line="200" w:lineRule="exact"/>
            <w:rPr>
              <w:b/>
              <w:color w:val="4F81BD"/>
              <w:sz w:val="16"/>
              <w:szCs w:val="16"/>
            </w:rPr>
          </w:pPr>
          <w:r>
            <w:tab/>
          </w:r>
          <w:r>
            <w:tab/>
          </w:r>
          <w:r>
            <w:fldChar w:fldCharType="begin"/>
          </w:r>
          <w:r>
            <w:instrText xml:space="preserve"> PAGE   \* MERGEFORMAT </w:instrText>
          </w:r>
          <w:r>
            <w:fldChar w:fldCharType="separate"/>
          </w:r>
          <w:r>
            <w:rPr>
              <w:noProof/>
            </w:rPr>
            <w:t>2</w:t>
          </w:r>
          <w:r>
            <w:rPr>
              <w:noProof/>
            </w:rPr>
            <w:fldChar w:fldCharType="end"/>
          </w:r>
        </w:p>
      </w:tc>
      <w:tc>
        <w:tcPr>
          <w:tcW w:w="7938" w:type="dxa"/>
          <w:tcBorders>
            <w:top w:val="single" w:sz="18" w:space="0" w:color="808080"/>
          </w:tcBorders>
        </w:tcPr>
        <w:p w14:paraId="5FE3C280" w14:textId="6A96616B" w:rsidR="00C4583C" w:rsidRPr="004811AE" w:rsidRDefault="00C4583C" w:rsidP="00490548">
          <w:pPr>
            <w:pStyle w:val="Footer"/>
            <w:spacing w:before="240" w:line="360" w:lineRule="auto"/>
            <w:rPr>
              <w:rFonts w:ascii="Calibri" w:hAnsi="Calibri"/>
              <w:color w:val="000000"/>
            </w:rPr>
          </w:pPr>
          <w:r>
            <w:rPr>
              <w:rFonts w:ascii="Calibri" w:hAnsi="Calibri"/>
              <w:color w:val="000000"/>
            </w:rPr>
            <w:t xml:space="preserve">   Crown Point Energy Inc. </w:t>
          </w:r>
          <w:r w:rsidR="00E91EF5">
            <w:rPr>
              <w:rFonts w:ascii="Calibri" w:hAnsi="Calibri"/>
              <w:color w:val="000000"/>
            </w:rPr>
            <w:t>June 30</w:t>
          </w:r>
          <w:r>
            <w:rPr>
              <w:rFonts w:ascii="Calibri" w:hAnsi="Calibri"/>
              <w:color w:val="000000"/>
            </w:rPr>
            <w:t xml:space="preserve">, </w:t>
          </w:r>
          <w:proofErr w:type="gramStart"/>
          <w:r>
            <w:rPr>
              <w:rFonts w:ascii="Calibri" w:hAnsi="Calibri"/>
              <w:color w:val="000000"/>
            </w:rPr>
            <w:t>202</w:t>
          </w:r>
          <w:r w:rsidR="00E877FF">
            <w:rPr>
              <w:rFonts w:ascii="Calibri" w:hAnsi="Calibri"/>
              <w:color w:val="000000"/>
            </w:rPr>
            <w:t>6</w:t>
          </w:r>
          <w:proofErr w:type="gramEnd"/>
          <w:r>
            <w:rPr>
              <w:rFonts w:ascii="Calibri" w:hAnsi="Calibri"/>
              <w:color w:val="000000"/>
            </w:rPr>
            <w:t xml:space="preserve"> MANAGEMENT’S DISCUSSION AND ANALYSIS</w:t>
          </w:r>
        </w:p>
      </w:tc>
    </w:tr>
  </w:tbl>
  <w:p w14:paraId="662507D3" w14:textId="77777777" w:rsidR="00C4583C" w:rsidRDefault="00C4583C" w:rsidP="00483236">
    <w:pPr>
      <w:pStyle w:val="Footer"/>
      <w:tabs>
        <w:tab w:val="center" w:pos="351"/>
        <w:tab w:val="right" w:pos="702"/>
      </w:tabs>
      <w:spacing w:before="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insideV w:val="single" w:sz="18" w:space="0" w:color="808080"/>
      </w:tblBorders>
      <w:tblLook w:val="00A0" w:firstRow="1" w:lastRow="0" w:firstColumn="1" w:lastColumn="0" w:noHBand="0" w:noVBand="0"/>
    </w:tblPr>
    <w:tblGrid>
      <w:gridCol w:w="970"/>
      <w:gridCol w:w="8385"/>
    </w:tblGrid>
    <w:tr w:rsidR="00C4583C" w14:paraId="046ECCBF" w14:textId="77777777" w:rsidTr="00631AB8">
      <w:tc>
        <w:tcPr>
          <w:tcW w:w="918" w:type="dxa"/>
          <w:tcBorders>
            <w:top w:val="single" w:sz="18" w:space="0" w:color="808080"/>
          </w:tcBorders>
          <w:vAlign w:val="center"/>
        </w:tcPr>
        <w:p w14:paraId="73B96146" w14:textId="2F06FE81" w:rsidR="00C4583C" w:rsidRPr="00177FF7" w:rsidRDefault="00C4583C" w:rsidP="008A67BA">
          <w:pPr>
            <w:pStyle w:val="Footer"/>
            <w:tabs>
              <w:tab w:val="center" w:pos="351"/>
              <w:tab w:val="left" w:pos="587"/>
              <w:tab w:val="right" w:pos="702"/>
            </w:tabs>
            <w:spacing w:before="120" w:line="200" w:lineRule="exact"/>
            <w:rPr>
              <w:b/>
              <w:color w:val="4F81BD"/>
              <w:sz w:val="16"/>
              <w:szCs w:val="16"/>
            </w:rPr>
          </w:pPr>
          <w:r>
            <w:tab/>
          </w:r>
          <w:r>
            <w:tab/>
          </w:r>
          <w:r>
            <w:tab/>
          </w:r>
          <w:r>
            <w:fldChar w:fldCharType="begin"/>
          </w:r>
          <w:r>
            <w:instrText xml:space="preserve"> PAGE   \* MERGEFORMAT </w:instrText>
          </w:r>
          <w:r>
            <w:fldChar w:fldCharType="separate"/>
          </w:r>
          <w:r>
            <w:rPr>
              <w:noProof/>
            </w:rPr>
            <w:t>2</w:t>
          </w:r>
          <w:r>
            <w:rPr>
              <w:noProof/>
            </w:rPr>
            <w:fldChar w:fldCharType="end"/>
          </w:r>
        </w:p>
      </w:tc>
      <w:tc>
        <w:tcPr>
          <w:tcW w:w="7938" w:type="dxa"/>
          <w:tcBorders>
            <w:top w:val="single" w:sz="18" w:space="0" w:color="808080"/>
          </w:tcBorders>
        </w:tcPr>
        <w:p w14:paraId="29D5A6DA" w14:textId="4F4983B1" w:rsidR="00C4583C" w:rsidRPr="004811AE" w:rsidRDefault="00C4583C" w:rsidP="008A67BA">
          <w:pPr>
            <w:pStyle w:val="Footer"/>
            <w:spacing w:before="240" w:line="360" w:lineRule="auto"/>
            <w:rPr>
              <w:rFonts w:ascii="Calibri" w:hAnsi="Calibri"/>
              <w:color w:val="000000"/>
            </w:rPr>
          </w:pPr>
          <w:r>
            <w:rPr>
              <w:rFonts w:ascii="Calibri" w:hAnsi="Calibri"/>
              <w:color w:val="000000"/>
            </w:rPr>
            <w:t xml:space="preserve">   Crown Point Energy Inc. </w:t>
          </w:r>
          <w:r w:rsidR="00821146">
            <w:rPr>
              <w:rFonts w:ascii="Calibri" w:hAnsi="Calibri"/>
              <w:color w:val="000000"/>
            </w:rPr>
            <w:t>June 30</w:t>
          </w:r>
          <w:r>
            <w:rPr>
              <w:rFonts w:ascii="Calibri" w:hAnsi="Calibri"/>
              <w:color w:val="000000"/>
            </w:rPr>
            <w:t xml:space="preserve">, </w:t>
          </w:r>
          <w:proofErr w:type="gramStart"/>
          <w:r w:rsidR="009B3161">
            <w:rPr>
              <w:rFonts w:ascii="Calibri" w:hAnsi="Calibri"/>
              <w:color w:val="000000"/>
            </w:rPr>
            <w:t>2026</w:t>
          </w:r>
          <w:proofErr w:type="gramEnd"/>
          <w:r w:rsidR="009B3161">
            <w:rPr>
              <w:rFonts w:ascii="Calibri" w:hAnsi="Calibri"/>
              <w:color w:val="000000"/>
            </w:rPr>
            <w:t xml:space="preserve"> </w:t>
          </w:r>
          <w:r>
            <w:rPr>
              <w:rFonts w:ascii="Calibri" w:hAnsi="Calibri"/>
              <w:color w:val="000000"/>
            </w:rPr>
            <w:t>MANAGEMENT’S DISCUSSION AND ANALYSIS</w:t>
          </w:r>
        </w:p>
      </w:tc>
    </w:tr>
  </w:tbl>
  <w:p w14:paraId="414D5F4D" w14:textId="77777777" w:rsidR="00C4583C" w:rsidRDefault="00C458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D9AEC" w14:textId="77777777" w:rsidR="007E0933" w:rsidRDefault="007E0933">
      <w:r>
        <w:separator/>
      </w:r>
    </w:p>
  </w:footnote>
  <w:footnote w:type="continuationSeparator" w:id="0">
    <w:p w14:paraId="2628B18C" w14:textId="77777777" w:rsidR="007E0933" w:rsidRDefault="007E0933">
      <w:r>
        <w:continuationSeparator/>
      </w:r>
    </w:p>
  </w:footnote>
  <w:footnote w:type="continuationNotice" w:id="1">
    <w:p w14:paraId="0A0E32C6" w14:textId="77777777" w:rsidR="007E0933" w:rsidRDefault="007E09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C6F2" w14:textId="6C09D66D" w:rsidR="00C4583C" w:rsidRDefault="00C4583C" w:rsidP="001354A6">
    <w:pPr>
      <w:pStyle w:val="Header"/>
      <w:tabs>
        <w:tab w:val="clear" w:pos="4320"/>
        <w:tab w:val="clear" w:pos="8640"/>
        <w:tab w:val="left" w:pos="3150"/>
      </w:tabs>
    </w:pPr>
    <w:r>
      <w:rPr>
        <w:noProof/>
      </w:rPr>
      <mc:AlternateContent>
        <mc:Choice Requires="wps">
          <w:drawing>
            <wp:anchor distT="0" distB="0" distL="114300" distR="114300" simplePos="0" relativeHeight="251659264" behindDoc="0" locked="0" layoutInCell="1" allowOverlap="1" wp14:anchorId="4F8F8404" wp14:editId="26FDDEE0">
              <wp:simplePos x="0" y="0"/>
              <wp:positionH relativeFrom="column">
                <wp:posOffset>-47626</wp:posOffset>
              </wp:positionH>
              <wp:positionV relativeFrom="paragraph">
                <wp:posOffset>779780</wp:posOffset>
              </wp:positionV>
              <wp:extent cx="60864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086475" cy="0"/>
                      </a:xfrm>
                      <a:prstGeom prst="line">
                        <a:avLst/>
                      </a:prstGeom>
                      <a:ln w="190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331D5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61.4pt" to="475.5pt,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" strokecolor="#7f7f7f [1612]" strokeweight="1.5pt"/>
          </w:pict>
        </mc:Fallback>
      </mc:AlternateContent>
    </w:r>
    <w:r>
      <w:rPr>
        <w:noProof/>
      </w:rPr>
      <w:drawing>
        <wp:inline distT="0" distB="0" distL="0" distR="0" wp14:anchorId="32101B61" wp14:editId="2D30E20C">
          <wp:extent cx="1257935" cy="799465"/>
          <wp:effectExtent l="0" t="0" r="0" b="635"/>
          <wp:docPr id="221306363" name="image5.jpg" descr="A picture containing text, font, logo, graphics&#10;&#10;Description automatically generated"/>
          <wp:cNvGraphicFramePr/>
          <a:graphic xmlns:a="http://schemas.openxmlformats.org/drawingml/2006/main">
            <a:graphicData uri="http://schemas.openxmlformats.org/drawingml/2006/picture">
              <pic:pic xmlns:pic="http://schemas.openxmlformats.org/drawingml/2006/picture">
                <pic:nvPicPr>
                  <pic:cNvPr id="10" name="image5.jpg" descr="A picture containing text, font, logo, graphics&#10;&#10;Description automatically generated"/>
                  <pic:cNvPicPr/>
                </pic:nvPicPr>
                <pic:blipFill>
                  <a:blip r:embed="rId1"/>
                  <a:srcRect/>
                  <a:stretch>
                    <a:fillRect/>
                  </a:stretch>
                </pic:blipFill>
                <pic:spPr>
                  <a:xfrm>
                    <a:off x="0" y="0"/>
                    <a:ext cx="1257935" cy="799465"/>
                  </a:xfrm>
                  <a:prstGeom prst="rect">
                    <a:avLst/>
                  </a:prstGeom>
                  <a:ln/>
                </pic:spPr>
              </pic:pic>
            </a:graphicData>
          </a:graphic>
        </wp:inline>
      </w:drawing>
    </w:r>
    <w:r>
      <w:tab/>
    </w:r>
  </w:p>
  <w:p w14:paraId="47FC279A" w14:textId="255F01E5" w:rsidR="00C4583C" w:rsidRDefault="00C4583C" w:rsidP="001354A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98AB8" w14:textId="5B04F2B5" w:rsidR="00C4583C" w:rsidRDefault="00C4583C" w:rsidP="00F11A67">
    <w:pPr>
      <w:pStyle w:val="Header"/>
      <w:tabs>
        <w:tab w:val="clear" w:pos="4320"/>
        <w:tab w:val="clear" w:pos="8640"/>
        <w:tab w:val="left" w:pos="3150"/>
      </w:tabs>
    </w:pPr>
    <w:r>
      <w:rPr>
        <w:noProof/>
      </w:rPr>
      <mc:AlternateContent>
        <mc:Choice Requires="wps">
          <w:drawing>
            <wp:anchor distT="0" distB="0" distL="114300" distR="114300" simplePos="0" relativeHeight="251661312" behindDoc="0" locked="0" layoutInCell="1" allowOverlap="1" wp14:anchorId="565B8D09" wp14:editId="19D55389">
              <wp:simplePos x="0" y="0"/>
              <wp:positionH relativeFrom="column">
                <wp:posOffset>-47626</wp:posOffset>
              </wp:positionH>
              <wp:positionV relativeFrom="paragraph">
                <wp:posOffset>779780</wp:posOffset>
              </wp:positionV>
              <wp:extent cx="6086475"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6086475" cy="0"/>
                      </a:xfrm>
                      <a:prstGeom prst="line">
                        <a:avLst/>
                      </a:prstGeom>
                      <a:ln w="190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C38ED9" id="Straight Connector 1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75pt,61.4pt" to="475.5pt,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" strokecolor="#7f7f7f [1612]" strokeweight="1.5pt"/>
          </w:pict>
        </mc:Fallback>
      </mc:AlternateContent>
    </w:r>
    <w:r>
      <w:rPr>
        <w:noProof/>
      </w:rPr>
      <w:drawing>
        <wp:inline distT="0" distB="0" distL="0" distR="0" wp14:anchorId="2192ADAF" wp14:editId="131DD88F">
          <wp:extent cx="1257935" cy="799465"/>
          <wp:effectExtent l="0" t="0" r="0" b="635"/>
          <wp:docPr id="2120158438" name="image5.jpg" descr="A picture containing text, font, logo, graphics&#10;&#10;Description automatically generated"/>
          <wp:cNvGraphicFramePr/>
          <a:graphic xmlns:a="http://schemas.openxmlformats.org/drawingml/2006/main">
            <a:graphicData uri="http://schemas.openxmlformats.org/drawingml/2006/picture">
              <pic:pic xmlns:pic="http://schemas.openxmlformats.org/drawingml/2006/picture">
                <pic:nvPicPr>
                  <pic:cNvPr id="10" name="image5.jpg" descr="A picture containing text, font, logo, graphics&#10;&#10;Description automatically generated"/>
                  <pic:cNvPicPr/>
                </pic:nvPicPr>
                <pic:blipFill>
                  <a:blip r:embed="rId1"/>
                  <a:srcRect/>
                  <a:stretch>
                    <a:fillRect/>
                  </a:stretch>
                </pic:blipFill>
                <pic:spPr>
                  <a:xfrm>
                    <a:off x="0" y="0"/>
                    <a:ext cx="1257935" cy="799465"/>
                  </a:xfrm>
                  <a:prstGeom prst="rect">
                    <a:avLst/>
                  </a:prstGeom>
                  <a:ln/>
                </pic:spPr>
              </pic:pic>
            </a:graphicData>
          </a:graphic>
        </wp:inline>
      </w:drawing>
    </w:r>
    <w:r>
      <w:tab/>
    </w:r>
  </w:p>
  <w:p w14:paraId="4FAAC7C8" w14:textId="0F154FE8" w:rsidR="00C4583C" w:rsidRDefault="00C4583C" w:rsidP="005A3DBE">
    <w:pPr>
      <w:pStyle w:val="Header"/>
      <w:tabs>
        <w:tab w:val="clear" w:pos="4320"/>
        <w:tab w:val="clear" w:pos="8640"/>
        <w:tab w:val="left" w:pos="31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2B249E"/>
    <w:multiLevelType w:val="hybridMultilevel"/>
    <w:tmpl w:val="F363B53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75C0836"/>
    <w:multiLevelType w:val="multilevel"/>
    <w:tmpl w:val="4C90B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87319A"/>
    <w:multiLevelType w:val="hybridMultilevel"/>
    <w:tmpl w:val="54D6EF74"/>
    <w:lvl w:ilvl="0" w:tplc="D188D8E6">
      <w:start w:val="1"/>
      <w:numFmt w:val="decimal"/>
      <w:lvlText w:val="%1."/>
      <w:lvlJc w:val="left"/>
      <w:pPr>
        <w:ind w:left="554" w:hanging="426"/>
      </w:pPr>
      <w:rPr>
        <w:rFonts w:ascii="Arial" w:eastAsia="Arial" w:hAnsi="Arial" w:cs="Arial" w:hint="default"/>
        <w:b/>
        <w:bCs/>
        <w:spacing w:val="-1"/>
        <w:w w:val="99"/>
        <w:sz w:val="20"/>
        <w:szCs w:val="20"/>
        <w:lang w:val="en-US" w:eastAsia="en-US" w:bidi="ar-SA"/>
      </w:rPr>
    </w:lvl>
    <w:lvl w:ilvl="1" w:tplc="862A6828">
      <w:numFmt w:val="bullet"/>
      <w:lvlText w:val=""/>
      <w:lvlJc w:val="left"/>
      <w:pPr>
        <w:ind w:left="849" w:hanging="360"/>
      </w:pPr>
      <w:rPr>
        <w:rFonts w:ascii="Symbol" w:eastAsia="Symbol" w:hAnsi="Symbol" w:cs="Symbol" w:hint="default"/>
        <w:w w:val="99"/>
        <w:sz w:val="20"/>
        <w:szCs w:val="20"/>
        <w:lang w:val="en-US" w:eastAsia="en-US" w:bidi="ar-SA"/>
      </w:rPr>
    </w:lvl>
    <w:lvl w:ilvl="2" w:tplc="5BCE4938">
      <w:numFmt w:val="bullet"/>
      <w:lvlText w:val="•"/>
      <w:lvlJc w:val="left"/>
      <w:pPr>
        <w:ind w:left="840" w:hanging="360"/>
      </w:pPr>
      <w:rPr>
        <w:rFonts w:hint="default"/>
        <w:lang w:val="en-US" w:eastAsia="en-US" w:bidi="ar-SA"/>
      </w:rPr>
    </w:lvl>
    <w:lvl w:ilvl="3" w:tplc="3852F302">
      <w:numFmt w:val="bullet"/>
      <w:lvlText w:val="•"/>
      <w:lvlJc w:val="left"/>
      <w:pPr>
        <w:ind w:left="2070" w:hanging="360"/>
      </w:pPr>
      <w:rPr>
        <w:rFonts w:hint="default"/>
        <w:lang w:val="en-US" w:eastAsia="en-US" w:bidi="ar-SA"/>
      </w:rPr>
    </w:lvl>
    <w:lvl w:ilvl="4" w:tplc="54943954">
      <w:numFmt w:val="bullet"/>
      <w:lvlText w:val="•"/>
      <w:lvlJc w:val="left"/>
      <w:pPr>
        <w:ind w:left="3300" w:hanging="360"/>
      </w:pPr>
      <w:rPr>
        <w:rFonts w:hint="default"/>
        <w:lang w:val="en-US" w:eastAsia="en-US" w:bidi="ar-SA"/>
      </w:rPr>
    </w:lvl>
    <w:lvl w:ilvl="5" w:tplc="93302F8A">
      <w:numFmt w:val="bullet"/>
      <w:lvlText w:val="•"/>
      <w:lvlJc w:val="left"/>
      <w:pPr>
        <w:ind w:left="4530" w:hanging="360"/>
      </w:pPr>
      <w:rPr>
        <w:rFonts w:hint="default"/>
        <w:lang w:val="en-US" w:eastAsia="en-US" w:bidi="ar-SA"/>
      </w:rPr>
    </w:lvl>
    <w:lvl w:ilvl="6" w:tplc="0DA86138">
      <w:numFmt w:val="bullet"/>
      <w:lvlText w:val="•"/>
      <w:lvlJc w:val="left"/>
      <w:pPr>
        <w:ind w:left="5760" w:hanging="360"/>
      </w:pPr>
      <w:rPr>
        <w:rFonts w:hint="default"/>
        <w:lang w:val="en-US" w:eastAsia="en-US" w:bidi="ar-SA"/>
      </w:rPr>
    </w:lvl>
    <w:lvl w:ilvl="7" w:tplc="16E6E208">
      <w:numFmt w:val="bullet"/>
      <w:lvlText w:val="•"/>
      <w:lvlJc w:val="left"/>
      <w:pPr>
        <w:ind w:left="6990" w:hanging="360"/>
      </w:pPr>
      <w:rPr>
        <w:rFonts w:hint="default"/>
        <w:lang w:val="en-US" w:eastAsia="en-US" w:bidi="ar-SA"/>
      </w:rPr>
    </w:lvl>
    <w:lvl w:ilvl="8" w:tplc="CE3C6944">
      <w:numFmt w:val="bullet"/>
      <w:lvlText w:val="•"/>
      <w:lvlJc w:val="left"/>
      <w:pPr>
        <w:ind w:left="8220" w:hanging="360"/>
      </w:pPr>
      <w:rPr>
        <w:rFonts w:hint="default"/>
        <w:lang w:val="en-US" w:eastAsia="en-US" w:bidi="ar-SA"/>
      </w:rPr>
    </w:lvl>
  </w:abstractNum>
  <w:abstractNum w:abstractNumId="5" w15:restartNumberingAfterBreak="0">
    <w:nsid w:val="0B2B3237"/>
    <w:multiLevelType w:val="multilevel"/>
    <w:tmpl w:val="18548C82"/>
    <w:name w:val="Security"/>
    <w:lvl w:ilvl="0">
      <w:start w:val="1"/>
      <w:numFmt w:val="none"/>
      <w:lvlRestart w:val="0"/>
      <w:pStyle w:val="SecurityL1"/>
      <w:suff w:val="nothing"/>
      <w:lvlText w:val=""/>
      <w:lvlJc w:val="left"/>
      <w:pPr>
        <w:tabs>
          <w:tab w:val="num" w:pos="720"/>
        </w:tabs>
        <w:ind w:left="0" w:firstLine="0"/>
      </w:pPr>
      <w:rPr>
        <w:rFonts w:ascii="Times New Roman" w:hAnsi="Times New Roman" w:cs="Times New Roman"/>
        <w:b w:val="0"/>
        <w:i w:val="0"/>
        <w:caps w:val="0"/>
        <w:color w:val="auto"/>
        <w:sz w:val="22"/>
        <w:u w:val="none"/>
      </w:rPr>
    </w:lvl>
    <w:lvl w:ilvl="1">
      <w:start w:val="1"/>
      <w:numFmt w:val="none"/>
      <w:lvlRestart w:val="0"/>
      <w:pStyle w:val="SecurityL2"/>
      <w:suff w:val="nothing"/>
      <w:lvlText w:val=""/>
      <w:lvlJc w:val="left"/>
      <w:pPr>
        <w:tabs>
          <w:tab w:val="num" w:pos="720"/>
        </w:tabs>
        <w:ind w:left="0" w:firstLine="0"/>
      </w:pPr>
      <w:rPr>
        <w:rFonts w:ascii="Times New Roman" w:hAnsi="Times New Roman" w:cs="Times New Roman"/>
        <w:b w:val="0"/>
        <w:i w:val="0"/>
        <w:caps w:val="0"/>
        <w:color w:val="auto"/>
        <w:sz w:val="22"/>
        <w:u w:val="none"/>
      </w:rPr>
    </w:lvl>
    <w:lvl w:ilvl="2">
      <w:start w:val="1"/>
      <w:numFmt w:val="none"/>
      <w:lvlRestart w:val="0"/>
      <w:pStyle w:val="SecurityL3"/>
      <w:suff w:val="nothing"/>
      <w:lvlText w:val=""/>
      <w:lvlJc w:val="left"/>
      <w:pPr>
        <w:tabs>
          <w:tab w:val="num" w:pos="720"/>
        </w:tabs>
        <w:ind w:left="0" w:firstLine="0"/>
      </w:pPr>
      <w:rPr>
        <w:rFonts w:ascii="Times New Roman" w:hAnsi="Times New Roman" w:cs="Times New Roman"/>
        <w:b w:val="0"/>
        <w:i w:val="0"/>
        <w:caps w:val="0"/>
        <w:color w:val="auto"/>
        <w:sz w:val="22"/>
        <w:u w:val="none"/>
      </w:rPr>
    </w:lvl>
    <w:lvl w:ilvl="3">
      <w:start w:val="1"/>
      <w:numFmt w:val="none"/>
      <w:lvlRestart w:val="0"/>
      <w:pStyle w:val="SecurityL4"/>
      <w:suff w:val="nothing"/>
      <w:lvlText w:val=""/>
      <w:lvlJc w:val="left"/>
      <w:pPr>
        <w:tabs>
          <w:tab w:val="num" w:pos="1440"/>
        </w:tabs>
        <w:ind w:left="720" w:firstLine="0"/>
      </w:pPr>
      <w:rPr>
        <w:rFonts w:ascii="Times New Roman" w:hAnsi="Times New Roman" w:cs="Times New Roman"/>
        <w:b w:val="0"/>
        <w:i w:val="0"/>
        <w:caps w:val="0"/>
        <w:color w:val="auto"/>
        <w:sz w:val="22"/>
        <w:u w:val="none"/>
      </w:rPr>
    </w:lvl>
    <w:lvl w:ilvl="4">
      <w:start w:val="1"/>
      <w:numFmt w:val="decimal"/>
      <w:lvlText w:val="%5."/>
      <w:lvlJc w:val="left"/>
      <w:pPr>
        <w:tabs>
          <w:tab w:val="num" w:pos="720"/>
        </w:tabs>
        <w:ind w:left="720" w:hanging="720"/>
      </w:pPr>
      <w:rPr>
        <w:rFonts w:ascii="Times New Roman" w:hAnsi="Times New Roman" w:cs="Times New Roman"/>
        <w:b w:val="0"/>
        <w:i w:val="0"/>
        <w:caps w:val="0"/>
        <w:color w:val="auto"/>
        <w:sz w:val="20"/>
        <w:u w:val="none"/>
      </w:rPr>
    </w:lvl>
    <w:lvl w:ilvl="5">
      <w:start w:val="1"/>
      <w:numFmt w:val="lowerLetter"/>
      <w:pStyle w:val="SecurityL6"/>
      <w:lvlText w:val="(%6)"/>
      <w:lvlJc w:val="left"/>
      <w:pPr>
        <w:tabs>
          <w:tab w:val="num" w:pos="1440"/>
        </w:tabs>
        <w:ind w:left="1440" w:hanging="720"/>
      </w:pPr>
      <w:rPr>
        <w:rFonts w:ascii="Times New Roman" w:hAnsi="Times New Roman" w:cs="Times New Roman"/>
        <w:b w:val="0"/>
        <w:i w:val="0"/>
        <w:caps w:val="0"/>
        <w:color w:val="auto"/>
        <w:sz w:val="20"/>
        <w:u w:val="none"/>
      </w:rPr>
    </w:lvl>
    <w:lvl w:ilvl="6">
      <w:start w:val="1"/>
      <w:numFmt w:val="lowerRoman"/>
      <w:pStyle w:val="SecurityL7"/>
      <w:lvlText w:val="(%7)"/>
      <w:lvlJc w:val="left"/>
      <w:pPr>
        <w:tabs>
          <w:tab w:val="num" w:pos="2160"/>
        </w:tabs>
        <w:ind w:left="2160" w:hanging="720"/>
      </w:pPr>
      <w:rPr>
        <w:rFonts w:ascii="Times New Roman" w:hAnsi="Times New Roman" w:cs="Times New Roman"/>
        <w:b w:val="0"/>
        <w:i w:val="0"/>
        <w:caps w:val="0"/>
        <w:color w:val="auto"/>
        <w:sz w:val="20"/>
        <w:u w:val="none"/>
      </w:rPr>
    </w:lvl>
    <w:lvl w:ilvl="7">
      <w:start w:val="1"/>
      <w:numFmt w:val="none"/>
      <w:lvlRestart w:val="0"/>
      <w:pStyle w:val="SecurityL8"/>
      <w:suff w:val="nothing"/>
      <w:lvlText w:val=""/>
      <w:lvlJc w:val="left"/>
      <w:pPr>
        <w:tabs>
          <w:tab w:val="num" w:pos="720"/>
        </w:tabs>
        <w:ind w:left="0" w:firstLine="0"/>
      </w:pPr>
      <w:rPr>
        <w:rFonts w:ascii="Times New Roman" w:hAnsi="Times New Roman" w:cs="Times New Roman"/>
        <w:b w:val="0"/>
        <w:i w:val="0"/>
        <w:caps w:val="0"/>
        <w:color w:val="auto"/>
        <w:sz w:val="18"/>
        <w:u w:val="none"/>
      </w:rPr>
    </w:lvl>
    <w:lvl w:ilvl="8">
      <w:start w:val="1"/>
      <w:numFmt w:val="decimal"/>
      <w:pStyle w:val="SecurityL9"/>
      <w:lvlText w:val="(%9)"/>
      <w:lvlJc w:val="left"/>
      <w:pPr>
        <w:tabs>
          <w:tab w:val="num" w:pos="990"/>
        </w:tabs>
        <w:ind w:left="810" w:hanging="720"/>
      </w:pPr>
      <w:rPr>
        <w:rFonts w:ascii="Times New Roman" w:hAnsi="Times New Roman" w:cs="Times New Roman"/>
        <w:b w:val="0"/>
        <w:i w:val="0"/>
        <w:caps w:val="0"/>
        <w:color w:val="auto"/>
        <w:sz w:val="16"/>
        <w:u w:val="none"/>
      </w:rPr>
    </w:lvl>
  </w:abstractNum>
  <w:abstractNum w:abstractNumId="6" w15:restartNumberingAfterBreak="0">
    <w:nsid w:val="0D995066"/>
    <w:multiLevelType w:val="hybridMultilevel"/>
    <w:tmpl w:val="7D4408E0"/>
    <w:lvl w:ilvl="0" w:tplc="FC504E20">
      <w:start w:val="1"/>
      <w:numFmt w:val="decimal"/>
      <w:lvlText w:val="(%1)"/>
      <w:lvlJc w:val="left"/>
      <w:pPr>
        <w:ind w:left="390" w:hanging="360"/>
      </w:pPr>
      <w:rPr>
        <w:rFonts w:hint="default"/>
        <w:sz w:val="20"/>
        <w:vertAlign w:val="superscript"/>
      </w:rPr>
    </w:lvl>
    <w:lvl w:ilvl="1" w:tplc="2C0A0019" w:tentative="1">
      <w:start w:val="1"/>
      <w:numFmt w:val="lowerLetter"/>
      <w:lvlText w:val="%2."/>
      <w:lvlJc w:val="left"/>
      <w:pPr>
        <w:ind w:left="1110" w:hanging="360"/>
      </w:pPr>
    </w:lvl>
    <w:lvl w:ilvl="2" w:tplc="2C0A001B" w:tentative="1">
      <w:start w:val="1"/>
      <w:numFmt w:val="lowerRoman"/>
      <w:lvlText w:val="%3."/>
      <w:lvlJc w:val="right"/>
      <w:pPr>
        <w:ind w:left="1830" w:hanging="180"/>
      </w:pPr>
    </w:lvl>
    <w:lvl w:ilvl="3" w:tplc="2C0A000F" w:tentative="1">
      <w:start w:val="1"/>
      <w:numFmt w:val="decimal"/>
      <w:lvlText w:val="%4."/>
      <w:lvlJc w:val="left"/>
      <w:pPr>
        <w:ind w:left="2550" w:hanging="360"/>
      </w:pPr>
    </w:lvl>
    <w:lvl w:ilvl="4" w:tplc="2C0A0019" w:tentative="1">
      <w:start w:val="1"/>
      <w:numFmt w:val="lowerLetter"/>
      <w:lvlText w:val="%5."/>
      <w:lvlJc w:val="left"/>
      <w:pPr>
        <w:ind w:left="3270" w:hanging="360"/>
      </w:pPr>
    </w:lvl>
    <w:lvl w:ilvl="5" w:tplc="2C0A001B" w:tentative="1">
      <w:start w:val="1"/>
      <w:numFmt w:val="lowerRoman"/>
      <w:lvlText w:val="%6."/>
      <w:lvlJc w:val="right"/>
      <w:pPr>
        <w:ind w:left="3990" w:hanging="180"/>
      </w:pPr>
    </w:lvl>
    <w:lvl w:ilvl="6" w:tplc="2C0A000F" w:tentative="1">
      <w:start w:val="1"/>
      <w:numFmt w:val="decimal"/>
      <w:lvlText w:val="%7."/>
      <w:lvlJc w:val="left"/>
      <w:pPr>
        <w:ind w:left="4710" w:hanging="360"/>
      </w:pPr>
    </w:lvl>
    <w:lvl w:ilvl="7" w:tplc="2C0A0019" w:tentative="1">
      <w:start w:val="1"/>
      <w:numFmt w:val="lowerLetter"/>
      <w:lvlText w:val="%8."/>
      <w:lvlJc w:val="left"/>
      <w:pPr>
        <w:ind w:left="5430" w:hanging="360"/>
      </w:pPr>
    </w:lvl>
    <w:lvl w:ilvl="8" w:tplc="2C0A001B" w:tentative="1">
      <w:start w:val="1"/>
      <w:numFmt w:val="lowerRoman"/>
      <w:lvlText w:val="%9."/>
      <w:lvlJc w:val="right"/>
      <w:pPr>
        <w:ind w:left="6150" w:hanging="180"/>
      </w:pPr>
    </w:lvl>
  </w:abstractNum>
  <w:abstractNum w:abstractNumId="7" w15:restartNumberingAfterBreak="0">
    <w:nsid w:val="1E3B76C5"/>
    <w:multiLevelType w:val="hybridMultilevel"/>
    <w:tmpl w:val="5E4AC298"/>
    <w:lvl w:ilvl="0" w:tplc="8CE6F96C">
      <w:start w:val="1"/>
      <w:numFmt w:val="lowerLetter"/>
      <w:lvlText w:val="(%1)"/>
      <w:lvlJc w:val="left"/>
      <w:pPr>
        <w:ind w:left="720" w:hanging="360"/>
      </w:pPr>
      <w:rPr>
        <w:rFonts w:ascii="Arial" w:hAnsi="Arial" w:hint="default"/>
        <w:b w:val="0"/>
        <w:i w:val="0"/>
        <w:color w:val="auto"/>
        <w:sz w:val="20"/>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EB2FBA"/>
    <w:multiLevelType w:val="hybridMultilevel"/>
    <w:tmpl w:val="D95C4CB8"/>
    <w:lvl w:ilvl="0" w:tplc="B9E63A04">
      <w:start w:val="1"/>
      <w:numFmt w:val="decimal"/>
      <w:lvlText w:val="(%1)"/>
      <w:lvlJc w:val="left"/>
      <w:pPr>
        <w:ind w:left="720" w:hanging="360"/>
      </w:pPr>
      <w:rPr>
        <w:rFonts w:hint="default"/>
        <w:sz w:val="16"/>
        <w:szCs w:val="16"/>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22054CB7"/>
    <w:multiLevelType w:val="hybridMultilevel"/>
    <w:tmpl w:val="3B84BAC4"/>
    <w:lvl w:ilvl="0" w:tplc="FFFFFFFF">
      <w:start w:val="1"/>
      <w:numFmt w:val="lowerLetter"/>
      <w:lvlText w:val="(%1)"/>
      <w:lvlJc w:val="left"/>
      <w:pPr>
        <w:ind w:left="554" w:hanging="426"/>
      </w:pPr>
      <w:rPr>
        <w:rFonts w:ascii="Arial MT" w:eastAsia="Arial MT" w:hAnsi="Arial MT" w:cs="Arial" w:hint="default"/>
        <w:w w:val="99"/>
        <w:sz w:val="20"/>
        <w:szCs w:val="20"/>
        <w:lang w:val="en-US" w:eastAsia="en-US" w:bidi="ar-SA"/>
      </w:rPr>
    </w:lvl>
    <w:lvl w:ilvl="1" w:tplc="FFFFFFFF">
      <w:numFmt w:val="bullet"/>
      <w:lvlText w:val="•"/>
      <w:lvlJc w:val="left"/>
      <w:pPr>
        <w:ind w:left="1572" w:hanging="426"/>
      </w:pPr>
      <w:rPr>
        <w:rFonts w:hint="default"/>
        <w:lang w:val="en-US" w:eastAsia="en-US" w:bidi="ar-SA"/>
      </w:rPr>
    </w:lvl>
    <w:lvl w:ilvl="2" w:tplc="FFFFFFFF">
      <w:numFmt w:val="bullet"/>
      <w:lvlText w:val="•"/>
      <w:lvlJc w:val="left"/>
      <w:pPr>
        <w:ind w:left="2584" w:hanging="426"/>
      </w:pPr>
      <w:rPr>
        <w:rFonts w:hint="default"/>
        <w:lang w:val="en-US" w:eastAsia="en-US" w:bidi="ar-SA"/>
      </w:rPr>
    </w:lvl>
    <w:lvl w:ilvl="3" w:tplc="FFFFFFFF">
      <w:numFmt w:val="bullet"/>
      <w:lvlText w:val="•"/>
      <w:lvlJc w:val="left"/>
      <w:pPr>
        <w:ind w:left="3596" w:hanging="426"/>
      </w:pPr>
      <w:rPr>
        <w:rFonts w:hint="default"/>
        <w:lang w:val="en-US" w:eastAsia="en-US" w:bidi="ar-SA"/>
      </w:rPr>
    </w:lvl>
    <w:lvl w:ilvl="4" w:tplc="FFFFFFFF">
      <w:numFmt w:val="bullet"/>
      <w:lvlText w:val="•"/>
      <w:lvlJc w:val="left"/>
      <w:pPr>
        <w:ind w:left="4608" w:hanging="426"/>
      </w:pPr>
      <w:rPr>
        <w:rFonts w:hint="default"/>
        <w:lang w:val="en-US" w:eastAsia="en-US" w:bidi="ar-SA"/>
      </w:rPr>
    </w:lvl>
    <w:lvl w:ilvl="5" w:tplc="FFFFFFFF">
      <w:numFmt w:val="bullet"/>
      <w:lvlText w:val="•"/>
      <w:lvlJc w:val="left"/>
      <w:pPr>
        <w:ind w:left="5620" w:hanging="426"/>
      </w:pPr>
      <w:rPr>
        <w:rFonts w:hint="default"/>
        <w:lang w:val="en-US" w:eastAsia="en-US" w:bidi="ar-SA"/>
      </w:rPr>
    </w:lvl>
    <w:lvl w:ilvl="6" w:tplc="FFFFFFFF">
      <w:numFmt w:val="bullet"/>
      <w:lvlText w:val="•"/>
      <w:lvlJc w:val="left"/>
      <w:pPr>
        <w:ind w:left="6632" w:hanging="426"/>
      </w:pPr>
      <w:rPr>
        <w:rFonts w:hint="default"/>
        <w:lang w:val="en-US" w:eastAsia="en-US" w:bidi="ar-SA"/>
      </w:rPr>
    </w:lvl>
    <w:lvl w:ilvl="7" w:tplc="FFFFFFFF">
      <w:numFmt w:val="bullet"/>
      <w:lvlText w:val="•"/>
      <w:lvlJc w:val="left"/>
      <w:pPr>
        <w:ind w:left="7644" w:hanging="426"/>
      </w:pPr>
      <w:rPr>
        <w:rFonts w:hint="default"/>
        <w:lang w:val="en-US" w:eastAsia="en-US" w:bidi="ar-SA"/>
      </w:rPr>
    </w:lvl>
    <w:lvl w:ilvl="8" w:tplc="FFFFFFFF">
      <w:numFmt w:val="bullet"/>
      <w:lvlText w:val="•"/>
      <w:lvlJc w:val="left"/>
      <w:pPr>
        <w:ind w:left="8656" w:hanging="426"/>
      </w:pPr>
      <w:rPr>
        <w:rFonts w:hint="default"/>
        <w:lang w:val="en-US" w:eastAsia="en-US" w:bidi="ar-SA"/>
      </w:rPr>
    </w:lvl>
  </w:abstractNum>
  <w:abstractNum w:abstractNumId="10" w15:restartNumberingAfterBreak="0">
    <w:nsid w:val="24CD18B5"/>
    <w:multiLevelType w:val="hybridMultilevel"/>
    <w:tmpl w:val="28000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B06B9D"/>
    <w:multiLevelType w:val="hybridMultilevel"/>
    <w:tmpl w:val="853836F8"/>
    <w:lvl w:ilvl="0" w:tplc="31888224">
      <w:start w:val="1"/>
      <w:numFmt w:val="decimal"/>
      <w:lvlText w:val="(%1)"/>
      <w:lvlJc w:val="left"/>
      <w:pPr>
        <w:ind w:left="720" w:hanging="360"/>
      </w:pPr>
      <w:rPr>
        <w:rFonts w:hint="default"/>
        <w:color w:val="000000"/>
        <w:sz w:val="20"/>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3C28F0"/>
    <w:multiLevelType w:val="hybridMultilevel"/>
    <w:tmpl w:val="CD1C5154"/>
    <w:lvl w:ilvl="0" w:tplc="1ECA7A86">
      <w:start w:val="1"/>
      <w:numFmt w:val="lowerLetter"/>
      <w:lvlText w:val="(%1)"/>
      <w:lvlJc w:val="left"/>
      <w:pPr>
        <w:ind w:left="720" w:hanging="360"/>
      </w:pPr>
      <w:rPr>
        <w:rFonts w:ascii="Arial" w:hAnsi="Arial" w:hint="default"/>
        <w:b w:val="0"/>
        <w:i w:val="0"/>
        <w:sz w:val="20"/>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9F30FD3"/>
    <w:multiLevelType w:val="hybridMultilevel"/>
    <w:tmpl w:val="6BFC1314"/>
    <w:lvl w:ilvl="0" w:tplc="04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F1F016A"/>
    <w:multiLevelType w:val="hybridMultilevel"/>
    <w:tmpl w:val="F192FEC0"/>
    <w:lvl w:ilvl="0" w:tplc="EEF4AF02">
      <w:start w:val="1"/>
      <w:numFmt w:val="lowerLetter"/>
      <w:lvlText w:val="(%1)"/>
      <w:lvlJc w:val="left"/>
      <w:pPr>
        <w:ind w:left="720" w:hanging="360"/>
      </w:pPr>
      <w:rPr>
        <w:rFonts w:ascii="Arial" w:hAnsi="Arial" w:hint="default"/>
        <w:b w:val="0"/>
        <w:i w:val="0"/>
        <w:color w:val="auto"/>
        <w:sz w:val="20"/>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576378F"/>
    <w:multiLevelType w:val="hybridMultilevel"/>
    <w:tmpl w:val="5224C6A4"/>
    <w:lvl w:ilvl="0" w:tplc="1F3C8970">
      <w:start w:val="1"/>
      <w:numFmt w:val="lowerLetter"/>
      <w:lvlText w:val="(%1)"/>
      <w:lvlJc w:val="left"/>
      <w:pPr>
        <w:ind w:left="556" w:hanging="428"/>
      </w:pPr>
      <w:rPr>
        <w:rFonts w:ascii="Arial MT" w:eastAsia="Arial MT" w:hAnsi="Arial MT" w:cs="Arial MT" w:hint="default"/>
        <w:w w:val="99"/>
        <w:sz w:val="20"/>
        <w:szCs w:val="20"/>
        <w:lang w:val="en-US" w:eastAsia="en-US" w:bidi="ar-SA"/>
      </w:rPr>
    </w:lvl>
    <w:lvl w:ilvl="1" w:tplc="3714688E">
      <w:numFmt w:val="bullet"/>
      <w:lvlText w:val=""/>
      <w:lvlJc w:val="left"/>
      <w:pPr>
        <w:ind w:left="1122" w:hanging="286"/>
      </w:pPr>
      <w:rPr>
        <w:rFonts w:ascii="Wingdings" w:eastAsia="Wingdings" w:hAnsi="Wingdings" w:cs="Wingdings" w:hint="default"/>
        <w:w w:val="99"/>
        <w:sz w:val="20"/>
        <w:szCs w:val="20"/>
        <w:lang w:val="en-US" w:eastAsia="en-US" w:bidi="ar-SA"/>
      </w:rPr>
    </w:lvl>
    <w:lvl w:ilvl="2" w:tplc="8F68FFCA">
      <w:numFmt w:val="bullet"/>
      <w:lvlText w:val="•"/>
      <w:lvlJc w:val="left"/>
      <w:pPr>
        <w:ind w:left="2182" w:hanging="286"/>
      </w:pPr>
      <w:rPr>
        <w:rFonts w:hint="default"/>
        <w:lang w:val="en-US" w:eastAsia="en-US" w:bidi="ar-SA"/>
      </w:rPr>
    </w:lvl>
    <w:lvl w:ilvl="3" w:tplc="944E1554">
      <w:numFmt w:val="bullet"/>
      <w:lvlText w:val="•"/>
      <w:lvlJc w:val="left"/>
      <w:pPr>
        <w:ind w:left="3244" w:hanging="286"/>
      </w:pPr>
      <w:rPr>
        <w:rFonts w:hint="default"/>
        <w:lang w:val="en-US" w:eastAsia="en-US" w:bidi="ar-SA"/>
      </w:rPr>
    </w:lvl>
    <w:lvl w:ilvl="4" w:tplc="752C9234">
      <w:numFmt w:val="bullet"/>
      <w:lvlText w:val="•"/>
      <w:lvlJc w:val="left"/>
      <w:pPr>
        <w:ind w:left="4306" w:hanging="286"/>
      </w:pPr>
      <w:rPr>
        <w:rFonts w:hint="default"/>
        <w:lang w:val="en-US" w:eastAsia="en-US" w:bidi="ar-SA"/>
      </w:rPr>
    </w:lvl>
    <w:lvl w:ilvl="5" w:tplc="6652C9EC">
      <w:numFmt w:val="bullet"/>
      <w:lvlText w:val="•"/>
      <w:lvlJc w:val="left"/>
      <w:pPr>
        <w:ind w:left="5368" w:hanging="286"/>
      </w:pPr>
      <w:rPr>
        <w:rFonts w:hint="default"/>
        <w:lang w:val="en-US" w:eastAsia="en-US" w:bidi="ar-SA"/>
      </w:rPr>
    </w:lvl>
    <w:lvl w:ilvl="6" w:tplc="F8E2BE46">
      <w:numFmt w:val="bullet"/>
      <w:lvlText w:val="•"/>
      <w:lvlJc w:val="left"/>
      <w:pPr>
        <w:ind w:left="6431" w:hanging="286"/>
      </w:pPr>
      <w:rPr>
        <w:rFonts w:hint="default"/>
        <w:lang w:val="en-US" w:eastAsia="en-US" w:bidi="ar-SA"/>
      </w:rPr>
    </w:lvl>
    <w:lvl w:ilvl="7" w:tplc="31A03502">
      <w:numFmt w:val="bullet"/>
      <w:lvlText w:val="•"/>
      <w:lvlJc w:val="left"/>
      <w:pPr>
        <w:ind w:left="7493" w:hanging="286"/>
      </w:pPr>
      <w:rPr>
        <w:rFonts w:hint="default"/>
        <w:lang w:val="en-US" w:eastAsia="en-US" w:bidi="ar-SA"/>
      </w:rPr>
    </w:lvl>
    <w:lvl w:ilvl="8" w:tplc="F2765B86">
      <w:numFmt w:val="bullet"/>
      <w:lvlText w:val="•"/>
      <w:lvlJc w:val="left"/>
      <w:pPr>
        <w:ind w:left="8555" w:hanging="286"/>
      </w:pPr>
      <w:rPr>
        <w:rFonts w:hint="default"/>
        <w:lang w:val="en-US" w:eastAsia="en-US" w:bidi="ar-SA"/>
      </w:rPr>
    </w:lvl>
  </w:abstractNum>
  <w:abstractNum w:abstractNumId="16" w15:restartNumberingAfterBreak="0">
    <w:nsid w:val="386A7C77"/>
    <w:multiLevelType w:val="hybridMultilevel"/>
    <w:tmpl w:val="788404FE"/>
    <w:lvl w:ilvl="0" w:tplc="10090005">
      <w:start w:val="1"/>
      <w:numFmt w:val="bullet"/>
      <w:lvlText w:val=""/>
      <w:lvlJc w:val="left"/>
      <w:pPr>
        <w:ind w:left="1274" w:hanging="360"/>
      </w:pPr>
      <w:rPr>
        <w:rFonts w:ascii="Wingdings" w:hAnsi="Wingdings" w:hint="default"/>
      </w:rPr>
    </w:lvl>
    <w:lvl w:ilvl="1" w:tplc="10090003" w:tentative="1">
      <w:start w:val="1"/>
      <w:numFmt w:val="bullet"/>
      <w:lvlText w:val="o"/>
      <w:lvlJc w:val="left"/>
      <w:pPr>
        <w:ind w:left="1994" w:hanging="360"/>
      </w:pPr>
      <w:rPr>
        <w:rFonts w:ascii="Courier New" w:hAnsi="Courier New" w:cs="Courier New" w:hint="default"/>
      </w:rPr>
    </w:lvl>
    <w:lvl w:ilvl="2" w:tplc="10090005" w:tentative="1">
      <w:start w:val="1"/>
      <w:numFmt w:val="bullet"/>
      <w:lvlText w:val=""/>
      <w:lvlJc w:val="left"/>
      <w:pPr>
        <w:ind w:left="2714" w:hanging="360"/>
      </w:pPr>
      <w:rPr>
        <w:rFonts w:ascii="Wingdings" w:hAnsi="Wingdings" w:hint="default"/>
      </w:rPr>
    </w:lvl>
    <w:lvl w:ilvl="3" w:tplc="10090001" w:tentative="1">
      <w:start w:val="1"/>
      <w:numFmt w:val="bullet"/>
      <w:lvlText w:val=""/>
      <w:lvlJc w:val="left"/>
      <w:pPr>
        <w:ind w:left="3434" w:hanging="360"/>
      </w:pPr>
      <w:rPr>
        <w:rFonts w:ascii="Symbol" w:hAnsi="Symbol" w:hint="default"/>
      </w:rPr>
    </w:lvl>
    <w:lvl w:ilvl="4" w:tplc="10090003" w:tentative="1">
      <w:start w:val="1"/>
      <w:numFmt w:val="bullet"/>
      <w:lvlText w:val="o"/>
      <w:lvlJc w:val="left"/>
      <w:pPr>
        <w:ind w:left="4154" w:hanging="360"/>
      </w:pPr>
      <w:rPr>
        <w:rFonts w:ascii="Courier New" w:hAnsi="Courier New" w:cs="Courier New" w:hint="default"/>
      </w:rPr>
    </w:lvl>
    <w:lvl w:ilvl="5" w:tplc="10090005" w:tentative="1">
      <w:start w:val="1"/>
      <w:numFmt w:val="bullet"/>
      <w:lvlText w:val=""/>
      <w:lvlJc w:val="left"/>
      <w:pPr>
        <w:ind w:left="4874" w:hanging="360"/>
      </w:pPr>
      <w:rPr>
        <w:rFonts w:ascii="Wingdings" w:hAnsi="Wingdings" w:hint="default"/>
      </w:rPr>
    </w:lvl>
    <w:lvl w:ilvl="6" w:tplc="10090001" w:tentative="1">
      <w:start w:val="1"/>
      <w:numFmt w:val="bullet"/>
      <w:lvlText w:val=""/>
      <w:lvlJc w:val="left"/>
      <w:pPr>
        <w:ind w:left="5594" w:hanging="360"/>
      </w:pPr>
      <w:rPr>
        <w:rFonts w:ascii="Symbol" w:hAnsi="Symbol" w:hint="default"/>
      </w:rPr>
    </w:lvl>
    <w:lvl w:ilvl="7" w:tplc="10090003" w:tentative="1">
      <w:start w:val="1"/>
      <w:numFmt w:val="bullet"/>
      <w:lvlText w:val="o"/>
      <w:lvlJc w:val="left"/>
      <w:pPr>
        <w:ind w:left="6314" w:hanging="360"/>
      </w:pPr>
      <w:rPr>
        <w:rFonts w:ascii="Courier New" w:hAnsi="Courier New" w:cs="Courier New" w:hint="default"/>
      </w:rPr>
    </w:lvl>
    <w:lvl w:ilvl="8" w:tplc="10090005" w:tentative="1">
      <w:start w:val="1"/>
      <w:numFmt w:val="bullet"/>
      <w:lvlText w:val=""/>
      <w:lvlJc w:val="left"/>
      <w:pPr>
        <w:ind w:left="7034" w:hanging="360"/>
      </w:pPr>
      <w:rPr>
        <w:rFonts w:ascii="Wingdings" w:hAnsi="Wingdings" w:hint="default"/>
      </w:rPr>
    </w:lvl>
  </w:abstractNum>
  <w:abstractNum w:abstractNumId="17" w15:restartNumberingAfterBreak="0">
    <w:nsid w:val="41CA113F"/>
    <w:multiLevelType w:val="hybridMultilevel"/>
    <w:tmpl w:val="6AEC5574"/>
    <w:lvl w:ilvl="0" w:tplc="4B488248">
      <w:start w:val="1"/>
      <w:numFmt w:val="lowerLetter"/>
      <w:lvlText w:val="(%1)"/>
      <w:lvlJc w:val="left"/>
      <w:pPr>
        <w:ind w:left="916" w:hanging="360"/>
      </w:pPr>
      <w:rPr>
        <w:rFonts w:hint="default"/>
      </w:rPr>
    </w:lvl>
    <w:lvl w:ilvl="1" w:tplc="2C0A0019" w:tentative="1">
      <w:start w:val="1"/>
      <w:numFmt w:val="lowerLetter"/>
      <w:lvlText w:val="%2."/>
      <w:lvlJc w:val="left"/>
      <w:pPr>
        <w:ind w:left="1636" w:hanging="360"/>
      </w:pPr>
    </w:lvl>
    <w:lvl w:ilvl="2" w:tplc="2C0A001B" w:tentative="1">
      <w:start w:val="1"/>
      <w:numFmt w:val="lowerRoman"/>
      <w:lvlText w:val="%3."/>
      <w:lvlJc w:val="right"/>
      <w:pPr>
        <w:ind w:left="2356" w:hanging="180"/>
      </w:pPr>
    </w:lvl>
    <w:lvl w:ilvl="3" w:tplc="2C0A000F" w:tentative="1">
      <w:start w:val="1"/>
      <w:numFmt w:val="decimal"/>
      <w:lvlText w:val="%4."/>
      <w:lvlJc w:val="left"/>
      <w:pPr>
        <w:ind w:left="3076" w:hanging="360"/>
      </w:pPr>
    </w:lvl>
    <w:lvl w:ilvl="4" w:tplc="2C0A0019" w:tentative="1">
      <w:start w:val="1"/>
      <w:numFmt w:val="lowerLetter"/>
      <w:lvlText w:val="%5."/>
      <w:lvlJc w:val="left"/>
      <w:pPr>
        <w:ind w:left="3796" w:hanging="360"/>
      </w:pPr>
    </w:lvl>
    <w:lvl w:ilvl="5" w:tplc="2C0A001B" w:tentative="1">
      <w:start w:val="1"/>
      <w:numFmt w:val="lowerRoman"/>
      <w:lvlText w:val="%6."/>
      <w:lvlJc w:val="right"/>
      <w:pPr>
        <w:ind w:left="4516" w:hanging="180"/>
      </w:pPr>
    </w:lvl>
    <w:lvl w:ilvl="6" w:tplc="2C0A000F" w:tentative="1">
      <w:start w:val="1"/>
      <w:numFmt w:val="decimal"/>
      <w:lvlText w:val="%7."/>
      <w:lvlJc w:val="left"/>
      <w:pPr>
        <w:ind w:left="5236" w:hanging="360"/>
      </w:pPr>
    </w:lvl>
    <w:lvl w:ilvl="7" w:tplc="2C0A0019" w:tentative="1">
      <w:start w:val="1"/>
      <w:numFmt w:val="lowerLetter"/>
      <w:lvlText w:val="%8."/>
      <w:lvlJc w:val="left"/>
      <w:pPr>
        <w:ind w:left="5956" w:hanging="360"/>
      </w:pPr>
    </w:lvl>
    <w:lvl w:ilvl="8" w:tplc="2C0A001B" w:tentative="1">
      <w:start w:val="1"/>
      <w:numFmt w:val="lowerRoman"/>
      <w:lvlText w:val="%9."/>
      <w:lvlJc w:val="right"/>
      <w:pPr>
        <w:ind w:left="6676" w:hanging="180"/>
      </w:pPr>
    </w:lvl>
  </w:abstractNum>
  <w:abstractNum w:abstractNumId="18" w15:restartNumberingAfterBreak="0">
    <w:nsid w:val="44A83488"/>
    <w:multiLevelType w:val="hybridMultilevel"/>
    <w:tmpl w:val="2A48902E"/>
    <w:lvl w:ilvl="0" w:tplc="C02252F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15:restartNumberingAfterBreak="0">
    <w:nsid w:val="49324FCB"/>
    <w:multiLevelType w:val="multilevel"/>
    <w:tmpl w:val="C1AC5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A9508DC"/>
    <w:multiLevelType w:val="hybridMultilevel"/>
    <w:tmpl w:val="E5A6C3C0"/>
    <w:lvl w:ilvl="0" w:tplc="C224835C">
      <w:start w:val="4"/>
      <w:numFmt w:val="bullet"/>
      <w:lvlText w:val=""/>
      <w:lvlJc w:val="left"/>
      <w:pPr>
        <w:ind w:left="720" w:hanging="360"/>
      </w:pPr>
      <w:rPr>
        <w:rFonts w:ascii="Symbol" w:eastAsia="Times New Roman"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C291069"/>
    <w:multiLevelType w:val="multilevel"/>
    <w:tmpl w:val="2FBEF69A"/>
    <w:lvl w:ilvl="0">
      <w:start w:val="1"/>
      <w:numFmt w:val="lowerLetter"/>
      <w:lvlText w:val="(%1)"/>
      <w:lvlJc w:val="left"/>
      <w:pPr>
        <w:ind w:left="720" w:hanging="360"/>
      </w:pPr>
      <w:rPr>
        <w:rFonts w:ascii="Arial" w:eastAsia="Arial" w:hAnsi="Arial" w:cs="Arial" w:hint="default"/>
        <w:b w:val="0"/>
        <w:i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F830E7D"/>
    <w:multiLevelType w:val="hybridMultilevel"/>
    <w:tmpl w:val="227A26E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09B1C84"/>
    <w:multiLevelType w:val="multilevel"/>
    <w:tmpl w:val="64662B5A"/>
    <w:lvl w:ilvl="0">
      <w:start w:val="1"/>
      <w:numFmt w:val="lowerLetter"/>
      <w:lvlText w:val="(%1)"/>
      <w:lvlJc w:val="left"/>
      <w:pPr>
        <w:ind w:left="720" w:hanging="360"/>
      </w:pPr>
      <w:rPr>
        <w:rFonts w:ascii="Arial" w:eastAsia="Arial" w:hAnsi="Arial" w:cs="Arial"/>
        <w:b w:val="0"/>
        <w:i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0EF2A81"/>
    <w:multiLevelType w:val="hybridMultilevel"/>
    <w:tmpl w:val="55449A90"/>
    <w:lvl w:ilvl="0" w:tplc="03EAA3FE">
      <w:start w:val="1"/>
      <w:numFmt w:val="decimal"/>
      <w:lvlText w:val="(%1)"/>
      <w:lvlJc w:val="left"/>
      <w:pPr>
        <w:ind w:left="720" w:hanging="360"/>
      </w:pPr>
      <w:rPr>
        <w:rFonts w:hint="default"/>
        <w:sz w:val="1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6A54B25"/>
    <w:multiLevelType w:val="hybridMultilevel"/>
    <w:tmpl w:val="4E9E57F4"/>
    <w:lvl w:ilvl="0" w:tplc="C3D42380">
      <w:start w:val="1"/>
      <w:numFmt w:val="bullet"/>
      <w:lvlText w:val="–"/>
      <w:lvlJc w:val="left"/>
      <w:pPr>
        <w:ind w:left="252" w:hanging="360"/>
      </w:pPr>
      <w:rPr>
        <w:rFonts w:ascii="Arial" w:eastAsia="Times New Roman" w:hAnsi="Arial" w:cs="Arial" w:hint="default"/>
      </w:rPr>
    </w:lvl>
    <w:lvl w:ilvl="1" w:tplc="04090003" w:tentative="1">
      <w:start w:val="1"/>
      <w:numFmt w:val="bullet"/>
      <w:lvlText w:val="o"/>
      <w:lvlJc w:val="left"/>
      <w:pPr>
        <w:ind w:left="972" w:hanging="360"/>
      </w:pPr>
      <w:rPr>
        <w:rFonts w:ascii="Courier New" w:hAnsi="Courier New" w:cs="Courier New" w:hint="default"/>
      </w:rPr>
    </w:lvl>
    <w:lvl w:ilvl="2" w:tplc="04090005" w:tentative="1">
      <w:start w:val="1"/>
      <w:numFmt w:val="bullet"/>
      <w:lvlText w:val=""/>
      <w:lvlJc w:val="left"/>
      <w:pPr>
        <w:ind w:left="1692" w:hanging="360"/>
      </w:pPr>
      <w:rPr>
        <w:rFonts w:ascii="Wingdings" w:hAnsi="Wingdings" w:hint="default"/>
      </w:rPr>
    </w:lvl>
    <w:lvl w:ilvl="3" w:tplc="04090001" w:tentative="1">
      <w:start w:val="1"/>
      <w:numFmt w:val="bullet"/>
      <w:lvlText w:val=""/>
      <w:lvlJc w:val="left"/>
      <w:pPr>
        <w:ind w:left="2412" w:hanging="360"/>
      </w:pPr>
      <w:rPr>
        <w:rFonts w:ascii="Symbol" w:hAnsi="Symbol" w:hint="default"/>
      </w:rPr>
    </w:lvl>
    <w:lvl w:ilvl="4" w:tplc="04090003" w:tentative="1">
      <w:start w:val="1"/>
      <w:numFmt w:val="bullet"/>
      <w:lvlText w:val="o"/>
      <w:lvlJc w:val="left"/>
      <w:pPr>
        <w:ind w:left="3132" w:hanging="360"/>
      </w:pPr>
      <w:rPr>
        <w:rFonts w:ascii="Courier New" w:hAnsi="Courier New" w:cs="Courier New" w:hint="default"/>
      </w:rPr>
    </w:lvl>
    <w:lvl w:ilvl="5" w:tplc="04090005" w:tentative="1">
      <w:start w:val="1"/>
      <w:numFmt w:val="bullet"/>
      <w:lvlText w:val=""/>
      <w:lvlJc w:val="left"/>
      <w:pPr>
        <w:ind w:left="3852" w:hanging="360"/>
      </w:pPr>
      <w:rPr>
        <w:rFonts w:ascii="Wingdings" w:hAnsi="Wingdings" w:hint="default"/>
      </w:rPr>
    </w:lvl>
    <w:lvl w:ilvl="6" w:tplc="04090001" w:tentative="1">
      <w:start w:val="1"/>
      <w:numFmt w:val="bullet"/>
      <w:lvlText w:val=""/>
      <w:lvlJc w:val="left"/>
      <w:pPr>
        <w:ind w:left="4572" w:hanging="360"/>
      </w:pPr>
      <w:rPr>
        <w:rFonts w:ascii="Symbol" w:hAnsi="Symbol" w:hint="default"/>
      </w:rPr>
    </w:lvl>
    <w:lvl w:ilvl="7" w:tplc="04090003" w:tentative="1">
      <w:start w:val="1"/>
      <w:numFmt w:val="bullet"/>
      <w:lvlText w:val="o"/>
      <w:lvlJc w:val="left"/>
      <w:pPr>
        <w:ind w:left="5292" w:hanging="360"/>
      </w:pPr>
      <w:rPr>
        <w:rFonts w:ascii="Courier New" w:hAnsi="Courier New" w:cs="Courier New" w:hint="default"/>
      </w:rPr>
    </w:lvl>
    <w:lvl w:ilvl="8" w:tplc="04090005" w:tentative="1">
      <w:start w:val="1"/>
      <w:numFmt w:val="bullet"/>
      <w:lvlText w:val=""/>
      <w:lvlJc w:val="left"/>
      <w:pPr>
        <w:ind w:left="6012" w:hanging="360"/>
      </w:pPr>
      <w:rPr>
        <w:rFonts w:ascii="Wingdings" w:hAnsi="Wingdings" w:hint="default"/>
      </w:rPr>
    </w:lvl>
  </w:abstractNum>
  <w:abstractNum w:abstractNumId="26" w15:restartNumberingAfterBreak="0">
    <w:nsid w:val="5AA1298A"/>
    <w:multiLevelType w:val="hybridMultilevel"/>
    <w:tmpl w:val="9DBCE67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2495B50"/>
    <w:multiLevelType w:val="hybridMultilevel"/>
    <w:tmpl w:val="58483FBE"/>
    <w:lvl w:ilvl="0" w:tplc="CC04448E">
      <w:start w:val="1"/>
      <w:numFmt w:val="lowerLetter"/>
      <w:lvlText w:val="(%1)"/>
      <w:lvlJc w:val="left"/>
      <w:pPr>
        <w:ind w:left="720" w:hanging="360"/>
      </w:pPr>
      <w:rPr>
        <w:rFonts w:ascii="Arial" w:hAnsi="Arial" w:hint="default"/>
        <w:b w:val="0"/>
        <w:i w:val="0"/>
        <w:color w:val="auto"/>
        <w:sz w:val="20"/>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E63CFF"/>
    <w:multiLevelType w:val="hybridMultilevel"/>
    <w:tmpl w:val="AA3413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6645F43"/>
    <w:multiLevelType w:val="hybridMultilevel"/>
    <w:tmpl w:val="91780D6C"/>
    <w:lvl w:ilvl="0" w:tplc="04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7FA36FA"/>
    <w:multiLevelType w:val="hybridMultilevel"/>
    <w:tmpl w:val="3B84BAC4"/>
    <w:lvl w:ilvl="0" w:tplc="FFFFFFFF">
      <w:start w:val="1"/>
      <w:numFmt w:val="lowerLetter"/>
      <w:lvlText w:val="(%1)"/>
      <w:lvlJc w:val="left"/>
      <w:pPr>
        <w:ind w:left="554" w:hanging="426"/>
      </w:pPr>
      <w:rPr>
        <w:rFonts w:ascii="Arial MT" w:eastAsia="Arial MT" w:hAnsi="Arial MT" w:cs="Arial" w:hint="default"/>
        <w:w w:val="99"/>
        <w:sz w:val="20"/>
        <w:szCs w:val="20"/>
        <w:lang w:val="en-US" w:eastAsia="en-US" w:bidi="ar-SA"/>
      </w:rPr>
    </w:lvl>
    <w:lvl w:ilvl="1" w:tplc="FFFFFFFF">
      <w:numFmt w:val="bullet"/>
      <w:lvlText w:val="•"/>
      <w:lvlJc w:val="left"/>
      <w:pPr>
        <w:ind w:left="1572" w:hanging="426"/>
      </w:pPr>
      <w:rPr>
        <w:rFonts w:hint="default"/>
        <w:lang w:val="en-US" w:eastAsia="en-US" w:bidi="ar-SA"/>
      </w:rPr>
    </w:lvl>
    <w:lvl w:ilvl="2" w:tplc="FFFFFFFF">
      <w:numFmt w:val="bullet"/>
      <w:lvlText w:val="•"/>
      <w:lvlJc w:val="left"/>
      <w:pPr>
        <w:ind w:left="2584" w:hanging="426"/>
      </w:pPr>
      <w:rPr>
        <w:rFonts w:hint="default"/>
        <w:lang w:val="en-US" w:eastAsia="en-US" w:bidi="ar-SA"/>
      </w:rPr>
    </w:lvl>
    <w:lvl w:ilvl="3" w:tplc="FFFFFFFF">
      <w:numFmt w:val="bullet"/>
      <w:lvlText w:val="•"/>
      <w:lvlJc w:val="left"/>
      <w:pPr>
        <w:ind w:left="3596" w:hanging="426"/>
      </w:pPr>
      <w:rPr>
        <w:rFonts w:hint="default"/>
        <w:lang w:val="en-US" w:eastAsia="en-US" w:bidi="ar-SA"/>
      </w:rPr>
    </w:lvl>
    <w:lvl w:ilvl="4" w:tplc="FFFFFFFF">
      <w:numFmt w:val="bullet"/>
      <w:lvlText w:val="•"/>
      <w:lvlJc w:val="left"/>
      <w:pPr>
        <w:ind w:left="4608" w:hanging="426"/>
      </w:pPr>
      <w:rPr>
        <w:rFonts w:hint="default"/>
        <w:lang w:val="en-US" w:eastAsia="en-US" w:bidi="ar-SA"/>
      </w:rPr>
    </w:lvl>
    <w:lvl w:ilvl="5" w:tplc="FFFFFFFF">
      <w:numFmt w:val="bullet"/>
      <w:lvlText w:val="•"/>
      <w:lvlJc w:val="left"/>
      <w:pPr>
        <w:ind w:left="5620" w:hanging="426"/>
      </w:pPr>
      <w:rPr>
        <w:rFonts w:hint="default"/>
        <w:lang w:val="en-US" w:eastAsia="en-US" w:bidi="ar-SA"/>
      </w:rPr>
    </w:lvl>
    <w:lvl w:ilvl="6" w:tplc="FFFFFFFF">
      <w:numFmt w:val="bullet"/>
      <w:lvlText w:val="•"/>
      <w:lvlJc w:val="left"/>
      <w:pPr>
        <w:ind w:left="6632" w:hanging="426"/>
      </w:pPr>
      <w:rPr>
        <w:rFonts w:hint="default"/>
        <w:lang w:val="en-US" w:eastAsia="en-US" w:bidi="ar-SA"/>
      </w:rPr>
    </w:lvl>
    <w:lvl w:ilvl="7" w:tplc="FFFFFFFF">
      <w:numFmt w:val="bullet"/>
      <w:lvlText w:val="•"/>
      <w:lvlJc w:val="left"/>
      <w:pPr>
        <w:ind w:left="7644" w:hanging="426"/>
      </w:pPr>
      <w:rPr>
        <w:rFonts w:hint="default"/>
        <w:lang w:val="en-US" w:eastAsia="en-US" w:bidi="ar-SA"/>
      </w:rPr>
    </w:lvl>
    <w:lvl w:ilvl="8" w:tplc="FFFFFFFF">
      <w:numFmt w:val="bullet"/>
      <w:lvlText w:val="•"/>
      <w:lvlJc w:val="left"/>
      <w:pPr>
        <w:ind w:left="8656" w:hanging="426"/>
      </w:pPr>
      <w:rPr>
        <w:rFonts w:hint="default"/>
        <w:lang w:val="en-US" w:eastAsia="en-US" w:bidi="ar-SA"/>
      </w:rPr>
    </w:lvl>
  </w:abstractNum>
  <w:abstractNum w:abstractNumId="31" w15:restartNumberingAfterBreak="0">
    <w:nsid w:val="6AFD40F7"/>
    <w:multiLevelType w:val="hybridMultilevel"/>
    <w:tmpl w:val="DAFC89DE"/>
    <w:name w:val="zzmpTabbed||Tabbed|2|1|1|1|12|32||1|12|32||1|12|32||1|12|32||1|12|32||1|12|32||1|12|32||1|12|32||1|12|32||"/>
    <w:lvl w:ilvl="0" w:tplc="5762ABDC">
      <w:start w:val="1"/>
      <w:numFmt w:val="decimal"/>
      <w:lvlText w:val="%1."/>
      <w:lvlJc w:val="left"/>
      <w:pPr>
        <w:ind w:left="540" w:hanging="540"/>
      </w:pPr>
      <w:rPr>
        <w:rFonts w:hint="default"/>
      </w:rPr>
    </w:lvl>
    <w:lvl w:ilvl="1" w:tplc="9808DCA4" w:tentative="1">
      <w:start w:val="1"/>
      <w:numFmt w:val="lowerLetter"/>
      <w:lvlText w:val="%2."/>
      <w:lvlJc w:val="left"/>
      <w:pPr>
        <w:ind w:left="1080" w:hanging="360"/>
      </w:pPr>
    </w:lvl>
    <w:lvl w:ilvl="2" w:tplc="F80EE1BA" w:tentative="1">
      <w:start w:val="1"/>
      <w:numFmt w:val="lowerRoman"/>
      <w:lvlText w:val="%3."/>
      <w:lvlJc w:val="right"/>
      <w:pPr>
        <w:ind w:left="1800" w:hanging="180"/>
      </w:pPr>
    </w:lvl>
    <w:lvl w:ilvl="3" w:tplc="400A15AC" w:tentative="1">
      <w:start w:val="1"/>
      <w:numFmt w:val="decimal"/>
      <w:lvlText w:val="%4."/>
      <w:lvlJc w:val="left"/>
      <w:pPr>
        <w:ind w:left="2520" w:hanging="360"/>
      </w:pPr>
    </w:lvl>
    <w:lvl w:ilvl="4" w:tplc="D23A8278" w:tentative="1">
      <w:start w:val="1"/>
      <w:numFmt w:val="lowerLetter"/>
      <w:lvlText w:val="%5."/>
      <w:lvlJc w:val="left"/>
      <w:pPr>
        <w:ind w:left="3240" w:hanging="360"/>
      </w:pPr>
    </w:lvl>
    <w:lvl w:ilvl="5" w:tplc="C41CF5C4" w:tentative="1">
      <w:start w:val="1"/>
      <w:numFmt w:val="lowerRoman"/>
      <w:lvlText w:val="%6."/>
      <w:lvlJc w:val="right"/>
      <w:pPr>
        <w:ind w:left="3960" w:hanging="180"/>
      </w:pPr>
    </w:lvl>
    <w:lvl w:ilvl="6" w:tplc="009A9290" w:tentative="1">
      <w:start w:val="1"/>
      <w:numFmt w:val="decimal"/>
      <w:lvlText w:val="%7."/>
      <w:lvlJc w:val="left"/>
      <w:pPr>
        <w:ind w:left="4680" w:hanging="360"/>
      </w:pPr>
    </w:lvl>
    <w:lvl w:ilvl="7" w:tplc="0B4227B2" w:tentative="1">
      <w:start w:val="1"/>
      <w:numFmt w:val="lowerLetter"/>
      <w:lvlText w:val="%8."/>
      <w:lvlJc w:val="left"/>
      <w:pPr>
        <w:ind w:left="5400" w:hanging="360"/>
      </w:pPr>
    </w:lvl>
    <w:lvl w:ilvl="8" w:tplc="58CC007A" w:tentative="1">
      <w:start w:val="1"/>
      <w:numFmt w:val="lowerRoman"/>
      <w:lvlText w:val="%9."/>
      <w:lvlJc w:val="right"/>
      <w:pPr>
        <w:ind w:left="6120" w:hanging="180"/>
      </w:pPr>
    </w:lvl>
  </w:abstractNum>
  <w:abstractNum w:abstractNumId="32" w15:restartNumberingAfterBreak="0">
    <w:nsid w:val="6B1D7463"/>
    <w:multiLevelType w:val="hybridMultilevel"/>
    <w:tmpl w:val="9E42C9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C66432D"/>
    <w:multiLevelType w:val="hybridMultilevel"/>
    <w:tmpl w:val="CC16FF98"/>
    <w:name w:val="zzmpStandard||Standard|2|1|1|1|12|0||1|12|0||1|12|0||1|12|0||1|12|0||1|12|0||1|12|0||1|12|0||1|12|0||"/>
    <w:lvl w:ilvl="0" w:tplc="0316D874">
      <w:start w:val="1"/>
      <w:numFmt w:val="bullet"/>
      <w:lvlText w:val=""/>
      <w:lvlJc w:val="left"/>
      <w:pPr>
        <w:ind w:left="720" w:hanging="360"/>
      </w:pPr>
      <w:rPr>
        <w:rFonts w:ascii="Symbol" w:hAnsi="Symbol" w:hint="default"/>
      </w:rPr>
    </w:lvl>
    <w:lvl w:ilvl="1" w:tplc="75607B14">
      <w:start w:val="1"/>
      <w:numFmt w:val="bullet"/>
      <w:lvlText w:val="o"/>
      <w:lvlJc w:val="left"/>
      <w:pPr>
        <w:ind w:left="1440" w:hanging="360"/>
      </w:pPr>
      <w:rPr>
        <w:rFonts w:ascii="Courier New" w:hAnsi="Courier New" w:cs="Courier New" w:hint="default"/>
      </w:rPr>
    </w:lvl>
    <w:lvl w:ilvl="2" w:tplc="24BE114A" w:tentative="1">
      <w:start w:val="1"/>
      <w:numFmt w:val="bullet"/>
      <w:lvlText w:val=""/>
      <w:lvlJc w:val="left"/>
      <w:pPr>
        <w:ind w:left="2160" w:hanging="360"/>
      </w:pPr>
      <w:rPr>
        <w:rFonts w:ascii="Wingdings" w:hAnsi="Wingdings" w:hint="default"/>
      </w:rPr>
    </w:lvl>
    <w:lvl w:ilvl="3" w:tplc="A27E47AC" w:tentative="1">
      <w:start w:val="1"/>
      <w:numFmt w:val="bullet"/>
      <w:lvlText w:val=""/>
      <w:lvlJc w:val="left"/>
      <w:pPr>
        <w:ind w:left="2880" w:hanging="360"/>
      </w:pPr>
      <w:rPr>
        <w:rFonts w:ascii="Symbol" w:hAnsi="Symbol" w:hint="default"/>
      </w:rPr>
    </w:lvl>
    <w:lvl w:ilvl="4" w:tplc="15FE1E7E" w:tentative="1">
      <w:start w:val="1"/>
      <w:numFmt w:val="bullet"/>
      <w:lvlText w:val="o"/>
      <w:lvlJc w:val="left"/>
      <w:pPr>
        <w:ind w:left="3600" w:hanging="360"/>
      </w:pPr>
      <w:rPr>
        <w:rFonts w:ascii="Courier New" w:hAnsi="Courier New" w:cs="Courier New" w:hint="default"/>
      </w:rPr>
    </w:lvl>
    <w:lvl w:ilvl="5" w:tplc="306C2818" w:tentative="1">
      <w:start w:val="1"/>
      <w:numFmt w:val="bullet"/>
      <w:lvlText w:val=""/>
      <w:lvlJc w:val="left"/>
      <w:pPr>
        <w:ind w:left="4320" w:hanging="360"/>
      </w:pPr>
      <w:rPr>
        <w:rFonts w:ascii="Wingdings" w:hAnsi="Wingdings" w:hint="default"/>
      </w:rPr>
    </w:lvl>
    <w:lvl w:ilvl="6" w:tplc="8B7A5A3C" w:tentative="1">
      <w:start w:val="1"/>
      <w:numFmt w:val="bullet"/>
      <w:lvlText w:val=""/>
      <w:lvlJc w:val="left"/>
      <w:pPr>
        <w:ind w:left="5040" w:hanging="360"/>
      </w:pPr>
      <w:rPr>
        <w:rFonts w:ascii="Symbol" w:hAnsi="Symbol" w:hint="default"/>
      </w:rPr>
    </w:lvl>
    <w:lvl w:ilvl="7" w:tplc="414EBB9C" w:tentative="1">
      <w:start w:val="1"/>
      <w:numFmt w:val="bullet"/>
      <w:lvlText w:val="o"/>
      <w:lvlJc w:val="left"/>
      <w:pPr>
        <w:ind w:left="5760" w:hanging="360"/>
      </w:pPr>
      <w:rPr>
        <w:rFonts w:ascii="Courier New" w:hAnsi="Courier New" w:cs="Courier New" w:hint="default"/>
      </w:rPr>
    </w:lvl>
    <w:lvl w:ilvl="8" w:tplc="C55E2BF4" w:tentative="1">
      <w:start w:val="1"/>
      <w:numFmt w:val="bullet"/>
      <w:lvlText w:val=""/>
      <w:lvlJc w:val="left"/>
      <w:pPr>
        <w:ind w:left="6480" w:hanging="360"/>
      </w:pPr>
      <w:rPr>
        <w:rFonts w:ascii="Wingdings" w:hAnsi="Wingdings" w:hint="default"/>
      </w:rPr>
    </w:lvl>
  </w:abstractNum>
  <w:abstractNum w:abstractNumId="34" w15:restartNumberingAfterBreak="0">
    <w:nsid w:val="6D7F7227"/>
    <w:multiLevelType w:val="hybridMultilevel"/>
    <w:tmpl w:val="32EA8668"/>
    <w:lvl w:ilvl="0" w:tplc="04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34E39B4"/>
    <w:multiLevelType w:val="multilevel"/>
    <w:tmpl w:val="DA72EF7C"/>
    <w:lvl w:ilvl="0">
      <w:start w:val="4"/>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52516794">
    <w:abstractNumId w:val="26"/>
  </w:num>
  <w:num w:numId="2" w16cid:durableId="869343277">
    <w:abstractNumId w:val="5"/>
  </w:num>
  <w:num w:numId="3" w16cid:durableId="273244700">
    <w:abstractNumId w:val="24"/>
  </w:num>
  <w:num w:numId="4" w16cid:durableId="1490899340">
    <w:abstractNumId w:val="34"/>
  </w:num>
  <w:num w:numId="5" w16cid:durableId="219098541">
    <w:abstractNumId w:val="20"/>
  </w:num>
  <w:num w:numId="6" w16cid:durableId="1880622974">
    <w:abstractNumId w:val="29"/>
  </w:num>
  <w:num w:numId="7" w16cid:durableId="570120002">
    <w:abstractNumId w:val="13"/>
  </w:num>
  <w:num w:numId="8" w16cid:durableId="721446655">
    <w:abstractNumId w:val="32"/>
  </w:num>
  <w:num w:numId="9" w16cid:durableId="1871725017">
    <w:abstractNumId w:val="22"/>
  </w:num>
  <w:num w:numId="10" w16cid:durableId="1551384511">
    <w:abstractNumId w:val="26"/>
  </w:num>
  <w:num w:numId="11" w16cid:durableId="695233451">
    <w:abstractNumId w:val="13"/>
  </w:num>
  <w:num w:numId="12" w16cid:durableId="902520930">
    <w:abstractNumId w:val="35"/>
  </w:num>
  <w:num w:numId="13" w16cid:durableId="676661028">
    <w:abstractNumId w:val="18"/>
  </w:num>
  <w:num w:numId="14" w16cid:durableId="1747336302">
    <w:abstractNumId w:val="19"/>
  </w:num>
  <w:num w:numId="15" w16cid:durableId="263999000">
    <w:abstractNumId w:val="14"/>
  </w:num>
  <w:num w:numId="16" w16cid:durableId="1327637029">
    <w:abstractNumId w:val="12"/>
  </w:num>
  <w:num w:numId="17" w16cid:durableId="371542073">
    <w:abstractNumId w:val="20"/>
  </w:num>
  <w:num w:numId="18" w16cid:durableId="205676895">
    <w:abstractNumId w:val="27"/>
  </w:num>
  <w:num w:numId="19" w16cid:durableId="223876781">
    <w:abstractNumId w:val="11"/>
  </w:num>
  <w:num w:numId="20" w16cid:durableId="1774351915">
    <w:abstractNumId w:val="0"/>
  </w:num>
  <w:num w:numId="21" w16cid:durableId="695468242">
    <w:abstractNumId w:val="21"/>
  </w:num>
  <w:num w:numId="22" w16cid:durableId="2039430191">
    <w:abstractNumId w:val="7"/>
  </w:num>
  <w:num w:numId="23" w16cid:durableId="2014650881">
    <w:abstractNumId w:val="10"/>
  </w:num>
  <w:num w:numId="24" w16cid:durableId="637033950">
    <w:abstractNumId w:val="28"/>
  </w:num>
  <w:num w:numId="25" w16cid:durableId="31851748">
    <w:abstractNumId w:val="4"/>
  </w:num>
  <w:num w:numId="26" w16cid:durableId="1000813988">
    <w:abstractNumId w:val="6"/>
  </w:num>
  <w:num w:numId="27" w16cid:durableId="1157770616">
    <w:abstractNumId w:val="23"/>
  </w:num>
  <w:num w:numId="28" w16cid:durableId="2093501249">
    <w:abstractNumId w:val="17"/>
  </w:num>
  <w:num w:numId="29" w16cid:durableId="1983658866">
    <w:abstractNumId w:val="3"/>
  </w:num>
  <w:num w:numId="30" w16cid:durableId="467168285">
    <w:abstractNumId w:val="9"/>
  </w:num>
  <w:num w:numId="31" w16cid:durableId="2138376003">
    <w:abstractNumId w:val="16"/>
  </w:num>
  <w:num w:numId="32" w16cid:durableId="2083988327">
    <w:abstractNumId w:val="25"/>
  </w:num>
  <w:num w:numId="33" w16cid:durableId="757598264">
    <w:abstractNumId w:val="8"/>
  </w:num>
  <w:num w:numId="34" w16cid:durableId="1092773059">
    <w:abstractNumId w:val="30"/>
  </w:num>
  <w:num w:numId="35" w16cid:durableId="1292129162">
    <w:abstractNumId w:val="15"/>
  </w:num>
  <w:num w:numId="36" w16cid:durableId="1187984774">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Ó_"/>
    <w:docVar w:name="85TrailerDateField" w:val="~}£Óa"/>
    <w:docVar w:name="85TrailerDraft" w:val="~}Óg"/>
    <w:docVar w:name="85TrailerTime" w:val="~}¡Óc"/>
    <w:docVar w:name="DMS_Work10" w:val="0~ACTIVE||1~17469222||2~1||3~2) Crown Point MDA Jun 2026 (draft 3) [BDP Comments - August 10, 2026]||5~SWELSH||6~SWELSH||7~WORDX||8~DOCUMENTS||10~1/1/0001 12:00:00 AM||11~1/1/0001 12:00:00 AM||17~public||25~069295||26~00001||27~317||28~SEC||29~GS||30~ACTIV||60~Crown Point Energy Inc.||61~General Corporate and Securities Matters||62~Oke, Jeffrey T.||63~Securities||64~General Securities||65~Active matter||74~Sylvie Welsh||77~Documents||82~docx||85~1/1/0001 12:00:00 AM||99~1/1/0001 12:00:00 AM||107~1/1/0001 12:00:00 AM||109~1/1/0001 12:00:00 AM||113~1/1/0001 12:00:00 AM||114~1/1/0001 12:00:00 AM||"/>
    <w:docVar w:name="DocStamp_1_OptionalControlValues" w:val="~}—Ó"/>
    <w:docVar w:name="MPDocID" w:val="~}Óhhrnmijnhg"/>
    <w:docVar w:name="MPDocIDTemplate" w:val="~}—Ó"/>
    <w:docVar w:name="MPDocIDTemplateDefault" w:val="~}‘Óh²sk¸"/>
    <w:docVar w:name="NewDocStampType" w:val="~}Ón"/>
    <w:docVar w:name="zzmp10NoTrailerPromptID" w:val="ACTIVE.14357673.1"/>
  </w:docVars>
  <w:rsids>
    <w:rsidRoot w:val="005F3E5D"/>
    <w:rsid w:val="0000005B"/>
    <w:rsid w:val="00000344"/>
    <w:rsid w:val="000003D6"/>
    <w:rsid w:val="000009FB"/>
    <w:rsid w:val="00000BDF"/>
    <w:rsid w:val="000011AE"/>
    <w:rsid w:val="000012AB"/>
    <w:rsid w:val="000013E0"/>
    <w:rsid w:val="000014CB"/>
    <w:rsid w:val="00001504"/>
    <w:rsid w:val="000015AD"/>
    <w:rsid w:val="000017CF"/>
    <w:rsid w:val="00001B1B"/>
    <w:rsid w:val="00001E85"/>
    <w:rsid w:val="00001FF3"/>
    <w:rsid w:val="00002559"/>
    <w:rsid w:val="000025F0"/>
    <w:rsid w:val="00002693"/>
    <w:rsid w:val="00002743"/>
    <w:rsid w:val="00002984"/>
    <w:rsid w:val="00002EE4"/>
    <w:rsid w:val="00003745"/>
    <w:rsid w:val="0000382F"/>
    <w:rsid w:val="00003929"/>
    <w:rsid w:val="00003A74"/>
    <w:rsid w:val="00003B01"/>
    <w:rsid w:val="00003B5A"/>
    <w:rsid w:val="00004397"/>
    <w:rsid w:val="000045EC"/>
    <w:rsid w:val="00004756"/>
    <w:rsid w:val="00004A29"/>
    <w:rsid w:val="00004B59"/>
    <w:rsid w:val="00004F95"/>
    <w:rsid w:val="00005213"/>
    <w:rsid w:val="00005371"/>
    <w:rsid w:val="0000548B"/>
    <w:rsid w:val="000055A7"/>
    <w:rsid w:val="00005672"/>
    <w:rsid w:val="000059C5"/>
    <w:rsid w:val="00005E63"/>
    <w:rsid w:val="00005FEC"/>
    <w:rsid w:val="000061B2"/>
    <w:rsid w:val="0000622D"/>
    <w:rsid w:val="000064E8"/>
    <w:rsid w:val="000066FE"/>
    <w:rsid w:val="0000692E"/>
    <w:rsid w:val="00006FFA"/>
    <w:rsid w:val="00007484"/>
    <w:rsid w:val="000074DC"/>
    <w:rsid w:val="00007572"/>
    <w:rsid w:val="00007BFD"/>
    <w:rsid w:val="00007C51"/>
    <w:rsid w:val="00007D33"/>
    <w:rsid w:val="0001002D"/>
    <w:rsid w:val="00010259"/>
    <w:rsid w:val="000106FF"/>
    <w:rsid w:val="000107E3"/>
    <w:rsid w:val="000107E6"/>
    <w:rsid w:val="00010897"/>
    <w:rsid w:val="00010981"/>
    <w:rsid w:val="00010AE5"/>
    <w:rsid w:val="00010F63"/>
    <w:rsid w:val="0001128F"/>
    <w:rsid w:val="00011305"/>
    <w:rsid w:val="00011591"/>
    <w:rsid w:val="000116FC"/>
    <w:rsid w:val="000117DA"/>
    <w:rsid w:val="00011858"/>
    <w:rsid w:val="00011954"/>
    <w:rsid w:val="00011C61"/>
    <w:rsid w:val="00011D43"/>
    <w:rsid w:val="000121EE"/>
    <w:rsid w:val="000124AA"/>
    <w:rsid w:val="00012548"/>
    <w:rsid w:val="000127A5"/>
    <w:rsid w:val="000129B6"/>
    <w:rsid w:val="00012CD8"/>
    <w:rsid w:val="00012E7B"/>
    <w:rsid w:val="00013231"/>
    <w:rsid w:val="000133D1"/>
    <w:rsid w:val="00013534"/>
    <w:rsid w:val="00013797"/>
    <w:rsid w:val="00013BD4"/>
    <w:rsid w:val="00013E75"/>
    <w:rsid w:val="00013F21"/>
    <w:rsid w:val="0001411A"/>
    <w:rsid w:val="000142F1"/>
    <w:rsid w:val="000147DA"/>
    <w:rsid w:val="000148B2"/>
    <w:rsid w:val="00014B59"/>
    <w:rsid w:val="00014D07"/>
    <w:rsid w:val="00014DB8"/>
    <w:rsid w:val="00015937"/>
    <w:rsid w:val="00015BA2"/>
    <w:rsid w:val="00015ECD"/>
    <w:rsid w:val="000164A9"/>
    <w:rsid w:val="000165D0"/>
    <w:rsid w:val="0001699D"/>
    <w:rsid w:val="00016BB6"/>
    <w:rsid w:val="00016DA7"/>
    <w:rsid w:val="00016E68"/>
    <w:rsid w:val="00016EAC"/>
    <w:rsid w:val="0001720D"/>
    <w:rsid w:val="000175B2"/>
    <w:rsid w:val="0001781A"/>
    <w:rsid w:val="000178A2"/>
    <w:rsid w:val="00017C93"/>
    <w:rsid w:val="00017CD0"/>
    <w:rsid w:val="00017D2B"/>
    <w:rsid w:val="00017D43"/>
    <w:rsid w:val="000207B5"/>
    <w:rsid w:val="000208DE"/>
    <w:rsid w:val="00020961"/>
    <w:rsid w:val="000209CF"/>
    <w:rsid w:val="00020B9B"/>
    <w:rsid w:val="00020CB5"/>
    <w:rsid w:val="0002139A"/>
    <w:rsid w:val="0002146A"/>
    <w:rsid w:val="00021531"/>
    <w:rsid w:val="00021758"/>
    <w:rsid w:val="00021BA0"/>
    <w:rsid w:val="00021C4D"/>
    <w:rsid w:val="00021D3A"/>
    <w:rsid w:val="00021EBD"/>
    <w:rsid w:val="00022115"/>
    <w:rsid w:val="00022243"/>
    <w:rsid w:val="000222DE"/>
    <w:rsid w:val="00022698"/>
    <w:rsid w:val="000227D1"/>
    <w:rsid w:val="00022E24"/>
    <w:rsid w:val="00022E91"/>
    <w:rsid w:val="00022F21"/>
    <w:rsid w:val="0002313A"/>
    <w:rsid w:val="0002342D"/>
    <w:rsid w:val="000237D3"/>
    <w:rsid w:val="000238EF"/>
    <w:rsid w:val="00023911"/>
    <w:rsid w:val="00023C60"/>
    <w:rsid w:val="00023D6A"/>
    <w:rsid w:val="00023F35"/>
    <w:rsid w:val="000241F8"/>
    <w:rsid w:val="0002456D"/>
    <w:rsid w:val="00024C18"/>
    <w:rsid w:val="00024E2F"/>
    <w:rsid w:val="00025245"/>
    <w:rsid w:val="00025451"/>
    <w:rsid w:val="000256CE"/>
    <w:rsid w:val="00025A5B"/>
    <w:rsid w:val="00025B1F"/>
    <w:rsid w:val="00025B5E"/>
    <w:rsid w:val="00025C01"/>
    <w:rsid w:val="00025C95"/>
    <w:rsid w:val="000261F6"/>
    <w:rsid w:val="000266C9"/>
    <w:rsid w:val="00026750"/>
    <w:rsid w:val="000268CA"/>
    <w:rsid w:val="0002695F"/>
    <w:rsid w:val="00026965"/>
    <w:rsid w:val="00026A5B"/>
    <w:rsid w:val="00026BB7"/>
    <w:rsid w:val="00026BDA"/>
    <w:rsid w:val="0002719C"/>
    <w:rsid w:val="0002748A"/>
    <w:rsid w:val="00027619"/>
    <w:rsid w:val="00027751"/>
    <w:rsid w:val="00027828"/>
    <w:rsid w:val="00027A89"/>
    <w:rsid w:val="00027B59"/>
    <w:rsid w:val="00027D92"/>
    <w:rsid w:val="00027EEB"/>
    <w:rsid w:val="00030233"/>
    <w:rsid w:val="000307BF"/>
    <w:rsid w:val="00030938"/>
    <w:rsid w:val="00030A13"/>
    <w:rsid w:val="00030C87"/>
    <w:rsid w:val="00030DA3"/>
    <w:rsid w:val="00030E9A"/>
    <w:rsid w:val="0003107A"/>
    <w:rsid w:val="000313F9"/>
    <w:rsid w:val="000314D8"/>
    <w:rsid w:val="00031779"/>
    <w:rsid w:val="000318C1"/>
    <w:rsid w:val="000318FC"/>
    <w:rsid w:val="00031B74"/>
    <w:rsid w:val="00031B7F"/>
    <w:rsid w:val="00031B8F"/>
    <w:rsid w:val="00031DEA"/>
    <w:rsid w:val="00031EC4"/>
    <w:rsid w:val="00031FFD"/>
    <w:rsid w:val="0003203B"/>
    <w:rsid w:val="0003220F"/>
    <w:rsid w:val="00032230"/>
    <w:rsid w:val="0003238E"/>
    <w:rsid w:val="00032485"/>
    <w:rsid w:val="000326A8"/>
    <w:rsid w:val="00032BEA"/>
    <w:rsid w:val="00032DF8"/>
    <w:rsid w:val="00032FB8"/>
    <w:rsid w:val="0003316E"/>
    <w:rsid w:val="00033248"/>
    <w:rsid w:val="00033308"/>
    <w:rsid w:val="0003337A"/>
    <w:rsid w:val="00033861"/>
    <w:rsid w:val="00033A59"/>
    <w:rsid w:val="00033CDC"/>
    <w:rsid w:val="00033D64"/>
    <w:rsid w:val="000340EB"/>
    <w:rsid w:val="00034392"/>
    <w:rsid w:val="00034428"/>
    <w:rsid w:val="00034625"/>
    <w:rsid w:val="000346E8"/>
    <w:rsid w:val="00034767"/>
    <w:rsid w:val="00034818"/>
    <w:rsid w:val="0003485E"/>
    <w:rsid w:val="00034A3F"/>
    <w:rsid w:val="00034C15"/>
    <w:rsid w:val="00034CE2"/>
    <w:rsid w:val="00034E50"/>
    <w:rsid w:val="00034F08"/>
    <w:rsid w:val="000350AF"/>
    <w:rsid w:val="000354FA"/>
    <w:rsid w:val="00035500"/>
    <w:rsid w:val="00035644"/>
    <w:rsid w:val="00035699"/>
    <w:rsid w:val="000356AC"/>
    <w:rsid w:val="0003597F"/>
    <w:rsid w:val="00035A0C"/>
    <w:rsid w:val="00035E63"/>
    <w:rsid w:val="00035FD9"/>
    <w:rsid w:val="000362BC"/>
    <w:rsid w:val="00036773"/>
    <w:rsid w:val="00036B32"/>
    <w:rsid w:val="00037447"/>
    <w:rsid w:val="000376A5"/>
    <w:rsid w:val="000377A3"/>
    <w:rsid w:val="00037B36"/>
    <w:rsid w:val="00040180"/>
    <w:rsid w:val="000402B7"/>
    <w:rsid w:val="000403C9"/>
    <w:rsid w:val="00040452"/>
    <w:rsid w:val="00040534"/>
    <w:rsid w:val="00040840"/>
    <w:rsid w:val="00040B6C"/>
    <w:rsid w:val="0004103C"/>
    <w:rsid w:val="00041108"/>
    <w:rsid w:val="0004138E"/>
    <w:rsid w:val="0004142E"/>
    <w:rsid w:val="00041990"/>
    <w:rsid w:val="00041AC2"/>
    <w:rsid w:val="00042142"/>
    <w:rsid w:val="0004222B"/>
    <w:rsid w:val="000428DD"/>
    <w:rsid w:val="00042973"/>
    <w:rsid w:val="00042CCC"/>
    <w:rsid w:val="00042FEA"/>
    <w:rsid w:val="000430D5"/>
    <w:rsid w:val="00043101"/>
    <w:rsid w:val="000432FF"/>
    <w:rsid w:val="00043895"/>
    <w:rsid w:val="00043A1C"/>
    <w:rsid w:val="00043C54"/>
    <w:rsid w:val="0004400C"/>
    <w:rsid w:val="0004421F"/>
    <w:rsid w:val="000444F2"/>
    <w:rsid w:val="00044ADD"/>
    <w:rsid w:val="00044D69"/>
    <w:rsid w:val="00045256"/>
    <w:rsid w:val="0004530A"/>
    <w:rsid w:val="00045A1D"/>
    <w:rsid w:val="00045B3F"/>
    <w:rsid w:val="00045B5B"/>
    <w:rsid w:val="00045D29"/>
    <w:rsid w:val="00045E6A"/>
    <w:rsid w:val="00045F2B"/>
    <w:rsid w:val="000463CF"/>
    <w:rsid w:val="000465F9"/>
    <w:rsid w:val="00046AE1"/>
    <w:rsid w:val="00046B47"/>
    <w:rsid w:val="00046DC0"/>
    <w:rsid w:val="00046FB9"/>
    <w:rsid w:val="000470D0"/>
    <w:rsid w:val="00047231"/>
    <w:rsid w:val="00047319"/>
    <w:rsid w:val="0004745C"/>
    <w:rsid w:val="00047556"/>
    <w:rsid w:val="0004763E"/>
    <w:rsid w:val="0004771D"/>
    <w:rsid w:val="0004782C"/>
    <w:rsid w:val="00050029"/>
    <w:rsid w:val="000500C8"/>
    <w:rsid w:val="00050370"/>
    <w:rsid w:val="00050477"/>
    <w:rsid w:val="00050659"/>
    <w:rsid w:val="000506F1"/>
    <w:rsid w:val="00050877"/>
    <w:rsid w:val="00050921"/>
    <w:rsid w:val="0005099C"/>
    <w:rsid w:val="00050BD4"/>
    <w:rsid w:val="00050C5D"/>
    <w:rsid w:val="00050CAF"/>
    <w:rsid w:val="00050E2F"/>
    <w:rsid w:val="00051069"/>
    <w:rsid w:val="000510A3"/>
    <w:rsid w:val="00051155"/>
    <w:rsid w:val="0005121A"/>
    <w:rsid w:val="0005128A"/>
    <w:rsid w:val="000515B0"/>
    <w:rsid w:val="000519DE"/>
    <w:rsid w:val="000519E6"/>
    <w:rsid w:val="00051CA5"/>
    <w:rsid w:val="00051D49"/>
    <w:rsid w:val="00051FDD"/>
    <w:rsid w:val="00052098"/>
    <w:rsid w:val="00052107"/>
    <w:rsid w:val="000522D9"/>
    <w:rsid w:val="00052328"/>
    <w:rsid w:val="0005271D"/>
    <w:rsid w:val="00052AA5"/>
    <w:rsid w:val="00052C2B"/>
    <w:rsid w:val="00052EE1"/>
    <w:rsid w:val="00052F2C"/>
    <w:rsid w:val="00053072"/>
    <w:rsid w:val="000531A1"/>
    <w:rsid w:val="00053474"/>
    <w:rsid w:val="000539DD"/>
    <w:rsid w:val="00053E54"/>
    <w:rsid w:val="00054025"/>
    <w:rsid w:val="0005416D"/>
    <w:rsid w:val="0005427A"/>
    <w:rsid w:val="00054387"/>
    <w:rsid w:val="000543CB"/>
    <w:rsid w:val="00054761"/>
    <w:rsid w:val="00054E3D"/>
    <w:rsid w:val="00055054"/>
    <w:rsid w:val="000550BE"/>
    <w:rsid w:val="00055334"/>
    <w:rsid w:val="000554B2"/>
    <w:rsid w:val="000555D6"/>
    <w:rsid w:val="00055856"/>
    <w:rsid w:val="00055880"/>
    <w:rsid w:val="000558E9"/>
    <w:rsid w:val="000558FD"/>
    <w:rsid w:val="00055CD1"/>
    <w:rsid w:val="00055DCB"/>
    <w:rsid w:val="00055FF2"/>
    <w:rsid w:val="000563DF"/>
    <w:rsid w:val="000563E4"/>
    <w:rsid w:val="0005641D"/>
    <w:rsid w:val="000567C6"/>
    <w:rsid w:val="00056CE8"/>
    <w:rsid w:val="00057215"/>
    <w:rsid w:val="000576C8"/>
    <w:rsid w:val="000577B8"/>
    <w:rsid w:val="0005786E"/>
    <w:rsid w:val="00057AC3"/>
    <w:rsid w:val="00057C0B"/>
    <w:rsid w:val="00057C77"/>
    <w:rsid w:val="00057EB1"/>
    <w:rsid w:val="00057F02"/>
    <w:rsid w:val="00057F59"/>
    <w:rsid w:val="0006006A"/>
    <w:rsid w:val="0006010B"/>
    <w:rsid w:val="0006020E"/>
    <w:rsid w:val="00060405"/>
    <w:rsid w:val="000606CA"/>
    <w:rsid w:val="00060EBB"/>
    <w:rsid w:val="000610D5"/>
    <w:rsid w:val="000613E4"/>
    <w:rsid w:val="00061413"/>
    <w:rsid w:val="000615A2"/>
    <w:rsid w:val="000618A4"/>
    <w:rsid w:val="00061B35"/>
    <w:rsid w:val="00061DCD"/>
    <w:rsid w:val="00061DFE"/>
    <w:rsid w:val="00061F02"/>
    <w:rsid w:val="00062291"/>
    <w:rsid w:val="00062645"/>
    <w:rsid w:val="000628B7"/>
    <w:rsid w:val="00062AF5"/>
    <w:rsid w:val="00062CC2"/>
    <w:rsid w:val="00062F17"/>
    <w:rsid w:val="00062F74"/>
    <w:rsid w:val="0006313B"/>
    <w:rsid w:val="000631C6"/>
    <w:rsid w:val="000632CF"/>
    <w:rsid w:val="00063B72"/>
    <w:rsid w:val="00063D8A"/>
    <w:rsid w:val="00063DFF"/>
    <w:rsid w:val="00063F79"/>
    <w:rsid w:val="0006409D"/>
    <w:rsid w:val="00064278"/>
    <w:rsid w:val="00064448"/>
    <w:rsid w:val="0006447C"/>
    <w:rsid w:val="000644EE"/>
    <w:rsid w:val="00064650"/>
    <w:rsid w:val="00064FE2"/>
    <w:rsid w:val="00064FF4"/>
    <w:rsid w:val="00065594"/>
    <w:rsid w:val="000655F2"/>
    <w:rsid w:val="00065A34"/>
    <w:rsid w:val="00065ACD"/>
    <w:rsid w:val="000660C3"/>
    <w:rsid w:val="00066231"/>
    <w:rsid w:val="000663FA"/>
    <w:rsid w:val="00066442"/>
    <w:rsid w:val="00066618"/>
    <w:rsid w:val="00066A37"/>
    <w:rsid w:val="00066AF3"/>
    <w:rsid w:val="00066D43"/>
    <w:rsid w:val="00066F28"/>
    <w:rsid w:val="00066F9B"/>
    <w:rsid w:val="000670B6"/>
    <w:rsid w:val="000671EA"/>
    <w:rsid w:val="0006729C"/>
    <w:rsid w:val="000675F0"/>
    <w:rsid w:val="000676C0"/>
    <w:rsid w:val="00067C1B"/>
    <w:rsid w:val="00067CB5"/>
    <w:rsid w:val="00067CC0"/>
    <w:rsid w:val="00067E53"/>
    <w:rsid w:val="00067E9F"/>
    <w:rsid w:val="000702A3"/>
    <w:rsid w:val="00070394"/>
    <w:rsid w:val="000703D4"/>
    <w:rsid w:val="000705A1"/>
    <w:rsid w:val="000705EE"/>
    <w:rsid w:val="0007078B"/>
    <w:rsid w:val="00070CD9"/>
    <w:rsid w:val="00070CF2"/>
    <w:rsid w:val="00070F43"/>
    <w:rsid w:val="00071048"/>
    <w:rsid w:val="0007120D"/>
    <w:rsid w:val="0007191E"/>
    <w:rsid w:val="00071BE6"/>
    <w:rsid w:val="00071D8D"/>
    <w:rsid w:val="00071F04"/>
    <w:rsid w:val="000720D3"/>
    <w:rsid w:val="000720D7"/>
    <w:rsid w:val="00072124"/>
    <w:rsid w:val="000726B1"/>
    <w:rsid w:val="00072771"/>
    <w:rsid w:val="00072CB7"/>
    <w:rsid w:val="00072D4A"/>
    <w:rsid w:val="0007306C"/>
    <w:rsid w:val="00073195"/>
    <w:rsid w:val="000732B7"/>
    <w:rsid w:val="0007337E"/>
    <w:rsid w:val="00073731"/>
    <w:rsid w:val="0007384B"/>
    <w:rsid w:val="00073B6C"/>
    <w:rsid w:val="00073BA8"/>
    <w:rsid w:val="00073F1C"/>
    <w:rsid w:val="0007427F"/>
    <w:rsid w:val="0007437B"/>
    <w:rsid w:val="00074526"/>
    <w:rsid w:val="00074AB5"/>
    <w:rsid w:val="00074C1F"/>
    <w:rsid w:val="00074CBF"/>
    <w:rsid w:val="0007501D"/>
    <w:rsid w:val="00075032"/>
    <w:rsid w:val="00075131"/>
    <w:rsid w:val="00075704"/>
    <w:rsid w:val="00075813"/>
    <w:rsid w:val="00075B7E"/>
    <w:rsid w:val="00075F04"/>
    <w:rsid w:val="00075F5D"/>
    <w:rsid w:val="000769D3"/>
    <w:rsid w:val="00076A58"/>
    <w:rsid w:val="00076B12"/>
    <w:rsid w:val="00077120"/>
    <w:rsid w:val="000771DB"/>
    <w:rsid w:val="000777B8"/>
    <w:rsid w:val="00077A7B"/>
    <w:rsid w:val="00077B17"/>
    <w:rsid w:val="00077CA2"/>
    <w:rsid w:val="00077F02"/>
    <w:rsid w:val="00080060"/>
    <w:rsid w:val="000803E4"/>
    <w:rsid w:val="0008094B"/>
    <w:rsid w:val="00080971"/>
    <w:rsid w:val="00080A33"/>
    <w:rsid w:val="0008103B"/>
    <w:rsid w:val="00081139"/>
    <w:rsid w:val="00081360"/>
    <w:rsid w:val="00081607"/>
    <w:rsid w:val="00081DF1"/>
    <w:rsid w:val="00081E8A"/>
    <w:rsid w:val="00081E9B"/>
    <w:rsid w:val="0008222E"/>
    <w:rsid w:val="0008273D"/>
    <w:rsid w:val="0008283E"/>
    <w:rsid w:val="00082B42"/>
    <w:rsid w:val="00083249"/>
    <w:rsid w:val="0008336E"/>
    <w:rsid w:val="000833F4"/>
    <w:rsid w:val="000835E9"/>
    <w:rsid w:val="00083657"/>
    <w:rsid w:val="000839CF"/>
    <w:rsid w:val="00083AED"/>
    <w:rsid w:val="00083BAC"/>
    <w:rsid w:val="00083CF1"/>
    <w:rsid w:val="0008403A"/>
    <w:rsid w:val="0008410A"/>
    <w:rsid w:val="0008479C"/>
    <w:rsid w:val="00084B5A"/>
    <w:rsid w:val="0008538B"/>
    <w:rsid w:val="0008583E"/>
    <w:rsid w:val="000859F0"/>
    <w:rsid w:val="00085E80"/>
    <w:rsid w:val="000862CE"/>
    <w:rsid w:val="00086758"/>
    <w:rsid w:val="0008696A"/>
    <w:rsid w:val="00086A06"/>
    <w:rsid w:val="00086BD7"/>
    <w:rsid w:val="00086D9E"/>
    <w:rsid w:val="00086DD9"/>
    <w:rsid w:val="00086E37"/>
    <w:rsid w:val="000870E9"/>
    <w:rsid w:val="00087124"/>
    <w:rsid w:val="00087214"/>
    <w:rsid w:val="00087229"/>
    <w:rsid w:val="000877C4"/>
    <w:rsid w:val="000877E6"/>
    <w:rsid w:val="00087932"/>
    <w:rsid w:val="00087A7F"/>
    <w:rsid w:val="00087B72"/>
    <w:rsid w:val="00087B7D"/>
    <w:rsid w:val="00087D07"/>
    <w:rsid w:val="00087EF1"/>
    <w:rsid w:val="00087F1C"/>
    <w:rsid w:val="00090143"/>
    <w:rsid w:val="000906C5"/>
    <w:rsid w:val="000907D5"/>
    <w:rsid w:val="0009089E"/>
    <w:rsid w:val="0009092A"/>
    <w:rsid w:val="00090A34"/>
    <w:rsid w:val="00091361"/>
    <w:rsid w:val="0009160F"/>
    <w:rsid w:val="000916A6"/>
    <w:rsid w:val="000917B5"/>
    <w:rsid w:val="00091898"/>
    <w:rsid w:val="000919A9"/>
    <w:rsid w:val="00091AAA"/>
    <w:rsid w:val="00092469"/>
    <w:rsid w:val="000926C4"/>
    <w:rsid w:val="0009276C"/>
    <w:rsid w:val="000928D0"/>
    <w:rsid w:val="00092A1A"/>
    <w:rsid w:val="00092A97"/>
    <w:rsid w:val="000931A1"/>
    <w:rsid w:val="00093397"/>
    <w:rsid w:val="00093590"/>
    <w:rsid w:val="000935A9"/>
    <w:rsid w:val="00093720"/>
    <w:rsid w:val="0009380C"/>
    <w:rsid w:val="00093A5B"/>
    <w:rsid w:val="00093B00"/>
    <w:rsid w:val="00093B63"/>
    <w:rsid w:val="00093CB3"/>
    <w:rsid w:val="00093FBC"/>
    <w:rsid w:val="000940A5"/>
    <w:rsid w:val="000940B6"/>
    <w:rsid w:val="000943F8"/>
    <w:rsid w:val="000944BB"/>
    <w:rsid w:val="000944F0"/>
    <w:rsid w:val="00094AAD"/>
    <w:rsid w:val="00095018"/>
    <w:rsid w:val="00095098"/>
    <w:rsid w:val="000954A6"/>
    <w:rsid w:val="00095619"/>
    <w:rsid w:val="000957B8"/>
    <w:rsid w:val="0009594E"/>
    <w:rsid w:val="0009597B"/>
    <w:rsid w:val="00095A12"/>
    <w:rsid w:val="00095BF6"/>
    <w:rsid w:val="00095C3C"/>
    <w:rsid w:val="00095DCD"/>
    <w:rsid w:val="00096475"/>
    <w:rsid w:val="0009649F"/>
    <w:rsid w:val="00096642"/>
    <w:rsid w:val="0009668F"/>
    <w:rsid w:val="00096A2A"/>
    <w:rsid w:val="00096C22"/>
    <w:rsid w:val="00096F57"/>
    <w:rsid w:val="0009742E"/>
    <w:rsid w:val="00097548"/>
    <w:rsid w:val="00097687"/>
    <w:rsid w:val="0009772C"/>
    <w:rsid w:val="00097C29"/>
    <w:rsid w:val="00097E43"/>
    <w:rsid w:val="000A0068"/>
    <w:rsid w:val="000A050F"/>
    <w:rsid w:val="000A0882"/>
    <w:rsid w:val="000A0AD8"/>
    <w:rsid w:val="000A0E8F"/>
    <w:rsid w:val="000A0E9B"/>
    <w:rsid w:val="000A0F15"/>
    <w:rsid w:val="000A12E7"/>
    <w:rsid w:val="000A15F8"/>
    <w:rsid w:val="000A1664"/>
    <w:rsid w:val="000A180C"/>
    <w:rsid w:val="000A18D4"/>
    <w:rsid w:val="000A1A93"/>
    <w:rsid w:val="000A1CD0"/>
    <w:rsid w:val="000A1F48"/>
    <w:rsid w:val="000A2072"/>
    <w:rsid w:val="000A207F"/>
    <w:rsid w:val="000A22ED"/>
    <w:rsid w:val="000A2306"/>
    <w:rsid w:val="000A2799"/>
    <w:rsid w:val="000A2806"/>
    <w:rsid w:val="000A2935"/>
    <w:rsid w:val="000A2DD1"/>
    <w:rsid w:val="000A2E90"/>
    <w:rsid w:val="000A31E0"/>
    <w:rsid w:val="000A34D8"/>
    <w:rsid w:val="000A34E1"/>
    <w:rsid w:val="000A34F4"/>
    <w:rsid w:val="000A3898"/>
    <w:rsid w:val="000A3953"/>
    <w:rsid w:val="000A398B"/>
    <w:rsid w:val="000A3A22"/>
    <w:rsid w:val="000A3AD5"/>
    <w:rsid w:val="000A406E"/>
    <w:rsid w:val="000A4230"/>
    <w:rsid w:val="000A4354"/>
    <w:rsid w:val="000A456B"/>
    <w:rsid w:val="000A4652"/>
    <w:rsid w:val="000A4F17"/>
    <w:rsid w:val="000A546F"/>
    <w:rsid w:val="000A55D0"/>
    <w:rsid w:val="000A5BE3"/>
    <w:rsid w:val="000A60F7"/>
    <w:rsid w:val="000A62EA"/>
    <w:rsid w:val="000A63E5"/>
    <w:rsid w:val="000A6443"/>
    <w:rsid w:val="000A64B7"/>
    <w:rsid w:val="000A67ED"/>
    <w:rsid w:val="000A6864"/>
    <w:rsid w:val="000A6B02"/>
    <w:rsid w:val="000A6D6A"/>
    <w:rsid w:val="000A6F19"/>
    <w:rsid w:val="000A6F6A"/>
    <w:rsid w:val="000A747F"/>
    <w:rsid w:val="000A768E"/>
    <w:rsid w:val="000A7A7F"/>
    <w:rsid w:val="000A7ABB"/>
    <w:rsid w:val="000A7BC3"/>
    <w:rsid w:val="000A7BDF"/>
    <w:rsid w:val="000A7BE8"/>
    <w:rsid w:val="000B01E8"/>
    <w:rsid w:val="000B0205"/>
    <w:rsid w:val="000B068D"/>
    <w:rsid w:val="000B07FD"/>
    <w:rsid w:val="000B0B4D"/>
    <w:rsid w:val="000B0C3D"/>
    <w:rsid w:val="000B0CC8"/>
    <w:rsid w:val="000B0F8F"/>
    <w:rsid w:val="000B109F"/>
    <w:rsid w:val="000B10CD"/>
    <w:rsid w:val="000B11E3"/>
    <w:rsid w:val="000B14CE"/>
    <w:rsid w:val="000B1838"/>
    <w:rsid w:val="000B18A5"/>
    <w:rsid w:val="000B190B"/>
    <w:rsid w:val="000B19E8"/>
    <w:rsid w:val="000B19FB"/>
    <w:rsid w:val="000B1A10"/>
    <w:rsid w:val="000B1DEF"/>
    <w:rsid w:val="000B1F8F"/>
    <w:rsid w:val="000B20F9"/>
    <w:rsid w:val="000B22BA"/>
    <w:rsid w:val="000B25DA"/>
    <w:rsid w:val="000B2731"/>
    <w:rsid w:val="000B2834"/>
    <w:rsid w:val="000B2C33"/>
    <w:rsid w:val="000B2D11"/>
    <w:rsid w:val="000B2E16"/>
    <w:rsid w:val="000B2E18"/>
    <w:rsid w:val="000B31ED"/>
    <w:rsid w:val="000B3289"/>
    <w:rsid w:val="000B330A"/>
    <w:rsid w:val="000B336A"/>
    <w:rsid w:val="000B399E"/>
    <w:rsid w:val="000B3ABB"/>
    <w:rsid w:val="000B3C38"/>
    <w:rsid w:val="000B3CEA"/>
    <w:rsid w:val="000B3D19"/>
    <w:rsid w:val="000B3FE3"/>
    <w:rsid w:val="000B4584"/>
    <w:rsid w:val="000B4705"/>
    <w:rsid w:val="000B472E"/>
    <w:rsid w:val="000B481A"/>
    <w:rsid w:val="000B4B17"/>
    <w:rsid w:val="000B4BD8"/>
    <w:rsid w:val="000B4DA2"/>
    <w:rsid w:val="000B5032"/>
    <w:rsid w:val="000B5168"/>
    <w:rsid w:val="000B532F"/>
    <w:rsid w:val="000B5401"/>
    <w:rsid w:val="000B5562"/>
    <w:rsid w:val="000B56C6"/>
    <w:rsid w:val="000B5794"/>
    <w:rsid w:val="000B5974"/>
    <w:rsid w:val="000B5996"/>
    <w:rsid w:val="000B5DED"/>
    <w:rsid w:val="000B6030"/>
    <w:rsid w:val="000B606C"/>
    <w:rsid w:val="000B62D5"/>
    <w:rsid w:val="000B6802"/>
    <w:rsid w:val="000B683B"/>
    <w:rsid w:val="000B69BE"/>
    <w:rsid w:val="000B7042"/>
    <w:rsid w:val="000B70C8"/>
    <w:rsid w:val="000B7152"/>
    <w:rsid w:val="000B7401"/>
    <w:rsid w:val="000B7969"/>
    <w:rsid w:val="000B7B51"/>
    <w:rsid w:val="000B7DA4"/>
    <w:rsid w:val="000B7FC3"/>
    <w:rsid w:val="000C01BB"/>
    <w:rsid w:val="000C01EB"/>
    <w:rsid w:val="000C045B"/>
    <w:rsid w:val="000C0570"/>
    <w:rsid w:val="000C0704"/>
    <w:rsid w:val="000C0C61"/>
    <w:rsid w:val="000C0F21"/>
    <w:rsid w:val="000C0F61"/>
    <w:rsid w:val="000C1149"/>
    <w:rsid w:val="000C12D2"/>
    <w:rsid w:val="000C1449"/>
    <w:rsid w:val="000C14CD"/>
    <w:rsid w:val="000C16B0"/>
    <w:rsid w:val="000C17BE"/>
    <w:rsid w:val="000C1F2C"/>
    <w:rsid w:val="000C2136"/>
    <w:rsid w:val="000C2221"/>
    <w:rsid w:val="000C2844"/>
    <w:rsid w:val="000C2CD0"/>
    <w:rsid w:val="000C2F4E"/>
    <w:rsid w:val="000C3065"/>
    <w:rsid w:val="000C31AD"/>
    <w:rsid w:val="000C32F1"/>
    <w:rsid w:val="000C3555"/>
    <w:rsid w:val="000C35AE"/>
    <w:rsid w:val="000C3982"/>
    <w:rsid w:val="000C3B77"/>
    <w:rsid w:val="000C3BA8"/>
    <w:rsid w:val="000C3C99"/>
    <w:rsid w:val="000C40E4"/>
    <w:rsid w:val="000C47BA"/>
    <w:rsid w:val="000C4906"/>
    <w:rsid w:val="000C49D9"/>
    <w:rsid w:val="000C4BEE"/>
    <w:rsid w:val="000C4D72"/>
    <w:rsid w:val="000C507B"/>
    <w:rsid w:val="000C554F"/>
    <w:rsid w:val="000C55FE"/>
    <w:rsid w:val="000C5786"/>
    <w:rsid w:val="000C5D6D"/>
    <w:rsid w:val="000C5F42"/>
    <w:rsid w:val="000C60F9"/>
    <w:rsid w:val="000C61C6"/>
    <w:rsid w:val="000C6579"/>
    <w:rsid w:val="000C660D"/>
    <w:rsid w:val="000C6AD7"/>
    <w:rsid w:val="000C6E4A"/>
    <w:rsid w:val="000C708D"/>
    <w:rsid w:val="000C7151"/>
    <w:rsid w:val="000C73FB"/>
    <w:rsid w:val="000C75E6"/>
    <w:rsid w:val="000C76CC"/>
    <w:rsid w:val="000C7B03"/>
    <w:rsid w:val="000C7FA2"/>
    <w:rsid w:val="000D008A"/>
    <w:rsid w:val="000D0218"/>
    <w:rsid w:val="000D02EE"/>
    <w:rsid w:val="000D0406"/>
    <w:rsid w:val="000D040E"/>
    <w:rsid w:val="000D043D"/>
    <w:rsid w:val="000D0BAF"/>
    <w:rsid w:val="000D0E2F"/>
    <w:rsid w:val="000D0FE9"/>
    <w:rsid w:val="000D167C"/>
    <w:rsid w:val="000D1993"/>
    <w:rsid w:val="000D1A03"/>
    <w:rsid w:val="000D1A5C"/>
    <w:rsid w:val="000D1B98"/>
    <w:rsid w:val="000D1C53"/>
    <w:rsid w:val="000D1E9E"/>
    <w:rsid w:val="000D1FC2"/>
    <w:rsid w:val="000D20BF"/>
    <w:rsid w:val="000D21BF"/>
    <w:rsid w:val="000D22CF"/>
    <w:rsid w:val="000D2587"/>
    <w:rsid w:val="000D260B"/>
    <w:rsid w:val="000D266D"/>
    <w:rsid w:val="000D299A"/>
    <w:rsid w:val="000D2F34"/>
    <w:rsid w:val="000D3447"/>
    <w:rsid w:val="000D3517"/>
    <w:rsid w:val="000D35AB"/>
    <w:rsid w:val="000D364C"/>
    <w:rsid w:val="000D36C5"/>
    <w:rsid w:val="000D387B"/>
    <w:rsid w:val="000D3CFB"/>
    <w:rsid w:val="000D3DF0"/>
    <w:rsid w:val="000D3E1C"/>
    <w:rsid w:val="000D3E8A"/>
    <w:rsid w:val="000D409B"/>
    <w:rsid w:val="000D419C"/>
    <w:rsid w:val="000D4448"/>
    <w:rsid w:val="000D4469"/>
    <w:rsid w:val="000D44EE"/>
    <w:rsid w:val="000D457B"/>
    <w:rsid w:val="000D46F8"/>
    <w:rsid w:val="000D478E"/>
    <w:rsid w:val="000D48E8"/>
    <w:rsid w:val="000D4C4A"/>
    <w:rsid w:val="000D4E3E"/>
    <w:rsid w:val="000D51E2"/>
    <w:rsid w:val="000D51E4"/>
    <w:rsid w:val="000D5496"/>
    <w:rsid w:val="000D5602"/>
    <w:rsid w:val="000D5688"/>
    <w:rsid w:val="000D5824"/>
    <w:rsid w:val="000D5A84"/>
    <w:rsid w:val="000D5C12"/>
    <w:rsid w:val="000D6262"/>
    <w:rsid w:val="000D63DA"/>
    <w:rsid w:val="000D64F4"/>
    <w:rsid w:val="000D6628"/>
    <w:rsid w:val="000D668E"/>
    <w:rsid w:val="000D66D6"/>
    <w:rsid w:val="000D6797"/>
    <w:rsid w:val="000D6B50"/>
    <w:rsid w:val="000D6CF2"/>
    <w:rsid w:val="000D70A8"/>
    <w:rsid w:val="000D73B9"/>
    <w:rsid w:val="000D765C"/>
    <w:rsid w:val="000D76D5"/>
    <w:rsid w:val="000D7724"/>
    <w:rsid w:val="000D7788"/>
    <w:rsid w:val="000D798B"/>
    <w:rsid w:val="000D79E8"/>
    <w:rsid w:val="000E012C"/>
    <w:rsid w:val="000E06E9"/>
    <w:rsid w:val="000E0710"/>
    <w:rsid w:val="000E07B1"/>
    <w:rsid w:val="000E08C5"/>
    <w:rsid w:val="000E09BC"/>
    <w:rsid w:val="000E09D1"/>
    <w:rsid w:val="000E0A37"/>
    <w:rsid w:val="000E0BD0"/>
    <w:rsid w:val="000E0F10"/>
    <w:rsid w:val="000E1222"/>
    <w:rsid w:val="000E12A4"/>
    <w:rsid w:val="000E1351"/>
    <w:rsid w:val="000E13D3"/>
    <w:rsid w:val="000E1453"/>
    <w:rsid w:val="000E14FD"/>
    <w:rsid w:val="000E166F"/>
    <w:rsid w:val="000E16AF"/>
    <w:rsid w:val="000E1F90"/>
    <w:rsid w:val="000E207C"/>
    <w:rsid w:val="000E20BC"/>
    <w:rsid w:val="000E2329"/>
    <w:rsid w:val="000E2546"/>
    <w:rsid w:val="000E265D"/>
    <w:rsid w:val="000E270B"/>
    <w:rsid w:val="000E2877"/>
    <w:rsid w:val="000E2A5E"/>
    <w:rsid w:val="000E2AAB"/>
    <w:rsid w:val="000E2BC9"/>
    <w:rsid w:val="000E3000"/>
    <w:rsid w:val="000E31D5"/>
    <w:rsid w:val="000E31F9"/>
    <w:rsid w:val="000E34C7"/>
    <w:rsid w:val="000E37D4"/>
    <w:rsid w:val="000E3B35"/>
    <w:rsid w:val="000E3C24"/>
    <w:rsid w:val="000E3C4A"/>
    <w:rsid w:val="000E3D4B"/>
    <w:rsid w:val="000E403F"/>
    <w:rsid w:val="000E41B0"/>
    <w:rsid w:val="000E4329"/>
    <w:rsid w:val="000E46B3"/>
    <w:rsid w:val="000E472E"/>
    <w:rsid w:val="000E47A8"/>
    <w:rsid w:val="000E4AD5"/>
    <w:rsid w:val="000E4C90"/>
    <w:rsid w:val="000E4E84"/>
    <w:rsid w:val="000E5205"/>
    <w:rsid w:val="000E5242"/>
    <w:rsid w:val="000E5349"/>
    <w:rsid w:val="000E539F"/>
    <w:rsid w:val="000E595C"/>
    <w:rsid w:val="000E5A97"/>
    <w:rsid w:val="000E5CC9"/>
    <w:rsid w:val="000E5E70"/>
    <w:rsid w:val="000E5EAD"/>
    <w:rsid w:val="000E604F"/>
    <w:rsid w:val="000E63DC"/>
    <w:rsid w:val="000E640C"/>
    <w:rsid w:val="000E6505"/>
    <w:rsid w:val="000E6529"/>
    <w:rsid w:val="000E672B"/>
    <w:rsid w:val="000E6B53"/>
    <w:rsid w:val="000E6C77"/>
    <w:rsid w:val="000E6C8D"/>
    <w:rsid w:val="000E6F39"/>
    <w:rsid w:val="000E7248"/>
    <w:rsid w:val="000E7313"/>
    <w:rsid w:val="000E7382"/>
    <w:rsid w:val="000E73C9"/>
    <w:rsid w:val="000E75BC"/>
    <w:rsid w:val="000E76B8"/>
    <w:rsid w:val="000E76D9"/>
    <w:rsid w:val="000E7973"/>
    <w:rsid w:val="000E7A40"/>
    <w:rsid w:val="000E7A9B"/>
    <w:rsid w:val="000E7AA5"/>
    <w:rsid w:val="000E7B38"/>
    <w:rsid w:val="000E7E31"/>
    <w:rsid w:val="000F0173"/>
    <w:rsid w:val="000F0367"/>
    <w:rsid w:val="000F04EA"/>
    <w:rsid w:val="000F0690"/>
    <w:rsid w:val="000F0D5E"/>
    <w:rsid w:val="000F1071"/>
    <w:rsid w:val="000F10E2"/>
    <w:rsid w:val="000F1469"/>
    <w:rsid w:val="000F14F6"/>
    <w:rsid w:val="000F174F"/>
    <w:rsid w:val="000F17B9"/>
    <w:rsid w:val="000F1BF8"/>
    <w:rsid w:val="000F225D"/>
    <w:rsid w:val="000F24E3"/>
    <w:rsid w:val="000F280C"/>
    <w:rsid w:val="000F28BC"/>
    <w:rsid w:val="000F2DC9"/>
    <w:rsid w:val="000F318B"/>
    <w:rsid w:val="000F3271"/>
    <w:rsid w:val="000F35D5"/>
    <w:rsid w:val="000F363D"/>
    <w:rsid w:val="000F374F"/>
    <w:rsid w:val="000F39E8"/>
    <w:rsid w:val="000F3AC5"/>
    <w:rsid w:val="000F3C7C"/>
    <w:rsid w:val="000F3EDB"/>
    <w:rsid w:val="000F3F31"/>
    <w:rsid w:val="000F403B"/>
    <w:rsid w:val="000F4188"/>
    <w:rsid w:val="000F4214"/>
    <w:rsid w:val="000F4360"/>
    <w:rsid w:val="000F47F7"/>
    <w:rsid w:val="000F4836"/>
    <w:rsid w:val="000F48E6"/>
    <w:rsid w:val="000F4BC1"/>
    <w:rsid w:val="000F4E47"/>
    <w:rsid w:val="000F4F05"/>
    <w:rsid w:val="000F543C"/>
    <w:rsid w:val="000F54AE"/>
    <w:rsid w:val="000F558C"/>
    <w:rsid w:val="000F5750"/>
    <w:rsid w:val="000F5772"/>
    <w:rsid w:val="000F584A"/>
    <w:rsid w:val="000F58AC"/>
    <w:rsid w:val="000F5F9B"/>
    <w:rsid w:val="000F64A4"/>
    <w:rsid w:val="000F681E"/>
    <w:rsid w:val="000F6A3C"/>
    <w:rsid w:val="000F6BBD"/>
    <w:rsid w:val="000F6BD5"/>
    <w:rsid w:val="000F6BEA"/>
    <w:rsid w:val="000F6FC2"/>
    <w:rsid w:val="000F710D"/>
    <w:rsid w:val="000F753D"/>
    <w:rsid w:val="000F7A6F"/>
    <w:rsid w:val="000F7F02"/>
    <w:rsid w:val="00100045"/>
    <w:rsid w:val="00100198"/>
    <w:rsid w:val="001002E8"/>
    <w:rsid w:val="0010031F"/>
    <w:rsid w:val="0010042B"/>
    <w:rsid w:val="001008C4"/>
    <w:rsid w:val="00100F49"/>
    <w:rsid w:val="00100F88"/>
    <w:rsid w:val="0010107F"/>
    <w:rsid w:val="001010F9"/>
    <w:rsid w:val="0010141E"/>
    <w:rsid w:val="001014E5"/>
    <w:rsid w:val="00101794"/>
    <w:rsid w:val="00101A81"/>
    <w:rsid w:val="00101AA7"/>
    <w:rsid w:val="00101BE2"/>
    <w:rsid w:val="00102435"/>
    <w:rsid w:val="00102501"/>
    <w:rsid w:val="001025A9"/>
    <w:rsid w:val="001028CC"/>
    <w:rsid w:val="001029C9"/>
    <w:rsid w:val="00102CF4"/>
    <w:rsid w:val="00102CF6"/>
    <w:rsid w:val="00102D36"/>
    <w:rsid w:val="00103193"/>
    <w:rsid w:val="001032E6"/>
    <w:rsid w:val="001033B5"/>
    <w:rsid w:val="00103696"/>
    <w:rsid w:val="0010370D"/>
    <w:rsid w:val="0010398B"/>
    <w:rsid w:val="00103B61"/>
    <w:rsid w:val="00103F38"/>
    <w:rsid w:val="00104423"/>
    <w:rsid w:val="001045F6"/>
    <w:rsid w:val="00104CFA"/>
    <w:rsid w:val="00105274"/>
    <w:rsid w:val="001053C3"/>
    <w:rsid w:val="001053D4"/>
    <w:rsid w:val="001054E5"/>
    <w:rsid w:val="00105567"/>
    <w:rsid w:val="0010579D"/>
    <w:rsid w:val="00105A8A"/>
    <w:rsid w:val="00105CD4"/>
    <w:rsid w:val="00105F03"/>
    <w:rsid w:val="00105F94"/>
    <w:rsid w:val="00106046"/>
    <w:rsid w:val="001060F3"/>
    <w:rsid w:val="00106147"/>
    <w:rsid w:val="001061D8"/>
    <w:rsid w:val="0010633C"/>
    <w:rsid w:val="0010645C"/>
    <w:rsid w:val="00106484"/>
    <w:rsid w:val="001066E2"/>
    <w:rsid w:val="00106869"/>
    <w:rsid w:val="00106BF9"/>
    <w:rsid w:val="001071E1"/>
    <w:rsid w:val="00107276"/>
    <w:rsid w:val="0010738B"/>
    <w:rsid w:val="00107541"/>
    <w:rsid w:val="001075EF"/>
    <w:rsid w:val="001075FF"/>
    <w:rsid w:val="00107637"/>
    <w:rsid w:val="001076C2"/>
    <w:rsid w:val="0010771C"/>
    <w:rsid w:val="001077DE"/>
    <w:rsid w:val="00107876"/>
    <w:rsid w:val="00107B62"/>
    <w:rsid w:val="0011001F"/>
    <w:rsid w:val="001100C1"/>
    <w:rsid w:val="00110291"/>
    <w:rsid w:val="0011054D"/>
    <w:rsid w:val="00110A18"/>
    <w:rsid w:val="00110BBC"/>
    <w:rsid w:val="00110E08"/>
    <w:rsid w:val="001111A0"/>
    <w:rsid w:val="00111297"/>
    <w:rsid w:val="00111316"/>
    <w:rsid w:val="001114F7"/>
    <w:rsid w:val="00111A74"/>
    <w:rsid w:val="00111CAD"/>
    <w:rsid w:val="00111DAA"/>
    <w:rsid w:val="0011222C"/>
    <w:rsid w:val="001122C9"/>
    <w:rsid w:val="00112312"/>
    <w:rsid w:val="001125FD"/>
    <w:rsid w:val="00112714"/>
    <w:rsid w:val="0011289B"/>
    <w:rsid w:val="00112BA9"/>
    <w:rsid w:val="00112BC2"/>
    <w:rsid w:val="00112C35"/>
    <w:rsid w:val="00112F0E"/>
    <w:rsid w:val="00113003"/>
    <w:rsid w:val="00113124"/>
    <w:rsid w:val="00113190"/>
    <w:rsid w:val="00113627"/>
    <w:rsid w:val="00113D83"/>
    <w:rsid w:val="00113E15"/>
    <w:rsid w:val="0011417B"/>
    <w:rsid w:val="0011424F"/>
    <w:rsid w:val="001146B8"/>
    <w:rsid w:val="001148B8"/>
    <w:rsid w:val="00114A34"/>
    <w:rsid w:val="00114B60"/>
    <w:rsid w:val="00114EFC"/>
    <w:rsid w:val="0011536D"/>
    <w:rsid w:val="00115487"/>
    <w:rsid w:val="001157B6"/>
    <w:rsid w:val="001157EE"/>
    <w:rsid w:val="00115ADA"/>
    <w:rsid w:val="00115D09"/>
    <w:rsid w:val="00115D0B"/>
    <w:rsid w:val="00115EFA"/>
    <w:rsid w:val="00115FFE"/>
    <w:rsid w:val="0011607B"/>
    <w:rsid w:val="0011621C"/>
    <w:rsid w:val="0011660E"/>
    <w:rsid w:val="0011670B"/>
    <w:rsid w:val="00117064"/>
    <w:rsid w:val="001170CA"/>
    <w:rsid w:val="001170F8"/>
    <w:rsid w:val="0011710E"/>
    <w:rsid w:val="0011724E"/>
    <w:rsid w:val="001172EB"/>
    <w:rsid w:val="00117374"/>
    <w:rsid w:val="001173E0"/>
    <w:rsid w:val="001175A4"/>
    <w:rsid w:val="00117631"/>
    <w:rsid w:val="00117951"/>
    <w:rsid w:val="00117E80"/>
    <w:rsid w:val="00117F1C"/>
    <w:rsid w:val="00120073"/>
    <w:rsid w:val="00120198"/>
    <w:rsid w:val="0012028C"/>
    <w:rsid w:val="001202C0"/>
    <w:rsid w:val="001202E4"/>
    <w:rsid w:val="0012034E"/>
    <w:rsid w:val="001203A2"/>
    <w:rsid w:val="001204E9"/>
    <w:rsid w:val="00120552"/>
    <w:rsid w:val="00120789"/>
    <w:rsid w:val="00120BEA"/>
    <w:rsid w:val="00120C39"/>
    <w:rsid w:val="00121196"/>
    <w:rsid w:val="00121483"/>
    <w:rsid w:val="001214DD"/>
    <w:rsid w:val="00121522"/>
    <w:rsid w:val="001216AB"/>
    <w:rsid w:val="00121723"/>
    <w:rsid w:val="00121908"/>
    <w:rsid w:val="001220C9"/>
    <w:rsid w:val="0012237F"/>
    <w:rsid w:val="001225AF"/>
    <w:rsid w:val="00122750"/>
    <w:rsid w:val="00122EFD"/>
    <w:rsid w:val="00122F57"/>
    <w:rsid w:val="00123060"/>
    <w:rsid w:val="00123224"/>
    <w:rsid w:val="001233BC"/>
    <w:rsid w:val="001237A5"/>
    <w:rsid w:val="00123CDB"/>
    <w:rsid w:val="00123DBA"/>
    <w:rsid w:val="00123F38"/>
    <w:rsid w:val="00123F4D"/>
    <w:rsid w:val="00124391"/>
    <w:rsid w:val="00124491"/>
    <w:rsid w:val="00124575"/>
    <w:rsid w:val="001246D2"/>
    <w:rsid w:val="001246EF"/>
    <w:rsid w:val="0012496A"/>
    <w:rsid w:val="00124A89"/>
    <w:rsid w:val="00124CB8"/>
    <w:rsid w:val="00124E7D"/>
    <w:rsid w:val="00125112"/>
    <w:rsid w:val="0012527F"/>
    <w:rsid w:val="001252DC"/>
    <w:rsid w:val="0012567B"/>
    <w:rsid w:val="001258AE"/>
    <w:rsid w:val="001259C4"/>
    <w:rsid w:val="00125B3E"/>
    <w:rsid w:val="00125C36"/>
    <w:rsid w:val="00125FB8"/>
    <w:rsid w:val="00126044"/>
    <w:rsid w:val="0012627C"/>
    <w:rsid w:val="0012638D"/>
    <w:rsid w:val="00126995"/>
    <w:rsid w:val="00126D0C"/>
    <w:rsid w:val="0012700E"/>
    <w:rsid w:val="00127130"/>
    <w:rsid w:val="0012714E"/>
    <w:rsid w:val="0012733D"/>
    <w:rsid w:val="0012744C"/>
    <w:rsid w:val="00127819"/>
    <w:rsid w:val="00127961"/>
    <w:rsid w:val="00127B48"/>
    <w:rsid w:val="00127B8A"/>
    <w:rsid w:val="00127CF7"/>
    <w:rsid w:val="001304D2"/>
    <w:rsid w:val="001307E2"/>
    <w:rsid w:val="00130BC8"/>
    <w:rsid w:val="00131230"/>
    <w:rsid w:val="0013125D"/>
    <w:rsid w:val="00131307"/>
    <w:rsid w:val="0013144E"/>
    <w:rsid w:val="001316F3"/>
    <w:rsid w:val="001319F8"/>
    <w:rsid w:val="00131AC8"/>
    <w:rsid w:val="00131B82"/>
    <w:rsid w:val="00131E07"/>
    <w:rsid w:val="00131EE9"/>
    <w:rsid w:val="00131F5C"/>
    <w:rsid w:val="00131F84"/>
    <w:rsid w:val="0013209F"/>
    <w:rsid w:val="00132512"/>
    <w:rsid w:val="00132783"/>
    <w:rsid w:val="0013287F"/>
    <w:rsid w:val="00132C06"/>
    <w:rsid w:val="00132C0B"/>
    <w:rsid w:val="00132CCF"/>
    <w:rsid w:val="00132F8E"/>
    <w:rsid w:val="0013300A"/>
    <w:rsid w:val="001331AF"/>
    <w:rsid w:val="001332EA"/>
    <w:rsid w:val="001333CC"/>
    <w:rsid w:val="00133412"/>
    <w:rsid w:val="00133483"/>
    <w:rsid w:val="0013397F"/>
    <w:rsid w:val="00133B19"/>
    <w:rsid w:val="00133C0B"/>
    <w:rsid w:val="00133E6F"/>
    <w:rsid w:val="00134140"/>
    <w:rsid w:val="00134254"/>
    <w:rsid w:val="001342C4"/>
    <w:rsid w:val="001344AE"/>
    <w:rsid w:val="001346B1"/>
    <w:rsid w:val="00134820"/>
    <w:rsid w:val="001348DA"/>
    <w:rsid w:val="00134E83"/>
    <w:rsid w:val="0013500A"/>
    <w:rsid w:val="001350E3"/>
    <w:rsid w:val="00135188"/>
    <w:rsid w:val="0013520D"/>
    <w:rsid w:val="001353AA"/>
    <w:rsid w:val="001354A6"/>
    <w:rsid w:val="001354D4"/>
    <w:rsid w:val="00135579"/>
    <w:rsid w:val="001355A5"/>
    <w:rsid w:val="001359C3"/>
    <w:rsid w:val="00135A8C"/>
    <w:rsid w:val="00135BB9"/>
    <w:rsid w:val="00135CC8"/>
    <w:rsid w:val="00135CCB"/>
    <w:rsid w:val="00135F56"/>
    <w:rsid w:val="00136447"/>
    <w:rsid w:val="00136488"/>
    <w:rsid w:val="001365B8"/>
    <w:rsid w:val="001367C6"/>
    <w:rsid w:val="00136B8D"/>
    <w:rsid w:val="00136C31"/>
    <w:rsid w:val="00136C58"/>
    <w:rsid w:val="00136D60"/>
    <w:rsid w:val="00136E02"/>
    <w:rsid w:val="001371CB"/>
    <w:rsid w:val="001372E0"/>
    <w:rsid w:val="00137340"/>
    <w:rsid w:val="001373C3"/>
    <w:rsid w:val="0013754E"/>
    <w:rsid w:val="00137789"/>
    <w:rsid w:val="00137799"/>
    <w:rsid w:val="001377FA"/>
    <w:rsid w:val="001377FC"/>
    <w:rsid w:val="0013799A"/>
    <w:rsid w:val="00137C1D"/>
    <w:rsid w:val="00137D90"/>
    <w:rsid w:val="00137E1C"/>
    <w:rsid w:val="0014051B"/>
    <w:rsid w:val="00141103"/>
    <w:rsid w:val="0014132F"/>
    <w:rsid w:val="001414D6"/>
    <w:rsid w:val="001414F6"/>
    <w:rsid w:val="0014157F"/>
    <w:rsid w:val="001417A3"/>
    <w:rsid w:val="00141A27"/>
    <w:rsid w:val="00141AEB"/>
    <w:rsid w:val="00141C3D"/>
    <w:rsid w:val="00141C7F"/>
    <w:rsid w:val="00141D4C"/>
    <w:rsid w:val="00141D99"/>
    <w:rsid w:val="00141EC0"/>
    <w:rsid w:val="00141FBC"/>
    <w:rsid w:val="00141FC2"/>
    <w:rsid w:val="0014243C"/>
    <w:rsid w:val="0014265B"/>
    <w:rsid w:val="0014292C"/>
    <w:rsid w:val="00142BDB"/>
    <w:rsid w:val="00142D21"/>
    <w:rsid w:val="00142D89"/>
    <w:rsid w:val="00142ECC"/>
    <w:rsid w:val="0014307B"/>
    <w:rsid w:val="00143155"/>
    <w:rsid w:val="00143332"/>
    <w:rsid w:val="00143481"/>
    <w:rsid w:val="001437D1"/>
    <w:rsid w:val="0014385F"/>
    <w:rsid w:val="00143C77"/>
    <w:rsid w:val="00143E67"/>
    <w:rsid w:val="00144201"/>
    <w:rsid w:val="00144206"/>
    <w:rsid w:val="00144367"/>
    <w:rsid w:val="0014498B"/>
    <w:rsid w:val="00144B9F"/>
    <w:rsid w:val="00144D59"/>
    <w:rsid w:val="00144D5B"/>
    <w:rsid w:val="00145338"/>
    <w:rsid w:val="001453D6"/>
    <w:rsid w:val="00145575"/>
    <w:rsid w:val="001459B8"/>
    <w:rsid w:val="001459FF"/>
    <w:rsid w:val="00145D24"/>
    <w:rsid w:val="00145D7C"/>
    <w:rsid w:val="00145ECE"/>
    <w:rsid w:val="001463C7"/>
    <w:rsid w:val="0014646F"/>
    <w:rsid w:val="001466F4"/>
    <w:rsid w:val="00146792"/>
    <w:rsid w:val="0014691C"/>
    <w:rsid w:val="00146C25"/>
    <w:rsid w:val="00146D63"/>
    <w:rsid w:val="00146E5C"/>
    <w:rsid w:val="00146EDF"/>
    <w:rsid w:val="00147168"/>
    <w:rsid w:val="001472E5"/>
    <w:rsid w:val="00147426"/>
    <w:rsid w:val="00147510"/>
    <w:rsid w:val="00147771"/>
    <w:rsid w:val="001479EF"/>
    <w:rsid w:val="00147C58"/>
    <w:rsid w:val="001506FE"/>
    <w:rsid w:val="001518BC"/>
    <w:rsid w:val="00151A0F"/>
    <w:rsid w:val="00151E45"/>
    <w:rsid w:val="0015210D"/>
    <w:rsid w:val="0015266D"/>
    <w:rsid w:val="001527D8"/>
    <w:rsid w:val="00152A20"/>
    <w:rsid w:val="00152AEC"/>
    <w:rsid w:val="0015335D"/>
    <w:rsid w:val="00153781"/>
    <w:rsid w:val="00153A95"/>
    <w:rsid w:val="00153ABB"/>
    <w:rsid w:val="00153C56"/>
    <w:rsid w:val="00153CE5"/>
    <w:rsid w:val="00153E72"/>
    <w:rsid w:val="001540C5"/>
    <w:rsid w:val="0015411F"/>
    <w:rsid w:val="00154174"/>
    <w:rsid w:val="00154EE7"/>
    <w:rsid w:val="00155480"/>
    <w:rsid w:val="00155578"/>
    <w:rsid w:val="001555B7"/>
    <w:rsid w:val="00155B61"/>
    <w:rsid w:val="00155C95"/>
    <w:rsid w:val="00155E34"/>
    <w:rsid w:val="00156253"/>
    <w:rsid w:val="00156753"/>
    <w:rsid w:val="00156B73"/>
    <w:rsid w:val="00156F94"/>
    <w:rsid w:val="001570FC"/>
    <w:rsid w:val="0015720E"/>
    <w:rsid w:val="00157221"/>
    <w:rsid w:val="001573DB"/>
    <w:rsid w:val="00157506"/>
    <w:rsid w:val="0015760B"/>
    <w:rsid w:val="0015766D"/>
    <w:rsid w:val="0015768A"/>
    <w:rsid w:val="0015778D"/>
    <w:rsid w:val="00157829"/>
    <w:rsid w:val="00157E21"/>
    <w:rsid w:val="00160183"/>
    <w:rsid w:val="001603B0"/>
    <w:rsid w:val="001608C1"/>
    <w:rsid w:val="00160E5D"/>
    <w:rsid w:val="00160EE8"/>
    <w:rsid w:val="001613DD"/>
    <w:rsid w:val="00161446"/>
    <w:rsid w:val="00161504"/>
    <w:rsid w:val="00161EFE"/>
    <w:rsid w:val="00162205"/>
    <w:rsid w:val="00162274"/>
    <w:rsid w:val="001623C6"/>
    <w:rsid w:val="00162406"/>
    <w:rsid w:val="0016265C"/>
    <w:rsid w:val="001626C7"/>
    <w:rsid w:val="0016271D"/>
    <w:rsid w:val="0016272F"/>
    <w:rsid w:val="00162774"/>
    <w:rsid w:val="0016295E"/>
    <w:rsid w:val="00162C58"/>
    <w:rsid w:val="00162D01"/>
    <w:rsid w:val="00162DA4"/>
    <w:rsid w:val="00162FBE"/>
    <w:rsid w:val="00163091"/>
    <w:rsid w:val="00163142"/>
    <w:rsid w:val="0016340D"/>
    <w:rsid w:val="001634EF"/>
    <w:rsid w:val="00163B65"/>
    <w:rsid w:val="00163D90"/>
    <w:rsid w:val="00163DBE"/>
    <w:rsid w:val="0016421B"/>
    <w:rsid w:val="001642CB"/>
    <w:rsid w:val="0016442A"/>
    <w:rsid w:val="00164531"/>
    <w:rsid w:val="00164540"/>
    <w:rsid w:val="0016481B"/>
    <w:rsid w:val="00164C9C"/>
    <w:rsid w:val="00164F4A"/>
    <w:rsid w:val="00165340"/>
    <w:rsid w:val="00165451"/>
    <w:rsid w:val="001658F6"/>
    <w:rsid w:val="00165FFF"/>
    <w:rsid w:val="0016631F"/>
    <w:rsid w:val="001664F6"/>
    <w:rsid w:val="00166A50"/>
    <w:rsid w:val="00166AB9"/>
    <w:rsid w:val="00166B36"/>
    <w:rsid w:val="00166B9F"/>
    <w:rsid w:val="00166C4D"/>
    <w:rsid w:val="00166CC2"/>
    <w:rsid w:val="00167244"/>
    <w:rsid w:val="0016740A"/>
    <w:rsid w:val="001676DB"/>
    <w:rsid w:val="00167728"/>
    <w:rsid w:val="00167764"/>
    <w:rsid w:val="0016792E"/>
    <w:rsid w:val="00167DA7"/>
    <w:rsid w:val="00167F2B"/>
    <w:rsid w:val="00167F56"/>
    <w:rsid w:val="00167FBD"/>
    <w:rsid w:val="001701BB"/>
    <w:rsid w:val="00170234"/>
    <w:rsid w:val="00170309"/>
    <w:rsid w:val="00170389"/>
    <w:rsid w:val="001705D8"/>
    <w:rsid w:val="00170AB5"/>
    <w:rsid w:val="00170B20"/>
    <w:rsid w:val="00170BB8"/>
    <w:rsid w:val="00171057"/>
    <w:rsid w:val="0017109D"/>
    <w:rsid w:val="001710AE"/>
    <w:rsid w:val="001711BB"/>
    <w:rsid w:val="0017149B"/>
    <w:rsid w:val="00171687"/>
    <w:rsid w:val="00171698"/>
    <w:rsid w:val="001719B4"/>
    <w:rsid w:val="00171AB7"/>
    <w:rsid w:val="00171AD8"/>
    <w:rsid w:val="00171E1E"/>
    <w:rsid w:val="0017245A"/>
    <w:rsid w:val="0017259E"/>
    <w:rsid w:val="00172755"/>
    <w:rsid w:val="00172785"/>
    <w:rsid w:val="00172A27"/>
    <w:rsid w:val="00172ADF"/>
    <w:rsid w:val="0017305F"/>
    <w:rsid w:val="0017332F"/>
    <w:rsid w:val="0017338E"/>
    <w:rsid w:val="001736F8"/>
    <w:rsid w:val="00173A54"/>
    <w:rsid w:val="00173CDE"/>
    <w:rsid w:val="00173E77"/>
    <w:rsid w:val="00173E8A"/>
    <w:rsid w:val="00173F74"/>
    <w:rsid w:val="00173FC0"/>
    <w:rsid w:val="00173FD6"/>
    <w:rsid w:val="00174141"/>
    <w:rsid w:val="0017449F"/>
    <w:rsid w:val="00174521"/>
    <w:rsid w:val="001748FB"/>
    <w:rsid w:val="00174983"/>
    <w:rsid w:val="00174B26"/>
    <w:rsid w:val="00174E4A"/>
    <w:rsid w:val="00174F59"/>
    <w:rsid w:val="0017517F"/>
    <w:rsid w:val="001751D2"/>
    <w:rsid w:val="001752FA"/>
    <w:rsid w:val="0017532B"/>
    <w:rsid w:val="00175411"/>
    <w:rsid w:val="001757BD"/>
    <w:rsid w:val="0017592E"/>
    <w:rsid w:val="0017597F"/>
    <w:rsid w:val="00175CF0"/>
    <w:rsid w:val="00176107"/>
    <w:rsid w:val="001762FE"/>
    <w:rsid w:val="00176505"/>
    <w:rsid w:val="001768E3"/>
    <w:rsid w:val="00176D0A"/>
    <w:rsid w:val="00176D62"/>
    <w:rsid w:val="0017761A"/>
    <w:rsid w:val="00177657"/>
    <w:rsid w:val="00177842"/>
    <w:rsid w:val="0017791D"/>
    <w:rsid w:val="001779B2"/>
    <w:rsid w:val="00177AF7"/>
    <w:rsid w:val="00177FF7"/>
    <w:rsid w:val="00180174"/>
    <w:rsid w:val="001809D5"/>
    <w:rsid w:val="00180B76"/>
    <w:rsid w:val="00180C09"/>
    <w:rsid w:val="00180CE2"/>
    <w:rsid w:val="00180D1B"/>
    <w:rsid w:val="00181814"/>
    <w:rsid w:val="00181A33"/>
    <w:rsid w:val="00182290"/>
    <w:rsid w:val="00182323"/>
    <w:rsid w:val="0018273D"/>
    <w:rsid w:val="00183254"/>
    <w:rsid w:val="00183698"/>
    <w:rsid w:val="00183CE8"/>
    <w:rsid w:val="00183E05"/>
    <w:rsid w:val="001840EA"/>
    <w:rsid w:val="001842C0"/>
    <w:rsid w:val="00184468"/>
    <w:rsid w:val="0018448E"/>
    <w:rsid w:val="00184691"/>
    <w:rsid w:val="00184C17"/>
    <w:rsid w:val="00184CD1"/>
    <w:rsid w:val="00184E2F"/>
    <w:rsid w:val="00184FCA"/>
    <w:rsid w:val="00185007"/>
    <w:rsid w:val="00185170"/>
    <w:rsid w:val="0018528A"/>
    <w:rsid w:val="00185323"/>
    <w:rsid w:val="001853DE"/>
    <w:rsid w:val="001855D7"/>
    <w:rsid w:val="0018585B"/>
    <w:rsid w:val="00185B64"/>
    <w:rsid w:val="00185C1A"/>
    <w:rsid w:val="00185CB5"/>
    <w:rsid w:val="00185FC7"/>
    <w:rsid w:val="00186298"/>
    <w:rsid w:val="00186774"/>
    <w:rsid w:val="0018682A"/>
    <w:rsid w:val="00186982"/>
    <w:rsid w:val="00186B95"/>
    <w:rsid w:val="00186BCD"/>
    <w:rsid w:val="00186D36"/>
    <w:rsid w:val="001872C4"/>
    <w:rsid w:val="00187316"/>
    <w:rsid w:val="00187317"/>
    <w:rsid w:val="001875C2"/>
    <w:rsid w:val="0018796D"/>
    <w:rsid w:val="001879A6"/>
    <w:rsid w:val="00187D4E"/>
    <w:rsid w:val="00187EB3"/>
    <w:rsid w:val="00187F90"/>
    <w:rsid w:val="00187F9E"/>
    <w:rsid w:val="0019013C"/>
    <w:rsid w:val="00190296"/>
    <w:rsid w:val="001902E3"/>
    <w:rsid w:val="0019041B"/>
    <w:rsid w:val="0019077A"/>
    <w:rsid w:val="00190A39"/>
    <w:rsid w:val="00190B86"/>
    <w:rsid w:val="00190CB5"/>
    <w:rsid w:val="00191434"/>
    <w:rsid w:val="00191743"/>
    <w:rsid w:val="001917A7"/>
    <w:rsid w:val="00191A23"/>
    <w:rsid w:val="00191A6F"/>
    <w:rsid w:val="00191CC8"/>
    <w:rsid w:val="00191CF8"/>
    <w:rsid w:val="001920D0"/>
    <w:rsid w:val="00192221"/>
    <w:rsid w:val="001922C0"/>
    <w:rsid w:val="001924DC"/>
    <w:rsid w:val="001926EB"/>
    <w:rsid w:val="001928B3"/>
    <w:rsid w:val="001929AD"/>
    <w:rsid w:val="001929D6"/>
    <w:rsid w:val="00192C35"/>
    <w:rsid w:val="00192DAC"/>
    <w:rsid w:val="00192DF8"/>
    <w:rsid w:val="0019317B"/>
    <w:rsid w:val="00193196"/>
    <w:rsid w:val="001931B3"/>
    <w:rsid w:val="001933F6"/>
    <w:rsid w:val="001935B2"/>
    <w:rsid w:val="00193612"/>
    <w:rsid w:val="001936CF"/>
    <w:rsid w:val="00193A26"/>
    <w:rsid w:val="00193A76"/>
    <w:rsid w:val="00193C71"/>
    <w:rsid w:val="00193D3F"/>
    <w:rsid w:val="00193F40"/>
    <w:rsid w:val="0019417E"/>
    <w:rsid w:val="001941FC"/>
    <w:rsid w:val="001942FA"/>
    <w:rsid w:val="00194735"/>
    <w:rsid w:val="00194A77"/>
    <w:rsid w:val="00194BB8"/>
    <w:rsid w:val="00194CC4"/>
    <w:rsid w:val="00194E6F"/>
    <w:rsid w:val="00194FBF"/>
    <w:rsid w:val="0019546F"/>
    <w:rsid w:val="00195624"/>
    <w:rsid w:val="0019563A"/>
    <w:rsid w:val="00195677"/>
    <w:rsid w:val="00195970"/>
    <w:rsid w:val="00195BC9"/>
    <w:rsid w:val="00195E62"/>
    <w:rsid w:val="00195F0A"/>
    <w:rsid w:val="00195F59"/>
    <w:rsid w:val="00195F64"/>
    <w:rsid w:val="001960EE"/>
    <w:rsid w:val="001961C0"/>
    <w:rsid w:val="001961E5"/>
    <w:rsid w:val="00196302"/>
    <w:rsid w:val="00196339"/>
    <w:rsid w:val="001963B8"/>
    <w:rsid w:val="001963D2"/>
    <w:rsid w:val="00196479"/>
    <w:rsid w:val="00196A56"/>
    <w:rsid w:val="00196BD0"/>
    <w:rsid w:val="00196D2E"/>
    <w:rsid w:val="00196E5F"/>
    <w:rsid w:val="00196F19"/>
    <w:rsid w:val="00196F9D"/>
    <w:rsid w:val="001971FA"/>
    <w:rsid w:val="0019727A"/>
    <w:rsid w:val="001974E2"/>
    <w:rsid w:val="00197675"/>
    <w:rsid w:val="00197AB1"/>
    <w:rsid w:val="00197C22"/>
    <w:rsid w:val="00197C91"/>
    <w:rsid w:val="00197E43"/>
    <w:rsid w:val="00197EC6"/>
    <w:rsid w:val="001A0036"/>
    <w:rsid w:val="001A034F"/>
    <w:rsid w:val="001A064A"/>
    <w:rsid w:val="001A0876"/>
    <w:rsid w:val="001A1459"/>
    <w:rsid w:val="001A145A"/>
    <w:rsid w:val="001A1AD9"/>
    <w:rsid w:val="001A1B42"/>
    <w:rsid w:val="001A1C46"/>
    <w:rsid w:val="001A1D37"/>
    <w:rsid w:val="001A1F14"/>
    <w:rsid w:val="001A20F4"/>
    <w:rsid w:val="001A218B"/>
    <w:rsid w:val="001A222E"/>
    <w:rsid w:val="001A255F"/>
    <w:rsid w:val="001A2582"/>
    <w:rsid w:val="001A26E2"/>
    <w:rsid w:val="001A2892"/>
    <w:rsid w:val="001A2DB7"/>
    <w:rsid w:val="001A36C6"/>
    <w:rsid w:val="001A37ED"/>
    <w:rsid w:val="001A3A08"/>
    <w:rsid w:val="001A3A13"/>
    <w:rsid w:val="001A3FB6"/>
    <w:rsid w:val="001A44C5"/>
    <w:rsid w:val="001A451C"/>
    <w:rsid w:val="001A457F"/>
    <w:rsid w:val="001A47A4"/>
    <w:rsid w:val="001A49EA"/>
    <w:rsid w:val="001A52E0"/>
    <w:rsid w:val="001A53E3"/>
    <w:rsid w:val="001A550B"/>
    <w:rsid w:val="001A5907"/>
    <w:rsid w:val="001A5B31"/>
    <w:rsid w:val="001A5D94"/>
    <w:rsid w:val="001A5F45"/>
    <w:rsid w:val="001A615C"/>
    <w:rsid w:val="001A616E"/>
    <w:rsid w:val="001A637C"/>
    <w:rsid w:val="001A6453"/>
    <w:rsid w:val="001A64AE"/>
    <w:rsid w:val="001A672E"/>
    <w:rsid w:val="001A678F"/>
    <w:rsid w:val="001A6AFD"/>
    <w:rsid w:val="001A6D42"/>
    <w:rsid w:val="001A6E1A"/>
    <w:rsid w:val="001A6E81"/>
    <w:rsid w:val="001A6F9B"/>
    <w:rsid w:val="001A70D2"/>
    <w:rsid w:val="001A7195"/>
    <w:rsid w:val="001A7280"/>
    <w:rsid w:val="001A7652"/>
    <w:rsid w:val="001A76A4"/>
    <w:rsid w:val="001A7705"/>
    <w:rsid w:val="001A7757"/>
    <w:rsid w:val="001A7852"/>
    <w:rsid w:val="001A79B0"/>
    <w:rsid w:val="001A7C19"/>
    <w:rsid w:val="001B01A9"/>
    <w:rsid w:val="001B01E9"/>
    <w:rsid w:val="001B0A3D"/>
    <w:rsid w:val="001B0A5E"/>
    <w:rsid w:val="001B103E"/>
    <w:rsid w:val="001B109C"/>
    <w:rsid w:val="001B116A"/>
    <w:rsid w:val="001B139A"/>
    <w:rsid w:val="001B142A"/>
    <w:rsid w:val="001B152F"/>
    <w:rsid w:val="001B1A38"/>
    <w:rsid w:val="001B1B20"/>
    <w:rsid w:val="001B1CEF"/>
    <w:rsid w:val="001B1EA5"/>
    <w:rsid w:val="001B2009"/>
    <w:rsid w:val="001B20D8"/>
    <w:rsid w:val="001B23DC"/>
    <w:rsid w:val="001B29BD"/>
    <w:rsid w:val="001B2D18"/>
    <w:rsid w:val="001B2D49"/>
    <w:rsid w:val="001B3105"/>
    <w:rsid w:val="001B31FB"/>
    <w:rsid w:val="001B3247"/>
    <w:rsid w:val="001B36B0"/>
    <w:rsid w:val="001B3917"/>
    <w:rsid w:val="001B3E70"/>
    <w:rsid w:val="001B4175"/>
    <w:rsid w:val="001B42F8"/>
    <w:rsid w:val="001B4364"/>
    <w:rsid w:val="001B44AD"/>
    <w:rsid w:val="001B45B2"/>
    <w:rsid w:val="001B461F"/>
    <w:rsid w:val="001B46CC"/>
    <w:rsid w:val="001B49C2"/>
    <w:rsid w:val="001B4C2B"/>
    <w:rsid w:val="001B4F7F"/>
    <w:rsid w:val="001B520D"/>
    <w:rsid w:val="001B5592"/>
    <w:rsid w:val="001B58D5"/>
    <w:rsid w:val="001B5979"/>
    <w:rsid w:val="001B5A7D"/>
    <w:rsid w:val="001B5EC8"/>
    <w:rsid w:val="001B60EF"/>
    <w:rsid w:val="001B61A1"/>
    <w:rsid w:val="001B6963"/>
    <w:rsid w:val="001B6AAB"/>
    <w:rsid w:val="001B6C1B"/>
    <w:rsid w:val="001B70E3"/>
    <w:rsid w:val="001B7840"/>
    <w:rsid w:val="001B7A55"/>
    <w:rsid w:val="001B7FE4"/>
    <w:rsid w:val="001C0022"/>
    <w:rsid w:val="001C0195"/>
    <w:rsid w:val="001C037D"/>
    <w:rsid w:val="001C041A"/>
    <w:rsid w:val="001C0AD7"/>
    <w:rsid w:val="001C0C8B"/>
    <w:rsid w:val="001C0CE7"/>
    <w:rsid w:val="001C0EBA"/>
    <w:rsid w:val="001C1253"/>
    <w:rsid w:val="001C16C9"/>
    <w:rsid w:val="001C1929"/>
    <w:rsid w:val="001C1966"/>
    <w:rsid w:val="001C1C29"/>
    <w:rsid w:val="001C1C34"/>
    <w:rsid w:val="001C1E5B"/>
    <w:rsid w:val="001C20D5"/>
    <w:rsid w:val="001C23FE"/>
    <w:rsid w:val="001C2425"/>
    <w:rsid w:val="001C2493"/>
    <w:rsid w:val="001C2548"/>
    <w:rsid w:val="001C291D"/>
    <w:rsid w:val="001C2B56"/>
    <w:rsid w:val="001C2D7F"/>
    <w:rsid w:val="001C2F35"/>
    <w:rsid w:val="001C31F8"/>
    <w:rsid w:val="001C362B"/>
    <w:rsid w:val="001C3907"/>
    <w:rsid w:val="001C3F51"/>
    <w:rsid w:val="001C413E"/>
    <w:rsid w:val="001C498B"/>
    <w:rsid w:val="001C4C52"/>
    <w:rsid w:val="001C4C66"/>
    <w:rsid w:val="001C4E76"/>
    <w:rsid w:val="001C4F90"/>
    <w:rsid w:val="001C50D5"/>
    <w:rsid w:val="001C50F0"/>
    <w:rsid w:val="001C5AFC"/>
    <w:rsid w:val="001C5E23"/>
    <w:rsid w:val="001C6313"/>
    <w:rsid w:val="001C656D"/>
    <w:rsid w:val="001C6687"/>
    <w:rsid w:val="001C6BDD"/>
    <w:rsid w:val="001C70D4"/>
    <w:rsid w:val="001C767F"/>
    <w:rsid w:val="001C7B02"/>
    <w:rsid w:val="001C7D23"/>
    <w:rsid w:val="001D018E"/>
    <w:rsid w:val="001D06AA"/>
    <w:rsid w:val="001D06F1"/>
    <w:rsid w:val="001D0712"/>
    <w:rsid w:val="001D091A"/>
    <w:rsid w:val="001D0DA2"/>
    <w:rsid w:val="001D104D"/>
    <w:rsid w:val="001D1105"/>
    <w:rsid w:val="001D12CD"/>
    <w:rsid w:val="001D1355"/>
    <w:rsid w:val="001D136A"/>
    <w:rsid w:val="001D160F"/>
    <w:rsid w:val="001D1626"/>
    <w:rsid w:val="001D1C51"/>
    <w:rsid w:val="001D1E36"/>
    <w:rsid w:val="001D1F23"/>
    <w:rsid w:val="001D2322"/>
    <w:rsid w:val="001D268A"/>
    <w:rsid w:val="001D355E"/>
    <w:rsid w:val="001D3650"/>
    <w:rsid w:val="001D3A82"/>
    <w:rsid w:val="001D3D68"/>
    <w:rsid w:val="001D3FA3"/>
    <w:rsid w:val="001D3FED"/>
    <w:rsid w:val="001D4104"/>
    <w:rsid w:val="001D42E9"/>
    <w:rsid w:val="001D42F4"/>
    <w:rsid w:val="001D43E8"/>
    <w:rsid w:val="001D460B"/>
    <w:rsid w:val="001D4635"/>
    <w:rsid w:val="001D4641"/>
    <w:rsid w:val="001D477B"/>
    <w:rsid w:val="001D47E6"/>
    <w:rsid w:val="001D4ACC"/>
    <w:rsid w:val="001D4AD3"/>
    <w:rsid w:val="001D4BFE"/>
    <w:rsid w:val="001D4DB8"/>
    <w:rsid w:val="001D50CD"/>
    <w:rsid w:val="001D5253"/>
    <w:rsid w:val="001D5460"/>
    <w:rsid w:val="001D54FB"/>
    <w:rsid w:val="001D5975"/>
    <w:rsid w:val="001D59FB"/>
    <w:rsid w:val="001D5CFE"/>
    <w:rsid w:val="001D5FAE"/>
    <w:rsid w:val="001D6863"/>
    <w:rsid w:val="001D6C28"/>
    <w:rsid w:val="001D6C36"/>
    <w:rsid w:val="001D6DDB"/>
    <w:rsid w:val="001D6EE5"/>
    <w:rsid w:val="001D6F3B"/>
    <w:rsid w:val="001D7500"/>
    <w:rsid w:val="001D763E"/>
    <w:rsid w:val="001D77D4"/>
    <w:rsid w:val="001D78F2"/>
    <w:rsid w:val="001D79B3"/>
    <w:rsid w:val="001D7C06"/>
    <w:rsid w:val="001D7C7E"/>
    <w:rsid w:val="001D7DD9"/>
    <w:rsid w:val="001D7EA1"/>
    <w:rsid w:val="001E012D"/>
    <w:rsid w:val="001E0259"/>
    <w:rsid w:val="001E031D"/>
    <w:rsid w:val="001E0A44"/>
    <w:rsid w:val="001E0E09"/>
    <w:rsid w:val="001E1311"/>
    <w:rsid w:val="001E144E"/>
    <w:rsid w:val="001E1738"/>
    <w:rsid w:val="001E1A45"/>
    <w:rsid w:val="001E1C6D"/>
    <w:rsid w:val="001E1C87"/>
    <w:rsid w:val="001E20DE"/>
    <w:rsid w:val="001E21D9"/>
    <w:rsid w:val="001E232A"/>
    <w:rsid w:val="001E24BC"/>
    <w:rsid w:val="001E25FE"/>
    <w:rsid w:val="001E26F3"/>
    <w:rsid w:val="001E27AD"/>
    <w:rsid w:val="001E2AEE"/>
    <w:rsid w:val="001E2C31"/>
    <w:rsid w:val="001E2DD1"/>
    <w:rsid w:val="001E2FC9"/>
    <w:rsid w:val="001E3113"/>
    <w:rsid w:val="001E31D3"/>
    <w:rsid w:val="001E324D"/>
    <w:rsid w:val="001E3359"/>
    <w:rsid w:val="001E33CD"/>
    <w:rsid w:val="001E36EF"/>
    <w:rsid w:val="001E3B5C"/>
    <w:rsid w:val="001E405A"/>
    <w:rsid w:val="001E41F1"/>
    <w:rsid w:val="001E44FE"/>
    <w:rsid w:val="001E4662"/>
    <w:rsid w:val="001E4874"/>
    <w:rsid w:val="001E4AA1"/>
    <w:rsid w:val="001E4D49"/>
    <w:rsid w:val="001E4EAA"/>
    <w:rsid w:val="001E4FA2"/>
    <w:rsid w:val="001E50F4"/>
    <w:rsid w:val="001E533B"/>
    <w:rsid w:val="001E5550"/>
    <w:rsid w:val="001E5893"/>
    <w:rsid w:val="001E58A6"/>
    <w:rsid w:val="001E58D8"/>
    <w:rsid w:val="001E5C5B"/>
    <w:rsid w:val="001E5C88"/>
    <w:rsid w:val="001E5FC5"/>
    <w:rsid w:val="001E60A2"/>
    <w:rsid w:val="001E65CB"/>
    <w:rsid w:val="001E669D"/>
    <w:rsid w:val="001E6B29"/>
    <w:rsid w:val="001E6B7A"/>
    <w:rsid w:val="001E6D4A"/>
    <w:rsid w:val="001E6D55"/>
    <w:rsid w:val="001E703E"/>
    <w:rsid w:val="001E7437"/>
    <w:rsid w:val="001E79EA"/>
    <w:rsid w:val="001E79F6"/>
    <w:rsid w:val="001E7A5E"/>
    <w:rsid w:val="001E7AD4"/>
    <w:rsid w:val="001E7C60"/>
    <w:rsid w:val="001E7CC3"/>
    <w:rsid w:val="001F0088"/>
    <w:rsid w:val="001F011A"/>
    <w:rsid w:val="001F0189"/>
    <w:rsid w:val="001F01B8"/>
    <w:rsid w:val="001F02A1"/>
    <w:rsid w:val="001F05B9"/>
    <w:rsid w:val="001F0786"/>
    <w:rsid w:val="001F0AA9"/>
    <w:rsid w:val="001F0EAE"/>
    <w:rsid w:val="001F112C"/>
    <w:rsid w:val="001F1230"/>
    <w:rsid w:val="001F1374"/>
    <w:rsid w:val="001F1867"/>
    <w:rsid w:val="001F1872"/>
    <w:rsid w:val="001F1C81"/>
    <w:rsid w:val="001F1EA9"/>
    <w:rsid w:val="001F1FB6"/>
    <w:rsid w:val="001F1FFC"/>
    <w:rsid w:val="001F215A"/>
    <w:rsid w:val="001F2163"/>
    <w:rsid w:val="001F21BA"/>
    <w:rsid w:val="001F2769"/>
    <w:rsid w:val="001F290A"/>
    <w:rsid w:val="001F2C9B"/>
    <w:rsid w:val="001F2D9A"/>
    <w:rsid w:val="001F33EB"/>
    <w:rsid w:val="001F33F7"/>
    <w:rsid w:val="001F34F4"/>
    <w:rsid w:val="001F35BC"/>
    <w:rsid w:val="001F382B"/>
    <w:rsid w:val="001F3B9B"/>
    <w:rsid w:val="001F4006"/>
    <w:rsid w:val="001F44EA"/>
    <w:rsid w:val="001F4720"/>
    <w:rsid w:val="001F47EE"/>
    <w:rsid w:val="001F49DF"/>
    <w:rsid w:val="001F4AEB"/>
    <w:rsid w:val="001F4C0F"/>
    <w:rsid w:val="001F4D3A"/>
    <w:rsid w:val="001F4E5E"/>
    <w:rsid w:val="001F5233"/>
    <w:rsid w:val="001F5AF3"/>
    <w:rsid w:val="001F5C32"/>
    <w:rsid w:val="001F638F"/>
    <w:rsid w:val="001F664A"/>
    <w:rsid w:val="001F66CB"/>
    <w:rsid w:val="001F68B6"/>
    <w:rsid w:val="001F6AFF"/>
    <w:rsid w:val="001F6C5E"/>
    <w:rsid w:val="001F6C88"/>
    <w:rsid w:val="001F6D18"/>
    <w:rsid w:val="001F6F75"/>
    <w:rsid w:val="001F6FD5"/>
    <w:rsid w:val="001F7190"/>
    <w:rsid w:val="001F71AF"/>
    <w:rsid w:val="001F71C8"/>
    <w:rsid w:val="001F78F8"/>
    <w:rsid w:val="001F7BB1"/>
    <w:rsid w:val="001F7C97"/>
    <w:rsid w:val="001F7D93"/>
    <w:rsid w:val="00200138"/>
    <w:rsid w:val="0020013D"/>
    <w:rsid w:val="00200679"/>
    <w:rsid w:val="00200A02"/>
    <w:rsid w:val="002010B4"/>
    <w:rsid w:val="002013BC"/>
    <w:rsid w:val="0020149B"/>
    <w:rsid w:val="00201551"/>
    <w:rsid w:val="00201725"/>
    <w:rsid w:val="00201889"/>
    <w:rsid w:val="00201A04"/>
    <w:rsid w:val="00201B6A"/>
    <w:rsid w:val="00201E43"/>
    <w:rsid w:val="00202158"/>
    <w:rsid w:val="00202362"/>
    <w:rsid w:val="00202507"/>
    <w:rsid w:val="0020267B"/>
    <w:rsid w:val="00202688"/>
    <w:rsid w:val="0020274D"/>
    <w:rsid w:val="00202CF4"/>
    <w:rsid w:val="00202D65"/>
    <w:rsid w:val="00202E9B"/>
    <w:rsid w:val="002030D0"/>
    <w:rsid w:val="00203172"/>
    <w:rsid w:val="00203232"/>
    <w:rsid w:val="0020327B"/>
    <w:rsid w:val="002032B7"/>
    <w:rsid w:val="0020331C"/>
    <w:rsid w:val="002033C4"/>
    <w:rsid w:val="002039F7"/>
    <w:rsid w:val="00203B6B"/>
    <w:rsid w:val="00203DE6"/>
    <w:rsid w:val="00203E59"/>
    <w:rsid w:val="00203E82"/>
    <w:rsid w:val="00203FBA"/>
    <w:rsid w:val="00204139"/>
    <w:rsid w:val="00204234"/>
    <w:rsid w:val="002042A7"/>
    <w:rsid w:val="002043A6"/>
    <w:rsid w:val="0020576D"/>
    <w:rsid w:val="00205CC3"/>
    <w:rsid w:val="00205F1E"/>
    <w:rsid w:val="00206160"/>
    <w:rsid w:val="0020629E"/>
    <w:rsid w:val="0020631D"/>
    <w:rsid w:val="00206492"/>
    <w:rsid w:val="002064EA"/>
    <w:rsid w:val="002067B0"/>
    <w:rsid w:val="0020684B"/>
    <w:rsid w:val="00206B65"/>
    <w:rsid w:val="00206B9C"/>
    <w:rsid w:val="00206E26"/>
    <w:rsid w:val="00206E8C"/>
    <w:rsid w:val="002070A2"/>
    <w:rsid w:val="00207496"/>
    <w:rsid w:val="00207620"/>
    <w:rsid w:val="002078EA"/>
    <w:rsid w:val="00207B54"/>
    <w:rsid w:val="00207D90"/>
    <w:rsid w:val="00207E69"/>
    <w:rsid w:val="00207E85"/>
    <w:rsid w:val="002100F6"/>
    <w:rsid w:val="0021019E"/>
    <w:rsid w:val="0021025A"/>
    <w:rsid w:val="0021027A"/>
    <w:rsid w:val="0021044B"/>
    <w:rsid w:val="002104FD"/>
    <w:rsid w:val="002105DD"/>
    <w:rsid w:val="0021061C"/>
    <w:rsid w:val="00210666"/>
    <w:rsid w:val="00210717"/>
    <w:rsid w:val="002107AF"/>
    <w:rsid w:val="002107BA"/>
    <w:rsid w:val="0021085D"/>
    <w:rsid w:val="00210880"/>
    <w:rsid w:val="00210A25"/>
    <w:rsid w:val="00210E8E"/>
    <w:rsid w:val="00210F97"/>
    <w:rsid w:val="002114CB"/>
    <w:rsid w:val="00211672"/>
    <w:rsid w:val="00211813"/>
    <w:rsid w:val="00211AF5"/>
    <w:rsid w:val="00211DEF"/>
    <w:rsid w:val="00211FFB"/>
    <w:rsid w:val="002120E5"/>
    <w:rsid w:val="00212130"/>
    <w:rsid w:val="00212293"/>
    <w:rsid w:val="002123D1"/>
    <w:rsid w:val="00212581"/>
    <w:rsid w:val="00212A04"/>
    <w:rsid w:val="00212A45"/>
    <w:rsid w:val="00212B00"/>
    <w:rsid w:val="00212D3B"/>
    <w:rsid w:val="00212E95"/>
    <w:rsid w:val="00213467"/>
    <w:rsid w:val="00213570"/>
    <w:rsid w:val="00213636"/>
    <w:rsid w:val="002137BA"/>
    <w:rsid w:val="00213964"/>
    <w:rsid w:val="00213971"/>
    <w:rsid w:val="00213A0A"/>
    <w:rsid w:val="00213E5C"/>
    <w:rsid w:val="00213EB9"/>
    <w:rsid w:val="00214242"/>
    <w:rsid w:val="00214792"/>
    <w:rsid w:val="00215174"/>
    <w:rsid w:val="00215245"/>
    <w:rsid w:val="00215517"/>
    <w:rsid w:val="00215649"/>
    <w:rsid w:val="002156B6"/>
    <w:rsid w:val="00215971"/>
    <w:rsid w:val="00215A9D"/>
    <w:rsid w:val="00215F5F"/>
    <w:rsid w:val="00216482"/>
    <w:rsid w:val="002164A9"/>
    <w:rsid w:val="002168AD"/>
    <w:rsid w:val="0021698F"/>
    <w:rsid w:val="00216E0A"/>
    <w:rsid w:val="00216FF1"/>
    <w:rsid w:val="00217308"/>
    <w:rsid w:val="0021767B"/>
    <w:rsid w:val="002177F3"/>
    <w:rsid w:val="00217964"/>
    <w:rsid w:val="00217F3B"/>
    <w:rsid w:val="002200E5"/>
    <w:rsid w:val="00220267"/>
    <w:rsid w:val="00220550"/>
    <w:rsid w:val="002206A3"/>
    <w:rsid w:val="002206E0"/>
    <w:rsid w:val="00220ADD"/>
    <w:rsid w:val="00220DAA"/>
    <w:rsid w:val="00220DEB"/>
    <w:rsid w:val="00220FD4"/>
    <w:rsid w:val="00220FE2"/>
    <w:rsid w:val="0022109A"/>
    <w:rsid w:val="0022158A"/>
    <w:rsid w:val="00221752"/>
    <w:rsid w:val="00221F86"/>
    <w:rsid w:val="0022205E"/>
    <w:rsid w:val="00222713"/>
    <w:rsid w:val="0022278A"/>
    <w:rsid w:val="00222836"/>
    <w:rsid w:val="00222913"/>
    <w:rsid w:val="00222B2C"/>
    <w:rsid w:val="00222C73"/>
    <w:rsid w:val="00222DAB"/>
    <w:rsid w:val="00222F0A"/>
    <w:rsid w:val="00222F7E"/>
    <w:rsid w:val="002230A7"/>
    <w:rsid w:val="00223992"/>
    <w:rsid w:val="002240D8"/>
    <w:rsid w:val="00224109"/>
    <w:rsid w:val="0022432D"/>
    <w:rsid w:val="00224756"/>
    <w:rsid w:val="002248A6"/>
    <w:rsid w:val="00224E57"/>
    <w:rsid w:val="00224E68"/>
    <w:rsid w:val="0022527C"/>
    <w:rsid w:val="00225435"/>
    <w:rsid w:val="0022560A"/>
    <w:rsid w:val="00225726"/>
    <w:rsid w:val="002259CA"/>
    <w:rsid w:val="00225AD1"/>
    <w:rsid w:val="00226155"/>
    <w:rsid w:val="00226420"/>
    <w:rsid w:val="002264B2"/>
    <w:rsid w:val="002266AC"/>
    <w:rsid w:val="00226747"/>
    <w:rsid w:val="00226D56"/>
    <w:rsid w:val="00226D5B"/>
    <w:rsid w:val="00226DF9"/>
    <w:rsid w:val="00226F4A"/>
    <w:rsid w:val="00226F56"/>
    <w:rsid w:val="00226FCC"/>
    <w:rsid w:val="00227328"/>
    <w:rsid w:val="002275B3"/>
    <w:rsid w:val="00227ACC"/>
    <w:rsid w:val="00227E0A"/>
    <w:rsid w:val="0023005E"/>
    <w:rsid w:val="0023030C"/>
    <w:rsid w:val="002305E0"/>
    <w:rsid w:val="0023090D"/>
    <w:rsid w:val="00230958"/>
    <w:rsid w:val="00230A72"/>
    <w:rsid w:val="00230AF5"/>
    <w:rsid w:val="00231203"/>
    <w:rsid w:val="00231212"/>
    <w:rsid w:val="00231269"/>
    <w:rsid w:val="002313E1"/>
    <w:rsid w:val="00231438"/>
    <w:rsid w:val="00231CDD"/>
    <w:rsid w:val="00231DCD"/>
    <w:rsid w:val="00231ED2"/>
    <w:rsid w:val="00231F89"/>
    <w:rsid w:val="00231FB5"/>
    <w:rsid w:val="002320E2"/>
    <w:rsid w:val="002321D9"/>
    <w:rsid w:val="002321FD"/>
    <w:rsid w:val="002327D2"/>
    <w:rsid w:val="0023285D"/>
    <w:rsid w:val="00232AB8"/>
    <w:rsid w:val="00232C7C"/>
    <w:rsid w:val="00232DBA"/>
    <w:rsid w:val="00232EA6"/>
    <w:rsid w:val="00232EAA"/>
    <w:rsid w:val="00233603"/>
    <w:rsid w:val="002336A4"/>
    <w:rsid w:val="00233A46"/>
    <w:rsid w:val="00233B2D"/>
    <w:rsid w:val="00233D12"/>
    <w:rsid w:val="00233E5E"/>
    <w:rsid w:val="0023429F"/>
    <w:rsid w:val="002342A7"/>
    <w:rsid w:val="002342B9"/>
    <w:rsid w:val="00234373"/>
    <w:rsid w:val="002344CA"/>
    <w:rsid w:val="00234612"/>
    <w:rsid w:val="0023479A"/>
    <w:rsid w:val="0023480D"/>
    <w:rsid w:val="00234A8A"/>
    <w:rsid w:val="00235200"/>
    <w:rsid w:val="002353B0"/>
    <w:rsid w:val="0023551D"/>
    <w:rsid w:val="002359B9"/>
    <w:rsid w:val="00235AB1"/>
    <w:rsid w:val="00235B65"/>
    <w:rsid w:val="00235E15"/>
    <w:rsid w:val="00235FC1"/>
    <w:rsid w:val="002360ED"/>
    <w:rsid w:val="0023618F"/>
    <w:rsid w:val="00236544"/>
    <w:rsid w:val="00236582"/>
    <w:rsid w:val="00236857"/>
    <w:rsid w:val="00236B36"/>
    <w:rsid w:val="00236E55"/>
    <w:rsid w:val="00236E6F"/>
    <w:rsid w:val="00236ED1"/>
    <w:rsid w:val="00236FEC"/>
    <w:rsid w:val="00237184"/>
    <w:rsid w:val="0023758E"/>
    <w:rsid w:val="00237776"/>
    <w:rsid w:val="00237B30"/>
    <w:rsid w:val="00237F5A"/>
    <w:rsid w:val="00237F6D"/>
    <w:rsid w:val="002402DE"/>
    <w:rsid w:val="00240478"/>
    <w:rsid w:val="00240558"/>
    <w:rsid w:val="0024080D"/>
    <w:rsid w:val="00240A5E"/>
    <w:rsid w:val="00240A93"/>
    <w:rsid w:val="00240AAA"/>
    <w:rsid w:val="00240B81"/>
    <w:rsid w:val="00240D9B"/>
    <w:rsid w:val="00241411"/>
    <w:rsid w:val="002417BE"/>
    <w:rsid w:val="002417CF"/>
    <w:rsid w:val="002417F4"/>
    <w:rsid w:val="00241B6F"/>
    <w:rsid w:val="00241BFC"/>
    <w:rsid w:val="00241DC3"/>
    <w:rsid w:val="00241F46"/>
    <w:rsid w:val="00242285"/>
    <w:rsid w:val="00242445"/>
    <w:rsid w:val="00242526"/>
    <w:rsid w:val="002425E7"/>
    <w:rsid w:val="00242689"/>
    <w:rsid w:val="00242C02"/>
    <w:rsid w:val="00242F4D"/>
    <w:rsid w:val="002430D0"/>
    <w:rsid w:val="002433D1"/>
    <w:rsid w:val="00243814"/>
    <w:rsid w:val="0024398B"/>
    <w:rsid w:val="00243BD1"/>
    <w:rsid w:val="00243D24"/>
    <w:rsid w:val="00243DE7"/>
    <w:rsid w:val="002441DE"/>
    <w:rsid w:val="0024437A"/>
    <w:rsid w:val="0024479F"/>
    <w:rsid w:val="00244857"/>
    <w:rsid w:val="002448CF"/>
    <w:rsid w:val="00244FBB"/>
    <w:rsid w:val="00245201"/>
    <w:rsid w:val="002452B9"/>
    <w:rsid w:val="002453C1"/>
    <w:rsid w:val="00245473"/>
    <w:rsid w:val="002454E8"/>
    <w:rsid w:val="00245790"/>
    <w:rsid w:val="0024593F"/>
    <w:rsid w:val="00245B85"/>
    <w:rsid w:val="00245EAD"/>
    <w:rsid w:val="00246000"/>
    <w:rsid w:val="002460E1"/>
    <w:rsid w:val="00246194"/>
    <w:rsid w:val="00246225"/>
    <w:rsid w:val="0024624B"/>
    <w:rsid w:val="00246928"/>
    <w:rsid w:val="00246A72"/>
    <w:rsid w:val="00246AA2"/>
    <w:rsid w:val="002470CC"/>
    <w:rsid w:val="002474DE"/>
    <w:rsid w:val="00247670"/>
    <w:rsid w:val="00247818"/>
    <w:rsid w:val="0025005F"/>
    <w:rsid w:val="0025006B"/>
    <w:rsid w:val="00250621"/>
    <w:rsid w:val="0025085F"/>
    <w:rsid w:val="00250AE8"/>
    <w:rsid w:val="00250F3C"/>
    <w:rsid w:val="002518E9"/>
    <w:rsid w:val="00251A27"/>
    <w:rsid w:val="00251AF1"/>
    <w:rsid w:val="00251B04"/>
    <w:rsid w:val="00251BFD"/>
    <w:rsid w:val="00251CCC"/>
    <w:rsid w:val="00251E84"/>
    <w:rsid w:val="0025206D"/>
    <w:rsid w:val="0025213D"/>
    <w:rsid w:val="0025220B"/>
    <w:rsid w:val="00252228"/>
    <w:rsid w:val="00252284"/>
    <w:rsid w:val="002524A8"/>
    <w:rsid w:val="00252762"/>
    <w:rsid w:val="002527F2"/>
    <w:rsid w:val="002528E8"/>
    <w:rsid w:val="002529A3"/>
    <w:rsid w:val="002529DF"/>
    <w:rsid w:val="00252C60"/>
    <w:rsid w:val="00252DF4"/>
    <w:rsid w:val="00252E78"/>
    <w:rsid w:val="00253013"/>
    <w:rsid w:val="00253372"/>
    <w:rsid w:val="002535FC"/>
    <w:rsid w:val="0025367B"/>
    <w:rsid w:val="0025368A"/>
    <w:rsid w:val="0025378A"/>
    <w:rsid w:val="002539F8"/>
    <w:rsid w:val="00253B57"/>
    <w:rsid w:val="00253C0F"/>
    <w:rsid w:val="0025433D"/>
    <w:rsid w:val="00254577"/>
    <w:rsid w:val="002547A4"/>
    <w:rsid w:val="002547F9"/>
    <w:rsid w:val="00254936"/>
    <w:rsid w:val="00254C37"/>
    <w:rsid w:val="00255366"/>
    <w:rsid w:val="002557A6"/>
    <w:rsid w:val="00255857"/>
    <w:rsid w:val="00255FE1"/>
    <w:rsid w:val="0025601E"/>
    <w:rsid w:val="0025609F"/>
    <w:rsid w:val="002564D0"/>
    <w:rsid w:val="00256977"/>
    <w:rsid w:val="00256A5A"/>
    <w:rsid w:val="00256B57"/>
    <w:rsid w:val="00256C08"/>
    <w:rsid w:val="00256D58"/>
    <w:rsid w:val="0025727C"/>
    <w:rsid w:val="002572DC"/>
    <w:rsid w:val="00257484"/>
    <w:rsid w:val="0025779D"/>
    <w:rsid w:val="00257851"/>
    <w:rsid w:val="00257A81"/>
    <w:rsid w:val="00257D28"/>
    <w:rsid w:val="00257E0D"/>
    <w:rsid w:val="00260051"/>
    <w:rsid w:val="0026012F"/>
    <w:rsid w:val="00260153"/>
    <w:rsid w:val="002602A0"/>
    <w:rsid w:val="002604FE"/>
    <w:rsid w:val="0026056D"/>
    <w:rsid w:val="0026095C"/>
    <w:rsid w:val="00260977"/>
    <w:rsid w:val="002609B8"/>
    <w:rsid w:val="00260B28"/>
    <w:rsid w:val="00260BAA"/>
    <w:rsid w:val="00260C05"/>
    <w:rsid w:val="00260D1C"/>
    <w:rsid w:val="00260F58"/>
    <w:rsid w:val="002610FD"/>
    <w:rsid w:val="00261550"/>
    <w:rsid w:val="00261892"/>
    <w:rsid w:val="00261996"/>
    <w:rsid w:val="00261DDB"/>
    <w:rsid w:val="00261FCB"/>
    <w:rsid w:val="00262163"/>
    <w:rsid w:val="002623CC"/>
    <w:rsid w:val="0026275A"/>
    <w:rsid w:val="002628B8"/>
    <w:rsid w:val="0026297F"/>
    <w:rsid w:val="00262A4B"/>
    <w:rsid w:val="00262D60"/>
    <w:rsid w:val="00262D99"/>
    <w:rsid w:val="00262FB5"/>
    <w:rsid w:val="0026304E"/>
    <w:rsid w:val="002632D9"/>
    <w:rsid w:val="00263723"/>
    <w:rsid w:val="00263991"/>
    <w:rsid w:val="00263B28"/>
    <w:rsid w:val="00263BF5"/>
    <w:rsid w:val="00264258"/>
    <w:rsid w:val="00264289"/>
    <w:rsid w:val="002645BC"/>
    <w:rsid w:val="002647E1"/>
    <w:rsid w:val="0026489D"/>
    <w:rsid w:val="00264A48"/>
    <w:rsid w:val="00264A9D"/>
    <w:rsid w:val="00264BCA"/>
    <w:rsid w:val="00264CD0"/>
    <w:rsid w:val="00264E7E"/>
    <w:rsid w:val="002655FB"/>
    <w:rsid w:val="00265868"/>
    <w:rsid w:val="002659B8"/>
    <w:rsid w:val="00265B37"/>
    <w:rsid w:val="00265BAD"/>
    <w:rsid w:val="00265E94"/>
    <w:rsid w:val="0026600A"/>
    <w:rsid w:val="00266213"/>
    <w:rsid w:val="002666D5"/>
    <w:rsid w:val="0026673B"/>
    <w:rsid w:val="00266D99"/>
    <w:rsid w:val="00266DDE"/>
    <w:rsid w:val="00267302"/>
    <w:rsid w:val="0026785E"/>
    <w:rsid w:val="00267A80"/>
    <w:rsid w:val="00267AC6"/>
    <w:rsid w:val="00267BCB"/>
    <w:rsid w:val="00267E89"/>
    <w:rsid w:val="00267F02"/>
    <w:rsid w:val="0027003F"/>
    <w:rsid w:val="0027028A"/>
    <w:rsid w:val="00270961"/>
    <w:rsid w:val="00270B1E"/>
    <w:rsid w:val="00270D67"/>
    <w:rsid w:val="00270F5E"/>
    <w:rsid w:val="002712FD"/>
    <w:rsid w:val="002713EF"/>
    <w:rsid w:val="0027161B"/>
    <w:rsid w:val="0027173A"/>
    <w:rsid w:val="0027184E"/>
    <w:rsid w:val="002718EF"/>
    <w:rsid w:val="00271D08"/>
    <w:rsid w:val="002721B1"/>
    <w:rsid w:val="0027282D"/>
    <w:rsid w:val="00272B3D"/>
    <w:rsid w:val="00272C2D"/>
    <w:rsid w:val="00272D4D"/>
    <w:rsid w:val="00273224"/>
    <w:rsid w:val="00273F94"/>
    <w:rsid w:val="00274303"/>
    <w:rsid w:val="0027463D"/>
    <w:rsid w:val="002747E5"/>
    <w:rsid w:val="0027557D"/>
    <w:rsid w:val="00275661"/>
    <w:rsid w:val="00275792"/>
    <w:rsid w:val="00275A78"/>
    <w:rsid w:val="00275AD9"/>
    <w:rsid w:val="00275C13"/>
    <w:rsid w:val="00275C72"/>
    <w:rsid w:val="00275D0F"/>
    <w:rsid w:val="002762C7"/>
    <w:rsid w:val="00276337"/>
    <w:rsid w:val="00276704"/>
    <w:rsid w:val="002767B4"/>
    <w:rsid w:val="002767D5"/>
    <w:rsid w:val="0027680D"/>
    <w:rsid w:val="00276EF3"/>
    <w:rsid w:val="002772C5"/>
    <w:rsid w:val="0027755A"/>
    <w:rsid w:val="002775DF"/>
    <w:rsid w:val="0027768B"/>
    <w:rsid w:val="0027778C"/>
    <w:rsid w:val="00277FB9"/>
    <w:rsid w:val="00280031"/>
    <w:rsid w:val="002803E6"/>
    <w:rsid w:val="002807BF"/>
    <w:rsid w:val="0028090F"/>
    <w:rsid w:val="00280AEA"/>
    <w:rsid w:val="00280BBC"/>
    <w:rsid w:val="0028105A"/>
    <w:rsid w:val="00281181"/>
    <w:rsid w:val="00281370"/>
    <w:rsid w:val="0028148F"/>
    <w:rsid w:val="002816D2"/>
    <w:rsid w:val="0028178D"/>
    <w:rsid w:val="00281A0B"/>
    <w:rsid w:val="00281EC0"/>
    <w:rsid w:val="0028213C"/>
    <w:rsid w:val="002824A8"/>
    <w:rsid w:val="0028252B"/>
    <w:rsid w:val="002826BD"/>
    <w:rsid w:val="00282A58"/>
    <w:rsid w:val="0028314E"/>
    <w:rsid w:val="0028321A"/>
    <w:rsid w:val="00283497"/>
    <w:rsid w:val="002838AF"/>
    <w:rsid w:val="00283A3D"/>
    <w:rsid w:val="00283EE0"/>
    <w:rsid w:val="00283EE8"/>
    <w:rsid w:val="00283F60"/>
    <w:rsid w:val="00284041"/>
    <w:rsid w:val="00284464"/>
    <w:rsid w:val="0028456B"/>
    <w:rsid w:val="00284BA5"/>
    <w:rsid w:val="00284CE7"/>
    <w:rsid w:val="00284DEE"/>
    <w:rsid w:val="00284E25"/>
    <w:rsid w:val="00285193"/>
    <w:rsid w:val="00285561"/>
    <w:rsid w:val="00285645"/>
    <w:rsid w:val="002856FB"/>
    <w:rsid w:val="00285726"/>
    <w:rsid w:val="00285B2D"/>
    <w:rsid w:val="002863F1"/>
    <w:rsid w:val="002864B7"/>
    <w:rsid w:val="00286720"/>
    <w:rsid w:val="00286838"/>
    <w:rsid w:val="00286A47"/>
    <w:rsid w:val="00286C62"/>
    <w:rsid w:val="00286C73"/>
    <w:rsid w:val="00286CE9"/>
    <w:rsid w:val="002872EB"/>
    <w:rsid w:val="00287387"/>
    <w:rsid w:val="0028771A"/>
    <w:rsid w:val="00290117"/>
    <w:rsid w:val="00290618"/>
    <w:rsid w:val="0029076B"/>
    <w:rsid w:val="00290A91"/>
    <w:rsid w:val="00290BF3"/>
    <w:rsid w:val="00290C4F"/>
    <w:rsid w:val="0029110A"/>
    <w:rsid w:val="00291151"/>
    <w:rsid w:val="0029115E"/>
    <w:rsid w:val="00291955"/>
    <w:rsid w:val="002919DE"/>
    <w:rsid w:val="00291AF3"/>
    <w:rsid w:val="0029202C"/>
    <w:rsid w:val="002924E5"/>
    <w:rsid w:val="0029252B"/>
    <w:rsid w:val="00292BA8"/>
    <w:rsid w:val="00292DA9"/>
    <w:rsid w:val="00292F7F"/>
    <w:rsid w:val="002930FF"/>
    <w:rsid w:val="00293338"/>
    <w:rsid w:val="0029351E"/>
    <w:rsid w:val="00293863"/>
    <w:rsid w:val="00293B18"/>
    <w:rsid w:val="00293C48"/>
    <w:rsid w:val="00293D48"/>
    <w:rsid w:val="00293FAE"/>
    <w:rsid w:val="00294222"/>
    <w:rsid w:val="0029432F"/>
    <w:rsid w:val="00294361"/>
    <w:rsid w:val="0029446F"/>
    <w:rsid w:val="002944A2"/>
    <w:rsid w:val="0029460D"/>
    <w:rsid w:val="00294837"/>
    <w:rsid w:val="0029496B"/>
    <w:rsid w:val="00294D31"/>
    <w:rsid w:val="002954E2"/>
    <w:rsid w:val="00295641"/>
    <w:rsid w:val="00295ABE"/>
    <w:rsid w:val="0029627D"/>
    <w:rsid w:val="0029686D"/>
    <w:rsid w:val="00296984"/>
    <w:rsid w:val="00297585"/>
    <w:rsid w:val="00297804"/>
    <w:rsid w:val="00297AE2"/>
    <w:rsid w:val="00297D6C"/>
    <w:rsid w:val="00297DB2"/>
    <w:rsid w:val="00297F6A"/>
    <w:rsid w:val="002A0188"/>
    <w:rsid w:val="002A057A"/>
    <w:rsid w:val="002A0CFA"/>
    <w:rsid w:val="002A0D6F"/>
    <w:rsid w:val="002A0EE1"/>
    <w:rsid w:val="002A104B"/>
    <w:rsid w:val="002A10A4"/>
    <w:rsid w:val="002A1170"/>
    <w:rsid w:val="002A130F"/>
    <w:rsid w:val="002A17FF"/>
    <w:rsid w:val="002A183A"/>
    <w:rsid w:val="002A1AE6"/>
    <w:rsid w:val="002A1B38"/>
    <w:rsid w:val="002A1C49"/>
    <w:rsid w:val="002A1E78"/>
    <w:rsid w:val="002A2045"/>
    <w:rsid w:val="002A2A64"/>
    <w:rsid w:val="002A2ABC"/>
    <w:rsid w:val="002A2B11"/>
    <w:rsid w:val="002A2C10"/>
    <w:rsid w:val="002A2CBE"/>
    <w:rsid w:val="002A2CCB"/>
    <w:rsid w:val="002A2D64"/>
    <w:rsid w:val="002A3010"/>
    <w:rsid w:val="002A3390"/>
    <w:rsid w:val="002A34BE"/>
    <w:rsid w:val="002A3791"/>
    <w:rsid w:val="002A3835"/>
    <w:rsid w:val="002A3957"/>
    <w:rsid w:val="002A39AE"/>
    <w:rsid w:val="002A3AF9"/>
    <w:rsid w:val="002A3E02"/>
    <w:rsid w:val="002A42AB"/>
    <w:rsid w:val="002A432F"/>
    <w:rsid w:val="002A43E0"/>
    <w:rsid w:val="002A45E0"/>
    <w:rsid w:val="002A492B"/>
    <w:rsid w:val="002A4D92"/>
    <w:rsid w:val="002A4FB5"/>
    <w:rsid w:val="002A5182"/>
    <w:rsid w:val="002A5417"/>
    <w:rsid w:val="002A5427"/>
    <w:rsid w:val="002A55DE"/>
    <w:rsid w:val="002A5842"/>
    <w:rsid w:val="002A60CA"/>
    <w:rsid w:val="002A614B"/>
    <w:rsid w:val="002A6192"/>
    <w:rsid w:val="002A6394"/>
    <w:rsid w:val="002A6969"/>
    <w:rsid w:val="002A6A16"/>
    <w:rsid w:val="002A6A30"/>
    <w:rsid w:val="002A6A46"/>
    <w:rsid w:val="002A6AC3"/>
    <w:rsid w:val="002A6ED0"/>
    <w:rsid w:val="002A73D1"/>
    <w:rsid w:val="002A787B"/>
    <w:rsid w:val="002A78D0"/>
    <w:rsid w:val="002A7A3B"/>
    <w:rsid w:val="002A7BFF"/>
    <w:rsid w:val="002A7E44"/>
    <w:rsid w:val="002B010A"/>
    <w:rsid w:val="002B0271"/>
    <w:rsid w:val="002B03F5"/>
    <w:rsid w:val="002B0992"/>
    <w:rsid w:val="002B0AF3"/>
    <w:rsid w:val="002B0B4F"/>
    <w:rsid w:val="002B0DCE"/>
    <w:rsid w:val="002B0E55"/>
    <w:rsid w:val="002B0EC1"/>
    <w:rsid w:val="002B1018"/>
    <w:rsid w:val="002B1020"/>
    <w:rsid w:val="002B138C"/>
    <w:rsid w:val="002B14CC"/>
    <w:rsid w:val="002B16B5"/>
    <w:rsid w:val="002B1814"/>
    <w:rsid w:val="002B183F"/>
    <w:rsid w:val="002B194E"/>
    <w:rsid w:val="002B19AD"/>
    <w:rsid w:val="002B1A5F"/>
    <w:rsid w:val="002B1D9D"/>
    <w:rsid w:val="002B1DF4"/>
    <w:rsid w:val="002B1F32"/>
    <w:rsid w:val="002B206D"/>
    <w:rsid w:val="002B2089"/>
    <w:rsid w:val="002B2101"/>
    <w:rsid w:val="002B2768"/>
    <w:rsid w:val="002B2D14"/>
    <w:rsid w:val="002B2EC0"/>
    <w:rsid w:val="002B2F6C"/>
    <w:rsid w:val="002B302E"/>
    <w:rsid w:val="002B36CF"/>
    <w:rsid w:val="002B3A70"/>
    <w:rsid w:val="002B3CCA"/>
    <w:rsid w:val="002B41C4"/>
    <w:rsid w:val="002B43DC"/>
    <w:rsid w:val="002B4596"/>
    <w:rsid w:val="002B4A2E"/>
    <w:rsid w:val="002B4AF9"/>
    <w:rsid w:val="002B4D4A"/>
    <w:rsid w:val="002B5216"/>
    <w:rsid w:val="002B53DA"/>
    <w:rsid w:val="002B560B"/>
    <w:rsid w:val="002B5624"/>
    <w:rsid w:val="002B57E5"/>
    <w:rsid w:val="002B5F51"/>
    <w:rsid w:val="002B6010"/>
    <w:rsid w:val="002B6023"/>
    <w:rsid w:val="002B6508"/>
    <w:rsid w:val="002B66D4"/>
    <w:rsid w:val="002B6937"/>
    <w:rsid w:val="002B6ED8"/>
    <w:rsid w:val="002B731D"/>
    <w:rsid w:val="002B7331"/>
    <w:rsid w:val="002B7718"/>
    <w:rsid w:val="002B7868"/>
    <w:rsid w:val="002B797A"/>
    <w:rsid w:val="002B7B5D"/>
    <w:rsid w:val="002B7DF8"/>
    <w:rsid w:val="002C0279"/>
    <w:rsid w:val="002C0316"/>
    <w:rsid w:val="002C0317"/>
    <w:rsid w:val="002C05EE"/>
    <w:rsid w:val="002C08C1"/>
    <w:rsid w:val="002C08C8"/>
    <w:rsid w:val="002C0C0F"/>
    <w:rsid w:val="002C0DAE"/>
    <w:rsid w:val="002C12C2"/>
    <w:rsid w:val="002C14DC"/>
    <w:rsid w:val="002C1A39"/>
    <w:rsid w:val="002C1DBE"/>
    <w:rsid w:val="002C284F"/>
    <w:rsid w:val="002C2954"/>
    <w:rsid w:val="002C2A40"/>
    <w:rsid w:val="002C2A45"/>
    <w:rsid w:val="002C2AC3"/>
    <w:rsid w:val="002C2D33"/>
    <w:rsid w:val="002C2D77"/>
    <w:rsid w:val="002C30ED"/>
    <w:rsid w:val="002C31FE"/>
    <w:rsid w:val="002C3505"/>
    <w:rsid w:val="002C3648"/>
    <w:rsid w:val="002C383B"/>
    <w:rsid w:val="002C399E"/>
    <w:rsid w:val="002C3E6C"/>
    <w:rsid w:val="002C3FD8"/>
    <w:rsid w:val="002C40C1"/>
    <w:rsid w:val="002C4478"/>
    <w:rsid w:val="002C4490"/>
    <w:rsid w:val="002C4556"/>
    <w:rsid w:val="002C4DAC"/>
    <w:rsid w:val="002C4E27"/>
    <w:rsid w:val="002C4FC8"/>
    <w:rsid w:val="002C5588"/>
    <w:rsid w:val="002C58F6"/>
    <w:rsid w:val="002C5EFF"/>
    <w:rsid w:val="002C5F1F"/>
    <w:rsid w:val="002C5F54"/>
    <w:rsid w:val="002C605D"/>
    <w:rsid w:val="002C6277"/>
    <w:rsid w:val="002C649D"/>
    <w:rsid w:val="002C654E"/>
    <w:rsid w:val="002C69D4"/>
    <w:rsid w:val="002C6A11"/>
    <w:rsid w:val="002C6AFF"/>
    <w:rsid w:val="002C6E72"/>
    <w:rsid w:val="002C72F7"/>
    <w:rsid w:val="002C73A0"/>
    <w:rsid w:val="002C7CBB"/>
    <w:rsid w:val="002C7FB1"/>
    <w:rsid w:val="002D0082"/>
    <w:rsid w:val="002D015E"/>
    <w:rsid w:val="002D0250"/>
    <w:rsid w:val="002D02FC"/>
    <w:rsid w:val="002D0336"/>
    <w:rsid w:val="002D0AEA"/>
    <w:rsid w:val="002D0B2F"/>
    <w:rsid w:val="002D0D6B"/>
    <w:rsid w:val="002D1116"/>
    <w:rsid w:val="002D113F"/>
    <w:rsid w:val="002D1319"/>
    <w:rsid w:val="002D1356"/>
    <w:rsid w:val="002D13CD"/>
    <w:rsid w:val="002D167B"/>
    <w:rsid w:val="002D171E"/>
    <w:rsid w:val="002D192A"/>
    <w:rsid w:val="002D215F"/>
    <w:rsid w:val="002D221E"/>
    <w:rsid w:val="002D25B8"/>
    <w:rsid w:val="002D2735"/>
    <w:rsid w:val="002D2AA4"/>
    <w:rsid w:val="002D2C56"/>
    <w:rsid w:val="002D2C6C"/>
    <w:rsid w:val="002D2CE8"/>
    <w:rsid w:val="002D2D3F"/>
    <w:rsid w:val="002D2DE1"/>
    <w:rsid w:val="002D2F33"/>
    <w:rsid w:val="002D3115"/>
    <w:rsid w:val="002D311C"/>
    <w:rsid w:val="002D338C"/>
    <w:rsid w:val="002D33AB"/>
    <w:rsid w:val="002D34DB"/>
    <w:rsid w:val="002D3556"/>
    <w:rsid w:val="002D3584"/>
    <w:rsid w:val="002D3912"/>
    <w:rsid w:val="002D3936"/>
    <w:rsid w:val="002D3A12"/>
    <w:rsid w:val="002D3DBF"/>
    <w:rsid w:val="002D3E60"/>
    <w:rsid w:val="002D3EC4"/>
    <w:rsid w:val="002D3EC6"/>
    <w:rsid w:val="002D402F"/>
    <w:rsid w:val="002D4148"/>
    <w:rsid w:val="002D4177"/>
    <w:rsid w:val="002D429C"/>
    <w:rsid w:val="002D4478"/>
    <w:rsid w:val="002D4619"/>
    <w:rsid w:val="002D473A"/>
    <w:rsid w:val="002D49B8"/>
    <w:rsid w:val="002D49CE"/>
    <w:rsid w:val="002D4BD0"/>
    <w:rsid w:val="002D4DF5"/>
    <w:rsid w:val="002D4E0F"/>
    <w:rsid w:val="002D4FFF"/>
    <w:rsid w:val="002D50ED"/>
    <w:rsid w:val="002D562E"/>
    <w:rsid w:val="002D5A0F"/>
    <w:rsid w:val="002D5B3B"/>
    <w:rsid w:val="002D5DAB"/>
    <w:rsid w:val="002D5E6D"/>
    <w:rsid w:val="002D5EC0"/>
    <w:rsid w:val="002D6092"/>
    <w:rsid w:val="002D62BB"/>
    <w:rsid w:val="002D6334"/>
    <w:rsid w:val="002D6720"/>
    <w:rsid w:val="002D6797"/>
    <w:rsid w:val="002D6E21"/>
    <w:rsid w:val="002D6EC7"/>
    <w:rsid w:val="002D6ECD"/>
    <w:rsid w:val="002D77A2"/>
    <w:rsid w:val="002D7A5B"/>
    <w:rsid w:val="002D7ECE"/>
    <w:rsid w:val="002E027A"/>
    <w:rsid w:val="002E0327"/>
    <w:rsid w:val="002E0464"/>
    <w:rsid w:val="002E05C5"/>
    <w:rsid w:val="002E07A4"/>
    <w:rsid w:val="002E07B8"/>
    <w:rsid w:val="002E08FD"/>
    <w:rsid w:val="002E0A69"/>
    <w:rsid w:val="002E0B46"/>
    <w:rsid w:val="002E0D1A"/>
    <w:rsid w:val="002E1152"/>
    <w:rsid w:val="002E118F"/>
    <w:rsid w:val="002E1216"/>
    <w:rsid w:val="002E13A4"/>
    <w:rsid w:val="002E15D7"/>
    <w:rsid w:val="002E15DE"/>
    <w:rsid w:val="002E1633"/>
    <w:rsid w:val="002E180F"/>
    <w:rsid w:val="002E18C4"/>
    <w:rsid w:val="002E1D11"/>
    <w:rsid w:val="002E1F1D"/>
    <w:rsid w:val="002E1F26"/>
    <w:rsid w:val="002E1F51"/>
    <w:rsid w:val="002E2254"/>
    <w:rsid w:val="002E23E2"/>
    <w:rsid w:val="002E2442"/>
    <w:rsid w:val="002E2A3F"/>
    <w:rsid w:val="002E2AA8"/>
    <w:rsid w:val="002E2B66"/>
    <w:rsid w:val="002E2CE5"/>
    <w:rsid w:val="002E2ECC"/>
    <w:rsid w:val="002E3207"/>
    <w:rsid w:val="002E335B"/>
    <w:rsid w:val="002E3368"/>
    <w:rsid w:val="002E3371"/>
    <w:rsid w:val="002E372F"/>
    <w:rsid w:val="002E3826"/>
    <w:rsid w:val="002E3985"/>
    <w:rsid w:val="002E401A"/>
    <w:rsid w:val="002E41C0"/>
    <w:rsid w:val="002E43D8"/>
    <w:rsid w:val="002E442A"/>
    <w:rsid w:val="002E4510"/>
    <w:rsid w:val="002E45A8"/>
    <w:rsid w:val="002E485D"/>
    <w:rsid w:val="002E48FD"/>
    <w:rsid w:val="002E51FA"/>
    <w:rsid w:val="002E550B"/>
    <w:rsid w:val="002E5BFE"/>
    <w:rsid w:val="002E5C31"/>
    <w:rsid w:val="002E5F3A"/>
    <w:rsid w:val="002E631E"/>
    <w:rsid w:val="002E68E8"/>
    <w:rsid w:val="002E68FD"/>
    <w:rsid w:val="002E6A5D"/>
    <w:rsid w:val="002E6AD7"/>
    <w:rsid w:val="002E700E"/>
    <w:rsid w:val="002E716C"/>
    <w:rsid w:val="002E72E7"/>
    <w:rsid w:val="002E737B"/>
    <w:rsid w:val="002E7507"/>
    <w:rsid w:val="002E789D"/>
    <w:rsid w:val="002E79B8"/>
    <w:rsid w:val="002E79FE"/>
    <w:rsid w:val="002E7CC9"/>
    <w:rsid w:val="002E7CDE"/>
    <w:rsid w:val="002E7F18"/>
    <w:rsid w:val="002F0190"/>
    <w:rsid w:val="002F040D"/>
    <w:rsid w:val="002F0438"/>
    <w:rsid w:val="002F0A22"/>
    <w:rsid w:val="002F0B37"/>
    <w:rsid w:val="002F0C3D"/>
    <w:rsid w:val="002F15A7"/>
    <w:rsid w:val="002F15B2"/>
    <w:rsid w:val="002F17D5"/>
    <w:rsid w:val="002F17F6"/>
    <w:rsid w:val="002F180E"/>
    <w:rsid w:val="002F1942"/>
    <w:rsid w:val="002F19EC"/>
    <w:rsid w:val="002F1A3A"/>
    <w:rsid w:val="002F2281"/>
    <w:rsid w:val="002F2321"/>
    <w:rsid w:val="002F2592"/>
    <w:rsid w:val="002F2662"/>
    <w:rsid w:val="002F27A6"/>
    <w:rsid w:val="002F2A0E"/>
    <w:rsid w:val="002F2B46"/>
    <w:rsid w:val="002F2EA0"/>
    <w:rsid w:val="002F3039"/>
    <w:rsid w:val="002F3238"/>
    <w:rsid w:val="002F3472"/>
    <w:rsid w:val="002F3495"/>
    <w:rsid w:val="002F3537"/>
    <w:rsid w:val="002F3717"/>
    <w:rsid w:val="002F3722"/>
    <w:rsid w:val="002F3C61"/>
    <w:rsid w:val="002F3D77"/>
    <w:rsid w:val="002F3E53"/>
    <w:rsid w:val="002F3F38"/>
    <w:rsid w:val="002F4067"/>
    <w:rsid w:val="002F428A"/>
    <w:rsid w:val="002F470B"/>
    <w:rsid w:val="002F471E"/>
    <w:rsid w:val="002F4B97"/>
    <w:rsid w:val="002F4D37"/>
    <w:rsid w:val="002F4DFE"/>
    <w:rsid w:val="002F4E01"/>
    <w:rsid w:val="002F4F31"/>
    <w:rsid w:val="002F52BC"/>
    <w:rsid w:val="002F5609"/>
    <w:rsid w:val="002F59A4"/>
    <w:rsid w:val="002F59C2"/>
    <w:rsid w:val="002F5A90"/>
    <w:rsid w:val="002F6213"/>
    <w:rsid w:val="002F6327"/>
    <w:rsid w:val="002F6488"/>
    <w:rsid w:val="002F65DF"/>
    <w:rsid w:val="002F689A"/>
    <w:rsid w:val="002F6B2D"/>
    <w:rsid w:val="002F6B5E"/>
    <w:rsid w:val="002F6DFE"/>
    <w:rsid w:val="002F6EA7"/>
    <w:rsid w:val="002F7129"/>
    <w:rsid w:val="002F718A"/>
    <w:rsid w:val="002F752D"/>
    <w:rsid w:val="002F7588"/>
    <w:rsid w:val="002F7677"/>
    <w:rsid w:val="002F7A87"/>
    <w:rsid w:val="002F7B81"/>
    <w:rsid w:val="002F7BAC"/>
    <w:rsid w:val="002F7D5F"/>
    <w:rsid w:val="002F7E3E"/>
    <w:rsid w:val="002F7FD2"/>
    <w:rsid w:val="00300167"/>
    <w:rsid w:val="003002AA"/>
    <w:rsid w:val="00300534"/>
    <w:rsid w:val="003007A0"/>
    <w:rsid w:val="00300CB6"/>
    <w:rsid w:val="003013C9"/>
    <w:rsid w:val="0030190E"/>
    <w:rsid w:val="003019B2"/>
    <w:rsid w:val="00301B83"/>
    <w:rsid w:val="00301D58"/>
    <w:rsid w:val="00301E37"/>
    <w:rsid w:val="00301E5D"/>
    <w:rsid w:val="00301FED"/>
    <w:rsid w:val="003025B7"/>
    <w:rsid w:val="00302DC3"/>
    <w:rsid w:val="00302E20"/>
    <w:rsid w:val="00302FFB"/>
    <w:rsid w:val="0030306B"/>
    <w:rsid w:val="00303136"/>
    <w:rsid w:val="00303149"/>
    <w:rsid w:val="003031A0"/>
    <w:rsid w:val="003034E3"/>
    <w:rsid w:val="0030368E"/>
    <w:rsid w:val="00303818"/>
    <w:rsid w:val="003038F6"/>
    <w:rsid w:val="00303A56"/>
    <w:rsid w:val="00303A59"/>
    <w:rsid w:val="00303AAF"/>
    <w:rsid w:val="00304140"/>
    <w:rsid w:val="00304267"/>
    <w:rsid w:val="0030479A"/>
    <w:rsid w:val="00304E74"/>
    <w:rsid w:val="00305631"/>
    <w:rsid w:val="00305779"/>
    <w:rsid w:val="00305F94"/>
    <w:rsid w:val="0030607C"/>
    <w:rsid w:val="003065C3"/>
    <w:rsid w:val="00306AFA"/>
    <w:rsid w:val="00306EAC"/>
    <w:rsid w:val="00306ED9"/>
    <w:rsid w:val="0030703B"/>
    <w:rsid w:val="003070C6"/>
    <w:rsid w:val="0030713A"/>
    <w:rsid w:val="00307145"/>
    <w:rsid w:val="003072BD"/>
    <w:rsid w:val="00307506"/>
    <w:rsid w:val="003076FB"/>
    <w:rsid w:val="00307ABA"/>
    <w:rsid w:val="00307BE4"/>
    <w:rsid w:val="0031018F"/>
    <w:rsid w:val="00310196"/>
    <w:rsid w:val="00310362"/>
    <w:rsid w:val="00310566"/>
    <w:rsid w:val="003105A7"/>
    <w:rsid w:val="003106E5"/>
    <w:rsid w:val="0031076C"/>
    <w:rsid w:val="00310C73"/>
    <w:rsid w:val="00310CC0"/>
    <w:rsid w:val="00311409"/>
    <w:rsid w:val="003117F4"/>
    <w:rsid w:val="00311AA2"/>
    <w:rsid w:val="00311D5B"/>
    <w:rsid w:val="00311DAE"/>
    <w:rsid w:val="00311DCE"/>
    <w:rsid w:val="00311EBF"/>
    <w:rsid w:val="0031216D"/>
    <w:rsid w:val="00312183"/>
    <w:rsid w:val="003121B0"/>
    <w:rsid w:val="00312220"/>
    <w:rsid w:val="0031233C"/>
    <w:rsid w:val="00312602"/>
    <w:rsid w:val="00312711"/>
    <w:rsid w:val="003128BC"/>
    <w:rsid w:val="00312A1C"/>
    <w:rsid w:val="00312ACF"/>
    <w:rsid w:val="00312B6B"/>
    <w:rsid w:val="00312BA9"/>
    <w:rsid w:val="00312E38"/>
    <w:rsid w:val="00312F43"/>
    <w:rsid w:val="0031359F"/>
    <w:rsid w:val="00313671"/>
    <w:rsid w:val="00313A02"/>
    <w:rsid w:val="00313AD1"/>
    <w:rsid w:val="00313F83"/>
    <w:rsid w:val="00313F9B"/>
    <w:rsid w:val="0031421E"/>
    <w:rsid w:val="00314386"/>
    <w:rsid w:val="00314486"/>
    <w:rsid w:val="0031468D"/>
    <w:rsid w:val="0031476A"/>
    <w:rsid w:val="003147D6"/>
    <w:rsid w:val="00314BBA"/>
    <w:rsid w:val="00314CDA"/>
    <w:rsid w:val="00314DCB"/>
    <w:rsid w:val="00314E13"/>
    <w:rsid w:val="003150C9"/>
    <w:rsid w:val="003153ED"/>
    <w:rsid w:val="00315A1B"/>
    <w:rsid w:val="00315A71"/>
    <w:rsid w:val="00315F46"/>
    <w:rsid w:val="0031618A"/>
    <w:rsid w:val="00316361"/>
    <w:rsid w:val="003169D2"/>
    <w:rsid w:val="00316C11"/>
    <w:rsid w:val="0031711B"/>
    <w:rsid w:val="003174B6"/>
    <w:rsid w:val="0031752C"/>
    <w:rsid w:val="00317AEA"/>
    <w:rsid w:val="00317D9E"/>
    <w:rsid w:val="00317F7C"/>
    <w:rsid w:val="003202B4"/>
    <w:rsid w:val="003202CA"/>
    <w:rsid w:val="00320329"/>
    <w:rsid w:val="00320875"/>
    <w:rsid w:val="00320A67"/>
    <w:rsid w:val="00320C59"/>
    <w:rsid w:val="00321171"/>
    <w:rsid w:val="0032132A"/>
    <w:rsid w:val="00321591"/>
    <w:rsid w:val="00321A02"/>
    <w:rsid w:val="00321A46"/>
    <w:rsid w:val="00321A51"/>
    <w:rsid w:val="00321A8B"/>
    <w:rsid w:val="00321B7A"/>
    <w:rsid w:val="00321CFB"/>
    <w:rsid w:val="00322109"/>
    <w:rsid w:val="0032284E"/>
    <w:rsid w:val="003229ED"/>
    <w:rsid w:val="00322AD9"/>
    <w:rsid w:val="00322B6D"/>
    <w:rsid w:val="00322E3C"/>
    <w:rsid w:val="00323006"/>
    <w:rsid w:val="00323028"/>
    <w:rsid w:val="003233E8"/>
    <w:rsid w:val="0032344A"/>
    <w:rsid w:val="00323474"/>
    <w:rsid w:val="003236FC"/>
    <w:rsid w:val="00323983"/>
    <w:rsid w:val="00323B89"/>
    <w:rsid w:val="00323CF2"/>
    <w:rsid w:val="00323F11"/>
    <w:rsid w:val="003244D3"/>
    <w:rsid w:val="00324544"/>
    <w:rsid w:val="0032458A"/>
    <w:rsid w:val="00324594"/>
    <w:rsid w:val="00324E59"/>
    <w:rsid w:val="00324ECE"/>
    <w:rsid w:val="00325054"/>
    <w:rsid w:val="003251AC"/>
    <w:rsid w:val="003252FF"/>
    <w:rsid w:val="003254D3"/>
    <w:rsid w:val="00325964"/>
    <w:rsid w:val="00325E9D"/>
    <w:rsid w:val="003263FA"/>
    <w:rsid w:val="00326482"/>
    <w:rsid w:val="00326545"/>
    <w:rsid w:val="00326980"/>
    <w:rsid w:val="00326AC7"/>
    <w:rsid w:val="00326C47"/>
    <w:rsid w:val="00326D2A"/>
    <w:rsid w:val="00326FBD"/>
    <w:rsid w:val="003271D6"/>
    <w:rsid w:val="003272BD"/>
    <w:rsid w:val="003278AB"/>
    <w:rsid w:val="00327CC3"/>
    <w:rsid w:val="00327EA9"/>
    <w:rsid w:val="00330085"/>
    <w:rsid w:val="003303C9"/>
    <w:rsid w:val="00330755"/>
    <w:rsid w:val="003307FA"/>
    <w:rsid w:val="00330CB2"/>
    <w:rsid w:val="00330CC6"/>
    <w:rsid w:val="0033176A"/>
    <w:rsid w:val="003319B5"/>
    <w:rsid w:val="00331B6B"/>
    <w:rsid w:val="00331B6F"/>
    <w:rsid w:val="00331DA8"/>
    <w:rsid w:val="00331EB8"/>
    <w:rsid w:val="00331F74"/>
    <w:rsid w:val="00332235"/>
    <w:rsid w:val="003323E9"/>
    <w:rsid w:val="00332874"/>
    <w:rsid w:val="0033297F"/>
    <w:rsid w:val="00332B37"/>
    <w:rsid w:val="00332C90"/>
    <w:rsid w:val="00332CED"/>
    <w:rsid w:val="00332E1D"/>
    <w:rsid w:val="003331CC"/>
    <w:rsid w:val="0033341D"/>
    <w:rsid w:val="00333775"/>
    <w:rsid w:val="00333839"/>
    <w:rsid w:val="003339DD"/>
    <w:rsid w:val="00333B3D"/>
    <w:rsid w:val="00333B53"/>
    <w:rsid w:val="00333D7A"/>
    <w:rsid w:val="00333F63"/>
    <w:rsid w:val="00334125"/>
    <w:rsid w:val="00334164"/>
    <w:rsid w:val="0033421D"/>
    <w:rsid w:val="00334723"/>
    <w:rsid w:val="00334973"/>
    <w:rsid w:val="003349F8"/>
    <w:rsid w:val="00334DAE"/>
    <w:rsid w:val="003351DE"/>
    <w:rsid w:val="003352EC"/>
    <w:rsid w:val="0033536F"/>
    <w:rsid w:val="0033563C"/>
    <w:rsid w:val="003356A1"/>
    <w:rsid w:val="003356D7"/>
    <w:rsid w:val="0033577D"/>
    <w:rsid w:val="003357B1"/>
    <w:rsid w:val="0033595E"/>
    <w:rsid w:val="00335B66"/>
    <w:rsid w:val="00335B9D"/>
    <w:rsid w:val="00335D3D"/>
    <w:rsid w:val="00335E1D"/>
    <w:rsid w:val="0033624E"/>
    <w:rsid w:val="0033636D"/>
    <w:rsid w:val="003363BC"/>
    <w:rsid w:val="003363F2"/>
    <w:rsid w:val="003368FA"/>
    <w:rsid w:val="00336943"/>
    <w:rsid w:val="00336B9B"/>
    <w:rsid w:val="003372F4"/>
    <w:rsid w:val="0033735B"/>
    <w:rsid w:val="00337379"/>
    <w:rsid w:val="0033756A"/>
    <w:rsid w:val="00337598"/>
    <w:rsid w:val="00337755"/>
    <w:rsid w:val="00337BBC"/>
    <w:rsid w:val="00337CBB"/>
    <w:rsid w:val="00337F4C"/>
    <w:rsid w:val="00340004"/>
    <w:rsid w:val="00340346"/>
    <w:rsid w:val="003406A0"/>
    <w:rsid w:val="003406E6"/>
    <w:rsid w:val="0034090C"/>
    <w:rsid w:val="00340AEF"/>
    <w:rsid w:val="00340B6E"/>
    <w:rsid w:val="003416D7"/>
    <w:rsid w:val="00341714"/>
    <w:rsid w:val="003418A7"/>
    <w:rsid w:val="00341905"/>
    <w:rsid w:val="00341A25"/>
    <w:rsid w:val="00341A5E"/>
    <w:rsid w:val="00341AEF"/>
    <w:rsid w:val="00341C76"/>
    <w:rsid w:val="00341C85"/>
    <w:rsid w:val="00341E24"/>
    <w:rsid w:val="00341FAA"/>
    <w:rsid w:val="00342491"/>
    <w:rsid w:val="00342493"/>
    <w:rsid w:val="00342571"/>
    <w:rsid w:val="003425EC"/>
    <w:rsid w:val="00342600"/>
    <w:rsid w:val="003426C8"/>
    <w:rsid w:val="003428E2"/>
    <w:rsid w:val="00342A20"/>
    <w:rsid w:val="00342B64"/>
    <w:rsid w:val="00342C52"/>
    <w:rsid w:val="00342C7E"/>
    <w:rsid w:val="00342CF1"/>
    <w:rsid w:val="00342D85"/>
    <w:rsid w:val="00342E69"/>
    <w:rsid w:val="0034348D"/>
    <w:rsid w:val="00343522"/>
    <w:rsid w:val="003435F5"/>
    <w:rsid w:val="0034389A"/>
    <w:rsid w:val="00343BE2"/>
    <w:rsid w:val="00343D10"/>
    <w:rsid w:val="00344269"/>
    <w:rsid w:val="00344588"/>
    <w:rsid w:val="0034485C"/>
    <w:rsid w:val="003448F5"/>
    <w:rsid w:val="0034491A"/>
    <w:rsid w:val="00344D26"/>
    <w:rsid w:val="00344DE9"/>
    <w:rsid w:val="003451A1"/>
    <w:rsid w:val="003453B0"/>
    <w:rsid w:val="003453CA"/>
    <w:rsid w:val="003456D3"/>
    <w:rsid w:val="00345982"/>
    <w:rsid w:val="003459DF"/>
    <w:rsid w:val="00345A7A"/>
    <w:rsid w:val="00345A7C"/>
    <w:rsid w:val="00345E75"/>
    <w:rsid w:val="003461A1"/>
    <w:rsid w:val="0034647A"/>
    <w:rsid w:val="0034649B"/>
    <w:rsid w:val="00346890"/>
    <w:rsid w:val="0034696C"/>
    <w:rsid w:val="00346B03"/>
    <w:rsid w:val="00346BEE"/>
    <w:rsid w:val="00346EBE"/>
    <w:rsid w:val="003472BF"/>
    <w:rsid w:val="00347BA0"/>
    <w:rsid w:val="00347C77"/>
    <w:rsid w:val="00347CA3"/>
    <w:rsid w:val="00347D3E"/>
    <w:rsid w:val="00347F72"/>
    <w:rsid w:val="003506F7"/>
    <w:rsid w:val="00350A48"/>
    <w:rsid w:val="00350FD3"/>
    <w:rsid w:val="00351073"/>
    <w:rsid w:val="0035108C"/>
    <w:rsid w:val="00351511"/>
    <w:rsid w:val="003515A2"/>
    <w:rsid w:val="003516A8"/>
    <w:rsid w:val="00351925"/>
    <w:rsid w:val="00351B95"/>
    <w:rsid w:val="00351C2B"/>
    <w:rsid w:val="00351F84"/>
    <w:rsid w:val="00352145"/>
    <w:rsid w:val="003521F5"/>
    <w:rsid w:val="003523FF"/>
    <w:rsid w:val="00352603"/>
    <w:rsid w:val="0035285C"/>
    <w:rsid w:val="003528F5"/>
    <w:rsid w:val="0035290D"/>
    <w:rsid w:val="0035292F"/>
    <w:rsid w:val="00352D7F"/>
    <w:rsid w:val="00352E18"/>
    <w:rsid w:val="00353160"/>
    <w:rsid w:val="00353229"/>
    <w:rsid w:val="003532A0"/>
    <w:rsid w:val="0035335F"/>
    <w:rsid w:val="003534B9"/>
    <w:rsid w:val="00353C0D"/>
    <w:rsid w:val="00353E85"/>
    <w:rsid w:val="003540B4"/>
    <w:rsid w:val="003540BB"/>
    <w:rsid w:val="00354110"/>
    <w:rsid w:val="00354148"/>
    <w:rsid w:val="00354430"/>
    <w:rsid w:val="0035463E"/>
    <w:rsid w:val="00354A8D"/>
    <w:rsid w:val="00354C8A"/>
    <w:rsid w:val="00354E3B"/>
    <w:rsid w:val="00355018"/>
    <w:rsid w:val="0035526A"/>
    <w:rsid w:val="0035531B"/>
    <w:rsid w:val="00355903"/>
    <w:rsid w:val="00355ACF"/>
    <w:rsid w:val="00355D6F"/>
    <w:rsid w:val="00355F06"/>
    <w:rsid w:val="00355F88"/>
    <w:rsid w:val="003564C1"/>
    <w:rsid w:val="003566AA"/>
    <w:rsid w:val="00356AB0"/>
    <w:rsid w:val="00356C0B"/>
    <w:rsid w:val="00356D0D"/>
    <w:rsid w:val="00356EBF"/>
    <w:rsid w:val="00357469"/>
    <w:rsid w:val="003575CA"/>
    <w:rsid w:val="00357686"/>
    <w:rsid w:val="00357736"/>
    <w:rsid w:val="00357A31"/>
    <w:rsid w:val="00357E60"/>
    <w:rsid w:val="00360263"/>
    <w:rsid w:val="0036036D"/>
    <w:rsid w:val="00360441"/>
    <w:rsid w:val="00360516"/>
    <w:rsid w:val="00360524"/>
    <w:rsid w:val="003606AD"/>
    <w:rsid w:val="00360A67"/>
    <w:rsid w:val="00360BC0"/>
    <w:rsid w:val="00360C19"/>
    <w:rsid w:val="00360D15"/>
    <w:rsid w:val="00360D7C"/>
    <w:rsid w:val="00360E08"/>
    <w:rsid w:val="00360E29"/>
    <w:rsid w:val="003612EF"/>
    <w:rsid w:val="003612FC"/>
    <w:rsid w:val="00361338"/>
    <w:rsid w:val="003614CD"/>
    <w:rsid w:val="003615EF"/>
    <w:rsid w:val="00361870"/>
    <w:rsid w:val="00361BA5"/>
    <w:rsid w:val="00361E06"/>
    <w:rsid w:val="00362124"/>
    <w:rsid w:val="00362215"/>
    <w:rsid w:val="00362461"/>
    <w:rsid w:val="003626A6"/>
    <w:rsid w:val="00362793"/>
    <w:rsid w:val="00362ACE"/>
    <w:rsid w:val="00362C66"/>
    <w:rsid w:val="00362EB9"/>
    <w:rsid w:val="00362F6A"/>
    <w:rsid w:val="0036316F"/>
    <w:rsid w:val="003631AD"/>
    <w:rsid w:val="00363386"/>
    <w:rsid w:val="00363499"/>
    <w:rsid w:val="003636AD"/>
    <w:rsid w:val="00363B06"/>
    <w:rsid w:val="00363B66"/>
    <w:rsid w:val="00363EDB"/>
    <w:rsid w:val="00363F08"/>
    <w:rsid w:val="00364052"/>
    <w:rsid w:val="00364083"/>
    <w:rsid w:val="003640A3"/>
    <w:rsid w:val="003641A4"/>
    <w:rsid w:val="0036422D"/>
    <w:rsid w:val="003642E1"/>
    <w:rsid w:val="00364343"/>
    <w:rsid w:val="0036444E"/>
    <w:rsid w:val="00364748"/>
    <w:rsid w:val="00364B98"/>
    <w:rsid w:val="00364DAA"/>
    <w:rsid w:val="00364E5E"/>
    <w:rsid w:val="003657EA"/>
    <w:rsid w:val="00365C5E"/>
    <w:rsid w:val="00365C83"/>
    <w:rsid w:val="00365DAC"/>
    <w:rsid w:val="00365ED4"/>
    <w:rsid w:val="00366179"/>
    <w:rsid w:val="0036649A"/>
    <w:rsid w:val="0036673A"/>
    <w:rsid w:val="0036692B"/>
    <w:rsid w:val="0036692F"/>
    <w:rsid w:val="00366992"/>
    <w:rsid w:val="00366D1A"/>
    <w:rsid w:val="003670F0"/>
    <w:rsid w:val="0036759A"/>
    <w:rsid w:val="0036789C"/>
    <w:rsid w:val="003678E8"/>
    <w:rsid w:val="0036792F"/>
    <w:rsid w:val="0036797C"/>
    <w:rsid w:val="003679D7"/>
    <w:rsid w:val="00367A08"/>
    <w:rsid w:val="00367C4C"/>
    <w:rsid w:val="00367C51"/>
    <w:rsid w:val="00367CF9"/>
    <w:rsid w:val="00367E68"/>
    <w:rsid w:val="00370009"/>
    <w:rsid w:val="00370313"/>
    <w:rsid w:val="003706E5"/>
    <w:rsid w:val="00370B3C"/>
    <w:rsid w:val="00370B5D"/>
    <w:rsid w:val="00370C28"/>
    <w:rsid w:val="0037137F"/>
    <w:rsid w:val="003713DE"/>
    <w:rsid w:val="0037170D"/>
    <w:rsid w:val="0037172F"/>
    <w:rsid w:val="00371852"/>
    <w:rsid w:val="0037193E"/>
    <w:rsid w:val="00371C6C"/>
    <w:rsid w:val="003721D8"/>
    <w:rsid w:val="003721EF"/>
    <w:rsid w:val="00372225"/>
    <w:rsid w:val="00372317"/>
    <w:rsid w:val="003723CA"/>
    <w:rsid w:val="00372A44"/>
    <w:rsid w:val="00372B10"/>
    <w:rsid w:val="00372B23"/>
    <w:rsid w:val="00372CCE"/>
    <w:rsid w:val="00372DEE"/>
    <w:rsid w:val="00372E2D"/>
    <w:rsid w:val="00372EFD"/>
    <w:rsid w:val="0037304F"/>
    <w:rsid w:val="00373140"/>
    <w:rsid w:val="003731B8"/>
    <w:rsid w:val="00373752"/>
    <w:rsid w:val="003737F8"/>
    <w:rsid w:val="0037398E"/>
    <w:rsid w:val="00373B86"/>
    <w:rsid w:val="00373DE2"/>
    <w:rsid w:val="00373E5D"/>
    <w:rsid w:val="003744F8"/>
    <w:rsid w:val="00374A87"/>
    <w:rsid w:val="00374F48"/>
    <w:rsid w:val="00375089"/>
    <w:rsid w:val="0037518F"/>
    <w:rsid w:val="0037521B"/>
    <w:rsid w:val="00375305"/>
    <w:rsid w:val="00375370"/>
    <w:rsid w:val="003753C5"/>
    <w:rsid w:val="003755FC"/>
    <w:rsid w:val="00375902"/>
    <w:rsid w:val="00375D81"/>
    <w:rsid w:val="00375FD4"/>
    <w:rsid w:val="00376022"/>
    <w:rsid w:val="003763DD"/>
    <w:rsid w:val="00376456"/>
    <w:rsid w:val="0037663C"/>
    <w:rsid w:val="003767B2"/>
    <w:rsid w:val="003768D7"/>
    <w:rsid w:val="0037692E"/>
    <w:rsid w:val="0037732F"/>
    <w:rsid w:val="00377438"/>
    <w:rsid w:val="00377524"/>
    <w:rsid w:val="00377743"/>
    <w:rsid w:val="003777AD"/>
    <w:rsid w:val="00377848"/>
    <w:rsid w:val="00377E26"/>
    <w:rsid w:val="00377E78"/>
    <w:rsid w:val="003804DC"/>
    <w:rsid w:val="00380BA3"/>
    <w:rsid w:val="00380BBA"/>
    <w:rsid w:val="00380D61"/>
    <w:rsid w:val="00380DFD"/>
    <w:rsid w:val="00380FC8"/>
    <w:rsid w:val="00381080"/>
    <w:rsid w:val="0038139D"/>
    <w:rsid w:val="00381BC6"/>
    <w:rsid w:val="00381BFC"/>
    <w:rsid w:val="00381D58"/>
    <w:rsid w:val="00381DA5"/>
    <w:rsid w:val="00381ED9"/>
    <w:rsid w:val="00381F65"/>
    <w:rsid w:val="003820D0"/>
    <w:rsid w:val="00382125"/>
    <w:rsid w:val="003822B9"/>
    <w:rsid w:val="0038235A"/>
    <w:rsid w:val="00382361"/>
    <w:rsid w:val="00382566"/>
    <w:rsid w:val="003826E9"/>
    <w:rsid w:val="003829CC"/>
    <w:rsid w:val="00382BDA"/>
    <w:rsid w:val="0038317F"/>
    <w:rsid w:val="003831BE"/>
    <w:rsid w:val="00383609"/>
    <w:rsid w:val="003838D7"/>
    <w:rsid w:val="003838DF"/>
    <w:rsid w:val="00383E6A"/>
    <w:rsid w:val="003840C4"/>
    <w:rsid w:val="0038416C"/>
    <w:rsid w:val="003843B6"/>
    <w:rsid w:val="00384529"/>
    <w:rsid w:val="00384773"/>
    <w:rsid w:val="00384949"/>
    <w:rsid w:val="00384B4B"/>
    <w:rsid w:val="00385250"/>
    <w:rsid w:val="00385473"/>
    <w:rsid w:val="003857B2"/>
    <w:rsid w:val="003857F7"/>
    <w:rsid w:val="00385AF6"/>
    <w:rsid w:val="00385B25"/>
    <w:rsid w:val="00385C03"/>
    <w:rsid w:val="00385CF9"/>
    <w:rsid w:val="00385D47"/>
    <w:rsid w:val="00385F75"/>
    <w:rsid w:val="00385FFE"/>
    <w:rsid w:val="003860E8"/>
    <w:rsid w:val="00386105"/>
    <w:rsid w:val="0038621C"/>
    <w:rsid w:val="0038622E"/>
    <w:rsid w:val="0038628F"/>
    <w:rsid w:val="003866D7"/>
    <w:rsid w:val="00386954"/>
    <w:rsid w:val="003869A3"/>
    <w:rsid w:val="00386A3E"/>
    <w:rsid w:val="00386AEA"/>
    <w:rsid w:val="00386B37"/>
    <w:rsid w:val="00386B77"/>
    <w:rsid w:val="00386BB9"/>
    <w:rsid w:val="00386DE4"/>
    <w:rsid w:val="00386DE7"/>
    <w:rsid w:val="003874B9"/>
    <w:rsid w:val="0038766D"/>
    <w:rsid w:val="00387E6F"/>
    <w:rsid w:val="003902C5"/>
    <w:rsid w:val="003903A5"/>
    <w:rsid w:val="0039123C"/>
    <w:rsid w:val="003912CF"/>
    <w:rsid w:val="00391308"/>
    <w:rsid w:val="0039183A"/>
    <w:rsid w:val="00391AE4"/>
    <w:rsid w:val="00391E28"/>
    <w:rsid w:val="003920CA"/>
    <w:rsid w:val="003922A9"/>
    <w:rsid w:val="003924E7"/>
    <w:rsid w:val="003926F0"/>
    <w:rsid w:val="00392953"/>
    <w:rsid w:val="00392986"/>
    <w:rsid w:val="00392994"/>
    <w:rsid w:val="00392C7D"/>
    <w:rsid w:val="00392D68"/>
    <w:rsid w:val="00392E56"/>
    <w:rsid w:val="00393177"/>
    <w:rsid w:val="003932E6"/>
    <w:rsid w:val="00393607"/>
    <w:rsid w:val="0039375B"/>
    <w:rsid w:val="0039382F"/>
    <w:rsid w:val="003938C6"/>
    <w:rsid w:val="00393A17"/>
    <w:rsid w:val="00393AF1"/>
    <w:rsid w:val="00393B58"/>
    <w:rsid w:val="00393DFF"/>
    <w:rsid w:val="00393EED"/>
    <w:rsid w:val="003944F8"/>
    <w:rsid w:val="003947D5"/>
    <w:rsid w:val="00394886"/>
    <w:rsid w:val="00394894"/>
    <w:rsid w:val="00394A0F"/>
    <w:rsid w:val="00394A71"/>
    <w:rsid w:val="00394DAF"/>
    <w:rsid w:val="00394F82"/>
    <w:rsid w:val="00394FA5"/>
    <w:rsid w:val="0039550C"/>
    <w:rsid w:val="003956DD"/>
    <w:rsid w:val="0039574C"/>
    <w:rsid w:val="00395772"/>
    <w:rsid w:val="0039581D"/>
    <w:rsid w:val="00395865"/>
    <w:rsid w:val="003958F8"/>
    <w:rsid w:val="00395984"/>
    <w:rsid w:val="00395ACF"/>
    <w:rsid w:val="00395D4A"/>
    <w:rsid w:val="00395F6C"/>
    <w:rsid w:val="00396131"/>
    <w:rsid w:val="003962A6"/>
    <w:rsid w:val="00396324"/>
    <w:rsid w:val="003963D3"/>
    <w:rsid w:val="00396C03"/>
    <w:rsid w:val="00396D6E"/>
    <w:rsid w:val="00396F8C"/>
    <w:rsid w:val="003972FB"/>
    <w:rsid w:val="00397404"/>
    <w:rsid w:val="00397452"/>
    <w:rsid w:val="0039749B"/>
    <w:rsid w:val="00397599"/>
    <w:rsid w:val="003975D8"/>
    <w:rsid w:val="00397948"/>
    <w:rsid w:val="00397ACC"/>
    <w:rsid w:val="00397B78"/>
    <w:rsid w:val="00397E8F"/>
    <w:rsid w:val="00397F4D"/>
    <w:rsid w:val="003A0240"/>
    <w:rsid w:val="003A0314"/>
    <w:rsid w:val="003A049C"/>
    <w:rsid w:val="003A04FC"/>
    <w:rsid w:val="003A0893"/>
    <w:rsid w:val="003A0E3B"/>
    <w:rsid w:val="003A0E7E"/>
    <w:rsid w:val="003A1078"/>
    <w:rsid w:val="003A1690"/>
    <w:rsid w:val="003A17C8"/>
    <w:rsid w:val="003A1913"/>
    <w:rsid w:val="003A1971"/>
    <w:rsid w:val="003A199A"/>
    <w:rsid w:val="003A1A19"/>
    <w:rsid w:val="003A1F9B"/>
    <w:rsid w:val="003A20FC"/>
    <w:rsid w:val="003A24E7"/>
    <w:rsid w:val="003A26D0"/>
    <w:rsid w:val="003A2AC4"/>
    <w:rsid w:val="003A2EE6"/>
    <w:rsid w:val="003A2F2B"/>
    <w:rsid w:val="003A3062"/>
    <w:rsid w:val="003A32C6"/>
    <w:rsid w:val="003A33D0"/>
    <w:rsid w:val="003A3502"/>
    <w:rsid w:val="003A378E"/>
    <w:rsid w:val="003A3797"/>
    <w:rsid w:val="003A3869"/>
    <w:rsid w:val="003A3BF7"/>
    <w:rsid w:val="003A3C79"/>
    <w:rsid w:val="003A43F3"/>
    <w:rsid w:val="003A481B"/>
    <w:rsid w:val="003A4887"/>
    <w:rsid w:val="003A4F42"/>
    <w:rsid w:val="003A4FB1"/>
    <w:rsid w:val="003A501D"/>
    <w:rsid w:val="003A512D"/>
    <w:rsid w:val="003A52DC"/>
    <w:rsid w:val="003A52F8"/>
    <w:rsid w:val="003A585D"/>
    <w:rsid w:val="003A58A8"/>
    <w:rsid w:val="003A5958"/>
    <w:rsid w:val="003A5999"/>
    <w:rsid w:val="003A5A50"/>
    <w:rsid w:val="003A5B25"/>
    <w:rsid w:val="003A5B2A"/>
    <w:rsid w:val="003A5E53"/>
    <w:rsid w:val="003A6241"/>
    <w:rsid w:val="003A64F3"/>
    <w:rsid w:val="003A654A"/>
    <w:rsid w:val="003A6A98"/>
    <w:rsid w:val="003A6AF4"/>
    <w:rsid w:val="003A6D68"/>
    <w:rsid w:val="003A6D70"/>
    <w:rsid w:val="003A70CC"/>
    <w:rsid w:val="003A723E"/>
    <w:rsid w:val="003A731B"/>
    <w:rsid w:val="003A7371"/>
    <w:rsid w:val="003A7423"/>
    <w:rsid w:val="003A7531"/>
    <w:rsid w:val="003A769F"/>
    <w:rsid w:val="003A76F4"/>
    <w:rsid w:val="003A7808"/>
    <w:rsid w:val="003A7D9E"/>
    <w:rsid w:val="003A7F06"/>
    <w:rsid w:val="003B034A"/>
    <w:rsid w:val="003B039E"/>
    <w:rsid w:val="003B0456"/>
    <w:rsid w:val="003B0847"/>
    <w:rsid w:val="003B08A8"/>
    <w:rsid w:val="003B0CA4"/>
    <w:rsid w:val="003B0D59"/>
    <w:rsid w:val="003B0FCA"/>
    <w:rsid w:val="003B12FD"/>
    <w:rsid w:val="003B12FE"/>
    <w:rsid w:val="003B17B2"/>
    <w:rsid w:val="003B1F23"/>
    <w:rsid w:val="003B2114"/>
    <w:rsid w:val="003B2280"/>
    <w:rsid w:val="003B22EC"/>
    <w:rsid w:val="003B2673"/>
    <w:rsid w:val="003B2796"/>
    <w:rsid w:val="003B285E"/>
    <w:rsid w:val="003B2B57"/>
    <w:rsid w:val="003B2D72"/>
    <w:rsid w:val="003B2FD6"/>
    <w:rsid w:val="003B3272"/>
    <w:rsid w:val="003B33E1"/>
    <w:rsid w:val="003B3B56"/>
    <w:rsid w:val="003B4352"/>
    <w:rsid w:val="003B435B"/>
    <w:rsid w:val="003B4485"/>
    <w:rsid w:val="003B4875"/>
    <w:rsid w:val="003B4881"/>
    <w:rsid w:val="003B4BF4"/>
    <w:rsid w:val="003B4CA7"/>
    <w:rsid w:val="003B4D09"/>
    <w:rsid w:val="003B4E4B"/>
    <w:rsid w:val="003B4E6D"/>
    <w:rsid w:val="003B4F22"/>
    <w:rsid w:val="003B4F37"/>
    <w:rsid w:val="003B521E"/>
    <w:rsid w:val="003B5A65"/>
    <w:rsid w:val="003B5E00"/>
    <w:rsid w:val="003B5EE2"/>
    <w:rsid w:val="003B5F76"/>
    <w:rsid w:val="003B6007"/>
    <w:rsid w:val="003B6057"/>
    <w:rsid w:val="003B6117"/>
    <w:rsid w:val="003B61F7"/>
    <w:rsid w:val="003B6463"/>
    <w:rsid w:val="003B65DA"/>
    <w:rsid w:val="003B6800"/>
    <w:rsid w:val="003B6BD3"/>
    <w:rsid w:val="003B6C05"/>
    <w:rsid w:val="003B71D9"/>
    <w:rsid w:val="003B7CA5"/>
    <w:rsid w:val="003C007A"/>
    <w:rsid w:val="003C0367"/>
    <w:rsid w:val="003C0382"/>
    <w:rsid w:val="003C0486"/>
    <w:rsid w:val="003C0E2A"/>
    <w:rsid w:val="003C0F2F"/>
    <w:rsid w:val="003C111A"/>
    <w:rsid w:val="003C13EA"/>
    <w:rsid w:val="003C15B7"/>
    <w:rsid w:val="003C15D0"/>
    <w:rsid w:val="003C1680"/>
    <w:rsid w:val="003C1710"/>
    <w:rsid w:val="003C17BB"/>
    <w:rsid w:val="003C194B"/>
    <w:rsid w:val="003C19F5"/>
    <w:rsid w:val="003C1D43"/>
    <w:rsid w:val="003C1E8E"/>
    <w:rsid w:val="003C1F9C"/>
    <w:rsid w:val="003C1FEF"/>
    <w:rsid w:val="003C24E6"/>
    <w:rsid w:val="003C27D6"/>
    <w:rsid w:val="003C29D0"/>
    <w:rsid w:val="003C2A40"/>
    <w:rsid w:val="003C2BFE"/>
    <w:rsid w:val="003C2E67"/>
    <w:rsid w:val="003C2F0B"/>
    <w:rsid w:val="003C2FDD"/>
    <w:rsid w:val="003C3529"/>
    <w:rsid w:val="003C35CA"/>
    <w:rsid w:val="003C380A"/>
    <w:rsid w:val="003C3905"/>
    <w:rsid w:val="003C3B95"/>
    <w:rsid w:val="003C3CCE"/>
    <w:rsid w:val="003C4460"/>
    <w:rsid w:val="003C4461"/>
    <w:rsid w:val="003C4530"/>
    <w:rsid w:val="003C4A9B"/>
    <w:rsid w:val="003C4BBD"/>
    <w:rsid w:val="003C4BF7"/>
    <w:rsid w:val="003C4C5B"/>
    <w:rsid w:val="003C4D9D"/>
    <w:rsid w:val="003C4DCE"/>
    <w:rsid w:val="003C4E15"/>
    <w:rsid w:val="003C57B0"/>
    <w:rsid w:val="003C57C1"/>
    <w:rsid w:val="003C5862"/>
    <w:rsid w:val="003C589E"/>
    <w:rsid w:val="003C5C7C"/>
    <w:rsid w:val="003C6262"/>
    <w:rsid w:val="003C6720"/>
    <w:rsid w:val="003C69B5"/>
    <w:rsid w:val="003C6A32"/>
    <w:rsid w:val="003C6A45"/>
    <w:rsid w:val="003C6BA0"/>
    <w:rsid w:val="003C6C77"/>
    <w:rsid w:val="003C771F"/>
    <w:rsid w:val="003C776F"/>
    <w:rsid w:val="003C7CCF"/>
    <w:rsid w:val="003C7DB7"/>
    <w:rsid w:val="003C7E08"/>
    <w:rsid w:val="003C7F06"/>
    <w:rsid w:val="003C7FB3"/>
    <w:rsid w:val="003D0260"/>
    <w:rsid w:val="003D061E"/>
    <w:rsid w:val="003D079E"/>
    <w:rsid w:val="003D0964"/>
    <w:rsid w:val="003D0CED"/>
    <w:rsid w:val="003D0D3A"/>
    <w:rsid w:val="003D0E0E"/>
    <w:rsid w:val="003D0E19"/>
    <w:rsid w:val="003D10EE"/>
    <w:rsid w:val="003D1105"/>
    <w:rsid w:val="003D16C7"/>
    <w:rsid w:val="003D16EE"/>
    <w:rsid w:val="003D1774"/>
    <w:rsid w:val="003D194E"/>
    <w:rsid w:val="003D1CA7"/>
    <w:rsid w:val="003D20F7"/>
    <w:rsid w:val="003D2272"/>
    <w:rsid w:val="003D2300"/>
    <w:rsid w:val="003D2E52"/>
    <w:rsid w:val="003D2E7E"/>
    <w:rsid w:val="003D3093"/>
    <w:rsid w:val="003D32A7"/>
    <w:rsid w:val="003D32FE"/>
    <w:rsid w:val="003D3321"/>
    <w:rsid w:val="003D33A4"/>
    <w:rsid w:val="003D3638"/>
    <w:rsid w:val="003D3687"/>
    <w:rsid w:val="003D37E9"/>
    <w:rsid w:val="003D3E57"/>
    <w:rsid w:val="003D3F0A"/>
    <w:rsid w:val="003D4509"/>
    <w:rsid w:val="003D45CC"/>
    <w:rsid w:val="003D4685"/>
    <w:rsid w:val="003D47E7"/>
    <w:rsid w:val="003D494B"/>
    <w:rsid w:val="003D49C7"/>
    <w:rsid w:val="003D4B21"/>
    <w:rsid w:val="003D4CCA"/>
    <w:rsid w:val="003D4DFE"/>
    <w:rsid w:val="003D4E63"/>
    <w:rsid w:val="003D4FFF"/>
    <w:rsid w:val="003D520B"/>
    <w:rsid w:val="003D5472"/>
    <w:rsid w:val="003D562E"/>
    <w:rsid w:val="003D5810"/>
    <w:rsid w:val="003D5AA2"/>
    <w:rsid w:val="003D5BDB"/>
    <w:rsid w:val="003D5C45"/>
    <w:rsid w:val="003D5C88"/>
    <w:rsid w:val="003D6313"/>
    <w:rsid w:val="003D6577"/>
    <w:rsid w:val="003D6638"/>
    <w:rsid w:val="003D6716"/>
    <w:rsid w:val="003D6866"/>
    <w:rsid w:val="003D6896"/>
    <w:rsid w:val="003D6BE0"/>
    <w:rsid w:val="003D6EC8"/>
    <w:rsid w:val="003D6F98"/>
    <w:rsid w:val="003D6F9E"/>
    <w:rsid w:val="003D7097"/>
    <w:rsid w:val="003D7252"/>
    <w:rsid w:val="003D7293"/>
    <w:rsid w:val="003D7F13"/>
    <w:rsid w:val="003D7F97"/>
    <w:rsid w:val="003E02F2"/>
    <w:rsid w:val="003E04AD"/>
    <w:rsid w:val="003E05EF"/>
    <w:rsid w:val="003E0986"/>
    <w:rsid w:val="003E0A95"/>
    <w:rsid w:val="003E0C04"/>
    <w:rsid w:val="003E0D5C"/>
    <w:rsid w:val="003E133A"/>
    <w:rsid w:val="003E14EB"/>
    <w:rsid w:val="003E166D"/>
    <w:rsid w:val="003E19A3"/>
    <w:rsid w:val="003E19DA"/>
    <w:rsid w:val="003E1B78"/>
    <w:rsid w:val="003E1E9B"/>
    <w:rsid w:val="003E1F1E"/>
    <w:rsid w:val="003E20A5"/>
    <w:rsid w:val="003E2307"/>
    <w:rsid w:val="003E24C6"/>
    <w:rsid w:val="003E2545"/>
    <w:rsid w:val="003E2986"/>
    <w:rsid w:val="003E2AEF"/>
    <w:rsid w:val="003E3888"/>
    <w:rsid w:val="003E3903"/>
    <w:rsid w:val="003E3993"/>
    <w:rsid w:val="003E39B3"/>
    <w:rsid w:val="003E3D40"/>
    <w:rsid w:val="003E3F1A"/>
    <w:rsid w:val="003E3F68"/>
    <w:rsid w:val="003E3F6B"/>
    <w:rsid w:val="003E3F90"/>
    <w:rsid w:val="003E3FBB"/>
    <w:rsid w:val="003E40B5"/>
    <w:rsid w:val="003E4358"/>
    <w:rsid w:val="003E43B2"/>
    <w:rsid w:val="003E4A03"/>
    <w:rsid w:val="003E4C43"/>
    <w:rsid w:val="003E4CE2"/>
    <w:rsid w:val="003E507B"/>
    <w:rsid w:val="003E5280"/>
    <w:rsid w:val="003E5328"/>
    <w:rsid w:val="003E538F"/>
    <w:rsid w:val="003E55C5"/>
    <w:rsid w:val="003E5876"/>
    <w:rsid w:val="003E5D00"/>
    <w:rsid w:val="003E5D99"/>
    <w:rsid w:val="003E604D"/>
    <w:rsid w:val="003E63B2"/>
    <w:rsid w:val="003E64E4"/>
    <w:rsid w:val="003E67E4"/>
    <w:rsid w:val="003E6B9E"/>
    <w:rsid w:val="003E6BB7"/>
    <w:rsid w:val="003E6BC6"/>
    <w:rsid w:val="003E6E80"/>
    <w:rsid w:val="003E7031"/>
    <w:rsid w:val="003E7109"/>
    <w:rsid w:val="003E7710"/>
    <w:rsid w:val="003E7A4D"/>
    <w:rsid w:val="003E7B24"/>
    <w:rsid w:val="003E7F33"/>
    <w:rsid w:val="003F0302"/>
    <w:rsid w:val="003F04E6"/>
    <w:rsid w:val="003F05D2"/>
    <w:rsid w:val="003F0723"/>
    <w:rsid w:val="003F09A3"/>
    <w:rsid w:val="003F0B0E"/>
    <w:rsid w:val="003F0BA4"/>
    <w:rsid w:val="003F0FA5"/>
    <w:rsid w:val="003F15EE"/>
    <w:rsid w:val="003F165E"/>
    <w:rsid w:val="003F1660"/>
    <w:rsid w:val="003F1AC6"/>
    <w:rsid w:val="003F1AFF"/>
    <w:rsid w:val="003F1FD2"/>
    <w:rsid w:val="003F2214"/>
    <w:rsid w:val="003F22D0"/>
    <w:rsid w:val="003F251E"/>
    <w:rsid w:val="003F258F"/>
    <w:rsid w:val="003F2694"/>
    <w:rsid w:val="003F26AC"/>
    <w:rsid w:val="003F27EC"/>
    <w:rsid w:val="003F2DE4"/>
    <w:rsid w:val="003F2EB1"/>
    <w:rsid w:val="003F2EB4"/>
    <w:rsid w:val="003F2F56"/>
    <w:rsid w:val="003F3206"/>
    <w:rsid w:val="003F353C"/>
    <w:rsid w:val="003F3EF2"/>
    <w:rsid w:val="003F3F6E"/>
    <w:rsid w:val="003F4333"/>
    <w:rsid w:val="003F4391"/>
    <w:rsid w:val="003F4394"/>
    <w:rsid w:val="003F457B"/>
    <w:rsid w:val="003F4AC1"/>
    <w:rsid w:val="003F4F10"/>
    <w:rsid w:val="003F51A4"/>
    <w:rsid w:val="003F55B2"/>
    <w:rsid w:val="003F5A3B"/>
    <w:rsid w:val="003F5AB6"/>
    <w:rsid w:val="003F5C72"/>
    <w:rsid w:val="003F5CAD"/>
    <w:rsid w:val="003F5F2B"/>
    <w:rsid w:val="003F63D7"/>
    <w:rsid w:val="003F66E7"/>
    <w:rsid w:val="003F6775"/>
    <w:rsid w:val="003F680C"/>
    <w:rsid w:val="003F6853"/>
    <w:rsid w:val="003F6858"/>
    <w:rsid w:val="003F685B"/>
    <w:rsid w:val="003F6963"/>
    <w:rsid w:val="003F6AE0"/>
    <w:rsid w:val="003F6C18"/>
    <w:rsid w:val="003F6C2A"/>
    <w:rsid w:val="003F6D48"/>
    <w:rsid w:val="003F6DB9"/>
    <w:rsid w:val="003F6E5D"/>
    <w:rsid w:val="003F7004"/>
    <w:rsid w:val="003F7045"/>
    <w:rsid w:val="003F7058"/>
    <w:rsid w:val="003F725E"/>
    <w:rsid w:val="003F72B3"/>
    <w:rsid w:val="003F76CB"/>
    <w:rsid w:val="003F7AB7"/>
    <w:rsid w:val="003F7CB7"/>
    <w:rsid w:val="003F7EFA"/>
    <w:rsid w:val="003F7F45"/>
    <w:rsid w:val="0040011D"/>
    <w:rsid w:val="00400300"/>
    <w:rsid w:val="00400329"/>
    <w:rsid w:val="00400C63"/>
    <w:rsid w:val="00400C93"/>
    <w:rsid w:val="00400DBA"/>
    <w:rsid w:val="00400FA1"/>
    <w:rsid w:val="00400FBB"/>
    <w:rsid w:val="0040106B"/>
    <w:rsid w:val="00401217"/>
    <w:rsid w:val="004019AE"/>
    <w:rsid w:val="00401BAA"/>
    <w:rsid w:val="00401BAF"/>
    <w:rsid w:val="00401BF6"/>
    <w:rsid w:val="00402042"/>
    <w:rsid w:val="004020FF"/>
    <w:rsid w:val="00402311"/>
    <w:rsid w:val="004023A2"/>
    <w:rsid w:val="00402421"/>
    <w:rsid w:val="00402CA8"/>
    <w:rsid w:val="00402DC4"/>
    <w:rsid w:val="00403339"/>
    <w:rsid w:val="0040337E"/>
    <w:rsid w:val="00403809"/>
    <w:rsid w:val="0040399A"/>
    <w:rsid w:val="00403A9D"/>
    <w:rsid w:val="00403BC1"/>
    <w:rsid w:val="00404212"/>
    <w:rsid w:val="004043F4"/>
    <w:rsid w:val="00404832"/>
    <w:rsid w:val="00404A50"/>
    <w:rsid w:val="00404E2F"/>
    <w:rsid w:val="00405151"/>
    <w:rsid w:val="00405260"/>
    <w:rsid w:val="0040544B"/>
    <w:rsid w:val="0040549A"/>
    <w:rsid w:val="00405555"/>
    <w:rsid w:val="00405710"/>
    <w:rsid w:val="00405764"/>
    <w:rsid w:val="0040580F"/>
    <w:rsid w:val="004059A0"/>
    <w:rsid w:val="00405C07"/>
    <w:rsid w:val="00405C5E"/>
    <w:rsid w:val="00405EE1"/>
    <w:rsid w:val="004068AC"/>
    <w:rsid w:val="004069A1"/>
    <w:rsid w:val="00406B55"/>
    <w:rsid w:val="00406F8C"/>
    <w:rsid w:val="00406FFF"/>
    <w:rsid w:val="004070AB"/>
    <w:rsid w:val="00407478"/>
    <w:rsid w:val="00407498"/>
    <w:rsid w:val="0040750D"/>
    <w:rsid w:val="004077B1"/>
    <w:rsid w:val="004079FF"/>
    <w:rsid w:val="00407CC3"/>
    <w:rsid w:val="00407D7C"/>
    <w:rsid w:val="00407E2D"/>
    <w:rsid w:val="004100BD"/>
    <w:rsid w:val="0041058B"/>
    <w:rsid w:val="00410716"/>
    <w:rsid w:val="0041076C"/>
    <w:rsid w:val="0041090C"/>
    <w:rsid w:val="00410E0B"/>
    <w:rsid w:val="00410E1C"/>
    <w:rsid w:val="00410EF4"/>
    <w:rsid w:val="00410F34"/>
    <w:rsid w:val="00411370"/>
    <w:rsid w:val="004114AF"/>
    <w:rsid w:val="0041153B"/>
    <w:rsid w:val="00411545"/>
    <w:rsid w:val="004115D7"/>
    <w:rsid w:val="00411861"/>
    <w:rsid w:val="0041187F"/>
    <w:rsid w:val="004118C3"/>
    <w:rsid w:val="004119B8"/>
    <w:rsid w:val="00411F0C"/>
    <w:rsid w:val="00412155"/>
    <w:rsid w:val="0041247F"/>
    <w:rsid w:val="00412716"/>
    <w:rsid w:val="0041274C"/>
    <w:rsid w:val="00412C6E"/>
    <w:rsid w:val="00412C9D"/>
    <w:rsid w:val="00413130"/>
    <w:rsid w:val="004132F7"/>
    <w:rsid w:val="0041343C"/>
    <w:rsid w:val="0041346A"/>
    <w:rsid w:val="0041354E"/>
    <w:rsid w:val="00413651"/>
    <w:rsid w:val="00413884"/>
    <w:rsid w:val="00413A31"/>
    <w:rsid w:val="00413CAA"/>
    <w:rsid w:val="004142E2"/>
    <w:rsid w:val="00414409"/>
    <w:rsid w:val="004144EF"/>
    <w:rsid w:val="0041469F"/>
    <w:rsid w:val="004148DD"/>
    <w:rsid w:val="00414952"/>
    <w:rsid w:val="00414B09"/>
    <w:rsid w:val="00414B44"/>
    <w:rsid w:val="00414D3A"/>
    <w:rsid w:val="00414D66"/>
    <w:rsid w:val="00414D75"/>
    <w:rsid w:val="00414D81"/>
    <w:rsid w:val="00414DA8"/>
    <w:rsid w:val="0041503D"/>
    <w:rsid w:val="00415282"/>
    <w:rsid w:val="00415330"/>
    <w:rsid w:val="00415607"/>
    <w:rsid w:val="00415988"/>
    <w:rsid w:val="00415B11"/>
    <w:rsid w:val="00415B45"/>
    <w:rsid w:val="00415DD6"/>
    <w:rsid w:val="00415F29"/>
    <w:rsid w:val="00416235"/>
    <w:rsid w:val="00416442"/>
    <w:rsid w:val="00416463"/>
    <w:rsid w:val="004164A0"/>
    <w:rsid w:val="004165D8"/>
    <w:rsid w:val="004165DD"/>
    <w:rsid w:val="00416675"/>
    <w:rsid w:val="00416971"/>
    <w:rsid w:val="00416B1E"/>
    <w:rsid w:val="00416BBC"/>
    <w:rsid w:val="00416C7F"/>
    <w:rsid w:val="0041708E"/>
    <w:rsid w:val="004176C0"/>
    <w:rsid w:val="00417850"/>
    <w:rsid w:val="0042013A"/>
    <w:rsid w:val="004204BD"/>
    <w:rsid w:val="004205A4"/>
    <w:rsid w:val="004209F0"/>
    <w:rsid w:val="00420D94"/>
    <w:rsid w:val="00420E14"/>
    <w:rsid w:val="004210CE"/>
    <w:rsid w:val="004210ED"/>
    <w:rsid w:val="004211A9"/>
    <w:rsid w:val="004211C6"/>
    <w:rsid w:val="00421277"/>
    <w:rsid w:val="004212B4"/>
    <w:rsid w:val="00421B6D"/>
    <w:rsid w:val="00421EB8"/>
    <w:rsid w:val="00421EE0"/>
    <w:rsid w:val="00421F68"/>
    <w:rsid w:val="004225F8"/>
    <w:rsid w:val="00422608"/>
    <w:rsid w:val="00422686"/>
    <w:rsid w:val="0042277B"/>
    <w:rsid w:val="004227CD"/>
    <w:rsid w:val="004229F7"/>
    <w:rsid w:val="00422AD0"/>
    <w:rsid w:val="00422E06"/>
    <w:rsid w:val="00422EFD"/>
    <w:rsid w:val="00422F62"/>
    <w:rsid w:val="00423191"/>
    <w:rsid w:val="0042321B"/>
    <w:rsid w:val="00423297"/>
    <w:rsid w:val="004232C9"/>
    <w:rsid w:val="00423696"/>
    <w:rsid w:val="004237FB"/>
    <w:rsid w:val="00423808"/>
    <w:rsid w:val="0042386B"/>
    <w:rsid w:val="00424347"/>
    <w:rsid w:val="004245F1"/>
    <w:rsid w:val="0042473A"/>
    <w:rsid w:val="0042483B"/>
    <w:rsid w:val="004248F0"/>
    <w:rsid w:val="00424B7D"/>
    <w:rsid w:val="00424C0F"/>
    <w:rsid w:val="00424C8E"/>
    <w:rsid w:val="00424D65"/>
    <w:rsid w:val="00425C21"/>
    <w:rsid w:val="00425C9C"/>
    <w:rsid w:val="004265BC"/>
    <w:rsid w:val="004265D2"/>
    <w:rsid w:val="00426617"/>
    <w:rsid w:val="004266DB"/>
    <w:rsid w:val="00426717"/>
    <w:rsid w:val="0042680B"/>
    <w:rsid w:val="00426A50"/>
    <w:rsid w:val="00426A79"/>
    <w:rsid w:val="00426F23"/>
    <w:rsid w:val="004270CF"/>
    <w:rsid w:val="00427191"/>
    <w:rsid w:val="00427969"/>
    <w:rsid w:val="00427AA3"/>
    <w:rsid w:val="00427BDB"/>
    <w:rsid w:val="00427C7D"/>
    <w:rsid w:val="00427D02"/>
    <w:rsid w:val="00427EB6"/>
    <w:rsid w:val="004302C3"/>
    <w:rsid w:val="004304C5"/>
    <w:rsid w:val="004308C5"/>
    <w:rsid w:val="00430B30"/>
    <w:rsid w:val="0043107C"/>
    <w:rsid w:val="0043120D"/>
    <w:rsid w:val="004313F8"/>
    <w:rsid w:val="00431BC6"/>
    <w:rsid w:val="00431C58"/>
    <w:rsid w:val="00431C7A"/>
    <w:rsid w:val="00431D97"/>
    <w:rsid w:val="004324C3"/>
    <w:rsid w:val="00432603"/>
    <w:rsid w:val="0043284E"/>
    <w:rsid w:val="00432900"/>
    <w:rsid w:val="00432D5A"/>
    <w:rsid w:val="00432D92"/>
    <w:rsid w:val="00432DBA"/>
    <w:rsid w:val="00432ED9"/>
    <w:rsid w:val="00433319"/>
    <w:rsid w:val="00433AFF"/>
    <w:rsid w:val="00434112"/>
    <w:rsid w:val="004341DE"/>
    <w:rsid w:val="004346EF"/>
    <w:rsid w:val="00434CC9"/>
    <w:rsid w:val="00434F00"/>
    <w:rsid w:val="0043503A"/>
    <w:rsid w:val="004353B9"/>
    <w:rsid w:val="00435830"/>
    <w:rsid w:val="00436029"/>
    <w:rsid w:val="004362F5"/>
    <w:rsid w:val="00436888"/>
    <w:rsid w:val="00436B2E"/>
    <w:rsid w:val="00436BE9"/>
    <w:rsid w:val="00436CBC"/>
    <w:rsid w:val="00436CC8"/>
    <w:rsid w:val="00436DA1"/>
    <w:rsid w:val="00437494"/>
    <w:rsid w:val="00437583"/>
    <w:rsid w:val="0043758A"/>
    <w:rsid w:val="00437A0A"/>
    <w:rsid w:val="00437BBB"/>
    <w:rsid w:val="00437C1B"/>
    <w:rsid w:val="00437DDF"/>
    <w:rsid w:val="00437E95"/>
    <w:rsid w:val="00437F63"/>
    <w:rsid w:val="00440030"/>
    <w:rsid w:val="0044016C"/>
    <w:rsid w:val="00440197"/>
    <w:rsid w:val="00440609"/>
    <w:rsid w:val="004406C1"/>
    <w:rsid w:val="004408A1"/>
    <w:rsid w:val="00440AB4"/>
    <w:rsid w:val="00440BD7"/>
    <w:rsid w:val="00440DE8"/>
    <w:rsid w:val="00440EC5"/>
    <w:rsid w:val="00440F6B"/>
    <w:rsid w:val="0044121E"/>
    <w:rsid w:val="00441592"/>
    <w:rsid w:val="004417AB"/>
    <w:rsid w:val="00441848"/>
    <w:rsid w:val="00441891"/>
    <w:rsid w:val="00441976"/>
    <w:rsid w:val="00441B09"/>
    <w:rsid w:val="00441CA7"/>
    <w:rsid w:val="00441E8A"/>
    <w:rsid w:val="00441EDD"/>
    <w:rsid w:val="00441F0B"/>
    <w:rsid w:val="004421A0"/>
    <w:rsid w:val="004421AF"/>
    <w:rsid w:val="0044252F"/>
    <w:rsid w:val="004426EC"/>
    <w:rsid w:val="0044290D"/>
    <w:rsid w:val="00442B45"/>
    <w:rsid w:val="00442DEF"/>
    <w:rsid w:val="00443132"/>
    <w:rsid w:val="00443360"/>
    <w:rsid w:val="00443451"/>
    <w:rsid w:val="00443587"/>
    <w:rsid w:val="004437AB"/>
    <w:rsid w:val="00443A5B"/>
    <w:rsid w:val="00443E3A"/>
    <w:rsid w:val="0044445A"/>
    <w:rsid w:val="00444516"/>
    <w:rsid w:val="00444724"/>
    <w:rsid w:val="00444992"/>
    <w:rsid w:val="00444E2A"/>
    <w:rsid w:val="00444E81"/>
    <w:rsid w:val="0044504A"/>
    <w:rsid w:val="0044516F"/>
    <w:rsid w:val="00445664"/>
    <w:rsid w:val="00445A2E"/>
    <w:rsid w:val="00445ADB"/>
    <w:rsid w:val="00445F5D"/>
    <w:rsid w:val="00445FF8"/>
    <w:rsid w:val="00446295"/>
    <w:rsid w:val="004463B4"/>
    <w:rsid w:val="00447067"/>
    <w:rsid w:val="004472D6"/>
    <w:rsid w:val="00447C3B"/>
    <w:rsid w:val="00450337"/>
    <w:rsid w:val="004503FD"/>
    <w:rsid w:val="0045076E"/>
    <w:rsid w:val="00450907"/>
    <w:rsid w:val="00450AA5"/>
    <w:rsid w:val="00450C8F"/>
    <w:rsid w:val="00450DBD"/>
    <w:rsid w:val="00450E8A"/>
    <w:rsid w:val="00451295"/>
    <w:rsid w:val="004512C2"/>
    <w:rsid w:val="004513A3"/>
    <w:rsid w:val="004514F7"/>
    <w:rsid w:val="004515F4"/>
    <w:rsid w:val="00451972"/>
    <w:rsid w:val="00451B5E"/>
    <w:rsid w:val="00451B84"/>
    <w:rsid w:val="00451BA9"/>
    <w:rsid w:val="00451BCC"/>
    <w:rsid w:val="00451D55"/>
    <w:rsid w:val="0045217B"/>
    <w:rsid w:val="004524CD"/>
    <w:rsid w:val="00452513"/>
    <w:rsid w:val="00452649"/>
    <w:rsid w:val="00452F0D"/>
    <w:rsid w:val="004532E0"/>
    <w:rsid w:val="00453378"/>
    <w:rsid w:val="00453394"/>
    <w:rsid w:val="004534F3"/>
    <w:rsid w:val="00453743"/>
    <w:rsid w:val="004537B1"/>
    <w:rsid w:val="0045385A"/>
    <w:rsid w:val="004538DE"/>
    <w:rsid w:val="00453CCF"/>
    <w:rsid w:val="00453D5D"/>
    <w:rsid w:val="0045405D"/>
    <w:rsid w:val="0045405F"/>
    <w:rsid w:val="0045407E"/>
    <w:rsid w:val="0045411F"/>
    <w:rsid w:val="004541EC"/>
    <w:rsid w:val="00454210"/>
    <w:rsid w:val="0045440B"/>
    <w:rsid w:val="0045441E"/>
    <w:rsid w:val="004548D1"/>
    <w:rsid w:val="00454CD8"/>
    <w:rsid w:val="00454D4A"/>
    <w:rsid w:val="00455086"/>
    <w:rsid w:val="004550C6"/>
    <w:rsid w:val="004550F1"/>
    <w:rsid w:val="0045527B"/>
    <w:rsid w:val="0045530C"/>
    <w:rsid w:val="004556C2"/>
    <w:rsid w:val="00455855"/>
    <w:rsid w:val="00455A70"/>
    <w:rsid w:val="00455EFF"/>
    <w:rsid w:val="00455F8D"/>
    <w:rsid w:val="00456058"/>
    <w:rsid w:val="00456C1F"/>
    <w:rsid w:val="00456C2E"/>
    <w:rsid w:val="00456E59"/>
    <w:rsid w:val="0045732C"/>
    <w:rsid w:val="00457857"/>
    <w:rsid w:val="00457862"/>
    <w:rsid w:val="00457CA0"/>
    <w:rsid w:val="00457CFA"/>
    <w:rsid w:val="00457D88"/>
    <w:rsid w:val="00460220"/>
    <w:rsid w:val="0046029E"/>
    <w:rsid w:val="0046068D"/>
    <w:rsid w:val="00460784"/>
    <w:rsid w:val="004608C2"/>
    <w:rsid w:val="00460DFE"/>
    <w:rsid w:val="00460EC8"/>
    <w:rsid w:val="00461135"/>
    <w:rsid w:val="004611A7"/>
    <w:rsid w:val="004611CF"/>
    <w:rsid w:val="004613D9"/>
    <w:rsid w:val="0046144B"/>
    <w:rsid w:val="004617A7"/>
    <w:rsid w:val="00461860"/>
    <w:rsid w:val="00462113"/>
    <w:rsid w:val="0046216E"/>
    <w:rsid w:val="00462172"/>
    <w:rsid w:val="004621DB"/>
    <w:rsid w:val="004623EC"/>
    <w:rsid w:val="0046253F"/>
    <w:rsid w:val="00462646"/>
    <w:rsid w:val="00462663"/>
    <w:rsid w:val="004626C5"/>
    <w:rsid w:val="004627AD"/>
    <w:rsid w:val="004627F6"/>
    <w:rsid w:val="0046289E"/>
    <w:rsid w:val="00462930"/>
    <w:rsid w:val="00462CA8"/>
    <w:rsid w:val="00462EC0"/>
    <w:rsid w:val="00462F82"/>
    <w:rsid w:val="00462FA2"/>
    <w:rsid w:val="004630A5"/>
    <w:rsid w:val="0046315B"/>
    <w:rsid w:val="004631A6"/>
    <w:rsid w:val="00463347"/>
    <w:rsid w:val="004634B7"/>
    <w:rsid w:val="00463670"/>
    <w:rsid w:val="00463A13"/>
    <w:rsid w:val="00463C82"/>
    <w:rsid w:val="00463CA8"/>
    <w:rsid w:val="00464136"/>
    <w:rsid w:val="0046466C"/>
    <w:rsid w:val="0046474D"/>
    <w:rsid w:val="00464856"/>
    <w:rsid w:val="004648AB"/>
    <w:rsid w:val="00464CBA"/>
    <w:rsid w:val="00464D8D"/>
    <w:rsid w:val="00464FEF"/>
    <w:rsid w:val="00465206"/>
    <w:rsid w:val="004653C7"/>
    <w:rsid w:val="00465552"/>
    <w:rsid w:val="0046558F"/>
    <w:rsid w:val="00465680"/>
    <w:rsid w:val="004658C0"/>
    <w:rsid w:val="004661EB"/>
    <w:rsid w:val="00466264"/>
    <w:rsid w:val="00466781"/>
    <w:rsid w:val="00466C61"/>
    <w:rsid w:val="00466E1E"/>
    <w:rsid w:val="00467140"/>
    <w:rsid w:val="00467148"/>
    <w:rsid w:val="00467154"/>
    <w:rsid w:val="004677F5"/>
    <w:rsid w:val="00467856"/>
    <w:rsid w:val="004679DF"/>
    <w:rsid w:val="004679E3"/>
    <w:rsid w:val="00467B8A"/>
    <w:rsid w:val="00467C22"/>
    <w:rsid w:val="00470456"/>
    <w:rsid w:val="00470898"/>
    <w:rsid w:val="00470912"/>
    <w:rsid w:val="00470C08"/>
    <w:rsid w:val="00470DF3"/>
    <w:rsid w:val="00470E5C"/>
    <w:rsid w:val="00470FBA"/>
    <w:rsid w:val="004714CE"/>
    <w:rsid w:val="00471910"/>
    <w:rsid w:val="00471B57"/>
    <w:rsid w:val="00472128"/>
    <w:rsid w:val="00472176"/>
    <w:rsid w:val="004722A2"/>
    <w:rsid w:val="0047243E"/>
    <w:rsid w:val="00472658"/>
    <w:rsid w:val="00472830"/>
    <w:rsid w:val="00472B2C"/>
    <w:rsid w:val="00472BC8"/>
    <w:rsid w:val="00472C1B"/>
    <w:rsid w:val="00472CDA"/>
    <w:rsid w:val="00472D16"/>
    <w:rsid w:val="00472D56"/>
    <w:rsid w:val="00472DDD"/>
    <w:rsid w:val="0047310C"/>
    <w:rsid w:val="00473359"/>
    <w:rsid w:val="004734B4"/>
    <w:rsid w:val="0047358A"/>
    <w:rsid w:val="0047369C"/>
    <w:rsid w:val="0047371F"/>
    <w:rsid w:val="00473992"/>
    <w:rsid w:val="004739D1"/>
    <w:rsid w:val="00473A69"/>
    <w:rsid w:val="00473B28"/>
    <w:rsid w:val="00473C3C"/>
    <w:rsid w:val="00474761"/>
    <w:rsid w:val="00474B5A"/>
    <w:rsid w:val="00474C1E"/>
    <w:rsid w:val="00474C70"/>
    <w:rsid w:val="00474D24"/>
    <w:rsid w:val="00474D4A"/>
    <w:rsid w:val="00474DFB"/>
    <w:rsid w:val="00475347"/>
    <w:rsid w:val="004754C8"/>
    <w:rsid w:val="00475CC5"/>
    <w:rsid w:val="00475D89"/>
    <w:rsid w:val="00475DA8"/>
    <w:rsid w:val="00475E03"/>
    <w:rsid w:val="00475E6A"/>
    <w:rsid w:val="00475FDE"/>
    <w:rsid w:val="00476004"/>
    <w:rsid w:val="00476302"/>
    <w:rsid w:val="00476342"/>
    <w:rsid w:val="00476519"/>
    <w:rsid w:val="00476610"/>
    <w:rsid w:val="00476984"/>
    <w:rsid w:val="00476AC9"/>
    <w:rsid w:val="00476C85"/>
    <w:rsid w:val="004770CB"/>
    <w:rsid w:val="004771A1"/>
    <w:rsid w:val="00477288"/>
    <w:rsid w:val="00477912"/>
    <w:rsid w:val="00477C5E"/>
    <w:rsid w:val="00477CF5"/>
    <w:rsid w:val="00477D35"/>
    <w:rsid w:val="00477E41"/>
    <w:rsid w:val="00477EF0"/>
    <w:rsid w:val="004800E2"/>
    <w:rsid w:val="00480116"/>
    <w:rsid w:val="0048019C"/>
    <w:rsid w:val="004804FC"/>
    <w:rsid w:val="004806E3"/>
    <w:rsid w:val="00480873"/>
    <w:rsid w:val="00480C9C"/>
    <w:rsid w:val="00480E16"/>
    <w:rsid w:val="004811E5"/>
    <w:rsid w:val="00481362"/>
    <w:rsid w:val="004813BC"/>
    <w:rsid w:val="0048172A"/>
    <w:rsid w:val="004818B6"/>
    <w:rsid w:val="00481A3A"/>
    <w:rsid w:val="00481A75"/>
    <w:rsid w:val="00481A94"/>
    <w:rsid w:val="00481B7F"/>
    <w:rsid w:val="004827AE"/>
    <w:rsid w:val="0048290C"/>
    <w:rsid w:val="0048291F"/>
    <w:rsid w:val="00482D3B"/>
    <w:rsid w:val="00482E99"/>
    <w:rsid w:val="0048318F"/>
    <w:rsid w:val="004831B1"/>
    <w:rsid w:val="00483236"/>
    <w:rsid w:val="0048329A"/>
    <w:rsid w:val="004833AE"/>
    <w:rsid w:val="0048372E"/>
    <w:rsid w:val="0048376D"/>
    <w:rsid w:val="00483780"/>
    <w:rsid w:val="00483878"/>
    <w:rsid w:val="004838ED"/>
    <w:rsid w:val="00483B92"/>
    <w:rsid w:val="00483C78"/>
    <w:rsid w:val="00483CFA"/>
    <w:rsid w:val="00483DEB"/>
    <w:rsid w:val="0048411C"/>
    <w:rsid w:val="00484376"/>
    <w:rsid w:val="00484432"/>
    <w:rsid w:val="00484790"/>
    <w:rsid w:val="00484BF9"/>
    <w:rsid w:val="00484E83"/>
    <w:rsid w:val="00484FAD"/>
    <w:rsid w:val="0048502B"/>
    <w:rsid w:val="004850CD"/>
    <w:rsid w:val="0048528A"/>
    <w:rsid w:val="004853B4"/>
    <w:rsid w:val="004854F4"/>
    <w:rsid w:val="004857CD"/>
    <w:rsid w:val="00485B2E"/>
    <w:rsid w:val="00485D2D"/>
    <w:rsid w:val="00485E49"/>
    <w:rsid w:val="00485EA5"/>
    <w:rsid w:val="00485EF0"/>
    <w:rsid w:val="00485F39"/>
    <w:rsid w:val="004861DB"/>
    <w:rsid w:val="00486B2B"/>
    <w:rsid w:val="00486E09"/>
    <w:rsid w:val="00487810"/>
    <w:rsid w:val="004878C4"/>
    <w:rsid w:val="00487B45"/>
    <w:rsid w:val="00487E07"/>
    <w:rsid w:val="00487E8A"/>
    <w:rsid w:val="004900C5"/>
    <w:rsid w:val="00490548"/>
    <w:rsid w:val="004907D9"/>
    <w:rsid w:val="004907DD"/>
    <w:rsid w:val="00490BD5"/>
    <w:rsid w:val="00490CB3"/>
    <w:rsid w:val="004915E7"/>
    <w:rsid w:val="0049181C"/>
    <w:rsid w:val="004918B1"/>
    <w:rsid w:val="00491BB5"/>
    <w:rsid w:val="00491E57"/>
    <w:rsid w:val="00491E76"/>
    <w:rsid w:val="00491E8B"/>
    <w:rsid w:val="00491F7F"/>
    <w:rsid w:val="004921BA"/>
    <w:rsid w:val="004922D8"/>
    <w:rsid w:val="0049231A"/>
    <w:rsid w:val="0049240D"/>
    <w:rsid w:val="004928D3"/>
    <w:rsid w:val="00492A98"/>
    <w:rsid w:val="00492AC3"/>
    <w:rsid w:val="00492C73"/>
    <w:rsid w:val="00493808"/>
    <w:rsid w:val="00493D7B"/>
    <w:rsid w:val="00493FB4"/>
    <w:rsid w:val="00494026"/>
    <w:rsid w:val="00494064"/>
    <w:rsid w:val="004941B8"/>
    <w:rsid w:val="00494528"/>
    <w:rsid w:val="004946E7"/>
    <w:rsid w:val="00494781"/>
    <w:rsid w:val="0049486A"/>
    <w:rsid w:val="00494950"/>
    <w:rsid w:val="0049498B"/>
    <w:rsid w:val="00494D87"/>
    <w:rsid w:val="0049571A"/>
    <w:rsid w:val="004958E6"/>
    <w:rsid w:val="00495D5B"/>
    <w:rsid w:val="00495D87"/>
    <w:rsid w:val="00495DEC"/>
    <w:rsid w:val="004960E0"/>
    <w:rsid w:val="0049632C"/>
    <w:rsid w:val="0049632D"/>
    <w:rsid w:val="00496A4A"/>
    <w:rsid w:val="00496F81"/>
    <w:rsid w:val="00497161"/>
    <w:rsid w:val="004972BF"/>
    <w:rsid w:val="004973BD"/>
    <w:rsid w:val="0049740E"/>
    <w:rsid w:val="00497AAE"/>
    <w:rsid w:val="004A0060"/>
    <w:rsid w:val="004A0449"/>
    <w:rsid w:val="004A06C6"/>
    <w:rsid w:val="004A085D"/>
    <w:rsid w:val="004A086B"/>
    <w:rsid w:val="004A0CC9"/>
    <w:rsid w:val="004A0FDE"/>
    <w:rsid w:val="004A11F4"/>
    <w:rsid w:val="004A1B62"/>
    <w:rsid w:val="004A1C7E"/>
    <w:rsid w:val="004A1CC6"/>
    <w:rsid w:val="004A1D3C"/>
    <w:rsid w:val="004A1DFD"/>
    <w:rsid w:val="004A1FD5"/>
    <w:rsid w:val="004A21BB"/>
    <w:rsid w:val="004A2453"/>
    <w:rsid w:val="004A2522"/>
    <w:rsid w:val="004A26EE"/>
    <w:rsid w:val="004A271E"/>
    <w:rsid w:val="004A2B4A"/>
    <w:rsid w:val="004A2C97"/>
    <w:rsid w:val="004A2CFE"/>
    <w:rsid w:val="004A330C"/>
    <w:rsid w:val="004A36A1"/>
    <w:rsid w:val="004A3B53"/>
    <w:rsid w:val="004A3B98"/>
    <w:rsid w:val="004A403B"/>
    <w:rsid w:val="004A40DC"/>
    <w:rsid w:val="004A42A2"/>
    <w:rsid w:val="004A4635"/>
    <w:rsid w:val="004A49D4"/>
    <w:rsid w:val="004A4D31"/>
    <w:rsid w:val="004A4DA8"/>
    <w:rsid w:val="004A523D"/>
    <w:rsid w:val="004A5A46"/>
    <w:rsid w:val="004A5BFD"/>
    <w:rsid w:val="004A5FC0"/>
    <w:rsid w:val="004A6332"/>
    <w:rsid w:val="004A6401"/>
    <w:rsid w:val="004A6866"/>
    <w:rsid w:val="004A6894"/>
    <w:rsid w:val="004A68D2"/>
    <w:rsid w:val="004A6939"/>
    <w:rsid w:val="004A6F7A"/>
    <w:rsid w:val="004A7004"/>
    <w:rsid w:val="004A7035"/>
    <w:rsid w:val="004A703E"/>
    <w:rsid w:val="004A7104"/>
    <w:rsid w:val="004A737B"/>
    <w:rsid w:val="004A759F"/>
    <w:rsid w:val="004A77D7"/>
    <w:rsid w:val="004A7C26"/>
    <w:rsid w:val="004A7D03"/>
    <w:rsid w:val="004A7D2A"/>
    <w:rsid w:val="004B01AF"/>
    <w:rsid w:val="004B0754"/>
    <w:rsid w:val="004B0960"/>
    <w:rsid w:val="004B09D7"/>
    <w:rsid w:val="004B0AA4"/>
    <w:rsid w:val="004B0BA1"/>
    <w:rsid w:val="004B0FED"/>
    <w:rsid w:val="004B102B"/>
    <w:rsid w:val="004B1287"/>
    <w:rsid w:val="004B146F"/>
    <w:rsid w:val="004B1654"/>
    <w:rsid w:val="004B1688"/>
    <w:rsid w:val="004B16E0"/>
    <w:rsid w:val="004B178F"/>
    <w:rsid w:val="004B17FB"/>
    <w:rsid w:val="004B203F"/>
    <w:rsid w:val="004B2277"/>
    <w:rsid w:val="004B265D"/>
    <w:rsid w:val="004B272D"/>
    <w:rsid w:val="004B2B15"/>
    <w:rsid w:val="004B2B36"/>
    <w:rsid w:val="004B3151"/>
    <w:rsid w:val="004B3306"/>
    <w:rsid w:val="004B34A9"/>
    <w:rsid w:val="004B38E8"/>
    <w:rsid w:val="004B38F9"/>
    <w:rsid w:val="004B391F"/>
    <w:rsid w:val="004B3AA1"/>
    <w:rsid w:val="004B3B59"/>
    <w:rsid w:val="004B3C89"/>
    <w:rsid w:val="004B3CC6"/>
    <w:rsid w:val="004B3EA8"/>
    <w:rsid w:val="004B40A4"/>
    <w:rsid w:val="004B42EA"/>
    <w:rsid w:val="004B4381"/>
    <w:rsid w:val="004B457B"/>
    <w:rsid w:val="004B45A1"/>
    <w:rsid w:val="004B4766"/>
    <w:rsid w:val="004B4E8F"/>
    <w:rsid w:val="004B5029"/>
    <w:rsid w:val="004B51C7"/>
    <w:rsid w:val="004B53C0"/>
    <w:rsid w:val="004B547A"/>
    <w:rsid w:val="004B54F5"/>
    <w:rsid w:val="004B5692"/>
    <w:rsid w:val="004B5B28"/>
    <w:rsid w:val="004B5DD0"/>
    <w:rsid w:val="004B5FB9"/>
    <w:rsid w:val="004B612C"/>
    <w:rsid w:val="004B6191"/>
    <w:rsid w:val="004B61E2"/>
    <w:rsid w:val="004B65AA"/>
    <w:rsid w:val="004B664A"/>
    <w:rsid w:val="004B6690"/>
    <w:rsid w:val="004B689A"/>
    <w:rsid w:val="004B6D07"/>
    <w:rsid w:val="004B6D18"/>
    <w:rsid w:val="004B76B0"/>
    <w:rsid w:val="004B7925"/>
    <w:rsid w:val="004B7963"/>
    <w:rsid w:val="004B7B63"/>
    <w:rsid w:val="004B7C04"/>
    <w:rsid w:val="004B7DDE"/>
    <w:rsid w:val="004B7EAB"/>
    <w:rsid w:val="004B7EDE"/>
    <w:rsid w:val="004C0035"/>
    <w:rsid w:val="004C0288"/>
    <w:rsid w:val="004C076A"/>
    <w:rsid w:val="004C0A6A"/>
    <w:rsid w:val="004C0D36"/>
    <w:rsid w:val="004C1052"/>
    <w:rsid w:val="004C13F0"/>
    <w:rsid w:val="004C15F6"/>
    <w:rsid w:val="004C193D"/>
    <w:rsid w:val="004C1B69"/>
    <w:rsid w:val="004C1B9A"/>
    <w:rsid w:val="004C1EBF"/>
    <w:rsid w:val="004C2071"/>
    <w:rsid w:val="004C219F"/>
    <w:rsid w:val="004C2226"/>
    <w:rsid w:val="004C22BB"/>
    <w:rsid w:val="004C2402"/>
    <w:rsid w:val="004C2426"/>
    <w:rsid w:val="004C262F"/>
    <w:rsid w:val="004C2923"/>
    <w:rsid w:val="004C2C4E"/>
    <w:rsid w:val="004C2D08"/>
    <w:rsid w:val="004C2D53"/>
    <w:rsid w:val="004C2E45"/>
    <w:rsid w:val="004C32AC"/>
    <w:rsid w:val="004C32D4"/>
    <w:rsid w:val="004C3504"/>
    <w:rsid w:val="004C3A07"/>
    <w:rsid w:val="004C3B11"/>
    <w:rsid w:val="004C3D89"/>
    <w:rsid w:val="004C3E14"/>
    <w:rsid w:val="004C3E2B"/>
    <w:rsid w:val="004C3F61"/>
    <w:rsid w:val="004C4291"/>
    <w:rsid w:val="004C43D2"/>
    <w:rsid w:val="004C4655"/>
    <w:rsid w:val="004C4720"/>
    <w:rsid w:val="004C4953"/>
    <w:rsid w:val="004C509F"/>
    <w:rsid w:val="004C5151"/>
    <w:rsid w:val="004C51C8"/>
    <w:rsid w:val="004C530E"/>
    <w:rsid w:val="004C5375"/>
    <w:rsid w:val="004C542A"/>
    <w:rsid w:val="004C567C"/>
    <w:rsid w:val="004C56AA"/>
    <w:rsid w:val="004C57EA"/>
    <w:rsid w:val="004C586C"/>
    <w:rsid w:val="004C5928"/>
    <w:rsid w:val="004C5969"/>
    <w:rsid w:val="004C5BF6"/>
    <w:rsid w:val="004C5CFB"/>
    <w:rsid w:val="004C6147"/>
    <w:rsid w:val="004C62AD"/>
    <w:rsid w:val="004C634C"/>
    <w:rsid w:val="004C67BB"/>
    <w:rsid w:val="004C6D38"/>
    <w:rsid w:val="004C6E10"/>
    <w:rsid w:val="004C6E16"/>
    <w:rsid w:val="004C709C"/>
    <w:rsid w:val="004C734B"/>
    <w:rsid w:val="004C7462"/>
    <w:rsid w:val="004C76FD"/>
    <w:rsid w:val="004C7E48"/>
    <w:rsid w:val="004C7E6B"/>
    <w:rsid w:val="004D01DE"/>
    <w:rsid w:val="004D06FE"/>
    <w:rsid w:val="004D0C14"/>
    <w:rsid w:val="004D0EF7"/>
    <w:rsid w:val="004D1587"/>
    <w:rsid w:val="004D1750"/>
    <w:rsid w:val="004D17A5"/>
    <w:rsid w:val="004D1961"/>
    <w:rsid w:val="004D1D64"/>
    <w:rsid w:val="004D1E01"/>
    <w:rsid w:val="004D218B"/>
    <w:rsid w:val="004D2300"/>
    <w:rsid w:val="004D245A"/>
    <w:rsid w:val="004D2B6E"/>
    <w:rsid w:val="004D2BCF"/>
    <w:rsid w:val="004D2C2E"/>
    <w:rsid w:val="004D2CEC"/>
    <w:rsid w:val="004D3274"/>
    <w:rsid w:val="004D347B"/>
    <w:rsid w:val="004D368C"/>
    <w:rsid w:val="004D3822"/>
    <w:rsid w:val="004D38BE"/>
    <w:rsid w:val="004D39C0"/>
    <w:rsid w:val="004D3A1C"/>
    <w:rsid w:val="004D3CA4"/>
    <w:rsid w:val="004D3F27"/>
    <w:rsid w:val="004D3FD5"/>
    <w:rsid w:val="004D4083"/>
    <w:rsid w:val="004D4235"/>
    <w:rsid w:val="004D498C"/>
    <w:rsid w:val="004D4A92"/>
    <w:rsid w:val="004D4CFE"/>
    <w:rsid w:val="004D4E8F"/>
    <w:rsid w:val="004D4EC1"/>
    <w:rsid w:val="004D4F4A"/>
    <w:rsid w:val="004D558F"/>
    <w:rsid w:val="004D5E32"/>
    <w:rsid w:val="004D5E83"/>
    <w:rsid w:val="004D5F49"/>
    <w:rsid w:val="004D624D"/>
    <w:rsid w:val="004D6322"/>
    <w:rsid w:val="004D63BD"/>
    <w:rsid w:val="004D64FC"/>
    <w:rsid w:val="004D65A6"/>
    <w:rsid w:val="004D68EB"/>
    <w:rsid w:val="004D6B4E"/>
    <w:rsid w:val="004D6DF3"/>
    <w:rsid w:val="004D70AB"/>
    <w:rsid w:val="004D798A"/>
    <w:rsid w:val="004D7EF0"/>
    <w:rsid w:val="004D7EF1"/>
    <w:rsid w:val="004D7FED"/>
    <w:rsid w:val="004E032F"/>
    <w:rsid w:val="004E0353"/>
    <w:rsid w:val="004E03FF"/>
    <w:rsid w:val="004E07B9"/>
    <w:rsid w:val="004E0D25"/>
    <w:rsid w:val="004E1806"/>
    <w:rsid w:val="004E180D"/>
    <w:rsid w:val="004E18D2"/>
    <w:rsid w:val="004E1B50"/>
    <w:rsid w:val="004E1D07"/>
    <w:rsid w:val="004E1D1A"/>
    <w:rsid w:val="004E1E23"/>
    <w:rsid w:val="004E1EA6"/>
    <w:rsid w:val="004E2319"/>
    <w:rsid w:val="004E263E"/>
    <w:rsid w:val="004E2B6E"/>
    <w:rsid w:val="004E2D5C"/>
    <w:rsid w:val="004E3104"/>
    <w:rsid w:val="004E315B"/>
    <w:rsid w:val="004E3167"/>
    <w:rsid w:val="004E32E3"/>
    <w:rsid w:val="004E3373"/>
    <w:rsid w:val="004E360D"/>
    <w:rsid w:val="004E36F1"/>
    <w:rsid w:val="004E396B"/>
    <w:rsid w:val="004E3D78"/>
    <w:rsid w:val="004E434C"/>
    <w:rsid w:val="004E447C"/>
    <w:rsid w:val="004E450B"/>
    <w:rsid w:val="004E4603"/>
    <w:rsid w:val="004E478C"/>
    <w:rsid w:val="004E4836"/>
    <w:rsid w:val="004E489F"/>
    <w:rsid w:val="004E4BE3"/>
    <w:rsid w:val="004E4C1E"/>
    <w:rsid w:val="004E4CA0"/>
    <w:rsid w:val="004E4E08"/>
    <w:rsid w:val="004E4EC7"/>
    <w:rsid w:val="004E50D0"/>
    <w:rsid w:val="004E56E2"/>
    <w:rsid w:val="004E59F1"/>
    <w:rsid w:val="004E5B1C"/>
    <w:rsid w:val="004E5D81"/>
    <w:rsid w:val="004E5DC7"/>
    <w:rsid w:val="004E5DCB"/>
    <w:rsid w:val="004E5EFF"/>
    <w:rsid w:val="004E5FDE"/>
    <w:rsid w:val="004E62DD"/>
    <w:rsid w:val="004E6947"/>
    <w:rsid w:val="004E6B37"/>
    <w:rsid w:val="004E6ED9"/>
    <w:rsid w:val="004E7134"/>
    <w:rsid w:val="004E7199"/>
    <w:rsid w:val="004E7D32"/>
    <w:rsid w:val="004E7F08"/>
    <w:rsid w:val="004F0200"/>
    <w:rsid w:val="004F0219"/>
    <w:rsid w:val="004F0415"/>
    <w:rsid w:val="004F0420"/>
    <w:rsid w:val="004F06FD"/>
    <w:rsid w:val="004F07FD"/>
    <w:rsid w:val="004F0D92"/>
    <w:rsid w:val="004F0EF5"/>
    <w:rsid w:val="004F14D8"/>
    <w:rsid w:val="004F156B"/>
    <w:rsid w:val="004F15B2"/>
    <w:rsid w:val="004F1B7D"/>
    <w:rsid w:val="004F2608"/>
    <w:rsid w:val="004F2B8C"/>
    <w:rsid w:val="004F2C10"/>
    <w:rsid w:val="004F2D33"/>
    <w:rsid w:val="004F3190"/>
    <w:rsid w:val="004F332F"/>
    <w:rsid w:val="004F357B"/>
    <w:rsid w:val="004F3A08"/>
    <w:rsid w:val="004F3BE3"/>
    <w:rsid w:val="004F3C71"/>
    <w:rsid w:val="004F3C87"/>
    <w:rsid w:val="004F3E9E"/>
    <w:rsid w:val="004F424E"/>
    <w:rsid w:val="004F4251"/>
    <w:rsid w:val="004F42EA"/>
    <w:rsid w:val="004F4441"/>
    <w:rsid w:val="004F44A7"/>
    <w:rsid w:val="004F46AA"/>
    <w:rsid w:val="004F4773"/>
    <w:rsid w:val="004F493B"/>
    <w:rsid w:val="004F4A2D"/>
    <w:rsid w:val="004F4A40"/>
    <w:rsid w:val="004F4A96"/>
    <w:rsid w:val="004F4EA3"/>
    <w:rsid w:val="004F4F87"/>
    <w:rsid w:val="004F514F"/>
    <w:rsid w:val="004F542B"/>
    <w:rsid w:val="004F56CA"/>
    <w:rsid w:val="004F58DD"/>
    <w:rsid w:val="004F59F9"/>
    <w:rsid w:val="004F5CE8"/>
    <w:rsid w:val="004F5D1B"/>
    <w:rsid w:val="004F6596"/>
    <w:rsid w:val="004F65DA"/>
    <w:rsid w:val="004F6655"/>
    <w:rsid w:val="004F67CA"/>
    <w:rsid w:val="004F68FB"/>
    <w:rsid w:val="004F6C35"/>
    <w:rsid w:val="004F6D27"/>
    <w:rsid w:val="004F6D5A"/>
    <w:rsid w:val="004F6E9E"/>
    <w:rsid w:val="004F702D"/>
    <w:rsid w:val="004F71BE"/>
    <w:rsid w:val="004F71F4"/>
    <w:rsid w:val="004F721C"/>
    <w:rsid w:val="004F75F0"/>
    <w:rsid w:val="004F77A5"/>
    <w:rsid w:val="00500065"/>
    <w:rsid w:val="00500115"/>
    <w:rsid w:val="00500122"/>
    <w:rsid w:val="005004D5"/>
    <w:rsid w:val="00500502"/>
    <w:rsid w:val="0050053B"/>
    <w:rsid w:val="00500594"/>
    <w:rsid w:val="00500628"/>
    <w:rsid w:val="00500659"/>
    <w:rsid w:val="00500681"/>
    <w:rsid w:val="005006A6"/>
    <w:rsid w:val="005009D5"/>
    <w:rsid w:val="00500CFB"/>
    <w:rsid w:val="00500F0C"/>
    <w:rsid w:val="00500F78"/>
    <w:rsid w:val="00500F8A"/>
    <w:rsid w:val="005011D4"/>
    <w:rsid w:val="005011DD"/>
    <w:rsid w:val="0050127A"/>
    <w:rsid w:val="005013BB"/>
    <w:rsid w:val="00501483"/>
    <w:rsid w:val="00501773"/>
    <w:rsid w:val="00501778"/>
    <w:rsid w:val="00501881"/>
    <w:rsid w:val="00501894"/>
    <w:rsid w:val="005019AC"/>
    <w:rsid w:val="00501A18"/>
    <w:rsid w:val="00501FA3"/>
    <w:rsid w:val="00502780"/>
    <w:rsid w:val="00502A0C"/>
    <w:rsid w:val="00502B3E"/>
    <w:rsid w:val="00502C41"/>
    <w:rsid w:val="00502DCC"/>
    <w:rsid w:val="00502EA5"/>
    <w:rsid w:val="00503492"/>
    <w:rsid w:val="005035DA"/>
    <w:rsid w:val="00503684"/>
    <w:rsid w:val="005036FE"/>
    <w:rsid w:val="00503701"/>
    <w:rsid w:val="00503813"/>
    <w:rsid w:val="00503AEF"/>
    <w:rsid w:val="00503BCA"/>
    <w:rsid w:val="00503D98"/>
    <w:rsid w:val="0050405A"/>
    <w:rsid w:val="0050463E"/>
    <w:rsid w:val="0050489E"/>
    <w:rsid w:val="00504AB3"/>
    <w:rsid w:val="0050506C"/>
    <w:rsid w:val="005051B5"/>
    <w:rsid w:val="005055F6"/>
    <w:rsid w:val="005056CB"/>
    <w:rsid w:val="00505815"/>
    <w:rsid w:val="00505B09"/>
    <w:rsid w:val="00505D49"/>
    <w:rsid w:val="00505E2F"/>
    <w:rsid w:val="00505EC9"/>
    <w:rsid w:val="005061CC"/>
    <w:rsid w:val="005063EE"/>
    <w:rsid w:val="005065F0"/>
    <w:rsid w:val="0050687E"/>
    <w:rsid w:val="005068AA"/>
    <w:rsid w:val="00506BA5"/>
    <w:rsid w:val="00506EC8"/>
    <w:rsid w:val="00506ED5"/>
    <w:rsid w:val="00507246"/>
    <w:rsid w:val="0050739B"/>
    <w:rsid w:val="005073A4"/>
    <w:rsid w:val="00507B5C"/>
    <w:rsid w:val="00507C25"/>
    <w:rsid w:val="00507C33"/>
    <w:rsid w:val="0051003D"/>
    <w:rsid w:val="0051010B"/>
    <w:rsid w:val="0051033A"/>
    <w:rsid w:val="005106E1"/>
    <w:rsid w:val="005106EC"/>
    <w:rsid w:val="00510883"/>
    <w:rsid w:val="0051099D"/>
    <w:rsid w:val="00510CFD"/>
    <w:rsid w:val="00510D50"/>
    <w:rsid w:val="0051140B"/>
    <w:rsid w:val="00511455"/>
    <w:rsid w:val="00511591"/>
    <w:rsid w:val="005117CB"/>
    <w:rsid w:val="00511A96"/>
    <w:rsid w:val="00511D72"/>
    <w:rsid w:val="00511FF9"/>
    <w:rsid w:val="00512072"/>
    <w:rsid w:val="005120B8"/>
    <w:rsid w:val="00512108"/>
    <w:rsid w:val="0051252D"/>
    <w:rsid w:val="00512630"/>
    <w:rsid w:val="005126AC"/>
    <w:rsid w:val="005129DF"/>
    <w:rsid w:val="00512BBF"/>
    <w:rsid w:val="00512C3F"/>
    <w:rsid w:val="00512DB2"/>
    <w:rsid w:val="00513481"/>
    <w:rsid w:val="00513547"/>
    <w:rsid w:val="00513715"/>
    <w:rsid w:val="00513B94"/>
    <w:rsid w:val="00513D07"/>
    <w:rsid w:val="00513D24"/>
    <w:rsid w:val="00513E34"/>
    <w:rsid w:val="00513F26"/>
    <w:rsid w:val="005144CD"/>
    <w:rsid w:val="00514BD7"/>
    <w:rsid w:val="00514F31"/>
    <w:rsid w:val="00514FEC"/>
    <w:rsid w:val="00515327"/>
    <w:rsid w:val="0051546A"/>
    <w:rsid w:val="0051552A"/>
    <w:rsid w:val="00515736"/>
    <w:rsid w:val="00515737"/>
    <w:rsid w:val="005157D5"/>
    <w:rsid w:val="005158AE"/>
    <w:rsid w:val="005159F5"/>
    <w:rsid w:val="00515B52"/>
    <w:rsid w:val="00515E39"/>
    <w:rsid w:val="005160DC"/>
    <w:rsid w:val="0051612E"/>
    <w:rsid w:val="005165C5"/>
    <w:rsid w:val="005165FC"/>
    <w:rsid w:val="00516737"/>
    <w:rsid w:val="00516884"/>
    <w:rsid w:val="005168CA"/>
    <w:rsid w:val="00516A9A"/>
    <w:rsid w:val="00516E98"/>
    <w:rsid w:val="00516EA4"/>
    <w:rsid w:val="00516F98"/>
    <w:rsid w:val="00517023"/>
    <w:rsid w:val="005170A7"/>
    <w:rsid w:val="005170D3"/>
    <w:rsid w:val="00517140"/>
    <w:rsid w:val="00517181"/>
    <w:rsid w:val="005173EF"/>
    <w:rsid w:val="00517C2E"/>
    <w:rsid w:val="00517DB0"/>
    <w:rsid w:val="00517F51"/>
    <w:rsid w:val="00520050"/>
    <w:rsid w:val="005205AF"/>
    <w:rsid w:val="00520665"/>
    <w:rsid w:val="00520702"/>
    <w:rsid w:val="00520973"/>
    <w:rsid w:val="00520B36"/>
    <w:rsid w:val="00520E12"/>
    <w:rsid w:val="00521482"/>
    <w:rsid w:val="005215C2"/>
    <w:rsid w:val="00521682"/>
    <w:rsid w:val="0052189F"/>
    <w:rsid w:val="00521A7B"/>
    <w:rsid w:val="00521BD1"/>
    <w:rsid w:val="005221F0"/>
    <w:rsid w:val="005223F1"/>
    <w:rsid w:val="00522492"/>
    <w:rsid w:val="0052272E"/>
    <w:rsid w:val="0052289E"/>
    <w:rsid w:val="005228AF"/>
    <w:rsid w:val="00522934"/>
    <w:rsid w:val="0052295F"/>
    <w:rsid w:val="005229CA"/>
    <w:rsid w:val="00522C25"/>
    <w:rsid w:val="00522CAD"/>
    <w:rsid w:val="00522E65"/>
    <w:rsid w:val="00522EC9"/>
    <w:rsid w:val="005230AF"/>
    <w:rsid w:val="00523169"/>
    <w:rsid w:val="00523276"/>
    <w:rsid w:val="0052339A"/>
    <w:rsid w:val="00523513"/>
    <w:rsid w:val="00523689"/>
    <w:rsid w:val="005236BD"/>
    <w:rsid w:val="0052394C"/>
    <w:rsid w:val="00523B68"/>
    <w:rsid w:val="00523B6D"/>
    <w:rsid w:val="00523CEC"/>
    <w:rsid w:val="00523E38"/>
    <w:rsid w:val="00523EA5"/>
    <w:rsid w:val="0052416D"/>
    <w:rsid w:val="00524DF8"/>
    <w:rsid w:val="005250AA"/>
    <w:rsid w:val="0052522A"/>
    <w:rsid w:val="00525411"/>
    <w:rsid w:val="005256DE"/>
    <w:rsid w:val="005258A3"/>
    <w:rsid w:val="005259BE"/>
    <w:rsid w:val="00525AB0"/>
    <w:rsid w:val="00525D15"/>
    <w:rsid w:val="00525D47"/>
    <w:rsid w:val="00525DC7"/>
    <w:rsid w:val="00525F49"/>
    <w:rsid w:val="005260C3"/>
    <w:rsid w:val="005261FB"/>
    <w:rsid w:val="00526309"/>
    <w:rsid w:val="00526435"/>
    <w:rsid w:val="0052646D"/>
    <w:rsid w:val="005264E4"/>
    <w:rsid w:val="00526839"/>
    <w:rsid w:val="00526846"/>
    <w:rsid w:val="00526B01"/>
    <w:rsid w:val="00526E69"/>
    <w:rsid w:val="0052766B"/>
    <w:rsid w:val="00527AB0"/>
    <w:rsid w:val="00527E99"/>
    <w:rsid w:val="00530068"/>
    <w:rsid w:val="0053021D"/>
    <w:rsid w:val="00530256"/>
    <w:rsid w:val="0053025D"/>
    <w:rsid w:val="0053029A"/>
    <w:rsid w:val="00530324"/>
    <w:rsid w:val="0053035D"/>
    <w:rsid w:val="00530714"/>
    <w:rsid w:val="00530922"/>
    <w:rsid w:val="00530960"/>
    <w:rsid w:val="00530A04"/>
    <w:rsid w:val="00530EAD"/>
    <w:rsid w:val="00530FA5"/>
    <w:rsid w:val="0053105F"/>
    <w:rsid w:val="005311BC"/>
    <w:rsid w:val="005312FB"/>
    <w:rsid w:val="00531483"/>
    <w:rsid w:val="005314B8"/>
    <w:rsid w:val="00531B43"/>
    <w:rsid w:val="00531EA8"/>
    <w:rsid w:val="005323A3"/>
    <w:rsid w:val="005325E9"/>
    <w:rsid w:val="00532866"/>
    <w:rsid w:val="00532C59"/>
    <w:rsid w:val="00532CBB"/>
    <w:rsid w:val="00532E76"/>
    <w:rsid w:val="005334A7"/>
    <w:rsid w:val="00533538"/>
    <w:rsid w:val="0053381D"/>
    <w:rsid w:val="00533A6B"/>
    <w:rsid w:val="00533FDC"/>
    <w:rsid w:val="0053413C"/>
    <w:rsid w:val="00534325"/>
    <w:rsid w:val="00534440"/>
    <w:rsid w:val="00534622"/>
    <w:rsid w:val="005346DC"/>
    <w:rsid w:val="00534C2B"/>
    <w:rsid w:val="00534EFF"/>
    <w:rsid w:val="00535187"/>
    <w:rsid w:val="0053525D"/>
    <w:rsid w:val="0053578C"/>
    <w:rsid w:val="005358B1"/>
    <w:rsid w:val="00535ACE"/>
    <w:rsid w:val="0053654C"/>
    <w:rsid w:val="00536C5B"/>
    <w:rsid w:val="00536D4D"/>
    <w:rsid w:val="00536D75"/>
    <w:rsid w:val="005370AC"/>
    <w:rsid w:val="005370BF"/>
    <w:rsid w:val="00537197"/>
    <w:rsid w:val="00537935"/>
    <w:rsid w:val="00537965"/>
    <w:rsid w:val="00537AB0"/>
    <w:rsid w:val="00537EF4"/>
    <w:rsid w:val="005400A8"/>
    <w:rsid w:val="00540475"/>
    <w:rsid w:val="005404E7"/>
    <w:rsid w:val="00540603"/>
    <w:rsid w:val="00540888"/>
    <w:rsid w:val="00540AE1"/>
    <w:rsid w:val="00540E2B"/>
    <w:rsid w:val="00540FD4"/>
    <w:rsid w:val="005410D0"/>
    <w:rsid w:val="005413EC"/>
    <w:rsid w:val="005414F0"/>
    <w:rsid w:val="00541BF7"/>
    <w:rsid w:val="00541E6F"/>
    <w:rsid w:val="00541FE2"/>
    <w:rsid w:val="0054227F"/>
    <w:rsid w:val="00542565"/>
    <w:rsid w:val="00542669"/>
    <w:rsid w:val="005426D7"/>
    <w:rsid w:val="0054284A"/>
    <w:rsid w:val="00542B1B"/>
    <w:rsid w:val="00542BC9"/>
    <w:rsid w:val="0054302F"/>
    <w:rsid w:val="005430CA"/>
    <w:rsid w:val="005431A0"/>
    <w:rsid w:val="00543239"/>
    <w:rsid w:val="00543349"/>
    <w:rsid w:val="00543376"/>
    <w:rsid w:val="005438E2"/>
    <w:rsid w:val="005440F1"/>
    <w:rsid w:val="00544107"/>
    <w:rsid w:val="00544125"/>
    <w:rsid w:val="005444A5"/>
    <w:rsid w:val="005444FF"/>
    <w:rsid w:val="00544AB1"/>
    <w:rsid w:val="00544B1E"/>
    <w:rsid w:val="00544D73"/>
    <w:rsid w:val="00545078"/>
    <w:rsid w:val="005452F2"/>
    <w:rsid w:val="005453BA"/>
    <w:rsid w:val="00545901"/>
    <w:rsid w:val="00545B56"/>
    <w:rsid w:val="00545B65"/>
    <w:rsid w:val="00545C44"/>
    <w:rsid w:val="00545E3A"/>
    <w:rsid w:val="00545FA3"/>
    <w:rsid w:val="00545FC0"/>
    <w:rsid w:val="00546058"/>
    <w:rsid w:val="00546077"/>
    <w:rsid w:val="00546611"/>
    <w:rsid w:val="00546893"/>
    <w:rsid w:val="00546EC3"/>
    <w:rsid w:val="00547072"/>
    <w:rsid w:val="00547167"/>
    <w:rsid w:val="0054745E"/>
    <w:rsid w:val="005474E1"/>
    <w:rsid w:val="0054764A"/>
    <w:rsid w:val="00547652"/>
    <w:rsid w:val="00547861"/>
    <w:rsid w:val="00547A31"/>
    <w:rsid w:val="00547A92"/>
    <w:rsid w:val="00547B9D"/>
    <w:rsid w:val="00547E9A"/>
    <w:rsid w:val="0055013B"/>
    <w:rsid w:val="005502A8"/>
    <w:rsid w:val="00550477"/>
    <w:rsid w:val="0055064B"/>
    <w:rsid w:val="0055098D"/>
    <w:rsid w:val="00550B4F"/>
    <w:rsid w:val="00550E30"/>
    <w:rsid w:val="0055130E"/>
    <w:rsid w:val="0055195A"/>
    <w:rsid w:val="0055195F"/>
    <w:rsid w:val="00551A82"/>
    <w:rsid w:val="00551BBF"/>
    <w:rsid w:val="00551EBE"/>
    <w:rsid w:val="005523FE"/>
    <w:rsid w:val="005527BA"/>
    <w:rsid w:val="00552876"/>
    <w:rsid w:val="00552BBC"/>
    <w:rsid w:val="00552E68"/>
    <w:rsid w:val="00552E70"/>
    <w:rsid w:val="00552F45"/>
    <w:rsid w:val="00552F9D"/>
    <w:rsid w:val="005531EA"/>
    <w:rsid w:val="0055360A"/>
    <w:rsid w:val="00553697"/>
    <w:rsid w:val="00553B7D"/>
    <w:rsid w:val="00554209"/>
    <w:rsid w:val="00554459"/>
    <w:rsid w:val="0055461C"/>
    <w:rsid w:val="005547D3"/>
    <w:rsid w:val="00554986"/>
    <w:rsid w:val="00554ADA"/>
    <w:rsid w:val="00554D4F"/>
    <w:rsid w:val="00554D50"/>
    <w:rsid w:val="00554F74"/>
    <w:rsid w:val="0055540F"/>
    <w:rsid w:val="0055564B"/>
    <w:rsid w:val="0055602A"/>
    <w:rsid w:val="005561D9"/>
    <w:rsid w:val="005563B3"/>
    <w:rsid w:val="00556A77"/>
    <w:rsid w:val="00556A96"/>
    <w:rsid w:val="00556B68"/>
    <w:rsid w:val="00556D17"/>
    <w:rsid w:val="00556E10"/>
    <w:rsid w:val="00557013"/>
    <w:rsid w:val="005571F5"/>
    <w:rsid w:val="00557476"/>
    <w:rsid w:val="005574BC"/>
    <w:rsid w:val="00557535"/>
    <w:rsid w:val="00557790"/>
    <w:rsid w:val="005579DC"/>
    <w:rsid w:val="00557B1A"/>
    <w:rsid w:val="00557BAC"/>
    <w:rsid w:val="00557F97"/>
    <w:rsid w:val="0056040B"/>
    <w:rsid w:val="00560468"/>
    <w:rsid w:val="005605FD"/>
    <w:rsid w:val="00560626"/>
    <w:rsid w:val="00560BFE"/>
    <w:rsid w:val="00560DA9"/>
    <w:rsid w:val="00560FC4"/>
    <w:rsid w:val="00561012"/>
    <w:rsid w:val="00561579"/>
    <w:rsid w:val="005617B4"/>
    <w:rsid w:val="00561883"/>
    <w:rsid w:val="0056193E"/>
    <w:rsid w:val="00561A08"/>
    <w:rsid w:val="00561AA4"/>
    <w:rsid w:val="00561B21"/>
    <w:rsid w:val="00561D3E"/>
    <w:rsid w:val="00561EC9"/>
    <w:rsid w:val="0056205F"/>
    <w:rsid w:val="00562261"/>
    <w:rsid w:val="00562314"/>
    <w:rsid w:val="005628A0"/>
    <w:rsid w:val="00562980"/>
    <w:rsid w:val="00562D0E"/>
    <w:rsid w:val="00563188"/>
    <w:rsid w:val="005633F2"/>
    <w:rsid w:val="00563602"/>
    <w:rsid w:val="00563845"/>
    <w:rsid w:val="00563B89"/>
    <w:rsid w:val="00563BB1"/>
    <w:rsid w:val="00563BF3"/>
    <w:rsid w:val="00563C01"/>
    <w:rsid w:val="00563E5E"/>
    <w:rsid w:val="00564164"/>
    <w:rsid w:val="00564173"/>
    <w:rsid w:val="00564533"/>
    <w:rsid w:val="00564702"/>
    <w:rsid w:val="00564838"/>
    <w:rsid w:val="005648B2"/>
    <w:rsid w:val="00564DBE"/>
    <w:rsid w:val="00564F94"/>
    <w:rsid w:val="005652CA"/>
    <w:rsid w:val="0056554F"/>
    <w:rsid w:val="00565895"/>
    <w:rsid w:val="005658EF"/>
    <w:rsid w:val="00565C0C"/>
    <w:rsid w:val="00565D6C"/>
    <w:rsid w:val="0056611D"/>
    <w:rsid w:val="0056630C"/>
    <w:rsid w:val="0056646E"/>
    <w:rsid w:val="00566CFC"/>
    <w:rsid w:val="00566F13"/>
    <w:rsid w:val="0056725C"/>
    <w:rsid w:val="005672F0"/>
    <w:rsid w:val="00567431"/>
    <w:rsid w:val="005679FC"/>
    <w:rsid w:val="00567E00"/>
    <w:rsid w:val="00567F2D"/>
    <w:rsid w:val="00567FDA"/>
    <w:rsid w:val="00570C3B"/>
    <w:rsid w:val="00570D00"/>
    <w:rsid w:val="00570ED6"/>
    <w:rsid w:val="00570FFF"/>
    <w:rsid w:val="0057118F"/>
    <w:rsid w:val="005711AA"/>
    <w:rsid w:val="00571215"/>
    <w:rsid w:val="00571518"/>
    <w:rsid w:val="005716B2"/>
    <w:rsid w:val="00571731"/>
    <w:rsid w:val="00571811"/>
    <w:rsid w:val="00571BA0"/>
    <w:rsid w:val="00571F37"/>
    <w:rsid w:val="005724F1"/>
    <w:rsid w:val="005725F3"/>
    <w:rsid w:val="00572917"/>
    <w:rsid w:val="00572926"/>
    <w:rsid w:val="00572F6E"/>
    <w:rsid w:val="0057327B"/>
    <w:rsid w:val="0057390F"/>
    <w:rsid w:val="00573D7B"/>
    <w:rsid w:val="00573DE8"/>
    <w:rsid w:val="005740BA"/>
    <w:rsid w:val="00574321"/>
    <w:rsid w:val="00574407"/>
    <w:rsid w:val="0057442F"/>
    <w:rsid w:val="005745A8"/>
    <w:rsid w:val="0057465D"/>
    <w:rsid w:val="005747BC"/>
    <w:rsid w:val="005747CA"/>
    <w:rsid w:val="005747DE"/>
    <w:rsid w:val="00574A31"/>
    <w:rsid w:val="00574D1F"/>
    <w:rsid w:val="00574D8D"/>
    <w:rsid w:val="0057528E"/>
    <w:rsid w:val="005752F6"/>
    <w:rsid w:val="00575305"/>
    <w:rsid w:val="005757E1"/>
    <w:rsid w:val="00575989"/>
    <w:rsid w:val="005759FF"/>
    <w:rsid w:val="00575CCD"/>
    <w:rsid w:val="00576676"/>
    <w:rsid w:val="00576777"/>
    <w:rsid w:val="0057688F"/>
    <w:rsid w:val="005769E2"/>
    <w:rsid w:val="00576A9F"/>
    <w:rsid w:val="00576B77"/>
    <w:rsid w:val="00576C95"/>
    <w:rsid w:val="00576EA6"/>
    <w:rsid w:val="00576EC1"/>
    <w:rsid w:val="005770C3"/>
    <w:rsid w:val="00577658"/>
    <w:rsid w:val="00577792"/>
    <w:rsid w:val="00577A8B"/>
    <w:rsid w:val="00577C10"/>
    <w:rsid w:val="005804B6"/>
    <w:rsid w:val="005807F2"/>
    <w:rsid w:val="00580C26"/>
    <w:rsid w:val="00580D6F"/>
    <w:rsid w:val="00580F80"/>
    <w:rsid w:val="0058105F"/>
    <w:rsid w:val="0058114D"/>
    <w:rsid w:val="0058144F"/>
    <w:rsid w:val="00581691"/>
    <w:rsid w:val="00581999"/>
    <w:rsid w:val="00581AC4"/>
    <w:rsid w:val="00581D70"/>
    <w:rsid w:val="00581DB8"/>
    <w:rsid w:val="00581F6F"/>
    <w:rsid w:val="00582047"/>
    <w:rsid w:val="005821E2"/>
    <w:rsid w:val="00582476"/>
    <w:rsid w:val="00582776"/>
    <w:rsid w:val="005827D1"/>
    <w:rsid w:val="00583042"/>
    <w:rsid w:val="00583048"/>
    <w:rsid w:val="005830C4"/>
    <w:rsid w:val="0058347A"/>
    <w:rsid w:val="00583D15"/>
    <w:rsid w:val="00583F15"/>
    <w:rsid w:val="0058401B"/>
    <w:rsid w:val="00584028"/>
    <w:rsid w:val="00584201"/>
    <w:rsid w:val="00584785"/>
    <w:rsid w:val="00584B4A"/>
    <w:rsid w:val="00584C53"/>
    <w:rsid w:val="005852C7"/>
    <w:rsid w:val="005852F9"/>
    <w:rsid w:val="005855E3"/>
    <w:rsid w:val="00585A13"/>
    <w:rsid w:val="00585D99"/>
    <w:rsid w:val="00585E2F"/>
    <w:rsid w:val="00585E73"/>
    <w:rsid w:val="00585F4D"/>
    <w:rsid w:val="00586036"/>
    <w:rsid w:val="005861FA"/>
    <w:rsid w:val="005862C9"/>
    <w:rsid w:val="00586DAA"/>
    <w:rsid w:val="00586DF4"/>
    <w:rsid w:val="00586EC5"/>
    <w:rsid w:val="00586F86"/>
    <w:rsid w:val="00587287"/>
    <w:rsid w:val="005877E2"/>
    <w:rsid w:val="0058784F"/>
    <w:rsid w:val="005878FC"/>
    <w:rsid w:val="00587979"/>
    <w:rsid w:val="00587CD7"/>
    <w:rsid w:val="0059014B"/>
    <w:rsid w:val="005901AA"/>
    <w:rsid w:val="005903E3"/>
    <w:rsid w:val="00590AD2"/>
    <w:rsid w:val="00590B49"/>
    <w:rsid w:val="00590C4A"/>
    <w:rsid w:val="00590D27"/>
    <w:rsid w:val="00590D74"/>
    <w:rsid w:val="00590E14"/>
    <w:rsid w:val="00590F76"/>
    <w:rsid w:val="00591017"/>
    <w:rsid w:val="0059126A"/>
    <w:rsid w:val="0059146B"/>
    <w:rsid w:val="00591569"/>
    <w:rsid w:val="00591965"/>
    <w:rsid w:val="005919DE"/>
    <w:rsid w:val="00591EC8"/>
    <w:rsid w:val="00591FC9"/>
    <w:rsid w:val="00591FCA"/>
    <w:rsid w:val="00592370"/>
    <w:rsid w:val="00592460"/>
    <w:rsid w:val="00592619"/>
    <w:rsid w:val="00592A2C"/>
    <w:rsid w:val="00592D84"/>
    <w:rsid w:val="00592EF2"/>
    <w:rsid w:val="00592F0E"/>
    <w:rsid w:val="00593123"/>
    <w:rsid w:val="005932F0"/>
    <w:rsid w:val="005938B7"/>
    <w:rsid w:val="00593A63"/>
    <w:rsid w:val="00593AB1"/>
    <w:rsid w:val="00593C93"/>
    <w:rsid w:val="00593E2E"/>
    <w:rsid w:val="00593F7A"/>
    <w:rsid w:val="00593FC1"/>
    <w:rsid w:val="005945E9"/>
    <w:rsid w:val="005946DD"/>
    <w:rsid w:val="00594755"/>
    <w:rsid w:val="00594ACD"/>
    <w:rsid w:val="00594BD4"/>
    <w:rsid w:val="00594D23"/>
    <w:rsid w:val="00594FAD"/>
    <w:rsid w:val="0059505C"/>
    <w:rsid w:val="0059574D"/>
    <w:rsid w:val="0059584C"/>
    <w:rsid w:val="0059588E"/>
    <w:rsid w:val="00595CF3"/>
    <w:rsid w:val="00595E26"/>
    <w:rsid w:val="00595EE5"/>
    <w:rsid w:val="00596429"/>
    <w:rsid w:val="0059652C"/>
    <w:rsid w:val="0059661C"/>
    <w:rsid w:val="00596714"/>
    <w:rsid w:val="00596802"/>
    <w:rsid w:val="0059682B"/>
    <w:rsid w:val="005968BD"/>
    <w:rsid w:val="0059691A"/>
    <w:rsid w:val="005973E2"/>
    <w:rsid w:val="005974A9"/>
    <w:rsid w:val="005974C7"/>
    <w:rsid w:val="005976B9"/>
    <w:rsid w:val="005977AF"/>
    <w:rsid w:val="005978ED"/>
    <w:rsid w:val="005978F1"/>
    <w:rsid w:val="00597AEB"/>
    <w:rsid w:val="00597BB2"/>
    <w:rsid w:val="00597F47"/>
    <w:rsid w:val="00597FDC"/>
    <w:rsid w:val="005A0169"/>
    <w:rsid w:val="005A037E"/>
    <w:rsid w:val="005A0567"/>
    <w:rsid w:val="005A0777"/>
    <w:rsid w:val="005A07F7"/>
    <w:rsid w:val="005A081E"/>
    <w:rsid w:val="005A084A"/>
    <w:rsid w:val="005A084D"/>
    <w:rsid w:val="005A098C"/>
    <w:rsid w:val="005A0AAF"/>
    <w:rsid w:val="005A0C63"/>
    <w:rsid w:val="005A1001"/>
    <w:rsid w:val="005A13DB"/>
    <w:rsid w:val="005A17D1"/>
    <w:rsid w:val="005A194A"/>
    <w:rsid w:val="005A1B07"/>
    <w:rsid w:val="005A20D0"/>
    <w:rsid w:val="005A21A8"/>
    <w:rsid w:val="005A25C9"/>
    <w:rsid w:val="005A27E0"/>
    <w:rsid w:val="005A2A1F"/>
    <w:rsid w:val="005A2A86"/>
    <w:rsid w:val="005A2DA3"/>
    <w:rsid w:val="005A2E71"/>
    <w:rsid w:val="005A2EED"/>
    <w:rsid w:val="005A2F5D"/>
    <w:rsid w:val="005A2FB1"/>
    <w:rsid w:val="005A323C"/>
    <w:rsid w:val="005A3411"/>
    <w:rsid w:val="005A3A4D"/>
    <w:rsid w:val="005A3CC8"/>
    <w:rsid w:val="005A3DBE"/>
    <w:rsid w:val="005A3F3D"/>
    <w:rsid w:val="005A3F46"/>
    <w:rsid w:val="005A40C2"/>
    <w:rsid w:val="005A4413"/>
    <w:rsid w:val="005A44F6"/>
    <w:rsid w:val="005A4509"/>
    <w:rsid w:val="005A46D0"/>
    <w:rsid w:val="005A46E1"/>
    <w:rsid w:val="005A490D"/>
    <w:rsid w:val="005A4D82"/>
    <w:rsid w:val="005A51DC"/>
    <w:rsid w:val="005A53A3"/>
    <w:rsid w:val="005A53F9"/>
    <w:rsid w:val="005A555A"/>
    <w:rsid w:val="005A557D"/>
    <w:rsid w:val="005A55EE"/>
    <w:rsid w:val="005A587E"/>
    <w:rsid w:val="005A5898"/>
    <w:rsid w:val="005A5912"/>
    <w:rsid w:val="005A595B"/>
    <w:rsid w:val="005A5C87"/>
    <w:rsid w:val="005A5CDC"/>
    <w:rsid w:val="005A5E08"/>
    <w:rsid w:val="005A5F71"/>
    <w:rsid w:val="005A5FA2"/>
    <w:rsid w:val="005A6203"/>
    <w:rsid w:val="005A6256"/>
    <w:rsid w:val="005A69E3"/>
    <w:rsid w:val="005A6A55"/>
    <w:rsid w:val="005A6AF9"/>
    <w:rsid w:val="005A6C0A"/>
    <w:rsid w:val="005A6D87"/>
    <w:rsid w:val="005A6EDB"/>
    <w:rsid w:val="005A70A9"/>
    <w:rsid w:val="005A7314"/>
    <w:rsid w:val="005A77E5"/>
    <w:rsid w:val="005A7988"/>
    <w:rsid w:val="005A7B62"/>
    <w:rsid w:val="005A7F10"/>
    <w:rsid w:val="005B00F1"/>
    <w:rsid w:val="005B0512"/>
    <w:rsid w:val="005B0612"/>
    <w:rsid w:val="005B086C"/>
    <w:rsid w:val="005B095D"/>
    <w:rsid w:val="005B0B18"/>
    <w:rsid w:val="005B0CC2"/>
    <w:rsid w:val="005B0D5E"/>
    <w:rsid w:val="005B0E38"/>
    <w:rsid w:val="005B151A"/>
    <w:rsid w:val="005B1642"/>
    <w:rsid w:val="005B17E4"/>
    <w:rsid w:val="005B1E5B"/>
    <w:rsid w:val="005B2183"/>
    <w:rsid w:val="005B2375"/>
    <w:rsid w:val="005B25A4"/>
    <w:rsid w:val="005B25C4"/>
    <w:rsid w:val="005B2725"/>
    <w:rsid w:val="005B27EB"/>
    <w:rsid w:val="005B2E47"/>
    <w:rsid w:val="005B309F"/>
    <w:rsid w:val="005B3167"/>
    <w:rsid w:val="005B33A9"/>
    <w:rsid w:val="005B38B5"/>
    <w:rsid w:val="005B38F1"/>
    <w:rsid w:val="005B3B27"/>
    <w:rsid w:val="005B3D65"/>
    <w:rsid w:val="005B4357"/>
    <w:rsid w:val="005B4480"/>
    <w:rsid w:val="005B4ECF"/>
    <w:rsid w:val="005B50C5"/>
    <w:rsid w:val="005B5C59"/>
    <w:rsid w:val="005B5CF1"/>
    <w:rsid w:val="005B5F7E"/>
    <w:rsid w:val="005B621A"/>
    <w:rsid w:val="005B6724"/>
    <w:rsid w:val="005B6C6A"/>
    <w:rsid w:val="005B6D8A"/>
    <w:rsid w:val="005B6D97"/>
    <w:rsid w:val="005B70C5"/>
    <w:rsid w:val="005B7129"/>
    <w:rsid w:val="005B778E"/>
    <w:rsid w:val="005B7982"/>
    <w:rsid w:val="005B7B5E"/>
    <w:rsid w:val="005B7B90"/>
    <w:rsid w:val="005B7BA2"/>
    <w:rsid w:val="005B7BC2"/>
    <w:rsid w:val="005B7C94"/>
    <w:rsid w:val="005B7EBF"/>
    <w:rsid w:val="005C03FB"/>
    <w:rsid w:val="005C0514"/>
    <w:rsid w:val="005C074A"/>
    <w:rsid w:val="005C094B"/>
    <w:rsid w:val="005C0A91"/>
    <w:rsid w:val="005C0B34"/>
    <w:rsid w:val="005C0CE4"/>
    <w:rsid w:val="005C0D6A"/>
    <w:rsid w:val="005C0F88"/>
    <w:rsid w:val="005C1447"/>
    <w:rsid w:val="005C1641"/>
    <w:rsid w:val="005C16C4"/>
    <w:rsid w:val="005C18E0"/>
    <w:rsid w:val="005C1B99"/>
    <w:rsid w:val="005C1F31"/>
    <w:rsid w:val="005C236D"/>
    <w:rsid w:val="005C245E"/>
    <w:rsid w:val="005C2622"/>
    <w:rsid w:val="005C265C"/>
    <w:rsid w:val="005C284D"/>
    <w:rsid w:val="005C2960"/>
    <w:rsid w:val="005C29DF"/>
    <w:rsid w:val="005C2AB3"/>
    <w:rsid w:val="005C2AED"/>
    <w:rsid w:val="005C2CAC"/>
    <w:rsid w:val="005C2CC8"/>
    <w:rsid w:val="005C2EA7"/>
    <w:rsid w:val="005C3151"/>
    <w:rsid w:val="005C33C4"/>
    <w:rsid w:val="005C355F"/>
    <w:rsid w:val="005C39B0"/>
    <w:rsid w:val="005C4017"/>
    <w:rsid w:val="005C402C"/>
    <w:rsid w:val="005C41E0"/>
    <w:rsid w:val="005C429D"/>
    <w:rsid w:val="005C42F3"/>
    <w:rsid w:val="005C43F6"/>
    <w:rsid w:val="005C4636"/>
    <w:rsid w:val="005C4675"/>
    <w:rsid w:val="005C47AC"/>
    <w:rsid w:val="005C54FD"/>
    <w:rsid w:val="005C5589"/>
    <w:rsid w:val="005C564E"/>
    <w:rsid w:val="005C573A"/>
    <w:rsid w:val="005C574B"/>
    <w:rsid w:val="005C5A44"/>
    <w:rsid w:val="005C5ABB"/>
    <w:rsid w:val="005C5B18"/>
    <w:rsid w:val="005C5D75"/>
    <w:rsid w:val="005C5F6C"/>
    <w:rsid w:val="005C5F71"/>
    <w:rsid w:val="005C5F89"/>
    <w:rsid w:val="005C5FC4"/>
    <w:rsid w:val="005C6001"/>
    <w:rsid w:val="005C61A8"/>
    <w:rsid w:val="005C6764"/>
    <w:rsid w:val="005C6822"/>
    <w:rsid w:val="005C68F4"/>
    <w:rsid w:val="005C6AF2"/>
    <w:rsid w:val="005C6C86"/>
    <w:rsid w:val="005C6F97"/>
    <w:rsid w:val="005C6FC1"/>
    <w:rsid w:val="005C724B"/>
    <w:rsid w:val="005C73CE"/>
    <w:rsid w:val="005C74D1"/>
    <w:rsid w:val="005C7711"/>
    <w:rsid w:val="005C7A8B"/>
    <w:rsid w:val="005C7E25"/>
    <w:rsid w:val="005D00DE"/>
    <w:rsid w:val="005D04A0"/>
    <w:rsid w:val="005D0562"/>
    <w:rsid w:val="005D05F2"/>
    <w:rsid w:val="005D07B0"/>
    <w:rsid w:val="005D0893"/>
    <w:rsid w:val="005D09F6"/>
    <w:rsid w:val="005D100F"/>
    <w:rsid w:val="005D10C0"/>
    <w:rsid w:val="005D112D"/>
    <w:rsid w:val="005D1282"/>
    <w:rsid w:val="005D14C7"/>
    <w:rsid w:val="005D170E"/>
    <w:rsid w:val="005D1941"/>
    <w:rsid w:val="005D1B00"/>
    <w:rsid w:val="005D1B87"/>
    <w:rsid w:val="005D1B95"/>
    <w:rsid w:val="005D1B98"/>
    <w:rsid w:val="005D1EC6"/>
    <w:rsid w:val="005D240F"/>
    <w:rsid w:val="005D2509"/>
    <w:rsid w:val="005D27AF"/>
    <w:rsid w:val="005D2B1E"/>
    <w:rsid w:val="005D2D14"/>
    <w:rsid w:val="005D2EA7"/>
    <w:rsid w:val="005D3035"/>
    <w:rsid w:val="005D3244"/>
    <w:rsid w:val="005D3371"/>
    <w:rsid w:val="005D33B7"/>
    <w:rsid w:val="005D341D"/>
    <w:rsid w:val="005D348F"/>
    <w:rsid w:val="005D365E"/>
    <w:rsid w:val="005D3700"/>
    <w:rsid w:val="005D3AD7"/>
    <w:rsid w:val="005D3B72"/>
    <w:rsid w:val="005D3C24"/>
    <w:rsid w:val="005D3F8B"/>
    <w:rsid w:val="005D45F3"/>
    <w:rsid w:val="005D467C"/>
    <w:rsid w:val="005D4790"/>
    <w:rsid w:val="005D47ED"/>
    <w:rsid w:val="005D4BE9"/>
    <w:rsid w:val="005D4CC5"/>
    <w:rsid w:val="005D4D60"/>
    <w:rsid w:val="005D4DBC"/>
    <w:rsid w:val="005D4FA5"/>
    <w:rsid w:val="005D526E"/>
    <w:rsid w:val="005D5285"/>
    <w:rsid w:val="005D543A"/>
    <w:rsid w:val="005D6027"/>
    <w:rsid w:val="005D609B"/>
    <w:rsid w:val="005D6665"/>
    <w:rsid w:val="005D6789"/>
    <w:rsid w:val="005D6A6D"/>
    <w:rsid w:val="005D6A9F"/>
    <w:rsid w:val="005D6D89"/>
    <w:rsid w:val="005D6DFD"/>
    <w:rsid w:val="005D6EFF"/>
    <w:rsid w:val="005D70D6"/>
    <w:rsid w:val="005D721A"/>
    <w:rsid w:val="005D725F"/>
    <w:rsid w:val="005D7635"/>
    <w:rsid w:val="005D7C05"/>
    <w:rsid w:val="005E0009"/>
    <w:rsid w:val="005E0010"/>
    <w:rsid w:val="005E003D"/>
    <w:rsid w:val="005E0587"/>
    <w:rsid w:val="005E08C9"/>
    <w:rsid w:val="005E0D3A"/>
    <w:rsid w:val="005E0EEF"/>
    <w:rsid w:val="005E0FC8"/>
    <w:rsid w:val="005E16B9"/>
    <w:rsid w:val="005E1792"/>
    <w:rsid w:val="005E1D23"/>
    <w:rsid w:val="005E1E15"/>
    <w:rsid w:val="005E20C5"/>
    <w:rsid w:val="005E225B"/>
    <w:rsid w:val="005E2397"/>
    <w:rsid w:val="005E25B2"/>
    <w:rsid w:val="005E26AE"/>
    <w:rsid w:val="005E2A71"/>
    <w:rsid w:val="005E2B40"/>
    <w:rsid w:val="005E3016"/>
    <w:rsid w:val="005E302D"/>
    <w:rsid w:val="005E30F5"/>
    <w:rsid w:val="005E3510"/>
    <w:rsid w:val="005E360A"/>
    <w:rsid w:val="005E37DB"/>
    <w:rsid w:val="005E3882"/>
    <w:rsid w:val="005E392C"/>
    <w:rsid w:val="005E3A17"/>
    <w:rsid w:val="005E3BC6"/>
    <w:rsid w:val="005E3D20"/>
    <w:rsid w:val="005E3D2D"/>
    <w:rsid w:val="005E3D96"/>
    <w:rsid w:val="005E3DA0"/>
    <w:rsid w:val="005E42CF"/>
    <w:rsid w:val="005E4635"/>
    <w:rsid w:val="005E4718"/>
    <w:rsid w:val="005E4941"/>
    <w:rsid w:val="005E4A35"/>
    <w:rsid w:val="005E4A8C"/>
    <w:rsid w:val="005E505A"/>
    <w:rsid w:val="005E5B7F"/>
    <w:rsid w:val="005E5E37"/>
    <w:rsid w:val="005E5F61"/>
    <w:rsid w:val="005E61C6"/>
    <w:rsid w:val="005E62B1"/>
    <w:rsid w:val="005E63A5"/>
    <w:rsid w:val="005E65A6"/>
    <w:rsid w:val="005E69A2"/>
    <w:rsid w:val="005E6A2E"/>
    <w:rsid w:val="005E6A85"/>
    <w:rsid w:val="005E6AD8"/>
    <w:rsid w:val="005E73F8"/>
    <w:rsid w:val="005E76CB"/>
    <w:rsid w:val="005E77A7"/>
    <w:rsid w:val="005E7C89"/>
    <w:rsid w:val="005E7FF4"/>
    <w:rsid w:val="005F01BC"/>
    <w:rsid w:val="005F03DC"/>
    <w:rsid w:val="005F04A6"/>
    <w:rsid w:val="005F058B"/>
    <w:rsid w:val="005F0619"/>
    <w:rsid w:val="005F0A9B"/>
    <w:rsid w:val="005F0ABC"/>
    <w:rsid w:val="005F0B68"/>
    <w:rsid w:val="005F0E4A"/>
    <w:rsid w:val="005F0E6C"/>
    <w:rsid w:val="005F104F"/>
    <w:rsid w:val="005F11F5"/>
    <w:rsid w:val="005F13E4"/>
    <w:rsid w:val="005F1619"/>
    <w:rsid w:val="005F1B96"/>
    <w:rsid w:val="005F1BE1"/>
    <w:rsid w:val="005F1C6B"/>
    <w:rsid w:val="005F1C77"/>
    <w:rsid w:val="005F1CB2"/>
    <w:rsid w:val="005F2112"/>
    <w:rsid w:val="005F23E7"/>
    <w:rsid w:val="005F24C1"/>
    <w:rsid w:val="005F272F"/>
    <w:rsid w:val="005F288F"/>
    <w:rsid w:val="005F28A7"/>
    <w:rsid w:val="005F2A8E"/>
    <w:rsid w:val="005F2BDF"/>
    <w:rsid w:val="005F30BC"/>
    <w:rsid w:val="005F32ED"/>
    <w:rsid w:val="005F33FB"/>
    <w:rsid w:val="005F3573"/>
    <w:rsid w:val="005F35C2"/>
    <w:rsid w:val="005F3662"/>
    <w:rsid w:val="005F3952"/>
    <w:rsid w:val="005F3BFA"/>
    <w:rsid w:val="005F3D01"/>
    <w:rsid w:val="005F3E40"/>
    <w:rsid w:val="005F3E5D"/>
    <w:rsid w:val="005F3E6B"/>
    <w:rsid w:val="005F3FFA"/>
    <w:rsid w:val="005F408D"/>
    <w:rsid w:val="005F414D"/>
    <w:rsid w:val="005F418F"/>
    <w:rsid w:val="005F43E3"/>
    <w:rsid w:val="005F44B8"/>
    <w:rsid w:val="005F4624"/>
    <w:rsid w:val="005F49C7"/>
    <w:rsid w:val="005F4BA4"/>
    <w:rsid w:val="005F4DA4"/>
    <w:rsid w:val="005F4E06"/>
    <w:rsid w:val="005F4EA5"/>
    <w:rsid w:val="005F54C7"/>
    <w:rsid w:val="005F55D3"/>
    <w:rsid w:val="005F5709"/>
    <w:rsid w:val="005F5821"/>
    <w:rsid w:val="005F5CF2"/>
    <w:rsid w:val="005F5D63"/>
    <w:rsid w:val="005F5E90"/>
    <w:rsid w:val="005F61BD"/>
    <w:rsid w:val="005F621C"/>
    <w:rsid w:val="005F67F2"/>
    <w:rsid w:val="005F69B1"/>
    <w:rsid w:val="005F69BF"/>
    <w:rsid w:val="005F6A12"/>
    <w:rsid w:val="005F6C24"/>
    <w:rsid w:val="005F6CF5"/>
    <w:rsid w:val="005F6EAB"/>
    <w:rsid w:val="005F6EFE"/>
    <w:rsid w:val="005F6FC1"/>
    <w:rsid w:val="005F71A1"/>
    <w:rsid w:val="005F7460"/>
    <w:rsid w:val="005F764E"/>
    <w:rsid w:val="005F7AEC"/>
    <w:rsid w:val="005F7B15"/>
    <w:rsid w:val="00600272"/>
    <w:rsid w:val="006009B9"/>
    <w:rsid w:val="00600A85"/>
    <w:rsid w:val="00600C73"/>
    <w:rsid w:val="00600F97"/>
    <w:rsid w:val="00600FB5"/>
    <w:rsid w:val="0060104D"/>
    <w:rsid w:val="00601698"/>
    <w:rsid w:val="006019FA"/>
    <w:rsid w:val="00601B1D"/>
    <w:rsid w:val="00601B59"/>
    <w:rsid w:val="00601D34"/>
    <w:rsid w:val="00601F55"/>
    <w:rsid w:val="006025BD"/>
    <w:rsid w:val="0060265F"/>
    <w:rsid w:val="006026F5"/>
    <w:rsid w:val="00602956"/>
    <w:rsid w:val="0060295E"/>
    <w:rsid w:val="006029A5"/>
    <w:rsid w:val="00602A2E"/>
    <w:rsid w:val="00602C9D"/>
    <w:rsid w:val="0060341B"/>
    <w:rsid w:val="00603469"/>
    <w:rsid w:val="006038DA"/>
    <w:rsid w:val="0060396B"/>
    <w:rsid w:val="00603DE2"/>
    <w:rsid w:val="0060425A"/>
    <w:rsid w:val="0060430F"/>
    <w:rsid w:val="0060445F"/>
    <w:rsid w:val="006044F5"/>
    <w:rsid w:val="0060474C"/>
    <w:rsid w:val="00604C45"/>
    <w:rsid w:val="00604E54"/>
    <w:rsid w:val="00605029"/>
    <w:rsid w:val="0060510E"/>
    <w:rsid w:val="00605129"/>
    <w:rsid w:val="006055B7"/>
    <w:rsid w:val="006057EE"/>
    <w:rsid w:val="00605813"/>
    <w:rsid w:val="00605915"/>
    <w:rsid w:val="00605E94"/>
    <w:rsid w:val="00605EC4"/>
    <w:rsid w:val="006060B6"/>
    <w:rsid w:val="0060656E"/>
    <w:rsid w:val="00606B83"/>
    <w:rsid w:val="00606CF0"/>
    <w:rsid w:val="00606E11"/>
    <w:rsid w:val="00607608"/>
    <w:rsid w:val="0060760A"/>
    <w:rsid w:val="00607A61"/>
    <w:rsid w:val="00607CB8"/>
    <w:rsid w:val="00607CD4"/>
    <w:rsid w:val="00607DDC"/>
    <w:rsid w:val="006102D2"/>
    <w:rsid w:val="00610411"/>
    <w:rsid w:val="006105C0"/>
    <w:rsid w:val="006106C7"/>
    <w:rsid w:val="0061093D"/>
    <w:rsid w:val="006109E5"/>
    <w:rsid w:val="00610A9C"/>
    <w:rsid w:val="00611342"/>
    <w:rsid w:val="00611477"/>
    <w:rsid w:val="00611981"/>
    <w:rsid w:val="00611DE2"/>
    <w:rsid w:val="00611F93"/>
    <w:rsid w:val="00611F94"/>
    <w:rsid w:val="00611FA5"/>
    <w:rsid w:val="0061204E"/>
    <w:rsid w:val="006121B3"/>
    <w:rsid w:val="0061226A"/>
    <w:rsid w:val="006123D4"/>
    <w:rsid w:val="00612A0C"/>
    <w:rsid w:val="0061306B"/>
    <w:rsid w:val="0061316D"/>
    <w:rsid w:val="006131F7"/>
    <w:rsid w:val="00613485"/>
    <w:rsid w:val="00613590"/>
    <w:rsid w:val="006136F7"/>
    <w:rsid w:val="00613706"/>
    <w:rsid w:val="0061379B"/>
    <w:rsid w:val="006137D7"/>
    <w:rsid w:val="0061390E"/>
    <w:rsid w:val="00613ACC"/>
    <w:rsid w:val="00613F00"/>
    <w:rsid w:val="00614081"/>
    <w:rsid w:val="006141BD"/>
    <w:rsid w:val="006142BD"/>
    <w:rsid w:val="00614509"/>
    <w:rsid w:val="00614768"/>
    <w:rsid w:val="006147E9"/>
    <w:rsid w:val="00614822"/>
    <w:rsid w:val="0061484A"/>
    <w:rsid w:val="00614866"/>
    <w:rsid w:val="00614B8C"/>
    <w:rsid w:val="00614CC1"/>
    <w:rsid w:val="006155A3"/>
    <w:rsid w:val="00615851"/>
    <w:rsid w:val="006158CB"/>
    <w:rsid w:val="0061593B"/>
    <w:rsid w:val="00615B45"/>
    <w:rsid w:val="00615D3F"/>
    <w:rsid w:val="00615DAB"/>
    <w:rsid w:val="00615FA9"/>
    <w:rsid w:val="0061614B"/>
    <w:rsid w:val="00616265"/>
    <w:rsid w:val="00616294"/>
    <w:rsid w:val="006169C8"/>
    <w:rsid w:val="00616A42"/>
    <w:rsid w:val="006170BF"/>
    <w:rsid w:val="0061726E"/>
    <w:rsid w:val="00617B23"/>
    <w:rsid w:val="00617C43"/>
    <w:rsid w:val="00617CAC"/>
    <w:rsid w:val="0062012B"/>
    <w:rsid w:val="006205CA"/>
    <w:rsid w:val="006206AD"/>
    <w:rsid w:val="006208D4"/>
    <w:rsid w:val="00620931"/>
    <w:rsid w:val="00620AAF"/>
    <w:rsid w:val="00620DAC"/>
    <w:rsid w:val="006211F7"/>
    <w:rsid w:val="006212C0"/>
    <w:rsid w:val="006215CF"/>
    <w:rsid w:val="00621743"/>
    <w:rsid w:val="00621776"/>
    <w:rsid w:val="00621A3F"/>
    <w:rsid w:val="00621B7B"/>
    <w:rsid w:val="00621C27"/>
    <w:rsid w:val="00621C9B"/>
    <w:rsid w:val="00622026"/>
    <w:rsid w:val="00622180"/>
    <w:rsid w:val="006221F0"/>
    <w:rsid w:val="006224C6"/>
    <w:rsid w:val="006229E3"/>
    <w:rsid w:val="00622BCE"/>
    <w:rsid w:val="00622CBC"/>
    <w:rsid w:val="0062308C"/>
    <w:rsid w:val="006230F3"/>
    <w:rsid w:val="00623194"/>
    <w:rsid w:val="006231EC"/>
    <w:rsid w:val="00623245"/>
    <w:rsid w:val="006235FD"/>
    <w:rsid w:val="0062374A"/>
    <w:rsid w:val="00623A24"/>
    <w:rsid w:val="00623C29"/>
    <w:rsid w:val="00623C9E"/>
    <w:rsid w:val="00623EDC"/>
    <w:rsid w:val="00623F31"/>
    <w:rsid w:val="00624157"/>
    <w:rsid w:val="00624257"/>
    <w:rsid w:val="006242A6"/>
    <w:rsid w:val="006244E5"/>
    <w:rsid w:val="0062454E"/>
    <w:rsid w:val="0062461D"/>
    <w:rsid w:val="006247BC"/>
    <w:rsid w:val="00624867"/>
    <w:rsid w:val="006248D1"/>
    <w:rsid w:val="006249D0"/>
    <w:rsid w:val="00624B04"/>
    <w:rsid w:val="00624C92"/>
    <w:rsid w:val="00624FC8"/>
    <w:rsid w:val="006250FA"/>
    <w:rsid w:val="006254E1"/>
    <w:rsid w:val="006257A0"/>
    <w:rsid w:val="006258C2"/>
    <w:rsid w:val="006259F2"/>
    <w:rsid w:val="00625A41"/>
    <w:rsid w:val="00625B3D"/>
    <w:rsid w:val="00625CC2"/>
    <w:rsid w:val="00625F0E"/>
    <w:rsid w:val="0062644C"/>
    <w:rsid w:val="00626464"/>
    <w:rsid w:val="0062655A"/>
    <w:rsid w:val="006265ED"/>
    <w:rsid w:val="00626E50"/>
    <w:rsid w:val="00626FED"/>
    <w:rsid w:val="00627328"/>
    <w:rsid w:val="00627370"/>
    <w:rsid w:val="00627389"/>
    <w:rsid w:val="00627494"/>
    <w:rsid w:val="0062789F"/>
    <w:rsid w:val="00627CBE"/>
    <w:rsid w:val="00627DE0"/>
    <w:rsid w:val="00627FAD"/>
    <w:rsid w:val="006301F3"/>
    <w:rsid w:val="006304F3"/>
    <w:rsid w:val="0063099F"/>
    <w:rsid w:val="00630F09"/>
    <w:rsid w:val="006313EF"/>
    <w:rsid w:val="006315A7"/>
    <w:rsid w:val="00631649"/>
    <w:rsid w:val="006318B3"/>
    <w:rsid w:val="006319BA"/>
    <w:rsid w:val="00631A10"/>
    <w:rsid w:val="00631AB8"/>
    <w:rsid w:val="00631C57"/>
    <w:rsid w:val="00631D5F"/>
    <w:rsid w:val="00631EE5"/>
    <w:rsid w:val="0063218C"/>
    <w:rsid w:val="006324F5"/>
    <w:rsid w:val="00632766"/>
    <w:rsid w:val="00632949"/>
    <w:rsid w:val="00632A51"/>
    <w:rsid w:val="00632C53"/>
    <w:rsid w:val="00632F44"/>
    <w:rsid w:val="00632FF7"/>
    <w:rsid w:val="0063363B"/>
    <w:rsid w:val="00633737"/>
    <w:rsid w:val="00633BD5"/>
    <w:rsid w:val="00634029"/>
    <w:rsid w:val="00634090"/>
    <w:rsid w:val="00634139"/>
    <w:rsid w:val="0063416C"/>
    <w:rsid w:val="0063445F"/>
    <w:rsid w:val="00634620"/>
    <w:rsid w:val="00634682"/>
    <w:rsid w:val="0063473B"/>
    <w:rsid w:val="006347A2"/>
    <w:rsid w:val="0063486A"/>
    <w:rsid w:val="00634985"/>
    <w:rsid w:val="00634F43"/>
    <w:rsid w:val="00635543"/>
    <w:rsid w:val="0063579C"/>
    <w:rsid w:val="00635943"/>
    <w:rsid w:val="00635AB2"/>
    <w:rsid w:val="00635AC5"/>
    <w:rsid w:val="00635CD5"/>
    <w:rsid w:val="00635E4E"/>
    <w:rsid w:val="00635FD0"/>
    <w:rsid w:val="006363C1"/>
    <w:rsid w:val="0063647B"/>
    <w:rsid w:val="00636B90"/>
    <w:rsid w:val="00636C87"/>
    <w:rsid w:val="00636DFA"/>
    <w:rsid w:val="00636F22"/>
    <w:rsid w:val="0063720D"/>
    <w:rsid w:val="006377B7"/>
    <w:rsid w:val="00637B75"/>
    <w:rsid w:val="00637E8C"/>
    <w:rsid w:val="00637E91"/>
    <w:rsid w:val="00640265"/>
    <w:rsid w:val="006402C5"/>
    <w:rsid w:val="006402F3"/>
    <w:rsid w:val="00640380"/>
    <w:rsid w:val="00640496"/>
    <w:rsid w:val="00640511"/>
    <w:rsid w:val="00640828"/>
    <w:rsid w:val="0064093A"/>
    <w:rsid w:val="006409AA"/>
    <w:rsid w:val="00640F40"/>
    <w:rsid w:val="0064137E"/>
    <w:rsid w:val="006414FC"/>
    <w:rsid w:val="00641785"/>
    <w:rsid w:val="006417AE"/>
    <w:rsid w:val="006419C5"/>
    <w:rsid w:val="00641B51"/>
    <w:rsid w:val="00641BB4"/>
    <w:rsid w:val="00641DE5"/>
    <w:rsid w:val="00641F56"/>
    <w:rsid w:val="0064211E"/>
    <w:rsid w:val="0064240D"/>
    <w:rsid w:val="00642819"/>
    <w:rsid w:val="00642A49"/>
    <w:rsid w:val="00642AB5"/>
    <w:rsid w:val="00642AE8"/>
    <w:rsid w:val="00642B22"/>
    <w:rsid w:val="00642C09"/>
    <w:rsid w:val="00642EE5"/>
    <w:rsid w:val="006431ED"/>
    <w:rsid w:val="00643584"/>
    <w:rsid w:val="006436AE"/>
    <w:rsid w:val="006436C0"/>
    <w:rsid w:val="00643896"/>
    <w:rsid w:val="00643C14"/>
    <w:rsid w:val="00643D6D"/>
    <w:rsid w:val="0064410B"/>
    <w:rsid w:val="00644131"/>
    <w:rsid w:val="0064446D"/>
    <w:rsid w:val="006445C9"/>
    <w:rsid w:val="0064486D"/>
    <w:rsid w:val="00644BD6"/>
    <w:rsid w:val="00644E0F"/>
    <w:rsid w:val="00645157"/>
    <w:rsid w:val="00645396"/>
    <w:rsid w:val="006453A1"/>
    <w:rsid w:val="0064567F"/>
    <w:rsid w:val="00645B34"/>
    <w:rsid w:val="00646174"/>
    <w:rsid w:val="006461C4"/>
    <w:rsid w:val="00646744"/>
    <w:rsid w:val="006469FA"/>
    <w:rsid w:val="00646D95"/>
    <w:rsid w:val="006470DD"/>
    <w:rsid w:val="0064714F"/>
    <w:rsid w:val="00647419"/>
    <w:rsid w:val="006474E7"/>
    <w:rsid w:val="00647A06"/>
    <w:rsid w:val="006501AD"/>
    <w:rsid w:val="006502C3"/>
    <w:rsid w:val="00650B43"/>
    <w:rsid w:val="00650B5B"/>
    <w:rsid w:val="00651653"/>
    <w:rsid w:val="00651712"/>
    <w:rsid w:val="0065187D"/>
    <w:rsid w:val="00651A95"/>
    <w:rsid w:val="00651B5D"/>
    <w:rsid w:val="00652107"/>
    <w:rsid w:val="00652232"/>
    <w:rsid w:val="00652277"/>
    <w:rsid w:val="006522D6"/>
    <w:rsid w:val="00652462"/>
    <w:rsid w:val="00652686"/>
    <w:rsid w:val="00652923"/>
    <w:rsid w:val="00652ADA"/>
    <w:rsid w:val="00652C7B"/>
    <w:rsid w:val="00653434"/>
    <w:rsid w:val="006534BC"/>
    <w:rsid w:val="00653FF3"/>
    <w:rsid w:val="00654105"/>
    <w:rsid w:val="00654A7C"/>
    <w:rsid w:val="00654AAF"/>
    <w:rsid w:val="00654AE8"/>
    <w:rsid w:val="00654B07"/>
    <w:rsid w:val="00654B0B"/>
    <w:rsid w:val="00654C0D"/>
    <w:rsid w:val="00654CF1"/>
    <w:rsid w:val="00654D7F"/>
    <w:rsid w:val="00654F48"/>
    <w:rsid w:val="006552FC"/>
    <w:rsid w:val="0065563B"/>
    <w:rsid w:val="00655991"/>
    <w:rsid w:val="00655CC0"/>
    <w:rsid w:val="00655CE8"/>
    <w:rsid w:val="00655ECD"/>
    <w:rsid w:val="0065635D"/>
    <w:rsid w:val="00656976"/>
    <w:rsid w:val="00656BC2"/>
    <w:rsid w:val="00656EC3"/>
    <w:rsid w:val="00657234"/>
    <w:rsid w:val="00657677"/>
    <w:rsid w:val="0065769B"/>
    <w:rsid w:val="0065795C"/>
    <w:rsid w:val="00657993"/>
    <w:rsid w:val="006579BE"/>
    <w:rsid w:val="00657A56"/>
    <w:rsid w:val="00657CF0"/>
    <w:rsid w:val="00657FEC"/>
    <w:rsid w:val="0066017C"/>
    <w:rsid w:val="00660215"/>
    <w:rsid w:val="00660731"/>
    <w:rsid w:val="00660808"/>
    <w:rsid w:val="006609BD"/>
    <w:rsid w:val="00660DF5"/>
    <w:rsid w:val="0066110C"/>
    <w:rsid w:val="006611A7"/>
    <w:rsid w:val="00661561"/>
    <w:rsid w:val="006617F9"/>
    <w:rsid w:val="0066183A"/>
    <w:rsid w:val="00661E08"/>
    <w:rsid w:val="00661FD8"/>
    <w:rsid w:val="00662155"/>
    <w:rsid w:val="006622D5"/>
    <w:rsid w:val="006624EB"/>
    <w:rsid w:val="006627D1"/>
    <w:rsid w:val="00662949"/>
    <w:rsid w:val="00662F58"/>
    <w:rsid w:val="00663184"/>
    <w:rsid w:val="006634F8"/>
    <w:rsid w:val="006635B5"/>
    <w:rsid w:val="00663796"/>
    <w:rsid w:val="00663938"/>
    <w:rsid w:val="00663A7A"/>
    <w:rsid w:val="00663C35"/>
    <w:rsid w:val="00663CD4"/>
    <w:rsid w:val="00663D61"/>
    <w:rsid w:val="00663DD6"/>
    <w:rsid w:val="00663DED"/>
    <w:rsid w:val="00663EE6"/>
    <w:rsid w:val="006644AE"/>
    <w:rsid w:val="00664776"/>
    <w:rsid w:val="00664AC2"/>
    <w:rsid w:val="00664C11"/>
    <w:rsid w:val="00664DD1"/>
    <w:rsid w:val="0066500E"/>
    <w:rsid w:val="0066513F"/>
    <w:rsid w:val="006655A2"/>
    <w:rsid w:val="00665681"/>
    <w:rsid w:val="0066572E"/>
    <w:rsid w:val="00665DAD"/>
    <w:rsid w:val="00665FA1"/>
    <w:rsid w:val="0066601E"/>
    <w:rsid w:val="006661D0"/>
    <w:rsid w:val="00666280"/>
    <w:rsid w:val="00666717"/>
    <w:rsid w:val="006667A0"/>
    <w:rsid w:val="00666C34"/>
    <w:rsid w:val="00666D88"/>
    <w:rsid w:val="00666EA8"/>
    <w:rsid w:val="00667068"/>
    <w:rsid w:val="0066711A"/>
    <w:rsid w:val="00667276"/>
    <w:rsid w:val="00667599"/>
    <w:rsid w:val="006677DA"/>
    <w:rsid w:val="00667D0E"/>
    <w:rsid w:val="00667E90"/>
    <w:rsid w:val="006705EE"/>
    <w:rsid w:val="00670746"/>
    <w:rsid w:val="0067095E"/>
    <w:rsid w:val="00670967"/>
    <w:rsid w:val="00671005"/>
    <w:rsid w:val="00671224"/>
    <w:rsid w:val="00671A26"/>
    <w:rsid w:val="00671E0F"/>
    <w:rsid w:val="006721DF"/>
    <w:rsid w:val="006722D2"/>
    <w:rsid w:val="00672775"/>
    <w:rsid w:val="00672BDE"/>
    <w:rsid w:val="00672CCD"/>
    <w:rsid w:val="00672CF5"/>
    <w:rsid w:val="00672F0E"/>
    <w:rsid w:val="0067325A"/>
    <w:rsid w:val="0067336F"/>
    <w:rsid w:val="0067345E"/>
    <w:rsid w:val="00673844"/>
    <w:rsid w:val="00673C06"/>
    <w:rsid w:val="00673C55"/>
    <w:rsid w:val="00673F59"/>
    <w:rsid w:val="00674245"/>
    <w:rsid w:val="006743B2"/>
    <w:rsid w:val="00674433"/>
    <w:rsid w:val="006746F2"/>
    <w:rsid w:val="00674E5D"/>
    <w:rsid w:val="00674FDB"/>
    <w:rsid w:val="006750AA"/>
    <w:rsid w:val="006750C7"/>
    <w:rsid w:val="00675544"/>
    <w:rsid w:val="006758E6"/>
    <w:rsid w:val="00675B3B"/>
    <w:rsid w:val="00675BE0"/>
    <w:rsid w:val="00675D06"/>
    <w:rsid w:val="00675F71"/>
    <w:rsid w:val="00676077"/>
    <w:rsid w:val="006764F4"/>
    <w:rsid w:val="006765F2"/>
    <w:rsid w:val="006766AF"/>
    <w:rsid w:val="00676CFB"/>
    <w:rsid w:val="00676EE0"/>
    <w:rsid w:val="00676FD0"/>
    <w:rsid w:val="00677006"/>
    <w:rsid w:val="00677172"/>
    <w:rsid w:val="006773E7"/>
    <w:rsid w:val="00677F83"/>
    <w:rsid w:val="00677F9F"/>
    <w:rsid w:val="0068010D"/>
    <w:rsid w:val="0068023A"/>
    <w:rsid w:val="00680A95"/>
    <w:rsid w:val="00680B67"/>
    <w:rsid w:val="00680CCA"/>
    <w:rsid w:val="0068111B"/>
    <w:rsid w:val="00681434"/>
    <w:rsid w:val="006814BF"/>
    <w:rsid w:val="00681522"/>
    <w:rsid w:val="0068174B"/>
    <w:rsid w:val="00681ABB"/>
    <w:rsid w:val="00681EDA"/>
    <w:rsid w:val="006823F6"/>
    <w:rsid w:val="00682461"/>
    <w:rsid w:val="00682A9A"/>
    <w:rsid w:val="00682B2B"/>
    <w:rsid w:val="00682B68"/>
    <w:rsid w:val="00682C4C"/>
    <w:rsid w:val="00682C5C"/>
    <w:rsid w:val="00682D50"/>
    <w:rsid w:val="0068318E"/>
    <w:rsid w:val="00683A79"/>
    <w:rsid w:val="00683BBA"/>
    <w:rsid w:val="00684144"/>
    <w:rsid w:val="00684370"/>
    <w:rsid w:val="00684C30"/>
    <w:rsid w:val="00684F2B"/>
    <w:rsid w:val="0068527C"/>
    <w:rsid w:val="00685410"/>
    <w:rsid w:val="00685692"/>
    <w:rsid w:val="00685760"/>
    <w:rsid w:val="00685C96"/>
    <w:rsid w:val="00685D8E"/>
    <w:rsid w:val="00686060"/>
    <w:rsid w:val="00686216"/>
    <w:rsid w:val="00686351"/>
    <w:rsid w:val="00686B05"/>
    <w:rsid w:val="00686B37"/>
    <w:rsid w:val="00686BA1"/>
    <w:rsid w:val="00686D2D"/>
    <w:rsid w:val="00686D87"/>
    <w:rsid w:val="006871FA"/>
    <w:rsid w:val="006876BF"/>
    <w:rsid w:val="0068771D"/>
    <w:rsid w:val="0068798B"/>
    <w:rsid w:val="00687B21"/>
    <w:rsid w:val="00687BAC"/>
    <w:rsid w:val="00687C2C"/>
    <w:rsid w:val="00687CB8"/>
    <w:rsid w:val="006900D1"/>
    <w:rsid w:val="00690503"/>
    <w:rsid w:val="006906EC"/>
    <w:rsid w:val="006906F6"/>
    <w:rsid w:val="00690B25"/>
    <w:rsid w:val="00691211"/>
    <w:rsid w:val="00691311"/>
    <w:rsid w:val="0069159F"/>
    <w:rsid w:val="00691A78"/>
    <w:rsid w:val="00692129"/>
    <w:rsid w:val="0069217A"/>
    <w:rsid w:val="006921A9"/>
    <w:rsid w:val="006921B6"/>
    <w:rsid w:val="0069252B"/>
    <w:rsid w:val="0069255B"/>
    <w:rsid w:val="006927D0"/>
    <w:rsid w:val="006928FA"/>
    <w:rsid w:val="00692919"/>
    <w:rsid w:val="00692C05"/>
    <w:rsid w:val="00692D05"/>
    <w:rsid w:val="00692D69"/>
    <w:rsid w:val="00692D7A"/>
    <w:rsid w:val="00692E15"/>
    <w:rsid w:val="00693097"/>
    <w:rsid w:val="006931B2"/>
    <w:rsid w:val="00693334"/>
    <w:rsid w:val="00693390"/>
    <w:rsid w:val="0069365A"/>
    <w:rsid w:val="0069387D"/>
    <w:rsid w:val="0069398B"/>
    <w:rsid w:val="00693BFE"/>
    <w:rsid w:val="00693DBA"/>
    <w:rsid w:val="00693E58"/>
    <w:rsid w:val="00693FBA"/>
    <w:rsid w:val="00694302"/>
    <w:rsid w:val="0069432B"/>
    <w:rsid w:val="0069471B"/>
    <w:rsid w:val="0069472E"/>
    <w:rsid w:val="006950BE"/>
    <w:rsid w:val="0069553B"/>
    <w:rsid w:val="00695665"/>
    <w:rsid w:val="00695938"/>
    <w:rsid w:val="00695B2B"/>
    <w:rsid w:val="0069603D"/>
    <w:rsid w:val="00696696"/>
    <w:rsid w:val="00696901"/>
    <w:rsid w:val="0069699F"/>
    <w:rsid w:val="006969EC"/>
    <w:rsid w:val="00696A64"/>
    <w:rsid w:val="006972E2"/>
    <w:rsid w:val="00697356"/>
    <w:rsid w:val="0069742E"/>
    <w:rsid w:val="0069755C"/>
    <w:rsid w:val="00697898"/>
    <w:rsid w:val="006A0331"/>
    <w:rsid w:val="006A0344"/>
    <w:rsid w:val="006A03F2"/>
    <w:rsid w:val="006A0608"/>
    <w:rsid w:val="006A06D6"/>
    <w:rsid w:val="006A07EC"/>
    <w:rsid w:val="006A0DF1"/>
    <w:rsid w:val="006A0E93"/>
    <w:rsid w:val="006A1338"/>
    <w:rsid w:val="006A1341"/>
    <w:rsid w:val="006A139C"/>
    <w:rsid w:val="006A1737"/>
    <w:rsid w:val="006A1AB1"/>
    <w:rsid w:val="006A1BBC"/>
    <w:rsid w:val="006A1F74"/>
    <w:rsid w:val="006A20E4"/>
    <w:rsid w:val="006A2326"/>
    <w:rsid w:val="006A2477"/>
    <w:rsid w:val="006A2622"/>
    <w:rsid w:val="006A272D"/>
    <w:rsid w:val="006A288A"/>
    <w:rsid w:val="006A28CF"/>
    <w:rsid w:val="006A2A30"/>
    <w:rsid w:val="006A2D05"/>
    <w:rsid w:val="006A3079"/>
    <w:rsid w:val="006A3080"/>
    <w:rsid w:val="006A308B"/>
    <w:rsid w:val="006A3163"/>
    <w:rsid w:val="006A3297"/>
    <w:rsid w:val="006A33B5"/>
    <w:rsid w:val="006A34EE"/>
    <w:rsid w:val="006A35EA"/>
    <w:rsid w:val="006A38AA"/>
    <w:rsid w:val="006A3B30"/>
    <w:rsid w:val="006A3C9D"/>
    <w:rsid w:val="006A3E4D"/>
    <w:rsid w:val="006A3F87"/>
    <w:rsid w:val="006A3FA6"/>
    <w:rsid w:val="006A420F"/>
    <w:rsid w:val="006A44C9"/>
    <w:rsid w:val="006A4735"/>
    <w:rsid w:val="006A4796"/>
    <w:rsid w:val="006A4CE6"/>
    <w:rsid w:val="006A507B"/>
    <w:rsid w:val="006A5748"/>
    <w:rsid w:val="006A58B4"/>
    <w:rsid w:val="006A5AA6"/>
    <w:rsid w:val="006A5AAD"/>
    <w:rsid w:val="006A5ECE"/>
    <w:rsid w:val="006A5F49"/>
    <w:rsid w:val="006A5F97"/>
    <w:rsid w:val="006A6418"/>
    <w:rsid w:val="006A6536"/>
    <w:rsid w:val="006A6645"/>
    <w:rsid w:val="006A666C"/>
    <w:rsid w:val="006A67C2"/>
    <w:rsid w:val="006A6B84"/>
    <w:rsid w:val="006A6CB3"/>
    <w:rsid w:val="006A7057"/>
    <w:rsid w:val="006A7293"/>
    <w:rsid w:val="006A74B9"/>
    <w:rsid w:val="006A762F"/>
    <w:rsid w:val="006A76DB"/>
    <w:rsid w:val="006A772D"/>
    <w:rsid w:val="006A791E"/>
    <w:rsid w:val="006A7EFE"/>
    <w:rsid w:val="006B005B"/>
    <w:rsid w:val="006B0245"/>
    <w:rsid w:val="006B04D7"/>
    <w:rsid w:val="006B04FB"/>
    <w:rsid w:val="006B0570"/>
    <w:rsid w:val="006B0B46"/>
    <w:rsid w:val="006B0BA2"/>
    <w:rsid w:val="006B0D43"/>
    <w:rsid w:val="006B0EED"/>
    <w:rsid w:val="006B127A"/>
    <w:rsid w:val="006B133F"/>
    <w:rsid w:val="006B155A"/>
    <w:rsid w:val="006B1626"/>
    <w:rsid w:val="006B1772"/>
    <w:rsid w:val="006B18DE"/>
    <w:rsid w:val="006B1AF4"/>
    <w:rsid w:val="006B1FC3"/>
    <w:rsid w:val="006B1FC6"/>
    <w:rsid w:val="006B2497"/>
    <w:rsid w:val="006B26B6"/>
    <w:rsid w:val="006B26FB"/>
    <w:rsid w:val="006B271B"/>
    <w:rsid w:val="006B2992"/>
    <w:rsid w:val="006B2A99"/>
    <w:rsid w:val="006B3118"/>
    <w:rsid w:val="006B3276"/>
    <w:rsid w:val="006B35F3"/>
    <w:rsid w:val="006B3A6E"/>
    <w:rsid w:val="006B3D80"/>
    <w:rsid w:val="006B4259"/>
    <w:rsid w:val="006B47C0"/>
    <w:rsid w:val="006B47F8"/>
    <w:rsid w:val="006B4896"/>
    <w:rsid w:val="006B4B0B"/>
    <w:rsid w:val="006B4B74"/>
    <w:rsid w:val="006B5114"/>
    <w:rsid w:val="006B529A"/>
    <w:rsid w:val="006B5986"/>
    <w:rsid w:val="006B5D82"/>
    <w:rsid w:val="006B5F8B"/>
    <w:rsid w:val="006B61B0"/>
    <w:rsid w:val="006B6232"/>
    <w:rsid w:val="006B67CE"/>
    <w:rsid w:val="006B6895"/>
    <w:rsid w:val="006B68EF"/>
    <w:rsid w:val="006B6C7E"/>
    <w:rsid w:val="006B6E8C"/>
    <w:rsid w:val="006B75CD"/>
    <w:rsid w:val="006B78FE"/>
    <w:rsid w:val="006B7E56"/>
    <w:rsid w:val="006B7FC1"/>
    <w:rsid w:val="006C01AF"/>
    <w:rsid w:val="006C0259"/>
    <w:rsid w:val="006C0631"/>
    <w:rsid w:val="006C1114"/>
    <w:rsid w:val="006C116A"/>
    <w:rsid w:val="006C11B1"/>
    <w:rsid w:val="006C1289"/>
    <w:rsid w:val="006C1316"/>
    <w:rsid w:val="006C1531"/>
    <w:rsid w:val="006C1565"/>
    <w:rsid w:val="006C1654"/>
    <w:rsid w:val="006C1F97"/>
    <w:rsid w:val="006C2370"/>
    <w:rsid w:val="006C287B"/>
    <w:rsid w:val="006C2900"/>
    <w:rsid w:val="006C2978"/>
    <w:rsid w:val="006C313F"/>
    <w:rsid w:val="006C3206"/>
    <w:rsid w:val="006C378E"/>
    <w:rsid w:val="006C37F6"/>
    <w:rsid w:val="006C3B09"/>
    <w:rsid w:val="006C3D3A"/>
    <w:rsid w:val="006C3EEF"/>
    <w:rsid w:val="006C3FC5"/>
    <w:rsid w:val="006C42B1"/>
    <w:rsid w:val="006C42DD"/>
    <w:rsid w:val="006C43C1"/>
    <w:rsid w:val="006C441B"/>
    <w:rsid w:val="006C44D7"/>
    <w:rsid w:val="006C4604"/>
    <w:rsid w:val="006C46DB"/>
    <w:rsid w:val="006C49C6"/>
    <w:rsid w:val="006C4B64"/>
    <w:rsid w:val="006C4BB5"/>
    <w:rsid w:val="006C4CFC"/>
    <w:rsid w:val="006C4E41"/>
    <w:rsid w:val="006C547D"/>
    <w:rsid w:val="006C54DB"/>
    <w:rsid w:val="006C5782"/>
    <w:rsid w:val="006C5857"/>
    <w:rsid w:val="006C5A29"/>
    <w:rsid w:val="006C5AB7"/>
    <w:rsid w:val="006C5B89"/>
    <w:rsid w:val="006C5BFC"/>
    <w:rsid w:val="006C6109"/>
    <w:rsid w:val="006C62DB"/>
    <w:rsid w:val="006C6463"/>
    <w:rsid w:val="006C656B"/>
    <w:rsid w:val="006C6673"/>
    <w:rsid w:val="006C6831"/>
    <w:rsid w:val="006C6998"/>
    <w:rsid w:val="006C69A9"/>
    <w:rsid w:val="006C7242"/>
    <w:rsid w:val="006C7287"/>
    <w:rsid w:val="006C72D9"/>
    <w:rsid w:val="006C7335"/>
    <w:rsid w:val="006C755F"/>
    <w:rsid w:val="006C78EC"/>
    <w:rsid w:val="006C7CC1"/>
    <w:rsid w:val="006C7F69"/>
    <w:rsid w:val="006D0131"/>
    <w:rsid w:val="006D052A"/>
    <w:rsid w:val="006D08E4"/>
    <w:rsid w:val="006D09D5"/>
    <w:rsid w:val="006D0AB5"/>
    <w:rsid w:val="006D0EC7"/>
    <w:rsid w:val="006D1047"/>
    <w:rsid w:val="006D1233"/>
    <w:rsid w:val="006D13E4"/>
    <w:rsid w:val="006D1CA2"/>
    <w:rsid w:val="006D1DAE"/>
    <w:rsid w:val="006D1FE0"/>
    <w:rsid w:val="006D2005"/>
    <w:rsid w:val="006D26E9"/>
    <w:rsid w:val="006D271E"/>
    <w:rsid w:val="006D2A7F"/>
    <w:rsid w:val="006D3296"/>
    <w:rsid w:val="006D35E6"/>
    <w:rsid w:val="006D3A8A"/>
    <w:rsid w:val="006D3E3A"/>
    <w:rsid w:val="006D3E8E"/>
    <w:rsid w:val="006D3F81"/>
    <w:rsid w:val="006D4325"/>
    <w:rsid w:val="006D4388"/>
    <w:rsid w:val="006D4418"/>
    <w:rsid w:val="006D46D4"/>
    <w:rsid w:val="006D47F7"/>
    <w:rsid w:val="006D49D3"/>
    <w:rsid w:val="006D4A82"/>
    <w:rsid w:val="006D4B64"/>
    <w:rsid w:val="006D4BEE"/>
    <w:rsid w:val="006D4D1D"/>
    <w:rsid w:val="006D4D90"/>
    <w:rsid w:val="006D4F92"/>
    <w:rsid w:val="006D501C"/>
    <w:rsid w:val="006D5105"/>
    <w:rsid w:val="006D51FB"/>
    <w:rsid w:val="006D5272"/>
    <w:rsid w:val="006D5658"/>
    <w:rsid w:val="006D566B"/>
    <w:rsid w:val="006D56AF"/>
    <w:rsid w:val="006D5BD6"/>
    <w:rsid w:val="006D5C9F"/>
    <w:rsid w:val="006D5FCD"/>
    <w:rsid w:val="006D6014"/>
    <w:rsid w:val="006D6360"/>
    <w:rsid w:val="006D6473"/>
    <w:rsid w:val="006D656D"/>
    <w:rsid w:val="006D6646"/>
    <w:rsid w:val="006D6680"/>
    <w:rsid w:val="006D6E6A"/>
    <w:rsid w:val="006D7231"/>
    <w:rsid w:val="006D7293"/>
    <w:rsid w:val="006D770F"/>
    <w:rsid w:val="006D7861"/>
    <w:rsid w:val="006D790D"/>
    <w:rsid w:val="006D7B16"/>
    <w:rsid w:val="006D7B6F"/>
    <w:rsid w:val="006E0153"/>
    <w:rsid w:val="006E04AD"/>
    <w:rsid w:val="006E0614"/>
    <w:rsid w:val="006E081F"/>
    <w:rsid w:val="006E0824"/>
    <w:rsid w:val="006E0A14"/>
    <w:rsid w:val="006E1090"/>
    <w:rsid w:val="006E10FD"/>
    <w:rsid w:val="006E1272"/>
    <w:rsid w:val="006E1BEB"/>
    <w:rsid w:val="006E1CE7"/>
    <w:rsid w:val="006E2096"/>
    <w:rsid w:val="006E21C4"/>
    <w:rsid w:val="006E21D2"/>
    <w:rsid w:val="006E2444"/>
    <w:rsid w:val="006E25AB"/>
    <w:rsid w:val="006E2714"/>
    <w:rsid w:val="006E29A1"/>
    <w:rsid w:val="006E3138"/>
    <w:rsid w:val="006E33BC"/>
    <w:rsid w:val="006E34DA"/>
    <w:rsid w:val="006E34F6"/>
    <w:rsid w:val="006E36EB"/>
    <w:rsid w:val="006E39E1"/>
    <w:rsid w:val="006E3A09"/>
    <w:rsid w:val="006E3C90"/>
    <w:rsid w:val="006E3D58"/>
    <w:rsid w:val="006E3E77"/>
    <w:rsid w:val="006E3EF5"/>
    <w:rsid w:val="006E43B6"/>
    <w:rsid w:val="006E447F"/>
    <w:rsid w:val="006E4531"/>
    <w:rsid w:val="006E4688"/>
    <w:rsid w:val="006E47CF"/>
    <w:rsid w:val="006E4D2E"/>
    <w:rsid w:val="006E4FA6"/>
    <w:rsid w:val="006E4FFA"/>
    <w:rsid w:val="006E51F8"/>
    <w:rsid w:val="006E53D4"/>
    <w:rsid w:val="006E542E"/>
    <w:rsid w:val="006E54A1"/>
    <w:rsid w:val="006E55FD"/>
    <w:rsid w:val="006E57D5"/>
    <w:rsid w:val="006E5A17"/>
    <w:rsid w:val="006E5A6C"/>
    <w:rsid w:val="006E5AE3"/>
    <w:rsid w:val="006E5EC0"/>
    <w:rsid w:val="006E6156"/>
    <w:rsid w:val="006E636D"/>
    <w:rsid w:val="006E6458"/>
    <w:rsid w:val="006E651C"/>
    <w:rsid w:val="006E65A2"/>
    <w:rsid w:val="006E65AE"/>
    <w:rsid w:val="006E6655"/>
    <w:rsid w:val="006E68B5"/>
    <w:rsid w:val="006E695E"/>
    <w:rsid w:val="006E6CA5"/>
    <w:rsid w:val="006E6E33"/>
    <w:rsid w:val="006E6F11"/>
    <w:rsid w:val="006E6F6F"/>
    <w:rsid w:val="006E70A2"/>
    <w:rsid w:val="006E7303"/>
    <w:rsid w:val="006E73BA"/>
    <w:rsid w:val="006E74A7"/>
    <w:rsid w:val="006E7A3F"/>
    <w:rsid w:val="006E7B6B"/>
    <w:rsid w:val="006E7E06"/>
    <w:rsid w:val="006E7E21"/>
    <w:rsid w:val="006E7E40"/>
    <w:rsid w:val="006E7FDC"/>
    <w:rsid w:val="006F04C8"/>
    <w:rsid w:val="006F0538"/>
    <w:rsid w:val="006F0640"/>
    <w:rsid w:val="006F0701"/>
    <w:rsid w:val="006F078A"/>
    <w:rsid w:val="006F087B"/>
    <w:rsid w:val="006F0A78"/>
    <w:rsid w:val="006F0A95"/>
    <w:rsid w:val="006F0B73"/>
    <w:rsid w:val="006F0C0B"/>
    <w:rsid w:val="006F0CA3"/>
    <w:rsid w:val="006F0D54"/>
    <w:rsid w:val="006F0D83"/>
    <w:rsid w:val="006F0D9F"/>
    <w:rsid w:val="006F10D4"/>
    <w:rsid w:val="006F1143"/>
    <w:rsid w:val="006F1256"/>
    <w:rsid w:val="006F13D4"/>
    <w:rsid w:val="006F15A7"/>
    <w:rsid w:val="006F1B33"/>
    <w:rsid w:val="006F1B7D"/>
    <w:rsid w:val="006F1C48"/>
    <w:rsid w:val="006F1D3F"/>
    <w:rsid w:val="006F2080"/>
    <w:rsid w:val="006F20DE"/>
    <w:rsid w:val="006F2207"/>
    <w:rsid w:val="006F22B2"/>
    <w:rsid w:val="006F23F6"/>
    <w:rsid w:val="006F2B60"/>
    <w:rsid w:val="006F306C"/>
    <w:rsid w:val="006F32E1"/>
    <w:rsid w:val="006F34FD"/>
    <w:rsid w:val="006F390F"/>
    <w:rsid w:val="006F3976"/>
    <w:rsid w:val="006F4023"/>
    <w:rsid w:val="006F406E"/>
    <w:rsid w:val="006F415F"/>
    <w:rsid w:val="006F4F07"/>
    <w:rsid w:val="006F5028"/>
    <w:rsid w:val="006F51BD"/>
    <w:rsid w:val="006F5233"/>
    <w:rsid w:val="006F52A8"/>
    <w:rsid w:val="006F54F9"/>
    <w:rsid w:val="006F588A"/>
    <w:rsid w:val="006F5969"/>
    <w:rsid w:val="006F5AF1"/>
    <w:rsid w:val="006F5DE0"/>
    <w:rsid w:val="006F5F78"/>
    <w:rsid w:val="006F6131"/>
    <w:rsid w:val="006F6283"/>
    <w:rsid w:val="006F6972"/>
    <w:rsid w:val="006F6C05"/>
    <w:rsid w:val="006F6C44"/>
    <w:rsid w:val="006F6DC1"/>
    <w:rsid w:val="006F70D4"/>
    <w:rsid w:val="006F7478"/>
    <w:rsid w:val="006F74CF"/>
    <w:rsid w:val="006F75CC"/>
    <w:rsid w:val="006F7A54"/>
    <w:rsid w:val="006F7AF1"/>
    <w:rsid w:val="006F7B14"/>
    <w:rsid w:val="006F7C5B"/>
    <w:rsid w:val="007000F1"/>
    <w:rsid w:val="00700401"/>
    <w:rsid w:val="00700881"/>
    <w:rsid w:val="00700955"/>
    <w:rsid w:val="00700A94"/>
    <w:rsid w:val="00700C4D"/>
    <w:rsid w:val="00700C6D"/>
    <w:rsid w:val="00700C99"/>
    <w:rsid w:val="00700DF5"/>
    <w:rsid w:val="00701342"/>
    <w:rsid w:val="00701AA7"/>
    <w:rsid w:val="0070295D"/>
    <w:rsid w:val="00702ABB"/>
    <w:rsid w:val="00702C00"/>
    <w:rsid w:val="00702EA1"/>
    <w:rsid w:val="00702F22"/>
    <w:rsid w:val="00702FD5"/>
    <w:rsid w:val="00703146"/>
    <w:rsid w:val="00703171"/>
    <w:rsid w:val="00703441"/>
    <w:rsid w:val="007034B6"/>
    <w:rsid w:val="0070366A"/>
    <w:rsid w:val="007037AA"/>
    <w:rsid w:val="0070380F"/>
    <w:rsid w:val="00703C46"/>
    <w:rsid w:val="00703EEF"/>
    <w:rsid w:val="00703F6B"/>
    <w:rsid w:val="007044C0"/>
    <w:rsid w:val="00704C11"/>
    <w:rsid w:val="00704C77"/>
    <w:rsid w:val="00704CDA"/>
    <w:rsid w:val="00704E0B"/>
    <w:rsid w:val="00705675"/>
    <w:rsid w:val="00705681"/>
    <w:rsid w:val="00705ACE"/>
    <w:rsid w:val="00705D66"/>
    <w:rsid w:val="00705E63"/>
    <w:rsid w:val="00705FE1"/>
    <w:rsid w:val="00706573"/>
    <w:rsid w:val="007065B1"/>
    <w:rsid w:val="007065DB"/>
    <w:rsid w:val="007066E9"/>
    <w:rsid w:val="00706743"/>
    <w:rsid w:val="00706770"/>
    <w:rsid w:val="00706A54"/>
    <w:rsid w:val="00706ADC"/>
    <w:rsid w:val="00706C9F"/>
    <w:rsid w:val="00706D7D"/>
    <w:rsid w:val="00707410"/>
    <w:rsid w:val="007077FD"/>
    <w:rsid w:val="00707857"/>
    <w:rsid w:val="00707CA2"/>
    <w:rsid w:val="00707D9E"/>
    <w:rsid w:val="00707ECA"/>
    <w:rsid w:val="00707F24"/>
    <w:rsid w:val="00707FA7"/>
    <w:rsid w:val="00707FF5"/>
    <w:rsid w:val="00710008"/>
    <w:rsid w:val="007100AE"/>
    <w:rsid w:val="007106E5"/>
    <w:rsid w:val="0071074F"/>
    <w:rsid w:val="007108F7"/>
    <w:rsid w:val="00710B2C"/>
    <w:rsid w:val="00710DD6"/>
    <w:rsid w:val="007112A6"/>
    <w:rsid w:val="00711329"/>
    <w:rsid w:val="0071133B"/>
    <w:rsid w:val="00711467"/>
    <w:rsid w:val="007117E8"/>
    <w:rsid w:val="00711899"/>
    <w:rsid w:val="00711D02"/>
    <w:rsid w:val="00711D60"/>
    <w:rsid w:val="00711EC2"/>
    <w:rsid w:val="007121FF"/>
    <w:rsid w:val="007124C0"/>
    <w:rsid w:val="00712659"/>
    <w:rsid w:val="007127C2"/>
    <w:rsid w:val="00712C92"/>
    <w:rsid w:val="00712CE0"/>
    <w:rsid w:val="00712D92"/>
    <w:rsid w:val="00713053"/>
    <w:rsid w:val="00713394"/>
    <w:rsid w:val="0071369D"/>
    <w:rsid w:val="00713822"/>
    <w:rsid w:val="00713AE8"/>
    <w:rsid w:val="00713D21"/>
    <w:rsid w:val="00713E33"/>
    <w:rsid w:val="00713F2F"/>
    <w:rsid w:val="00714241"/>
    <w:rsid w:val="007146C4"/>
    <w:rsid w:val="007147B9"/>
    <w:rsid w:val="00714A6B"/>
    <w:rsid w:val="00714AAD"/>
    <w:rsid w:val="00714BAB"/>
    <w:rsid w:val="00714C8E"/>
    <w:rsid w:val="0071506F"/>
    <w:rsid w:val="00715074"/>
    <w:rsid w:val="007154E2"/>
    <w:rsid w:val="007156DE"/>
    <w:rsid w:val="007157DF"/>
    <w:rsid w:val="00715DF6"/>
    <w:rsid w:val="00715E60"/>
    <w:rsid w:val="00716170"/>
    <w:rsid w:val="00716176"/>
    <w:rsid w:val="007162B1"/>
    <w:rsid w:val="00716394"/>
    <w:rsid w:val="0071644F"/>
    <w:rsid w:val="007164AC"/>
    <w:rsid w:val="007164C4"/>
    <w:rsid w:val="00716587"/>
    <w:rsid w:val="00716CC1"/>
    <w:rsid w:val="00716FBF"/>
    <w:rsid w:val="00717012"/>
    <w:rsid w:val="0071705E"/>
    <w:rsid w:val="00717238"/>
    <w:rsid w:val="00717249"/>
    <w:rsid w:val="0071731E"/>
    <w:rsid w:val="00717569"/>
    <w:rsid w:val="00717676"/>
    <w:rsid w:val="007176FC"/>
    <w:rsid w:val="00717A1A"/>
    <w:rsid w:val="00717E62"/>
    <w:rsid w:val="007202EA"/>
    <w:rsid w:val="007203C8"/>
    <w:rsid w:val="00720416"/>
    <w:rsid w:val="00720425"/>
    <w:rsid w:val="007207D4"/>
    <w:rsid w:val="0072089E"/>
    <w:rsid w:val="007209A9"/>
    <w:rsid w:val="00720AB5"/>
    <w:rsid w:val="00720CDC"/>
    <w:rsid w:val="00720E1F"/>
    <w:rsid w:val="007210A1"/>
    <w:rsid w:val="007210B4"/>
    <w:rsid w:val="007211FF"/>
    <w:rsid w:val="00721785"/>
    <w:rsid w:val="007218B8"/>
    <w:rsid w:val="00722287"/>
    <w:rsid w:val="00722546"/>
    <w:rsid w:val="00722876"/>
    <w:rsid w:val="007229EE"/>
    <w:rsid w:val="00722A3E"/>
    <w:rsid w:val="00722A53"/>
    <w:rsid w:val="00722F73"/>
    <w:rsid w:val="007230E8"/>
    <w:rsid w:val="007231E6"/>
    <w:rsid w:val="0072346B"/>
    <w:rsid w:val="007234B4"/>
    <w:rsid w:val="007235F6"/>
    <w:rsid w:val="007239F7"/>
    <w:rsid w:val="00723C61"/>
    <w:rsid w:val="00723FB1"/>
    <w:rsid w:val="00724077"/>
    <w:rsid w:val="00724148"/>
    <w:rsid w:val="007242D6"/>
    <w:rsid w:val="00724479"/>
    <w:rsid w:val="007247BF"/>
    <w:rsid w:val="0072486A"/>
    <w:rsid w:val="00724903"/>
    <w:rsid w:val="0072523F"/>
    <w:rsid w:val="0072531A"/>
    <w:rsid w:val="00725320"/>
    <w:rsid w:val="00725C90"/>
    <w:rsid w:val="007261C9"/>
    <w:rsid w:val="007262F7"/>
    <w:rsid w:val="007264F2"/>
    <w:rsid w:val="007268F0"/>
    <w:rsid w:val="007269E2"/>
    <w:rsid w:val="00726B04"/>
    <w:rsid w:val="00726C4A"/>
    <w:rsid w:val="00726CAA"/>
    <w:rsid w:val="00726E8A"/>
    <w:rsid w:val="00727112"/>
    <w:rsid w:val="00727233"/>
    <w:rsid w:val="007278BB"/>
    <w:rsid w:val="00727DBC"/>
    <w:rsid w:val="00727DCC"/>
    <w:rsid w:val="00730296"/>
    <w:rsid w:val="00730349"/>
    <w:rsid w:val="007303E7"/>
    <w:rsid w:val="007304DA"/>
    <w:rsid w:val="007304FB"/>
    <w:rsid w:val="00730F13"/>
    <w:rsid w:val="00731166"/>
    <w:rsid w:val="007311C5"/>
    <w:rsid w:val="0073123E"/>
    <w:rsid w:val="00731334"/>
    <w:rsid w:val="007314B2"/>
    <w:rsid w:val="007314CA"/>
    <w:rsid w:val="007318BA"/>
    <w:rsid w:val="00731B51"/>
    <w:rsid w:val="00731C76"/>
    <w:rsid w:val="00731C89"/>
    <w:rsid w:val="00731D4C"/>
    <w:rsid w:val="00731F62"/>
    <w:rsid w:val="0073219B"/>
    <w:rsid w:val="007321B2"/>
    <w:rsid w:val="007324CE"/>
    <w:rsid w:val="0073256E"/>
    <w:rsid w:val="00732774"/>
    <w:rsid w:val="007329D2"/>
    <w:rsid w:val="00732C7F"/>
    <w:rsid w:val="00732D37"/>
    <w:rsid w:val="00732E33"/>
    <w:rsid w:val="007332CC"/>
    <w:rsid w:val="00733489"/>
    <w:rsid w:val="0073348B"/>
    <w:rsid w:val="0073351D"/>
    <w:rsid w:val="00733604"/>
    <w:rsid w:val="00733672"/>
    <w:rsid w:val="00733761"/>
    <w:rsid w:val="007339DC"/>
    <w:rsid w:val="00733A0B"/>
    <w:rsid w:val="00733A36"/>
    <w:rsid w:val="00733B62"/>
    <w:rsid w:val="00733E9B"/>
    <w:rsid w:val="00734041"/>
    <w:rsid w:val="007341B2"/>
    <w:rsid w:val="007341C8"/>
    <w:rsid w:val="0073421A"/>
    <w:rsid w:val="00734B1D"/>
    <w:rsid w:val="00734C9A"/>
    <w:rsid w:val="00734EF7"/>
    <w:rsid w:val="007351E9"/>
    <w:rsid w:val="00735337"/>
    <w:rsid w:val="0073545D"/>
    <w:rsid w:val="007354F4"/>
    <w:rsid w:val="00735904"/>
    <w:rsid w:val="00735AC5"/>
    <w:rsid w:val="00735C5A"/>
    <w:rsid w:val="007360EE"/>
    <w:rsid w:val="007362C1"/>
    <w:rsid w:val="007365E1"/>
    <w:rsid w:val="007367AD"/>
    <w:rsid w:val="007368C0"/>
    <w:rsid w:val="00736CCE"/>
    <w:rsid w:val="00736D69"/>
    <w:rsid w:val="007370AA"/>
    <w:rsid w:val="0073723B"/>
    <w:rsid w:val="0073773F"/>
    <w:rsid w:val="00737915"/>
    <w:rsid w:val="00737A0C"/>
    <w:rsid w:val="00737B73"/>
    <w:rsid w:val="00737CC2"/>
    <w:rsid w:val="00737D11"/>
    <w:rsid w:val="0074042D"/>
    <w:rsid w:val="0074077C"/>
    <w:rsid w:val="00740926"/>
    <w:rsid w:val="0074098C"/>
    <w:rsid w:val="0074099C"/>
    <w:rsid w:val="00740BAB"/>
    <w:rsid w:val="00740BB0"/>
    <w:rsid w:val="00740C09"/>
    <w:rsid w:val="00740D96"/>
    <w:rsid w:val="00740E79"/>
    <w:rsid w:val="00741133"/>
    <w:rsid w:val="00741185"/>
    <w:rsid w:val="007412A5"/>
    <w:rsid w:val="00741D7B"/>
    <w:rsid w:val="00742201"/>
    <w:rsid w:val="0074232B"/>
    <w:rsid w:val="00742A6C"/>
    <w:rsid w:val="00742BD9"/>
    <w:rsid w:val="00742FD6"/>
    <w:rsid w:val="007430FF"/>
    <w:rsid w:val="00743126"/>
    <w:rsid w:val="007432DB"/>
    <w:rsid w:val="00743894"/>
    <w:rsid w:val="00743919"/>
    <w:rsid w:val="0074393F"/>
    <w:rsid w:val="00743C42"/>
    <w:rsid w:val="00744262"/>
    <w:rsid w:val="00744473"/>
    <w:rsid w:val="007445E2"/>
    <w:rsid w:val="00744893"/>
    <w:rsid w:val="00745032"/>
    <w:rsid w:val="0074517E"/>
    <w:rsid w:val="007452C2"/>
    <w:rsid w:val="007453FA"/>
    <w:rsid w:val="00745A8C"/>
    <w:rsid w:val="00745CB7"/>
    <w:rsid w:val="00745F0D"/>
    <w:rsid w:val="00745F57"/>
    <w:rsid w:val="00745FDB"/>
    <w:rsid w:val="007460E7"/>
    <w:rsid w:val="007463F9"/>
    <w:rsid w:val="007464D2"/>
    <w:rsid w:val="007468B9"/>
    <w:rsid w:val="00746946"/>
    <w:rsid w:val="00746AA7"/>
    <w:rsid w:val="00746B59"/>
    <w:rsid w:val="00746D62"/>
    <w:rsid w:val="00747039"/>
    <w:rsid w:val="00747180"/>
    <w:rsid w:val="00747903"/>
    <w:rsid w:val="00747A64"/>
    <w:rsid w:val="00747D3D"/>
    <w:rsid w:val="00747DFF"/>
    <w:rsid w:val="00747E61"/>
    <w:rsid w:val="0075004D"/>
    <w:rsid w:val="00750059"/>
    <w:rsid w:val="00750303"/>
    <w:rsid w:val="00750361"/>
    <w:rsid w:val="007507BF"/>
    <w:rsid w:val="0075146C"/>
    <w:rsid w:val="007515D4"/>
    <w:rsid w:val="0075190F"/>
    <w:rsid w:val="00751B54"/>
    <w:rsid w:val="00751DF5"/>
    <w:rsid w:val="00751E10"/>
    <w:rsid w:val="00752042"/>
    <w:rsid w:val="00752049"/>
    <w:rsid w:val="00752152"/>
    <w:rsid w:val="007525B8"/>
    <w:rsid w:val="00752BAB"/>
    <w:rsid w:val="00752C2E"/>
    <w:rsid w:val="00752C40"/>
    <w:rsid w:val="00752C7D"/>
    <w:rsid w:val="00752CD3"/>
    <w:rsid w:val="00752D62"/>
    <w:rsid w:val="00752DFA"/>
    <w:rsid w:val="00752F87"/>
    <w:rsid w:val="0075317D"/>
    <w:rsid w:val="00753A8B"/>
    <w:rsid w:val="00753E0C"/>
    <w:rsid w:val="00753E1F"/>
    <w:rsid w:val="00754592"/>
    <w:rsid w:val="007545F7"/>
    <w:rsid w:val="007546C3"/>
    <w:rsid w:val="00754813"/>
    <w:rsid w:val="00754BA8"/>
    <w:rsid w:val="00755379"/>
    <w:rsid w:val="007553B9"/>
    <w:rsid w:val="0075557F"/>
    <w:rsid w:val="0075559B"/>
    <w:rsid w:val="007556A4"/>
    <w:rsid w:val="00755709"/>
    <w:rsid w:val="00755C5C"/>
    <w:rsid w:val="00755DFD"/>
    <w:rsid w:val="00755EC1"/>
    <w:rsid w:val="00756081"/>
    <w:rsid w:val="00756229"/>
    <w:rsid w:val="0075651D"/>
    <w:rsid w:val="00756738"/>
    <w:rsid w:val="0075678D"/>
    <w:rsid w:val="00756B29"/>
    <w:rsid w:val="00756D3F"/>
    <w:rsid w:val="007570E3"/>
    <w:rsid w:val="007571A3"/>
    <w:rsid w:val="007571B2"/>
    <w:rsid w:val="00757450"/>
    <w:rsid w:val="0075787F"/>
    <w:rsid w:val="007579BD"/>
    <w:rsid w:val="00757E53"/>
    <w:rsid w:val="00757E90"/>
    <w:rsid w:val="007600C8"/>
    <w:rsid w:val="00760387"/>
    <w:rsid w:val="007604D1"/>
    <w:rsid w:val="007604DB"/>
    <w:rsid w:val="00760673"/>
    <w:rsid w:val="007606C7"/>
    <w:rsid w:val="007606D2"/>
    <w:rsid w:val="00760AB4"/>
    <w:rsid w:val="00761337"/>
    <w:rsid w:val="007614E2"/>
    <w:rsid w:val="007615C1"/>
    <w:rsid w:val="00761617"/>
    <w:rsid w:val="007617C4"/>
    <w:rsid w:val="007617FB"/>
    <w:rsid w:val="00761962"/>
    <w:rsid w:val="00761B48"/>
    <w:rsid w:val="00761C0D"/>
    <w:rsid w:val="00761CD6"/>
    <w:rsid w:val="00761DD0"/>
    <w:rsid w:val="00761EFF"/>
    <w:rsid w:val="007623D6"/>
    <w:rsid w:val="00762A02"/>
    <w:rsid w:val="00762A24"/>
    <w:rsid w:val="00762BFE"/>
    <w:rsid w:val="00762E71"/>
    <w:rsid w:val="00762EF3"/>
    <w:rsid w:val="00762EFC"/>
    <w:rsid w:val="0076315D"/>
    <w:rsid w:val="007632B9"/>
    <w:rsid w:val="007633F2"/>
    <w:rsid w:val="00763473"/>
    <w:rsid w:val="007636C6"/>
    <w:rsid w:val="00763842"/>
    <w:rsid w:val="007639BE"/>
    <w:rsid w:val="00763B0F"/>
    <w:rsid w:val="00763D77"/>
    <w:rsid w:val="00763E81"/>
    <w:rsid w:val="0076422F"/>
    <w:rsid w:val="0076434C"/>
    <w:rsid w:val="0076447E"/>
    <w:rsid w:val="007648C1"/>
    <w:rsid w:val="007649F0"/>
    <w:rsid w:val="00764AF3"/>
    <w:rsid w:val="00764E84"/>
    <w:rsid w:val="00764ED8"/>
    <w:rsid w:val="0076508B"/>
    <w:rsid w:val="007654F4"/>
    <w:rsid w:val="007657CF"/>
    <w:rsid w:val="007658F2"/>
    <w:rsid w:val="007659BC"/>
    <w:rsid w:val="007659ED"/>
    <w:rsid w:val="00765C1E"/>
    <w:rsid w:val="00766213"/>
    <w:rsid w:val="0076625C"/>
    <w:rsid w:val="00766269"/>
    <w:rsid w:val="0076637E"/>
    <w:rsid w:val="007665AE"/>
    <w:rsid w:val="00766674"/>
    <w:rsid w:val="00766A6A"/>
    <w:rsid w:val="00766CBA"/>
    <w:rsid w:val="0076704D"/>
    <w:rsid w:val="0076716C"/>
    <w:rsid w:val="00767213"/>
    <w:rsid w:val="0076733C"/>
    <w:rsid w:val="00767758"/>
    <w:rsid w:val="00767977"/>
    <w:rsid w:val="00767A05"/>
    <w:rsid w:val="00767B40"/>
    <w:rsid w:val="007705BD"/>
    <w:rsid w:val="007705CE"/>
    <w:rsid w:val="007706A9"/>
    <w:rsid w:val="0077089C"/>
    <w:rsid w:val="00770AC5"/>
    <w:rsid w:val="00770ACF"/>
    <w:rsid w:val="00770DE0"/>
    <w:rsid w:val="00770EC7"/>
    <w:rsid w:val="00771306"/>
    <w:rsid w:val="007715BD"/>
    <w:rsid w:val="007715FF"/>
    <w:rsid w:val="00771975"/>
    <w:rsid w:val="00771D9F"/>
    <w:rsid w:val="00771E3D"/>
    <w:rsid w:val="00771EBF"/>
    <w:rsid w:val="00771F08"/>
    <w:rsid w:val="007721F9"/>
    <w:rsid w:val="00772209"/>
    <w:rsid w:val="007723FF"/>
    <w:rsid w:val="00772A7A"/>
    <w:rsid w:val="00772F83"/>
    <w:rsid w:val="0077346A"/>
    <w:rsid w:val="00773508"/>
    <w:rsid w:val="0077352F"/>
    <w:rsid w:val="0077380A"/>
    <w:rsid w:val="00773840"/>
    <w:rsid w:val="007744C6"/>
    <w:rsid w:val="007746FE"/>
    <w:rsid w:val="00774924"/>
    <w:rsid w:val="00774BFB"/>
    <w:rsid w:val="00774D1E"/>
    <w:rsid w:val="00774E3B"/>
    <w:rsid w:val="00775696"/>
    <w:rsid w:val="00775BAD"/>
    <w:rsid w:val="00776287"/>
    <w:rsid w:val="00776371"/>
    <w:rsid w:val="007765B0"/>
    <w:rsid w:val="007768D2"/>
    <w:rsid w:val="00776975"/>
    <w:rsid w:val="00776A81"/>
    <w:rsid w:val="00776BF3"/>
    <w:rsid w:val="00776CC5"/>
    <w:rsid w:val="00776F07"/>
    <w:rsid w:val="00776FBC"/>
    <w:rsid w:val="00777115"/>
    <w:rsid w:val="0077720F"/>
    <w:rsid w:val="00777242"/>
    <w:rsid w:val="0077759D"/>
    <w:rsid w:val="00777B15"/>
    <w:rsid w:val="00777D69"/>
    <w:rsid w:val="007800DD"/>
    <w:rsid w:val="007802A3"/>
    <w:rsid w:val="007802CF"/>
    <w:rsid w:val="007804C3"/>
    <w:rsid w:val="007804F1"/>
    <w:rsid w:val="007805F5"/>
    <w:rsid w:val="00780953"/>
    <w:rsid w:val="00780A22"/>
    <w:rsid w:val="00780A71"/>
    <w:rsid w:val="00780C48"/>
    <w:rsid w:val="00780CA7"/>
    <w:rsid w:val="00780FEB"/>
    <w:rsid w:val="00781016"/>
    <w:rsid w:val="007812FF"/>
    <w:rsid w:val="00781897"/>
    <w:rsid w:val="007819C9"/>
    <w:rsid w:val="007819F0"/>
    <w:rsid w:val="00781DF2"/>
    <w:rsid w:val="00782086"/>
    <w:rsid w:val="007825C6"/>
    <w:rsid w:val="00782717"/>
    <w:rsid w:val="007828B0"/>
    <w:rsid w:val="00782986"/>
    <w:rsid w:val="00782A57"/>
    <w:rsid w:val="00782CD3"/>
    <w:rsid w:val="00782D7B"/>
    <w:rsid w:val="007830A4"/>
    <w:rsid w:val="00783222"/>
    <w:rsid w:val="00783A95"/>
    <w:rsid w:val="00783B8A"/>
    <w:rsid w:val="00783C3E"/>
    <w:rsid w:val="00783FAB"/>
    <w:rsid w:val="007843C0"/>
    <w:rsid w:val="0078446F"/>
    <w:rsid w:val="0078458E"/>
    <w:rsid w:val="0078469F"/>
    <w:rsid w:val="007847D6"/>
    <w:rsid w:val="00784F08"/>
    <w:rsid w:val="00784F88"/>
    <w:rsid w:val="0078510B"/>
    <w:rsid w:val="00785339"/>
    <w:rsid w:val="00785486"/>
    <w:rsid w:val="007854A8"/>
    <w:rsid w:val="00785574"/>
    <w:rsid w:val="00785DD2"/>
    <w:rsid w:val="00785F6E"/>
    <w:rsid w:val="00786398"/>
    <w:rsid w:val="00786573"/>
    <w:rsid w:val="007865A0"/>
    <w:rsid w:val="007866FE"/>
    <w:rsid w:val="00786969"/>
    <w:rsid w:val="00786BBE"/>
    <w:rsid w:val="00786C6C"/>
    <w:rsid w:val="00786CAB"/>
    <w:rsid w:val="00786EAD"/>
    <w:rsid w:val="00786F21"/>
    <w:rsid w:val="00787227"/>
    <w:rsid w:val="007872A9"/>
    <w:rsid w:val="00787517"/>
    <w:rsid w:val="0078753A"/>
    <w:rsid w:val="00787BE7"/>
    <w:rsid w:val="00787BF5"/>
    <w:rsid w:val="00787CD7"/>
    <w:rsid w:val="00790236"/>
    <w:rsid w:val="00790288"/>
    <w:rsid w:val="007903E0"/>
    <w:rsid w:val="007906F9"/>
    <w:rsid w:val="00790A06"/>
    <w:rsid w:val="00790A73"/>
    <w:rsid w:val="00790BC7"/>
    <w:rsid w:val="00790C4F"/>
    <w:rsid w:val="00790D73"/>
    <w:rsid w:val="0079106F"/>
    <w:rsid w:val="007911A0"/>
    <w:rsid w:val="0079121B"/>
    <w:rsid w:val="007915F8"/>
    <w:rsid w:val="007918D8"/>
    <w:rsid w:val="00791A2A"/>
    <w:rsid w:val="00791BAC"/>
    <w:rsid w:val="0079224E"/>
    <w:rsid w:val="00792542"/>
    <w:rsid w:val="007926F3"/>
    <w:rsid w:val="0079276E"/>
    <w:rsid w:val="0079276F"/>
    <w:rsid w:val="007928DD"/>
    <w:rsid w:val="007928E0"/>
    <w:rsid w:val="00792971"/>
    <w:rsid w:val="00792CE4"/>
    <w:rsid w:val="007930B7"/>
    <w:rsid w:val="007932CC"/>
    <w:rsid w:val="00793399"/>
    <w:rsid w:val="007933C0"/>
    <w:rsid w:val="00793861"/>
    <w:rsid w:val="00793CD8"/>
    <w:rsid w:val="00793DCB"/>
    <w:rsid w:val="007947A7"/>
    <w:rsid w:val="007948DD"/>
    <w:rsid w:val="00794BE8"/>
    <w:rsid w:val="0079515F"/>
    <w:rsid w:val="007952AA"/>
    <w:rsid w:val="007952E7"/>
    <w:rsid w:val="007956D2"/>
    <w:rsid w:val="007958A8"/>
    <w:rsid w:val="00795925"/>
    <w:rsid w:val="00795A06"/>
    <w:rsid w:val="00795D73"/>
    <w:rsid w:val="00795D91"/>
    <w:rsid w:val="0079626E"/>
    <w:rsid w:val="0079641F"/>
    <w:rsid w:val="0079666E"/>
    <w:rsid w:val="00796680"/>
    <w:rsid w:val="00796CDA"/>
    <w:rsid w:val="0079799E"/>
    <w:rsid w:val="0079799F"/>
    <w:rsid w:val="00797B9C"/>
    <w:rsid w:val="00797CC3"/>
    <w:rsid w:val="00797ED7"/>
    <w:rsid w:val="00797FDF"/>
    <w:rsid w:val="007A013A"/>
    <w:rsid w:val="007A022B"/>
    <w:rsid w:val="007A03BC"/>
    <w:rsid w:val="007A0566"/>
    <w:rsid w:val="007A0674"/>
    <w:rsid w:val="007A07D9"/>
    <w:rsid w:val="007A0872"/>
    <w:rsid w:val="007A0977"/>
    <w:rsid w:val="007A09AE"/>
    <w:rsid w:val="007A0AB1"/>
    <w:rsid w:val="007A0AD1"/>
    <w:rsid w:val="007A0BC7"/>
    <w:rsid w:val="007A1325"/>
    <w:rsid w:val="007A1EAB"/>
    <w:rsid w:val="007A2499"/>
    <w:rsid w:val="007A25D2"/>
    <w:rsid w:val="007A2BAB"/>
    <w:rsid w:val="007A2D24"/>
    <w:rsid w:val="007A324E"/>
    <w:rsid w:val="007A338B"/>
    <w:rsid w:val="007A34A7"/>
    <w:rsid w:val="007A367A"/>
    <w:rsid w:val="007A3A9F"/>
    <w:rsid w:val="007A3BBB"/>
    <w:rsid w:val="007A3C97"/>
    <w:rsid w:val="007A3CE6"/>
    <w:rsid w:val="007A3D59"/>
    <w:rsid w:val="007A3D67"/>
    <w:rsid w:val="007A4052"/>
    <w:rsid w:val="007A437E"/>
    <w:rsid w:val="007A468C"/>
    <w:rsid w:val="007A4EA1"/>
    <w:rsid w:val="007A501B"/>
    <w:rsid w:val="007A54EC"/>
    <w:rsid w:val="007A562C"/>
    <w:rsid w:val="007A57C7"/>
    <w:rsid w:val="007A57D9"/>
    <w:rsid w:val="007A58C3"/>
    <w:rsid w:val="007A5D29"/>
    <w:rsid w:val="007A69C0"/>
    <w:rsid w:val="007A6C47"/>
    <w:rsid w:val="007A705C"/>
    <w:rsid w:val="007A749A"/>
    <w:rsid w:val="007A7D7B"/>
    <w:rsid w:val="007A7DD3"/>
    <w:rsid w:val="007B0058"/>
    <w:rsid w:val="007B05B0"/>
    <w:rsid w:val="007B088A"/>
    <w:rsid w:val="007B08CE"/>
    <w:rsid w:val="007B0DFB"/>
    <w:rsid w:val="007B0E1B"/>
    <w:rsid w:val="007B0F38"/>
    <w:rsid w:val="007B113D"/>
    <w:rsid w:val="007B1142"/>
    <w:rsid w:val="007B11C4"/>
    <w:rsid w:val="007B13AA"/>
    <w:rsid w:val="007B1478"/>
    <w:rsid w:val="007B160C"/>
    <w:rsid w:val="007B1802"/>
    <w:rsid w:val="007B185B"/>
    <w:rsid w:val="007B1989"/>
    <w:rsid w:val="007B199B"/>
    <w:rsid w:val="007B202F"/>
    <w:rsid w:val="007B2785"/>
    <w:rsid w:val="007B288A"/>
    <w:rsid w:val="007B2911"/>
    <w:rsid w:val="007B2A33"/>
    <w:rsid w:val="007B2AAF"/>
    <w:rsid w:val="007B2BB7"/>
    <w:rsid w:val="007B2C42"/>
    <w:rsid w:val="007B308E"/>
    <w:rsid w:val="007B30EE"/>
    <w:rsid w:val="007B34D9"/>
    <w:rsid w:val="007B35AD"/>
    <w:rsid w:val="007B3C02"/>
    <w:rsid w:val="007B3F80"/>
    <w:rsid w:val="007B3FA3"/>
    <w:rsid w:val="007B424D"/>
    <w:rsid w:val="007B42E4"/>
    <w:rsid w:val="007B43C0"/>
    <w:rsid w:val="007B43D4"/>
    <w:rsid w:val="007B4408"/>
    <w:rsid w:val="007B4492"/>
    <w:rsid w:val="007B49F5"/>
    <w:rsid w:val="007B4F5D"/>
    <w:rsid w:val="007B511F"/>
    <w:rsid w:val="007B5312"/>
    <w:rsid w:val="007B5579"/>
    <w:rsid w:val="007B55DD"/>
    <w:rsid w:val="007B572C"/>
    <w:rsid w:val="007B5774"/>
    <w:rsid w:val="007B57DC"/>
    <w:rsid w:val="007B59F9"/>
    <w:rsid w:val="007B5A14"/>
    <w:rsid w:val="007B5B33"/>
    <w:rsid w:val="007B6111"/>
    <w:rsid w:val="007B612F"/>
    <w:rsid w:val="007B62B2"/>
    <w:rsid w:val="007B62E6"/>
    <w:rsid w:val="007B677B"/>
    <w:rsid w:val="007B6966"/>
    <w:rsid w:val="007B6A53"/>
    <w:rsid w:val="007B6C83"/>
    <w:rsid w:val="007B6D73"/>
    <w:rsid w:val="007B74CD"/>
    <w:rsid w:val="007B778E"/>
    <w:rsid w:val="007B79E2"/>
    <w:rsid w:val="007B7AF8"/>
    <w:rsid w:val="007B7B25"/>
    <w:rsid w:val="007B7DC4"/>
    <w:rsid w:val="007C04E4"/>
    <w:rsid w:val="007C0785"/>
    <w:rsid w:val="007C0919"/>
    <w:rsid w:val="007C0EEA"/>
    <w:rsid w:val="007C0F1B"/>
    <w:rsid w:val="007C121C"/>
    <w:rsid w:val="007C129E"/>
    <w:rsid w:val="007C1446"/>
    <w:rsid w:val="007C15EB"/>
    <w:rsid w:val="007C18FF"/>
    <w:rsid w:val="007C1A6A"/>
    <w:rsid w:val="007C2040"/>
    <w:rsid w:val="007C211C"/>
    <w:rsid w:val="007C22B2"/>
    <w:rsid w:val="007C283B"/>
    <w:rsid w:val="007C28A4"/>
    <w:rsid w:val="007C2AA7"/>
    <w:rsid w:val="007C2CA6"/>
    <w:rsid w:val="007C2E0A"/>
    <w:rsid w:val="007C3190"/>
    <w:rsid w:val="007C323D"/>
    <w:rsid w:val="007C330A"/>
    <w:rsid w:val="007C352B"/>
    <w:rsid w:val="007C354F"/>
    <w:rsid w:val="007C3735"/>
    <w:rsid w:val="007C393D"/>
    <w:rsid w:val="007C39F8"/>
    <w:rsid w:val="007C3BE3"/>
    <w:rsid w:val="007C3D31"/>
    <w:rsid w:val="007C406F"/>
    <w:rsid w:val="007C4078"/>
    <w:rsid w:val="007C4106"/>
    <w:rsid w:val="007C4517"/>
    <w:rsid w:val="007C4527"/>
    <w:rsid w:val="007C4713"/>
    <w:rsid w:val="007C49E0"/>
    <w:rsid w:val="007C4C5E"/>
    <w:rsid w:val="007C4D91"/>
    <w:rsid w:val="007C4E3A"/>
    <w:rsid w:val="007C4E89"/>
    <w:rsid w:val="007C545E"/>
    <w:rsid w:val="007C55C5"/>
    <w:rsid w:val="007C578D"/>
    <w:rsid w:val="007C5928"/>
    <w:rsid w:val="007C5AF1"/>
    <w:rsid w:val="007C5E43"/>
    <w:rsid w:val="007C61B0"/>
    <w:rsid w:val="007C6285"/>
    <w:rsid w:val="007C6625"/>
    <w:rsid w:val="007C684C"/>
    <w:rsid w:val="007C6E38"/>
    <w:rsid w:val="007C6FE0"/>
    <w:rsid w:val="007C7018"/>
    <w:rsid w:val="007C7B00"/>
    <w:rsid w:val="007C7B6C"/>
    <w:rsid w:val="007C7C3F"/>
    <w:rsid w:val="007D00BB"/>
    <w:rsid w:val="007D0392"/>
    <w:rsid w:val="007D04C3"/>
    <w:rsid w:val="007D057D"/>
    <w:rsid w:val="007D08AA"/>
    <w:rsid w:val="007D0D19"/>
    <w:rsid w:val="007D0D9E"/>
    <w:rsid w:val="007D0DB1"/>
    <w:rsid w:val="007D1138"/>
    <w:rsid w:val="007D12BB"/>
    <w:rsid w:val="007D15E6"/>
    <w:rsid w:val="007D1630"/>
    <w:rsid w:val="007D184C"/>
    <w:rsid w:val="007D197F"/>
    <w:rsid w:val="007D1BFD"/>
    <w:rsid w:val="007D1F2A"/>
    <w:rsid w:val="007D1F48"/>
    <w:rsid w:val="007D2224"/>
    <w:rsid w:val="007D22AD"/>
    <w:rsid w:val="007D2387"/>
    <w:rsid w:val="007D240C"/>
    <w:rsid w:val="007D24AC"/>
    <w:rsid w:val="007D2A0B"/>
    <w:rsid w:val="007D2B4F"/>
    <w:rsid w:val="007D2FEB"/>
    <w:rsid w:val="007D3210"/>
    <w:rsid w:val="007D32E1"/>
    <w:rsid w:val="007D3325"/>
    <w:rsid w:val="007D34E2"/>
    <w:rsid w:val="007D35D8"/>
    <w:rsid w:val="007D3663"/>
    <w:rsid w:val="007D3D5B"/>
    <w:rsid w:val="007D3DD9"/>
    <w:rsid w:val="007D3ECE"/>
    <w:rsid w:val="007D403E"/>
    <w:rsid w:val="007D4781"/>
    <w:rsid w:val="007D489B"/>
    <w:rsid w:val="007D4A51"/>
    <w:rsid w:val="007D4C00"/>
    <w:rsid w:val="007D4C27"/>
    <w:rsid w:val="007D4CC4"/>
    <w:rsid w:val="007D4F2D"/>
    <w:rsid w:val="007D4F76"/>
    <w:rsid w:val="007D5332"/>
    <w:rsid w:val="007D5685"/>
    <w:rsid w:val="007D5756"/>
    <w:rsid w:val="007D58B8"/>
    <w:rsid w:val="007D58E5"/>
    <w:rsid w:val="007D5AA6"/>
    <w:rsid w:val="007D5B16"/>
    <w:rsid w:val="007D5BD6"/>
    <w:rsid w:val="007D6289"/>
    <w:rsid w:val="007D62D4"/>
    <w:rsid w:val="007D62EA"/>
    <w:rsid w:val="007D6465"/>
    <w:rsid w:val="007D6599"/>
    <w:rsid w:val="007D65B3"/>
    <w:rsid w:val="007D675A"/>
    <w:rsid w:val="007D6A26"/>
    <w:rsid w:val="007D6B27"/>
    <w:rsid w:val="007D6B5A"/>
    <w:rsid w:val="007D6B74"/>
    <w:rsid w:val="007D6DA7"/>
    <w:rsid w:val="007D70BB"/>
    <w:rsid w:val="007D74CC"/>
    <w:rsid w:val="007D78AC"/>
    <w:rsid w:val="007D7933"/>
    <w:rsid w:val="007D7CE2"/>
    <w:rsid w:val="007D7EF5"/>
    <w:rsid w:val="007E036D"/>
    <w:rsid w:val="007E047B"/>
    <w:rsid w:val="007E0774"/>
    <w:rsid w:val="007E0854"/>
    <w:rsid w:val="007E0933"/>
    <w:rsid w:val="007E0A45"/>
    <w:rsid w:val="007E0C34"/>
    <w:rsid w:val="007E0D4D"/>
    <w:rsid w:val="007E1543"/>
    <w:rsid w:val="007E1784"/>
    <w:rsid w:val="007E18D7"/>
    <w:rsid w:val="007E1953"/>
    <w:rsid w:val="007E19FA"/>
    <w:rsid w:val="007E1B5D"/>
    <w:rsid w:val="007E1C57"/>
    <w:rsid w:val="007E1CA5"/>
    <w:rsid w:val="007E1E29"/>
    <w:rsid w:val="007E1EC5"/>
    <w:rsid w:val="007E2190"/>
    <w:rsid w:val="007E2292"/>
    <w:rsid w:val="007E2317"/>
    <w:rsid w:val="007E242C"/>
    <w:rsid w:val="007E24C9"/>
    <w:rsid w:val="007E2767"/>
    <w:rsid w:val="007E28E4"/>
    <w:rsid w:val="007E29A9"/>
    <w:rsid w:val="007E29D4"/>
    <w:rsid w:val="007E2B0A"/>
    <w:rsid w:val="007E31B3"/>
    <w:rsid w:val="007E3344"/>
    <w:rsid w:val="007E33EF"/>
    <w:rsid w:val="007E34E3"/>
    <w:rsid w:val="007E3AE9"/>
    <w:rsid w:val="007E3AFD"/>
    <w:rsid w:val="007E3B08"/>
    <w:rsid w:val="007E3B11"/>
    <w:rsid w:val="007E3B4E"/>
    <w:rsid w:val="007E3E0A"/>
    <w:rsid w:val="007E3F0E"/>
    <w:rsid w:val="007E4000"/>
    <w:rsid w:val="007E411A"/>
    <w:rsid w:val="007E42C8"/>
    <w:rsid w:val="007E4610"/>
    <w:rsid w:val="007E46F9"/>
    <w:rsid w:val="007E4B88"/>
    <w:rsid w:val="007E4D1A"/>
    <w:rsid w:val="007E4DD5"/>
    <w:rsid w:val="007E502C"/>
    <w:rsid w:val="007E51AE"/>
    <w:rsid w:val="007E522C"/>
    <w:rsid w:val="007E5238"/>
    <w:rsid w:val="007E5272"/>
    <w:rsid w:val="007E554E"/>
    <w:rsid w:val="007E5636"/>
    <w:rsid w:val="007E5828"/>
    <w:rsid w:val="007E5A95"/>
    <w:rsid w:val="007E6119"/>
    <w:rsid w:val="007E616D"/>
    <w:rsid w:val="007E6173"/>
    <w:rsid w:val="007E64A9"/>
    <w:rsid w:val="007E67FE"/>
    <w:rsid w:val="007E6AE0"/>
    <w:rsid w:val="007E6E5A"/>
    <w:rsid w:val="007E6E7C"/>
    <w:rsid w:val="007E6E8E"/>
    <w:rsid w:val="007E6F15"/>
    <w:rsid w:val="007E6FC1"/>
    <w:rsid w:val="007E71E7"/>
    <w:rsid w:val="007E72DD"/>
    <w:rsid w:val="007E7386"/>
    <w:rsid w:val="007E74BB"/>
    <w:rsid w:val="007E7CD4"/>
    <w:rsid w:val="007E7CD9"/>
    <w:rsid w:val="007E7DEE"/>
    <w:rsid w:val="007E7E0D"/>
    <w:rsid w:val="007E7FFE"/>
    <w:rsid w:val="007F0536"/>
    <w:rsid w:val="007F0564"/>
    <w:rsid w:val="007F07F8"/>
    <w:rsid w:val="007F0B05"/>
    <w:rsid w:val="007F0E49"/>
    <w:rsid w:val="007F0F02"/>
    <w:rsid w:val="007F0F1B"/>
    <w:rsid w:val="007F13A1"/>
    <w:rsid w:val="007F149B"/>
    <w:rsid w:val="007F15DA"/>
    <w:rsid w:val="007F1961"/>
    <w:rsid w:val="007F19CE"/>
    <w:rsid w:val="007F19D0"/>
    <w:rsid w:val="007F19F9"/>
    <w:rsid w:val="007F1A18"/>
    <w:rsid w:val="007F1A9A"/>
    <w:rsid w:val="007F1BFC"/>
    <w:rsid w:val="007F1E39"/>
    <w:rsid w:val="007F1F84"/>
    <w:rsid w:val="007F2799"/>
    <w:rsid w:val="007F2841"/>
    <w:rsid w:val="007F2888"/>
    <w:rsid w:val="007F29B1"/>
    <w:rsid w:val="007F2C6C"/>
    <w:rsid w:val="007F2CA7"/>
    <w:rsid w:val="007F2CAA"/>
    <w:rsid w:val="007F2FA6"/>
    <w:rsid w:val="007F33C7"/>
    <w:rsid w:val="007F385F"/>
    <w:rsid w:val="007F3A8C"/>
    <w:rsid w:val="007F3B12"/>
    <w:rsid w:val="007F3D05"/>
    <w:rsid w:val="007F4037"/>
    <w:rsid w:val="007F416C"/>
    <w:rsid w:val="007F4194"/>
    <w:rsid w:val="007F42AB"/>
    <w:rsid w:val="007F4300"/>
    <w:rsid w:val="007F4719"/>
    <w:rsid w:val="007F4994"/>
    <w:rsid w:val="007F4B53"/>
    <w:rsid w:val="007F4BA6"/>
    <w:rsid w:val="007F4BE0"/>
    <w:rsid w:val="007F536D"/>
    <w:rsid w:val="007F541B"/>
    <w:rsid w:val="007F561F"/>
    <w:rsid w:val="007F5648"/>
    <w:rsid w:val="007F588B"/>
    <w:rsid w:val="007F593F"/>
    <w:rsid w:val="007F5EC6"/>
    <w:rsid w:val="007F614E"/>
    <w:rsid w:val="007F6528"/>
    <w:rsid w:val="007F6693"/>
    <w:rsid w:val="007F699F"/>
    <w:rsid w:val="007F6B6B"/>
    <w:rsid w:val="007F6CA3"/>
    <w:rsid w:val="007F7017"/>
    <w:rsid w:val="007F71B9"/>
    <w:rsid w:val="007F7692"/>
    <w:rsid w:val="007F77EF"/>
    <w:rsid w:val="007F7BA0"/>
    <w:rsid w:val="007F7C6E"/>
    <w:rsid w:val="007F7E04"/>
    <w:rsid w:val="0080007C"/>
    <w:rsid w:val="008003BB"/>
    <w:rsid w:val="008005AC"/>
    <w:rsid w:val="008007CD"/>
    <w:rsid w:val="00800BA7"/>
    <w:rsid w:val="00800CDA"/>
    <w:rsid w:val="0080116D"/>
    <w:rsid w:val="00801275"/>
    <w:rsid w:val="00801508"/>
    <w:rsid w:val="0080154B"/>
    <w:rsid w:val="008019F7"/>
    <w:rsid w:val="00801A3F"/>
    <w:rsid w:val="00801DB6"/>
    <w:rsid w:val="00802163"/>
    <w:rsid w:val="0080252C"/>
    <w:rsid w:val="00802892"/>
    <w:rsid w:val="008028E6"/>
    <w:rsid w:val="00802979"/>
    <w:rsid w:val="00802B5E"/>
    <w:rsid w:val="00802D5F"/>
    <w:rsid w:val="00802D84"/>
    <w:rsid w:val="008032FF"/>
    <w:rsid w:val="00803312"/>
    <w:rsid w:val="008035EE"/>
    <w:rsid w:val="0080364F"/>
    <w:rsid w:val="0080368F"/>
    <w:rsid w:val="00803AC1"/>
    <w:rsid w:val="00803C64"/>
    <w:rsid w:val="00803E85"/>
    <w:rsid w:val="0080417C"/>
    <w:rsid w:val="008041FB"/>
    <w:rsid w:val="0080420A"/>
    <w:rsid w:val="0080422D"/>
    <w:rsid w:val="00804452"/>
    <w:rsid w:val="00804455"/>
    <w:rsid w:val="00804724"/>
    <w:rsid w:val="00804AF4"/>
    <w:rsid w:val="00804C7D"/>
    <w:rsid w:val="00804F4A"/>
    <w:rsid w:val="008051A0"/>
    <w:rsid w:val="008052B1"/>
    <w:rsid w:val="008053F7"/>
    <w:rsid w:val="00805A0F"/>
    <w:rsid w:val="00805A6E"/>
    <w:rsid w:val="00805C50"/>
    <w:rsid w:val="00805CDA"/>
    <w:rsid w:val="00805E98"/>
    <w:rsid w:val="00805F58"/>
    <w:rsid w:val="00806539"/>
    <w:rsid w:val="008065DB"/>
    <w:rsid w:val="008066D9"/>
    <w:rsid w:val="00806A3A"/>
    <w:rsid w:val="00806AD8"/>
    <w:rsid w:val="00806EBE"/>
    <w:rsid w:val="00807078"/>
    <w:rsid w:val="008074C7"/>
    <w:rsid w:val="00807674"/>
    <w:rsid w:val="00807A08"/>
    <w:rsid w:val="008104FD"/>
    <w:rsid w:val="00810570"/>
    <w:rsid w:val="008105AA"/>
    <w:rsid w:val="00810978"/>
    <w:rsid w:val="00810AF7"/>
    <w:rsid w:val="00810DA1"/>
    <w:rsid w:val="00810FF7"/>
    <w:rsid w:val="008114F8"/>
    <w:rsid w:val="008118DD"/>
    <w:rsid w:val="00811D26"/>
    <w:rsid w:val="00811E8B"/>
    <w:rsid w:val="008120CE"/>
    <w:rsid w:val="00812164"/>
    <w:rsid w:val="00812372"/>
    <w:rsid w:val="008126EC"/>
    <w:rsid w:val="0081277C"/>
    <w:rsid w:val="00812908"/>
    <w:rsid w:val="00812F8A"/>
    <w:rsid w:val="0081305F"/>
    <w:rsid w:val="008130B0"/>
    <w:rsid w:val="0081321D"/>
    <w:rsid w:val="00813FBA"/>
    <w:rsid w:val="0081416D"/>
    <w:rsid w:val="008143D4"/>
    <w:rsid w:val="00814460"/>
    <w:rsid w:val="00814844"/>
    <w:rsid w:val="0081489C"/>
    <w:rsid w:val="00814960"/>
    <w:rsid w:val="00814D20"/>
    <w:rsid w:val="00814DAE"/>
    <w:rsid w:val="00814E7C"/>
    <w:rsid w:val="00815471"/>
    <w:rsid w:val="0081552D"/>
    <w:rsid w:val="008156F3"/>
    <w:rsid w:val="0081575E"/>
    <w:rsid w:val="008157B8"/>
    <w:rsid w:val="00815ED9"/>
    <w:rsid w:val="00816017"/>
    <w:rsid w:val="0081612C"/>
    <w:rsid w:val="008164A0"/>
    <w:rsid w:val="00816B52"/>
    <w:rsid w:val="00816B6B"/>
    <w:rsid w:val="00817502"/>
    <w:rsid w:val="008176AC"/>
    <w:rsid w:val="00817A8B"/>
    <w:rsid w:val="00817CFE"/>
    <w:rsid w:val="00817DF0"/>
    <w:rsid w:val="00820250"/>
    <w:rsid w:val="00820356"/>
    <w:rsid w:val="008209D2"/>
    <w:rsid w:val="00820B2F"/>
    <w:rsid w:val="00820CD3"/>
    <w:rsid w:val="00820DCD"/>
    <w:rsid w:val="00820E90"/>
    <w:rsid w:val="00820EA3"/>
    <w:rsid w:val="00821146"/>
    <w:rsid w:val="0082123D"/>
    <w:rsid w:val="00821388"/>
    <w:rsid w:val="00821B6C"/>
    <w:rsid w:val="00821EAE"/>
    <w:rsid w:val="00822038"/>
    <w:rsid w:val="00822254"/>
    <w:rsid w:val="008226DA"/>
    <w:rsid w:val="0082276C"/>
    <w:rsid w:val="00822838"/>
    <w:rsid w:val="00822886"/>
    <w:rsid w:val="00822924"/>
    <w:rsid w:val="00822A34"/>
    <w:rsid w:val="00822DCE"/>
    <w:rsid w:val="00822F0D"/>
    <w:rsid w:val="00822FCE"/>
    <w:rsid w:val="0082309A"/>
    <w:rsid w:val="008234F6"/>
    <w:rsid w:val="00823542"/>
    <w:rsid w:val="008237B2"/>
    <w:rsid w:val="00823A62"/>
    <w:rsid w:val="00823D5F"/>
    <w:rsid w:val="00823F03"/>
    <w:rsid w:val="00824086"/>
    <w:rsid w:val="008240A5"/>
    <w:rsid w:val="00824310"/>
    <w:rsid w:val="0082432C"/>
    <w:rsid w:val="008244E8"/>
    <w:rsid w:val="00824591"/>
    <w:rsid w:val="00824855"/>
    <w:rsid w:val="00824985"/>
    <w:rsid w:val="00824B5B"/>
    <w:rsid w:val="00824E84"/>
    <w:rsid w:val="008250CA"/>
    <w:rsid w:val="008252B2"/>
    <w:rsid w:val="008253C0"/>
    <w:rsid w:val="0082588E"/>
    <w:rsid w:val="008258F1"/>
    <w:rsid w:val="00825914"/>
    <w:rsid w:val="0082597D"/>
    <w:rsid w:val="00826095"/>
    <w:rsid w:val="0082613C"/>
    <w:rsid w:val="008264BD"/>
    <w:rsid w:val="008267A1"/>
    <w:rsid w:val="00826B14"/>
    <w:rsid w:val="00826CA0"/>
    <w:rsid w:val="00826E7E"/>
    <w:rsid w:val="00826F76"/>
    <w:rsid w:val="00827153"/>
    <w:rsid w:val="008271FB"/>
    <w:rsid w:val="00827386"/>
    <w:rsid w:val="0082753B"/>
    <w:rsid w:val="008278F2"/>
    <w:rsid w:val="0082794F"/>
    <w:rsid w:val="008279D9"/>
    <w:rsid w:val="00827AC5"/>
    <w:rsid w:val="00827F4B"/>
    <w:rsid w:val="00830197"/>
    <w:rsid w:val="008301D4"/>
    <w:rsid w:val="008304F4"/>
    <w:rsid w:val="008306CD"/>
    <w:rsid w:val="00830C57"/>
    <w:rsid w:val="00831176"/>
    <w:rsid w:val="0083128B"/>
    <w:rsid w:val="00831335"/>
    <w:rsid w:val="00831349"/>
    <w:rsid w:val="008318A2"/>
    <w:rsid w:val="00831A14"/>
    <w:rsid w:val="00831EAB"/>
    <w:rsid w:val="008321A5"/>
    <w:rsid w:val="008323B4"/>
    <w:rsid w:val="008323C1"/>
    <w:rsid w:val="008324C9"/>
    <w:rsid w:val="00832789"/>
    <w:rsid w:val="00832FD5"/>
    <w:rsid w:val="00833546"/>
    <w:rsid w:val="00833575"/>
    <w:rsid w:val="0083360E"/>
    <w:rsid w:val="008336AF"/>
    <w:rsid w:val="008337B9"/>
    <w:rsid w:val="008337D5"/>
    <w:rsid w:val="00833800"/>
    <w:rsid w:val="008338C3"/>
    <w:rsid w:val="00833A7C"/>
    <w:rsid w:val="00833E6F"/>
    <w:rsid w:val="00833F4D"/>
    <w:rsid w:val="0083472A"/>
    <w:rsid w:val="00834C0F"/>
    <w:rsid w:val="00834E03"/>
    <w:rsid w:val="00835081"/>
    <w:rsid w:val="008351F3"/>
    <w:rsid w:val="0083522A"/>
    <w:rsid w:val="008352B9"/>
    <w:rsid w:val="00835CC7"/>
    <w:rsid w:val="00836410"/>
    <w:rsid w:val="00836415"/>
    <w:rsid w:val="00836693"/>
    <w:rsid w:val="008366BB"/>
    <w:rsid w:val="0083695C"/>
    <w:rsid w:val="00836EE7"/>
    <w:rsid w:val="00836F39"/>
    <w:rsid w:val="0083769A"/>
    <w:rsid w:val="0083772C"/>
    <w:rsid w:val="008378D3"/>
    <w:rsid w:val="008379F9"/>
    <w:rsid w:val="00837A63"/>
    <w:rsid w:val="00837B2F"/>
    <w:rsid w:val="00837B69"/>
    <w:rsid w:val="00837E15"/>
    <w:rsid w:val="00837FBD"/>
    <w:rsid w:val="00837FC7"/>
    <w:rsid w:val="00840211"/>
    <w:rsid w:val="008403DE"/>
    <w:rsid w:val="0084099E"/>
    <w:rsid w:val="0084143D"/>
    <w:rsid w:val="00841C1F"/>
    <w:rsid w:val="00841C34"/>
    <w:rsid w:val="00841CAC"/>
    <w:rsid w:val="00841DC1"/>
    <w:rsid w:val="00842016"/>
    <w:rsid w:val="008420D2"/>
    <w:rsid w:val="008426BB"/>
    <w:rsid w:val="008427D4"/>
    <w:rsid w:val="008428E6"/>
    <w:rsid w:val="00842B94"/>
    <w:rsid w:val="00842BB6"/>
    <w:rsid w:val="00842CD7"/>
    <w:rsid w:val="00842F5B"/>
    <w:rsid w:val="00842FD6"/>
    <w:rsid w:val="00843037"/>
    <w:rsid w:val="008430EB"/>
    <w:rsid w:val="008436AF"/>
    <w:rsid w:val="00843BBB"/>
    <w:rsid w:val="00843D2D"/>
    <w:rsid w:val="00843E18"/>
    <w:rsid w:val="008441D2"/>
    <w:rsid w:val="008442C3"/>
    <w:rsid w:val="00844311"/>
    <w:rsid w:val="0084457F"/>
    <w:rsid w:val="00844D11"/>
    <w:rsid w:val="008451DD"/>
    <w:rsid w:val="0084521C"/>
    <w:rsid w:val="00845738"/>
    <w:rsid w:val="00845A1E"/>
    <w:rsid w:val="00845DB8"/>
    <w:rsid w:val="00845E4F"/>
    <w:rsid w:val="00845F53"/>
    <w:rsid w:val="008466D4"/>
    <w:rsid w:val="00847157"/>
    <w:rsid w:val="008473A1"/>
    <w:rsid w:val="00847559"/>
    <w:rsid w:val="00847657"/>
    <w:rsid w:val="00847819"/>
    <w:rsid w:val="00847BEE"/>
    <w:rsid w:val="00847D1B"/>
    <w:rsid w:val="00847DBA"/>
    <w:rsid w:val="008500CC"/>
    <w:rsid w:val="0085018E"/>
    <w:rsid w:val="008503D7"/>
    <w:rsid w:val="008505A9"/>
    <w:rsid w:val="008507F4"/>
    <w:rsid w:val="008508AA"/>
    <w:rsid w:val="008508C8"/>
    <w:rsid w:val="008508FC"/>
    <w:rsid w:val="00850ACB"/>
    <w:rsid w:val="00850B1E"/>
    <w:rsid w:val="00850F9A"/>
    <w:rsid w:val="008510FE"/>
    <w:rsid w:val="008513EF"/>
    <w:rsid w:val="00851504"/>
    <w:rsid w:val="00851546"/>
    <w:rsid w:val="00851652"/>
    <w:rsid w:val="0085183F"/>
    <w:rsid w:val="00851C4A"/>
    <w:rsid w:val="00851CE6"/>
    <w:rsid w:val="0085207B"/>
    <w:rsid w:val="008521E3"/>
    <w:rsid w:val="008522CC"/>
    <w:rsid w:val="00852655"/>
    <w:rsid w:val="00852716"/>
    <w:rsid w:val="00852B68"/>
    <w:rsid w:val="00852F47"/>
    <w:rsid w:val="0085304C"/>
    <w:rsid w:val="00853184"/>
    <w:rsid w:val="008533B3"/>
    <w:rsid w:val="00853403"/>
    <w:rsid w:val="008537E9"/>
    <w:rsid w:val="00853924"/>
    <w:rsid w:val="00853A2C"/>
    <w:rsid w:val="00853C3C"/>
    <w:rsid w:val="00853CA5"/>
    <w:rsid w:val="00853D72"/>
    <w:rsid w:val="00853E20"/>
    <w:rsid w:val="00853FD1"/>
    <w:rsid w:val="008540AB"/>
    <w:rsid w:val="008541AE"/>
    <w:rsid w:val="0085431D"/>
    <w:rsid w:val="0085448C"/>
    <w:rsid w:val="00854C2E"/>
    <w:rsid w:val="00854F34"/>
    <w:rsid w:val="00855008"/>
    <w:rsid w:val="008550C6"/>
    <w:rsid w:val="0085519A"/>
    <w:rsid w:val="00855477"/>
    <w:rsid w:val="0085547C"/>
    <w:rsid w:val="00855610"/>
    <w:rsid w:val="00855874"/>
    <w:rsid w:val="008558DF"/>
    <w:rsid w:val="00855A17"/>
    <w:rsid w:val="00855C1D"/>
    <w:rsid w:val="00855C64"/>
    <w:rsid w:val="00855D3A"/>
    <w:rsid w:val="00855E71"/>
    <w:rsid w:val="00855EB6"/>
    <w:rsid w:val="00855FAA"/>
    <w:rsid w:val="00856012"/>
    <w:rsid w:val="008563A6"/>
    <w:rsid w:val="008565EB"/>
    <w:rsid w:val="0085662F"/>
    <w:rsid w:val="0085679D"/>
    <w:rsid w:val="008567DD"/>
    <w:rsid w:val="00856A6C"/>
    <w:rsid w:val="00856B2F"/>
    <w:rsid w:val="00856E85"/>
    <w:rsid w:val="00856EC8"/>
    <w:rsid w:val="00856EF4"/>
    <w:rsid w:val="00857106"/>
    <w:rsid w:val="00857368"/>
    <w:rsid w:val="008574C1"/>
    <w:rsid w:val="0085773B"/>
    <w:rsid w:val="00857778"/>
    <w:rsid w:val="00857824"/>
    <w:rsid w:val="00857865"/>
    <w:rsid w:val="008578ED"/>
    <w:rsid w:val="00857BED"/>
    <w:rsid w:val="00857DAD"/>
    <w:rsid w:val="00857E0A"/>
    <w:rsid w:val="008605F3"/>
    <w:rsid w:val="00860760"/>
    <w:rsid w:val="0086079C"/>
    <w:rsid w:val="0086082B"/>
    <w:rsid w:val="00860BCF"/>
    <w:rsid w:val="00860F26"/>
    <w:rsid w:val="00861120"/>
    <w:rsid w:val="00861212"/>
    <w:rsid w:val="008613BC"/>
    <w:rsid w:val="00861A33"/>
    <w:rsid w:val="00861ADD"/>
    <w:rsid w:val="00861B03"/>
    <w:rsid w:val="00861BBA"/>
    <w:rsid w:val="00861BD6"/>
    <w:rsid w:val="00861BE6"/>
    <w:rsid w:val="00861D3A"/>
    <w:rsid w:val="00861F0B"/>
    <w:rsid w:val="00861F0F"/>
    <w:rsid w:val="008624C8"/>
    <w:rsid w:val="00862534"/>
    <w:rsid w:val="008626D6"/>
    <w:rsid w:val="00862D15"/>
    <w:rsid w:val="00862DEB"/>
    <w:rsid w:val="00862DFE"/>
    <w:rsid w:val="00862E2D"/>
    <w:rsid w:val="00863221"/>
    <w:rsid w:val="0086322E"/>
    <w:rsid w:val="00863258"/>
    <w:rsid w:val="008633DC"/>
    <w:rsid w:val="008634F6"/>
    <w:rsid w:val="0086372B"/>
    <w:rsid w:val="0086385E"/>
    <w:rsid w:val="00863C0E"/>
    <w:rsid w:val="00863E7F"/>
    <w:rsid w:val="008641AA"/>
    <w:rsid w:val="00864387"/>
    <w:rsid w:val="008647B6"/>
    <w:rsid w:val="00864950"/>
    <w:rsid w:val="0086497E"/>
    <w:rsid w:val="00864B4C"/>
    <w:rsid w:val="00864F2F"/>
    <w:rsid w:val="008651DA"/>
    <w:rsid w:val="00865203"/>
    <w:rsid w:val="00865326"/>
    <w:rsid w:val="00865551"/>
    <w:rsid w:val="008655FD"/>
    <w:rsid w:val="00865667"/>
    <w:rsid w:val="008657CE"/>
    <w:rsid w:val="00865847"/>
    <w:rsid w:val="008658B2"/>
    <w:rsid w:val="00865B88"/>
    <w:rsid w:val="00865C81"/>
    <w:rsid w:val="00865D29"/>
    <w:rsid w:val="00865DDD"/>
    <w:rsid w:val="00865F24"/>
    <w:rsid w:val="008660D4"/>
    <w:rsid w:val="0086612F"/>
    <w:rsid w:val="008666C1"/>
    <w:rsid w:val="0086697A"/>
    <w:rsid w:val="00866A5A"/>
    <w:rsid w:val="00866C55"/>
    <w:rsid w:val="00867548"/>
    <w:rsid w:val="008676CE"/>
    <w:rsid w:val="00867E9F"/>
    <w:rsid w:val="00867FDC"/>
    <w:rsid w:val="0087012F"/>
    <w:rsid w:val="0087019B"/>
    <w:rsid w:val="00870553"/>
    <w:rsid w:val="008708DF"/>
    <w:rsid w:val="00870A13"/>
    <w:rsid w:val="00870AA3"/>
    <w:rsid w:val="00870BCE"/>
    <w:rsid w:val="00870E69"/>
    <w:rsid w:val="008712FE"/>
    <w:rsid w:val="008713CB"/>
    <w:rsid w:val="00871414"/>
    <w:rsid w:val="00871591"/>
    <w:rsid w:val="0087173E"/>
    <w:rsid w:val="008717A2"/>
    <w:rsid w:val="008718FD"/>
    <w:rsid w:val="008719FB"/>
    <w:rsid w:val="00871C67"/>
    <w:rsid w:val="00871E77"/>
    <w:rsid w:val="00871F70"/>
    <w:rsid w:val="00871F71"/>
    <w:rsid w:val="00871F73"/>
    <w:rsid w:val="00871FB3"/>
    <w:rsid w:val="0087201A"/>
    <w:rsid w:val="008721A6"/>
    <w:rsid w:val="008724EA"/>
    <w:rsid w:val="0087258E"/>
    <w:rsid w:val="0087265D"/>
    <w:rsid w:val="008728CE"/>
    <w:rsid w:val="00872A55"/>
    <w:rsid w:val="00872B30"/>
    <w:rsid w:val="00872DB8"/>
    <w:rsid w:val="00872DED"/>
    <w:rsid w:val="00872F4F"/>
    <w:rsid w:val="008733C9"/>
    <w:rsid w:val="0087368A"/>
    <w:rsid w:val="00873A21"/>
    <w:rsid w:val="00873DE9"/>
    <w:rsid w:val="00873E1D"/>
    <w:rsid w:val="00873EB5"/>
    <w:rsid w:val="00873EF8"/>
    <w:rsid w:val="0087441C"/>
    <w:rsid w:val="00874564"/>
    <w:rsid w:val="008745CA"/>
    <w:rsid w:val="00874A63"/>
    <w:rsid w:val="00874BA7"/>
    <w:rsid w:val="00874DF9"/>
    <w:rsid w:val="00874EE1"/>
    <w:rsid w:val="00875306"/>
    <w:rsid w:val="00875834"/>
    <w:rsid w:val="008758A5"/>
    <w:rsid w:val="0087597B"/>
    <w:rsid w:val="00875CF2"/>
    <w:rsid w:val="0087616C"/>
    <w:rsid w:val="008761BB"/>
    <w:rsid w:val="00876270"/>
    <w:rsid w:val="008766BB"/>
    <w:rsid w:val="0087692D"/>
    <w:rsid w:val="00876EC0"/>
    <w:rsid w:val="00876FE2"/>
    <w:rsid w:val="0087705E"/>
    <w:rsid w:val="00877431"/>
    <w:rsid w:val="008774DB"/>
    <w:rsid w:val="008775D7"/>
    <w:rsid w:val="00877C14"/>
    <w:rsid w:val="00877C89"/>
    <w:rsid w:val="008802D5"/>
    <w:rsid w:val="0088036B"/>
    <w:rsid w:val="008804E5"/>
    <w:rsid w:val="0088051A"/>
    <w:rsid w:val="0088080D"/>
    <w:rsid w:val="008809AF"/>
    <w:rsid w:val="008809DB"/>
    <w:rsid w:val="00880C93"/>
    <w:rsid w:val="00880D93"/>
    <w:rsid w:val="00880FE0"/>
    <w:rsid w:val="00881052"/>
    <w:rsid w:val="00881116"/>
    <w:rsid w:val="008811B9"/>
    <w:rsid w:val="00881640"/>
    <w:rsid w:val="0088175C"/>
    <w:rsid w:val="008817F9"/>
    <w:rsid w:val="00881EF0"/>
    <w:rsid w:val="00881F51"/>
    <w:rsid w:val="0088220A"/>
    <w:rsid w:val="00882456"/>
    <w:rsid w:val="00882692"/>
    <w:rsid w:val="008829B1"/>
    <w:rsid w:val="008829C9"/>
    <w:rsid w:val="00882FEA"/>
    <w:rsid w:val="00883369"/>
    <w:rsid w:val="008835B7"/>
    <w:rsid w:val="008839C4"/>
    <w:rsid w:val="00883B8B"/>
    <w:rsid w:val="008842E9"/>
    <w:rsid w:val="0088462A"/>
    <w:rsid w:val="00884944"/>
    <w:rsid w:val="00884B23"/>
    <w:rsid w:val="00884DF0"/>
    <w:rsid w:val="00884ED3"/>
    <w:rsid w:val="00885461"/>
    <w:rsid w:val="00885537"/>
    <w:rsid w:val="00885569"/>
    <w:rsid w:val="00885660"/>
    <w:rsid w:val="00885848"/>
    <w:rsid w:val="00885890"/>
    <w:rsid w:val="00885914"/>
    <w:rsid w:val="00885DA9"/>
    <w:rsid w:val="00885E2F"/>
    <w:rsid w:val="00885EFD"/>
    <w:rsid w:val="00885FA7"/>
    <w:rsid w:val="008868B3"/>
    <w:rsid w:val="008868B8"/>
    <w:rsid w:val="00886B23"/>
    <w:rsid w:val="00886F60"/>
    <w:rsid w:val="0088701F"/>
    <w:rsid w:val="008872DD"/>
    <w:rsid w:val="0088765D"/>
    <w:rsid w:val="008877D7"/>
    <w:rsid w:val="008878EE"/>
    <w:rsid w:val="00887C46"/>
    <w:rsid w:val="00890354"/>
    <w:rsid w:val="008903CC"/>
    <w:rsid w:val="00890618"/>
    <w:rsid w:val="00890BB2"/>
    <w:rsid w:val="00890DC3"/>
    <w:rsid w:val="00890EFA"/>
    <w:rsid w:val="00891006"/>
    <w:rsid w:val="008911DE"/>
    <w:rsid w:val="00891213"/>
    <w:rsid w:val="00891222"/>
    <w:rsid w:val="00891509"/>
    <w:rsid w:val="0089160C"/>
    <w:rsid w:val="008916AF"/>
    <w:rsid w:val="00891701"/>
    <w:rsid w:val="00891705"/>
    <w:rsid w:val="00891737"/>
    <w:rsid w:val="00891CD0"/>
    <w:rsid w:val="00891D79"/>
    <w:rsid w:val="00891EF6"/>
    <w:rsid w:val="008921B9"/>
    <w:rsid w:val="0089254F"/>
    <w:rsid w:val="00892573"/>
    <w:rsid w:val="00892899"/>
    <w:rsid w:val="008929E8"/>
    <w:rsid w:val="008931FB"/>
    <w:rsid w:val="00893213"/>
    <w:rsid w:val="008933FB"/>
    <w:rsid w:val="008935C7"/>
    <w:rsid w:val="008937A7"/>
    <w:rsid w:val="00893A34"/>
    <w:rsid w:val="00893A95"/>
    <w:rsid w:val="00893ACA"/>
    <w:rsid w:val="008945EF"/>
    <w:rsid w:val="0089478E"/>
    <w:rsid w:val="0089479B"/>
    <w:rsid w:val="0089520C"/>
    <w:rsid w:val="0089523D"/>
    <w:rsid w:val="00895581"/>
    <w:rsid w:val="00895650"/>
    <w:rsid w:val="00895A6E"/>
    <w:rsid w:val="00895C12"/>
    <w:rsid w:val="00895D36"/>
    <w:rsid w:val="00895D56"/>
    <w:rsid w:val="00895E28"/>
    <w:rsid w:val="00895E41"/>
    <w:rsid w:val="00895E5C"/>
    <w:rsid w:val="00895EB6"/>
    <w:rsid w:val="00896089"/>
    <w:rsid w:val="0089637B"/>
    <w:rsid w:val="008963D6"/>
    <w:rsid w:val="00896504"/>
    <w:rsid w:val="00896A4A"/>
    <w:rsid w:val="00896AD9"/>
    <w:rsid w:val="00896F14"/>
    <w:rsid w:val="00896FA4"/>
    <w:rsid w:val="00897038"/>
    <w:rsid w:val="008970B8"/>
    <w:rsid w:val="00897757"/>
    <w:rsid w:val="0089789C"/>
    <w:rsid w:val="0089794D"/>
    <w:rsid w:val="00897955"/>
    <w:rsid w:val="00897AAD"/>
    <w:rsid w:val="00897DA1"/>
    <w:rsid w:val="00897E9D"/>
    <w:rsid w:val="00897F1A"/>
    <w:rsid w:val="008A018B"/>
    <w:rsid w:val="008A02D4"/>
    <w:rsid w:val="008A04FE"/>
    <w:rsid w:val="008A06CD"/>
    <w:rsid w:val="008A090E"/>
    <w:rsid w:val="008A0A60"/>
    <w:rsid w:val="008A0B3C"/>
    <w:rsid w:val="008A0C0A"/>
    <w:rsid w:val="008A0F12"/>
    <w:rsid w:val="008A1290"/>
    <w:rsid w:val="008A13C8"/>
    <w:rsid w:val="008A1AF1"/>
    <w:rsid w:val="008A1C81"/>
    <w:rsid w:val="008A1DD3"/>
    <w:rsid w:val="008A1F35"/>
    <w:rsid w:val="008A1FD2"/>
    <w:rsid w:val="008A21E5"/>
    <w:rsid w:val="008A2823"/>
    <w:rsid w:val="008A2830"/>
    <w:rsid w:val="008A290C"/>
    <w:rsid w:val="008A29F7"/>
    <w:rsid w:val="008A2B04"/>
    <w:rsid w:val="008A2C20"/>
    <w:rsid w:val="008A2CB0"/>
    <w:rsid w:val="008A2CB8"/>
    <w:rsid w:val="008A2E5C"/>
    <w:rsid w:val="008A2FA3"/>
    <w:rsid w:val="008A30CA"/>
    <w:rsid w:val="008A3193"/>
    <w:rsid w:val="008A3464"/>
    <w:rsid w:val="008A3585"/>
    <w:rsid w:val="008A370B"/>
    <w:rsid w:val="008A3738"/>
    <w:rsid w:val="008A3C6B"/>
    <w:rsid w:val="008A3D44"/>
    <w:rsid w:val="008A3FBD"/>
    <w:rsid w:val="008A40EA"/>
    <w:rsid w:val="008A40F9"/>
    <w:rsid w:val="008A43BC"/>
    <w:rsid w:val="008A43D5"/>
    <w:rsid w:val="008A4486"/>
    <w:rsid w:val="008A4D07"/>
    <w:rsid w:val="008A4D49"/>
    <w:rsid w:val="008A4E1F"/>
    <w:rsid w:val="008A50FE"/>
    <w:rsid w:val="008A5287"/>
    <w:rsid w:val="008A52CD"/>
    <w:rsid w:val="008A5415"/>
    <w:rsid w:val="008A54DD"/>
    <w:rsid w:val="008A56F3"/>
    <w:rsid w:val="008A5A53"/>
    <w:rsid w:val="008A5B7F"/>
    <w:rsid w:val="008A5C3B"/>
    <w:rsid w:val="008A5C6B"/>
    <w:rsid w:val="008A5F5C"/>
    <w:rsid w:val="008A6067"/>
    <w:rsid w:val="008A60D2"/>
    <w:rsid w:val="008A623D"/>
    <w:rsid w:val="008A63F4"/>
    <w:rsid w:val="008A67BA"/>
    <w:rsid w:val="008A67FF"/>
    <w:rsid w:val="008A6A49"/>
    <w:rsid w:val="008A6D20"/>
    <w:rsid w:val="008A6E9C"/>
    <w:rsid w:val="008A7334"/>
    <w:rsid w:val="008A758C"/>
    <w:rsid w:val="008A75D4"/>
    <w:rsid w:val="008A7B10"/>
    <w:rsid w:val="008A7B3B"/>
    <w:rsid w:val="008B0318"/>
    <w:rsid w:val="008B0613"/>
    <w:rsid w:val="008B06B6"/>
    <w:rsid w:val="008B0708"/>
    <w:rsid w:val="008B081F"/>
    <w:rsid w:val="008B0947"/>
    <w:rsid w:val="008B096F"/>
    <w:rsid w:val="008B0D08"/>
    <w:rsid w:val="008B0E64"/>
    <w:rsid w:val="008B0EA2"/>
    <w:rsid w:val="008B0EB1"/>
    <w:rsid w:val="008B0F40"/>
    <w:rsid w:val="008B0F97"/>
    <w:rsid w:val="008B124A"/>
    <w:rsid w:val="008B1382"/>
    <w:rsid w:val="008B1553"/>
    <w:rsid w:val="008B171D"/>
    <w:rsid w:val="008B17AC"/>
    <w:rsid w:val="008B1821"/>
    <w:rsid w:val="008B1969"/>
    <w:rsid w:val="008B1A47"/>
    <w:rsid w:val="008B1BBE"/>
    <w:rsid w:val="008B1CB9"/>
    <w:rsid w:val="008B1E2E"/>
    <w:rsid w:val="008B1FB7"/>
    <w:rsid w:val="008B2039"/>
    <w:rsid w:val="008B254C"/>
    <w:rsid w:val="008B26B8"/>
    <w:rsid w:val="008B2BB0"/>
    <w:rsid w:val="008B2BFC"/>
    <w:rsid w:val="008B2E59"/>
    <w:rsid w:val="008B2E6B"/>
    <w:rsid w:val="008B33C3"/>
    <w:rsid w:val="008B383E"/>
    <w:rsid w:val="008B3855"/>
    <w:rsid w:val="008B386D"/>
    <w:rsid w:val="008B3959"/>
    <w:rsid w:val="008B3C50"/>
    <w:rsid w:val="008B4399"/>
    <w:rsid w:val="008B44CE"/>
    <w:rsid w:val="008B466F"/>
    <w:rsid w:val="008B5202"/>
    <w:rsid w:val="008B536A"/>
    <w:rsid w:val="008B5377"/>
    <w:rsid w:val="008B577F"/>
    <w:rsid w:val="008B5939"/>
    <w:rsid w:val="008B5961"/>
    <w:rsid w:val="008B5A58"/>
    <w:rsid w:val="008B5AED"/>
    <w:rsid w:val="008B5C2B"/>
    <w:rsid w:val="008B5CEA"/>
    <w:rsid w:val="008B5D1F"/>
    <w:rsid w:val="008B60CF"/>
    <w:rsid w:val="008B628D"/>
    <w:rsid w:val="008B657E"/>
    <w:rsid w:val="008B6663"/>
    <w:rsid w:val="008B66A8"/>
    <w:rsid w:val="008B67C0"/>
    <w:rsid w:val="008B67F3"/>
    <w:rsid w:val="008B69AE"/>
    <w:rsid w:val="008B6B68"/>
    <w:rsid w:val="008B702B"/>
    <w:rsid w:val="008B70AF"/>
    <w:rsid w:val="008B732A"/>
    <w:rsid w:val="008B740A"/>
    <w:rsid w:val="008B7597"/>
    <w:rsid w:val="008B7765"/>
    <w:rsid w:val="008B78DC"/>
    <w:rsid w:val="008B7958"/>
    <w:rsid w:val="008B7D7F"/>
    <w:rsid w:val="008B7EE8"/>
    <w:rsid w:val="008C0060"/>
    <w:rsid w:val="008C03E9"/>
    <w:rsid w:val="008C04D0"/>
    <w:rsid w:val="008C055D"/>
    <w:rsid w:val="008C062F"/>
    <w:rsid w:val="008C0D1C"/>
    <w:rsid w:val="008C1326"/>
    <w:rsid w:val="008C151E"/>
    <w:rsid w:val="008C1735"/>
    <w:rsid w:val="008C1A3E"/>
    <w:rsid w:val="008C1C31"/>
    <w:rsid w:val="008C1D2A"/>
    <w:rsid w:val="008C1E6D"/>
    <w:rsid w:val="008C211B"/>
    <w:rsid w:val="008C2E0E"/>
    <w:rsid w:val="008C2E38"/>
    <w:rsid w:val="008C2F1F"/>
    <w:rsid w:val="008C30E6"/>
    <w:rsid w:val="008C321B"/>
    <w:rsid w:val="008C383B"/>
    <w:rsid w:val="008C3929"/>
    <w:rsid w:val="008C3BD5"/>
    <w:rsid w:val="008C43EF"/>
    <w:rsid w:val="008C4B3F"/>
    <w:rsid w:val="008C4BB2"/>
    <w:rsid w:val="008C4C67"/>
    <w:rsid w:val="008C4F56"/>
    <w:rsid w:val="008C5017"/>
    <w:rsid w:val="008C516B"/>
    <w:rsid w:val="008C53BF"/>
    <w:rsid w:val="008C5489"/>
    <w:rsid w:val="008C55F0"/>
    <w:rsid w:val="008C5887"/>
    <w:rsid w:val="008C5B5B"/>
    <w:rsid w:val="008C5D8F"/>
    <w:rsid w:val="008C604C"/>
    <w:rsid w:val="008C6105"/>
    <w:rsid w:val="008C6348"/>
    <w:rsid w:val="008C653B"/>
    <w:rsid w:val="008C680B"/>
    <w:rsid w:val="008C6B37"/>
    <w:rsid w:val="008C6CCE"/>
    <w:rsid w:val="008C71DC"/>
    <w:rsid w:val="008C734E"/>
    <w:rsid w:val="008C74E8"/>
    <w:rsid w:val="008C7B3A"/>
    <w:rsid w:val="008C7DCE"/>
    <w:rsid w:val="008D096C"/>
    <w:rsid w:val="008D0B6B"/>
    <w:rsid w:val="008D0D26"/>
    <w:rsid w:val="008D0F07"/>
    <w:rsid w:val="008D1253"/>
    <w:rsid w:val="008D137B"/>
    <w:rsid w:val="008D1576"/>
    <w:rsid w:val="008D16D0"/>
    <w:rsid w:val="008D17A1"/>
    <w:rsid w:val="008D17A3"/>
    <w:rsid w:val="008D1B8A"/>
    <w:rsid w:val="008D1D24"/>
    <w:rsid w:val="008D1EB3"/>
    <w:rsid w:val="008D2062"/>
    <w:rsid w:val="008D2174"/>
    <w:rsid w:val="008D220B"/>
    <w:rsid w:val="008D23AC"/>
    <w:rsid w:val="008D2646"/>
    <w:rsid w:val="008D2775"/>
    <w:rsid w:val="008D2AFE"/>
    <w:rsid w:val="008D2BAE"/>
    <w:rsid w:val="008D2E2D"/>
    <w:rsid w:val="008D2F32"/>
    <w:rsid w:val="008D2FAD"/>
    <w:rsid w:val="008D31CB"/>
    <w:rsid w:val="008D3797"/>
    <w:rsid w:val="008D3B83"/>
    <w:rsid w:val="008D3FE8"/>
    <w:rsid w:val="008D4396"/>
    <w:rsid w:val="008D444E"/>
    <w:rsid w:val="008D4461"/>
    <w:rsid w:val="008D45BD"/>
    <w:rsid w:val="008D4834"/>
    <w:rsid w:val="008D49E3"/>
    <w:rsid w:val="008D49E4"/>
    <w:rsid w:val="008D4CBE"/>
    <w:rsid w:val="008D4CF6"/>
    <w:rsid w:val="008D4EC9"/>
    <w:rsid w:val="008D4ECB"/>
    <w:rsid w:val="008D5523"/>
    <w:rsid w:val="008D59EA"/>
    <w:rsid w:val="008D5A16"/>
    <w:rsid w:val="008D5A6F"/>
    <w:rsid w:val="008D5E0E"/>
    <w:rsid w:val="008D6256"/>
    <w:rsid w:val="008D6366"/>
    <w:rsid w:val="008D662F"/>
    <w:rsid w:val="008D685B"/>
    <w:rsid w:val="008D6885"/>
    <w:rsid w:val="008D6C4D"/>
    <w:rsid w:val="008D6CDB"/>
    <w:rsid w:val="008D6CE9"/>
    <w:rsid w:val="008D6E24"/>
    <w:rsid w:val="008D758D"/>
    <w:rsid w:val="008D7601"/>
    <w:rsid w:val="008D77EA"/>
    <w:rsid w:val="008D78AA"/>
    <w:rsid w:val="008D79B5"/>
    <w:rsid w:val="008D79C2"/>
    <w:rsid w:val="008D79C5"/>
    <w:rsid w:val="008D7A37"/>
    <w:rsid w:val="008D7AEA"/>
    <w:rsid w:val="008D7EA4"/>
    <w:rsid w:val="008E0010"/>
    <w:rsid w:val="008E0256"/>
    <w:rsid w:val="008E04B2"/>
    <w:rsid w:val="008E0983"/>
    <w:rsid w:val="008E0E3F"/>
    <w:rsid w:val="008E1002"/>
    <w:rsid w:val="008E1271"/>
    <w:rsid w:val="008E151F"/>
    <w:rsid w:val="008E16A9"/>
    <w:rsid w:val="008E16BF"/>
    <w:rsid w:val="008E1700"/>
    <w:rsid w:val="008E180A"/>
    <w:rsid w:val="008E1AA0"/>
    <w:rsid w:val="008E1B3A"/>
    <w:rsid w:val="008E1D16"/>
    <w:rsid w:val="008E1D3E"/>
    <w:rsid w:val="008E2006"/>
    <w:rsid w:val="008E2014"/>
    <w:rsid w:val="008E204F"/>
    <w:rsid w:val="008E21EE"/>
    <w:rsid w:val="008E2640"/>
    <w:rsid w:val="008E270E"/>
    <w:rsid w:val="008E2901"/>
    <w:rsid w:val="008E31F2"/>
    <w:rsid w:val="008E332A"/>
    <w:rsid w:val="008E3498"/>
    <w:rsid w:val="008E3ADE"/>
    <w:rsid w:val="008E3D7F"/>
    <w:rsid w:val="008E4016"/>
    <w:rsid w:val="008E4583"/>
    <w:rsid w:val="008E45DD"/>
    <w:rsid w:val="008E4ABA"/>
    <w:rsid w:val="008E4CE8"/>
    <w:rsid w:val="008E50E3"/>
    <w:rsid w:val="008E52BA"/>
    <w:rsid w:val="008E53F2"/>
    <w:rsid w:val="008E56C0"/>
    <w:rsid w:val="008E57B3"/>
    <w:rsid w:val="008E58F4"/>
    <w:rsid w:val="008E5A3E"/>
    <w:rsid w:val="008E5B86"/>
    <w:rsid w:val="008E5D55"/>
    <w:rsid w:val="008E60D8"/>
    <w:rsid w:val="008E6278"/>
    <w:rsid w:val="008E6313"/>
    <w:rsid w:val="008E655B"/>
    <w:rsid w:val="008E6571"/>
    <w:rsid w:val="008E664B"/>
    <w:rsid w:val="008E6D5A"/>
    <w:rsid w:val="008E6ED0"/>
    <w:rsid w:val="008E6FD0"/>
    <w:rsid w:val="008E6FF8"/>
    <w:rsid w:val="008E6FFF"/>
    <w:rsid w:val="008E7034"/>
    <w:rsid w:val="008E7066"/>
    <w:rsid w:val="008E764B"/>
    <w:rsid w:val="008E78FD"/>
    <w:rsid w:val="008E7CB5"/>
    <w:rsid w:val="008E7D3A"/>
    <w:rsid w:val="008E7E07"/>
    <w:rsid w:val="008E7E24"/>
    <w:rsid w:val="008E7E8F"/>
    <w:rsid w:val="008F08FB"/>
    <w:rsid w:val="008F09A6"/>
    <w:rsid w:val="008F0A7B"/>
    <w:rsid w:val="008F0A99"/>
    <w:rsid w:val="008F0B86"/>
    <w:rsid w:val="008F0C7B"/>
    <w:rsid w:val="008F0CA1"/>
    <w:rsid w:val="008F0D37"/>
    <w:rsid w:val="008F0F92"/>
    <w:rsid w:val="008F0FFA"/>
    <w:rsid w:val="008F168A"/>
    <w:rsid w:val="008F2039"/>
    <w:rsid w:val="008F21CD"/>
    <w:rsid w:val="008F2A8A"/>
    <w:rsid w:val="008F2C8E"/>
    <w:rsid w:val="008F2E88"/>
    <w:rsid w:val="008F3021"/>
    <w:rsid w:val="008F33E0"/>
    <w:rsid w:val="008F3560"/>
    <w:rsid w:val="008F363E"/>
    <w:rsid w:val="008F3973"/>
    <w:rsid w:val="008F3DC2"/>
    <w:rsid w:val="008F3EE2"/>
    <w:rsid w:val="008F414C"/>
    <w:rsid w:val="008F423D"/>
    <w:rsid w:val="008F456F"/>
    <w:rsid w:val="008F4962"/>
    <w:rsid w:val="008F49E0"/>
    <w:rsid w:val="008F4A5B"/>
    <w:rsid w:val="008F4A6E"/>
    <w:rsid w:val="008F4ABE"/>
    <w:rsid w:val="008F4AF9"/>
    <w:rsid w:val="008F4EF5"/>
    <w:rsid w:val="008F4F6C"/>
    <w:rsid w:val="008F50AE"/>
    <w:rsid w:val="008F562C"/>
    <w:rsid w:val="008F58A2"/>
    <w:rsid w:val="008F5BCD"/>
    <w:rsid w:val="008F5C45"/>
    <w:rsid w:val="008F5E53"/>
    <w:rsid w:val="008F5F61"/>
    <w:rsid w:val="008F5FF2"/>
    <w:rsid w:val="008F6506"/>
    <w:rsid w:val="008F6683"/>
    <w:rsid w:val="008F68F4"/>
    <w:rsid w:val="008F6B32"/>
    <w:rsid w:val="008F6DB8"/>
    <w:rsid w:val="008F6F86"/>
    <w:rsid w:val="008F702D"/>
    <w:rsid w:val="008F7584"/>
    <w:rsid w:val="008F7B7F"/>
    <w:rsid w:val="008F7D52"/>
    <w:rsid w:val="00900383"/>
    <w:rsid w:val="0090058E"/>
    <w:rsid w:val="009005B9"/>
    <w:rsid w:val="00900835"/>
    <w:rsid w:val="0090094A"/>
    <w:rsid w:val="00900A6A"/>
    <w:rsid w:val="0090103E"/>
    <w:rsid w:val="00901092"/>
    <w:rsid w:val="009012D9"/>
    <w:rsid w:val="00901CBC"/>
    <w:rsid w:val="00901D72"/>
    <w:rsid w:val="009020E0"/>
    <w:rsid w:val="0090220D"/>
    <w:rsid w:val="0090225A"/>
    <w:rsid w:val="009022E0"/>
    <w:rsid w:val="00902444"/>
    <w:rsid w:val="009025FA"/>
    <w:rsid w:val="0090264D"/>
    <w:rsid w:val="0090274D"/>
    <w:rsid w:val="009028B3"/>
    <w:rsid w:val="00902C7D"/>
    <w:rsid w:val="00902E8B"/>
    <w:rsid w:val="00902EA5"/>
    <w:rsid w:val="00902F5E"/>
    <w:rsid w:val="00902F99"/>
    <w:rsid w:val="0090316A"/>
    <w:rsid w:val="0090328C"/>
    <w:rsid w:val="009033E5"/>
    <w:rsid w:val="0090367D"/>
    <w:rsid w:val="0090394A"/>
    <w:rsid w:val="00904425"/>
    <w:rsid w:val="00904986"/>
    <w:rsid w:val="00904F11"/>
    <w:rsid w:val="009050A6"/>
    <w:rsid w:val="0090538C"/>
    <w:rsid w:val="009055BD"/>
    <w:rsid w:val="009055C5"/>
    <w:rsid w:val="009056B4"/>
    <w:rsid w:val="009058D4"/>
    <w:rsid w:val="00905A73"/>
    <w:rsid w:val="00906799"/>
    <w:rsid w:val="0090680E"/>
    <w:rsid w:val="0090695F"/>
    <w:rsid w:val="00906B33"/>
    <w:rsid w:val="00906B74"/>
    <w:rsid w:val="00906D66"/>
    <w:rsid w:val="00906EFC"/>
    <w:rsid w:val="009071E8"/>
    <w:rsid w:val="00907217"/>
    <w:rsid w:val="00907637"/>
    <w:rsid w:val="009078C0"/>
    <w:rsid w:val="00907D57"/>
    <w:rsid w:val="00910523"/>
    <w:rsid w:val="00910609"/>
    <w:rsid w:val="00910729"/>
    <w:rsid w:val="00911090"/>
    <w:rsid w:val="009111E8"/>
    <w:rsid w:val="009112EE"/>
    <w:rsid w:val="00911993"/>
    <w:rsid w:val="00911A3F"/>
    <w:rsid w:val="00911C6D"/>
    <w:rsid w:val="00911D6C"/>
    <w:rsid w:val="00911DB8"/>
    <w:rsid w:val="00911E49"/>
    <w:rsid w:val="00911EF1"/>
    <w:rsid w:val="009121F8"/>
    <w:rsid w:val="0091242A"/>
    <w:rsid w:val="0091291E"/>
    <w:rsid w:val="00912AD0"/>
    <w:rsid w:val="00912C7E"/>
    <w:rsid w:val="00912ECC"/>
    <w:rsid w:val="0091387C"/>
    <w:rsid w:val="00913D19"/>
    <w:rsid w:val="00913E0A"/>
    <w:rsid w:val="0091440B"/>
    <w:rsid w:val="00914727"/>
    <w:rsid w:val="009149DB"/>
    <w:rsid w:val="00914AD7"/>
    <w:rsid w:val="00914AFF"/>
    <w:rsid w:val="00914BD3"/>
    <w:rsid w:val="00914C2A"/>
    <w:rsid w:val="00915604"/>
    <w:rsid w:val="009156AF"/>
    <w:rsid w:val="009158F4"/>
    <w:rsid w:val="00915AF4"/>
    <w:rsid w:val="00915DBA"/>
    <w:rsid w:val="00915F5B"/>
    <w:rsid w:val="009161F2"/>
    <w:rsid w:val="00916446"/>
    <w:rsid w:val="009165D6"/>
    <w:rsid w:val="00916B40"/>
    <w:rsid w:val="009176FB"/>
    <w:rsid w:val="00917A48"/>
    <w:rsid w:val="00917A81"/>
    <w:rsid w:val="00917B53"/>
    <w:rsid w:val="00917C73"/>
    <w:rsid w:val="0092001D"/>
    <w:rsid w:val="00920A47"/>
    <w:rsid w:val="00920A7D"/>
    <w:rsid w:val="00920BA7"/>
    <w:rsid w:val="00920C3D"/>
    <w:rsid w:val="00920D0B"/>
    <w:rsid w:val="00920ECB"/>
    <w:rsid w:val="00920EF2"/>
    <w:rsid w:val="0092118A"/>
    <w:rsid w:val="00921494"/>
    <w:rsid w:val="009215FF"/>
    <w:rsid w:val="0092160A"/>
    <w:rsid w:val="00921B2F"/>
    <w:rsid w:val="00921BC1"/>
    <w:rsid w:val="00921FE7"/>
    <w:rsid w:val="00922206"/>
    <w:rsid w:val="0092232C"/>
    <w:rsid w:val="00922726"/>
    <w:rsid w:val="0092286D"/>
    <w:rsid w:val="00922877"/>
    <w:rsid w:val="00922931"/>
    <w:rsid w:val="00922E57"/>
    <w:rsid w:val="00923242"/>
    <w:rsid w:val="0092325F"/>
    <w:rsid w:val="009238BF"/>
    <w:rsid w:val="0092392B"/>
    <w:rsid w:val="00923980"/>
    <w:rsid w:val="00923E0F"/>
    <w:rsid w:val="00924034"/>
    <w:rsid w:val="0092458F"/>
    <w:rsid w:val="0092481D"/>
    <w:rsid w:val="00924F80"/>
    <w:rsid w:val="00924FD2"/>
    <w:rsid w:val="00925287"/>
    <w:rsid w:val="0092530C"/>
    <w:rsid w:val="00925581"/>
    <w:rsid w:val="00925698"/>
    <w:rsid w:val="00925859"/>
    <w:rsid w:val="00925948"/>
    <w:rsid w:val="00925968"/>
    <w:rsid w:val="00925CB5"/>
    <w:rsid w:val="00925E5E"/>
    <w:rsid w:val="00925F06"/>
    <w:rsid w:val="00925FAF"/>
    <w:rsid w:val="00926229"/>
    <w:rsid w:val="00926369"/>
    <w:rsid w:val="009268C5"/>
    <w:rsid w:val="00926D8E"/>
    <w:rsid w:val="00927098"/>
    <w:rsid w:val="009270E1"/>
    <w:rsid w:val="009270FD"/>
    <w:rsid w:val="0092744D"/>
    <w:rsid w:val="009277E0"/>
    <w:rsid w:val="0092798A"/>
    <w:rsid w:val="00927AA7"/>
    <w:rsid w:val="00927BA7"/>
    <w:rsid w:val="00927BF7"/>
    <w:rsid w:val="00927E3E"/>
    <w:rsid w:val="00927F80"/>
    <w:rsid w:val="009300ED"/>
    <w:rsid w:val="00930967"/>
    <w:rsid w:val="00930AA2"/>
    <w:rsid w:val="00930C93"/>
    <w:rsid w:val="00930EEE"/>
    <w:rsid w:val="009311F0"/>
    <w:rsid w:val="00931397"/>
    <w:rsid w:val="00931444"/>
    <w:rsid w:val="0093151E"/>
    <w:rsid w:val="009316BC"/>
    <w:rsid w:val="00931C4A"/>
    <w:rsid w:val="00931DBC"/>
    <w:rsid w:val="00931DC5"/>
    <w:rsid w:val="00931ED0"/>
    <w:rsid w:val="00931F37"/>
    <w:rsid w:val="00932768"/>
    <w:rsid w:val="00932C4E"/>
    <w:rsid w:val="00932D18"/>
    <w:rsid w:val="00932EC9"/>
    <w:rsid w:val="00933192"/>
    <w:rsid w:val="009333EA"/>
    <w:rsid w:val="009334E1"/>
    <w:rsid w:val="0093374B"/>
    <w:rsid w:val="00933796"/>
    <w:rsid w:val="00933B12"/>
    <w:rsid w:val="00933BFA"/>
    <w:rsid w:val="00933DEE"/>
    <w:rsid w:val="00933E12"/>
    <w:rsid w:val="00934080"/>
    <w:rsid w:val="009341B7"/>
    <w:rsid w:val="00934244"/>
    <w:rsid w:val="00934533"/>
    <w:rsid w:val="009346EB"/>
    <w:rsid w:val="0093485A"/>
    <w:rsid w:val="009348A9"/>
    <w:rsid w:val="00934A7F"/>
    <w:rsid w:val="00934A9A"/>
    <w:rsid w:val="00934E06"/>
    <w:rsid w:val="009352F8"/>
    <w:rsid w:val="009354A2"/>
    <w:rsid w:val="00935850"/>
    <w:rsid w:val="00935872"/>
    <w:rsid w:val="009358A6"/>
    <w:rsid w:val="009359B6"/>
    <w:rsid w:val="00935A09"/>
    <w:rsid w:val="00935AEF"/>
    <w:rsid w:val="00935BFF"/>
    <w:rsid w:val="009362E4"/>
    <w:rsid w:val="0093649B"/>
    <w:rsid w:val="00936611"/>
    <w:rsid w:val="00936650"/>
    <w:rsid w:val="00937022"/>
    <w:rsid w:val="009371F4"/>
    <w:rsid w:val="00937477"/>
    <w:rsid w:val="009374B4"/>
    <w:rsid w:val="00937672"/>
    <w:rsid w:val="00937856"/>
    <w:rsid w:val="00937E64"/>
    <w:rsid w:val="00937ECC"/>
    <w:rsid w:val="00940212"/>
    <w:rsid w:val="0094021E"/>
    <w:rsid w:val="00940F22"/>
    <w:rsid w:val="009410C8"/>
    <w:rsid w:val="00941171"/>
    <w:rsid w:val="0094176D"/>
    <w:rsid w:val="009417BB"/>
    <w:rsid w:val="0094192A"/>
    <w:rsid w:val="00941983"/>
    <w:rsid w:val="009419A8"/>
    <w:rsid w:val="00941C17"/>
    <w:rsid w:val="00941D75"/>
    <w:rsid w:val="00941FB1"/>
    <w:rsid w:val="00941FFB"/>
    <w:rsid w:val="00942484"/>
    <w:rsid w:val="00942749"/>
    <w:rsid w:val="00942850"/>
    <w:rsid w:val="00942EAF"/>
    <w:rsid w:val="00942F28"/>
    <w:rsid w:val="00942F2B"/>
    <w:rsid w:val="00943064"/>
    <w:rsid w:val="009432B0"/>
    <w:rsid w:val="00943A17"/>
    <w:rsid w:val="00943A5D"/>
    <w:rsid w:val="00943B82"/>
    <w:rsid w:val="00943D98"/>
    <w:rsid w:val="0094419D"/>
    <w:rsid w:val="009442B8"/>
    <w:rsid w:val="009444DA"/>
    <w:rsid w:val="0094471D"/>
    <w:rsid w:val="00944BD6"/>
    <w:rsid w:val="00944CD9"/>
    <w:rsid w:val="00944FCF"/>
    <w:rsid w:val="009454B8"/>
    <w:rsid w:val="009458FC"/>
    <w:rsid w:val="00945A6F"/>
    <w:rsid w:val="00945F80"/>
    <w:rsid w:val="009461BF"/>
    <w:rsid w:val="009462A6"/>
    <w:rsid w:val="0094647C"/>
    <w:rsid w:val="0094655D"/>
    <w:rsid w:val="009467D6"/>
    <w:rsid w:val="00946851"/>
    <w:rsid w:val="00946966"/>
    <w:rsid w:val="00946E33"/>
    <w:rsid w:val="00946EFD"/>
    <w:rsid w:val="00947201"/>
    <w:rsid w:val="00947338"/>
    <w:rsid w:val="009501E1"/>
    <w:rsid w:val="0095067C"/>
    <w:rsid w:val="00950793"/>
    <w:rsid w:val="00950975"/>
    <w:rsid w:val="00950A9A"/>
    <w:rsid w:val="00950BBC"/>
    <w:rsid w:val="009517EC"/>
    <w:rsid w:val="00951A1D"/>
    <w:rsid w:val="00951B82"/>
    <w:rsid w:val="00951D07"/>
    <w:rsid w:val="0095259B"/>
    <w:rsid w:val="00952752"/>
    <w:rsid w:val="0095285F"/>
    <w:rsid w:val="00952869"/>
    <w:rsid w:val="009529C6"/>
    <w:rsid w:val="00952B07"/>
    <w:rsid w:val="00952DE3"/>
    <w:rsid w:val="009531A6"/>
    <w:rsid w:val="00953908"/>
    <w:rsid w:val="00953C95"/>
    <w:rsid w:val="00953D49"/>
    <w:rsid w:val="00953D78"/>
    <w:rsid w:val="00953DA8"/>
    <w:rsid w:val="00953E28"/>
    <w:rsid w:val="00953E59"/>
    <w:rsid w:val="009541E6"/>
    <w:rsid w:val="009543D8"/>
    <w:rsid w:val="009544B6"/>
    <w:rsid w:val="00954508"/>
    <w:rsid w:val="00954527"/>
    <w:rsid w:val="00954646"/>
    <w:rsid w:val="009546AD"/>
    <w:rsid w:val="00954A5E"/>
    <w:rsid w:val="00954ADC"/>
    <w:rsid w:val="00954CEC"/>
    <w:rsid w:val="00955009"/>
    <w:rsid w:val="00955013"/>
    <w:rsid w:val="0095502B"/>
    <w:rsid w:val="009550A7"/>
    <w:rsid w:val="009551CC"/>
    <w:rsid w:val="009552EF"/>
    <w:rsid w:val="0095574A"/>
    <w:rsid w:val="00955993"/>
    <w:rsid w:val="00955B04"/>
    <w:rsid w:val="00955CE5"/>
    <w:rsid w:val="00956173"/>
    <w:rsid w:val="009562AC"/>
    <w:rsid w:val="0095632C"/>
    <w:rsid w:val="00956766"/>
    <w:rsid w:val="00956A38"/>
    <w:rsid w:val="00957594"/>
    <w:rsid w:val="009575EA"/>
    <w:rsid w:val="0095765D"/>
    <w:rsid w:val="00957701"/>
    <w:rsid w:val="009577C5"/>
    <w:rsid w:val="009578D7"/>
    <w:rsid w:val="00957BDC"/>
    <w:rsid w:val="00957FEE"/>
    <w:rsid w:val="00960105"/>
    <w:rsid w:val="009604F8"/>
    <w:rsid w:val="0096068C"/>
    <w:rsid w:val="0096069E"/>
    <w:rsid w:val="00960860"/>
    <w:rsid w:val="00960C1B"/>
    <w:rsid w:val="00960C40"/>
    <w:rsid w:val="00960CF9"/>
    <w:rsid w:val="0096110F"/>
    <w:rsid w:val="00961134"/>
    <w:rsid w:val="009611EB"/>
    <w:rsid w:val="00961427"/>
    <w:rsid w:val="00961483"/>
    <w:rsid w:val="009614CD"/>
    <w:rsid w:val="00961641"/>
    <w:rsid w:val="00961943"/>
    <w:rsid w:val="00961A4A"/>
    <w:rsid w:val="00961B74"/>
    <w:rsid w:val="00961D5F"/>
    <w:rsid w:val="00961FBC"/>
    <w:rsid w:val="009623A5"/>
    <w:rsid w:val="009623D4"/>
    <w:rsid w:val="009626C9"/>
    <w:rsid w:val="00962D3A"/>
    <w:rsid w:val="00963D11"/>
    <w:rsid w:val="00963F40"/>
    <w:rsid w:val="00963F67"/>
    <w:rsid w:val="009642AD"/>
    <w:rsid w:val="0096497E"/>
    <w:rsid w:val="009649ED"/>
    <w:rsid w:val="00964DAA"/>
    <w:rsid w:val="00964E96"/>
    <w:rsid w:val="00964F11"/>
    <w:rsid w:val="00964FFE"/>
    <w:rsid w:val="009654C9"/>
    <w:rsid w:val="0096597C"/>
    <w:rsid w:val="00965B77"/>
    <w:rsid w:val="00965C7C"/>
    <w:rsid w:val="0096657D"/>
    <w:rsid w:val="00966B41"/>
    <w:rsid w:val="00966EBE"/>
    <w:rsid w:val="0096720D"/>
    <w:rsid w:val="009673B0"/>
    <w:rsid w:val="009674EE"/>
    <w:rsid w:val="00967632"/>
    <w:rsid w:val="009676C5"/>
    <w:rsid w:val="00967D74"/>
    <w:rsid w:val="00967D82"/>
    <w:rsid w:val="00967FC3"/>
    <w:rsid w:val="009701CC"/>
    <w:rsid w:val="009704DD"/>
    <w:rsid w:val="00970606"/>
    <w:rsid w:val="0097070C"/>
    <w:rsid w:val="009707E8"/>
    <w:rsid w:val="00970ACC"/>
    <w:rsid w:val="00970AD5"/>
    <w:rsid w:val="00970BE9"/>
    <w:rsid w:val="00970EF7"/>
    <w:rsid w:val="00970F22"/>
    <w:rsid w:val="00971074"/>
    <w:rsid w:val="0097129E"/>
    <w:rsid w:val="009712F5"/>
    <w:rsid w:val="0097172F"/>
    <w:rsid w:val="00971C2D"/>
    <w:rsid w:val="00971CBA"/>
    <w:rsid w:val="00971F16"/>
    <w:rsid w:val="0097227C"/>
    <w:rsid w:val="00972D43"/>
    <w:rsid w:val="00973063"/>
    <w:rsid w:val="00973184"/>
    <w:rsid w:val="00973227"/>
    <w:rsid w:val="009734B7"/>
    <w:rsid w:val="0097353A"/>
    <w:rsid w:val="0097354B"/>
    <w:rsid w:val="009737FC"/>
    <w:rsid w:val="009738F3"/>
    <w:rsid w:val="009739CA"/>
    <w:rsid w:val="00973BFA"/>
    <w:rsid w:val="00973C9F"/>
    <w:rsid w:val="00973DD7"/>
    <w:rsid w:val="00973E99"/>
    <w:rsid w:val="009742DD"/>
    <w:rsid w:val="00974396"/>
    <w:rsid w:val="00974505"/>
    <w:rsid w:val="0097457D"/>
    <w:rsid w:val="00974961"/>
    <w:rsid w:val="00974ACD"/>
    <w:rsid w:val="00974AE5"/>
    <w:rsid w:val="00974B3E"/>
    <w:rsid w:val="00974B96"/>
    <w:rsid w:val="00974DC9"/>
    <w:rsid w:val="0097545B"/>
    <w:rsid w:val="00975494"/>
    <w:rsid w:val="009754B1"/>
    <w:rsid w:val="0097555A"/>
    <w:rsid w:val="00975C44"/>
    <w:rsid w:val="00975D17"/>
    <w:rsid w:val="00975DE1"/>
    <w:rsid w:val="009762FE"/>
    <w:rsid w:val="009763C5"/>
    <w:rsid w:val="009765C5"/>
    <w:rsid w:val="00976A1D"/>
    <w:rsid w:val="00976FB9"/>
    <w:rsid w:val="00977008"/>
    <w:rsid w:val="00977057"/>
    <w:rsid w:val="009770D2"/>
    <w:rsid w:val="0097713B"/>
    <w:rsid w:val="0097728B"/>
    <w:rsid w:val="00977387"/>
    <w:rsid w:val="00977487"/>
    <w:rsid w:val="00977656"/>
    <w:rsid w:val="0097798B"/>
    <w:rsid w:val="00977A95"/>
    <w:rsid w:val="00977CB8"/>
    <w:rsid w:val="009801B7"/>
    <w:rsid w:val="00980489"/>
    <w:rsid w:val="00980576"/>
    <w:rsid w:val="0098064E"/>
    <w:rsid w:val="00980EAC"/>
    <w:rsid w:val="00981180"/>
    <w:rsid w:val="00981241"/>
    <w:rsid w:val="00981488"/>
    <w:rsid w:val="009819ED"/>
    <w:rsid w:val="00981A10"/>
    <w:rsid w:val="00981ABF"/>
    <w:rsid w:val="00981BF9"/>
    <w:rsid w:val="00981D26"/>
    <w:rsid w:val="00982046"/>
    <w:rsid w:val="009825A3"/>
    <w:rsid w:val="009827C9"/>
    <w:rsid w:val="00982952"/>
    <w:rsid w:val="00982BAA"/>
    <w:rsid w:val="00982F64"/>
    <w:rsid w:val="009830C1"/>
    <w:rsid w:val="0098326F"/>
    <w:rsid w:val="00983296"/>
    <w:rsid w:val="00983604"/>
    <w:rsid w:val="00983605"/>
    <w:rsid w:val="00983B4A"/>
    <w:rsid w:val="00983D34"/>
    <w:rsid w:val="00983D9E"/>
    <w:rsid w:val="00984227"/>
    <w:rsid w:val="009843BE"/>
    <w:rsid w:val="009844B4"/>
    <w:rsid w:val="009844F8"/>
    <w:rsid w:val="009849FB"/>
    <w:rsid w:val="00985046"/>
    <w:rsid w:val="0098517A"/>
    <w:rsid w:val="009851C5"/>
    <w:rsid w:val="009852BE"/>
    <w:rsid w:val="009852C2"/>
    <w:rsid w:val="009853AD"/>
    <w:rsid w:val="009853B3"/>
    <w:rsid w:val="0098584C"/>
    <w:rsid w:val="009859B2"/>
    <w:rsid w:val="00985CDE"/>
    <w:rsid w:val="00986174"/>
    <w:rsid w:val="00986C2E"/>
    <w:rsid w:val="00986C67"/>
    <w:rsid w:val="00986CA7"/>
    <w:rsid w:val="00986E71"/>
    <w:rsid w:val="00986FA8"/>
    <w:rsid w:val="009871CF"/>
    <w:rsid w:val="00987868"/>
    <w:rsid w:val="00987C9B"/>
    <w:rsid w:val="00987D12"/>
    <w:rsid w:val="00990037"/>
    <w:rsid w:val="00990233"/>
    <w:rsid w:val="00990312"/>
    <w:rsid w:val="00990353"/>
    <w:rsid w:val="00990393"/>
    <w:rsid w:val="0099111E"/>
    <w:rsid w:val="00991434"/>
    <w:rsid w:val="00991445"/>
    <w:rsid w:val="00991621"/>
    <w:rsid w:val="0099165E"/>
    <w:rsid w:val="009917C2"/>
    <w:rsid w:val="00991B49"/>
    <w:rsid w:val="00992535"/>
    <w:rsid w:val="009926D4"/>
    <w:rsid w:val="009927C8"/>
    <w:rsid w:val="00992A72"/>
    <w:rsid w:val="00992A85"/>
    <w:rsid w:val="00992B90"/>
    <w:rsid w:val="00992C51"/>
    <w:rsid w:val="00992ED9"/>
    <w:rsid w:val="0099303F"/>
    <w:rsid w:val="00993076"/>
    <w:rsid w:val="00993382"/>
    <w:rsid w:val="00993656"/>
    <w:rsid w:val="00993681"/>
    <w:rsid w:val="0099384E"/>
    <w:rsid w:val="00993941"/>
    <w:rsid w:val="00993C26"/>
    <w:rsid w:val="00993C73"/>
    <w:rsid w:val="00993FAD"/>
    <w:rsid w:val="00994175"/>
    <w:rsid w:val="009942C0"/>
    <w:rsid w:val="00994740"/>
    <w:rsid w:val="009947B4"/>
    <w:rsid w:val="00994808"/>
    <w:rsid w:val="0099544E"/>
    <w:rsid w:val="00995665"/>
    <w:rsid w:val="0099570A"/>
    <w:rsid w:val="009958CF"/>
    <w:rsid w:val="00995B38"/>
    <w:rsid w:val="00995EE0"/>
    <w:rsid w:val="009961A6"/>
    <w:rsid w:val="00996743"/>
    <w:rsid w:val="00996A19"/>
    <w:rsid w:val="00996BCF"/>
    <w:rsid w:val="00996CD4"/>
    <w:rsid w:val="00996F66"/>
    <w:rsid w:val="00997271"/>
    <w:rsid w:val="009975ED"/>
    <w:rsid w:val="0099762E"/>
    <w:rsid w:val="009978E1"/>
    <w:rsid w:val="00997AC8"/>
    <w:rsid w:val="00997C2A"/>
    <w:rsid w:val="009A00A2"/>
    <w:rsid w:val="009A0887"/>
    <w:rsid w:val="009A09C1"/>
    <w:rsid w:val="009A0ADD"/>
    <w:rsid w:val="009A0D1C"/>
    <w:rsid w:val="009A0E0F"/>
    <w:rsid w:val="009A0F54"/>
    <w:rsid w:val="009A139F"/>
    <w:rsid w:val="009A1449"/>
    <w:rsid w:val="009A1816"/>
    <w:rsid w:val="009A1D22"/>
    <w:rsid w:val="009A200E"/>
    <w:rsid w:val="009A234C"/>
    <w:rsid w:val="009A2394"/>
    <w:rsid w:val="009A26E2"/>
    <w:rsid w:val="009A29C2"/>
    <w:rsid w:val="009A2B57"/>
    <w:rsid w:val="009A2BBD"/>
    <w:rsid w:val="009A2C52"/>
    <w:rsid w:val="009A307F"/>
    <w:rsid w:val="009A30BC"/>
    <w:rsid w:val="009A3257"/>
    <w:rsid w:val="009A350D"/>
    <w:rsid w:val="009A37BF"/>
    <w:rsid w:val="009A39D3"/>
    <w:rsid w:val="009A3BA2"/>
    <w:rsid w:val="009A3BAB"/>
    <w:rsid w:val="009A447C"/>
    <w:rsid w:val="009A4784"/>
    <w:rsid w:val="009A47E9"/>
    <w:rsid w:val="009A48D9"/>
    <w:rsid w:val="009A4C14"/>
    <w:rsid w:val="009A501E"/>
    <w:rsid w:val="009A544F"/>
    <w:rsid w:val="009A5578"/>
    <w:rsid w:val="009A578F"/>
    <w:rsid w:val="009A57CC"/>
    <w:rsid w:val="009A5F4B"/>
    <w:rsid w:val="009A5FB1"/>
    <w:rsid w:val="009A6007"/>
    <w:rsid w:val="009A6307"/>
    <w:rsid w:val="009A662C"/>
    <w:rsid w:val="009A69A0"/>
    <w:rsid w:val="009A6B1C"/>
    <w:rsid w:val="009A6D00"/>
    <w:rsid w:val="009A722F"/>
    <w:rsid w:val="009A739B"/>
    <w:rsid w:val="009A7538"/>
    <w:rsid w:val="009A7642"/>
    <w:rsid w:val="009A790A"/>
    <w:rsid w:val="009A7B6C"/>
    <w:rsid w:val="009A7DF8"/>
    <w:rsid w:val="009A7F96"/>
    <w:rsid w:val="009B00D0"/>
    <w:rsid w:val="009B0367"/>
    <w:rsid w:val="009B071C"/>
    <w:rsid w:val="009B0889"/>
    <w:rsid w:val="009B08E5"/>
    <w:rsid w:val="009B0B14"/>
    <w:rsid w:val="009B0E94"/>
    <w:rsid w:val="009B0ED5"/>
    <w:rsid w:val="009B0F61"/>
    <w:rsid w:val="009B15ED"/>
    <w:rsid w:val="009B1B7A"/>
    <w:rsid w:val="009B1C6F"/>
    <w:rsid w:val="009B1E1B"/>
    <w:rsid w:val="009B1E4E"/>
    <w:rsid w:val="009B1FD2"/>
    <w:rsid w:val="009B22FC"/>
    <w:rsid w:val="009B2332"/>
    <w:rsid w:val="009B26AA"/>
    <w:rsid w:val="009B28BC"/>
    <w:rsid w:val="009B2D58"/>
    <w:rsid w:val="009B2E8A"/>
    <w:rsid w:val="009B2EB9"/>
    <w:rsid w:val="009B305E"/>
    <w:rsid w:val="009B3161"/>
    <w:rsid w:val="009B353A"/>
    <w:rsid w:val="009B3A78"/>
    <w:rsid w:val="009B3BA2"/>
    <w:rsid w:val="009B3BDA"/>
    <w:rsid w:val="009B3CA7"/>
    <w:rsid w:val="009B3D37"/>
    <w:rsid w:val="009B4417"/>
    <w:rsid w:val="009B4465"/>
    <w:rsid w:val="009B44E6"/>
    <w:rsid w:val="009B4575"/>
    <w:rsid w:val="009B45CD"/>
    <w:rsid w:val="009B4721"/>
    <w:rsid w:val="009B476A"/>
    <w:rsid w:val="009B4CF9"/>
    <w:rsid w:val="009B4EA1"/>
    <w:rsid w:val="009B4ED7"/>
    <w:rsid w:val="009B4EDF"/>
    <w:rsid w:val="009B535F"/>
    <w:rsid w:val="009B5712"/>
    <w:rsid w:val="009B5716"/>
    <w:rsid w:val="009B5758"/>
    <w:rsid w:val="009B58A7"/>
    <w:rsid w:val="009B5A6C"/>
    <w:rsid w:val="009B5CD2"/>
    <w:rsid w:val="009B5E1C"/>
    <w:rsid w:val="009B5E1F"/>
    <w:rsid w:val="009B5E68"/>
    <w:rsid w:val="009B5F33"/>
    <w:rsid w:val="009B6265"/>
    <w:rsid w:val="009B6384"/>
    <w:rsid w:val="009B653D"/>
    <w:rsid w:val="009B65B6"/>
    <w:rsid w:val="009B661E"/>
    <w:rsid w:val="009B6749"/>
    <w:rsid w:val="009B6862"/>
    <w:rsid w:val="009B6A7A"/>
    <w:rsid w:val="009B6B26"/>
    <w:rsid w:val="009B6C65"/>
    <w:rsid w:val="009B6D5D"/>
    <w:rsid w:val="009B6E32"/>
    <w:rsid w:val="009B6E9A"/>
    <w:rsid w:val="009B6EB8"/>
    <w:rsid w:val="009B6F07"/>
    <w:rsid w:val="009B7338"/>
    <w:rsid w:val="009B7637"/>
    <w:rsid w:val="009C009D"/>
    <w:rsid w:val="009C01B4"/>
    <w:rsid w:val="009C01FE"/>
    <w:rsid w:val="009C0212"/>
    <w:rsid w:val="009C02EE"/>
    <w:rsid w:val="009C0510"/>
    <w:rsid w:val="009C0FD4"/>
    <w:rsid w:val="009C114B"/>
    <w:rsid w:val="009C1213"/>
    <w:rsid w:val="009C1263"/>
    <w:rsid w:val="009C13BA"/>
    <w:rsid w:val="009C13EE"/>
    <w:rsid w:val="009C15EC"/>
    <w:rsid w:val="009C16E7"/>
    <w:rsid w:val="009C182E"/>
    <w:rsid w:val="009C1A05"/>
    <w:rsid w:val="009C1B06"/>
    <w:rsid w:val="009C1B58"/>
    <w:rsid w:val="009C1BD3"/>
    <w:rsid w:val="009C1C03"/>
    <w:rsid w:val="009C1F4B"/>
    <w:rsid w:val="009C20A3"/>
    <w:rsid w:val="009C21DF"/>
    <w:rsid w:val="009C2850"/>
    <w:rsid w:val="009C316B"/>
    <w:rsid w:val="009C325E"/>
    <w:rsid w:val="009C3300"/>
    <w:rsid w:val="009C3714"/>
    <w:rsid w:val="009C3988"/>
    <w:rsid w:val="009C3A93"/>
    <w:rsid w:val="009C3B31"/>
    <w:rsid w:val="009C3C52"/>
    <w:rsid w:val="009C3DF7"/>
    <w:rsid w:val="009C41A6"/>
    <w:rsid w:val="009C422B"/>
    <w:rsid w:val="009C4288"/>
    <w:rsid w:val="009C439C"/>
    <w:rsid w:val="009C46F6"/>
    <w:rsid w:val="009C4753"/>
    <w:rsid w:val="009C48F3"/>
    <w:rsid w:val="009C4ACD"/>
    <w:rsid w:val="009C4C00"/>
    <w:rsid w:val="009C4C56"/>
    <w:rsid w:val="009C4DAE"/>
    <w:rsid w:val="009C4F9C"/>
    <w:rsid w:val="009C5429"/>
    <w:rsid w:val="009C55F2"/>
    <w:rsid w:val="009C5734"/>
    <w:rsid w:val="009C57BF"/>
    <w:rsid w:val="009C594B"/>
    <w:rsid w:val="009C5A21"/>
    <w:rsid w:val="009C5A99"/>
    <w:rsid w:val="009C5AC1"/>
    <w:rsid w:val="009C5C89"/>
    <w:rsid w:val="009C5DED"/>
    <w:rsid w:val="009C5E33"/>
    <w:rsid w:val="009C5F4D"/>
    <w:rsid w:val="009C63DF"/>
    <w:rsid w:val="009C684B"/>
    <w:rsid w:val="009C6B5C"/>
    <w:rsid w:val="009C6D53"/>
    <w:rsid w:val="009C6E15"/>
    <w:rsid w:val="009C6FD3"/>
    <w:rsid w:val="009C6FEC"/>
    <w:rsid w:val="009C71FE"/>
    <w:rsid w:val="009C751D"/>
    <w:rsid w:val="009C75A9"/>
    <w:rsid w:val="009C7621"/>
    <w:rsid w:val="009C7888"/>
    <w:rsid w:val="009C7C15"/>
    <w:rsid w:val="009C7D7B"/>
    <w:rsid w:val="009C7E5D"/>
    <w:rsid w:val="009C7FEF"/>
    <w:rsid w:val="009D01B9"/>
    <w:rsid w:val="009D02E4"/>
    <w:rsid w:val="009D0506"/>
    <w:rsid w:val="009D0705"/>
    <w:rsid w:val="009D0A15"/>
    <w:rsid w:val="009D0CC6"/>
    <w:rsid w:val="009D0F99"/>
    <w:rsid w:val="009D100E"/>
    <w:rsid w:val="009D11C1"/>
    <w:rsid w:val="009D14FF"/>
    <w:rsid w:val="009D17DD"/>
    <w:rsid w:val="009D193B"/>
    <w:rsid w:val="009D1A0B"/>
    <w:rsid w:val="009D1AC2"/>
    <w:rsid w:val="009D1B3F"/>
    <w:rsid w:val="009D1C5F"/>
    <w:rsid w:val="009D1DB5"/>
    <w:rsid w:val="009D1FAC"/>
    <w:rsid w:val="009D251A"/>
    <w:rsid w:val="009D2813"/>
    <w:rsid w:val="009D2898"/>
    <w:rsid w:val="009D3036"/>
    <w:rsid w:val="009D3099"/>
    <w:rsid w:val="009D32C0"/>
    <w:rsid w:val="009D337D"/>
    <w:rsid w:val="009D36A2"/>
    <w:rsid w:val="009D398E"/>
    <w:rsid w:val="009D3EB3"/>
    <w:rsid w:val="009D3F2F"/>
    <w:rsid w:val="009D4057"/>
    <w:rsid w:val="009D4374"/>
    <w:rsid w:val="009D44B7"/>
    <w:rsid w:val="009D464A"/>
    <w:rsid w:val="009D4741"/>
    <w:rsid w:val="009D48F9"/>
    <w:rsid w:val="009D4DC5"/>
    <w:rsid w:val="009D5280"/>
    <w:rsid w:val="009D549B"/>
    <w:rsid w:val="009D5572"/>
    <w:rsid w:val="009D5790"/>
    <w:rsid w:val="009D5799"/>
    <w:rsid w:val="009D5890"/>
    <w:rsid w:val="009D5BD4"/>
    <w:rsid w:val="009D5E21"/>
    <w:rsid w:val="009D5FD9"/>
    <w:rsid w:val="009D60CA"/>
    <w:rsid w:val="009D60FC"/>
    <w:rsid w:val="009D62F8"/>
    <w:rsid w:val="009D6358"/>
    <w:rsid w:val="009D63AD"/>
    <w:rsid w:val="009D64C4"/>
    <w:rsid w:val="009D683D"/>
    <w:rsid w:val="009D6E3E"/>
    <w:rsid w:val="009D6E8F"/>
    <w:rsid w:val="009D6F13"/>
    <w:rsid w:val="009D71E0"/>
    <w:rsid w:val="009D75BB"/>
    <w:rsid w:val="009D7802"/>
    <w:rsid w:val="009D79AB"/>
    <w:rsid w:val="009E0314"/>
    <w:rsid w:val="009E031A"/>
    <w:rsid w:val="009E05B8"/>
    <w:rsid w:val="009E0658"/>
    <w:rsid w:val="009E06AF"/>
    <w:rsid w:val="009E097B"/>
    <w:rsid w:val="009E0ACC"/>
    <w:rsid w:val="009E0B1A"/>
    <w:rsid w:val="009E0BB4"/>
    <w:rsid w:val="009E0EE9"/>
    <w:rsid w:val="009E0F1C"/>
    <w:rsid w:val="009E0F40"/>
    <w:rsid w:val="009E0F43"/>
    <w:rsid w:val="009E1062"/>
    <w:rsid w:val="009E1266"/>
    <w:rsid w:val="009E1420"/>
    <w:rsid w:val="009E15B5"/>
    <w:rsid w:val="009E1724"/>
    <w:rsid w:val="009E189F"/>
    <w:rsid w:val="009E19DB"/>
    <w:rsid w:val="009E1AE6"/>
    <w:rsid w:val="009E1B83"/>
    <w:rsid w:val="009E1FDE"/>
    <w:rsid w:val="009E2276"/>
    <w:rsid w:val="009E2A0A"/>
    <w:rsid w:val="009E2AF7"/>
    <w:rsid w:val="009E2B0E"/>
    <w:rsid w:val="009E2B7A"/>
    <w:rsid w:val="009E2C2F"/>
    <w:rsid w:val="009E2CBC"/>
    <w:rsid w:val="009E3147"/>
    <w:rsid w:val="009E32BA"/>
    <w:rsid w:val="009E33C9"/>
    <w:rsid w:val="009E34E6"/>
    <w:rsid w:val="009E3649"/>
    <w:rsid w:val="009E36BE"/>
    <w:rsid w:val="009E38AD"/>
    <w:rsid w:val="009E39B7"/>
    <w:rsid w:val="009E3A2B"/>
    <w:rsid w:val="009E3A6D"/>
    <w:rsid w:val="009E41EB"/>
    <w:rsid w:val="009E4281"/>
    <w:rsid w:val="009E489F"/>
    <w:rsid w:val="009E4C2B"/>
    <w:rsid w:val="009E4D0C"/>
    <w:rsid w:val="009E4D81"/>
    <w:rsid w:val="009E50E6"/>
    <w:rsid w:val="009E5198"/>
    <w:rsid w:val="009E52DB"/>
    <w:rsid w:val="009E5628"/>
    <w:rsid w:val="009E58EE"/>
    <w:rsid w:val="009E59E8"/>
    <w:rsid w:val="009E5F70"/>
    <w:rsid w:val="009E62D2"/>
    <w:rsid w:val="009E6409"/>
    <w:rsid w:val="009E656C"/>
    <w:rsid w:val="009E6644"/>
    <w:rsid w:val="009E67BE"/>
    <w:rsid w:val="009E67D1"/>
    <w:rsid w:val="009E67E1"/>
    <w:rsid w:val="009E6AD2"/>
    <w:rsid w:val="009E7842"/>
    <w:rsid w:val="009E790A"/>
    <w:rsid w:val="009E7999"/>
    <w:rsid w:val="009E7A08"/>
    <w:rsid w:val="009E7A92"/>
    <w:rsid w:val="009E7F9D"/>
    <w:rsid w:val="009F0119"/>
    <w:rsid w:val="009F0248"/>
    <w:rsid w:val="009F036B"/>
    <w:rsid w:val="009F04DD"/>
    <w:rsid w:val="009F057F"/>
    <w:rsid w:val="009F06DE"/>
    <w:rsid w:val="009F0CDE"/>
    <w:rsid w:val="009F0FEC"/>
    <w:rsid w:val="009F1045"/>
    <w:rsid w:val="009F1118"/>
    <w:rsid w:val="009F1151"/>
    <w:rsid w:val="009F1170"/>
    <w:rsid w:val="009F119A"/>
    <w:rsid w:val="009F120B"/>
    <w:rsid w:val="009F135B"/>
    <w:rsid w:val="009F145B"/>
    <w:rsid w:val="009F14E1"/>
    <w:rsid w:val="009F1CF6"/>
    <w:rsid w:val="009F20A2"/>
    <w:rsid w:val="009F2371"/>
    <w:rsid w:val="009F2869"/>
    <w:rsid w:val="009F2987"/>
    <w:rsid w:val="009F2C07"/>
    <w:rsid w:val="009F2C62"/>
    <w:rsid w:val="009F3520"/>
    <w:rsid w:val="009F3572"/>
    <w:rsid w:val="009F360C"/>
    <w:rsid w:val="009F3673"/>
    <w:rsid w:val="009F36EC"/>
    <w:rsid w:val="009F3726"/>
    <w:rsid w:val="009F384C"/>
    <w:rsid w:val="009F3A93"/>
    <w:rsid w:val="009F3C0C"/>
    <w:rsid w:val="009F3DE2"/>
    <w:rsid w:val="009F423B"/>
    <w:rsid w:val="009F42BF"/>
    <w:rsid w:val="009F42FD"/>
    <w:rsid w:val="009F4823"/>
    <w:rsid w:val="009F4B9D"/>
    <w:rsid w:val="009F4C78"/>
    <w:rsid w:val="009F4E17"/>
    <w:rsid w:val="009F5348"/>
    <w:rsid w:val="009F5643"/>
    <w:rsid w:val="009F5681"/>
    <w:rsid w:val="009F58BF"/>
    <w:rsid w:val="009F5E2D"/>
    <w:rsid w:val="009F5E30"/>
    <w:rsid w:val="009F5E48"/>
    <w:rsid w:val="009F60A3"/>
    <w:rsid w:val="009F6530"/>
    <w:rsid w:val="009F6544"/>
    <w:rsid w:val="009F6770"/>
    <w:rsid w:val="009F6CE7"/>
    <w:rsid w:val="009F6D63"/>
    <w:rsid w:val="009F6EE0"/>
    <w:rsid w:val="009F7023"/>
    <w:rsid w:val="009F7356"/>
    <w:rsid w:val="009F7900"/>
    <w:rsid w:val="009F7996"/>
    <w:rsid w:val="009F7A73"/>
    <w:rsid w:val="009F7B01"/>
    <w:rsid w:val="009F7C09"/>
    <w:rsid w:val="009F7E15"/>
    <w:rsid w:val="009F7F07"/>
    <w:rsid w:val="009F7F75"/>
    <w:rsid w:val="00A0004C"/>
    <w:rsid w:val="00A0089A"/>
    <w:rsid w:val="00A00AF2"/>
    <w:rsid w:val="00A00BB4"/>
    <w:rsid w:val="00A00D7F"/>
    <w:rsid w:val="00A0103A"/>
    <w:rsid w:val="00A01047"/>
    <w:rsid w:val="00A010A4"/>
    <w:rsid w:val="00A012D9"/>
    <w:rsid w:val="00A013BC"/>
    <w:rsid w:val="00A0185F"/>
    <w:rsid w:val="00A018C4"/>
    <w:rsid w:val="00A01B54"/>
    <w:rsid w:val="00A01D8F"/>
    <w:rsid w:val="00A0231E"/>
    <w:rsid w:val="00A02965"/>
    <w:rsid w:val="00A02ABE"/>
    <w:rsid w:val="00A02D74"/>
    <w:rsid w:val="00A02DA6"/>
    <w:rsid w:val="00A02EF8"/>
    <w:rsid w:val="00A03090"/>
    <w:rsid w:val="00A0351F"/>
    <w:rsid w:val="00A035E5"/>
    <w:rsid w:val="00A03730"/>
    <w:rsid w:val="00A037A1"/>
    <w:rsid w:val="00A03810"/>
    <w:rsid w:val="00A03A5C"/>
    <w:rsid w:val="00A03DA2"/>
    <w:rsid w:val="00A03ED2"/>
    <w:rsid w:val="00A03F0B"/>
    <w:rsid w:val="00A0406E"/>
    <w:rsid w:val="00A04177"/>
    <w:rsid w:val="00A0437C"/>
    <w:rsid w:val="00A0444A"/>
    <w:rsid w:val="00A046FD"/>
    <w:rsid w:val="00A0481A"/>
    <w:rsid w:val="00A04998"/>
    <w:rsid w:val="00A04B4D"/>
    <w:rsid w:val="00A04C08"/>
    <w:rsid w:val="00A04C3C"/>
    <w:rsid w:val="00A04ED6"/>
    <w:rsid w:val="00A05192"/>
    <w:rsid w:val="00A05430"/>
    <w:rsid w:val="00A05B36"/>
    <w:rsid w:val="00A05B38"/>
    <w:rsid w:val="00A05CC1"/>
    <w:rsid w:val="00A05E70"/>
    <w:rsid w:val="00A05F14"/>
    <w:rsid w:val="00A05F4A"/>
    <w:rsid w:val="00A0603E"/>
    <w:rsid w:val="00A06579"/>
    <w:rsid w:val="00A0679B"/>
    <w:rsid w:val="00A069B9"/>
    <w:rsid w:val="00A069F4"/>
    <w:rsid w:val="00A06C55"/>
    <w:rsid w:val="00A070B9"/>
    <w:rsid w:val="00A0780D"/>
    <w:rsid w:val="00A07AEF"/>
    <w:rsid w:val="00A07B6E"/>
    <w:rsid w:val="00A07BC6"/>
    <w:rsid w:val="00A07C49"/>
    <w:rsid w:val="00A1027F"/>
    <w:rsid w:val="00A10470"/>
    <w:rsid w:val="00A107B6"/>
    <w:rsid w:val="00A107DA"/>
    <w:rsid w:val="00A10B44"/>
    <w:rsid w:val="00A10B9B"/>
    <w:rsid w:val="00A10E29"/>
    <w:rsid w:val="00A10F14"/>
    <w:rsid w:val="00A11699"/>
    <w:rsid w:val="00A117C9"/>
    <w:rsid w:val="00A1193D"/>
    <w:rsid w:val="00A11BB4"/>
    <w:rsid w:val="00A11C0D"/>
    <w:rsid w:val="00A11D6C"/>
    <w:rsid w:val="00A11DDA"/>
    <w:rsid w:val="00A11FD6"/>
    <w:rsid w:val="00A12534"/>
    <w:rsid w:val="00A1260B"/>
    <w:rsid w:val="00A12803"/>
    <w:rsid w:val="00A12E1B"/>
    <w:rsid w:val="00A12E87"/>
    <w:rsid w:val="00A132FD"/>
    <w:rsid w:val="00A13382"/>
    <w:rsid w:val="00A136A0"/>
    <w:rsid w:val="00A137CF"/>
    <w:rsid w:val="00A137E2"/>
    <w:rsid w:val="00A1391C"/>
    <w:rsid w:val="00A139CC"/>
    <w:rsid w:val="00A13AED"/>
    <w:rsid w:val="00A13C33"/>
    <w:rsid w:val="00A13CCE"/>
    <w:rsid w:val="00A13ED4"/>
    <w:rsid w:val="00A13F25"/>
    <w:rsid w:val="00A14393"/>
    <w:rsid w:val="00A1439F"/>
    <w:rsid w:val="00A143DD"/>
    <w:rsid w:val="00A143FB"/>
    <w:rsid w:val="00A1443F"/>
    <w:rsid w:val="00A14517"/>
    <w:rsid w:val="00A14551"/>
    <w:rsid w:val="00A14A21"/>
    <w:rsid w:val="00A14AC3"/>
    <w:rsid w:val="00A14CE9"/>
    <w:rsid w:val="00A15102"/>
    <w:rsid w:val="00A15333"/>
    <w:rsid w:val="00A15361"/>
    <w:rsid w:val="00A157BE"/>
    <w:rsid w:val="00A15834"/>
    <w:rsid w:val="00A15A01"/>
    <w:rsid w:val="00A1625C"/>
    <w:rsid w:val="00A163FC"/>
    <w:rsid w:val="00A16645"/>
    <w:rsid w:val="00A16D65"/>
    <w:rsid w:val="00A170DF"/>
    <w:rsid w:val="00A17245"/>
    <w:rsid w:val="00A174FB"/>
    <w:rsid w:val="00A17654"/>
    <w:rsid w:val="00A17814"/>
    <w:rsid w:val="00A17B38"/>
    <w:rsid w:val="00A17B93"/>
    <w:rsid w:val="00A17ED3"/>
    <w:rsid w:val="00A20373"/>
    <w:rsid w:val="00A20849"/>
    <w:rsid w:val="00A2087C"/>
    <w:rsid w:val="00A20A5E"/>
    <w:rsid w:val="00A20A9D"/>
    <w:rsid w:val="00A20E6B"/>
    <w:rsid w:val="00A216F0"/>
    <w:rsid w:val="00A219A2"/>
    <w:rsid w:val="00A21A3A"/>
    <w:rsid w:val="00A21B30"/>
    <w:rsid w:val="00A21DCE"/>
    <w:rsid w:val="00A220BD"/>
    <w:rsid w:val="00A22B3E"/>
    <w:rsid w:val="00A22BA1"/>
    <w:rsid w:val="00A22CD9"/>
    <w:rsid w:val="00A22D40"/>
    <w:rsid w:val="00A22FF0"/>
    <w:rsid w:val="00A232A6"/>
    <w:rsid w:val="00A2345E"/>
    <w:rsid w:val="00A237AB"/>
    <w:rsid w:val="00A2381E"/>
    <w:rsid w:val="00A23985"/>
    <w:rsid w:val="00A23ADD"/>
    <w:rsid w:val="00A23C08"/>
    <w:rsid w:val="00A23C3E"/>
    <w:rsid w:val="00A23D2E"/>
    <w:rsid w:val="00A24113"/>
    <w:rsid w:val="00A248D4"/>
    <w:rsid w:val="00A24B15"/>
    <w:rsid w:val="00A24BA3"/>
    <w:rsid w:val="00A24F27"/>
    <w:rsid w:val="00A24FB4"/>
    <w:rsid w:val="00A2518C"/>
    <w:rsid w:val="00A252DE"/>
    <w:rsid w:val="00A25761"/>
    <w:rsid w:val="00A257AD"/>
    <w:rsid w:val="00A2589B"/>
    <w:rsid w:val="00A258FD"/>
    <w:rsid w:val="00A25904"/>
    <w:rsid w:val="00A25932"/>
    <w:rsid w:val="00A25B1C"/>
    <w:rsid w:val="00A25D0F"/>
    <w:rsid w:val="00A26008"/>
    <w:rsid w:val="00A2602B"/>
    <w:rsid w:val="00A26262"/>
    <w:rsid w:val="00A26330"/>
    <w:rsid w:val="00A264F5"/>
    <w:rsid w:val="00A2686F"/>
    <w:rsid w:val="00A2690F"/>
    <w:rsid w:val="00A26ADA"/>
    <w:rsid w:val="00A26EE5"/>
    <w:rsid w:val="00A271F3"/>
    <w:rsid w:val="00A2730E"/>
    <w:rsid w:val="00A27564"/>
    <w:rsid w:val="00A276CF"/>
    <w:rsid w:val="00A276DF"/>
    <w:rsid w:val="00A277F5"/>
    <w:rsid w:val="00A278E0"/>
    <w:rsid w:val="00A27B4F"/>
    <w:rsid w:val="00A27BCD"/>
    <w:rsid w:val="00A27BEB"/>
    <w:rsid w:val="00A27D76"/>
    <w:rsid w:val="00A27FBE"/>
    <w:rsid w:val="00A30298"/>
    <w:rsid w:val="00A30478"/>
    <w:rsid w:val="00A30875"/>
    <w:rsid w:val="00A30B96"/>
    <w:rsid w:val="00A311FD"/>
    <w:rsid w:val="00A31305"/>
    <w:rsid w:val="00A31378"/>
    <w:rsid w:val="00A3146E"/>
    <w:rsid w:val="00A31483"/>
    <w:rsid w:val="00A314E8"/>
    <w:rsid w:val="00A31563"/>
    <w:rsid w:val="00A315BE"/>
    <w:rsid w:val="00A315D2"/>
    <w:rsid w:val="00A316F0"/>
    <w:rsid w:val="00A31703"/>
    <w:rsid w:val="00A3175D"/>
    <w:rsid w:val="00A317CC"/>
    <w:rsid w:val="00A318B6"/>
    <w:rsid w:val="00A31FCC"/>
    <w:rsid w:val="00A321A4"/>
    <w:rsid w:val="00A32386"/>
    <w:rsid w:val="00A32508"/>
    <w:rsid w:val="00A3262D"/>
    <w:rsid w:val="00A327B5"/>
    <w:rsid w:val="00A32B05"/>
    <w:rsid w:val="00A32B4C"/>
    <w:rsid w:val="00A32BC9"/>
    <w:rsid w:val="00A32D51"/>
    <w:rsid w:val="00A332D0"/>
    <w:rsid w:val="00A334A2"/>
    <w:rsid w:val="00A3370B"/>
    <w:rsid w:val="00A339F3"/>
    <w:rsid w:val="00A339F8"/>
    <w:rsid w:val="00A33A88"/>
    <w:rsid w:val="00A33B73"/>
    <w:rsid w:val="00A33CCF"/>
    <w:rsid w:val="00A33ECE"/>
    <w:rsid w:val="00A33F88"/>
    <w:rsid w:val="00A33FB4"/>
    <w:rsid w:val="00A346DD"/>
    <w:rsid w:val="00A3493C"/>
    <w:rsid w:val="00A34AA7"/>
    <w:rsid w:val="00A34D20"/>
    <w:rsid w:val="00A3583B"/>
    <w:rsid w:val="00A358D5"/>
    <w:rsid w:val="00A35A80"/>
    <w:rsid w:val="00A35B2D"/>
    <w:rsid w:val="00A35C16"/>
    <w:rsid w:val="00A35C5A"/>
    <w:rsid w:val="00A35F2C"/>
    <w:rsid w:val="00A3615C"/>
    <w:rsid w:val="00A3618E"/>
    <w:rsid w:val="00A362CE"/>
    <w:rsid w:val="00A36383"/>
    <w:rsid w:val="00A36702"/>
    <w:rsid w:val="00A3680F"/>
    <w:rsid w:val="00A36D0F"/>
    <w:rsid w:val="00A36DD9"/>
    <w:rsid w:val="00A36E73"/>
    <w:rsid w:val="00A37100"/>
    <w:rsid w:val="00A3711C"/>
    <w:rsid w:val="00A37507"/>
    <w:rsid w:val="00A3778A"/>
    <w:rsid w:val="00A379B1"/>
    <w:rsid w:val="00A379C6"/>
    <w:rsid w:val="00A37C53"/>
    <w:rsid w:val="00A37E6C"/>
    <w:rsid w:val="00A37F25"/>
    <w:rsid w:val="00A37F7E"/>
    <w:rsid w:val="00A37FD9"/>
    <w:rsid w:val="00A4005E"/>
    <w:rsid w:val="00A40266"/>
    <w:rsid w:val="00A403C1"/>
    <w:rsid w:val="00A407EB"/>
    <w:rsid w:val="00A409C9"/>
    <w:rsid w:val="00A409E5"/>
    <w:rsid w:val="00A40D74"/>
    <w:rsid w:val="00A41494"/>
    <w:rsid w:val="00A415BA"/>
    <w:rsid w:val="00A4171B"/>
    <w:rsid w:val="00A41737"/>
    <w:rsid w:val="00A4174A"/>
    <w:rsid w:val="00A41AA7"/>
    <w:rsid w:val="00A41B74"/>
    <w:rsid w:val="00A41CFB"/>
    <w:rsid w:val="00A420CF"/>
    <w:rsid w:val="00A42396"/>
    <w:rsid w:val="00A4240C"/>
    <w:rsid w:val="00A425F9"/>
    <w:rsid w:val="00A42631"/>
    <w:rsid w:val="00A426DB"/>
    <w:rsid w:val="00A42B7A"/>
    <w:rsid w:val="00A42EF0"/>
    <w:rsid w:val="00A43607"/>
    <w:rsid w:val="00A436E4"/>
    <w:rsid w:val="00A436FA"/>
    <w:rsid w:val="00A439E5"/>
    <w:rsid w:val="00A43CB4"/>
    <w:rsid w:val="00A43D2D"/>
    <w:rsid w:val="00A44030"/>
    <w:rsid w:val="00A44034"/>
    <w:rsid w:val="00A441C0"/>
    <w:rsid w:val="00A44200"/>
    <w:rsid w:val="00A443DA"/>
    <w:rsid w:val="00A447F5"/>
    <w:rsid w:val="00A4496D"/>
    <w:rsid w:val="00A44AC7"/>
    <w:rsid w:val="00A44C51"/>
    <w:rsid w:val="00A44E89"/>
    <w:rsid w:val="00A45288"/>
    <w:rsid w:val="00A452B1"/>
    <w:rsid w:val="00A45361"/>
    <w:rsid w:val="00A45689"/>
    <w:rsid w:val="00A458C5"/>
    <w:rsid w:val="00A4594D"/>
    <w:rsid w:val="00A45C26"/>
    <w:rsid w:val="00A460EE"/>
    <w:rsid w:val="00A462AC"/>
    <w:rsid w:val="00A464D1"/>
    <w:rsid w:val="00A46598"/>
    <w:rsid w:val="00A466EB"/>
    <w:rsid w:val="00A468CE"/>
    <w:rsid w:val="00A46AB6"/>
    <w:rsid w:val="00A46BAA"/>
    <w:rsid w:val="00A46E5E"/>
    <w:rsid w:val="00A46F67"/>
    <w:rsid w:val="00A4701E"/>
    <w:rsid w:val="00A4712B"/>
    <w:rsid w:val="00A471AE"/>
    <w:rsid w:val="00A471B8"/>
    <w:rsid w:val="00A47296"/>
    <w:rsid w:val="00A4779E"/>
    <w:rsid w:val="00A47BDA"/>
    <w:rsid w:val="00A47CD6"/>
    <w:rsid w:val="00A47D76"/>
    <w:rsid w:val="00A5010A"/>
    <w:rsid w:val="00A50128"/>
    <w:rsid w:val="00A505AD"/>
    <w:rsid w:val="00A50795"/>
    <w:rsid w:val="00A509CC"/>
    <w:rsid w:val="00A50C45"/>
    <w:rsid w:val="00A50C6E"/>
    <w:rsid w:val="00A50DEB"/>
    <w:rsid w:val="00A50E59"/>
    <w:rsid w:val="00A50E66"/>
    <w:rsid w:val="00A51065"/>
    <w:rsid w:val="00A510BE"/>
    <w:rsid w:val="00A5199D"/>
    <w:rsid w:val="00A52023"/>
    <w:rsid w:val="00A52055"/>
    <w:rsid w:val="00A527DF"/>
    <w:rsid w:val="00A52DDF"/>
    <w:rsid w:val="00A53229"/>
    <w:rsid w:val="00A533CC"/>
    <w:rsid w:val="00A53997"/>
    <w:rsid w:val="00A53A77"/>
    <w:rsid w:val="00A53B14"/>
    <w:rsid w:val="00A53F31"/>
    <w:rsid w:val="00A5411A"/>
    <w:rsid w:val="00A54227"/>
    <w:rsid w:val="00A54245"/>
    <w:rsid w:val="00A54274"/>
    <w:rsid w:val="00A542C1"/>
    <w:rsid w:val="00A545FF"/>
    <w:rsid w:val="00A547B3"/>
    <w:rsid w:val="00A547E9"/>
    <w:rsid w:val="00A54926"/>
    <w:rsid w:val="00A549E5"/>
    <w:rsid w:val="00A54B36"/>
    <w:rsid w:val="00A54CD7"/>
    <w:rsid w:val="00A55051"/>
    <w:rsid w:val="00A550C0"/>
    <w:rsid w:val="00A55604"/>
    <w:rsid w:val="00A5565D"/>
    <w:rsid w:val="00A55AAA"/>
    <w:rsid w:val="00A55B38"/>
    <w:rsid w:val="00A55D69"/>
    <w:rsid w:val="00A55FBE"/>
    <w:rsid w:val="00A5605F"/>
    <w:rsid w:val="00A5616C"/>
    <w:rsid w:val="00A56188"/>
    <w:rsid w:val="00A56215"/>
    <w:rsid w:val="00A564D9"/>
    <w:rsid w:val="00A565D2"/>
    <w:rsid w:val="00A56649"/>
    <w:rsid w:val="00A566EB"/>
    <w:rsid w:val="00A56785"/>
    <w:rsid w:val="00A5679B"/>
    <w:rsid w:val="00A567C4"/>
    <w:rsid w:val="00A56948"/>
    <w:rsid w:val="00A56B9A"/>
    <w:rsid w:val="00A57388"/>
    <w:rsid w:val="00A57662"/>
    <w:rsid w:val="00A576BB"/>
    <w:rsid w:val="00A57883"/>
    <w:rsid w:val="00A57ADA"/>
    <w:rsid w:val="00A57B20"/>
    <w:rsid w:val="00A57F29"/>
    <w:rsid w:val="00A57F92"/>
    <w:rsid w:val="00A60093"/>
    <w:rsid w:val="00A60121"/>
    <w:rsid w:val="00A6023A"/>
    <w:rsid w:val="00A602F0"/>
    <w:rsid w:val="00A6060E"/>
    <w:rsid w:val="00A6066F"/>
    <w:rsid w:val="00A606CA"/>
    <w:rsid w:val="00A60790"/>
    <w:rsid w:val="00A6089B"/>
    <w:rsid w:val="00A608AF"/>
    <w:rsid w:val="00A60B21"/>
    <w:rsid w:val="00A60FE6"/>
    <w:rsid w:val="00A61006"/>
    <w:rsid w:val="00A610DA"/>
    <w:rsid w:val="00A611B4"/>
    <w:rsid w:val="00A62285"/>
    <w:rsid w:val="00A62645"/>
    <w:rsid w:val="00A62C35"/>
    <w:rsid w:val="00A62CF3"/>
    <w:rsid w:val="00A62D96"/>
    <w:rsid w:val="00A62F83"/>
    <w:rsid w:val="00A633D0"/>
    <w:rsid w:val="00A639B1"/>
    <w:rsid w:val="00A63ABC"/>
    <w:rsid w:val="00A63C78"/>
    <w:rsid w:val="00A642C3"/>
    <w:rsid w:val="00A647E8"/>
    <w:rsid w:val="00A6488F"/>
    <w:rsid w:val="00A648E0"/>
    <w:rsid w:val="00A649A6"/>
    <w:rsid w:val="00A64E13"/>
    <w:rsid w:val="00A64E75"/>
    <w:rsid w:val="00A64F63"/>
    <w:rsid w:val="00A65002"/>
    <w:rsid w:val="00A6548D"/>
    <w:rsid w:val="00A65529"/>
    <w:rsid w:val="00A655A7"/>
    <w:rsid w:val="00A65B17"/>
    <w:rsid w:val="00A65C19"/>
    <w:rsid w:val="00A66035"/>
    <w:rsid w:val="00A662DE"/>
    <w:rsid w:val="00A66308"/>
    <w:rsid w:val="00A665FD"/>
    <w:rsid w:val="00A667D2"/>
    <w:rsid w:val="00A6683F"/>
    <w:rsid w:val="00A671CF"/>
    <w:rsid w:val="00A67261"/>
    <w:rsid w:val="00A67409"/>
    <w:rsid w:val="00A6757A"/>
    <w:rsid w:val="00A679EF"/>
    <w:rsid w:val="00A67C34"/>
    <w:rsid w:val="00A67C97"/>
    <w:rsid w:val="00A67D19"/>
    <w:rsid w:val="00A67E2C"/>
    <w:rsid w:val="00A70183"/>
    <w:rsid w:val="00A70270"/>
    <w:rsid w:val="00A704AF"/>
    <w:rsid w:val="00A7065E"/>
    <w:rsid w:val="00A7095B"/>
    <w:rsid w:val="00A70BE2"/>
    <w:rsid w:val="00A70E62"/>
    <w:rsid w:val="00A712BE"/>
    <w:rsid w:val="00A7131A"/>
    <w:rsid w:val="00A7147B"/>
    <w:rsid w:val="00A71515"/>
    <w:rsid w:val="00A71608"/>
    <w:rsid w:val="00A71908"/>
    <w:rsid w:val="00A71DD9"/>
    <w:rsid w:val="00A72089"/>
    <w:rsid w:val="00A72151"/>
    <w:rsid w:val="00A7221C"/>
    <w:rsid w:val="00A7227D"/>
    <w:rsid w:val="00A72533"/>
    <w:rsid w:val="00A7278C"/>
    <w:rsid w:val="00A72FA7"/>
    <w:rsid w:val="00A732D1"/>
    <w:rsid w:val="00A7344E"/>
    <w:rsid w:val="00A734BF"/>
    <w:rsid w:val="00A73636"/>
    <w:rsid w:val="00A736AC"/>
    <w:rsid w:val="00A7373D"/>
    <w:rsid w:val="00A7387C"/>
    <w:rsid w:val="00A7393F"/>
    <w:rsid w:val="00A7396F"/>
    <w:rsid w:val="00A73BB3"/>
    <w:rsid w:val="00A73C7E"/>
    <w:rsid w:val="00A73CA3"/>
    <w:rsid w:val="00A73CD1"/>
    <w:rsid w:val="00A73E25"/>
    <w:rsid w:val="00A73E7A"/>
    <w:rsid w:val="00A743C2"/>
    <w:rsid w:val="00A743D7"/>
    <w:rsid w:val="00A744D3"/>
    <w:rsid w:val="00A747E0"/>
    <w:rsid w:val="00A74989"/>
    <w:rsid w:val="00A74CDC"/>
    <w:rsid w:val="00A74D50"/>
    <w:rsid w:val="00A74DBC"/>
    <w:rsid w:val="00A74E09"/>
    <w:rsid w:val="00A74EA2"/>
    <w:rsid w:val="00A75029"/>
    <w:rsid w:val="00A751E7"/>
    <w:rsid w:val="00A758CE"/>
    <w:rsid w:val="00A7596A"/>
    <w:rsid w:val="00A75CBA"/>
    <w:rsid w:val="00A75F1B"/>
    <w:rsid w:val="00A761D0"/>
    <w:rsid w:val="00A76D17"/>
    <w:rsid w:val="00A76D9E"/>
    <w:rsid w:val="00A7710D"/>
    <w:rsid w:val="00A7723B"/>
    <w:rsid w:val="00A7727E"/>
    <w:rsid w:val="00A7743A"/>
    <w:rsid w:val="00A7792F"/>
    <w:rsid w:val="00A77A48"/>
    <w:rsid w:val="00A77CEC"/>
    <w:rsid w:val="00A77F4A"/>
    <w:rsid w:val="00A8011C"/>
    <w:rsid w:val="00A80172"/>
    <w:rsid w:val="00A80421"/>
    <w:rsid w:val="00A80468"/>
    <w:rsid w:val="00A8074F"/>
    <w:rsid w:val="00A8077E"/>
    <w:rsid w:val="00A8080A"/>
    <w:rsid w:val="00A80A2E"/>
    <w:rsid w:val="00A80E66"/>
    <w:rsid w:val="00A813A2"/>
    <w:rsid w:val="00A81516"/>
    <w:rsid w:val="00A8181B"/>
    <w:rsid w:val="00A8190E"/>
    <w:rsid w:val="00A81968"/>
    <w:rsid w:val="00A81CB3"/>
    <w:rsid w:val="00A81FA5"/>
    <w:rsid w:val="00A8230F"/>
    <w:rsid w:val="00A82340"/>
    <w:rsid w:val="00A824F1"/>
    <w:rsid w:val="00A825AB"/>
    <w:rsid w:val="00A82606"/>
    <w:rsid w:val="00A826EF"/>
    <w:rsid w:val="00A8287C"/>
    <w:rsid w:val="00A828BF"/>
    <w:rsid w:val="00A82A4C"/>
    <w:rsid w:val="00A82B68"/>
    <w:rsid w:val="00A82D79"/>
    <w:rsid w:val="00A82DE1"/>
    <w:rsid w:val="00A8314A"/>
    <w:rsid w:val="00A8336E"/>
    <w:rsid w:val="00A83496"/>
    <w:rsid w:val="00A837BF"/>
    <w:rsid w:val="00A838A6"/>
    <w:rsid w:val="00A839FC"/>
    <w:rsid w:val="00A83AC9"/>
    <w:rsid w:val="00A83AED"/>
    <w:rsid w:val="00A84052"/>
    <w:rsid w:val="00A84076"/>
    <w:rsid w:val="00A841CC"/>
    <w:rsid w:val="00A8426F"/>
    <w:rsid w:val="00A84429"/>
    <w:rsid w:val="00A8463C"/>
    <w:rsid w:val="00A85372"/>
    <w:rsid w:val="00A85649"/>
    <w:rsid w:val="00A8599E"/>
    <w:rsid w:val="00A85CEB"/>
    <w:rsid w:val="00A85D26"/>
    <w:rsid w:val="00A85DC0"/>
    <w:rsid w:val="00A86100"/>
    <w:rsid w:val="00A862C5"/>
    <w:rsid w:val="00A86BAC"/>
    <w:rsid w:val="00A86C92"/>
    <w:rsid w:val="00A86CFE"/>
    <w:rsid w:val="00A86D3E"/>
    <w:rsid w:val="00A86FA2"/>
    <w:rsid w:val="00A87887"/>
    <w:rsid w:val="00A87C6C"/>
    <w:rsid w:val="00A87D57"/>
    <w:rsid w:val="00A90228"/>
    <w:rsid w:val="00A9029B"/>
    <w:rsid w:val="00A9029D"/>
    <w:rsid w:val="00A902EE"/>
    <w:rsid w:val="00A90392"/>
    <w:rsid w:val="00A9057E"/>
    <w:rsid w:val="00A90794"/>
    <w:rsid w:val="00A90EB3"/>
    <w:rsid w:val="00A90FF8"/>
    <w:rsid w:val="00A9145C"/>
    <w:rsid w:val="00A91746"/>
    <w:rsid w:val="00A91769"/>
    <w:rsid w:val="00A918AE"/>
    <w:rsid w:val="00A91B2E"/>
    <w:rsid w:val="00A91DD3"/>
    <w:rsid w:val="00A9210A"/>
    <w:rsid w:val="00A92169"/>
    <w:rsid w:val="00A92190"/>
    <w:rsid w:val="00A9243F"/>
    <w:rsid w:val="00A927C8"/>
    <w:rsid w:val="00A92943"/>
    <w:rsid w:val="00A92991"/>
    <w:rsid w:val="00A92B2C"/>
    <w:rsid w:val="00A92B8D"/>
    <w:rsid w:val="00A92E54"/>
    <w:rsid w:val="00A92E94"/>
    <w:rsid w:val="00A92FFA"/>
    <w:rsid w:val="00A93080"/>
    <w:rsid w:val="00A9321C"/>
    <w:rsid w:val="00A93603"/>
    <w:rsid w:val="00A93670"/>
    <w:rsid w:val="00A9406B"/>
    <w:rsid w:val="00A9426D"/>
    <w:rsid w:val="00A94501"/>
    <w:rsid w:val="00A945A7"/>
    <w:rsid w:val="00A949DC"/>
    <w:rsid w:val="00A94B68"/>
    <w:rsid w:val="00A94E05"/>
    <w:rsid w:val="00A95053"/>
    <w:rsid w:val="00A9506F"/>
    <w:rsid w:val="00A95130"/>
    <w:rsid w:val="00A951D4"/>
    <w:rsid w:val="00A953B4"/>
    <w:rsid w:val="00A95540"/>
    <w:rsid w:val="00A95860"/>
    <w:rsid w:val="00A958EF"/>
    <w:rsid w:val="00A95A41"/>
    <w:rsid w:val="00A95B6C"/>
    <w:rsid w:val="00A95BE1"/>
    <w:rsid w:val="00A95E3A"/>
    <w:rsid w:val="00A95EFE"/>
    <w:rsid w:val="00A95F1A"/>
    <w:rsid w:val="00A964AE"/>
    <w:rsid w:val="00A9662C"/>
    <w:rsid w:val="00A968DD"/>
    <w:rsid w:val="00A96A6A"/>
    <w:rsid w:val="00A96CC2"/>
    <w:rsid w:val="00A970C7"/>
    <w:rsid w:val="00A974E2"/>
    <w:rsid w:val="00AA00B7"/>
    <w:rsid w:val="00AA0450"/>
    <w:rsid w:val="00AA04F6"/>
    <w:rsid w:val="00AA08C5"/>
    <w:rsid w:val="00AA0F04"/>
    <w:rsid w:val="00AA1270"/>
    <w:rsid w:val="00AA1283"/>
    <w:rsid w:val="00AA15B2"/>
    <w:rsid w:val="00AA1694"/>
    <w:rsid w:val="00AA18FE"/>
    <w:rsid w:val="00AA1A1A"/>
    <w:rsid w:val="00AA1B53"/>
    <w:rsid w:val="00AA20A9"/>
    <w:rsid w:val="00AA2271"/>
    <w:rsid w:val="00AA24ED"/>
    <w:rsid w:val="00AA2C84"/>
    <w:rsid w:val="00AA3089"/>
    <w:rsid w:val="00AA3377"/>
    <w:rsid w:val="00AA379D"/>
    <w:rsid w:val="00AA37BE"/>
    <w:rsid w:val="00AA39AD"/>
    <w:rsid w:val="00AA3B98"/>
    <w:rsid w:val="00AA46BA"/>
    <w:rsid w:val="00AA49B4"/>
    <w:rsid w:val="00AA4BF1"/>
    <w:rsid w:val="00AA4E4D"/>
    <w:rsid w:val="00AA538D"/>
    <w:rsid w:val="00AA554D"/>
    <w:rsid w:val="00AA56E4"/>
    <w:rsid w:val="00AA5BE1"/>
    <w:rsid w:val="00AA5CD1"/>
    <w:rsid w:val="00AA5DE1"/>
    <w:rsid w:val="00AA5E0E"/>
    <w:rsid w:val="00AA5F9B"/>
    <w:rsid w:val="00AA609C"/>
    <w:rsid w:val="00AA60B1"/>
    <w:rsid w:val="00AA60FD"/>
    <w:rsid w:val="00AA6508"/>
    <w:rsid w:val="00AA65B0"/>
    <w:rsid w:val="00AA666D"/>
    <w:rsid w:val="00AA6680"/>
    <w:rsid w:val="00AA6717"/>
    <w:rsid w:val="00AA6965"/>
    <w:rsid w:val="00AA69B1"/>
    <w:rsid w:val="00AA74E1"/>
    <w:rsid w:val="00AA76F6"/>
    <w:rsid w:val="00AA7ABB"/>
    <w:rsid w:val="00AA7C56"/>
    <w:rsid w:val="00AA7CAE"/>
    <w:rsid w:val="00AA7D98"/>
    <w:rsid w:val="00AB0048"/>
    <w:rsid w:val="00AB00E7"/>
    <w:rsid w:val="00AB0312"/>
    <w:rsid w:val="00AB06AE"/>
    <w:rsid w:val="00AB07C1"/>
    <w:rsid w:val="00AB07DB"/>
    <w:rsid w:val="00AB0915"/>
    <w:rsid w:val="00AB0AAB"/>
    <w:rsid w:val="00AB0B12"/>
    <w:rsid w:val="00AB1262"/>
    <w:rsid w:val="00AB131C"/>
    <w:rsid w:val="00AB131D"/>
    <w:rsid w:val="00AB1428"/>
    <w:rsid w:val="00AB1561"/>
    <w:rsid w:val="00AB1A2A"/>
    <w:rsid w:val="00AB1D03"/>
    <w:rsid w:val="00AB1E05"/>
    <w:rsid w:val="00AB2123"/>
    <w:rsid w:val="00AB23FB"/>
    <w:rsid w:val="00AB2544"/>
    <w:rsid w:val="00AB2792"/>
    <w:rsid w:val="00AB296A"/>
    <w:rsid w:val="00AB29BE"/>
    <w:rsid w:val="00AB2B46"/>
    <w:rsid w:val="00AB2B56"/>
    <w:rsid w:val="00AB2D4F"/>
    <w:rsid w:val="00AB2F75"/>
    <w:rsid w:val="00AB31D5"/>
    <w:rsid w:val="00AB31FB"/>
    <w:rsid w:val="00AB3605"/>
    <w:rsid w:val="00AB392C"/>
    <w:rsid w:val="00AB3A46"/>
    <w:rsid w:val="00AB3BC4"/>
    <w:rsid w:val="00AB3BFC"/>
    <w:rsid w:val="00AB3C45"/>
    <w:rsid w:val="00AB3C98"/>
    <w:rsid w:val="00AB3DA8"/>
    <w:rsid w:val="00AB3EA7"/>
    <w:rsid w:val="00AB41CE"/>
    <w:rsid w:val="00AB45FF"/>
    <w:rsid w:val="00AB47AB"/>
    <w:rsid w:val="00AB481A"/>
    <w:rsid w:val="00AB4C90"/>
    <w:rsid w:val="00AB4FD8"/>
    <w:rsid w:val="00AB5073"/>
    <w:rsid w:val="00AB5220"/>
    <w:rsid w:val="00AB5561"/>
    <w:rsid w:val="00AB59D1"/>
    <w:rsid w:val="00AB63DD"/>
    <w:rsid w:val="00AB67C3"/>
    <w:rsid w:val="00AB684F"/>
    <w:rsid w:val="00AB68A8"/>
    <w:rsid w:val="00AB6C97"/>
    <w:rsid w:val="00AB6FE7"/>
    <w:rsid w:val="00AB7051"/>
    <w:rsid w:val="00AB7833"/>
    <w:rsid w:val="00AB7846"/>
    <w:rsid w:val="00AB7982"/>
    <w:rsid w:val="00AB7A56"/>
    <w:rsid w:val="00AC029D"/>
    <w:rsid w:val="00AC04A0"/>
    <w:rsid w:val="00AC0607"/>
    <w:rsid w:val="00AC06A9"/>
    <w:rsid w:val="00AC0944"/>
    <w:rsid w:val="00AC0C80"/>
    <w:rsid w:val="00AC114A"/>
    <w:rsid w:val="00AC1275"/>
    <w:rsid w:val="00AC1413"/>
    <w:rsid w:val="00AC178E"/>
    <w:rsid w:val="00AC1831"/>
    <w:rsid w:val="00AC19E5"/>
    <w:rsid w:val="00AC1D9B"/>
    <w:rsid w:val="00AC2489"/>
    <w:rsid w:val="00AC27BB"/>
    <w:rsid w:val="00AC29D7"/>
    <w:rsid w:val="00AC2B24"/>
    <w:rsid w:val="00AC3466"/>
    <w:rsid w:val="00AC3653"/>
    <w:rsid w:val="00AC365A"/>
    <w:rsid w:val="00AC3872"/>
    <w:rsid w:val="00AC391E"/>
    <w:rsid w:val="00AC3922"/>
    <w:rsid w:val="00AC3D70"/>
    <w:rsid w:val="00AC4261"/>
    <w:rsid w:val="00AC46C2"/>
    <w:rsid w:val="00AC4B3E"/>
    <w:rsid w:val="00AC56FB"/>
    <w:rsid w:val="00AC5763"/>
    <w:rsid w:val="00AC58AD"/>
    <w:rsid w:val="00AC59DA"/>
    <w:rsid w:val="00AC5BAA"/>
    <w:rsid w:val="00AC61C1"/>
    <w:rsid w:val="00AC620A"/>
    <w:rsid w:val="00AC62C2"/>
    <w:rsid w:val="00AC63D6"/>
    <w:rsid w:val="00AC64EA"/>
    <w:rsid w:val="00AC66C8"/>
    <w:rsid w:val="00AC6757"/>
    <w:rsid w:val="00AC69D3"/>
    <w:rsid w:val="00AC6F01"/>
    <w:rsid w:val="00AC70BA"/>
    <w:rsid w:val="00AC7309"/>
    <w:rsid w:val="00AC7393"/>
    <w:rsid w:val="00AC7808"/>
    <w:rsid w:val="00AC7F2C"/>
    <w:rsid w:val="00AC7FEA"/>
    <w:rsid w:val="00AD0035"/>
    <w:rsid w:val="00AD01B5"/>
    <w:rsid w:val="00AD033F"/>
    <w:rsid w:val="00AD046A"/>
    <w:rsid w:val="00AD0C57"/>
    <w:rsid w:val="00AD0DFE"/>
    <w:rsid w:val="00AD0EC9"/>
    <w:rsid w:val="00AD0F2C"/>
    <w:rsid w:val="00AD1549"/>
    <w:rsid w:val="00AD194B"/>
    <w:rsid w:val="00AD1FE4"/>
    <w:rsid w:val="00AD1FE6"/>
    <w:rsid w:val="00AD206F"/>
    <w:rsid w:val="00AD234F"/>
    <w:rsid w:val="00AD27AE"/>
    <w:rsid w:val="00AD29A1"/>
    <w:rsid w:val="00AD2AD2"/>
    <w:rsid w:val="00AD2AD3"/>
    <w:rsid w:val="00AD2C89"/>
    <w:rsid w:val="00AD2D46"/>
    <w:rsid w:val="00AD2E2E"/>
    <w:rsid w:val="00AD2F2B"/>
    <w:rsid w:val="00AD2F52"/>
    <w:rsid w:val="00AD2F57"/>
    <w:rsid w:val="00AD2FD1"/>
    <w:rsid w:val="00AD30E5"/>
    <w:rsid w:val="00AD31FB"/>
    <w:rsid w:val="00AD37C2"/>
    <w:rsid w:val="00AD3948"/>
    <w:rsid w:val="00AD3A8F"/>
    <w:rsid w:val="00AD3C5C"/>
    <w:rsid w:val="00AD3D35"/>
    <w:rsid w:val="00AD3D92"/>
    <w:rsid w:val="00AD4170"/>
    <w:rsid w:val="00AD4184"/>
    <w:rsid w:val="00AD438D"/>
    <w:rsid w:val="00AD4584"/>
    <w:rsid w:val="00AD45A0"/>
    <w:rsid w:val="00AD45B5"/>
    <w:rsid w:val="00AD47A4"/>
    <w:rsid w:val="00AD4E34"/>
    <w:rsid w:val="00AD540E"/>
    <w:rsid w:val="00AD5466"/>
    <w:rsid w:val="00AD5876"/>
    <w:rsid w:val="00AD5896"/>
    <w:rsid w:val="00AD5929"/>
    <w:rsid w:val="00AD5968"/>
    <w:rsid w:val="00AD5E3A"/>
    <w:rsid w:val="00AD624E"/>
    <w:rsid w:val="00AD7187"/>
    <w:rsid w:val="00AD758E"/>
    <w:rsid w:val="00AD75CB"/>
    <w:rsid w:val="00AD794C"/>
    <w:rsid w:val="00AD7C71"/>
    <w:rsid w:val="00AD7CC9"/>
    <w:rsid w:val="00AD7E9D"/>
    <w:rsid w:val="00AE0922"/>
    <w:rsid w:val="00AE093D"/>
    <w:rsid w:val="00AE094F"/>
    <w:rsid w:val="00AE0984"/>
    <w:rsid w:val="00AE0EEB"/>
    <w:rsid w:val="00AE1187"/>
    <w:rsid w:val="00AE17CD"/>
    <w:rsid w:val="00AE17E1"/>
    <w:rsid w:val="00AE1CD4"/>
    <w:rsid w:val="00AE1DBC"/>
    <w:rsid w:val="00AE1E14"/>
    <w:rsid w:val="00AE1F25"/>
    <w:rsid w:val="00AE2018"/>
    <w:rsid w:val="00AE21F2"/>
    <w:rsid w:val="00AE227C"/>
    <w:rsid w:val="00AE22FB"/>
    <w:rsid w:val="00AE28E8"/>
    <w:rsid w:val="00AE2C20"/>
    <w:rsid w:val="00AE2CBF"/>
    <w:rsid w:val="00AE2FA8"/>
    <w:rsid w:val="00AE32FD"/>
    <w:rsid w:val="00AE3315"/>
    <w:rsid w:val="00AE3363"/>
    <w:rsid w:val="00AE34DD"/>
    <w:rsid w:val="00AE37B6"/>
    <w:rsid w:val="00AE37F6"/>
    <w:rsid w:val="00AE3C0D"/>
    <w:rsid w:val="00AE3C3F"/>
    <w:rsid w:val="00AE3CB9"/>
    <w:rsid w:val="00AE3CE6"/>
    <w:rsid w:val="00AE3DEF"/>
    <w:rsid w:val="00AE3E6B"/>
    <w:rsid w:val="00AE3EAD"/>
    <w:rsid w:val="00AE4103"/>
    <w:rsid w:val="00AE42BD"/>
    <w:rsid w:val="00AE42C1"/>
    <w:rsid w:val="00AE4308"/>
    <w:rsid w:val="00AE433D"/>
    <w:rsid w:val="00AE4682"/>
    <w:rsid w:val="00AE4813"/>
    <w:rsid w:val="00AE481E"/>
    <w:rsid w:val="00AE4875"/>
    <w:rsid w:val="00AE4918"/>
    <w:rsid w:val="00AE4BF0"/>
    <w:rsid w:val="00AE5370"/>
    <w:rsid w:val="00AE5D3B"/>
    <w:rsid w:val="00AE5F90"/>
    <w:rsid w:val="00AE601F"/>
    <w:rsid w:val="00AE6024"/>
    <w:rsid w:val="00AE60DB"/>
    <w:rsid w:val="00AE62DE"/>
    <w:rsid w:val="00AE64F5"/>
    <w:rsid w:val="00AE67FC"/>
    <w:rsid w:val="00AE6A6C"/>
    <w:rsid w:val="00AE6DD9"/>
    <w:rsid w:val="00AE6E86"/>
    <w:rsid w:val="00AE7077"/>
    <w:rsid w:val="00AE72B5"/>
    <w:rsid w:val="00AE7313"/>
    <w:rsid w:val="00AE733B"/>
    <w:rsid w:val="00AE77C8"/>
    <w:rsid w:val="00AE7950"/>
    <w:rsid w:val="00AE7D79"/>
    <w:rsid w:val="00AE7EA1"/>
    <w:rsid w:val="00AE7FF8"/>
    <w:rsid w:val="00AF0453"/>
    <w:rsid w:val="00AF06F7"/>
    <w:rsid w:val="00AF0D19"/>
    <w:rsid w:val="00AF0E88"/>
    <w:rsid w:val="00AF0ECC"/>
    <w:rsid w:val="00AF0FA4"/>
    <w:rsid w:val="00AF13E3"/>
    <w:rsid w:val="00AF13ED"/>
    <w:rsid w:val="00AF1B7C"/>
    <w:rsid w:val="00AF1CF4"/>
    <w:rsid w:val="00AF1F17"/>
    <w:rsid w:val="00AF24A9"/>
    <w:rsid w:val="00AF2AE1"/>
    <w:rsid w:val="00AF2D54"/>
    <w:rsid w:val="00AF2F22"/>
    <w:rsid w:val="00AF3043"/>
    <w:rsid w:val="00AF3849"/>
    <w:rsid w:val="00AF38E6"/>
    <w:rsid w:val="00AF39CF"/>
    <w:rsid w:val="00AF3A11"/>
    <w:rsid w:val="00AF3A7C"/>
    <w:rsid w:val="00AF3DF8"/>
    <w:rsid w:val="00AF44F0"/>
    <w:rsid w:val="00AF45C6"/>
    <w:rsid w:val="00AF4850"/>
    <w:rsid w:val="00AF48D5"/>
    <w:rsid w:val="00AF4934"/>
    <w:rsid w:val="00AF49A8"/>
    <w:rsid w:val="00AF4B14"/>
    <w:rsid w:val="00AF4B9B"/>
    <w:rsid w:val="00AF4C6D"/>
    <w:rsid w:val="00AF4CB7"/>
    <w:rsid w:val="00AF5648"/>
    <w:rsid w:val="00AF5AA6"/>
    <w:rsid w:val="00AF5B46"/>
    <w:rsid w:val="00AF6239"/>
    <w:rsid w:val="00AF62B2"/>
    <w:rsid w:val="00AF62E1"/>
    <w:rsid w:val="00AF63B4"/>
    <w:rsid w:val="00AF646C"/>
    <w:rsid w:val="00AF6509"/>
    <w:rsid w:val="00AF6D69"/>
    <w:rsid w:val="00AF6FF1"/>
    <w:rsid w:val="00AF719D"/>
    <w:rsid w:val="00AF74BB"/>
    <w:rsid w:val="00AF7511"/>
    <w:rsid w:val="00AF7A6F"/>
    <w:rsid w:val="00B0015C"/>
    <w:rsid w:val="00B00324"/>
    <w:rsid w:val="00B00402"/>
    <w:rsid w:val="00B0055B"/>
    <w:rsid w:val="00B00771"/>
    <w:rsid w:val="00B007F2"/>
    <w:rsid w:val="00B00DB5"/>
    <w:rsid w:val="00B0150C"/>
    <w:rsid w:val="00B01597"/>
    <w:rsid w:val="00B01632"/>
    <w:rsid w:val="00B0164D"/>
    <w:rsid w:val="00B01BFA"/>
    <w:rsid w:val="00B01C55"/>
    <w:rsid w:val="00B01D56"/>
    <w:rsid w:val="00B02108"/>
    <w:rsid w:val="00B0225D"/>
    <w:rsid w:val="00B024EA"/>
    <w:rsid w:val="00B027D8"/>
    <w:rsid w:val="00B02B4A"/>
    <w:rsid w:val="00B02E82"/>
    <w:rsid w:val="00B0311D"/>
    <w:rsid w:val="00B03279"/>
    <w:rsid w:val="00B032C0"/>
    <w:rsid w:val="00B034B0"/>
    <w:rsid w:val="00B0359F"/>
    <w:rsid w:val="00B038CA"/>
    <w:rsid w:val="00B039D9"/>
    <w:rsid w:val="00B03B8C"/>
    <w:rsid w:val="00B03B92"/>
    <w:rsid w:val="00B040BE"/>
    <w:rsid w:val="00B04481"/>
    <w:rsid w:val="00B047D8"/>
    <w:rsid w:val="00B04960"/>
    <w:rsid w:val="00B04C14"/>
    <w:rsid w:val="00B04DAE"/>
    <w:rsid w:val="00B04DD3"/>
    <w:rsid w:val="00B052CD"/>
    <w:rsid w:val="00B05623"/>
    <w:rsid w:val="00B057B1"/>
    <w:rsid w:val="00B059F9"/>
    <w:rsid w:val="00B05ACB"/>
    <w:rsid w:val="00B05B85"/>
    <w:rsid w:val="00B05B9D"/>
    <w:rsid w:val="00B05BF3"/>
    <w:rsid w:val="00B05C43"/>
    <w:rsid w:val="00B05C9B"/>
    <w:rsid w:val="00B05DAC"/>
    <w:rsid w:val="00B05FBA"/>
    <w:rsid w:val="00B0617E"/>
    <w:rsid w:val="00B06556"/>
    <w:rsid w:val="00B066F5"/>
    <w:rsid w:val="00B06758"/>
    <w:rsid w:val="00B068B2"/>
    <w:rsid w:val="00B069AA"/>
    <w:rsid w:val="00B06B25"/>
    <w:rsid w:val="00B06B62"/>
    <w:rsid w:val="00B06D66"/>
    <w:rsid w:val="00B06FD6"/>
    <w:rsid w:val="00B071C6"/>
    <w:rsid w:val="00B071DB"/>
    <w:rsid w:val="00B07236"/>
    <w:rsid w:val="00B07341"/>
    <w:rsid w:val="00B0764B"/>
    <w:rsid w:val="00B07689"/>
    <w:rsid w:val="00B0776E"/>
    <w:rsid w:val="00B07A86"/>
    <w:rsid w:val="00B07B46"/>
    <w:rsid w:val="00B07D8F"/>
    <w:rsid w:val="00B1010A"/>
    <w:rsid w:val="00B1010F"/>
    <w:rsid w:val="00B101AD"/>
    <w:rsid w:val="00B101BD"/>
    <w:rsid w:val="00B1048F"/>
    <w:rsid w:val="00B105E9"/>
    <w:rsid w:val="00B1086B"/>
    <w:rsid w:val="00B109F7"/>
    <w:rsid w:val="00B110D8"/>
    <w:rsid w:val="00B1110C"/>
    <w:rsid w:val="00B11288"/>
    <w:rsid w:val="00B11472"/>
    <w:rsid w:val="00B1185A"/>
    <w:rsid w:val="00B11AC9"/>
    <w:rsid w:val="00B11DCA"/>
    <w:rsid w:val="00B12026"/>
    <w:rsid w:val="00B12047"/>
    <w:rsid w:val="00B12102"/>
    <w:rsid w:val="00B124D6"/>
    <w:rsid w:val="00B1251E"/>
    <w:rsid w:val="00B12695"/>
    <w:rsid w:val="00B127CF"/>
    <w:rsid w:val="00B12BB9"/>
    <w:rsid w:val="00B12BC3"/>
    <w:rsid w:val="00B12C79"/>
    <w:rsid w:val="00B1309D"/>
    <w:rsid w:val="00B13224"/>
    <w:rsid w:val="00B1329B"/>
    <w:rsid w:val="00B13397"/>
    <w:rsid w:val="00B13706"/>
    <w:rsid w:val="00B13E2A"/>
    <w:rsid w:val="00B13F2E"/>
    <w:rsid w:val="00B140FC"/>
    <w:rsid w:val="00B14179"/>
    <w:rsid w:val="00B14246"/>
    <w:rsid w:val="00B142CB"/>
    <w:rsid w:val="00B14566"/>
    <w:rsid w:val="00B14756"/>
    <w:rsid w:val="00B1487D"/>
    <w:rsid w:val="00B148E8"/>
    <w:rsid w:val="00B14A03"/>
    <w:rsid w:val="00B14C48"/>
    <w:rsid w:val="00B14CB4"/>
    <w:rsid w:val="00B14FB8"/>
    <w:rsid w:val="00B15454"/>
    <w:rsid w:val="00B1547E"/>
    <w:rsid w:val="00B1560F"/>
    <w:rsid w:val="00B15679"/>
    <w:rsid w:val="00B158CD"/>
    <w:rsid w:val="00B15A9A"/>
    <w:rsid w:val="00B15B8B"/>
    <w:rsid w:val="00B15E6C"/>
    <w:rsid w:val="00B15F74"/>
    <w:rsid w:val="00B16089"/>
    <w:rsid w:val="00B16249"/>
    <w:rsid w:val="00B1637A"/>
    <w:rsid w:val="00B1646E"/>
    <w:rsid w:val="00B16587"/>
    <w:rsid w:val="00B168AE"/>
    <w:rsid w:val="00B168B2"/>
    <w:rsid w:val="00B16AB1"/>
    <w:rsid w:val="00B16B2B"/>
    <w:rsid w:val="00B16C09"/>
    <w:rsid w:val="00B16F33"/>
    <w:rsid w:val="00B1700A"/>
    <w:rsid w:val="00B17292"/>
    <w:rsid w:val="00B175AF"/>
    <w:rsid w:val="00B17664"/>
    <w:rsid w:val="00B1789F"/>
    <w:rsid w:val="00B178AD"/>
    <w:rsid w:val="00B17C44"/>
    <w:rsid w:val="00B17DA0"/>
    <w:rsid w:val="00B2000B"/>
    <w:rsid w:val="00B201CC"/>
    <w:rsid w:val="00B20358"/>
    <w:rsid w:val="00B2075A"/>
    <w:rsid w:val="00B208AD"/>
    <w:rsid w:val="00B20A66"/>
    <w:rsid w:val="00B20D64"/>
    <w:rsid w:val="00B20D6A"/>
    <w:rsid w:val="00B20F2D"/>
    <w:rsid w:val="00B20F3C"/>
    <w:rsid w:val="00B2157B"/>
    <w:rsid w:val="00B21916"/>
    <w:rsid w:val="00B21998"/>
    <w:rsid w:val="00B219D8"/>
    <w:rsid w:val="00B21B7F"/>
    <w:rsid w:val="00B21C00"/>
    <w:rsid w:val="00B21E59"/>
    <w:rsid w:val="00B21EDF"/>
    <w:rsid w:val="00B21EFE"/>
    <w:rsid w:val="00B21FE5"/>
    <w:rsid w:val="00B2270D"/>
    <w:rsid w:val="00B22812"/>
    <w:rsid w:val="00B22A1C"/>
    <w:rsid w:val="00B22EDF"/>
    <w:rsid w:val="00B23829"/>
    <w:rsid w:val="00B23BF2"/>
    <w:rsid w:val="00B23ED4"/>
    <w:rsid w:val="00B23F48"/>
    <w:rsid w:val="00B24238"/>
    <w:rsid w:val="00B2449C"/>
    <w:rsid w:val="00B245D4"/>
    <w:rsid w:val="00B24869"/>
    <w:rsid w:val="00B24CD7"/>
    <w:rsid w:val="00B25020"/>
    <w:rsid w:val="00B2506E"/>
    <w:rsid w:val="00B252D0"/>
    <w:rsid w:val="00B252E1"/>
    <w:rsid w:val="00B25495"/>
    <w:rsid w:val="00B25508"/>
    <w:rsid w:val="00B259F7"/>
    <w:rsid w:val="00B25ABA"/>
    <w:rsid w:val="00B25E40"/>
    <w:rsid w:val="00B263E1"/>
    <w:rsid w:val="00B2677C"/>
    <w:rsid w:val="00B2699F"/>
    <w:rsid w:val="00B26B3F"/>
    <w:rsid w:val="00B26C00"/>
    <w:rsid w:val="00B26F65"/>
    <w:rsid w:val="00B2712B"/>
    <w:rsid w:val="00B27295"/>
    <w:rsid w:val="00B27726"/>
    <w:rsid w:val="00B277F1"/>
    <w:rsid w:val="00B30752"/>
    <w:rsid w:val="00B3077D"/>
    <w:rsid w:val="00B30A71"/>
    <w:rsid w:val="00B30B54"/>
    <w:rsid w:val="00B30BF5"/>
    <w:rsid w:val="00B30CF9"/>
    <w:rsid w:val="00B30CFF"/>
    <w:rsid w:val="00B30F7A"/>
    <w:rsid w:val="00B30FBA"/>
    <w:rsid w:val="00B312C7"/>
    <w:rsid w:val="00B32063"/>
    <w:rsid w:val="00B32136"/>
    <w:rsid w:val="00B3266A"/>
    <w:rsid w:val="00B327FC"/>
    <w:rsid w:val="00B328C2"/>
    <w:rsid w:val="00B32FD9"/>
    <w:rsid w:val="00B33212"/>
    <w:rsid w:val="00B3340A"/>
    <w:rsid w:val="00B336B7"/>
    <w:rsid w:val="00B336C9"/>
    <w:rsid w:val="00B3387B"/>
    <w:rsid w:val="00B3397E"/>
    <w:rsid w:val="00B33B60"/>
    <w:rsid w:val="00B344C9"/>
    <w:rsid w:val="00B34770"/>
    <w:rsid w:val="00B34863"/>
    <w:rsid w:val="00B34AC0"/>
    <w:rsid w:val="00B34CC1"/>
    <w:rsid w:val="00B34CE2"/>
    <w:rsid w:val="00B34D95"/>
    <w:rsid w:val="00B34FD0"/>
    <w:rsid w:val="00B35003"/>
    <w:rsid w:val="00B351E3"/>
    <w:rsid w:val="00B35252"/>
    <w:rsid w:val="00B353A2"/>
    <w:rsid w:val="00B35433"/>
    <w:rsid w:val="00B3552F"/>
    <w:rsid w:val="00B35A6D"/>
    <w:rsid w:val="00B35EA1"/>
    <w:rsid w:val="00B35FAB"/>
    <w:rsid w:val="00B3621E"/>
    <w:rsid w:val="00B36350"/>
    <w:rsid w:val="00B3640C"/>
    <w:rsid w:val="00B364BE"/>
    <w:rsid w:val="00B368CD"/>
    <w:rsid w:val="00B368FD"/>
    <w:rsid w:val="00B3699A"/>
    <w:rsid w:val="00B36C12"/>
    <w:rsid w:val="00B36DCF"/>
    <w:rsid w:val="00B370DE"/>
    <w:rsid w:val="00B371E6"/>
    <w:rsid w:val="00B3741A"/>
    <w:rsid w:val="00B37794"/>
    <w:rsid w:val="00B377F6"/>
    <w:rsid w:val="00B37AA2"/>
    <w:rsid w:val="00B37C47"/>
    <w:rsid w:val="00B40212"/>
    <w:rsid w:val="00B40474"/>
    <w:rsid w:val="00B409C5"/>
    <w:rsid w:val="00B40A8E"/>
    <w:rsid w:val="00B41489"/>
    <w:rsid w:val="00B41928"/>
    <w:rsid w:val="00B41954"/>
    <w:rsid w:val="00B41A48"/>
    <w:rsid w:val="00B41C86"/>
    <w:rsid w:val="00B41E6D"/>
    <w:rsid w:val="00B41EB4"/>
    <w:rsid w:val="00B41ECE"/>
    <w:rsid w:val="00B42104"/>
    <w:rsid w:val="00B4254A"/>
    <w:rsid w:val="00B4266F"/>
    <w:rsid w:val="00B42AC8"/>
    <w:rsid w:val="00B42ACA"/>
    <w:rsid w:val="00B43171"/>
    <w:rsid w:val="00B4334B"/>
    <w:rsid w:val="00B4377C"/>
    <w:rsid w:val="00B43C9D"/>
    <w:rsid w:val="00B44121"/>
    <w:rsid w:val="00B441BB"/>
    <w:rsid w:val="00B44389"/>
    <w:rsid w:val="00B4460A"/>
    <w:rsid w:val="00B44626"/>
    <w:rsid w:val="00B44665"/>
    <w:rsid w:val="00B449D4"/>
    <w:rsid w:val="00B44B42"/>
    <w:rsid w:val="00B44BFF"/>
    <w:rsid w:val="00B44D32"/>
    <w:rsid w:val="00B44DA3"/>
    <w:rsid w:val="00B451DD"/>
    <w:rsid w:val="00B45459"/>
    <w:rsid w:val="00B4547B"/>
    <w:rsid w:val="00B45648"/>
    <w:rsid w:val="00B45669"/>
    <w:rsid w:val="00B4572E"/>
    <w:rsid w:val="00B457DF"/>
    <w:rsid w:val="00B45E18"/>
    <w:rsid w:val="00B46322"/>
    <w:rsid w:val="00B46510"/>
    <w:rsid w:val="00B4665F"/>
    <w:rsid w:val="00B467CF"/>
    <w:rsid w:val="00B46875"/>
    <w:rsid w:val="00B46C1D"/>
    <w:rsid w:val="00B46D67"/>
    <w:rsid w:val="00B470E1"/>
    <w:rsid w:val="00B47187"/>
    <w:rsid w:val="00B47245"/>
    <w:rsid w:val="00B475A7"/>
    <w:rsid w:val="00B4764B"/>
    <w:rsid w:val="00B4767D"/>
    <w:rsid w:val="00B476D4"/>
    <w:rsid w:val="00B477B3"/>
    <w:rsid w:val="00B47BAA"/>
    <w:rsid w:val="00B47BBB"/>
    <w:rsid w:val="00B47FC1"/>
    <w:rsid w:val="00B50297"/>
    <w:rsid w:val="00B504F6"/>
    <w:rsid w:val="00B5092A"/>
    <w:rsid w:val="00B50BAE"/>
    <w:rsid w:val="00B50D02"/>
    <w:rsid w:val="00B50D69"/>
    <w:rsid w:val="00B50DBA"/>
    <w:rsid w:val="00B50FCF"/>
    <w:rsid w:val="00B50FDC"/>
    <w:rsid w:val="00B51199"/>
    <w:rsid w:val="00B515C6"/>
    <w:rsid w:val="00B5163A"/>
    <w:rsid w:val="00B516C0"/>
    <w:rsid w:val="00B5182C"/>
    <w:rsid w:val="00B51A4A"/>
    <w:rsid w:val="00B51C20"/>
    <w:rsid w:val="00B51E19"/>
    <w:rsid w:val="00B51E49"/>
    <w:rsid w:val="00B51F0A"/>
    <w:rsid w:val="00B51F79"/>
    <w:rsid w:val="00B52092"/>
    <w:rsid w:val="00B520F5"/>
    <w:rsid w:val="00B52159"/>
    <w:rsid w:val="00B52436"/>
    <w:rsid w:val="00B524D4"/>
    <w:rsid w:val="00B5275C"/>
    <w:rsid w:val="00B5280A"/>
    <w:rsid w:val="00B52817"/>
    <w:rsid w:val="00B528DF"/>
    <w:rsid w:val="00B52955"/>
    <w:rsid w:val="00B52991"/>
    <w:rsid w:val="00B52F64"/>
    <w:rsid w:val="00B53058"/>
    <w:rsid w:val="00B533B4"/>
    <w:rsid w:val="00B535DE"/>
    <w:rsid w:val="00B53636"/>
    <w:rsid w:val="00B53694"/>
    <w:rsid w:val="00B5381C"/>
    <w:rsid w:val="00B539C3"/>
    <w:rsid w:val="00B539C6"/>
    <w:rsid w:val="00B53A4D"/>
    <w:rsid w:val="00B53AC5"/>
    <w:rsid w:val="00B53CA2"/>
    <w:rsid w:val="00B53D1C"/>
    <w:rsid w:val="00B53FB2"/>
    <w:rsid w:val="00B5458D"/>
    <w:rsid w:val="00B54813"/>
    <w:rsid w:val="00B54864"/>
    <w:rsid w:val="00B548A6"/>
    <w:rsid w:val="00B548AE"/>
    <w:rsid w:val="00B548D9"/>
    <w:rsid w:val="00B54B9F"/>
    <w:rsid w:val="00B54D70"/>
    <w:rsid w:val="00B54D89"/>
    <w:rsid w:val="00B54EFA"/>
    <w:rsid w:val="00B553B3"/>
    <w:rsid w:val="00B554A3"/>
    <w:rsid w:val="00B55704"/>
    <w:rsid w:val="00B55786"/>
    <w:rsid w:val="00B559BB"/>
    <w:rsid w:val="00B55AAE"/>
    <w:rsid w:val="00B55B61"/>
    <w:rsid w:val="00B55C2E"/>
    <w:rsid w:val="00B55E3C"/>
    <w:rsid w:val="00B56074"/>
    <w:rsid w:val="00B56196"/>
    <w:rsid w:val="00B5663A"/>
    <w:rsid w:val="00B568A1"/>
    <w:rsid w:val="00B56927"/>
    <w:rsid w:val="00B569A2"/>
    <w:rsid w:val="00B56BEB"/>
    <w:rsid w:val="00B56DA4"/>
    <w:rsid w:val="00B56E3A"/>
    <w:rsid w:val="00B57041"/>
    <w:rsid w:val="00B57105"/>
    <w:rsid w:val="00B5757A"/>
    <w:rsid w:val="00B57CAC"/>
    <w:rsid w:val="00B57E6B"/>
    <w:rsid w:val="00B6004E"/>
    <w:rsid w:val="00B60279"/>
    <w:rsid w:val="00B604DD"/>
    <w:rsid w:val="00B60751"/>
    <w:rsid w:val="00B607C3"/>
    <w:rsid w:val="00B60C08"/>
    <w:rsid w:val="00B60D1D"/>
    <w:rsid w:val="00B60D8F"/>
    <w:rsid w:val="00B60DD8"/>
    <w:rsid w:val="00B610E4"/>
    <w:rsid w:val="00B61122"/>
    <w:rsid w:val="00B61257"/>
    <w:rsid w:val="00B613BC"/>
    <w:rsid w:val="00B61508"/>
    <w:rsid w:val="00B61716"/>
    <w:rsid w:val="00B61E8E"/>
    <w:rsid w:val="00B61E97"/>
    <w:rsid w:val="00B61FBE"/>
    <w:rsid w:val="00B62206"/>
    <w:rsid w:val="00B625AD"/>
    <w:rsid w:val="00B6283F"/>
    <w:rsid w:val="00B628C0"/>
    <w:rsid w:val="00B62A86"/>
    <w:rsid w:val="00B62B61"/>
    <w:rsid w:val="00B62C55"/>
    <w:rsid w:val="00B62D32"/>
    <w:rsid w:val="00B62EB9"/>
    <w:rsid w:val="00B63125"/>
    <w:rsid w:val="00B63418"/>
    <w:rsid w:val="00B63581"/>
    <w:rsid w:val="00B638BA"/>
    <w:rsid w:val="00B6391C"/>
    <w:rsid w:val="00B63D0A"/>
    <w:rsid w:val="00B63E48"/>
    <w:rsid w:val="00B63E93"/>
    <w:rsid w:val="00B63EE7"/>
    <w:rsid w:val="00B63F46"/>
    <w:rsid w:val="00B63FB6"/>
    <w:rsid w:val="00B6406B"/>
    <w:rsid w:val="00B64112"/>
    <w:rsid w:val="00B6421B"/>
    <w:rsid w:val="00B642CC"/>
    <w:rsid w:val="00B64774"/>
    <w:rsid w:val="00B64DAA"/>
    <w:rsid w:val="00B64F58"/>
    <w:rsid w:val="00B65208"/>
    <w:rsid w:val="00B6529D"/>
    <w:rsid w:val="00B6561D"/>
    <w:rsid w:val="00B65742"/>
    <w:rsid w:val="00B65996"/>
    <w:rsid w:val="00B65B0B"/>
    <w:rsid w:val="00B65E26"/>
    <w:rsid w:val="00B65F31"/>
    <w:rsid w:val="00B65FC5"/>
    <w:rsid w:val="00B65FF2"/>
    <w:rsid w:val="00B66041"/>
    <w:rsid w:val="00B660FF"/>
    <w:rsid w:val="00B66667"/>
    <w:rsid w:val="00B668C6"/>
    <w:rsid w:val="00B6736B"/>
    <w:rsid w:val="00B676A2"/>
    <w:rsid w:val="00B676AF"/>
    <w:rsid w:val="00B67846"/>
    <w:rsid w:val="00B67A4F"/>
    <w:rsid w:val="00B67C79"/>
    <w:rsid w:val="00B67D4D"/>
    <w:rsid w:val="00B67ECC"/>
    <w:rsid w:val="00B70384"/>
    <w:rsid w:val="00B70475"/>
    <w:rsid w:val="00B704B4"/>
    <w:rsid w:val="00B70583"/>
    <w:rsid w:val="00B705EC"/>
    <w:rsid w:val="00B70831"/>
    <w:rsid w:val="00B70A90"/>
    <w:rsid w:val="00B70DBF"/>
    <w:rsid w:val="00B70E82"/>
    <w:rsid w:val="00B71428"/>
    <w:rsid w:val="00B71C5F"/>
    <w:rsid w:val="00B71F13"/>
    <w:rsid w:val="00B720E7"/>
    <w:rsid w:val="00B721F8"/>
    <w:rsid w:val="00B7228D"/>
    <w:rsid w:val="00B72294"/>
    <w:rsid w:val="00B72684"/>
    <w:rsid w:val="00B7271B"/>
    <w:rsid w:val="00B72983"/>
    <w:rsid w:val="00B72A57"/>
    <w:rsid w:val="00B72EA8"/>
    <w:rsid w:val="00B7341B"/>
    <w:rsid w:val="00B735F5"/>
    <w:rsid w:val="00B7372F"/>
    <w:rsid w:val="00B73B4C"/>
    <w:rsid w:val="00B73CFA"/>
    <w:rsid w:val="00B73D37"/>
    <w:rsid w:val="00B73FBA"/>
    <w:rsid w:val="00B74041"/>
    <w:rsid w:val="00B742AD"/>
    <w:rsid w:val="00B74319"/>
    <w:rsid w:val="00B74354"/>
    <w:rsid w:val="00B7453E"/>
    <w:rsid w:val="00B74640"/>
    <w:rsid w:val="00B7476D"/>
    <w:rsid w:val="00B74832"/>
    <w:rsid w:val="00B74B63"/>
    <w:rsid w:val="00B74C3A"/>
    <w:rsid w:val="00B751AF"/>
    <w:rsid w:val="00B75515"/>
    <w:rsid w:val="00B7573E"/>
    <w:rsid w:val="00B758BF"/>
    <w:rsid w:val="00B75E05"/>
    <w:rsid w:val="00B75F3B"/>
    <w:rsid w:val="00B76128"/>
    <w:rsid w:val="00B761FA"/>
    <w:rsid w:val="00B7635E"/>
    <w:rsid w:val="00B7676E"/>
    <w:rsid w:val="00B767EE"/>
    <w:rsid w:val="00B76B93"/>
    <w:rsid w:val="00B76C79"/>
    <w:rsid w:val="00B76D71"/>
    <w:rsid w:val="00B76F15"/>
    <w:rsid w:val="00B76F9B"/>
    <w:rsid w:val="00B771CC"/>
    <w:rsid w:val="00B77AC4"/>
    <w:rsid w:val="00B77B0D"/>
    <w:rsid w:val="00B77C09"/>
    <w:rsid w:val="00B77C7C"/>
    <w:rsid w:val="00B77DF3"/>
    <w:rsid w:val="00B77FB1"/>
    <w:rsid w:val="00B80069"/>
    <w:rsid w:val="00B80389"/>
    <w:rsid w:val="00B8044C"/>
    <w:rsid w:val="00B80532"/>
    <w:rsid w:val="00B80606"/>
    <w:rsid w:val="00B80874"/>
    <w:rsid w:val="00B80929"/>
    <w:rsid w:val="00B80A2B"/>
    <w:rsid w:val="00B80A66"/>
    <w:rsid w:val="00B80B57"/>
    <w:rsid w:val="00B80BA6"/>
    <w:rsid w:val="00B80BD3"/>
    <w:rsid w:val="00B80D3F"/>
    <w:rsid w:val="00B80DB1"/>
    <w:rsid w:val="00B811E9"/>
    <w:rsid w:val="00B813F2"/>
    <w:rsid w:val="00B815CA"/>
    <w:rsid w:val="00B81B52"/>
    <w:rsid w:val="00B81CDA"/>
    <w:rsid w:val="00B8215C"/>
    <w:rsid w:val="00B822EC"/>
    <w:rsid w:val="00B825D6"/>
    <w:rsid w:val="00B82816"/>
    <w:rsid w:val="00B828B5"/>
    <w:rsid w:val="00B828DE"/>
    <w:rsid w:val="00B82A2B"/>
    <w:rsid w:val="00B82B60"/>
    <w:rsid w:val="00B82C79"/>
    <w:rsid w:val="00B82D35"/>
    <w:rsid w:val="00B82E66"/>
    <w:rsid w:val="00B83042"/>
    <w:rsid w:val="00B830AB"/>
    <w:rsid w:val="00B8334F"/>
    <w:rsid w:val="00B833D5"/>
    <w:rsid w:val="00B83409"/>
    <w:rsid w:val="00B8352E"/>
    <w:rsid w:val="00B835B4"/>
    <w:rsid w:val="00B836BB"/>
    <w:rsid w:val="00B836C4"/>
    <w:rsid w:val="00B8383F"/>
    <w:rsid w:val="00B8394F"/>
    <w:rsid w:val="00B83D10"/>
    <w:rsid w:val="00B83DE4"/>
    <w:rsid w:val="00B83FCC"/>
    <w:rsid w:val="00B840FB"/>
    <w:rsid w:val="00B841D4"/>
    <w:rsid w:val="00B84529"/>
    <w:rsid w:val="00B84FC2"/>
    <w:rsid w:val="00B853A2"/>
    <w:rsid w:val="00B856C8"/>
    <w:rsid w:val="00B8593A"/>
    <w:rsid w:val="00B85A3C"/>
    <w:rsid w:val="00B85A70"/>
    <w:rsid w:val="00B85B05"/>
    <w:rsid w:val="00B85D96"/>
    <w:rsid w:val="00B85E31"/>
    <w:rsid w:val="00B86181"/>
    <w:rsid w:val="00B8691F"/>
    <w:rsid w:val="00B86C7D"/>
    <w:rsid w:val="00B87089"/>
    <w:rsid w:val="00B873DD"/>
    <w:rsid w:val="00B875A9"/>
    <w:rsid w:val="00B875D4"/>
    <w:rsid w:val="00B8761A"/>
    <w:rsid w:val="00B8762E"/>
    <w:rsid w:val="00B876D5"/>
    <w:rsid w:val="00B878B0"/>
    <w:rsid w:val="00B87C6E"/>
    <w:rsid w:val="00B87CC8"/>
    <w:rsid w:val="00B87CCB"/>
    <w:rsid w:val="00B87CCF"/>
    <w:rsid w:val="00B87CE6"/>
    <w:rsid w:val="00B87DC0"/>
    <w:rsid w:val="00B87F13"/>
    <w:rsid w:val="00B87F9F"/>
    <w:rsid w:val="00B90071"/>
    <w:rsid w:val="00B902FD"/>
    <w:rsid w:val="00B90698"/>
    <w:rsid w:val="00B90836"/>
    <w:rsid w:val="00B90C93"/>
    <w:rsid w:val="00B90D7C"/>
    <w:rsid w:val="00B91A94"/>
    <w:rsid w:val="00B91B4A"/>
    <w:rsid w:val="00B91BBF"/>
    <w:rsid w:val="00B91C87"/>
    <w:rsid w:val="00B91D1E"/>
    <w:rsid w:val="00B91DB9"/>
    <w:rsid w:val="00B920F5"/>
    <w:rsid w:val="00B92281"/>
    <w:rsid w:val="00B926B7"/>
    <w:rsid w:val="00B92789"/>
    <w:rsid w:val="00B9294A"/>
    <w:rsid w:val="00B92A8A"/>
    <w:rsid w:val="00B92C18"/>
    <w:rsid w:val="00B92C80"/>
    <w:rsid w:val="00B92F4F"/>
    <w:rsid w:val="00B9309A"/>
    <w:rsid w:val="00B931DE"/>
    <w:rsid w:val="00B93202"/>
    <w:rsid w:val="00B932F2"/>
    <w:rsid w:val="00B93514"/>
    <w:rsid w:val="00B93534"/>
    <w:rsid w:val="00B93547"/>
    <w:rsid w:val="00B93690"/>
    <w:rsid w:val="00B936C3"/>
    <w:rsid w:val="00B936E2"/>
    <w:rsid w:val="00B93931"/>
    <w:rsid w:val="00B93A2D"/>
    <w:rsid w:val="00B93F71"/>
    <w:rsid w:val="00B946BC"/>
    <w:rsid w:val="00B9490A"/>
    <w:rsid w:val="00B94AF2"/>
    <w:rsid w:val="00B94CED"/>
    <w:rsid w:val="00B94DFA"/>
    <w:rsid w:val="00B94EF0"/>
    <w:rsid w:val="00B9506B"/>
    <w:rsid w:val="00B953CE"/>
    <w:rsid w:val="00B95498"/>
    <w:rsid w:val="00B95798"/>
    <w:rsid w:val="00B95829"/>
    <w:rsid w:val="00B95838"/>
    <w:rsid w:val="00B95AEF"/>
    <w:rsid w:val="00B95C80"/>
    <w:rsid w:val="00B95FDE"/>
    <w:rsid w:val="00B9639E"/>
    <w:rsid w:val="00B9651B"/>
    <w:rsid w:val="00B967C1"/>
    <w:rsid w:val="00B9727D"/>
    <w:rsid w:val="00B974B3"/>
    <w:rsid w:val="00B976BD"/>
    <w:rsid w:val="00B978B0"/>
    <w:rsid w:val="00B979D9"/>
    <w:rsid w:val="00B97A64"/>
    <w:rsid w:val="00B97B63"/>
    <w:rsid w:val="00B97BB9"/>
    <w:rsid w:val="00BA0043"/>
    <w:rsid w:val="00BA05ED"/>
    <w:rsid w:val="00BA0643"/>
    <w:rsid w:val="00BA0723"/>
    <w:rsid w:val="00BA078C"/>
    <w:rsid w:val="00BA0A5B"/>
    <w:rsid w:val="00BA0CC7"/>
    <w:rsid w:val="00BA0DF8"/>
    <w:rsid w:val="00BA0EB4"/>
    <w:rsid w:val="00BA14A3"/>
    <w:rsid w:val="00BA14DF"/>
    <w:rsid w:val="00BA15CC"/>
    <w:rsid w:val="00BA17D3"/>
    <w:rsid w:val="00BA18FB"/>
    <w:rsid w:val="00BA1D00"/>
    <w:rsid w:val="00BA1D48"/>
    <w:rsid w:val="00BA202F"/>
    <w:rsid w:val="00BA2125"/>
    <w:rsid w:val="00BA22B1"/>
    <w:rsid w:val="00BA24B8"/>
    <w:rsid w:val="00BA274E"/>
    <w:rsid w:val="00BA2E6A"/>
    <w:rsid w:val="00BA325F"/>
    <w:rsid w:val="00BA3C9B"/>
    <w:rsid w:val="00BA3CA8"/>
    <w:rsid w:val="00BA3F93"/>
    <w:rsid w:val="00BA40E7"/>
    <w:rsid w:val="00BA4580"/>
    <w:rsid w:val="00BA4921"/>
    <w:rsid w:val="00BA4935"/>
    <w:rsid w:val="00BA4965"/>
    <w:rsid w:val="00BA4A06"/>
    <w:rsid w:val="00BA4ACC"/>
    <w:rsid w:val="00BA4AF6"/>
    <w:rsid w:val="00BA4B0C"/>
    <w:rsid w:val="00BA4B71"/>
    <w:rsid w:val="00BA4D98"/>
    <w:rsid w:val="00BA4E08"/>
    <w:rsid w:val="00BA51FC"/>
    <w:rsid w:val="00BA52D8"/>
    <w:rsid w:val="00BA53C3"/>
    <w:rsid w:val="00BA53F1"/>
    <w:rsid w:val="00BA56F0"/>
    <w:rsid w:val="00BA5C2A"/>
    <w:rsid w:val="00BA5D0E"/>
    <w:rsid w:val="00BA5EDB"/>
    <w:rsid w:val="00BA5EEE"/>
    <w:rsid w:val="00BA603A"/>
    <w:rsid w:val="00BA6099"/>
    <w:rsid w:val="00BA612A"/>
    <w:rsid w:val="00BA640C"/>
    <w:rsid w:val="00BA6410"/>
    <w:rsid w:val="00BA6610"/>
    <w:rsid w:val="00BA6735"/>
    <w:rsid w:val="00BA6AC1"/>
    <w:rsid w:val="00BA727A"/>
    <w:rsid w:val="00BA764E"/>
    <w:rsid w:val="00BA766C"/>
    <w:rsid w:val="00BA772A"/>
    <w:rsid w:val="00BA78F0"/>
    <w:rsid w:val="00BA7DC9"/>
    <w:rsid w:val="00BA7F65"/>
    <w:rsid w:val="00BB0131"/>
    <w:rsid w:val="00BB01F8"/>
    <w:rsid w:val="00BB0339"/>
    <w:rsid w:val="00BB038F"/>
    <w:rsid w:val="00BB0393"/>
    <w:rsid w:val="00BB044E"/>
    <w:rsid w:val="00BB0DE3"/>
    <w:rsid w:val="00BB1788"/>
    <w:rsid w:val="00BB18AB"/>
    <w:rsid w:val="00BB192A"/>
    <w:rsid w:val="00BB197C"/>
    <w:rsid w:val="00BB1CF0"/>
    <w:rsid w:val="00BB1FA6"/>
    <w:rsid w:val="00BB2013"/>
    <w:rsid w:val="00BB20A6"/>
    <w:rsid w:val="00BB216B"/>
    <w:rsid w:val="00BB22B3"/>
    <w:rsid w:val="00BB23E4"/>
    <w:rsid w:val="00BB26A8"/>
    <w:rsid w:val="00BB2780"/>
    <w:rsid w:val="00BB2ABA"/>
    <w:rsid w:val="00BB2BA8"/>
    <w:rsid w:val="00BB2C1E"/>
    <w:rsid w:val="00BB2CF0"/>
    <w:rsid w:val="00BB2E27"/>
    <w:rsid w:val="00BB317A"/>
    <w:rsid w:val="00BB31E9"/>
    <w:rsid w:val="00BB339F"/>
    <w:rsid w:val="00BB35B9"/>
    <w:rsid w:val="00BB35FD"/>
    <w:rsid w:val="00BB376D"/>
    <w:rsid w:val="00BB3998"/>
    <w:rsid w:val="00BB3B0D"/>
    <w:rsid w:val="00BB3B5B"/>
    <w:rsid w:val="00BB3BF4"/>
    <w:rsid w:val="00BB3C07"/>
    <w:rsid w:val="00BB42E8"/>
    <w:rsid w:val="00BB45BB"/>
    <w:rsid w:val="00BB4944"/>
    <w:rsid w:val="00BB4B38"/>
    <w:rsid w:val="00BB4E7E"/>
    <w:rsid w:val="00BB4FB2"/>
    <w:rsid w:val="00BB5030"/>
    <w:rsid w:val="00BB52A6"/>
    <w:rsid w:val="00BB56C5"/>
    <w:rsid w:val="00BB5775"/>
    <w:rsid w:val="00BB584A"/>
    <w:rsid w:val="00BB58DA"/>
    <w:rsid w:val="00BB5911"/>
    <w:rsid w:val="00BB5ADF"/>
    <w:rsid w:val="00BB5E83"/>
    <w:rsid w:val="00BB6050"/>
    <w:rsid w:val="00BB62A8"/>
    <w:rsid w:val="00BB6353"/>
    <w:rsid w:val="00BB635E"/>
    <w:rsid w:val="00BB64C5"/>
    <w:rsid w:val="00BB685C"/>
    <w:rsid w:val="00BB6959"/>
    <w:rsid w:val="00BB6CE2"/>
    <w:rsid w:val="00BB7509"/>
    <w:rsid w:val="00BB7642"/>
    <w:rsid w:val="00BB77BC"/>
    <w:rsid w:val="00BB7B09"/>
    <w:rsid w:val="00BB7DF2"/>
    <w:rsid w:val="00BB7F5E"/>
    <w:rsid w:val="00BC00C8"/>
    <w:rsid w:val="00BC0140"/>
    <w:rsid w:val="00BC067E"/>
    <w:rsid w:val="00BC06B3"/>
    <w:rsid w:val="00BC06DD"/>
    <w:rsid w:val="00BC0799"/>
    <w:rsid w:val="00BC09DA"/>
    <w:rsid w:val="00BC0A01"/>
    <w:rsid w:val="00BC0AC5"/>
    <w:rsid w:val="00BC0BAE"/>
    <w:rsid w:val="00BC0C4F"/>
    <w:rsid w:val="00BC0DB8"/>
    <w:rsid w:val="00BC0FC7"/>
    <w:rsid w:val="00BC103B"/>
    <w:rsid w:val="00BC1208"/>
    <w:rsid w:val="00BC1272"/>
    <w:rsid w:val="00BC1310"/>
    <w:rsid w:val="00BC14C3"/>
    <w:rsid w:val="00BC16BD"/>
    <w:rsid w:val="00BC1859"/>
    <w:rsid w:val="00BC1E07"/>
    <w:rsid w:val="00BC1E15"/>
    <w:rsid w:val="00BC1E49"/>
    <w:rsid w:val="00BC215C"/>
    <w:rsid w:val="00BC217A"/>
    <w:rsid w:val="00BC2218"/>
    <w:rsid w:val="00BC239D"/>
    <w:rsid w:val="00BC26F8"/>
    <w:rsid w:val="00BC2A81"/>
    <w:rsid w:val="00BC2F1E"/>
    <w:rsid w:val="00BC3098"/>
    <w:rsid w:val="00BC31FE"/>
    <w:rsid w:val="00BC351A"/>
    <w:rsid w:val="00BC360B"/>
    <w:rsid w:val="00BC393D"/>
    <w:rsid w:val="00BC3D0A"/>
    <w:rsid w:val="00BC3E2F"/>
    <w:rsid w:val="00BC447A"/>
    <w:rsid w:val="00BC47EC"/>
    <w:rsid w:val="00BC498F"/>
    <w:rsid w:val="00BC49F9"/>
    <w:rsid w:val="00BC4BA3"/>
    <w:rsid w:val="00BC4BF2"/>
    <w:rsid w:val="00BC4DAA"/>
    <w:rsid w:val="00BC4DFE"/>
    <w:rsid w:val="00BC4E7E"/>
    <w:rsid w:val="00BC54D4"/>
    <w:rsid w:val="00BC54DC"/>
    <w:rsid w:val="00BC5779"/>
    <w:rsid w:val="00BC5A59"/>
    <w:rsid w:val="00BC5BD8"/>
    <w:rsid w:val="00BC6193"/>
    <w:rsid w:val="00BC66AF"/>
    <w:rsid w:val="00BC6BF0"/>
    <w:rsid w:val="00BC6F00"/>
    <w:rsid w:val="00BC6F89"/>
    <w:rsid w:val="00BC7080"/>
    <w:rsid w:val="00BC7166"/>
    <w:rsid w:val="00BC7469"/>
    <w:rsid w:val="00BC764C"/>
    <w:rsid w:val="00BC775C"/>
    <w:rsid w:val="00BC790C"/>
    <w:rsid w:val="00BC7921"/>
    <w:rsid w:val="00BC7BE2"/>
    <w:rsid w:val="00BC7C02"/>
    <w:rsid w:val="00BC7DC7"/>
    <w:rsid w:val="00BD0151"/>
    <w:rsid w:val="00BD0351"/>
    <w:rsid w:val="00BD0363"/>
    <w:rsid w:val="00BD0422"/>
    <w:rsid w:val="00BD055F"/>
    <w:rsid w:val="00BD063B"/>
    <w:rsid w:val="00BD0830"/>
    <w:rsid w:val="00BD0872"/>
    <w:rsid w:val="00BD0B8D"/>
    <w:rsid w:val="00BD0BCE"/>
    <w:rsid w:val="00BD0D85"/>
    <w:rsid w:val="00BD0E21"/>
    <w:rsid w:val="00BD128B"/>
    <w:rsid w:val="00BD12A6"/>
    <w:rsid w:val="00BD168B"/>
    <w:rsid w:val="00BD1A11"/>
    <w:rsid w:val="00BD1F0B"/>
    <w:rsid w:val="00BD234B"/>
    <w:rsid w:val="00BD2418"/>
    <w:rsid w:val="00BD2639"/>
    <w:rsid w:val="00BD2673"/>
    <w:rsid w:val="00BD2C84"/>
    <w:rsid w:val="00BD2DA1"/>
    <w:rsid w:val="00BD2EB5"/>
    <w:rsid w:val="00BD313C"/>
    <w:rsid w:val="00BD3289"/>
    <w:rsid w:val="00BD34E3"/>
    <w:rsid w:val="00BD365A"/>
    <w:rsid w:val="00BD3812"/>
    <w:rsid w:val="00BD3956"/>
    <w:rsid w:val="00BD450B"/>
    <w:rsid w:val="00BD474B"/>
    <w:rsid w:val="00BD4AA0"/>
    <w:rsid w:val="00BD4C2D"/>
    <w:rsid w:val="00BD4CD5"/>
    <w:rsid w:val="00BD525B"/>
    <w:rsid w:val="00BD5300"/>
    <w:rsid w:val="00BD53C4"/>
    <w:rsid w:val="00BD5497"/>
    <w:rsid w:val="00BD55A6"/>
    <w:rsid w:val="00BD5807"/>
    <w:rsid w:val="00BD5B1F"/>
    <w:rsid w:val="00BD5BA7"/>
    <w:rsid w:val="00BD5D77"/>
    <w:rsid w:val="00BD6450"/>
    <w:rsid w:val="00BD6556"/>
    <w:rsid w:val="00BD6A5D"/>
    <w:rsid w:val="00BD6CBC"/>
    <w:rsid w:val="00BD6DCB"/>
    <w:rsid w:val="00BD7085"/>
    <w:rsid w:val="00BD70D0"/>
    <w:rsid w:val="00BD70EB"/>
    <w:rsid w:val="00BD7739"/>
    <w:rsid w:val="00BD7B22"/>
    <w:rsid w:val="00BD7B7F"/>
    <w:rsid w:val="00BD7E0A"/>
    <w:rsid w:val="00BD7EB2"/>
    <w:rsid w:val="00BD7FD8"/>
    <w:rsid w:val="00BD7FFC"/>
    <w:rsid w:val="00BE011A"/>
    <w:rsid w:val="00BE0231"/>
    <w:rsid w:val="00BE0418"/>
    <w:rsid w:val="00BE05CC"/>
    <w:rsid w:val="00BE06CB"/>
    <w:rsid w:val="00BE0C2A"/>
    <w:rsid w:val="00BE0D6D"/>
    <w:rsid w:val="00BE0E20"/>
    <w:rsid w:val="00BE0E8F"/>
    <w:rsid w:val="00BE0F02"/>
    <w:rsid w:val="00BE0F48"/>
    <w:rsid w:val="00BE1127"/>
    <w:rsid w:val="00BE1229"/>
    <w:rsid w:val="00BE1404"/>
    <w:rsid w:val="00BE1495"/>
    <w:rsid w:val="00BE19E6"/>
    <w:rsid w:val="00BE1A31"/>
    <w:rsid w:val="00BE20C6"/>
    <w:rsid w:val="00BE229F"/>
    <w:rsid w:val="00BE2407"/>
    <w:rsid w:val="00BE2681"/>
    <w:rsid w:val="00BE26DB"/>
    <w:rsid w:val="00BE294A"/>
    <w:rsid w:val="00BE2ABA"/>
    <w:rsid w:val="00BE2C3C"/>
    <w:rsid w:val="00BE3237"/>
    <w:rsid w:val="00BE3246"/>
    <w:rsid w:val="00BE32B6"/>
    <w:rsid w:val="00BE36F2"/>
    <w:rsid w:val="00BE39B7"/>
    <w:rsid w:val="00BE3BA9"/>
    <w:rsid w:val="00BE3C56"/>
    <w:rsid w:val="00BE3E18"/>
    <w:rsid w:val="00BE3FDF"/>
    <w:rsid w:val="00BE40E9"/>
    <w:rsid w:val="00BE4185"/>
    <w:rsid w:val="00BE4246"/>
    <w:rsid w:val="00BE43C1"/>
    <w:rsid w:val="00BE43E1"/>
    <w:rsid w:val="00BE4433"/>
    <w:rsid w:val="00BE4579"/>
    <w:rsid w:val="00BE4742"/>
    <w:rsid w:val="00BE4967"/>
    <w:rsid w:val="00BE4B4F"/>
    <w:rsid w:val="00BE4E0E"/>
    <w:rsid w:val="00BE4E58"/>
    <w:rsid w:val="00BE51FC"/>
    <w:rsid w:val="00BE52A3"/>
    <w:rsid w:val="00BE569E"/>
    <w:rsid w:val="00BE5C56"/>
    <w:rsid w:val="00BE5C67"/>
    <w:rsid w:val="00BE5F41"/>
    <w:rsid w:val="00BE606C"/>
    <w:rsid w:val="00BE617E"/>
    <w:rsid w:val="00BE6240"/>
    <w:rsid w:val="00BE6261"/>
    <w:rsid w:val="00BE626F"/>
    <w:rsid w:val="00BE637B"/>
    <w:rsid w:val="00BE6871"/>
    <w:rsid w:val="00BE691B"/>
    <w:rsid w:val="00BE694D"/>
    <w:rsid w:val="00BE6B3E"/>
    <w:rsid w:val="00BE6D6E"/>
    <w:rsid w:val="00BE6DC2"/>
    <w:rsid w:val="00BE6E7E"/>
    <w:rsid w:val="00BE6F4A"/>
    <w:rsid w:val="00BE70D0"/>
    <w:rsid w:val="00BE7399"/>
    <w:rsid w:val="00BE758F"/>
    <w:rsid w:val="00BE7B6C"/>
    <w:rsid w:val="00BE7BCA"/>
    <w:rsid w:val="00BE7EB5"/>
    <w:rsid w:val="00BF0395"/>
    <w:rsid w:val="00BF061C"/>
    <w:rsid w:val="00BF0866"/>
    <w:rsid w:val="00BF0DE9"/>
    <w:rsid w:val="00BF1026"/>
    <w:rsid w:val="00BF1377"/>
    <w:rsid w:val="00BF137D"/>
    <w:rsid w:val="00BF1381"/>
    <w:rsid w:val="00BF1963"/>
    <w:rsid w:val="00BF197E"/>
    <w:rsid w:val="00BF1C2F"/>
    <w:rsid w:val="00BF1DD1"/>
    <w:rsid w:val="00BF206C"/>
    <w:rsid w:val="00BF2087"/>
    <w:rsid w:val="00BF2089"/>
    <w:rsid w:val="00BF22DB"/>
    <w:rsid w:val="00BF22DF"/>
    <w:rsid w:val="00BF2333"/>
    <w:rsid w:val="00BF2808"/>
    <w:rsid w:val="00BF2BFF"/>
    <w:rsid w:val="00BF375A"/>
    <w:rsid w:val="00BF377C"/>
    <w:rsid w:val="00BF3923"/>
    <w:rsid w:val="00BF3985"/>
    <w:rsid w:val="00BF3DB3"/>
    <w:rsid w:val="00BF3E8F"/>
    <w:rsid w:val="00BF3F84"/>
    <w:rsid w:val="00BF411A"/>
    <w:rsid w:val="00BF41DD"/>
    <w:rsid w:val="00BF4379"/>
    <w:rsid w:val="00BF44AC"/>
    <w:rsid w:val="00BF44B2"/>
    <w:rsid w:val="00BF46D9"/>
    <w:rsid w:val="00BF4790"/>
    <w:rsid w:val="00BF4891"/>
    <w:rsid w:val="00BF48D5"/>
    <w:rsid w:val="00BF48EE"/>
    <w:rsid w:val="00BF48F1"/>
    <w:rsid w:val="00BF4918"/>
    <w:rsid w:val="00BF49D2"/>
    <w:rsid w:val="00BF4BA3"/>
    <w:rsid w:val="00BF4BFB"/>
    <w:rsid w:val="00BF4C69"/>
    <w:rsid w:val="00BF4F70"/>
    <w:rsid w:val="00BF4FDF"/>
    <w:rsid w:val="00BF4FE5"/>
    <w:rsid w:val="00BF527A"/>
    <w:rsid w:val="00BF540F"/>
    <w:rsid w:val="00BF5E41"/>
    <w:rsid w:val="00BF603E"/>
    <w:rsid w:val="00BF6048"/>
    <w:rsid w:val="00BF647F"/>
    <w:rsid w:val="00BF65EA"/>
    <w:rsid w:val="00BF6628"/>
    <w:rsid w:val="00BF74E3"/>
    <w:rsid w:val="00BF75AE"/>
    <w:rsid w:val="00BF7614"/>
    <w:rsid w:val="00BF767E"/>
    <w:rsid w:val="00BF7934"/>
    <w:rsid w:val="00BF7A47"/>
    <w:rsid w:val="00BF7C5F"/>
    <w:rsid w:val="00BF7F6F"/>
    <w:rsid w:val="00C00069"/>
    <w:rsid w:val="00C00073"/>
    <w:rsid w:val="00C005ED"/>
    <w:rsid w:val="00C009D2"/>
    <w:rsid w:val="00C00BC1"/>
    <w:rsid w:val="00C00DB4"/>
    <w:rsid w:val="00C00E8B"/>
    <w:rsid w:val="00C01135"/>
    <w:rsid w:val="00C0113C"/>
    <w:rsid w:val="00C0126E"/>
    <w:rsid w:val="00C0148E"/>
    <w:rsid w:val="00C0157F"/>
    <w:rsid w:val="00C016E9"/>
    <w:rsid w:val="00C01C12"/>
    <w:rsid w:val="00C01D19"/>
    <w:rsid w:val="00C01FD7"/>
    <w:rsid w:val="00C02094"/>
    <w:rsid w:val="00C021D4"/>
    <w:rsid w:val="00C0229D"/>
    <w:rsid w:val="00C02B27"/>
    <w:rsid w:val="00C02C68"/>
    <w:rsid w:val="00C02D03"/>
    <w:rsid w:val="00C02D61"/>
    <w:rsid w:val="00C02EC8"/>
    <w:rsid w:val="00C0348D"/>
    <w:rsid w:val="00C03491"/>
    <w:rsid w:val="00C035E8"/>
    <w:rsid w:val="00C036D9"/>
    <w:rsid w:val="00C03768"/>
    <w:rsid w:val="00C03851"/>
    <w:rsid w:val="00C0386C"/>
    <w:rsid w:val="00C03A0A"/>
    <w:rsid w:val="00C03A94"/>
    <w:rsid w:val="00C03BF3"/>
    <w:rsid w:val="00C040AF"/>
    <w:rsid w:val="00C040E1"/>
    <w:rsid w:val="00C0447E"/>
    <w:rsid w:val="00C04488"/>
    <w:rsid w:val="00C04648"/>
    <w:rsid w:val="00C0473B"/>
    <w:rsid w:val="00C04CC9"/>
    <w:rsid w:val="00C04EDD"/>
    <w:rsid w:val="00C04FF3"/>
    <w:rsid w:val="00C052D2"/>
    <w:rsid w:val="00C05392"/>
    <w:rsid w:val="00C05597"/>
    <w:rsid w:val="00C05603"/>
    <w:rsid w:val="00C05948"/>
    <w:rsid w:val="00C059E1"/>
    <w:rsid w:val="00C05EC2"/>
    <w:rsid w:val="00C060B1"/>
    <w:rsid w:val="00C06113"/>
    <w:rsid w:val="00C0651F"/>
    <w:rsid w:val="00C065CA"/>
    <w:rsid w:val="00C06717"/>
    <w:rsid w:val="00C06835"/>
    <w:rsid w:val="00C06B1F"/>
    <w:rsid w:val="00C06C51"/>
    <w:rsid w:val="00C071F1"/>
    <w:rsid w:val="00C07765"/>
    <w:rsid w:val="00C07C44"/>
    <w:rsid w:val="00C10464"/>
    <w:rsid w:val="00C10B8F"/>
    <w:rsid w:val="00C10BB7"/>
    <w:rsid w:val="00C10CE0"/>
    <w:rsid w:val="00C10D81"/>
    <w:rsid w:val="00C10F1D"/>
    <w:rsid w:val="00C10F77"/>
    <w:rsid w:val="00C1129E"/>
    <w:rsid w:val="00C1138B"/>
    <w:rsid w:val="00C119F8"/>
    <w:rsid w:val="00C11C7B"/>
    <w:rsid w:val="00C11C9A"/>
    <w:rsid w:val="00C11D3D"/>
    <w:rsid w:val="00C11FCD"/>
    <w:rsid w:val="00C121D1"/>
    <w:rsid w:val="00C125FE"/>
    <w:rsid w:val="00C1272F"/>
    <w:rsid w:val="00C12BD3"/>
    <w:rsid w:val="00C12E48"/>
    <w:rsid w:val="00C131F4"/>
    <w:rsid w:val="00C13654"/>
    <w:rsid w:val="00C1368F"/>
    <w:rsid w:val="00C139A8"/>
    <w:rsid w:val="00C13D70"/>
    <w:rsid w:val="00C14032"/>
    <w:rsid w:val="00C1406E"/>
    <w:rsid w:val="00C140F3"/>
    <w:rsid w:val="00C14209"/>
    <w:rsid w:val="00C143B2"/>
    <w:rsid w:val="00C1461D"/>
    <w:rsid w:val="00C14667"/>
    <w:rsid w:val="00C14A05"/>
    <w:rsid w:val="00C14AC7"/>
    <w:rsid w:val="00C14C88"/>
    <w:rsid w:val="00C14DA6"/>
    <w:rsid w:val="00C1514C"/>
    <w:rsid w:val="00C15539"/>
    <w:rsid w:val="00C15720"/>
    <w:rsid w:val="00C1592D"/>
    <w:rsid w:val="00C15959"/>
    <w:rsid w:val="00C15C98"/>
    <w:rsid w:val="00C15EA8"/>
    <w:rsid w:val="00C15F07"/>
    <w:rsid w:val="00C16293"/>
    <w:rsid w:val="00C163BF"/>
    <w:rsid w:val="00C16517"/>
    <w:rsid w:val="00C1663E"/>
    <w:rsid w:val="00C16673"/>
    <w:rsid w:val="00C16A18"/>
    <w:rsid w:val="00C16B9C"/>
    <w:rsid w:val="00C16CF0"/>
    <w:rsid w:val="00C16D4C"/>
    <w:rsid w:val="00C16FD7"/>
    <w:rsid w:val="00C17208"/>
    <w:rsid w:val="00C1756D"/>
    <w:rsid w:val="00C1757A"/>
    <w:rsid w:val="00C17804"/>
    <w:rsid w:val="00C17A41"/>
    <w:rsid w:val="00C201C4"/>
    <w:rsid w:val="00C2021D"/>
    <w:rsid w:val="00C202A9"/>
    <w:rsid w:val="00C20419"/>
    <w:rsid w:val="00C20770"/>
    <w:rsid w:val="00C20846"/>
    <w:rsid w:val="00C2096F"/>
    <w:rsid w:val="00C209D2"/>
    <w:rsid w:val="00C20A9B"/>
    <w:rsid w:val="00C20B92"/>
    <w:rsid w:val="00C20CFF"/>
    <w:rsid w:val="00C20D88"/>
    <w:rsid w:val="00C20ECF"/>
    <w:rsid w:val="00C20F65"/>
    <w:rsid w:val="00C20FAC"/>
    <w:rsid w:val="00C21646"/>
    <w:rsid w:val="00C21711"/>
    <w:rsid w:val="00C21922"/>
    <w:rsid w:val="00C21AD8"/>
    <w:rsid w:val="00C22089"/>
    <w:rsid w:val="00C22328"/>
    <w:rsid w:val="00C22385"/>
    <w:rsid w:val="00C223BC"/>
    <w:rsid w:val="00C2275B"/>
    <w:rsid w:val="00C22861"/>
    <w:rsid w:val="00C2288B"/>
    <w:rsid w:val="00C22CE5"/>
    <w:rsid w:val="00C22E54"/>
    <w:rsid w:val="00C22E6F"/>
    <w:rsid w:val="00C22FCD"/>
    <w:rsid w:val="00C22FEE"/>
    <w:rsid w:val="00C23112"/>
    <w:rsid w:val="00C2350B"/>
    <w:rsid w:val="00C23612"/>
    <w:rsid w:val="00C2380C"/>
    <w:rsid w:val="00C239EA"/>
    <w:rsid w:val="00C23C8D"/>
    <w:rsid w:val="00C23CFF"/>
    <w:rsid w:val="00C23E0B"/>
    <w:rsid w:val="00C23F40"/>
    <w:rsid w:val="00C23F53"/>
    <w:rsid w:val="00C23F86"/>
    <w:rsid w:val="00C2402F"/>
    <w:rsid w:val="00C24241"/>
    <w:rsid w:val="00C244DC"/>
    <w:rsid w:val="00C246CE"/>
    <w:rsid w:val="00C2480A"/>
    <w:rsid w:val="00C24974"/>
    <w:rsid w:val="00C24DDF"/>
    <w:rsid w:val="00C24E53"/>
    <w:rsid w:val="00C24F47"/>
    <w:rsid w:val="00C2504B"/>
    <w:rsid w:val="00C255F4"/>
    <w:rsid w:val="00C25838"/>
    <w:rsid w:val="00C25BB1"/>
    <w:rsid w:val="00C25DA6"/>
    <w:rsid w:val="00C262C2"/>
    <w:rsid w:val="00C263D6"/>
    <w:rsid w:val="00C263DB"/>
    <w:rsid w:val="00C26791"/>
    <w:rsid w:val="00C26A0F"/>
    <w:rsid w:val="00C26BCC"/>
    <w:rsid w:val="00C26D3F"/>
    <w:rsid w:val="00C26E3B"/>
    <w:rsid w:val="00C272AA"/>
    <w:rsid w:val="00C27983"/>
    <w:rsid w:val="00C279E1"/>
    <w:rsid w:val="00C27AC1"/>
    <w:rsid w:val="00C27C50"/>
    <w:rsid w:val="00C27C52"/>
    <w:rsid w:val="00C27F33"/>
    <w:rsid w:val="00C27FD8"/>
    <w:rsid w:val="00C300D8"/>
    <w:rsid w:val="00C30136"/>
    <w:rsid w:val="00C3044E"/>
    <w:rsid w:val="00C305F1"/>
    <w:rsid w:val="00C30604"/>
    <w:rsid w:val="00C30627"/>
    <w:rsid w:val="00C308CC"/>
    <w:rsid w:val="00C30CAE"/>
    <w:rsid w:val="00C30D29"/>
    <w:rsid w:val="00C30E62"/>
    <w:rsid w:val="00C30E63"/>
    <w:rsid w:val="00C31206"/>
    <w:rsid w:val="00C31284"/>
    <w:rsid w:val="00C3168B"/>
    <w:rsid w:val="00C316FE"/>
    <w:rsid w:val="00C318C3"/>
    <w:rsid w:val="00C31A72"/>
    <w:rsid w:val="00C31D24"/>
    <w:rsid w:val="00C31E8D"/>
    <w:rsid w:val="00C324F9"/>
    <w:rsid w:val="00C3294D"/>
    <w:rsid w:val="00C32A68"/>
    <w:rsid w:val="00C32D2C"/>
    <w:rsid w:val="00C3357C"/>
    <w:rsid w:val="00C335CF"/>
    <w:rsid w:val="00C33A7F"/>
    <w:rsid w:val="00C33BB4"/>
    <w:rsid w:val="00C340B1"/>
    <w:rsid w:val="00C3410C"/>
    <w:rsid w:val="00C343F0"/>
    <w:rsid w:val="00C344CB"/>
    <w:rsid w:val="00C3459C"/>
    <w:rsid w:val="00C3471A"/>
    <w:rsid w:val="00C34825"/>
    <w:rsid w:val="00C34978"/>
    <w:rsid w:val="00C34B93"/>
    <w:rsid w:val="00C34BC2"/>
    <w:rsid w:val="00C34BE2"/>
    <w:rsid w:val="00C34C51"/>
    <w:rsid w:val="00C34CEA"/>
    <w:rsid w:val="00C34EA0"/>
    <w:rsid w:val="00C34F51"/>
    <w:rsid w:val="00C3501D"/>
    <w:rsid w:val="00C351CC"/>
    <w:rsid w:val="00C3521C"/>
    <w:rsid w:val="00C35279"/>
    <w:rsid w:val="00C35633"/>
    <w:rsid w:val="00C35AF7"/>
    <w:rsid w:val="00C35B27"/>
    <w:rsid w:val="00C35DBD"/>
    <w:rsid w:val="00C35DEE"/>
    <w:rsid w:val="00C35E64"/>
    <w:rsid w:val="00C35F6E"/>
    <w:rsid w:val="00C3618B"/>
    <w:rsid w:val="00C36383"/>
    <w:rsid w:val="00C3671D"/>
    <w:rsid w:val="00C367B6"/>
    <w:rsid w:val="00C368CE"/>
    <w:rsid w:val="00C36ABC"/>
    <w:rsid w:val="00C36BA2"/>
    <w:rsid w:val="00C36D4F"/>
    <w:rsid w:val="00C36EBC"/>
    <w:rsid w:val="00C36EF0"/>
    <w:rsid w:val="00C3718D"/>
    <w:rsid w:val="00C372F2"/>
    <w:rsid w:val="00C3751E"/>
    <w:rsid w:val="00C377B3"/>
    <w:rsid w:val="00C3796D"/>
    <w:rsid w:val="00C379D4"/>
    <w:rsid w:val="00C37BF1"/>
    <w:rsid w:val="00C37C66"/>
    <w:rsid w:val="00C37CD6"/>
    <w:rsid w:val="00C37FA8"/>
    <w:rsid w:val="00C40235"/>
    <w:rsid w:val="00C402F6"/>
    <w:rsid w:val="00C4050D"/>
    <w:rsid w:val="00C405EC"/>
    <w:rsid w:val="00C40602"/>
    <w:rsid w:val="00C4095F"/>
    <w:rsid w:val="00C40AFA"/>
    <w:rsid w:val="00C40B5C"/>
    <w:rsid w:val="00C40C50"/>
    <w:rsid w:val="00C40D57"/>
    <w:rsid w:val="00C40D5A"/>
    <w:rsid w:val="00C40EAC"/>
    <w:rsid w:val="00C40EB1"/>
    <w:rsid w:val="00C41046"/>
    <w:rsid w:val="00C4117A"/>
    <w:rsid w:val="00C41460"/>
    <w:rsid w:val="00C416D9"/>
    <w:rsid w:val="00C41759"/>
    <w:rsid w:val="00C41AC3"/>
    <w:rsid w:val="00C41B52"/>
    <w:rsid w:val="00C41C7B"/>
    <w:rsid w:val="00C41ECA"/>
    <w:rsid w:val="00C42015"/>
    <w:rsid w:val="00C421D5"/>
    <w:rsid w:val="00C422C6"/>
    <w:rsid w:val="00C4266C"/>
    <w:rsid w:val="00C4268D"/>
    <w:rsid w:val="00C42715"/>
    <w:rsid w:val="00C4277D"/>
    <w:rsid w:val="00C428D7"/>
    <w:rsid w:val="00C42EA8"/>
    <w:rsid w:val="00C42FEE"/>
    <w:rsid w:val="00C43C68"/>
    <w:rsid w:val="00C43F4B"/>
    <w:rsid w:val="00C43FE3"/>
    <w:rsid w:val="00C442A5"/>
    <w:rsid w:val="00C443A8"/>
    <w:rsid w:val="00C4454F"/>
    <w:rsid w:val="00C445AD"/>
    <w:rsid w:val="00C449E6"/>
    <w:rsid w:val="00C44C8E"/>
    <w:rsid w:val="00C44F60"/>
    <w:rsid w:val="00C4504A"/>
    <w:rsid w:val="00C4509A"/>
    <w:rsid w:val="00C45349"/>
    <w:rsid w:val="00C4583C"/>
    <w:rsid w:val="00C45A07"/>
    <w:rsid w:val="00C45A40"/>
    <w:rsid w:val="00C45F5F"/>
    <w:rsid w:val="00C461E2"/>
    <w:rsid w:val="00C462CA"/>
    <w:rsid w:val="00C465DB"/>
    <w:rsid w:val="00C4665C"/>
    <w:rsid w:val="00C46793"/>
    <w:rsid w:val="00C468EE"/>
    <w:rsid w:val="00C46B14"/>
    <w:rsid w:val="00C46B2A"/>
    <w:rsid w:val="00C470F1"/>
    <w:rsid w:val="00C474C0"/>
    <w:rsid w:val="00C474E2"/>
    <w:rsid w:val="00C47B63"/>
    <w:rsid w:val="00C47BD0"/>
    <w:rsid w:val="00C47F7B"/>
    <w:rsid w:val="00C502DD"/>
    <w:rsid w:val="00C502EF"/>
    <w:rsid w:val="00C502F5"/>
    <w:rsid w:val="00C50303"/>
    <w:rsid w:val="00C50585"/>
    <w:rsid w:val="00C5061F"/>
    <w:rsid w:val="00C50628"/>
    <w:rsid w:val="00C50695"/>
    <w:rsid w:val="00C5080F"/>
    <w:rsid w:val="00C50AE2"/>
    <w:rsid w:val="00C50C37"/>
    <w:rsid w:val="00C50C4E"/>
    <w:rsid w:val="00C51022"/>
    <w:rsid w:val="00C51169"/>
    <w:rsid w:val="00C51303"/>
    <w:rsid w:val="00C51324"/>
    <w:rsid w:val="00C5147A"/>
    <w:rsid w:val="00C5147D"/>
    <w:rsid w:val="00C51B68"/>
    <w:rsid w:val="00C51C4E"/>
    <w:rsid w:val="00C51E13"/>
    <w:rsid w:val="00C51E80"/>
    <w:rsid w:val="00C52150"/>
    <w:rsid w:val="00C521FA"/>
    <w:rsid w:val="00C52247"/>
    <w:rsid w:val="00C5229A"/>
    <w:rsid w:val="00C522BD"/>
    <w:rsid w:val="00C5242E"/>
    <w:rsid w:val="00C52D50"/>
    <w:rsid w:val="00C52F81"/>
    <w:rsid w:val="00C53014"/>
    <w:rsid w:val="00C531DE"/>
    <w:rsid w:val="00C53374"/>
    <w:rsid w:val="00C535A2"/>
    <w:rsid w:val="00C5365A"/>
    <w:rsid w:val="00C53CCC"/>
    <w:rsid w:val="00C53EBA"/>
    <w:rsid w:val="00C5405C"/>
    <w:rsid w:val="00C5426F"/>
    <w:rsid w:val="00C5427E"/>
    <w:rsid w:val="00C54443"/>
    <w:rsid w:val="00C544F5"/>
    <w:rsid w:val="00C54500"/>
    <w:rsid w:val="00C54511"/>
    <w:rsid w:val="00C5456F"/>
    <w:rsid w:val="00C54610"/>
    <w:rsid w:val="00C547F9"/>
    <w:rsid w:val="00C54AD1"/>
    <w:rsid w:val="00C54E6A"/>
    <w:rsid w:val="00C54FD2"/>
    <w:rsid w:val="00C551E1"/>
    <w:rsid w:val="00C55829"/>
    <w:rsid w:val="00C55BBF"/>
    <w:rsid w:val="00C56055"/>
    <w:rsid w:val="00C56194"/>
    <w:rsid w:val="00C56490"/>
    <w:rsid w:val="00C56688"/>
    <w:rsid w:val="00C56D4C"/>
    <w:rsid w:val="00C56E16"/>
    <w:rsid w:val="00C57867"/>
    <w:rsid w:val="00C5794D"/>
    <w:rsid w:val="00C57A76"/>
    <w:rsid w:val="00C57C17"/>
    <w:rsid w:val="00C57DF3"/>
    <w:rsid w:val="00C6016A"/>
    <w:rsid w:val="00C601BC"/>
    <w:rsid w:val="00C60380"/>
    <w:rsid w:val="00C60693"/>
    <w:rsid w:val="00C608D1"/>
    <w:rsid w:val="00C60C6C"/>
    <w:rsid w:val="00C61313"/>
    <w:rsid w:val="00C6152F"/>
    <w:rsid w:val="00C61CD3"/>
    <w:rsid w:val="00C620EE"/>
    <w:rsid w:val="00C62113"/>
    <w:rsid w:val="00C624DF"/>
    <w:rsid w:val="00C6257E"/>
    <w:rsid w:val="00C629D1"/>
    <w:rsid w:val="00C62DC0"/>
    <w:rsid w:val="00C63050"/>
    <w:rsid w:val="00C63114"/>
    <w:rsid w:val="00C633A9"/>
    <w:rsid w:val="00C634CE"/>
    <w:rsid w:val="00C6350F"/>
    <w:rsid w:val="00C636EA"/>
    <w:rsid w:val="00C63B9D"/>
    <w:rsid w:val="00C63DC5"/>
    <w:rsid w:val="00C643FA"/>
    <w:rsid w:val="00C64BA1"/>
    <w:rsid w:val="00C64C8D"/>
    <w:rsid w:val="00C64E4E"/>
    <w:rsid w:val="00C64EDA"/>
    <w:rsid w:val="00C64FAC"/>
    <w:rsid w:val="00C651A3"/>
    <w:rsid w:val="00C651C1"/>
    <w:rsid w:val="00C65681"/>
    <w:rsid w:val="00C6590F"/>
    <w:rsid w:val="00C65A11"/>
    <w:rsid w:val="00C65FE7"/>
    <w:rsid w:val="00C66DF6"/>
    <w:rsid w:val="00C678C0"/>
    <w:rsid w:val="00C678D2"/>
    <w:rsid w:val="00C679EF"/>
    <w:rsid w:val="00C70086"/>
    <w:rsid w:val="00C7013C"/>
    <w:rsid w:val="00C70293"/>
    <w:rsid w:val="00C70414"/>
    <w:rsid w:val="00C705B1"/>
    <w:rsid w:val="00C70665"/>
    <w:rsid w:val="00C70960"/>
    <w:rsid w:val="00C70A9D"/>
    <w:rsid w:val="00C70B50"/>
    <w:rsid w:val="00C70BE8"/>
    <w:rsid w:val="00C70E0C"/>
    <w:rsid w:val="00C70ED6"/>
    <w:rsid w:val="00C715D4"/>
    <w:rsid w:val="00C71632"/>
    <w:rsid w:val="00C7184A"/>
    <w:rsid w:val="00C7227B"/>
    <w:rsid w:val="00C72397"/>
    <w:rsid w:val="00C72809"/>
    <w:rsid w:val="00C72AAB"/>
    <w:rsid w:val="00C72C0F"/>
    <w:rsid w:val="00C7319A"/>
    <w:rsid w:val="00C73B73"/>
    <w:rsid w:val="00C73CF5"/>
    <w:rsid w:val="00C73E96"/>
    <w:rsid w:val="00C7422E"/>
    <w:rsid w:val="00C743B2"/>
    <w:rsid w:val="00C74691"/>
    <w:rsid w:val="00C7485A"/>
    <w:rsid w:val="00C74965"/>
    <w:rsid w:val="00C74A21"/>
    <w:rsid w:val="00C74AFA"/>
    <w:rsid w:val="00C75074"/>
    <w:rsid w:val="00C7510B"/>
    <w:rsid w:val="00C75259"/>
    <w:rsid w:val="00C752F4"/>
    <w:rsid w:val="00C75352"/>
    <w:rsid w:val="00C75470"/>
    <w:rsid w:val="00C75518"/>
    <w:rsid w:val="00C757EE"/>
    <w:rsid w:val="00C7595D"/>
    <w:rsid w:val="00C75F96"/>
    <w:rsid w:val="00C764CD"/>
    <w:rsid w:val="00C76503"/>
    <w:rsid w:val="00C766F0"/>
    <w:rsid w:val="00C76747"/>
    <w:rsid w:val="00C76836"/>
    <w:rsid w:val="00C7685E"/>
    <w:rsid w:val="00C7699B"/>
    <w:rsid w:val="00C7762A"/>
    <w:rsid w:val="00C7762C"/>
    <w:rsid w:val="00C776F3"/>
    <w:rsid w:val="00C77765"/>
    <w:rsid w:val="00C778AE"/>
    <w:rsid w:val="00C77B1F"/>
    <w:rsid w:val="00C77F08"/>
    <w:rsid w:val="00C77F3C"/>
    <w:rsid w:val="00C807AB"/>
    <w:rsid w:val="00C80903"/>
    <w:rsid w:val="00C80AEB"/>
    <w:rsid w:val="00C80BF6"/>
    <w:rsid w:val="00C8110A"/>
    <w:rsid w:val="00C81440"/>
    <w:rsid w:val="00C81652"/>
    <w:rsid w:val="00C818E5"/>
    <w:rsid w:val="00C819AD"/>
    <w:rsid w:val="00C81A19"/>
    <w:rsid w:val="00C81D20"/>
    <w:rsid w:val="00C82AAD"/>
    <w:rsid w:val="00C82BB6"/>
    <w:rsid w:val="00C82BCC"/>
    <w:rsid w:val="00C82DAC"/>
    <w:rsid w:val="00C82EE7"/>
    <w:rsid w:val="00C830D2"/>
    <w:rsid w:val="00C832B7"/>
    <w:rsid w:val="00C8331A"/>
    <w:rsid w:val="00C83475"/>
    <w:rsid w:val="00C8364E"/>
    <w:rsid w:val="00C837E9"/>
    <w:rsid w:val="00C8385D"/>
    <w:rsid w:val="00C839F2"/>
    <w:rsid w:val="00C83BCB"/>
    <w:rsid w:val="00C83D0B"/>
    <w:rsid w:val="00C83D57"/>
    <w:rsid w:val="00C83EEA"/>
    <w:rsid w:val="00C83FAB"/>
    <w:rsid w:val="00C84560"/>
    <w:rsid w:val="00C8491F"/>
    <w:rsid w:val="00C84A41"/>
    <w:rsid w:val="00C84AA5"/>
    <w:rsid w:val="00C84BEE"/>
    <w:rsid w:val="00C84EEC"/>
    <w:rsid w:val="00C84EF0"/>
    <w:rsid w:val="00C84FB7"/>
    <w:rsid w:val="00C852C1"/>
    <w:rsid w:val="00C857A7"/>
    <w:rsid w:val="00C86046"/>
    <w:rsid w:val="00C86271"/>
    <w:rsid w:val="00C8629F"/>
    <w:rsid w:val="00C862A4"/>
    <w:rsid w:val="00C862E0"/>
    <w:rsid w:val="00C8660E"/>
    <w:rsid w:val="00C86A9D"/>
    <w:rsid w:val="00C87039"/>
    <w:rsid w:val="00C871FC"/>
    <w:rsid w:val="00C87213"/>
    <w:rsid w:val="00C8725A"/>
    <w:rsid w:val="00C87490"/>
    <w:rsid w:val="00C87494"/>
    <w:rsid w:val="00C877F8"/>
    <w:rsid w:val="00C9014E"/>
    <w:rsid w:val="00C90254"/>
    <w:rsid w:val="00C90438"/>
    <w:rsid w:val="00C904B6"/>
    <w:rsid w:val="00C90535"/>
    <w:rsid w:val="00C908ED"/>
    <w:rsid w:val="00C90C4D"/>
    <w:rsid w:val="00C91371"/>
    <w:rsid w:val="00C916E2"/>
    <w:rsid w:val="00C91729"/>
    <w:rsid w:val="00C91897"/>
    <w:rsid w:val="00C9191E"/>
    <w:rsid w:val="00C9199F"/>
    <w:rsid w:val="00C919FB"/>
    <w:rsid w:val="00C91E6D"/>
    <w:rsid w:val="00C920F8"/>
    <w:rsid w:val="00C9217E"/>
    <w:rsid w:val="00C929B7"/>
    <w:rsid w:val="00C929E5"/>
    <w:rsid w:val="00C92BD9"/>
    <w:rsid w:val="00C92C2F"/>
    <w:rsid w:val="00C92DA8"/>
    <w:rsid w:val="00C92EC5"/>
    <w:rsid w:val="00C92F8E"/>
    <w:rsid w:val="00C92FC0"/>
    <w:rsid w:val="00C933B4"/>
    <w:rsid w:val="00C9358B"/>
    <w:rsid w:val="00C936AF"/>
    <w:rsid w:val="00C93754"/>
    <w:rsid w:val="00C937E5"/>
    <w:rsid w:val="00C9388E"/>
    <w:rsid w:val="00C93B05"/>
    <w:rsid w:val="00C93BA4"/>
    <w:rsid w:val="00C93BC0"/>
    <w:rsid w:val="00C94014"/>
    <w:rsid w:val="00C9403E"/>
    <w:rsid w:val="00C944A3"/>
    <w:rsid w:val="00C944BB"/>
    <w:rsid w:val="00C946C0"/>
    <w:rsid w:val="00C94BEC"/>
    <w:rsid w:val="00C94CB7"/>
    <w:rsid w:val="00C95121"/>
    <w:rsid w:val="00C95532"/>
    <w:rsid w:val="00C9554A"/>
    <w:rsid w:val="00C95A0B"/>
    <w:rsid w:val="00C95CC5"/>
    <w:rsid w:val="00C960A4"/>
    <w:rsid w:val="00C964FD"/>
    <w:rsid w:val="00C968D5"/>
    <w:rsid w:val="00C96D85"/>
    <w:rsid w:val="00C97651"/>
    <w:rsid w:val="00C977A7"/>
    <w:rsid w:val="00C97C42"/>
    <w:rsid w:val="00C97D69"/>
    <w:rsid w:val="00C97E7B"/>
    <w:rsid w:val="00CA0079"/>
    <w:rsid w:val="00CA0552"/>
    <w:rsid w:val="00CA062F"/>
    <w:rsid w:val="00CA0C3C"/>
    <w:rsid w:val="00CA0DA9"/>
    <w:rsid w:val="00CA0DCA"/>
    <w:rsid w:val="00CA0DE7"/>
    <w:rsid w:val="00CA123F"/>
    <w:rsid w:val="00CA1AEF"/>
    <w:rsid w:val="00CA1F3D"/>
    <w:rsid w:val="00CA2326"/>
    <w:rsid w:val="00CA234B"/>
    <w:rsid w:val="00CA24D1"/>
    <w:rsid w:val="00CA251E"/>
    <w:rsid w:val="00CA2634"/>
    <w:rsid w:val="00CA2838"/>
    <w:rsid w:val="00CA2D5C"/>
    <w:rsid w:val="00CA2D8D"/>
    <w:rsid w:val="00CA2E86"/>
    <w:rsid w:val="00CA2FC9"/>
    <w:rsid w:val="00CA307E"/>
    <w:rsid w:val="00CA34C6"/>
    <w:rsid w:val="00CA3598"/>
    <w:rsid w:val="00CA35E5"/>
    <w:rsid w:val="00CA3AAE"/>
    <w:rsid w:val="00CA3B9D"/>
    <w:rsid w:val="00CA3C43"/>
    <w:rsid w:val="00CA3F5B"/>
    <w:rsid w:val="00CA406D"/>
    <w:rsid w:val="00CA41C1"/>
    <w:rsid w:val="00CA42B1"/>
    <w:rsid w:val="00CA482B"/>
    <w:rsid w:val="00CA487F"/>
    <w:rsid w:val="00CA491D"/>
    <w:rsid w:val="00CA4B9D"/>
    <w:rsid w:val="00CA4BB9"/>
    <w:rsid w:val="00CA5197"/>
    <w:rsid w:val="00CA5201"/>
    <w:rsid w:val="00CA5345"/>
    <w:rsid w:val="00CA5B01"/>
    <w:rsid w:val="00CA5B25"/>
    <w:rsid w:val="00CA5D2C"/>
    <w:rsid w:val="00CA6140"/>
    <w:rsid w:val="00CA622F"/>
    <w:rsid w:val="00CA6234"/>
    <w:rsid w:val="00CA637F"/>
    <w:rsid w:val="00CA6446"/>
    <w:rsid w:val="00CA68C2"/>
    <w:rsid w:val="00CA6B1D"/>
    <w:rsid w:val="00CA706A"/>
    <w:rsid w:val="00CA7128"/>
    <w:rsid w:val="00CA7191"/>
    <w:rsid w:val="00CA7484"/>
    <w:rsid w:val="00CA76CB"/>
    <w:rsid w:val="00CA7D37"/>
    <w:rsid w:val="00CA7FCD"/>
    <w:rsid w:val="00CB0135"/>
    <w:rsid w:val="00CB0250"/>
    <w:rsid w:val="00CB042E"/>
    <w:rsid w:val="00CB04EE"/>
    <w:rsid w:val="00CB0675"/>
    <w:rsid w:val="00CB0AE5"/>
    <w:rsid w:val="00CB0C25"/>
    <w:rsid w:val="00CB0F72"/>
    <w:rsid w:val="00CB10EC"/>
    <w:rsid w:val="00CB10F7"/>
    <w:rsid w:val="00CB117F"/>
    <w:rsid w:val="00CB11AB"/>
    <w:rsid w:val="00CB1222"/>
    <w:rsid w:val="00CB131C"/>
    <w:rsid w:val="00CB1486"/>
    <w:rsid w:val="00CB14CF"/>
    <w:rsid w:val="00CB174E"/>
    <w:rsid w:val="00CB1933"/>
    <w:rsid w:val="00CB1FEA"/>
    <w:rsid w:val="00CB222A"/>
    <w:rsid w:val="00CB23CE"/>
    <w:rsid w:val="00CB30D6"/>
    <w:rsid w:val="00CB3181"/>
    <w:rsid w:val="00CB31AA"/>
    <w:rsid w:val="00CB3261"/>
    <w:rsid w:val="00CB3438"/>
    <w:rsid w:val="00CB34BD"/>
    <w:rsid w:val="00CB38BD"/>
    <w:rsid w:val="00CB3FC0"/>
    <w:rsid w:val="00CB4006"/>
    <w:rsid w:val="00CB47F0"/>
    <w:rsid w:val="00CB4BF5"/>
    <w:rsid w:val="00CB4E42"/>
    <w:rsid w:val="00CB506E"/>
    <w:rsid w:val="00CB53E8"/>
    <w:rsid w:val="00CB56E3"/>
    <w:rsid w:val="00CB578A"/>
    <w:rsid w:val="00CB5AB6"/>
    <w:rsid w:val="00CB5BF3"/>
    <w:rsid w:val="00CB5D53"/>
    <w:rsid w:val="00CB5D9B"/>
    <w:rsid w:val="00CB601E"/>
    <w:rsid w:val="00CB602D"/>
    <w:rsid w:val="00CB6458"/>
    <w:rsid w:val="00CB64AC"/>
    <w:rsid w:val="00CB6B54"/>
    <w:rsid w:val="00CB6DD1"/>
    <w:rsid w:val="00CB6EFB"/>
    <w:rsid w:val="00CB6FB2"/>
    <w:rsid w:val="00CB728F"/>
    <w:rsid w:val="00CB72C9"/>
    <w:rsid w:val="00CB72D3"/>
    <w:rsid w:val="00CB7415"/>
    <w:rsid w:val="00CB747A"/>
    <w:rsid w:val="00CB74C3"/>
    <w:rsid w:val="00CB75D0"/>
    <w:rsid w:val="00CB7614"/>
    <w:rsid w:val="00CB76B0"/>
    <w:rsid w:val="00CB76CA"/>
    <w:rsid w:val="00CB783B"/>
    <w:rsid w:val="00CB789A"/>
    <w:rsid w:val="00CB7902"/>
    <w:rsid w:val="00CB79D2"/>
    <w:rsid w:val="00CB79FE"/>
    <w:rsid w:val="00CB7C59"/>
    <w:rsid w:val="00CB7FE0"/>
    <w:rsid w:val="00CC002B"/>
    <w:rsid w:val="00CC01E1"/>
    <w:rsid w:val="00CC046F"/>
    <w:rsid w:val="00CC0645"/>
    <w:rsid w:val="00CC0799"/>
    <w:rsid w:val="00CC091C"/>
    <w:rsid w:val="00CC0B03"/>
    <w:rsid w:val="00CC0C6E"/>
    <w:rsid w:val="00CC1398"/>
    <w:rsid w:val="00CC1687"/>
    <w:rsid w:val="00CC189F"/>
    <w:rsid w:val="00CC1B5F"/>
    <w:rsid w:val="00CC1C09"/>
    <w:rsid w:val="00CC1CAC"/>
    <w:rsid w:val="00CC1EE5"/>
    <w:rsid w:val="00CC1F78"/>
    <w:rsid w:val="00CC2200"/>
    <w:rsid w:val="00CC24ED"/>
    <w:rsid w:val="00CC25A3"/>
    <w:rsid w:val="00CC2AA2"/>
    <w:rsid w:val="00CC2BF8"/>
    <w:rsid w:val="00CC2C1D"/>
    <w:rsid w:val="00CC2D51"/>
    <w:rsid w:val="00CC349D"/>
    <w:rsid w:val="00CC368D"/>
    <w:rsid w:val="00CC38A8"/>
    <w:rsid w:val="00CC43BC"/>
    <w:rsid w:val="00CC446F"/>
    <w:rsid w:val="00CC487B"/>
    <w:rsid w:val="00CC4CEA"/>
    <w:rsid w:val="00CC50DE"/>
    <w:rsid w:val="00CC52AE"/>
    <w:rsid w:val="00CC52F1"/>
    <w:rsid w:val="00CC588A"/>
    <w:rsid w:val="00CC5A53"/>
    <w:rsid w:val="00CC5C91"/>
    <w:rsid w:val="00CC5DD3"/>
    <w:rsid w:val="00CC5F2B"/>
    <w:rsid w:val="00CC62D4"/>
    <w:rsid w:val="00CC66F3"/>
    <w:rsid w:val="00CC6E92"/>
    <w:rsid w:val="00CC6F51"/>
    <w:rsid w:val="00CC716C"/>
    <w:rsid w:val="00CC737A"/>
    <w:rsid w:val="00CC7A3A"/>
    <w:rsid w:val="00CD009F"/>
    <w:rsid w:val="00CD0136"/>
    <w:rsid w:val="00CD03B3"/>
    <w:rsid w:val="00CD0A54"/>
    <w:rsid w:val="00CD10CE"/>
    <w:rsid w:val="00CD11B9"/>
    <w:rsid w:val="00CD1249"/>
    <w:rsid w:val="00CD1739"/>
    <w:rsid w:val="00CD19A0"/>
    <w:rsid w:val="00CD19A4"/>
    <w:rsid w:val="00CD1A67"/>
    <w:rsid w:val="00CD1AF0"/>
    <w:rsid w:val="00CD1CFB"/>
    <w:rsid w:val="00CD1D01"/>
    <w:rsid w:val="00CD208F"/>
    <w:rsid w:val="00CD2204"/>
    <w:rsid w:val="00CD259E"/>
    <w:rsid w:val="00CD2CEE"/>
    <w:rsid w:val="00CD31EA"/>
    <w:rsid w:val="00CD3315"/>
    <w:rsid w:val="00CD35D1"/>
    <w:rsid w:val="00CD3626"/>
    <w:rsid w:val="00CD38E3"/>
    <w:rsid w:val="00CD39D6"/>
    <w:rsid w:val="00CD3A13"/>
    <w:rsid w:val="00CD3B55"/>
    <w:rsid w:val="00CD3C7E"/>
    <w:rsid w:val="00CD3E17"/>
    <w:rsid w:val="00CD409B"/>
    <w:rsid w:val="00CD4162"/>
    <w:rsid w:val="00CD4173"/>
    <w:rsid w:val="00CD47E8"/>
    <w:rsid w:val="00CD48E0"/>
    <w:rsid w:val="00CD4EB5"/>
    <w:rsid w:val="00CD4EE5"/>
    <w:rsid w:val="00CD503E"/>
    <w:rsid w:val="00CD5112"/>
    <w:rsid w:val="00CD564E"/>
    <w:rsid w:val="00CD590F"/>
    <w:rsid w:val="00CD5BEE"/>
    <w:rsid w:val="00CD5CE8"/>
    <w:rsid w:val="00CD5D06"/>
    <w:rsid w:val="00CD5E56"/>
    <w:rsid w:val="00CD5FE7"/>
    <w:rsid w:val="00CD6042"/>
    <w:rsid w:val="00CD61A9"/>
    <w:rsid w:val="00CD620A"/>
    <w:rsid w:val="00CD6233"/>
    <w:rsid w:val="00CD6363"/>
    <w:rsid w:val="00CD642C"/>
    <w:rsid w:val="00CD64AD"/>
    <w:rsid w:val="00CD6649"/>
    <w:rsid w:val="00CD665F"/>
    <w:rsid w:val="00CD668E"/>
    <w:rsid w:val="00CD67D0"/>
    <w:rsid w:val="00CD6A0C"/>
    <w:rsid w:val="00CD6AC4"/>
    <w:rsid w:val="00CD6C6E"/>
    <w:rsid w:val="00CD6E1F"/>
    <w:rsid w:val="00CD72E7"/>
    <w:rsid w:val="00CD7346"/>
    <w:rsid w:val="00CD7443"/>
    <w:rsid w:val="00CD7684"/>
    <w:rsid w:val="00CD7AAD"/>
    <w:rsid w:val="00CD7BEE"/>
    <w:rsid w:val="00CE000A"/>
    <w:rsid w:val="00CE00D6"/>
    <w:rsid w:val="00CE0592"/>
    <w:rsid w:val="00CE06F0"/>
    <w:rsid w:val="00CE1276"/>
    <w:rsid w:val="00CE138A"/>
    <w:rsid w:val="00CE15C8"/>
    <w:rsid w:val="00CE15CC"/>
    <w:rsid w:val="00CE178C"/>
    <w:rsid w:val="00CE1A54"/>
    <w:rsid w:val="00CE1ED7"/>
    <w:rsid w:val="00CE1EEC"/>
    <w:rsid w:val="00CE200C"/>
    <w:rsid w:val="00CE2314"/>
    <w:rsid w:val="00CE2363"/>
    <w:rsid w:val="00CE24FE"/>
    <w:rsid w:val="00CE2691"/>
    <w:rsid w:val="00CE2D12"/>
    <w:rsid w:val="00CE325D"/>
    <w:rsid w:val="00CE3401"/>
    <w:rsid w:val="00CE3712"/>
    <w:rsid w:val="00CE3715"/>
    <w:rsid w:val="00CE3B80"/>
    <w:rsid w:val="00CE3C76"/>
    <w:rsid w:val="00CE4135"/>
    <w:rsid w:val="00CE417E"/>
    <w:rsid w:val="00CE41D5"/>
    <w:rsid w:val="00CE4430"/>
    <w:rsid w:val="00CE4ACC"/>
    <w:rsid w:val="00CE4DD1"/>
    <w:rsid w:val="00CE5724"/>
    <w:rsid w:val="00CE586D"/>
    <w:rsid w:val="00CE5B9D"/>
    <w:rsid w:val="00CE5DA9"/>
    <w:rsid w:val="00CE6A5C"/>
    <w:rsid w:val="00CE6CD7"/>
    <w:rsid w:val="00CE6F55"/>
    <w:rsid w:val="00CE70F2"/>
    <w:rsid w:val="00CE73A6"/>
    <w:rsid w:val="00CE7590"/>
    <w:rsid w:val="00CE75BA"/>
    <w:rsid w:val="00CE7755"/>
    <w:rsid w:val="00CE7839"/>
    <w:rsid w:val="00CE78CF"/>
    <w:rsid w:val="00CE7A93"/>
    <w:rsid w:val="00CE7B8A"/>
    <w:rsid w:val="00CE7DF6"/>
    <w:rsid w:val="00CF004C"/>
    <w:rsid w:val="00CF05C4"/>
    <w:rsid w:val="00CF066C"/>
    <w:rsid w:val="00CF06A2"/>
    <w:rsid w:val="00CF078F"/>
    <w:rsid w:val="00CF0909"/>
    <w:rsid w:val="00CF0D74"/>
    <w:rsid w:val="00CF0DEF"/>
    <w:rsid w:val="00CF0E1C"/>
    <w:rsid w:val="00CF1207"/>
    <w:rsid w:val="00CF1235"/>
    <w:rsid w:val="00CF144B"/>
    <w:rsid w:val="00CF14B2"/>
    <w:rsid w:val="00CF15FF"/>
    <w:rsid w:val="00CF219C"/>
    <w:rsid w:val="00CF2604"/>
    <w:rsid w:val="00CF28AD"/>
    <w:rsid w:val="00CF2DAB"/>
    <w:rsid w:val="00CF2EEE"/>
    <w:rsid w:val="00CF3286"/>
    <w:rsid w:val="00CF33FF"/>
    <w:rsid w:val="00CF3532"/>
    <w:rsid w:val="00CF3612"/>
    <w:rsid w:val="00CF38E7"/>
    <w:rsid w:val="00CF3928"/>
    <w:rsid w:val="00CF3BB0"/>
    <w:rsid w:val="00CF3D07"/>
    <w:rsid w:val="00CF42B6"/>
    <w:rsid w:val="00CF4425"/>
    <w:rsid w:val="00CF478D"/>
    <w:rsid w:val="00CF490E"/>
    <w:rsid w:val="00CF4ADA"/>
    <w:rsid w:val="00CF50FD"/>
    <w:rsid w:val="00CF51EB"/>
    <w:rsid w:val="00CF52C2"/>
    <w:rsid w:val="00CF54C7"/>
    <w:rsid w:val="00CF54FB"/>
    <w:rsid w:val="00CF5847"/>
    <w:rsid w:val="00CF5A7A"/>
    <w:rsid w:val="00CF5BE0"/>
    <w:rsid w:val="00CF5C22"/>
    <w:rsid w:val="00CF5CDA"/>
    <w:rsid w:val="00CF5D35"/>
    <w:rsid w:val="00CF5D7D"/>
    <w:rsid w:val="00CF6146"/>
    <w:rsid w:val="00CF6419"/>
    <w:rsid w:val="00CF6945"/>
    <w:rsid w:val="00CF6CDA"/>
    <w:rsid w:val="00CF6D07"/>
    <w:rsid w:val="00CF6D1F"/>
    <w:rsid w:val="00CF6D8A"/>
    <w:rsid w:val="00CF709B"/>
    <w:rsid w:val="00CF70CA"/>
    <w:rsid w:val="00CF7219"/>
    <w:rsid w:val="00CF7363"/>
    <w:rsid w:val="00CF74B5"/>
    <w:rsid w:val="00CF7557"/>
    <w:rsid w:val="00CF75AE"/>
    <w:rsid w:val="00CF7886"/>
    <w:rsid w:val="00CF7BAE"/>
    <w:rsid w:val="00D00393"/>
    <w:rsid w:val="00D003BF"/>
    <w:rsid w:val="00D00557"/>
    <w:rsid w:val="00D00581"/>
    <w:rsid w:val="00D005B9"/>
    <w:rsid w:val="00D00813"/>
    <w:rsid w:val="00D0092B"/>
    <w:rsid w:val="00D00930"/>
    <w:rsid w:val="00D00A34"/>
    <w:rsid w:val="00D00B6D"/>
    <w:rsid w:val="00D00E58"/>
    <w:rsid w:val="00D00E5D"/>
    <w:rsid w:val="00D0129C"/>
    <w:rsid w:val="00D01411"/>
    <w:rsid w:val="00D01587"/>
    <w:rsid w:val="00D017E1"/>
    <w:rsid w:val="00D018E4"/>
    <w:rsid w:val="00D01A7C"/>
    <w:rsid w:val="00D027F0"/>
    <w:rsid w:val="00D02B5E"/>
    <w:rsid w:val="00D02B6E"/>
    <w:rsid w:val="00D02BFA"/>
    <w:rsid w:val="00D02F83"/>
    <w:rsid w:val="00D03258"/>
    <w:rsid w:val="00D03577"/>
    <w:rsid w:val="00D03742"/>
    <w:rsid w:val="00D039D3"/>
    <w:rsid w:val="00D042A8"/>
    <w:rsid w:val="00D04371"/>
    <w:rsid w:val="00D04464"/>
    <w:rsid w:val="00D046B6"/>
    <w:rsid w:val="00D04B07"/>
    <w:rsid w:val="00D04B16"/>
    <w:rsid w:val="00D04B66"/>
    <w:rsid w:val="00D04F05"/>
    <w:rsid w:val="00D050D4"/>
    <w:rsid w:val="00D0532C"/>
    <w:rsid w:val="00D06472"/>
    <w:rsid w:val="00D06815"/>
    <w:rsid w:val="00D06818"/>
    <w:rsid w:val="00D0685F"/>
    <w:rsid w:val="00D06FC5"/>
    <w:rsid w:val="00D0752C"/>
    <w:rsid w:val="00D07777"/>
    <w:rsid w:val="00D078F3"/>
    <w:rsid w:val="00D0793E"/>
    <w:rsid w:val="00D07BDA"/>
    <w:rsid w:val="00D07BEE"/>
    <w:rsid w:val="00D07C8A"/>
    <w:rsid w:val="00D07E05"/>
    <w:rsid w:val="00D10168"/>
    <w:rsid w:val="00D101DB"/>
    <w:rsid w:val="00D103A4"/>
    <w:rsid w:val="00D10586"/>
    <w:rsid w:val="00D105AF"/>
    <w:rsid w:val="00D10797"/>
    <w:rsid w:val="00D108E7"/>
    <w:rsid w:val="00D108FD"/>
    <w:rsid w:val="00D10B23"/>
    <w:rsid w:val="00D10B4D"/>
    <w:rsid w:val="00D119F8"/>
    <w:rsid w:val="00D11ADD"/>
    <w:rsid w:val="00D11B15"/>
    <w:rsid w:val="00D11B63"/>
    <w:rsid w:val="00D11B64"/>
    <w:rsid w:val="00D11C63"/>
    <w:rsid w:val="00D11DC1"/>
    <w:rsid w:val="00D11F36"/>
    <w:rsid w:val="00D127DF"/>
    <w:rsid w:val="00D12874"/>
    <w:rsid w:val="00D12940"/>
    <w:rsid w:val="00D129ED"/>
    <w:rsid w:val="00D12BFE"/>
    <w:rsid w:val="00D13041"/>
    <w:rsid w:val="00D13112"/>
    <w:rsid w:val="00D1361F"/>
    <w:rsid w:val="00D13690"/>
    <w:rsid w:val="00D138C2"/>
    <w:rsid w:val="00D13D65"/>
    <w:rsid w:val="00D13F40"/>
    <w:rsid w:val="00D140FA"/>
    <w:rsid w:val="00D1410E"/>
    <w:rsid w:val="00D1413E"/>
    <w:rsid w:val="00D14182"/>
    <w:rsid w:val="00D1478E"/>
    <w:rsid w:val="00D14B46"/>
    <w:rsid w:val="00D14C82"/>
    <w:rsid w:val="00D14CC2"/>
    <w:rsid w:val="00D14D11"/>
    <w:rsid w:val="00D14EAC"/>
    <w:rsid w:val="00D1523D"/>
    <w:rsid w:val="00D15924"/>
    <w:rsid w:val="00D159C1"/>
    <w:rsid w:val="00D15D6B"/>
    <w:rsid w:val="00D15D83"/>
    <w:rsid w:val="00D15E52"/>
    <w:rsid w:val="00D15E78"/>
    <w:rsid w:val="00D15EB2"/>
    <w:rsid w:val="00D15EC0"/>
    <w:rsid w:val="00D15F35"/>
    <w:rsid w:val="00D16118"/>
    <w:rsid w:val="00D1613C"/>
    <w:rsid w:val="00D16181"/>
    <w:rsid w:val="00D16AF0"/>
    <w:rsid w:val="00D16CF9"/>
    <w:rsid w:val="00D16E58"/>
    <w:rsid w:val="00D172B2"/>
    <w:rsid w:val="00D17548"/>
    <w:rsid w:val="00D178FA"/>
    <w:rsid w:val="00D17DD6"/>
    <w:rsid w:val="00D17E52"/>
    <w:rsid w:val="00D17E82"/>
    <w:rsid w:val="00D17EFE"/>
    <w:rsid w:val="00D2015C"/>
    <w:rsid w:val="00D20308"/>
    <w:rsid w:val="00D20A7B"/>
    <w:rsid w:val="00D20C09"/>
    <w:rsid w:val="00D20E69"/>
    <w:rsid w:val="00D21093"/>
    <w:rsid w:val="00D210D7"/>
    <w:rsid w:val="00D2130F"/>
    <w:rsid w:val="00D2132F"/>
    <w:rsid w:val="00D21907"/>
    <w:rsid w:val="00D21A45"/>
    <w:rsid w:val="00D21A77"/>
    <w:rsid w:val="00D21AA2"/>
    <w:rsid w:val="00D21C0B"/>
    <w:rsid w:val="00D21D5F"/>
    <w:rsid w:val="00D21FFC"/>
    <w:rsid w:val="00D22044"/>
    <w:rsid w:val="00D22065"/>
    <w:rsid w:val="00D22311"/>
    <w:rsid w:val="00D224F3"/>
    <w:rsid w:val="00D22552"/>
    <w:rsid w:val="00D2257C"/>
    <w:rsid w:val="00D225D0"/>
    <w:rsid w:val="00D226E9"/>
    <w:rsid w:val="00D227A9"/>
    <w:rsid w:val="00D227BA"/>
    <w:rsid w:val="00D22C3A"/>
    <w:rsid w:val="00D23004"/>
    <w:rsid w:val="00D2309B"/>
    <w:rsid w:val="00D234FB"/>
    <w:rsid w:val="00D238DD"/>
    <w:rsid w:val="00D238FB"/>
    <w:rsid w:val="00D23A1A"/>
    <w:rsid w:val="00D23EA1"/>
    <w:rsid w:val="00D244F8"/>
    <w:rsid w:val="00D246E9"/>
    <w:rsid w:val="00D24932"/>
    <w:rsid w:val="00D2495D"/>
    <w:rsid w:val="00D2496B"/>
    <w:rsid w:val="00D24B7D"/>
    <w:rsid w:val="00D24DFD"/>
    <w:rsid w:val="00D24F3A"/>
    <w:rsid w:val="00D251C8"/>
    <w:rsid w:val="00D25A23"/>
    <w:rsid w:val="00D25BBB"/>
    <w:rsid w:val="00D25C5F"/>
    <w:rsid w:val="00D25E78"/>
    <w:rsid w:val="00D25FA9"/>
    <w:rsid w:val="00D261EC"/>
    <w:rsid w:val="00D2647A"/>
    <w:rsid w:val="00D26731"/>
    <w:rsid w:val="00D270D8"/>
    <w:rsid w:val="00D273DE"/>
    <w:rsid w:val="00D274A3"/>
    <w:rsid w:val="00D2750F"/>
    <w:rsid w:val="00D277A6"/>
    <w:rsid w:val="00D27850"/>
    <w:rsid w:val="00D278A3"/>
    <w:rsid w:val="00D27DBD"/>
    <w:rsid w:val="00D27DFE"/>
    <w:rsid w:val="00D3045C"/>
    <w:rsid w:val="00D3046F"/>
    <w:rsid w:val="00D30566"/>
    <w:rsid w:val="00D305C6"/>
    <w:rsid w:val="00D30993"/>
    <w:rsid w:val="00D30B30"/>
    <w:rsid w:val="00D30C4C"/>
    <w:rsid w:val="00D30C54"/>
    <w:rsid w:val="00D31059"/>
    <w:rsid w:val="00D310D0"/>
    <w:rsid w:val="00D313A9"/>
    <w:rsid w:val="00D319AA"/>
    <w:rsid w:val="00D31BA2"/>
    <w:rsid w:val="00D31D48"/>
    <w:rsid w:val="00D31DFA"/>
    <w:rsid w:val="00D3201B"/>
    <w:rsid w:val="00D32090"/>
    <w:rsid w:val="00D32490"/>
    <w:rsid w:val="00D325F4"/>
    <w:rsid w:val="00D32652"/>
    <w:rsid w:val="00D3278F"/>
    <w:rsid w:val="00D328E4"/>
    <w:rsid w:val="00D32C67"/>
    <w:rsid w:val="00D32E7B"/>
    <w:rsid w:val="00D32FB0"/>
    <w:rsid w:val="00D333ED"/>
    <w:rsid w:val="00D33B2D"/>
    <w:rsid w:val="00D33DEF"/>
    <w:rsid w:val="00D33E92"/>
    <w:rsid w:val="00D33FE7"/>
    <w:rsid w:val="00D34136"/>
    <w:rsid w:val="00D346B4"/>
    <w:rsid w:val="00D34889"/>
    <w:rsid w:val="00D3498F"/>
    <w:rsid w:val="00D34AB1"/>
    <w:rsid w:val="00D34B46"/>
    <w:rsid w:val="00D34CE7"/>
    <w:rsid w:val="00D351BC"/>
    <w:rsid w:val="00D3528F"/>
    <w:rsid w:val="00D35662"/>
    <w:rsid w:val="00D35714"/>
    <w:rsid w:val="00D358E8"/>
    <w:rsid w:val="00D35920"/>
    <w:rsid w:val="00D35ACC"/>
    <w:rsid w:val="00D35BCB"/>
    <w:rsid w:val="00D35D19"/>
    <w:rsid w:val="00D35D4A"/>
    <w:rsid w:val="00D35FB0"/>
    <w:rsid w:val="00D3616A"/>
    <w:rsid w:val="00D36655"/>
    <w:rsid w:val="00D36714"/>
    <w:rsid w:val="00D367DA"/>
    <w:rsid w:val="00D367F7"/>
    <w:rsid w:val="00D3699D"/>
    <w:rsid w:val="00D36A5F"/>
    <w:rsid w:val="00D36B55"/>
    <w:rsid w:val="00D374CC"/>
    <w:rsid w:val="00D374D0"/>
    <w:rsid w:val="00D37524"/>
    <w:rsid w:val="00D376FF"/>
    <w:rsid w:val="00D40036"/>
    <w:rsid w:val="00D401E7"/>
    <w:rsid w:val="00D40236"/>
    <w:rsid w:val="00D405BC"/>
    <w:rsid w:val="00D4062F"/>
    <w:rsid w:val="00D40933"/>
    <w:rsid w:val="00D40D8D"/>
    <w:rsid w:val="00D40F6F"/>
    <w:rsid w:val="00D41554"/>
    <w:rsid w:val="00D41633"/>
    <w:rsid w:val="00D41871"/>
    <w:rsid w:val="00D41C33"/>
    <w:rsid w:val="00D41E01"/>
    <w:rsid w:val="00D420A8"/>
    <w:rsid w:val="00D420BD"/>
    <w:rsid w:val="00D42189"/>
    <w:rsid w:val="00D42F37"/>
    <w:rsid w:val="00D42F91"/>
    <w:rsid w:val="00D42F93"/>
    <w:rsid w:val="00D42FFA"/>
    <w:rsid w:val="00D433F6"/>
    <w:rsid w:val="00D4353C"/>
    <w:rsid w:val="00D4361F"/>
    <w:rsid w:val="00D4389F"/>
    <w:rsid w:val="00D43B74"/>
    <w:rsid w:val="00D43B7F"/>
    <w:rsid w:val="00D43C27"/>
    <w:rsid w:val="00D43E30"/>
    <w:rsid w:val="00D43FF1"/>
    <w:rsid w:val="00D441EC"/>
    <w:rsid w:val="00D443B9"/>
    <w:rsid w:val="00D444B2"/>
    <w:rsid w:val="00D44C86"/>
    <w:rsid w:val="00D44F1D"/>
    <w:rsid w:val="00D44FED"/>
    <w:rsid w:val="00D45199"/>
    <w:rsid w:val="00D45432"/>
    <w:rsid w:val="00D4543D"/>
    <w:rsid w:val="00D459A2"/>
    <w:rsid w:val="00D45AB2"/>
    <w:rsid w:val="00D45B74"/>
    <w:rsid w:val="00D45D70"/>
    <w:rsid w:val="00D45E43"/>
    <w:rsid w:val="00D45E5B"/>
    <w:rsid w:val="00D46034"/>
    <w:rsid w:val="00D46302"/>
    <w:rsid w:val="00D463AC"/>
    <w:rsid w:val="00D46486"/>
    <w:rsid w:val="00D4669C"/>
    <w:rsid w:val="00D466B8"/>
    <w:rsid w:val="00D468E7"/>
    <w:rsid w:val="00D46BAB"/>
    <w:rsid w:val="00D47218"/>
    <w:rsid w:val="00D47495"/>
    <w:rsid w:val="00D4766E"/>
    <w:rsid w:val="00D47672"/>
    <w:rsid w:val="00D478B6"/>
    <w:rsid w:val="00D47D12"/>
    <w:rsid w:val="00D47D94"/>
    <w:rsid w:val="00D5022B"/>
    <w:rsid w:val="00D503FE"/>
    <w:rsid w:val="00D506FE"/>
    <w:rsid w:val="00D508B4"/>
    <w:rsid w:val="00D5091A"/>
    <w:rsid w:val="00D50969"/>
    <w:rsid w:val="00D50EC6"/>
    <w:rsid w:val="00D51092"/>
    <w:rsid w:val="00D511A1"/>
    <w:rsid w:val="00D514D1"/>
    <w:rsid w:val="00D5171B"/>
    <w:rsid w:val="00D51A0E"/>
    <w:rsid w:val="00D51C29"/>
    <w:rsid w:val="00D51EBB"/>
    <w:rsid w:val="00D51EF3"/>
    <w:rsid w:val="00D52380"/>
    <w:rsid w:val="00D524BE"/>
    <w:rsid w:val="00D5254C"/>
    <w:rsid w:val="00D525B8"/>
    <w:rsid w:val="00D52955"/>
    <w:rsid w:val="00D52A70"/>
    <w:rsid w:val="00D52B20"/>
    <w:rsid w:val="00D52C95"/>
    <w:rsid w:val="00D52E68"/>
    <w:rsid w:val="00D5314B"/>
    <w:rsid w:val="00D53486"/>
    <w:rsid w:val="00D53909"/>
    <w:rsid w:val="00D53BB3"/>
    <w:rsid w:val="00D53EB6"/>
    <w:rsid w:val="00D53EF3"/>
    <w:rsid w:val="00D54148"/>
    <w:rsid w:val="00D54664"/>
    <w:rsid w:val="00D54757"/>
    <w:rsid w:val="00D5481E"/>
    <w:rsid w:val="00D54A79"/>
    <w:rsid w:val="00D54C70"/>
    <w:rsid w:val="00D55009"/>
    <w:rsid w:val="00D55032"/>
    <w:rsid w:val="00D5521E"/>
    <w:rsid w:val="00D552FE"/>
    <w:rsid w:val="00D55590"/>
    <w:rsid w:val="00D55C14"/>
    <w:rsid w:val="00D55CE6"/>
    <w:rsid w:val="00D55D26"/>
    <w:rsid w:val="00D55F70"/>
    <w:rsid w:val="00D55F9A"/>
    <w:rsid w:val="00D56243"/>
    <w:rsid w:val="00D56311"/>
    <w:rsid w:val="00D56425"/>
    <w:rsid w:val="00D565AA"/>
    <w:rsid w:val="00D56791"/>
    <w:rsid w:val="00D5681C"/>
    <w:rsid w:val="00D56A64"/>
    <w:rsid w:val="00D56FCA"/>
    <w:rsid w:val="00D572DD"/>
    <w:rsid w:val="00D57955"/>
    <w:rsid w:val="00D57EA5"/>
    <w:rsid w:val="00D57F93"/>
    <w:rsid w:val="00D60247"/>
    <w:rsid w:val="00D60347"/>
    <w:rsid w:val="00D605B3"/>
    <w:rsid w:val="00D608C4"/>
    <w:rsid w:val="00D60C36"/>
    <w:rsid w:val="00D60DEF"/>
    <w:rsid w:val="00D6115B"/>
    <w:rsid w:val="00D61203"/>
    <w:rsid w:val="00D612B4"/>
    <w:rsid w:val="00D613E4"/>
    <w:rsid w:val="00D615FF"/>
    <w:rsid w:val="00D61859"/>
    <w:rsid w:val="00D61912"/>
    <w:rsid w:val="00D61BC6"/>
    <w:rsid w:val="00D61D37"/>
    <w:rsid w:val="00D61DC3"/>
    <w:rsid w:val="00D62079"/>
    <w:rsid w:val="00D62213"/>
    <w:rsid w:val="00D6231E"/>
    <w:rsid w:val="00D624DC"/>
    <w:rsid w:val="00D628CA"/>
    <w:rsid w:val="00D629D4"/>
    <w:rsid w:val="00D62ADC"/>
    <w:rsid w:val="00D62B4F"/>
    <w:rsid w:val="00D630CC"/>
    <w:rsid w:val="00D63195"/>
    <w:rsid w:val="00D6344F"/>
    <w:rsid w:val="00D63652"/>
    <w:rsid w:val="00D63823"/>
    <w:rsid w:val="00D63A68"/>
    <w:rsid w:val="00D63BC9"/>
    <w:rsid w:val="00D64205"/>
    <w:rsid w:val="00D647DC"/>
    <w:rsid w:val="00D648BE"/>
    <w:rsid w:val="00D64A12"/>
    <w:rsid w:val="00D64EE6"/>
    <w:rsid w:val="00D6510A"/>
    <w:rsid w:val="00D65161"/>
    <w:rsid w:val="00D65834"/>
    <w:rsid w:val="00D6588C"/>
    <w:rsid w:val="00D65D4E"/>
    <w:rsid w:val="00D65E5D"/>
    <w:rsid w:val="00D65ED5"/>
    <w:rsid w:val="00D661CE"/>
    <w:rsid w:val="00D66363"/>
    <w:rsid w:val="00D667A0"/>
    <w:rsid w:val="00D66DD2"/>
    <w:rsid w:val="00D66DE8"/>
    <w:rsid w:val="00D66F2D"/>
    <w:rsid w:val="00D67370"/>
    <w:rsid w:val="00D67671"/>
    <w:rsid w:val="00D67963"/>
    <w:rsid w:val="00D67B67"/>
    <w:rsid w:val="00D67CC6"/>
    <w:rsid w:val="00D67D54"/>
    <w:rsid w:val="00D70329"/>
    <w:rsid w:val="00D706FA"/>
    <w:rsid w:val="00D70D2C"/>
    <w:rsid w:val="00D70F99"/>
    <w:rsid w:val="00D71238"/>
    <w:rsid w:val="00D712E7"/>
    <w:rsid w:val="00D714AB"/>
    <w:rsid w:val="00D715F8"/>
    <w:rsid w:val="00D719E7"/>
    <w:rsid w:val="00D71CC5"/>
    <w:rsid w:val="00D7211A"/>
    <w:rsid w:val="00D721DC"/>
    <w:rsid w:val="00D72420"/>
    <w:rsid w:val="00D725B0"/>
    <w:rsid w:val="00D72627"/>
    <w:rsid w:val="00D72A9E"/>
    <w:rsid w:val="00D72D8F"/>
    <w:rsid w:val="00D72E7A"/>
    <w:rsid w:val="00D730EF"/>
    <w:rsid w:val="00D734B7"/>
    <w:rsid w:val="00D73517"/>
    <w:rsid w:val="00D73593"/>
    <w:rsid w:val="00D738C3"/>
    <w:rsid w:val="00D7397F"/>
    <w:rsid w:val="00D73A5E"/>
    <w:rsid w:val="00D73AD3"/>
    <w:rsid w:val="00D73D23"/>
    <w:rsid w:val="00D745BC"/>
    <w:rsid w:val="00D746CE"/>
    <w:rsid w:val="00D74755"/>
    <w:rsid w:val="00D749E7"/>
    <w:rsid w:val="00D74BCE"/>
    <w:rsid w:val="00D75061"/>
    <w:rsid w:val="00D750C5"/>
    <w:rsid w:val="00D755BF"/>
    <w:rsid w:val="00D75659"/>
    <w:rsid w:val="00D75834"/>
    <w:rsid w:val="00D75994"/>
    <w:rsid w:val="00D75A5E"/>
    <w:rsid w:val="00D75D64"/>
    <w:rsid w:val="00D7601E"/>
    <w:rsid w:val="00D760BF"/>
    <w:rsid w:val="00D766C7"/>
    <w:rsid w:val="00D767E6"/>
    <w:rsid w:val="00D769E3"/>
    <w:rsid w:val="00D76A85"/>
    <w:rsid w:val="00D7707E"/>
    <w:rsid w:val="00D77124"/>
    <w:rsid w:val="00D77200"/>
    <w:rsid w:val="00D772C2"/>
    <w:rsid w:val="00D77315"/>
    <w:rsid w:val="00D7746F"/>
    <w:rsid w:val="00D775AC"/>
    <w:rsid w:val="00D77609"/>
    <w:rsid w:val="00D778A1"/>
    <w:rsid w:val="00D77935"/>
    <w:rsid w:val="00D779D9"/>
    <w:rsid w:val="00D77A8B"/>
    <w:rsid w:val="00D77C0B"/>
    <w:rsid w:val="00D77D7B"/>
    <w:rsid w:val="00D800EF"/>
    <w:rsid w:val="00D8018E"/>
    <w:rsid w:val="00D804D4"/>
    <w:rsid w:val="00D80557"/>
    <w:rsid w:val="00D80565"/>
    <w:rsid w:val="00D806AA"/>
    <w:rsid w:val="00D806F2"/>
    <w:rsid w:val="00D80ADF"/>
    <w:rsid w:val="00D80C4D"/>
    <w:rsid w:val="00D811F9"/>
    <w:rsid w:val="00D81432"/>
    <w:rsid w:val="00D81509"/>
    <w:rsid w:val="00D8187A"/>
    <w:rsid w:val="00D818F3"/>
    <w:rsid w:val="00D819D0"/>
    <w:rsid w:val="00D81BF6"/>
    <w:rsid w:val="00D81C47"/>
    <w:rsid w:val="00D81C4A"/>
    <w:rsid w:val="00D81ECF"/>
    <w:rsid w:val="00D81F30"/>
    <w:rsid w:val="00D820C7"/>
    <w:rsid w:val="00D82390"/>
    <w:rsid w:val="00D82412"/>
    <w:rsid w:val="00D825CE"/>
    <w:rsid w:val="00D8276C"/>
    <w:rsid w:val="00D8276E"/>
    <w:rsid w:val="00D827E1"/>
    <w:rsid w:val="00D82929"/>
    <w:rsid w:val="00D82ADF"/>
    <w:rsid w:val="00D82B84"/>
    <w:rsid w:val="00D8317E"/>
    <w:rsid w:val="00D835E7"/>
    <w:rsid w:val="00D83618"/>
    <w:rsid w:val="00D8361B"/>
    <w:rsid w:val="00D83BDA"/>
    <w:rsid w:val="00D83DC2"/>
    <w:rsid w:val="00D84341"/>
    <w:rsid w:val="00D843EE"/>
    <w:rsid w:val="00D8455B"/>
    <w:rsid w:val="00D846D2"/>
    <w:rsid w:val="00D846FB"/>
    <w:rsid w:val="00D8480C"/>
    <w:rsid w:val="00D84895"/>
    <w:rsid w:val="00D84C6F"/>
    <w:rsid w:val="00D84D5F"/>
    <w:rsid w:val="00D84FA0"/>
    <w:rsid w:val="00D85030"/>
    <w:rsid w:val="00D85091"/>
    <w:rsid w:val="00D853C8"/>
    <w:rsid w:val="00D85430"/>
    <w:rsid w:val="00D85471"/>
    <w:rsid w:val="00D85547"/>
    <w:rsid w:val="00D85613"/>
    <w:rsid w:val="00D85858"/>
    <w:rsid w:val="00D85DE7"/>
    <w:rsid w:val="00D85DF5"/>
    <w:rsid w:val="00D86303"/>
    <w:rsid w:val="00D866D4"/>
    <w:rsid w:val="00D86792"/>
    <w:rsid w:val="00D8686B"/>
    <w:rsid w:val="00D8693E"/>
    <w:rsid w:val="00D86B21"/>
    <w:rsid w:val="00D86DEF"/>
    <w:rsid w:val="00D872FC"/>
    <w:rsid w:val="00D8737B"/>
    <w:rsid w:val="00D874A0"/>
    <w:rsid w:val="00D87960"/>
    <w:rsid w:val="00D87964"/>
    <w:rsid w:val="00D879D9"/>
    <w:rsid w:val="00D87B59"/>
    <w:rsid w:val="00D87C49"/>
    <w:rsid w:val="00D87C4D"/>
    <w:rsid w:val="00D87CE8"/>
    <w:rsid w:val="00D87D2C"/>
    <w:rsid w:val="00D87ECD"/>
    <w:rsid w:val="00D90084"/>
    <w:rsid w:val="00D9024A"/>
    <w:rsid w:val="00D902F5"/>
    <w:rsid w:val="00D903A3"/>
    <w:rsid w:val="00D903AD"/>
    <w:rsid w:val="00D9057D"/>
    <w:rsid w:val="00D905CA"/>
    <w:rsid w:val="00D906FA"/>
    <w:rsid w:val="00D908B8"/>
    <w:rsid w:val="00D90C26"/>
    <w:rsid w:val="00D90C45"/>
    <w:rsid w:val="00D90CC8"/>
    <w:rsid w:val="00D90F22"/>
    <w:rsid w:val="00D910D6"/>
    <w:rsid w:val="00D91231"/>
    <w:rsid w:val="00D91342"/>
    <w:rsid w:val="00D918B5"/>
    <w:rsid w:val="00D91B19"/>
    <w:rsid w:val="00D91E2D"/>
    <w:rsid w:val="00D91E34"/>
    <w:rsid w:val="00D92091"/>
    <w:rsid w:val="00D920CB"/>
    <w:rsid w:val="00D9210B"/>
    <w:rsid w:val="00D9244D"/>
    <w:rsid w:val="00D9249B"/>
    <w:rsid w:val="00D924C0"/>
    <w:rsid w:val="00D925F7"/>
    <w:rsid w:val="00D929F6"/>
    <w:rsid w:val="00D92B81"/>
    <w:rsid w:val="00D92E22"/>
    <w:rsid w:val="00D92F5E"/>
    <w:rsid w:val="00D92FC5"/>
    <w:rsid w:val="00D930DE"/>
    <w:rsid w:val="00D9377E"/>
    <w:rsid w:val="00D93C4D"/>
    <w:rsid w:val="00D93DCF"/>
    <w:rsid w:val="00D93E46"/>
    <w:rsid w:val="00D93E68"/>
    <w:rsid w:val="00D94624"/>
    <w:rsid w:val="00D948BC"/>
    <w:rsid w:val="00D94CE6"/>
    <w:rsid w:val="00D94EFD"/>
    <w:rsid w:val="00D95203"/>
    <w:rsid w:val="00D9550D"/>
    <w:rsid w:val="00D95603"/>
    <w:rsid w:val="00D9593E"/>
    <w:rsid w:val="00D95B19"/>
    <w:rsid w:val="00D95F81"/>
    <w:rsid w:val="00D95FD4"/>
    <w:rsid w:val="00D96261"/>
    <w:rsid w:val="00D96302"/>
    <w:rsid w:val="00D9632D"/>
    <w:rsid w:val="00D96631"/>
    <w:rsid w:val="00D96634"/>
    <w:rsid w:val="00D96654"/>
    <w:rsid w:val="00D967FE"/>
    <w:rsid w:val="00D96930"/>
    <w:rsid w:val="00D96984"/>
    <w:rsid w:val="00D96D26"/>
    <w:rsid w:val="00D96D95"/>
    <w:rsid w:val="00D96E71"/>
    <w:rsid w:val="00D970B9"/>
    <w:rsid w:val="00D97102"/>
    <w:rsid w:val="00D976D4"/>
    <w:rsid w:val="00D9782E"/>
    <w:rsid w:val="00D97AAE"/>
    <w:rsid w:val="00D97B50"/>
    <w:rsid w:val="00DA03D2"/>
    <w:rsid w:val="00DA0472"/>
    <w:rsid w:val="00DA0756"/>
    <w:rsid w:val="00DA07EE"/>
    <w:rsid w:val="00DA084C"/>
    <w:rsid w:val="00DA09D0"/>
    <w:rsid w:val="00DA0DDE"/>
    <w:rsid w:val="00DA115B"/>
    <w:rsid w:val="00DA18BF"/>
    <w:rsid w:val="00DA18EB"/>
    <w:rsid w:val="00DA1B3A"/>
    <w:rsid w:val="00DA26F6"/>
    <w:rsid w:val="00DA2A1A"/>
    <w:rsid w:val="00DA2D26"/>
    <w:rsid w:val="00DA2F21"/>
    <w:rsid w:val="00DA2F87"/>
    <w:rsid w:val="00DA34F7"/>
    <w:rsid w:val="00DA35F2"/>
    <w:rsid w:val="00DA3683"/>
    <w:rsid w:val="00DA3E1A"/>
    <w:rsid w:val="00DA419F"/>
    <w:rsid w:val="00DA44B5"/>
    <w:rsid w:val="00DA44CE"/>
    <w:rsid w:val="00DA459F"/>
    <w:rsid w:val="00DA4B24"/>
    <w:rsid w:val="00DA4B35"/>
    <w:rsid w:val="00DA4BE7"/>
    <w:rsid w:val="00DA4CB5"/>
    <w:rsid w:val="00DA4FFC"/>
    <w:rsid w:val="00DA5199"/>
    <w:rsid w:val="00DA530E"/>
    <w:rsid w:val="00DA5380"/>
    <w:rsid w:val="00DA53D0"/>
    <w:rsid w:val="00DA54D4"/>
    <w:rsid w:val="00DA5539"/>
    <w:rsid w:val="00DA5698"/>
    <w:rsid w:val="00DA58F0"/>
    <w:rsid w:val="00DA5A86"/>
    <w:rsid w:val="00DA5A9D"/>
    <w:rsid w:val="00DA5CBB"/>
    <w:rsid w:val="00DA62A1"/>
    <w:rsid w:val="00DA62B1"/>
    <w:rsid w:val="00DA62C8"/>
    <w:rsid w:val="00DA62DE"/>
    <w:rsid w:val="00DA6438"/>
    <w:rsid w:val="00DA65C8"/>
    <w:rsid w:val="00DA6743"/>
    <w:rsid w:val="00DA6824"/>
    <w:rsid w:val="00DA6FCB"/>
    <w:rsid w:val="00DA72D5"/>
    <w:rsid w:val="00DA75D4"/>
    <w:rsid w:val="00DA77DA"/>
    <w:rsid w:val="00DA7CB2"/>
    <w:rsid w:val="00DA7F0F"/>
    <w:rsid w:val="00DA7F16"/>
    <w:rsid w:val="00DA7F40"/>
    <w:rsid w:val="00DA7F74"/>
    <w:rsid w:val="00DB0537"/>
    <w:rsid w:val="00DB094A"/>
    <w:rsid w:val="00DB0CB6"/>
    <w:rsid w:val="00DB0D17"/>
    <w:rsid w:val="00DB0F32"/>
    <w:rsid w:val="00DB11CB"/>
    <w:rsid w:val="00DB140E"/>
    <w:rsid w:val="00DB1465"/>
    <w:rsid w:val="00DB148E"/>
    <w:rsid w:val="00DB17F8"/>
    <w:rsid w:val="00DB19D4"/>
    <w:rsid w:val="00DB1A91"/>
    <w:rsid w:val="00DB1AB4"/>
    <w:rsid w:val="00DB1BC5"/>
    <w:rsid w:val="00DB1C10"/>
    <w:rsid w:val="00DB1CFF"/>
    <w:rsid w:val="00DB1D1D"/>
    <w:rsid w:val="00DB1DDE"/>
    <w:rsid w:val="00DB1F21"/>
    <w:rsid w:val="00DB2061"/>
    <w:rsid w:val="00DB207C"/>
    <w:rsid w:val="00DB218D"/>
    <w:rsid w:val="00DB226E"/>
    <w:rsid w:val="00DB2496"/>
    <w:rsid w:val="00DB257E"/>
    <w:rsid w:val="00DB2625"/>
    <w:rsid w:val="00DB2EC5"/>
    <w:rsid w:val="00DB325C"/>
    <w:rsid w:val="00DB3648"/>
    <w:rsid w:val="00DB389D"/>
    <w:rsid w:val="00DB3D05"/>
    <w:rsid w:val="00DB3E9C"/>
    <w:rsid w:val="00DB3F9D"/>
    <w:rsid w:val="00DB3FB3"/>
    <w:rsid w:val="00DB419E"/>
    <w:rsid w:val="00DB41EC"/>
    <w:rsid w:val="00DB439A"/>
    <w:rsid w:val="00DB43D3"/>
    <w:rsid w:val="00DB494E"/>
    <w:rsid w:val="00DB4965"/>
    <w:rsid w:val="00DB4D1A"/>
    <w:rsid w:val="00DB52D1"/>
    <w:rsid w:val="00DB54C1"/>
    <w:rsid w:val="00DB5629"/>
    <w:rsid w:val="00DB57F2"/>
    <w:rsid w:val="00DB5844"/>
    <w:rsid w:val="00DB5D50"/>
    <w:rsid w:val="00DB5EFE"/>
    <w:rsid w:val="00DB609A"/>
    <w:rsid w:val="00DB60A6"/>
    <w:rsid w:val="00DB61A5"/>
    <w:rsid w:val="00DB62C0"/>
    <w:rsid w:val="00DB641C"/>
    <w:rsid w:val="00DB65C2"/>
    <w:rsid w:val="00DB662C"/>
    <w:rsid w:val="00DB6671"/>
    <w:rsid w:val="00DB68A6"/>
    <w:rsid w:val="00DB68C7"/>
    <w:rsid w:val="00DB6A14"/>
    <w:rsid w:val="00DB6A2D"/>
    <w:rsid w:val="00DB6C84"/>
    <w:rsid w:val="00DB6E9F"/>
    <w:rsid w:val="00DB7037"/>
    <w:rsid w:val="00DB7305"/>
    <w:rsid w:val="00DB74EC"/>
    <w:rsid w:val="00DB7A57"/>
    <w:rsid w:val="00DB7C47"/>
    <w:rsid w:val="00DC019A"/>
    <w:rsid w:val="00DC01C2"/>
    <w:rsid w:val="00DC02E3"/>
    <w:rsid w:val="00DC02F8"/>
    <w:rsid w:val="00DC0484"/>
    <w:rsid w:val="00DC0660"/>
    <w:rsid w:val="00DC0816"/>
    <w:rsid w:val="00DC08B4"/>
    <w:rsid w:val="00DC091B"/>
    <w:rsid w:val="00DC09E2"/>
    <w:rsid w:val="00DC0B57"/>
    <w:rsid w:val="00DC0C93"/>
    <w:rsid w:val="00DC0F98"/>
    <w:rsid w:val="00DC1447"/>
    <w:rsid w:val="00DC160E"/>
    <w:rsid w:val="00DC1612"/>
    <w:rsid w:val="00DC1662"/>
    <w:rsid w:val="00DC1967"/>
    <w:rsid w:val="00DC1A43"/>
    <w:rsid w:val="00DC1C1E"/>
    <w:rsid w:val="00DC1D72"/>
    <w:rsid w:val="00DC1E26"/>
    <w:rsid w:val="00DC208F"/>
    <w:rsid w:val="00DC20AD"/>
    <w:rsid w:val="00DC244E"/>
    <w:rsid w:val="00DC26AB"/>
    <w:rsid w:val="00DC2832"/>
    <w:rsid w:val="00DC2957"/>
    <w:rsid w:val="00DC2B18"/>
    <w:rsid w:val="00DC2D14"/>
    <w:rsid w:val="00DC3262"/>
    <w:rsid w:val="00DC33FA"/>
    <w:rsid w:val="00DC3462"/>
    <w:rsid w:val="00DC3482"/>
    <w:rsid w:val="00DC351F"/>
    <w:rsid w:val="00DC354D"/>
    <w:rsid w:val="00DC36B5"/>
    <w:rsid w:val="00DC3CDC"/>
    <w:rsid w:val="00DC3D81"/>
    <w:rsid w:val="00DC3E44"/>
    <w:rsid w:val="00DC3FCB"/>
    <w:rsid w:val="00DC41AC"/>
    <w:rsid w:val="00DC42D8"/>
    <w:rsid w:val="00DC4758"/>
    <w:rsid w:val="00DC4A21"/>
    <w:rsid w:val="00DC4A75"/>
    <w:rsid w:val="00DC4C35"/>
    <w:rsid w:val="00DC4DD4"/>
    <w:rsid w:val="00DC538D"/>
    <w:rsid w:val="00DC5834"/>
    <w:rsid w:val="00DC5BDC"/>
    <w:rsid w:val="00DC5BF7"/>
    <w:rsid w:val="00DC5E48"/>
    <w:rsid w:val="00DC609B"/>
    <w:rsid w:val="00DC6370"/>
    <w:rsid w:val="00DC66BA"/>
    <w:rsid w:val="00DC66D8"/>
    <w:rsid w:val="00DC6718"/>
    <w:rsid w:val="00DC6775"/>
    <w:rsid w:val="00DC69BB"/>
    <w:rsid w:val="00DC6A27"/>
    <w:rsid w:val="00DC6D1F"/>
    <w:rsid w:val="00DC6E30"/>
    <w:rsid w:val="00DC6E4A"/>
    <w:rsid w:val="00DC6F6E"/>
    <w:rsid w:val="00DC7111"/>
    <w:rsid w:val="00DC7BD2"/>
    <w:rsid w:val="00DC7DA7"/>
    <w:rsid w:val="00DC7DCB"/>
    <w:rsid w:val="00DC7EF2"/>
    <w:rsid w:val="00DD0018"/>
    <w:rsid w:val="00DD0102"/>
    <w:rsid w:val="00DD0202"/>
    <w:rsid w:val="00DD04B8"/>
    <w:rsid w:val="00DD07C5"/>
    <w:rsid w:val="00DD0939"/>
    <w:rsid w:val="00DD09FF"/>
    <w:rsid w:val="00DD0E81"/>
    <w:rsid w:val="00DD0F95"/>
    <w:rsid w:val="00DD10DA"/>
    <w:rsid w:val="00DD162C"/>
    <w:rsid w:val="00DD1D7B"/>
    <w:rsid w:val="00DD1E19"/>
    <w:rsid w:val="00DD1F7A"/>
    <w:rsid w:val="00DD20D0"/>
    <w:rsid w:val="00DD24FD"/>
    <w:rsid w:val="00DD2E38"/>
    <w:rsid w:val="00DD2ECF"/>
    <w:rsid w:val="00DD32B7"/>
    <w:rsid w:val="00DD32FE"/>
    <w:rsid w:val="00DD3407"/>
    <w:rsid w:val="00DD3C4C"/>
    <w:rsid w:val="00DD3FBD"/>
    <w:rsid w:val="00DD40FC"/>
    <w:rsid w:val="00DD410F"/>
    <w:rsid w:val="00DD4363"/>
    <w:rsid w:val="00DD44E4"/>
    <w:rsid w:val="00DD4691"/>
    <w:rsid w:val="00DD47B1"/>
    <w:rsid w:val="00DD4964"/>
    <w:rsid w:val="00DD4B4E"/>
    <w:rsid w:val="00DD4C3D"/>
    <w:rsid w:val="00DD4E57"/>
    <w:rsid w:val="00DD4EAF"/>
    <w:rsid w:val="00DD546C"/>
    <w:rsid w:val="00DD561C"/>
    <w:rsid w:val="00DD5A49"/>
    <w:rsid w:val="00DD5B6E"/>
    <w:rsid w:val="00DD5BF2"/>
    <w:rsid w:val="00DD5C51"/>
    <w:rsid w:val="00DD5C89"/>
    <w:rsid w:val="00DD5E54"/>
    <w:rsid w:val="00DD66BF"/>
    <w:rsid w:val="00DD6820"/>
    <w:rsid w:val="00DD6E26"/>
    <w:rsid w:val="00DD6EB3"/>
    <w:rsid w:val="00DD6F1B"/>
    <w:rsid w:val="00DD72EC"/>
    <w:rsid w:val="00DD73E2"/>
    <w:rsid w:val="00DD7524"/>
    <w:rsid w:val="00DD7777"/>
    <w:rsid w:val="00DD7838"/>
    <w:rsid w:val="00DD7862"/>
    <w:rsid w:val="00DD796D"/>
    <w:rsid w:val="00DD79B0"/>
    <w:rsid w:val="00DE0459"/>
    <w:rsid w:val="00DE0478"/>
    <w:rsid w:val="00DE0660"/>
    <w:rsid w:val="00DE07EE"/>
    <w:rsid w:val="00DE0B94"/>
    <w:rsid w:val="00DE10AE"/>
    <w:rsid w:val="00DE164B"/>
    <w:rsid w:val="00DE1930"/>
    <w:rsid w:val="00DE1C0E"/>
    <w:rsid w:val="00DE1DF2"/>
    <w:rsid w:val="00DE21DA"/>
    <w:rsid w:val="00DE22DA"/>
    <w:rsid w:val="00DE2416"/>
    <w:rsid w:val="00DE257C"/>
    <w:rsid w:val="00DE2ADD"/>
    <w:rsid w:val="00DE2B86"/>
    <w:rsid w:val="00DE2FE5"/>
    <w:rsid w:val="00DE30E9"/>
    <w:rsid w:val="00DE35E2"/>
    <w:rsid w:val="00DE369E"/>
    <w:rsid w:val="00DE3720"/>
    <w:rsid w:val="00DE3D7E"/>
    <w:rsid w:val="00DE42BA"/>
    <w:rsid w:val="00DE42F4"/>
    <w:rsid w:val="00DE4306"/>
    <w:rsid w:val="00DE45D7"/>
    <w:rsid w:val="00DE4771"/>
    <w:rsid w:val="00DE4A17"/>
    <w:rsid w:val="00DE4A24"/>
    <w:rsid w:val="00DE4BC6"/>
    <w:rsid w:val="00DE4CD1"/>
    <w:rsid w:val="00DE4E90"/>
    <w:rsid w:val="00DE566C"/>
    <w:rsid w:val="00DE59BB"/>
    <w:rsid w:val="00DE59C5"/>
    <w:rsid w:val="00DE5B49"/>
    <w:rsid w:val="00DE5B77"/>
    <w:rsid w:val="00DE5C57"/>
    <w:rsid w:val="00DE5D3C"/>
    <w:rsid w:val="00DE6066"/>
    <w:rsid w:val="00DE61E3"/>
    <w:rsid w:val="00DE6666"/>
    <w:rsid w:val="00DE6746"/>
    <w:rsid w:val="00DE6773"/>
    <w:rsid w:val="00DE67E7"/>
    <w:rsid w:val="00DE6954"/>
    <w:rsid w:val="00DE69C1"/>
    <w:rsid w:val="00DE6ADD"/>
    <w:rsid w:val="00DE72AF"/>
    <w:rsid w:val="00DE76EA"/>
    <w:rsid w:val="00DF0292"/>
    <w:rsid w:val="00DF03AE"/>
    <w:rsid w:val="00DF0B8F"/>
    <w:rsid w:val="00DF0F3B"/>
    <w:rsid w:val="00DF10AB"/>
    <w:rsid w:val="00DF10F2"/>
    <w:rsid w:val="00DF112B"/>
    <w:rsid w:val="00DF1303"/>
    <w:rsid w:val="00DF1604"/>
    <w:rsid w:val="00DF1736"/>
    <w:rsid w:val="00DF1861"/>
    <w:rsid w:val="00DF18FF"/>
    <w:rsid w:val="00DF1907"/>
    <w:rsid w:val="00DF195C"/>
    <w:rsid w:val="00DF1A8B"/>
    <w:rsid w:val="00DF1AE3"/>
    <w:rsid w:val="00DF1C69"/>
    <w:rsid w:val="00DF1E29"/>
    <w:rsid w:val="00DF22F5"/>
    <w:rsid w:val="00DF25FF"/>
    <w:rsid w:val="00DF2BBB"/>
    <w:rsid w:val="00DF2D2B"/>
    <w:rsid w:val="00DF2D39"/>
    <w:rsid w:val="00DF2D3E"/>
    <w:rsid w:val="00DF3508"/>
    <w:rsid w:val="00DF3709"/>
    <w:rsid w:val="00DF378A"/>
    <w:rsid w:val="00DF37F9"/>
    <w:rsid w:val="00DF39DC"/>
    <w:rsid w:val="00DF3C9A"/>
    <w:rsid w:val="00DF3CA5"/>
    <w:rsid w:val="00DF3CF6"/>
    <w:rsid w:val="00DF3D31"/>
    <w:rsid w:val="00DF3D80"/>
    <w:rsid w:val="00DF418B"/>
    <w:rsid w:val="00DF480E"/>
    <w:rsid w:val="00DF4879"/>
    <w:rsid w:val="00DF49E9"/>
    <w:rsid w:val="00DF4A08"/>
    <w:rsid w:val="00DF4D58"/>
    <w:rsid w:val="00DF4DD9"/>
    <w:rsid w:val="00DF51A6"/>
    <w:rsid w:val="00DF5220"/>
    <w:rsid w:val="00DF524F"/>
    <w:rsid w:val="00DF5268"/>
    <w:rsid w:val="00DF5AD0"/>
    <w:rsid w:val="00DF5C20"/>
    <w:rsid w:val="00DF5D34"/>
    <w:rsid w:val="00DF5E2B"/>
    <w:rsid w:val="00DF5F66"/>
    <w:rsid w:val="00DF60DE"/>
    <w:rsid w:val="00DF6867"/>
    <w:rsid w:val="00DF6AA6"/>
    <w:rsid w:val="00DF6DBB"/>
    <w:rsid w:val="00DF7094"/>
    <w:rsid w:val="00DF7103"/>
    <w:rsid w:val="00DF78C6"/>
    <w:rsid w:val="00DF7D2F"/>
    <w:rsid w:val="00DF7E73"/>
    <w:rsid w:val="00DF7FAF"/>
    <w:rsid w:val="00E000E5"/>
    <w:rsid w:val="00E004CD"/>
    <w:rsid w:val="00E0069C"/>
    <w:rsid w:val="00E00759"/>
    <w:rsid w:val="00E00798"/>
    <w:rsid w:val="00E00ECF"/>
    <w:rsid w:val="00E00FC0"/>
    <w:rsid w:val="00E00FCE"/>
    <w:rsid w:val="00E01167"/>
    <w:rsid w:val="00E0121A"/>
    <w:rsid w:val="00E01426"/>
    <w:rsid w:val="00E015CA"/>
    <w:rsid w:val="00E01906"/>
    <w:rsid w:val="00E01BE1"/>
    <w:rsid w:val="00E01C41"/>
    <w:rsid w:val="00E02418"/>
    <w:rsid w:val="00E02446"/>
    <w:rsid w:val="00E02497"/>
    <w:rsid w:val="00E0288F"/>
    <w:rsid w:val="00E028D6"/>
    <w:rsid w:val="00E02910"/>
    <w:rsid w:val="00E0295C"/>
    <w:rsid w:val="00E02A88"/>
    <w:rsid w:val="00E03535"/>
    <w:rsid w:val="00E03564"/>
    <w:rsid w:val="00E03B55"/>
    <w:rsid w:val="00E03B7A"/>
    <w:rsid w:val="00E03B81"/>
    <w:rsid w:val="00E03D1C"/>
    <w:rsid w:val="00E0414C"/>
    <w:rsid w:val="00E04176"/>
    <w:rsid w:val="00E04289"/>
    <w:rsid w:val="00E0437D"/>
    <w:rsid w:val="00E04399"/>
    <w:rsid w:val="00E045D2"/>
    <w:rsid w:val="00E0466E"/>
    <w:rsid w:val="00E04676"/>
    <w:rsid w:val="00E047C5"/>
    <w:rsid w:val="00E04A48"/>
    <w:rsid w:val="00E05152"/>
    <w:rsid w:val="00E05684"/>
    <w:rsid w:val="00E059A0"/>
    <w:rsid w:val="00E05BA6"/>
    <w:rsid w:val="00E05E7D"/>
    <w:rsid w:val="00E05E8F"/>
    <w:rsid w:val="00E05EA3"/>
    <w:rsid w:val="00E06070"/>
    <w:rsid w:val="00E065B0"/>
    <w:rsid w:val="00E06712"/>
    <w:rsid w:val="00E0698A"/>
    <w:rsid w:val="00E06C39"/>
    <w:rsid w:val="00E06E61"/>
    <w:rsid w:val="00E07136"/>
    <w:rsid w:val="00E071DA"/>
    <w:rsid w:val="00E07263"/>
    <w:rsid w:val="00E07327"/>
    <w:rsid w:val="00E073D2"/>
    <w:rsid w:val="00E07809"/>
    <w:rsid w:val="00E07911"/>
    <w:rsid w:val="00E07BEB"/>
    <w:rsid w:val="00E07EC2"/>
    <w:rsid w:val="00E108D0"/>
    <w:rsid w:val="00E10A2C"/>
    <w:rsid w:val="00E10B22"/>
    <w:rsid w:val="00E10B26"/>
    <w:rsid w:val="00E10BB8"/>
    <w:rsid w:val="00E10E37"/>
    <w:rsid w:val="00E10F49"/>
    <w:rsid w:val="00E1129A"/>
    <w:rsid w:val="00E11691"/>
    <w:rsid w:val="00E117B3"/>
    <w:rsid w:val="00E1198F"/>
    <w:rsid w:val="00E11B90"/>
    <w:rsid w:val="00E11BBE"/>
    <w:rsid w:val="00E11C97"/>
    <w:rsid w:val="00E11FC8"/>
    <w:rsid w:val="00E1206F"/>
    <w:rsid w:val="00E120E9"/>
    <w:rsid w:val="00E1225B"/>
    <w:rsid w:val="00E12272"/>
    <w:rsid w:val="00E12ADC"/>
    <w:rsid w:val="00E12D34"/>
    <w:rsid w:val="00E12D70"/>
    <w:rsid w:val="00E1312C"/>
    <w:rsid w:val="00E131CA"/>
    <w:rsid w:val="00E13832"/>
    <w:rsid w:val="00E13925"/>
    <w:rsid w:val="00E13D2B"/>
    <w:rsid w:val="00E13D6D"/>
    <w:rsid w:val="00E13DE8"/>
    <w:rsid w:val="00E13FC2"/>
    <w:rsid w:val="00E14539"/>
    <w:rsid w:val="00E14552"/>
    <w:rsid w:val="00E145A2"/>
    <w:rsid w:val="00E14ABE"/>
    <w:rsid w:val="00E14B17"/>
    <w:rsid w:val="00E14C3F"/>
    <w:rsid w:val="00E14DBC"/>
    <w:rsid w:val="00E14EB7"/>
    <w:rsid w:val="00E14EC9"/>
    <w:rsid w:val="00E15014"/>
    <w:rsid w:val="00E150B0"/>
    <w:rsid w:val="00E150D7"/>
    <w:rsid w:val="00E155E5"/>
    <w:rsid w:val="00E156AE"/>
    <w:rsid w:val="00E15A12"/>
    <w:rsid w:val="00E15B42"/>
    <w:rsid w:val="00E15D2C"/>
    <w:rsid w:val="00E15E25"/>
    <w:rsid w:val="00E15ECC"/>
    <w:rsid w:val="00E1645D"/>
    <w:rsid w:val="00E16501"/>
    <w:rsid w:val="00E1685C"/>
    <w:rsid w:val="00E16A39"/>
    <w:rsid w:val="00E17124"/>
    <w:rsid w:val="00E17375"/>
    <w:rsid w:val="00E1797A"/>
    <w:rsid w:val="00E17C75"/>
    <w:rsid w:val="00E201DB"/>
    <w:rsid w:val="00E202D4"/>
    <w:rsid w:val="00E20495"/>
    <w:rsid w:val="00E20546"/>
    <w:rsid w:val="00E20C69"/>
    <w:rsid w:val="00E21067"/>
    <w:rsid w:val="00E21149"/>
    <w:rsid w:val="00E212FC"/>
    <w:rsid w:val="00E21308"/>
    <w:rsid w:val="00E213FB"/>
    <w:rsid w:val="00E21508"/>
    <w:rsid w:val="00E2150C"/>
    <w:rsid w:val="00E21631"/>
    <w:rsid w:val="00E21862"/>
    <w:rsid w:val="00E218FE"/>
    <w:rsid w:val="00E219BD"/>
    <w:rsid w:val="00E21D6F"/>
    <w:rsid w:val="00E220DD"/>
    <w:rsid w:val="00E2225D"/>
    <w:rsid w:val="00E226F8"/>
    <w:rsid w:val="00E22907"/>
    <w:rsid w:val="00E22947"/>
    <w:rsid w:val="00E229DB"/>
    <w:rsid w:val="00E22B5A"/>
    <w:rsid w:val="00E22B92"/>
    <w:rsid w:val="00E22C7D"/>
    <w:rsid w:val="00E22FA5"/>
    <w:rsid w:val="00E23295"/>
    <w:rsid w:val="00E2337D"/>
    <w:rsid w:val="00E235B3"/>
    <w:rsid w:val="00E238AA"/>
    <w:rsid w:val="00E23CEF"/>
    <w:rsid w:val="00E23F26"/>
    <w:rsid w:val="00E23FC6"/>
    <w:rsid w:val="00E23FCD"/>
    <w:rsid w:val="00E2423B"/>
    <w:rsid w:val="00E242CF"/>
    <w:rsid w:val="00E24370"/>
    <w:rsid w:val="00E24A3A"/>
    <w:rsid w:val="00E24B3B"/>
    <w:rsid w:val="00E24C81"/>
    <w:rsid w:val="00E24F4A"/>
    <w:rsid w:val="00E24FC7"/>
    <w:rsid w:val="00E250F3"/>
    <w:rsid w:val="00E25167"/>
    <w:rsid w:val="00E251BA"/>
    <w:rsid w:val="00E2534B"/>
    <w:rsid w:val="00E25655"/>
    <w:rsid w:val="00E25BA1"/>
    <w:rsid w:val="00E26190"/>
    <w:rsid w:val="00E2644F"/>
    <w:rsid w:val="00E26480"/>
    <w:rsid w:val="00E26D35"/>
    <w:rsid w:val="00E26E3A"/>
    <w:rsid w:val="00E26EDA"/>
    <w:rsid w:val="00E27141"/>
    <w:rsid w:val="00E2728E"/>
    <w:rsid w:val="00E2741E"/>
    <w:rsid w:val="00E276B0"/>
    <w:rsid w:val="00E277CC"/>
    <w:rsid w:val="00E27B47"/>
    <w:rsid w:val="00E3038E"/>
    <w:rsid w:val="00E3041A"/>
    <w:rsid w:val="00E3076D"/>
    <w:rsid w:val="00E308A6"/>
    <w:rsid w:val="00E30AB6"/>
    <w:rsid w:val="00E30D9B"/>
    <w:rsid w:val="00E30E49"/>
    <w:rsid w:val="00E30E8D"/>
    <w:rsid w:val="00E30E92"/>
    <w:rsid w:val="00E30F06"/>
    <w:rsid w:val="00E30FC8"/>
    <w:rsid w:val="00E31082"/>
    <w:rsid w:val="00E3116D"/>
    <w:rsid w:val="00E31764"/>
    <w:rsid w:val="00E319F5"/>
    <w:rsid w:val="00E31B9E"/>
    <w:rsid w:val="00E31C4F"/>
    <w:rsid w:val="00E31C6E"/>
    <w:rsid w:val="00E32164"/>
    <w:rsid w:val="00E322EB"/>
    <w:rsid w:val="00E32503"/>
    <w:rsid w:val="00E3250F"/>
    <w:rsid w:val="00E32C12"/>
    <w:rsid w:val="00E32E1D"/>
    <w:rsid w:val="00E32EFE"/>
    <w:rsid w:val="00E337D7"/>
    <w:rsid w:val="00E33CD1"/>
    <w:rsid w:val="00E33F9E"/>
    <w:rsid w:val="00E33FFA"/>
    <w:rsid w:val="00E34225"/>
    <w:rsid w:val="00E3426A"/>
    <w:rsid w:val="00E34908"/>
    <w:rsid w:val="00E34997"/>
    <w:rsid w:val="00E34CDC"/>
    <w:rsid w:val="00E352D6"/>
    <w:rsid w:val="00E3566D"/>
    <w:rsid w:val="00E35859"/>
    <w:rsid w:val="00E35D53"/>
    <w:rsid w:val="00E35FF2"/>
    <w:rsid w:val="00E36030"/>
    <w:rsid w:val="00E361D4"/>
    <w:rsid w:val="00E36217"/>
    <w:rsid w:val="00E3631F"/>
    <w:rsid w:val="00E3633B"/>
    <w:rsid w:val="00E366AE"/>
    <w:rsid w:val="00E367CE"/>
    <w:rsid w:val="00E36A0E"/>
    <w:rsid w:val="00E370DD"/>
    <w:rsid w:val="00E37266"/>
    <w:rsid w:val="00E37957"/>
    <w:rsid w:val="00E379D0"/>
    <w:rsid w:val="00E37F15"/>
    <w:rsid w:val="00E4046D"/>
    <w:rsid w:val="00E406A3"/>
    <w:rsid w:val="00E4072B"/>
    <w:rsid w:val="00E408EA"/>
    <w:rsid w:val="00E4091F"/>
    <w:rsid w:val="00E40D22"/>
    <w:rsid w:val="00E40D70"/>
    <w:rsid w:val="00E410E5"/>
    <w:rsid w:val="00E41156"/>
    <w:rsid w:val="00E4141F"/>
    <w:rsid w:val="00E4145D"/>
    <w:rsid w:val="00E4166B"/>
    <w:rsid w:val="00E418AC"/>
    <w:rsid w:val="00E41E22"/>
    <w:rsid w:val="00E4201B"/>
    <w:rsid w:val="00E42115"/>
    <w:rsid w:val="00E42419"/>
    <w:rsid w:val="00E42592"/>
    <w:rsid w:val="00E42765"/>
    <w:rsid w:val="00E428FA"/>
    <w:rsid w:val="00E42FD4"/>
    <w:rsid w:val="00E43192"/>
    <w:rsid w:val="00E43255"/>
    <w:rsid w:val="00E436EE"/>
    <w:rsid w:val="00E437A2"/>
    <w:rsid w:val="00E43A1B"/>
    <w:rsid w:val="00E43C8E"/>
    <w:rsid w:val="00E43CF0"/>
    <w:rsid w:val="00E43D1A"/>
    <w:rsid w:val="00E43DF6"/>
    <w:rsid w:val="00E43F8A"/>
    <w:rsid w:val="00E442FD"/>
    <w:rsid w:val="00E446C6"/>
    <w:rsid w:val="00E44A42"/>
    <w:rsid w:val="00E44DD9"/>
    <w:rsid w:val="00E44E69"/>
    <w:rsid w:val="00E4514F"/>
    <w:rsid w:val="00E4550D"/>
    <w:rsid w:val="00E456D5"/>
    <w:rsid w:val="00E4577F"/>
    <w:rsid w:val="00E45A9B"/>
    <w:rsid w:val="00E45E83"/>
    <w:rsid w:val="00E45F71"/>
    <w:rsid w:val="00E46067"/>
    <w:rsid w:val="00E462EA"/>
    <w:rsid w:val="00E4645D"/>
    <w:rsid w:val="00E46613"/>
    <w:rsid w:val="00E46D97"/>
    <w:rsid w:val="00E46EEE"/>
    <w:rsid w:val="00E470B0"/>
    <w:rsid w:val="00E470B3"/>
    <w:rsid w:val="00E4746F"/>
    <w:rsid w:val="00E47654"/>
    <w:rsid w:val="00E4767A"/>
    <w:rsid w:val="00E478CD"/>
    <w:rsid w:val="00E47C88"/>
    <w:rsid w:val="00E47FB4"/>
    <w:rsid w:val="00E5007D"/>
    <w:rsid w:val="00E50877"/>
    <w:rsid w:val="00E50AB7"/>
    <w:rsid w:val="00E50B94"/>
    <w:rsid w:val="00E50CB3"/>
    <w:rsid w:val="00E50DF2"/>
    <w:rsid w:val="00E50E80"/>
    <w:rsid w:val="00E50EA8"/>
    <w:rsid w:val="00E51226"/>
    <w:rsid w:val="00E514E1"/>
    <w:rsid w:val="00E5174D"/>
    <w:rsid w:val="00E5190A"/>
    <w:rsid w:val="00E51C3A"/>
    <w:rsid w:val="00E51C53"/>
    <w:rsid w:val="00E5209C"/>
    <w:rsid w:val="00E520C6"/>
    <w:rsid w:val="00E521A4"/>
    <w:rsid w:val="00E527A4"/>
    <w:rsid w:val="00E527AD"/>
    <w:rsid w:val="00E5296E"/>
    <w:rsid w:val="00E5299E"/>
    <w:rsid w:val="00E52A21"/>
    <w:rsid w:val="00E52AE6"/>
    <w:rsid w:val="00E52BD3"/>
    <w:rsid w:val="00E52DD5"/>
    <w:rsid w:val="00E52E96"/>
    <w:rsid w:val="00E531C8"/>
    <w:rsid w:val="00E53598"/>
    <w:rsid w:val="00E536FB"/>
    <w:rsid w:val="00E537BF"/>
    <w:rsid w:val="00E53B3E"/>
    <w:rsid w:val="00E53B68"/>
    <w:rsid w:val="00E53CAA"/>
    <w:rsid w:val="00E53E23"/>
    <w:rsid w:val="00E53E3F"/>
    <w:rsid w:val="00E5406B"/>
    <w:rsid w:val="00E540D4"/>
    <w:rsid w:val="00E543E4"/>
    <w:rsid w:val="00E54769"/>
    <w:rsid w:val="00E54856"/>
    <w:rsid w:val="00E54A95"/>
    <w:rsid w:val="00E54B0C"/>
    <w:rsid w:val="00E54C4F"/>
    <w:rsid w:val="00E54D82"/>
    <w:rsid w:val="00E54F8C"/>
    <w:rsid w:val="00E5513C"/>
    <w:rsid w:val="00E552CA"/>
    <w:rsid w:val="00E55588"/>
    <w:rsid w:val="00E562E8"/>
    <w:rsid w:val="00E56423"/>
    <w:rsid w:val="00E56424"/>
    <w:rsid w:val="00E56429"/>
    <w:rsid w:val="00E56489"/>
    <w:rsid w:val="00E564E2"/>
    <w:rsid w:val="00E56A2F"/>
    <w:rsid w:val="00E56B67"/>
    <w:rsid w:val="00E56FD6"/>
    <w:rsid w:val="00E5720F"/>
    <w:rsid w:val="00E57378"/>
    <w:rsid w:val="00E577AB"/>
    <w:rsid w:val="00E579E7"/>
    <w:rsid w:val="00E57AD3"/>
    <w:rsid w:val="00E57D0E"/>
    <w:rsid w:val="00E57D31"/>
    <w:rsid w:val="00E601E3"/>
    <w:rsid w:val="00E60416"/>
    <w:rsid w:val="00E60880"/>
    <w:rsid w:val="00E60C42"/>
    <w:rsid w:val="00E60E2E"/>
    <w:rsid w:val="00E61008"/>
    <w:rsid w:val="00E610DC"/>
    <w:rsid w:val="00E6110B"/>
    <w:rsid w:val="00E61142"/>
    <w:rsid w:val="00E61262"/>
    <w:rsid w:val="00E61284"/>
    <w:rsid w:val="00E618B9"/>
    <w:rsid w:val="00E61BA4"/>
    <w:rsid w:val="00E620DC"/>
    <w:rsid w:val="00E62446"/>
    <w:rsid w:val="00E6252E"/>
    <w:rsid w:val="00E62958"/>
    <w:rsid w:val="00E62980"/>
    <w:rsid w:val="00E629A2"/>
    <w:rsid w:val="00E62B49"/>
    <w:rsid w:val="00E62B66"/>
    <w:rsid w:val="00E6349D"/>
    <w:rsid w:val="00E636F9"/>
    <w:rsid w:val="00E63776"/>
    <w:rsid w:val="00E63D6F"/>
    <w:rsid w:val="00E63D7F"/>
    <w:rsid w:val="00E64301"/>
    <w:rsid w:val="00E649AC"/>
    <w:rsid w:val="00E64A3D"/>
    <w:rsid w:val="00E64D73"/>
    <w:rsid w:val="00E64E9B"/>
    <w:rsid w:val="00E651FD"/>
    <w:rsid w:val="00E65736"/>
    <w:rsid w:val="00E659E3"/>
    <w:rsid w:val="00E65EC3"/>
    <w:rsid w:val="00E65F15"/>
    <w:rsid w:val="00E66075"/>
    <w:rsid w:val="00E66117"/>
    <w:rsid w:val="00E661E6"/>
    <w:rsid w:val="00E662F2"/>
    <w:rsid w:val="00E666CD"/>
    <w:rsid w:val="00E66B6C"/>
    <w:rsid w:val="00E66CD7"/>
    <w:rsid w:val="00E66CEB"/>
    <w:rsid w:val="00E671DB"/>
    <w:rsid w:val="00E673DB"/>
    <w:rsid w:val="00E675D1"/>
    <w:rsid w:val="00E6790B"/>
    <w:rsid w:val="00E67B35"/>
    <w:rsid w:val="00E67B38"/>
    <w:rsid w:val="00E70056"/>
    <w:rsid w:val="00E702B9"/>
    <w:rsid w:val="00E70320"/>
    <w:rsid w:val="00E70518"/>
    <w:rsid w:val="00E705F3"/>
    <w:rsid w:val="00E7079E"/>
    <w:rsid w:val="00E70B43"/>
    <w:rsid w:val="00E70C48"/>
    <w:rsid w:val="00E70CEE"/>
    <w:rsid w:val="00E70D1C"/>
    <w:rsid w:val="00E71798"/>
    <w:rsid w:val="00E719DC"/>
    <w:rsid w:val="00E7208D"/>
    <w:rsid w:val="00E72B5E"/>
    <w:rsid w:val="00E72DAF"/>
    <w:rsid w:val="00E73137"/>
    <w:rsid w:val="00E73356"/>
    <w:rsid w:val="00E739E2"/>
    <w:rsid w:val="00E73A1B"/>
    <w:rsid w:val="00E73B89"/>
    <w:rsid w:val="00E73DB0"/>
    <w:rsid w:val="00E73EC2"/>
    <w:rsid w:val="00E749B6"/>
    <w:rsid w:val="00E74B7D"/>
    <w:rsid w:val="00E74BCE"/>
    <w:rsid w:val="00E74EEE"/>
    <w:rsid w:val="00E75028"/>
    <w:rsid w:val="00E754E2"/>
    <w:rsid w:val="00E759CC"/>
    <w:rsid w:val="00E75BD8"/>
    <w:rsid w:val="00E75ED1"/>
    <w:rsid w:val="00E75FAC"/>
    <w:rsid w:val="00E76562"/>
    <w:rsid w:val="00E76881"/>
    <w:rsid w:val="00E76A7B"/>
    <w:rsid w:val="00E76B77"/>
    <w:rsid w:val="00E76D4B"/>
    <w:rsid w:val="00E76DBA"/>
    <w:rsid w:val="00E7728A"/>
    <w:rsid w:val="00E77AAC"/>
    <w:rsid w:val="00E77BDB"/>
    <w:rsid w:val="00E77D71"/>
    <w:rsid w:val="00E77E7F"/>
    <w:rsid w:val="00E8044D"/>
    <w:rsid w:val="00E80689"/>
    <w:rsid w:val="00E809E9"/>
    <w:rsid w:val="00E8112E"/>
    <w:rsid w:val="00E81288"/>
    <w:rsid w:val="00E81398"/>
    <w:rsid w:val="00E818AA"/>
    <w:rsid w:val="00E819C1"/>
    <w:rsid w:val="00E81BA1"/>
    <w:rsid w:val="00E81C9D"/>
    <w:rsid w:val="00E81E8A"/>
    <w:rsid w:val="00E81EAC"/>
    <w:rsid w:val="00E81F33"/>
    <w:rsid w:val="00E82087"/>
    <w:rsid w:val="00E82165"/>
    <w:rsid w:val="00E8234E"/>
    <w:rsid w:val="00E826EE"/>
    <w:rsid w:val="00E827AD"/>
    <w:rsid w:val="00E82D3C"/>
    <w:rsid w:val="00E82E87"/>
    <w:rsid w:val="00E8328F"/>
    <w:rsid w:val="00E837AD"/>
    <w:rsid w:val="00E83875"/>
    <w:rsid w:val="00E83E54"/>
    <w:rsid w:val="00E83F84"/>
    <w:rsid w:val="00E84249"/>
    <w:rsid w:val="00E84350"/>
    <w:rsid w:val="00E84405"/>
    <w:rsid w:val="00E8476E"/>
    <w:rsid w:val="00E84810"/>
    <w:rsid w:val="00E8496B"/>
    <w:rsid w:val="00E84990"/>
    <w:rsid w:val="00E84ADB"/>
    <w:rsid w:val="00E84F03"/>
    <w:rsid w:val="00E8514A"/>
    <w:rsid w:val="00E85369"/>
    <w:rsid w:val="00E854E3"/>
    <w:rsid w:val="00E855BB"/>
    <w:rsid w:val="00E85946"/>
    <w:rsid w:val="00E85B73"/>
    <w:rsid w:val="00E860C0"/>
    <w:rsid w:val="00E86377"/>
    <w:rsid w:val="00E864D3"/>
    <w:rsid w:val="00E86AB9"/>
    <w:rsid w:val="00E86E61"/>
    <w:rsid w:val="00E87582"/>
    <w:rsid w:val="00E8765A"/>
    <w:rsid w:val="00E876CB"/>
    <w:rsid w:val="00E87758"/>
    <w:rsid w:val="00E877FF"/>
    <w:rsid w:val="00E8789E"/>
    <w:rsid w:val="00E879F6"/>
    <w:rsid w:val="00E87A39"/>
    <w:rsid w:val="00E87E0F"/>
    <w:rsid w:val="00E87E36"/>
    <w:rsid w:val="00E87E7E"/>
    <w:rsid w:val="00E900A2"/>
    <w:rsid w:val="00E902FD"/>
    <w:rsid w:val="00E906FF"/>
    <w:rsid w:val="00E908A4"/>
    <w:rsid w:val="00E909BE"/>
    <w:rsid w:val="00E90BF2"/>
    <w:rsid w:val="00E90E38"/>
    <w:rsid w:val="00E91316"/>
    <w:rsid w:val="00E9139B"/>
    <w:rsid w:val="00E91774"/>
    <w:rsid w:val="00E919BA"/>
    <w:rsid w:val="00E91E8E"/>
    <w:rsid w:val="00E91EF5"/>
    <w:rsid w:val="00E92263"/>
    <w:rsid w:val="00E923B9"/>
    <w:rsid w:val="00E925CD"/>
    <w:rsid w:val="00E92630"/>
    <w:rsid w:val="00E92DAD"/>
    <w:rsid w:val="00E92EEE"/>
    <w:rsid w:val="00E93057"/>
    <w:rsid w:val="00E93068"/>
    <w:rsid w:val="00E93076"/>
    <w:rsid w:val="00E93205"/>
    <w:rsid w:val="00E935A4"/>
    <w:rsid w:val="00E93612"/>
    <w:rsid w:val="00E93773"/>
    <w:rsid w:val="00E93822"/>
    <w:rsid w:val="00E938DE"/>
    <w:rsid w:val="00E939BC"/>
    <w:rsid w:val="00E93B34"/>
    <w:rsid w:val="00E93B8F"/>
    <w:rsid w:val="00E93C79"/>
    <w:rsid w:val="00E93DC4"/>
    <w:rsid w:val="00E93E52"/>
    <w:rsid w:val="00E93FB9"/>
    <w:rsid w:val="00E9411F"/>
    <w:rsid w:val="00E946B6"/>
    <w:rsid w:val="00E94C3D"/>
    <w:rsid w:val="00E94E57"/>
    <w:rsid w:val="00E94F00"/>
    <w:rsid w:val="00E94FF6"/>
    <w:rsid w:val="00E95264"/>
    <w:rsid w:val="00E95493"/>
    <w:rsid w:val="00E95624"/>
    <w:rsid w:val="00E956C8"/>
    <w:rsid w:val="00E95800"/>
    <w:rsid w:val="00E95A49"/>
    <w:rsid w:val="00E95B8A"/>
    <w:rsid w:val="00E95C63"/>
    <w:rsid w:val="00E9600F"/>
    <w:rsid w:val="00E9642A"/>
    <w:rsid w:val="00E9645D"/>
    <w:rsid w:val="00E966E7"/>
    <w:rsid w:val="00E96724"/>
    <w:rsid w:val="00E96963"/>
    <w:rsid w:val="00E96BDD"/>
    <w:rsid w:val="00E96C2E"/>
    <w:rsid w:val="00E96CB7"/>
    <w:rsid w:val="00E96EE1"/>
    <w:rsid w:val="00E97362"/>
    <w:rsid w:val="00E97523"/>
    <w:rsid w:val="00E975EF"/>
    <w:rsid w:val="00E97BB7"/>
    <w:rsid w:val="00E97CC6"/>
    <w:rsid w:val="00E97D75"/>
    <w:rsid w:val="00E97F05"/>
    <w:rsid w:val="00E97F91"/>
    <w:rsid w:val="00EA002B"/>
    <w:rsid w:val="00EA0227"/>
    <w:rsid w:val="00EA0415"/>
    <w:rsid w:val="00EA054E"/>
    <w:rsid w:val="00EA05D2"/>
    <w:rsid w:val="00EA0769"/>
    <w:rsid w:val="00EA07B6"/>
    <w:rsid w:val="00EA0808"/>
    <w:rsid w:val="00EA0B75"/>
    <w:rsid w:val="00EA0D06"/>
    <w:rsid w:val="00EA0D32"/>
    <w:rsid w:val="00EA0DA1"/>
    <w:rsid w:val="00EA0DFF"/>
    <w:rsid w:val="00EA12B3"/>
    <w:rsid w:val="00EA17F8"/>
    <w:rsid w:val="00EA19B5"/>
    <w:rsid w:val="00EA1A61"/>
    <w:rsid w:val="00EA1AF9"/>
    <w:rsid w:val="00EA201F"/>
    <w:rsid w:val="00EA217D"/>
    <w:rsid w:val="00EA21FD"/>
    <w:rsid w:val="00EA2374"/>
    <w:rsid w:val="00EA23A6"/>
    <w:rsid w:val="00EA2503"/>
    <w:rsid w:val="00EA2FC9"/>
    <w:rsid w:val="00EA345D"/>
    <w:rsid w:val="00EA355F"/>
    <w:rsid w:val="00EA35E0"/>
    <w:rsid w:val="00EA3B86"/>
    <w:rsid w:val="00EA3D36"/>
    <w:rsid w:val="00EA3E0F"/>
    <w:rsid w:val="00EA3E91"/>
    <w:rsid w:val="00EA3F7F"/>
    <w:rsid w:val="00EA3FD5"/>
    <w:rsid w:val="00EA47D7"/>
    <w:rsid w:val="00EA48AF"/>
    <w:rsid w:val="00EA4B53"/>
    <w:rsid w:val="00EA4EC2"/>
    <w:rsid w:val="00EA518F"/>
    <w:rsid w:val="00EA5305"/>
    <w:rsid w:val="00EA57E6"/>
    <w:rsid w:val="00EA58CA"/>
    <w:rsid w:val="00EA599D"/>
    <w:rsid w:val="00EA5C6B"/>
    <w:rsid w:val="00EA5E4E"/>
    <w:rsid w:val="00EA5F6D"/>
    <w:rsid w:val="00EA5FC4"/>
    <w:rsid w:val="00EA6545"/>
    <w:rsid w:val="00EA66FC"/>
    <w:rsid w:val="00EA6E5C"/>
    <w:rsid w:val="00EA74FB"/>
    <w:rsid w:val="00EA767A"/>
    <w:rsid w:val="00EA7842"/>
    <w:rsid w:val="00EA7953"/>
    <w:rsid w:val="00EA7961"/>
    <w:rsid w:val="00EA7DEE"/>
    <w:rsid w:val="00EA7E53"/>
    <w:rsid w:val="00EA7EFE"/>
    <w:rsid w:val="00EA7F03"/>
    <w:rsid w:val="00EB01DC"/>
    <w:rsid w:val="00EB028E"/>
    <w:rsid w:val="00EB0662"/>
    <w:rsid w:val="00EB084F"/>
    <w:rsid w:val="00EB08B2"/>
    <w:rsid w:val="00EB0DE1"/>
    <w:rsid w:val="00EB0E14"/>
    <w:rsid w:val="00EB0EE1"/>
    <w:rsid w:val="00EB0FCC"/>
    <w:rsid w:val="00EB0FE1"/>
    <w:rsid w:val="00EB10DB"/>
    <w:rsid w:val="00EB114E"/>
    <w:rsid w:val="00EB12B7"/>
    <w:rsid w:val="00EB1509"/>
    <w:rsid w:val="00EB1AFD"/>
    <w:rsid w:val="00EB1B4D"/>
    <w:rsid w:val="00EB1C59"/>
    <w:rsid w:val="00EB1CC2"/>
    <w:rsid w:val="00EB20F1"/>
    <w:rsid w:val="00EB2427"/>
    <w:rsid w:val="00EB24C0"/>
    <w:rsid w:val="00EB25D2"/>
    <w:rsid w:val="00EB26A3"/>
    <w:rsid w:val="00EB2852"/>
    <w:rsid w:val="00EB2A73"/>
    <w:rsid w:val="00EB2AC2"/>
    <w:rsid w:val="00EB2E00"/>
    <w:rsid w:val="00EB2E6E"/>
    <w:rsid w:val="00EB3387"/>
    <w:rsid w:val="00EB3795"/>
    <w:rsid w:val="00EB37EC"/>
    <w:rsid w:val="00EB3945"/>
    <w:rsid w:val="00EB3949"/>
    <w:rsid w:val="00EB3968"/>
    <w:rsid w:val="00EB39B2"/>
    <w:rsid w:val="00EB3B94"/>
    <w:rsid w:val="00EB3C22"/>
    <w:rsid w:val="00EB3F3D"/>
    <w:rsid w:val="00EB41F3"/>
    <w:rsid w:val="00EB44CC"/>
    <w:rsid w:val="00EB4685"/>
    <w:rsid w:val="00EB472A"/>
    <w:rsid w:val="00EB4876"/>
    <w:rsid w:val="00EB49F5"/>
    <w:rsid w:val="00EB4B8F"/>
    <w:rsid w:val="00EB4E00"/>
    <w:rsid w:val="00EB4F20"/>
    <w:rsid w:val="00EB4F42"/>
    <w:rsid w:val="00EB54A9"/>
    <w:rsid w:val="00EB5584"/>
    <w:rsid w:val="00EB5607"/>
    <w:rsid w:val="00EB5904"/>
    <w:rsid w:val="00EB5D26"/>
    <w:rsid w:val="00EB6071"/>
    <w:rsid w:val="00EB60A5"/>
    <w:rsid w:val="00EB6172"/>
    <w:rsid w:val="00EB6224"/>
    <w:rsid w:val="00EB63E8"/>
    <w:rsid w:val="00EB64EE"/>
    <w:rsid w:val="00EB6588"/>
    <w:rsid w:val="00EB67CF"/>
    <w:rsid w:val="00EB6B23"/>
    <w:rsid w:val="00EB6B85"/>
    <w:rsid w:val="00EB6C37"/>
    <w:rsid w:val="00EB6E3F"/>
    <w:rsid w:val="00EB70A1"/>
    <w:rsid w:val="00EB7193"/>
    <w:rsid w:val="00EB745D"/>
    <w:rsid w:val="00EB75A6"/>
    <w:rsid w:val="00EB7647"/>
    <w:rsid w:val="00EB7A5B"/>
    <w:rsid w:val="00EB7EEF"/>
    <w:rsid w:val="00EC00C7"/>
    <w:rsid w:val="00EC0124"/>
    <w:rsid w:val="00EC05F2"/>
    <w:rsid w:val="00EC0AAB"/>
    <w:rsid w:val="00EC0B03"/>
    <w:rsid w:val="00EC0B28"/>
    <w:rsid w:val="00EC0BE9"/>
    <w:rsid w:val="00EC0DC8"/>
    <w:rsid w:val="00EC0E90"/>
    <w:rsid w:val="00EC0ECC"/>
    <w:rsid w:val="00EC0F49"/>
    <w:rsid w:val="00EC0F80"/>
    <w:rsid w:val="00EC134D"/>
    <w:rsid w:val="00EC157F"/>
    <w:rsid w:val="00EC16F3"/>
    <w:rsid w:val="00EC17F3"/>
    <w:rsid w:val="00EC18ED"/>
    <w:rsid w:val="00EC197A"/>
    <w:rsid w:val="00EC19E3"/>
    <w:rsid w:val="00EC1BBB"/>
    <w:rsid w:val="00EC1CE2"/>
    <w:rsid w:val="00EC1DD6"/>
    <w:rsid w:val="00EC1E84"/>
    <w:rsid w:val="00EC2355"/>
    <w:rsid w:val="00EC26C1"/>
    <w:rsid w:val="00EC285F"/>
    <w:rsid w:val="00EC2968"/>
    <w:rsid w:val="00EC2A53"/>
    <w:rsid w:val="00EC2AA3"/>
    <w:rsid w:val="00EC2D83"/>
    <w:rsid w:val="00EC3110"/>
    <w:rsid w:val="00EC34A8"/>
    <w:rsid w:val="00EC34FA"/>
    <w:rsid w:val="00EC3556"/>
    <w:rsid w:val="00EC3902"/>
    <w:rsid w:val="00EC3CE3"/>
    <w:rsid w:val="00EC3DE6"/>
    <w:rsid w:val="00EC3F87"/>
    <w:rsid w:val="00EC437C"/>
    <w:rsid w:val="00EC45C9"/>
    <w:rsid w:val="00EC47A4"/>
    <w:rsid w:val="00EC4D27"/>
    <w:rsid w:val="00EC4F79"/>
    <w:rsid w:val="00EC500E"/>
    <w:rsid w:val="00EC511B"/>
    <w:rsid w:val="00EC51D9"/>
    <w:rsid w:val="00EC552B"/>
    <w:rsid w:val="00EC59B4"/>
    <w:rsid w:val="00EC59BB"/>
    <w:rsid w:val="00EC5DDD"/>
    <w:rsid w:val="00EC5F8B"/>
    <w:rsid w:val="00EC61A6"/>
    <w:rsid w:val="00EC69C2"/>
    <w:rsid w:val="00EC6A71"/>
    <w:rsid w:val="00EC6BC1"/>
    <w:rsid w:val="00EC6C9F"/>
    <w:rsid w:val="00EC6EC4"/>
    <w:rsid w:val="00EC6F85"/>
    <w:rsid w:val="00EC70F6"/>
    <w:rsid w:val="00EC7360"/>
    <w:rsid w:val="00EC752C"/>
    <w:rsid w:val="00EC7936"/>
    <w:rsid w:val="00EC79D8"/>
    <w:rsid w:val="00EC7B98"/>
    <w:rsid w:val="00EC7BD6"/>
    <w:rsid w:val="00ED03B9"/>
    <w:rsid w:val="00ED03E7"/>
    <w:rsid w:val="00ED05A8"/>
    <w:rsid w:val="00ED05D2"/>
    <w:rsid w:val="00ED0762"/>
    <w:rsid w:val="00ED0AE9"/>
    <w:rsid w:val="00ED0DA8"/>
    <w:rsid w:val="00ED0FE0"/>
    <w:rsid w:val="00ED0FF8"/>
    <w:rsid w:val="00ED107C"/>
    <w:rsid w:val="00ED1717"/>
    <w:rsid w:val="00ED17EE"/>
    <w:rsid w:val="00ED18FA"/>
    <w:rsid w:val="00ED1924"/>
    <w:rsid w:val="00ED19ED"/>
    <w:rsid w:val="00ED1A97"/>
    <w:rsid w:val="00ED1AC8"/>
    <w:rsid w:val="00ED1FAD"/>
    <w:rsid w:val="00ED2010"/>
    <w:rsid w:val="00ED21AD"/>
    <w:rsid w:val="00ED232A"/>
    <w:rsid w:val="00ED2333"/>
    <w:rsid w:val="00ED23F2"/>
    <w:rsid w:val="00ED2616"/>
    <w:rsid w:val="00ED26CD"/>
    <w:rsid w:val="00ED271A"/>
    <w:rsid w:val="00ED295C"/>
    <w:rsid w:val="00ED2BDB"/>
    <w:rsid w:val="00ED2F41"/>
    <w:rsid w:val="00ED345A"/>
    <w:rsid w:val="00ED34C4"/>
    <w:rsid w:val="00ED365E"/>
    <w:rsid w:val="00ED3724"/>
    <w:rsid w:val="00ED390A"/>
    <w:rsid w:val="00ED3CE4"/>
    <w:rsid w:val="00ED4546"/>
    <w:rsid w:val="00ED4681"/>
    <w:rsid w:val="00ED468D"/>
    <w:rsid w:val="00ED4880"/>
    <w:rsid w:val="00ED4960"/>
    <w:rsid w:val="00ED4A27"/>
    <w:rsid w:val="00ED4A84"/>
    <w:rsid w:val="00ED4E39"/>
    <w:rsid w:val="00ED4E52"/>
    <w:rsid w:val="00ED557F"/>
    <w:rsid w:val="00ED577F"/>
    <w:rsid w:val="00ED59D9"/>
    <w:rsid w:val="00ED5B60"/>
    <w:rsid w:val="00ED5E8D"/>
    <w:rsid w:val="00ED613D"/>
    <w:rsid w:val="00ED61E4"/>
    <w:rsid w:val="00ED645F"/>
    <w:rsid w:val="00ED648D"/>
    <w:rsid w:val="00ED685E"/>
    <w:rsid w:val="00ED68CF"/>
    <w:rsid w:val="00ED69EC"/>
    <w:rsid w:val="00ED6F82"/>
    <w:rsid w:val="00ED7151"/>
    <w:rsid w:val="00ED719C"/>
    <w:rsid w:val="00ED780A"/>
    <w:rsid w:val="00ED7B01"/>
    <w:rsid w:val="00ED7B4A"/>
    <w:rsid w:val="00ED7BBC"/>
    <w:rsid w:val="00ED7CA3"/>
    <w:rsid w:val="00EE010D"/>
    <w:rsid w:val="00EE0116"/>
    <w:rsid w:val="00EE02E2"/>
    <w:rsid w:val="00EE04F8"/>
    <w:rsid w:val="00EE0713"/>
    <w:rsid w:val="00EE089B"/>
    <w:rsid w:val="00EE0B14"/>
    <w:rsid w:val="00EE0EFF"/>
    <w:rsid w:val="00EE0F2E"/>
    <w:rsid w:val="00EE1477"/>
    <w:rsid w:val="00EE156C"/>
    <w:rsid w:val="00EE1BC8"/>
    <w:rsid w:val="00EE1C20"/>
    <w:rsid w:val="00EE1F5D"/>
    <w:rsid w:val="00EE22D5"/>
    <w:rsid w:val="00EE23D5"/>
    <w:rsid w:val="00EE2574"/>
    <w:rsid w:val="00EE25CA"/>
    <w:rsid w:val="00EE25D9"/>
    <w:rsid w:val="00EE264D"/>
    <w:rsid w:val="00EE2869"/>
    <w:rsid w:val="00EE29F4"/>
    <w:rsid w:val="00EE2BE4"/>
    <w:rsid w:val="00EE2D8A"/>
    <w:rsid w:val="00EE2E46"/>
    <w:rsid w:val="00EE2F42"/>
    <w:rsid w:val="00EE3328"/>
    <w:rsid w:val="00EE3391"/>
    <w:rsid w:val="00EE3546"/>
    <w:rsid w:val="00EE36D7"/>
    <w:rsid w:val="00EE396E"/>
    <w:rsid w:val="00EE3A10"/>
    <w:rsid w:val="00EE3AE7"/>
    <w:rsid w:val="00EE3DC7"/>
    <w:rsid w:val="00EE3FA8"/>
    <w:rsid w:val="00EE3FF6"/>
    <w:rsid w:val="00EE400D"/>
    <w:rsid w:val="00EE4168"/>
    <w:rsid w:val="00EE461B"/>
    <w:rsid w:val="00EE475E"/>
    <w:rsid w:val="00EE4787"/>
    <w:rsid w:val="00EE47A9"/>
    <w:rsid w:val="00EE48CE"/>
    <w:rsid w:val="00EE4C5D"/>
    <w:rsid w:val="00EE4D81"/>
    <w:rsid w:val="00EE4DFF"/>
    <w:rsid w:val="00EE52A7"/>
    <w:rsid w:val="00EE5518"/>
    <w:rsid w:val="00EE5988"/>
    <w:rsid w:val="00EE59E2"/>
    <w:rsid w:val="00EE5E92"/>
    <w:rsid w:val="00EE6109"/>
    <w:rsid w:val="00EE615D"/>
    <w:rsid w:val="00EE62CF"/>
    <w:rsid w:val="00EE65D5"/>
    <w:rsid w:val="00EE6757"/>
    <w:rsid w:val="00EE67D2"/>
    <w:rsid w:val="00EE69A6"/>
    <w:rsid w:val="00EE6A16"/>
    <w:rsid w:val="00EE6BD3"/>
    <w:rsid w:val="00EE6ED9"/>
    <w:rsid w:val="00EE7036"/>
    <w:rsid w:val="00EE72A9"/>
    <w:rsid w:val="00EE762C"/>
    <w:rsid w:val="00EE799B"/>
    <w:rsid w:val="00EF008F"/>
    <w:rsid w:val="00EF00C7"/>
    <w:rsid w:val="00EF020E"/>
    <w:rsid w:val="00EF0754"/>
    <w:rsid w:val="00EF094E"/>
    <w:rsid w:val="00EF0E26"/>
    <w:rsid w:val="00EF1187"/>
    <w:rsid w:val="00EF11AF"/>
    <w:rsid w:val="00EF1447"/>
    <w:rsid w:val="00EF14AC"/>
    <w:rsid w:val="00EF14B9"/>
    <w:rsid w:val="00EF1E72"/>
    <w:rsid w:val="00EF1EF6"/>
    <w:rsid w:val="00EF2343"/>
    <w:rsid w:val="00EF240C"/>
    <w:rsid w:val="00EF2574"/>
    <w:rsid w:val="00EF25DD"/>
    <w:rsid w:val="00EF2630"/>
    <w:rsid w:val="00EF2653"/>
    <w:rsid w:val="00EF271E"/>
    <w:rsid w:val="00EF2928"/>
    <w:rsid w:val="00EF2AD6"/>
    <w:rsid w:val="00EF3082"/>
    <w:rsid w:val="00EF3462"/>
    <w:rsid w:val="00EF36A8"/>
    <w:rsid w:val="00EF376E"/>
    <w:rsid w:val="00EF39EB"/>
    <w:rsid w:val="00EF3A5D"/>
    <w:rsid w:val="00EF3DB3"/>
    <w:rsid w:val="00EF3F9A"/>
    <w:rsid w:val="00EF4224"/>
    <w:rsid w:val="00EF45B0"/>
    <w:rsid w:val="00EF45DA"/>
    <w:rsid w:val="00EF46C9"/>
    <w:rsid w:val="00EF476D"/>
    <w:rsid w:val="00EF47E5"/>
    <w:rsid w:val="00EF488F"/>
    <w:rsid w:val="00EF48E1"/>
    <w:rsid w:val="00EF4B12"/>
    <w:rsid w:val="00EF4C87"/>
    <w:rsid w:val="00EF4CA9"/>
    <w:rsid w:val="00EF4E8D"/>
    <w:rsid w:val="00EF4FF9"/>
    <w:rsid w:val="00EF56B8"/>
    <w:rsid w:val="00EF5783"/>
    <w:rsid w:val="00EF5A91"/>
    <w:rsid w:val="00EF5AA6"/>
    <w:rsid w:val="00EF5BA4"/>
    <w:rsid w:val="00EF5E2B"/>
    <w:rsid w:val="00EF6255"/>
    <w:rsid w:val="00EF67D4"/>
    <w:rsid w:val="00EF686D"/>
    <w:rsid w:val="00EF6BB3"/>
    <w:rsid w:val="00EF6BD4"/>
    <w:rsid w:val="00EF6D8F"/>
    <w:rsid w:val="00EF703E"/>
    <w:rsid w:val="00EF7114"/>
    <w:rsid w:val="00EF720A"/>
    <w:rsid w:val="00EF7383"/>
    <w:rsid w:val="00EF753E"/>
    <w:rsid w:val="00EF757E"/>
    <w:rsid w:val="00EF758D"/>
    <w:rsid w:val="00EF76EC"/>
    <w:rsid w:val="00EF7BB6"/>
    <w:rsid w:val="00EF7BC8"/>
    <w:rsid w:val="00EF7D0C"/>
    <w:rsid w:val="00EF7DCB"/>
    <w:rsid w:val="00F0017B"/>
    <w:rsid w:val="00F007A8"/>
    <w:rsid w:val="00F0080E"/>
    <w:rsid w:val="00F0083C"/>
    <w:rsid w:val="00F0093A"/>
    <w:rsid w:val="00F00B5F"/>
    <w:rsid w:val="00F00EE0"/>
    <w:rsid w:val="00F0101F"/>
    <w:rsid w:val="00F0148D"/>
    <w:rsid w:val="00F01506"/>
    <w:rsid w:val="00F01E9F"/>
    <w:rsid w:val="00F0201C"/>
    <w:rsid w:val="00F02102"/>
    <w:rsid w:val="00F02201"/>
    <w:rsid w:val="00F02398"/>
    <w:rsid w:val="00F02804"/>
    <w:rsid w:val="00F0284E"/>
    <w:rsid w:val="00F0291A"/>
    <w:rsid w:val="00F02AD9"/>
    <w:rsid w:val="00F02AFA"/>
    <w:rsid w:val="00F02EB2"/>
    <w:rsid w:val="00F02F7E"/>
    <w:rsid w:val="00F0326E"/>
    <w:rsid w:val="00F032C7"/>
    <w:rsid w:val="00F0335C"/>
    <w:rsid w:val="00F0374F"/>
    <w:rsid w:val="00F03756"/>
    <w:rsid w:val="00F03AD5"/>
    <w:rsid w:val="00F03D73"/>
    <w:rsid w:val="00F03D8F"/>
    <w:rsid w:val="00F03EA8"/>
    <w:rsid w:val="00F04759"/>
    <w:rsid w:val="00F04808"/>
    <w:rsid w:val="00F0499D"/>
    <w:rsid w:val="00F04B45"/>
    <w:rsid w:val="00F04CC8"/>
    <w:rsid w:val="00F04D7B"/>
    <w:rsid w:val="00F05152"/>
    <w:rsid w:val="00F052BB"/>
    <w:rsid w:val="00F053C0"/>
    <w:rsid w:val="00F05436"/>
    <w:rsid w:val="00F0545A"/>
    <w:rsid w:val="00F06163"/>
    <w:rsid w:val="00F06279"/>
    <w:rsid w:val="00F06527"/>
    <w:rsid w:val="00F0653C"/>
    <w:rsid w:val="00F06687"/>
    <w:rsid w:val="00F0677A"/>
    <w:rsid w:val="00F06829"/>
    <w:rsid w:val="00F068BC"/>
    <w:rsid w:val="00F069A6"/>
    <w:rsid w:val="00F06A2D"/>
    <w:rsid w:val="00F07024"/>
    <w:rsid w:val="00F072EF"/>
    <w:rsid w:val="00F07322"/>
    <w:rsid w:val="00F07675"/>
    <w:rsid w:val="00F07905"/>
    <w:rsid w:val="00F07A01"/>
    <w:rsid w:val="00F07CD2"/>
    <w:rsid w:val="00F07DB8"/>
    <w:rsid w:val="00F07FE5"/>
    <w:rsid w:val="00F104CA"/>
    <w:rsid w:val="00F10719"/>
    <w:rsid w:val="00F10733"/>
    <w:rsid w:val="00F10A1E"/>
    <w:rsid w:val="00F10A4E"/>
    <w:rsid w:val="00F10EEB"/>
    <w:rsid w:val="00F11534"/>
    <w:rsid w:val="00F11539"/>
    <w:rsid w:val="00F11579"/>
    <w:rsid w:val="00F11698"/>
    <w:rsid w:val="00F11981"/>
    <w:rsid w:val="00F11A67"/>
    <w:rsid w:val="00F125E2"/>
    <w:rsid w:val="00F12BDF"/>
    <w:rsid w:val="00F12C02"/>
    <w:rsid w:val="00F12E3B"/>
    <w:rsid w:val="00F12FAB"/>
    <w:rsid w:val="00F13034"/>
    <w:rsid w:val="00F131B4"/>
    <w:rsid w:val="00F131E3"/>
    <w:rsid w:val="00F13F08"/>
    <w:rsid w:val="00F13F52"/>
    <w:rsid w:val="00F1433A"/>
    <w:rsid w:val="00F14455"/>
    <w:rsid w:val="00F1448F"/>
    <w:rsid w:val="00F1463B"/>
    <w:rsid w:val="00F1463F"/>
    <w:rsid w:val="00F14683"/>
    <w:rsid w:val="00F146DE"/>
    <w:rsid w:val="00F148F3"/>
    <w:rsid w:val="00F14A30"/>
    <w:rsid w:val="00F14FA2"/>
    <w:rsid w:val="00F150DD"/>
    <w:rsid w:val="00F153A2"/>
    <w:rsid w:val="00F1547D"/>
    <w:rsid w:val="00F1567A"/>
    <w:rsid w:val="00F15AE6"/>
    <w:rsid w:val="00F15D8C"/>
    <w:rsid w:val="00F15EDF"/>
    <w:rsid w:val="00F16263"/>
    <w:rsid w:val="00F165D6"/>
    <w:rsid w:val="00F1681D"/>
    <w:rsid w:val="00F169CB"/>
    <w:rsid w:val="00F16E3F"/>
    <w:rsid w:val="00F16E6B"/>
    <w:rsid w:val="00F17069"/>
    <w:rsid w:val="00F170CF"/>
    <w:rsid w:val="00F170F6"/>
    <w:rsid w:val="00F1738C"/>
    <w:rsid w:val="00F173CE"/>
    <w:rsid w:val="00F175C0"/>
    <w:rsid w:val="00F179E0"/>
    <w:rsid w:val="00F17D4C"/>
    <w:rsid w:val="00F17E69"/>
    <w:rsid w:val="00F2003A"/>
    <w:rsid w:val="00F2042B"/>
    <w:rsid w:val="00F20636"/>
    <w:rsid w:val="00F20705"/>
    <w:rsid w:val="00F20A1D"/>
    <w:rsid w:val="00F20C50"/>
    <w:rsid w:val="00F20CBA"/>
    <w:rsid w:val="00F20F70"/>
    <w:rsid w:val="00F21539"/>
    <w:rsid w:val="00F21850"/>
    <w:rsid w:val="00F21974"/>
    <w:rsid w:val="00F22157"/>
    <w:rsid w:val="00F22244"/>
    <w:rsid w:val="00F2238E"/>
    <w:rsid w:val="00F22BC4"/>
    <w:rsid w:val="00F23118"/>
    <w:rsid w:val="00F233F4"/>
    <w:rsid w:val="00F23417"/>
    <w:rsid w:val="00F23564"/>
    <w:rsid w:val="00F23809"/>
    <w:rsid w:val="00F23886"/>
    <w:rsid w:val="00F238C8"/>
    <w:rsid w:val="00F23AEA"/>
    <w:rsid w:val="00F23CC8"/>
    <w:rsid w:val="00F23FA8"/>
    <w:rsid w:val="00F23FB6"/>
    <w:rsid w:val="00F24074"/>
    <w:rsid w:val="00F24185"/>
    <w:rsid w:val="00F243C4"/>
    <w:rsid w:val="00F246D8"/>
    <w:rsid w:val="00F24A8D"/>
    <w:rsid w:val="00F24D68"/>
    <w:rsid w:val="00F253D9"/>
    <w:rsid w:val="00F25877"/>
    <w:rsid w:val="00F258CB"/>
    <w:rsid w:val="00F25D6C"/>
    <w:rsid w:val="00F25DE1"/>
    <w:rsid w:val="00F25E3E"/>
    <w:rsid w:val="00F25E3F"/>
    <w:rsid w:val="00F261F8"/>
    <w:rsid w:val="00F262E6"/>
    <w:rsid w:val="00F26320"/>
    <w:rsid w:val="00F26351"/>
    <w:rsid w:val="00F263E4"/>
    <w:rsid w:val="00F265EF"/>
    <w:rsid w:val="00F2664D"/>
    <w:rsid w:val="00F26654"/>
    <w:rsid w:val="00F26668"/>
    <w:rsid w:val="00F26755"/>
    <w:rsid w:val="00F26883"/>
    <w:rsid w:val="00F269A4"/>
    <w:rsid w:val="00F269B8"/>
    <w:rsid w:val="00F26BCA"/>
    <w:rsid w:val="00F26D02"/>
    <w:rsid w:val="00F2718B"/>
    <w:rsid w:val="00F27345"/>
    <w:rsid w:val="00F275F4"/>
    <w:rsid w:val="00F27907"/>
    <w:rsid w:val="00F27CBC"/>
    <w:rsid w:val="00F27EAA"/>
    <w:rsid w:val="00F300D0"/>
    <w:rsid w:val="00F3085D"/>
    <w:rsid w:val="00F30875"/>
    <w:rsid w:val="00F30A59"/>
    <w:rsid w:val="00F30C27"/>
    <w:rsid w:val="00F310C9"/>
    <w:rsid w:val="00F3145F"/>
    <w:rsid w:val="00F3149F"/>
    <w:rsid w:val="00F31504"/>
    <w:rsid w:val="00F31A54"/>
    <w:rsid w:val="00F31C74"/>
    <w:rsid w:val="00F31F46"/>
    <w:rsid w:val="00F31F49"/>
    <w:rsid w:val="00F31FF3"/>
    <w:rsid w:val="00F320AB"/>
    <w:rsid w:val="00F323DA"/>
    <w:rsid w:val="00F323DD"/>
    <w:rsid w:val="00F327EA"/>
    <w:rsid w:val="00F327F5"/>
    <w:rsid w:val="00F328D4"/>
    <w:rsid w:val="00F32A74"/>
    <w:rsid w:val="00F32EB2"/>
    <w:rsid w:val="00F32F5F"/>
    <w:rsid w:val="00F33157"/>
    <w:rsid w:val="00F3336F"/>
    <w:rsid w:val="00F3339B"/>
    <w:rsid w:val="00F33549"/>
    <w:rsid w:val="00F3388F"/>
    <w:rsid w:val="00F339D0"/>
    <w:rsid w:val="00F33D77"/>
    <w:rsid w:val="00F33EF2"/>
    <w:rsid w:val="00F33FA9"/>
    <w:rsid w:val="00F33FFF"/>
    <w:rsid w:val="00F34586"/>
    <w:rsid w:val="00F3467A"/>
    <w:rsid w:val="00F347F0"/>
    <w:rsid w:val="00F34844"/>
    <w:rsid w:val="00F34D0F"/>
    <w:rsid w:val="00F35AA6"/>
    <w:rsid w:val="00F360BF"/>
    <w:rsid w:val="00F36557"/>
    <w:rsid w:val="00F36565"/>
    <w:rsid w:val="00F36606"/>
    <w:rsid w:val="00F366FA"/>
    <w:rsid w:val="00F36725"/>
    <w:rsid w:val="00F3699B"/>
    <w:rsid w:val="00F36AA9"/>
    <w:rsid w:val="00F36C2E"/>
    <w:rsid w:val="00F36CF5"/>
    <w:rsid w:val="00F36DFE"/>
    <w:rsid w:val="00F3710F"/>
    <w:rsid w:val="00F371F8"/>
    <w:rsid w:val="00F373AA"/>
    <w:rsid w:val="00F37482"/>
    <w:rsid w:val="00F377FC"/>
    <w:rsid w:val="00F37AD9"/>
    <w:rsid w:val="00F37D63"/>
    <w:rsid w:val="00F37DA8"/>
    <w:rsid w:val="00F37E15"/>
    <w:rsid w:val="00F37F82"/>
    <w:rsid w:val="00F4077D"/>
    <w:rsid w:val="00F40BA3"/>
    <w:rsid w:val="00F40C9B"/>
    <w:rsid w:val="00F40F0C"/>
    <w:rsid w:val="00F40FAA"/>
    <w:rsid w:val="00F4103E"/>
    <w:rsid w:val="00F412BA"/>
    <w:rsid w:val="00F418B2"/>
    <w:rsid w:val="00F41B58"/>
    <w:rsid w:val="00F41CD9"/>
    <w:rsid w:val="00F42094"/>
    <w:rsid w:val="00F421C5"/>
    <w:rsid w:val="00F421CD"/>
    <w:rsid w:val="00F42960"/>
    <w:rsid w:val="00F42B86"/>
    <w:rsid w:val="00F42BC8"/>
    <w:rsid w:val="00F4301B"/>
    <w:rsid w:val="00F4316F"/>
    <w:rsid w:val="00F431EE"/>
    <w:rsid w:val="00F43241"/>
    <w:rsid w:val="00F43291"/>
    <w:rsid w:val="00F435DD"/>
    <w:rsid w:val="00F43BC2"/>
    <w:rsid w:val="00F43FE0"/>
    <w:rsid w:val="00F4483D"/>
    <w:rsid w:val="00F44A50"/>
    <w:rsid w:val="00F44E79"/>
    <w:rsid w:val="00F44F71"/>
    <w:rsid w:val="00F450B3"/>
    <w:rsid w:val="00F4518B"/>
    <w:rsid w:val="00F451C0"/>
    <w:rsid w:val="00F451F2"/>
    <w:rsid w:val="00F456C8"/>
    <w:rsid w:val="00F45F62"/>
    <w:rsid w:val="00F4626F"/>
    <w:rsid w:val="00F46276"/>
    <w:rsid w:val="00F46538"/>
    <w:rsid w:val="00F4661B"/>
    <w:rsid w:val="00F46BAB"/>
    <w:rsid w:val="00F46BD6"/>
    <w:rsid w:val="00F46CEC"/>
    <w:rsid w:val="00F46DA8"/>
    <w:rsid w:val="00F46F0D"/>
    <w:rsid w:val="00F46F4B"/>
    <w:rsid w:val="00F47051"/>
    <w:rsid w:val="00F471C7"/>
    <w:rsid w:val="00F4730D"/>
    <w:rsid w:val="00F476C0"/>
    <w:rsid w:val="00F47CF0"/>
    <w:rsid w:val="00F47E98"/>
    <w:rsid w:val="00F501AA"/>
    <w:rsid w:val="00F5032B"/>
    <w:rsid w:val="00F50336"/>
    <w:rsid w:val="00F504B2"/>
    <w:rsid w:val="00F50AA7"/>
    <w:rsid w:val="00F50CA2"/>
    <w:rsid w:val="00F50CA6"/>
    <w:rsid w:val="00F50FD1"/>
    <w:rsid w:val="00F50FE8"/>
    <w:rsid w:val="00F51280"/>
    <w:rsid w:val="00F512CB"/>
    <w:rsid w:val="00F51378"/>
    <w:rsid w:val="00F513FA"/>
    <w:rsid w:val="00F5141B"/>
    <w:rsid w:val="00F515C2"/>
    <w:rsid w:val="00F51823"/>
    <w:rsid w:val="00F51CAE"/>
    <w:rsid w:val="00F51DDF"/>
    <w:rsid w:val="00F51ED4"/>
    <w:rsid w:val="00F529EB"/>
    <w:rsid w:val="00F52CC7"/>
    <w:rsid w:val="00F52F18"/>
    <w:rsid w:val="00F52F44"/>
    <w:rsid w:val="00F5310F"/>
    <w:rsid w:val="00F53492"/>
    <w:rsid w:val="00F5356E"/>
    <w:rsid w:val="00F5367F"/>
    <w:rsid w:val="00F5387F"/>
    <w:rsid w:val="00F53A1D"/>
    <w:rsid w:val="00F53C34"/>
    <w:rsid w:val="00F54443"/>
    <w:rsid w:val="00F5478B"/>
    <w:rsid w:val="00F54968"/>
    <w:rsid w:val="00F54E1A"/>
    <w:rsid w:val="00F54E8C"/>
    <w:rsid w:val="00F550FB"/>
    <w:rsid w:val="00F55188"/>
    <w:rsid w:val="00F55492"/>
    <w:rsid w:val="00F55564"/>
    <w:rsid w:val="00F55C1B"/>
    <w:rsid w:val="00F55CB7"/>
    <w:rsid w:val="00F55E4F"/>
    <w:rsid w:val="00F56033"/>
    <w:rsid w:val="00F561FF"/>
    <w:rsid w:val="00F562DF"/>
    <w:rsid w:val="00F565A5"/>
    <w:rsid w:val="00F5683A"/>
    <w:rsid w:val="00F568C4"/>
    <w:rsid w:val="00F56A25"/>
    <w:rsid w:val="00F56DF6"/>
    <w:rsid w:val="00F56F17"/>
    <w:rsid w:val="00F57331"/>
    <w:rsid w:val="00F5756A"/>
    <w:rsid w:val="00F5756D"/>
    <w:rsid w:val="00F576A5"/>
    <w:rsid w:val="00F57997"/>
    <w:rsid w:val="00F57FA0"/>
    <w:rsid w:val="00F57FA5"/>
    <w:rsid w:val="00F6006F"/>
    <w:rsid w:val="00F60329"/>
    <w:rsid w:val="00F60332"/>
    <w:rsid w:val="00F605BC"/>
    <w:rsid w:val="00F6074A"/>
    <w:rsid w:val="00F6129B"/>
    <w:rsid w:val="00F61610"/>
    <w:rsid w:val="00F61899"/>
    <w:rsid w:val="00F61990"/>
    <w:rsid w:val="00F61BCD"/>
    <w:rsid w:val="00F61E71"/>
    <w:rsid w:val="00F61E77"/>
    <w:rsid w:val="00F620AA"/>
    <w:rsid w:val="00F6217A"/>
    <w:rsid w:val="00F62267"/>
    <w:rsid w:val="00F622E0"/>
    <w:rsid w:val="00F6241D"/>
    <w:rsid w:val="00F62489"/>
    <w:rsid w:val="00F6260A"/>
    <w:rsid w:val="00F62A46"/>
    <w:rsid w:val="00F62B11"/>
    <w:rsid w:val="00F62C2B"/>
    <w:rsid w:val="00F62EDC"/>
    <w:rsid w:val="00F6316E"/>
    <w:rsid w:val="00F63421"/>
    <w:rsid w:val="00F636DB"/>
    <w:rsid w:val="00F6391E"/>
    <w:rsid w:val="00F639EE"/>
    <w:rsid w:val="00F63B86"/>
    <w:rsid w:val="00F643D6"/>
    <w:rsid w:val="00F6452C"/>
    <w:rsid w:val="00F648A4"/>
    <w:rsid w:val="00F648ED"/>
    <w:rsid w:val="00F64B8A"/>
    <w:rsid w:val="00F65130"/>
    <w:rsid w:val="00F655BC"/>
    <w:rsid w:val="00F659AF"/>
    <w:rsid w:val="00F65CF2"/>
    <w:rsid w:val="00F65D54"/>
    <w:rsid w:val="00F66332"/>
    <w:rsid w:val="00F66666"/>
    <w:rsid w:val="00F66684"/>
    <w:rsid w:val="00F6668E"/>
    <w:rsid w:val="00F66864"/>
    <w:rsid w:val="00F668F5"/>
    <w:rsid w:val="00F67007"/>
    <w:rsid w:val="00F67062"/>
    <w:rsid w:val="00F670BE"/>
    <w:rsid w:val="00F67416"/>
    <w:rsid w:val="00F67773"/>
    <w:rsid w:val="00F67A7B"/>
    <w:rsid w:val="00F67D07"/>
    <w:rsid w:val="00F67D4F"/>
    <w:rsid w:val="00F67E5A"/>
    <w:rsid w:val="00F67F23"/>
    <w:rsid w:val="00F70335"/>
    <w:rsid w:val="00F7034C"/>
    <w:rsid w:val="00F707D9"/>
    <w:rsid w:val="00F70A44"/>
    <w:rsid w:val="00F70DAF"/>
    <w:rsid w:val="00F7112A"/>
    <w:rsid w:val="00F71284"/>
    <w:rsid w:val="00F7133C"/>
    <w:rsid w:val="00F713B4"/>
    <w:rsid w:val="00F71836"/>
    <w:rsid w:val="00F71A09"/>
    <w:rsid w:val="00F71D5A"/>
    <w:rsid w:val="00F71FAA"/>
    <w:rsid w:val="00F726F7"/>
    <w:rsid w:val="00F7278E"/>
    <w:rsid w:val="00F72C5F"/>
    <w:rsid w:val="00F72D3B"/>
    <w:rsid w:val="00F72E86"/>
    <w:rsid w:val="00F72EC9"/>
    <w:rsid w:val="00F73691"/>
    <w:rsid w:val="00F73839"/>
    <w:rsid w:val="00F73C39"/>
    <w:rsid w:val="00F73D3B"/>
    <w:rsid w:val="00F73D5B"/>
    <w:rsid w:val="00F73DA7"/>
    <w:rsid w:val="00F73DCD"/>
    <w:rsid w:val="00F74035"/>
    <w:rsid w:val="00F741A2"/>
    <w:rsid w:val="00F74B51"/>
    <w:rsid w:val="00F74EA5"/>
    <w:rsid w:val="00F74ED1"/>
    <w:rsid w:val="00F74F8A"/>
    <w:rsid w:val="00F75025"/>
    <w:rsid w:val="00F75196"/>
    <w:rsid w:val="00F75530"/>
    <w:rsid w:val="00F75593"/>
    <w:rsid w:val="00F755AA"/>
    <w:rsid w:val="00F75633"/>
    <w:rsid w:val="00F758CF"/>
    <w:rsid w:val="00F75C14"/>
    <w:rsid w:val="00F76094"/>
    <w:rsid w:val="00F7643B"/>
    <w:rsid w:val="00F766B4"/>
    <w:rsid w:val="00F76BA1"/>
    <w:rsid w:val="00F76CE4"/>
    <w:rsid w:val="00F76D07"/>
    <w:rsid w:val="00F76D5B"/>
    <w:rsid w:val="00F76EBC"/>
    <w:rsid w:val="00F76F09"/>
    <w:rsid w:val="00F7721C"/>
    <w:rsid w:val="00F77A64"/>
    <w:rsid w:val="00F77B13"/>
    <w:rsid w:val="00F77B4F"/>
    <w:rsid w:val="00F800E9"/>
    <w:rsid w:val="00F80256"/>
    <w:rsid w:val="00F802E0"/>
    <w:rsid w:val="00F8083C"/>
    <w:rsid w:val="00F80886"/>
    <w:rsid w:val="00F80BD7"/>
    <w:rsid w:val="00F80F3E"/>
    <w:rsid w:val="00F811B4"/>
    <w:rsid w:val="00F811CC"/>
    <w:rsid w:val="00F81313"/>
    <w:rsid w:val="00F81393"/>
    <w:rsid w:val="00F81667"/>
    <w:rsid w:val="00F81B7E"/>
    <w:rsid w:val="00F822E1"/>
    <w:rsid w:val="00F82385"/>
    <w:rsid w:val="00F823DB"/>
    <w:rsid w:val="00F825C4"/>
    <w:rsid w:val="00F82A8F"/>
    <w:rsid w:val="00F82C2B"/>
    <w:rsid w:val="00F82D9B"/>
    <w:rsid w:val="00F82DA8"/>
    <w:rsid w:val="00F82F95"/>
    <w:rsid w:val="00F83315"/>
    <w:rsid w:val="00F83322"/>
    <w:rsid w:val="00F833AC"/>
    <w:rsid w:val="00F8366A"/>
    <w:rsid w:val="00F83A27"/>
    <w:rsid w:val="00F83AB8"/>
    <w:rsid w:val="00F83B19"/>
    <w:rsid w:val="00F83FA1"/>
    <w:rsid w:val="00F844B9"/>
    <w:rsid w:val="00F84638"/>
    <w:rsid w:val="00F8466C"/>
    <w:rsid w:val="00F849FF"/>
    <w:rsid w:val="00F84B51"/>
    <w:rsid w:val="00F856D1"/>
    <w:rsid w:val="00F857C2"/>
    <w:rsid w:val="00F8580C"/>
    <w:rsid w:val="00F85E94"/>
    <w:rsid w:val="00F85FAC"/>
    <w:rsid w:val="00F85FC5"/>
    <w:rsid w:val="00F86122"/>
    <w:rsid w:val="00F862C0"/>
    <w:rsid w:val="00F86365"/>
    <w:rsid w:val="00F86518"/>
    <w:rsid w:val="00F865FE"/>
    <w:rsid w:val="00F866F0"/>
    <w:rsid w:val="00F86804"/>
    <w:rsid w:val="00F869CB"/>
    <w:rsid w:val="00F86E22"/>
    <w:rsid w:val="00F870A5"/>
    <w:rsid w:val="00F874F2"/>
    <w:rsid w:val="00F8772F"/>
    <w:rsid w:val="00F87A5C"/>
    <w:rsid w:val="00F87AEB"/>
    <w:rsid w:val="00F87DA5"/>
    <w:rsid w:val="00F87EC9"/>
    <w:rsid w:val="00F90362"/>
    <w:rsid w:val="00F904CB"/>
    <w:rsid w:val="00F905B2"/>
    <w:rsid w:val="00F90957"/>
    <w:rsid w:val="00F90A04"/>
    <w:rsid w:val="00F90B8C"/>
    <w:rsid w:val="00F90D16"/>
    <w:rsid w:val="00F90D5C"/>
    <w:rsid w:val="00F91147"/>
    <w:rsid w:val="00F91227"/>
    <w:rsid w:val="00F91A87"/>
    <w:rsid w:val="00F91CB0"/>
    <w:rsid w:val="00F91F89"/>
    <w:rsid w:val="00F91F95"/>
    <w:rsid w:val="00F92211"/>
    <w:rsid w:val="00F9253A"/>
    <w:rsid w:val="00F927BB"/>
    <w:rsid w:val="00F9284F"/>
    <w:rsid w:val="00F92B50"/>
    <w:rsid w:val="00F92CC5"/>
    <w:rsid w:val="00F92D18"/>
    <w:rsid w:val="00F92FD8"/>
    <w:rsid w:val="00F932E0"/>
    <w:rsid w:val="00F93C32"/>
    <w:rsid w:val="00F94168"/>
    <w:rsid w:val="00F9425A"/>
    <w:rsid w:val="00F94261"/>
    <w:rsid w:val="00F949CD"/>
    <w:rsid w:val="00F94B87"/>
    <w:rsid w:val="00F94CAD"/>
    <w:rsid w:val="00F9563E"/>
    <w:rsid w:val="00F956F5"/>
    <w:rsid w:val="00F95815"/>
    <w:rsid w:val="00F95995"/>
    <w:rsid w:val="00F95A72"/>
    <w:rsid w:val="00F95BE7"/>
    <w:rsid w:val="00F95D72"/>
    <w:rsid w:val="00F96A24"/>
    <w:rsid w:val="00F96B50"/>
    <w:rsid w:val="00F96B5A"/>
    <w:rsid w:val="00F96C5F"/>
    <w:rsid w:val="00F96C67"/>
    <w:rsid w:val="00F96FC8"/>
    <w:rsid w:val="00F973A6"/>
    <w:rsid w:val="00F974E6"/>
    <w:rsid w:val="00F975BE"/>
    <w:rsid w:val="00F975F2"/>
    <w:rsid w:val="00F976B7"/>
    <w:rsid w:val="00F97913"/>
    <w:rsid w:val="00F9795D"/>
    <w:rsid w:val="00F97CCC"/>
    <w:rsid w:val="00F97CDC"/>
    <w:rsid w:val="00FA008C"/>
    <w:rsid w:val="00FA064C"/>
    <w:rsid w:val="00FA0677"/>
    <w:rsid w:val="00FA06A7"/>
    <w:rsid w:val="00FA083C"/>
    <w:rsid w:val="00FA0D96"/>
    <w:rsid w:val="00FA1234"/>
    <w:rsid w:val="00FA126C"/>
    <w:rsid w:val="00FA1316"/>
    <w:rsid w:val="00FA1390"/>
    <w:rsid w:val="00FA13E0"/>
    <w:rsid w:val="00FA15E5"/>
    <w:rsid w:val="00FA1643"/>
    <w:rsid w:val="00FA1645"/>
    <w:rsid w:val="00FA1A38"/>
    <w:rsid w:val="00FA1A46"/>
    <w:rsid w:val="00FA1DAA"/>
    <w:rsid w:val="00FA2606"/>
    <w:rsid w:val="00FA264B"/>
    <w:rsid w:val="00FA28D3"/>
    <w:rsid w:val="00FA2BEE"/>
    <w:rsid w:val="00FA2EDA"/>
    <w:rsid w:val="00FA31BA"/>
    <w:rsid w:val="00FA33DC"/>
    <w:rsid w:val="00FA3480"/>
    <w:rsid w:val="00FA3551"/>
    <w:rsid w:val="00FA3606"/>
    <w:rsid w:val="00FA384C"/>
    <w:rsid w:val="00FA3B15"/>
    <w:rsid w:val="00FA3B9E"/>
    <w:rsid w:val="00FA3C97"/>
    <w:rsid w:val="00FA3C9C"/>
    <w:rsid w:val="00FA3EE5"/>
    <w:rsid w:val="00FA41A8"/>
    <w:rsid w:val="00FA4234"/>
    <w:rsid w:val="00FA430D"/>
    <w:rsid w:val="00FA44D7"/>
    <w:rsid w:val="00FA4512"/>
    <w:rsid w:val="00FA4697"/>
    <w:rsid w:val="00FA47D2"/>
    <w:rsid w:val="00FA4880"/>
    <w:rsid w:val="00FA4AAD"/>
    <w:rsid w:val="00FA4ECB"/>
    <w:rsid w:val="00FA4F64"/>
    <w:rsid w:val="00FA51A5"/>
    <w:rsid w:val="00FA541D"/>
    <w:rsid w:val="00FA545A"/>
    <w:rsid w:val="00FA600D"/>
    <w:rsid w:val="00FA61A9"/>
    <w:rsid w:val="00FA6653"/>
    <w:rsid w:val="00FA67F1"/>
    <w:rsid w:val="00FA6D46"/>
    <w:rsid w:val="00FA6E0D"/>
    <w:rsid w:val="00FA6F29"/>
    <w:rsid w:val="00FA7336"/>
    <w:rsid w:val="00FA73D8"/>
    <w:rsid w:val="00FA7537"/>
    <w:rsid w:val="00FA79F5"/>
    <w:rsid w:val="00FA7A94"/>
    <w:rsid w:val="00FA7F8C"/>
    <w:rsid w:val="00FB010D"/>
    <w:rsid w:val="00FB0B72"/>
    <w:rsid w:val="00FB0D8A"/>
    <w:rsid w:val="00FB0DB4"/>
    <w:rsid w:val="00FB109C"/>
    <w:rsid w:val="00FB127D"/>
    <w:rsid w:val="00FB13E3"/>
    <w:rsid w:val="00FB1508"/>
    <w:rsid w:val="00FB15AE"/>
    <w:rsid w:val="00FB16BE"/>
    <w:rsid w:val="00FB1C30"/>
    <w:rsid w:val="00FB1CC5"/>
    <w:rsid w:val="00FB1F36"/>
    <w:rsid w:val="00FB2413"/>
    <w:rsid w:val="00FB25FC"/>
    <w:rsid w:val="00FB2A14"/>
    <w:rsid w:val="00FB2A2A"/>
    <w:rsid w:val="00FB2B36"/>
    <w:rsid w:val="00FB2CC8"/>
    <w:rsid w:val="00FB2D18"/>
    <w:rsid w:val="00FB2E20"/>
    <w:rsid w:val="00FB2EEC"/>
    <w:rsid w:val="00FB2EF6"/>
    <w:rsid w:val="00FB2FE0"/>
    <w:rsid w:val="00FB31DF"/>
    <w:rsid w:val="00FB3391"/>
    <w:rsid w:val="00FB351E"/>
    <w:rsid w:val="00FB3586"/>
    <w:rsid w:val="00FB3AFE"/>
    <w:rsid w:val="00FB3B61"/>
    <w:rsid w:val="00FB3CBC"/>
    <w:rsid w:val="00FB3F89"/>
    <w:rsid w:val="00FB41F9"/>
    <w:rsid w:val="00FB4370"/>
    <w:rsid w:val="00FB4397"/>
    <w:rsid w:val="00FB45D2"/>
    <w:rsid w:val="00FB475D"/>
    <w:rsid w:val="00FB4AE9"/>
    <w:rsid w:val="00FB4F9F"/>
    <w:rsid w:val="00FB5140"/>
    <w:rsid w:val="00FB54DD"/>
    <w:rsid w:val="00FB577B"/>
    <w:rsid w:val="00FB57E1"/>
    <w:rsid w:val="00FB5A25"/>
    <w:rsid w:val="00FB5B86"/>
    <w:rsid w:val="00FB667D"/>
    <w:rsid w:val="00FB672D"/>
    <w:rsid w:val="00FB6AD4"/>
    <w:rsid w:val="00FB6B6C"/>
    <w:rsid w:val="00FB6D39"/>
    <w:rsid w:val="00FB6DAD"/>
    <w:rsid w:val="00FB70DE"/>
    <w:rsid w:val="00FB7263"/>
    <w:rsid w:val="00FB79D0"/>
    <w:rsid w:val="00FB7A0E"/>
    <w:rsid w:val="00FC004B"/>
    <w:rsid w:val="00FC01F4"/>
    <w:rsid w:val="00FC0372"/>
    <w:rsid w:val="00FC04B3"/>
    <w:rsid w:val="00FC0A06"/>
    <w:rsid w:val="00FC0A79"/>
    <w:rsid w:val="00FC0CB8"/>
    <w:rsid w:val="00FC0ECB"/>
    <w:rsid w:val="00FC0F77"/>
    <w:rsid w:val="00FC0FB3"/>
    <w:rsid w:val="00FC1008"/>
    <w:rsid w:val="00FC10F5"/>
    <w:rsid w:val="00FC1156"/>
    <w:rsid w:val="00FC118A"/>
    <w:rsid w:val="00FC126E"/>
    <w:rsid w:val="00FC1344"/>
    <w:rsid w:val="00FC1428"/>
    <w:rsid w:val="00FC1804"/>
    <w:rsid w:val="00FC1D09"/>
    <w:rsid w:val="00FC1D0D"/>
    <w:rsid w:val="00FC1EFC"/>
    <w:rsid w:val="00FC2176"/>
    <w:rsid w:val="00FC22AC"/>
    <w:rsid w:val="00FC247E"/>
    <w:rsid w:val="00FC2A34"/>
    <w:rsid w:val="00FC2EC7"/>
    <w:rsid w:val="00FC362B"/>
    <w:rsid w:val="00FC39ED"/>
    <w:rsid w:val="00FC3C99"/>
    <w:rsid w:val="00FC3EF1"/>
    <w:rsid w:val="00FC4070"/>
    <w:rsid w:val="00FC4778"/>
    <w:rsid w:val="00FC4B6B"/>
    <w:rsid w:val="00FC4D21"/>
    <w:rsid w:val="00FC4E86"/>
    <w:rsid w:val="00FC52A3"/>
    <w:rsid w:val="00FC560E"/>
    <w:rsid w:val="00FC56D8"/>
    <w:rsid w:val="00FC5E54"/>
    <w:rsid w:val="00FC6064"/>
    <w:rsid w:val="00FC6499"/>
    <w:rsid w:val="00FC66AD"/>
    <w:rsid w:val="00FC67D7"/>
    <w:rsid w:val="00FC684E"/>
    <w:rsid w:val="00FC68F2"/>
    <w:rsid w:val="00FC6B99"/>
    <w:rsid w:val="00FC6C95"/>
    <w:rsid w:val="00FC767C"/>
    <w:rsid w:val="00FC7698"/>
    <w:rsid w:val="00FC76D4"/>
    <w:rsid w:val="00FC7833"/>
    <w:rsid w:val="00FC799A"/>
    <w:rsid w:val="00FC7C26"/>
    <w:rsid w:val="00FC7D4D"/>
    <w:rsid w:val="00FD08C9"/>
    <w:rsid w:val="00FD0989"/>
    <w:rsid w:val="00FD0A57"/>
    <w:rsid w:val="00FD0A6A"/>
    <w:rsid w:val="00FD0BA1"/>
    <w:rsid w:val="00FD0EB9"/>
    <w:rsid w:val="00FD1336"/>
    <w:rsid w:val="00FD1466"/>
    <w:rsid w:val="00FD18D2"/>
    <w:rsid w:val="00FD194A"/>
    <w:rsid w:val="00FD1E56"/>
    <w:rsid w:val="00FD23B6"/>
    <w:rsid w:val="00FD2683"/>
    <w:rsid w:val="00FD274B"/>
    <w:rsid w:val="00FD28DB"/>
    <w:rsid w:val="00FD297D"/>
    <w:rsid w:val="00FD2A79"/>
    <w:rsid w:val="00FD2BFC"/>
    <w:rsid w:val="00FD31A5"/>
    <w:rsid w:val="00FD33EA"/>
    <w:rsid w:val="00FD3599"/>
    <w:rsid w:val="00FD36DF"/>
    <w:rsid w:val="00FD3907"/>
    <w:rsid w:val="00FD3D47"/>
    <w:rsid w:val="00FD3D49"/>
    <w:rsid w:val="00FD3D6A"/>
    <w:rsid w:val="00FD3EE1"/>
    <w:rsid w:val="00FD3FAD"/>
    <w:rsid w:val="00FD4002"/>
    <w:rsid w:val="00FD44C8"/>
    <w:rsid w:val="00FD46C9"/>
    <w:rsid w:val="00FD49BE"/>
    <w:rsid w:val="00FD4A5A"/>
    <w:rsid w:val="00FD4C15"/>
    <w:rsid w:val="00FD4CD5"/>
    <w:rsid w:val="00FD4F04"/>
    <w:rsid w:val="00FD4FF4"/>
    <w:rsid w:val="00FD4FFD"/>
    <w:rsid w:val="00FD5127"/>
    <w:rsid w:val="00FD533A"/>
    <w:rsid w:val="00FD558E"/>
    <w:rsid w:val="00FD5635"/>
    <w:rsid w:val="00FD57F8"/>
    <w:rsid w:val="00FD5876"/>
    <w:rsid w:val="00FD5BB0"/>
    <w:rsid w:val="00FD5C64"/>
    <w:rsid w:val="00FD5DD3"/>
    <w:rsid w:val="00FD5F3C"/>
    <w:rsid w:val="00FD60B3"/>
    <w:rsid w:val="00FD6607"/>
    <w:rsid w:val="00FD6BB7"/>
    <w:rsid w:val="00FD6FFF"/>
    <w:rsid w:val="00FD7310"/>
    <w:rsid w:val="00FD778E"/>
    <w:rsid w:val="00FD7B25"/>
    <w:rsid w:val="00FE017B"/>
    <w:rsid w:val="00FE04E4"/>
    <w:rsid w:val="00FE085E"/>
    <w:rsid w:val="00FE0920"/>
    <w:rsid w:val="00FE09DD"/>
    <w:rsid w:val="00FE0AD1"/>
    <w:rsid w:val="00FE0BD0"/>
    <w:rsid w:val="00FE0D34"/>
    <w:rsid w:val="00FE104F"/>
    <w:rsid w:val="00FE13E2"/>
    <w:rsid w:val="00FE1780"/>
    <w:rsid w:val="00FE1AC0"/>
    <w:rsid w:val="00FE1AEA"/>
    <w:rsid w:val="00FE1DBB"/>
    <w:rsid w:val="00FE1FDC"/>
    <w:rsid w:val="00FE25B1"/>
    <w:rsid w:val="00FE28E3"/>
    <w:rsid w:val="00FE299D"/>
    <w:rsid w:val="00FE2A28"/>
    <w:rsid w:val="00FE2AB4"/>
    <w:rsid w:val="00FE2CD2"/>
    <w:rsid w:val="00FE2CD4"/>
    <w:rsid w:val="00FE305B"/>
    <w:rsid w:val="00FE364A"/>
    <w:rsid w:val="00FE37B9"/>
    <w:rsid w:val="00FE3889"/>
    <w:rsid w:val="00FE3968"/>
    <w:rsid w:val="00FE3B1D"/>
    <w:rsid w:val="00FE3DF8"/>
    <w:rsid w:val="00FE4075"/>
    <w:rsid w:val="00FE41D1"/>
    <w:rsid w:val="00FE44EE"/>
    <w:rsid w:val="00FE4602"/>
    <w:rsid w:val="00FE4625"/>
    <w:rsid w:val="00FE4A39"/>
    <w:rsid w:val="00FE4AD7"/>
    <w:rsid w:val="00FE4B05"/>
    <w:rsid w:val="00FE4B4B"/>
    <w:rsid w:val="00FE4CC2"/>
    <w:rsid w:val="00FE4E8E"/>
    <w:rsid w:val="00FE52B0"/>
    <w:rsid w:val="00FE5526"/>
    <w:rsid w:val="00FE590D"/>
    <w:rsid w:val="00FE5AD8"/>
    <w:rsid w:val="00FE5E18"/>
    <w:rsid w:val="00FE5E79"/>
    <w:rsid w:val="00FE6046"/>
    <w:rsid w:val="00FE6757"/>
    <w:rsid w:val="00FE6A82"/>
    <w:rsid w:val="00FE6AD5"/>
    <w:rsid w:val="00FE6DA9"/>
    <w:rsid w:val="00FE6ECA"/>
    <w:rsid w:val="00FE6FC8"/>
    <w:rsid w:val="00FE7317"/>
    <w:rsid w:val="00FE7502"/>
    <w:rsid w:val="00FE7558"/>
    <w:rsid w:val="00FE75D6"/>
    <w:rsid w:val="00FE75E4"/>
    <w:rsid w:val="00FE763B"/>
    <w:rsid w:val="00FE76AC"/>
    <w:rsid w:val="00FE7923"/>
    <w:rsid w:val="00FE7B4F"/>
    <w:rsid w:val="00FE7EBB"/>
    <w:rsid w:val="00FE7F29"/>
    <w:rsid w:val="00FF050D"/>
    <w:rsid w:val="00FF05B1"/>
    <w:rsid w:val="00FF05CB"/>
    <w:rsid w:val="00FF0A5D"/>
    <w:rsid w:val="00FF0C7B"/>
    <w:rsid w:val="00FF0D1E"/>
    <w:rsid w:val="00FF0D3C"/>
    <w:rsid w:val="00FF0D81"/>
    <w:rsid w:val="00FF0DDE"/>
    <w:rsid w:val="00FF0F08"/>
    <w:rsid w:val="00FF0F60"/>
    <w:rsid w:val="00FF0F81"/>
    <w:rsid w:val="00FF13CB"/>
    <w:rsid w:val="00FF16F0"/>
    <w:rsid w:val="00FF178E"/>
    <w:rsid w:val="00FF17FF"/>
    <w:rsid w:val="00FF1979"/>
    <w:rsid w:val="00FF1EDA"/>
    <w:rsid w:val="00FF2087"/>
    <w:rsid w:val="00FF212A"/>
    <w:rsid w:val="00FF24EF"/>
    <w:rsid w:val="00FF25D7"/>
    <w:rsid w:val="00FF26B9"/>
    <w:rsid w:val="00FF2737"/>
    <w:rsid w:val="00FF27E4"/>
    <w:rsid w:val="00FF2C4A"/>
    <w:rsid w:val="00FF3141"/>
    <w:rsid w:val="00FF32BF"/>
    <w:rsid w:val="00FF3522"/>
    <w:rsid w:val="00FF3B33"/>
    <w:rsid w:val="00FF3E8C"/>
    <w:rsid w:val="00FF426F"/>
    <w:rsid w:val="00FF45CD"/>
    <w:rsid w:val="00FF4827"/>
    <w:rsid w:val="00FF48D2"/>
    <w:rsid w:val="00FF490B"/>
    <w:rsid w:val="00FF4987"/>
    <w:rsid w:val="00FF4ABF"/>
    <w:rsid w:val="00FF4D5A"/>
    <w:rsid w:val="00FF4DCC"/>
    <w:rsid w:val="00FF4E37"/>
    <w:rsid w:val="00FF4E4D"/>
    <w:rsid w:val="00FF513D"/>
    <w:rsid w:val="00FF5254"/>
    <w:rsid w:val="00FF52A7"/>
    <w:rsid w:val="00FF5449"/>
    <w:rsid w:val="00FF55A2"/>
    <w:rsid w:val="00FF5846"/>
    <w:rsid w:val="00FF588D"/>
    <w:rsid w:val="00FF58F3"/>
    <w:rsid w:val="00FF5A11"/>
    <w:rsid w:val="00FF5A9B"/>
    <w:rsid w:val="00FF5CB1"/>
    <w:rsid w:val="00FF5E19"/>
    <w:rsid w:val="00FF5F6A"/>
    <w:rsid w:val="00FF604D"/>
    <w:rsid w:val="00FF6305"/>
    <w:rsid w:val="00FF64AE"/>
    <w:rsid w:val="00FF6864"/>
    <w:rsid w:val="00FF68E8"/>
    <w:rsid w:val="00FF6B17"/>
    <w:rsid w:val="00FF6FD7"/>
    <w:rsid w:val="00FF721D"/>
    <w:rsid w:val="00FF730B"/>
    <w:rsid w:val="00FF76B2"/>
    <w:rsid w:val="00FF76B7"/>
    <w:rsid w:val="00FF7BD4"/>
    <w:rsid w:val="00FF7D22"/>
    <w:rsid w:val="00FF7EA4"/>
    <w:rsid w:val="00FF7EED"/>
    <w:rsid w:val="00FF7EF1"/>
    <w:rsid w:val="01DD483D"/>
    <w:rsid w:val="02D775CA"/>
    <w:rsid w:val="0509CAAE"/>
    <w:rsid w:val="09FB0868"/>
    <w:rsid w:val="09FCF1FA"/>
    <w:rsid w:val="12275A41"/>
    <w:rsid w:val="17777A2E"/>
    <w:rsid w:val="19A8B1C8"/>
    <w:rsid w:val="1AB123F4"/>
    <w:rsid w:val="219BEC7A"/>
    <w:rsid w:val="22554556"/>
    <w:rsid w:val="234E01E2"/>
    <w:rsid w:val="25BE370A"/>
    <w:rsid w:val="27D8B16D"/>
    <w:rsid w:val="2970C328"/>
    <w:rsid w:val="2B46A895"/>
    <w:rsid w:val="2B8B621B"/>
    <w:rsid w:val="2BDAD810"/>
    <w:rsid w:val="2D4777E4"/>
    <w:rsid w:val="2F684327"/>
    <w:rsid w:val="31AC3830"/>
    <w:rsid w:val="31BF9D0C"/>
    <w:rsid w:val="325BC1E0"/>
    <w:rsid w:val="3440526E"/>
    <w:rsid w:val="3AE0501A"/>
    <w:rsid w:val="3CD4BAB9"/>
    <w:rsid w:val="3D96E4D9"/>
    <w:rsid w:val="3DE81439"/>
    <w:rsid w:val="45A0C465"/>
    <w:rsid w:val="49417B26"/>
    <w:rsid w:val="4ADD4B87"/>
    <w:rsid w:val="4D501D18"/>
    <w:rsid w:val="500CC294"/>
    <w:rsid w:val="516DFB29"/>
    <w:rsid w:val="51AA5248"/>
    <w:rsid w:val="52576F3E"/>
    <w:rsid w:val="52ADDF71"/>
    <w:rsid w:val="549D970A"/>
    <w:rsid w:val="5BE73244"/>
    <w:rsid w:val="5F53BE0E"/>
    <w:rsid w:val="6136ED96"/>
    <w:rsid w:val="61E999EB"/>
    <w:rsid w:val="622A12EE"/>
    <w:rsid w:val="62B79209"/>
    <w:rsid w:val="634A36BB"/>
    <w:rsid w:val="638F8E4A"/>
    <w:rsid w:val="647B23BB"/>
    <w:rsid w:val="6731D271"/>
    <w:rsid w:val="6B9FBD7E"/>
    <w:rsid w:val="6D38EDC0"/>
    <w:rsid w:val="6F3CE456"/>
    <w:rsid w:val="7012DBF4"/>
    <w:rsid w:val="7080352C"/>
    <w:rsid w:val="731CBC76"/>
    <w:rsid w:val="749DA8B0"/>
    <w:rsid w:val="774D60EF"/>
    <w:rsid w:val="7B9E2C63"/>
    <w:rsid w:val="7E5E20D5"/>
    <w:rsid w:val="7EBAD34F"/>
    <w:rsid w:val="7F274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AEB1D1"/>
  <w15:docId w15:val="{B2D48192-42D7-49ED-B0A6-8E619C39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65B8"/>
    <w:rPr>
      <w:rFonts w:ascii="Arial" w:hAnsi="Arial"/>
      <w:lang w:val="en-CA"/>
    </w:rPr>
  </w:style>
  <w:style w:type="paragraph" w:styleId="Heading1">
    <w:name w:val="heading 1"/>
    <w:basedOn w:val="Normal"/>
    <w:next w:val="Normal"/>
    <w:qFormat/>
    <w:rsid w:val="009311F0"/>
    <w:pPr>
      <w:keepNext/>
      <w:spacing w:before="240" w:after="60"/>
      <w:outlineLvl w:val="0"/>
    </w:pPr>
    <w:rPr>
      <w:b/>
      <w:kern w:val="28"/>
      <w:sz w:val="28"/>
    </w:rPr>
  </w:style>
  <w:style w:type="paragraph" w:styleId="Heading2">
    <w:name w:val="heading 2"/>
    <w:aliases w:val="h2"/>
    <w:basedOn w:val="Normal"/>
    <w:next w:val="Normal"/>
    <w:qFormat/>
    <w:rsid w:val="009311F0"/>
    <w:pPr>
      <w:keepNext/>
      <w:jc w:val="center"/>
      <w:outlineLvl w:val="1"/>
    </w:pPr>
    <w:rPr>
      <w:b/>
      <w:sz w:val="24"/>
    </w:rPr>
  </w:style>
  <w:style w:type="paragraph" w:styleId="Heading3">
    <w:name w:val="heading 3"/>
    <w:basedOn w:val="Normal"/>
    <w:next w:val="Normal"/>
    <w:qFormat/>
    <w:rsid w:val="009311F0"/>
    <w:pPr>
      <w:keepNext/>
      <w:outlineLvl w:val="2"/>
    </w:pPr>
    <w:rPr>
      <w:b/>
    </w:rPr>
  </w:style>
  <w:style w:type="paragraph" w:styleId="Heading4">
    <w:name w:val="heading 4"/>
    <w:aliases w:val="h4"/>
    <w:basedOn w:val="Normal"/>
    <w:next w:val="Normal"/>
    <w:link w:val="Heading4Char"/>
    <w:qFormat/>
    <w:rsid w:val="009311F0"/>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9311F0"/>
    <w:pPr>
      <w:spacing w:before="240" w:after="60"/>
      <w:outlineLvl w:val="4"/>
    </w:pPr>
    <w:rPr>
      <w:b/>
      <w:bCs/>
      <w:i/>
      <w:iCs/>
      <w:sz w:val="26"/>
      <w:szCs w:val="26"/>
    </w:rPr>
  </w:style>
  <w:style w:type="paragraph" w:styleId="Heading6">
    <w:name w:val="heading 6"/>
    <w:basedOn w:val="Normal"/>
    <w:next w:val="Normal"/>
    <w:link w:val="Heading6Char"/>
    <w:uiPriority w:val="9"/>
    <w:qFormat/>
    <w:rsid w:val="00164540"/>
    <w:pPr>
      <w:spacing w:before="240" w:after="60"/>
      <w:outlineLvl w:val="5"/>
    </w:pPr>
    <w:rPr>
      <w:rFonts w:ascii="Calibri" w:hAnsi="Calibri"/>
      <w:b/>
      <w:bCs/>
      <w:sz w:val="22"/>
      <w:szCs w:val="22"/>
    </w:rPr>
  </w:style>
  <w:style w:type="paragraph" w:styleId="Heading7">
    <w:name w:val="heading 7"/>
    <w:basedOn w:val="Normal"/>
    <w:next w:val="Normal"/>
    <w:qFormat/>
    <w:rsid w:val="009311F0"/>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9311F0"/>
    <w:pPr>
      <w:keepNext/>
      <w:jc w:val="both"/>
      <w:outlineLvl w:val="7"/>
    </w:pPr>
    <w:rPr>
      <w:b/>
      <w:bCs/>
    </w:rPr>
  </w:style>
  <w:style w:type="paragraph" w:styleId="Heading9">
    <w:name w:val="heading 9"/>
    <w:basedOn w:val="Normal"/>
    <w:next w:val="Normal"/>
    <w:qFormat/>
    <w:rsid w:val="009311F0"/>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164540"/>
    <w:rPr>
      <w:rFonts w:ascii="Calibri" w:eastAsia="Times New Roman" w:hAnsi="Calibri" w:cs="Times New Roman"/>
      <w:b/>
      <w:bCs/>
      <w:sz w:val="22"/>
      <w:szCs w:val="22"/>
      <w:lang w:val="en-US" w:eastAsia="en-US"/>
    </w:rPr>
  </w:style>
  <w:style w:type="paragraph" w:styleId="Header">
    <w:name w:val="header"/>
    <w:basedOn w:val="Normal"/>
    <w:link w:val="HeaderChar"/>
    <w:rsid w:val="009311F0"/>
    <w:pPr>
      <w:tabs>
        <w:tab w:val="center" w:pos="4320"/>
        <w:tab w:val="right" w:pos="8640"/>
      </w:tabs>
    </w:pPr>
  </w:style>
  <w:style w:type="character" w:customStyle="1" w:styleId="HeaderChar">
    <w:name w:val="Header Char"/>
    <w:link w:val="Header"/>
    <w:rsid w:val="000A0F15"/>
    <w:rPr>
      <w:rFonts w:ascii="Arial" w:hAnsi="Arial"/>
    </w:rPr>
  </w:style>
  <w:style w:type="paragraph" w:styleId="BodyText">
    <w:name w:val="Body Text"/>
    <w:aliases w:val="bt,b,bullet list"/>
    <w:basedOn w:val="Normal"/>
    <w:link w:val="BodyTextChar"/>
    <w:rsid w:val="009311F0"/>
    <w:pPr>
      <w:jc w:val="both"/>
    </w:pPr>
    <w:rPr>
      <w:bCs/>
      <w:sz w:val="22"/>
      <w:szCs w:val="24"/>
    </w:rPr>
  </w:style>
  <w:style w:type="character" w:styleId="Hyperlink">
    <w:name w:val="Hyperlink"/>
    <w:rsid w:val="009311F0"/>
    <w:rPr>
      <w:color w:val="0000FF"/>
      <w:u w:val="single"/>
    </w:rPr>
  </w:style>
  <w:style w:type="paragraph" w:styleId="BodyText2">
    <w:name w:val="Body Text 2"/>
    <w:basedOn w:val="Normal"/>
    <w:link w:val="BodyText2Char"/>
    <w:rsid w:val="009311F0"/>
    <w:pPr>
      <w:jc w:val="both"/>
    </w:pPr>
  </w:style>
  <w:style w:type="character" w:customStyle="1" w:styleId="BodyText2Char">
    <w:name w:val="Body Text 2 Char"/>
    <w:link w:val="BodyText2"/>
    <w:rsid w:val="00164540"/>
    <w:rPr>
      <w:rFonts w:ascii="Arial" w:hAnsi="Arial"/>
      <w:lang w:val="en-US" w:eastAsia="en-US"/>
    </w:rPr>
  </w:style>
  <w:style w:type="paragraph" w:customStyle="1" w:styleId="Ne2">
    <w:name w:val="Ne2"/>
    <w:basedOn w:val="Normal"/>
    <w:link w:val="Ne2Char"/>
    <w:rsid w:val="009311F0"/>
    <w:pPr>
      <w:spacing w:before="120" w:line="280" w:lineRule="atLeast"/>
      <w:ind w:left="360"/>
      <w:jc w:val="both"/>
    </w:pPr>
  </w:style>
  <w:style w:type="paragraph" w:styleId="Footer">
    <w:name w:val="footer"/>
    <w:basedOn w:val="Normal"/>
    <w:link w:val="FooterChar"/>
    <w:uiPriority w:val="99"/>
    <w:rsid w:val="009311F0"/>
    <w:pPr>
      <w:tabs>
        <w:tab w:val="center" w:pos="4320"/>
        <w:tab w:val="right" w:pos="8640"/>
      </w:tabs>
    </w:pPr>
  </w:style>
  <w:style w:type="character" w:customStyle="1" w:styleId="FooterChar">
    <w:name w:val="Footer Char"/>
    <w:link w:val="Footer"/>
    <w:uiPriority w:val="99"/>
    <w:rsid w:val="00F10A1E"/>
    <w:rPr>
      <w:rFonts w:ascii="Arial" w:hAnsi="Arial"/>
      <w:lang w:val="en-US" w:eastAsia="en-US"/>
    </w:rPr>
  </w:style>
  <w:style w:type="character" w:styleId="PageNumber">
    <w:name w:val="page number"/>
    <w:basedOn w:val="DefaultParagraphFont"/>
    <w:rsid w:val="009311F0"/>
  </w:style>
  <w:style w:type="paragraph" w:styleId="BalloonText">
    <w:name w:val="Balloon Text"/>
    <w:basedOn w:val="Normal"/>
    <w:link w:val="BalloonTextChar"/>
    <w:semiHidden/>
    <w:rsid w:val="009311F0"/>
    <w:rPr>
      <w:rFonts w:ascii="Tahoma" w:hAnsi="Tahoma"/>
      <w:sz w:val="16"/>
      <w:szCs w:val="16"/>
    </w:rPr>
  </w:style>
  <w:style w:type="paragraph" w:customStyle="1" w:styleId="FS1">
    <w:name w:val="FS1"/>
    <w:basedOn w:val="Normal"/>
    <w:rsid w:val="009311F0"/>
    <w:pPr>
      <w:tabs>
        <w:tab w:val="decimal" w:pos="7280"/>
        <w:tab w:val="decimal" w:pos="9000"/>
      </w:tabs>
      <w:overflowPunct w:val="0"/>
      <w:autoSpaceDE w:val="0"/>
      <w:autoSpaceDN w:val="0"/>
      <w:adjustRightInd w:val="0"/>
      <w:ind w:left="180" w:hanging="180"/>
      <w:textAlignment w:val="baseline"/>
    </w:pPr>
  </w:style>
  <w:style w:type="paragraph" w:customStyle="1" w:styleId="FS2">
    <w:name w:val="FS2"/>
    <w:basedOn w:val="FS1"/>
    <w:link w:val="FS2Char"/>
    <w:rsid w:val="009311F0"/>
    <w:pPr>
      <w:ind w:left="540"/>
    </w:pPr>
  </w:style>
  <w:style w:type="paragraph" w:customStyle="1" w:styleId="FS3">
    <w:name w:val="FS3"/>
    <w:basedOn w:val="FS2"/>
    <w:rsid w:val="009311F0"/>
    <w:pPr>
      <w:ind w:left="900"/>
    </w:pPr>
  </w:style>
  <w:style w:type="paragraph" w:customStyle="1" w:styleId="DFS3">
    <w:name w:val="DFS3"/>
    <w:basedOn w:val="Normal"/>
    <w:next w:val="FS3"/>
    <w:rsid w:val="009311F0"/>
    <w:pPr>
      <w:tabs>
        <w:tab w:val="left" w:pos="6200"/>
        <w:tab w:val="decimal" w:pos="7280"/>
        <w:tab w:val="left" w:pos="7920"/>
        <w:tab w:val="decimal" w:pos="9000"/>
      </w:tabs>
      <w:overflowPunct w:val="0"/>
      <w:autoSpaceDE w:val="0"/>
      <w:autoSpaceDN w:val="0"/>
      <w:adjustRightInd w:val="0"/>
      <w:ind w:left="900" w:hanging="180"/>
      <w:textAlignment w:val="baseline"/>
    </w:pPr>
  </w:style>
  <w:style w:type="paragraph" w:customStyle="1" w:styleId="Top1">
    <w:name w:val="Top1"/>
    <w:basedOn w:val="FS1"/>
    <w:next w:val="Normal"/>
    <w:rsid w:val="009311F0"/>
    <w:pPr>
      <w:pBdr>
        <w:top w:val="single" w:sz="12" w:space="0" w:color="auto"/>
      </w:pBdr>
      <w:spacing w:line="240" w:lineRule="exact"/>
      <w:ind w:left="187" w:hanging="187"/>
    </w:pPr>
  </w:style>
  <w:style w:type="paragraph" w:customStyle="1" w:styleId="Top2">
    <w:name w:val="Top2"/>
    <w:basedOn w:val="FS2"/>
    <w:next w:val="TT2"/>
    <w:rsid w:val="009311F0"/>
    <w:pPr>
      <w:pBdr>
        <w:top w:val="single" w:sz="12" w:space="0" w:color="auto"/>
      </w:pBdr>
      <w:spacing w:before="20" w:after="20"/>
    </w:pPr>
  </w:style>
  <w:style w:type="paragraph" w:customStyle="1" w:styleId="TT2">
    <w:name w:val="TT2"/>
    <w:basedOn w:val="FS2"/>
    <w:next w:val="FS1"/>
    <w:rsid w:val="009311F0"/>
    <w:pPr>
      <w:pBdr>
        <w:top w:val="single" w:sz="6" w:space="0" w:color="auto"/>
      </w:pBdr>
      <w:spacing w:before="20" w:line="220" w:lineRule="atLeast"/>
    </w:pPr>
  </w:style>
  <w:style w:type="paragraph" w:customStyle="1" w:styleId="Top3">
    <w:name w:val="Top3"/>
    <w:basedOn w:val="FS3"/>
    <w:next w:val="TT3"/>
    <w:rsid w:val="009311F0"/>
    <w:pPr>
      <w:pBdr>
        <w:top w:val="single" w:sz="12" w:space="0" w:color="auto"/>
      </w:pBdr>
      <w:spacing w:before="20" w:after="20"/>
    </w:pPr>
  </w:style>
  <w:style w:type="paragraph" w:customStyle="1" w:styleId="TT3">
    <w:name w:val="TT3"/>
    <w:basedOn w:val="FS3"/>
    <w:next w:val="FS2"/>
    <w:rsid w:val="009311F0"/>
    <w:pPr>
      <w:pBdr>
        <w:top w:val="single" w:sz="6" w:space="0" w:color="auto"/>
      </w:pBdr>
      <w:spacing w:before="20" w:line="220" w:lineRule="atLeast"/>
    </w:pPr>
  </w:style>
  <w:style w:type="paragraph" w:customStyle="1" w:styleId="DTT3">
    <w:name w:val="DTT3"/>
    <w:basedOn w:val="DFS3"/>
    <w:next w:val="Top3"/>
    <w:rsid w:val="009311F0"/>
    <w:pPr>
      <w:pBdr>
        <w:top w:val="single" w:sz="6" w:space="0" w:color="auto"/>
      </w:pBdr>
      <w:spacing w:before="20" w:line="220" w:lineRule="atLeast"/>
    </w:pPr>
  </w:style>
  <w:style w:type="paragraph" w:customStyle="1" w:styleId="Ne1">
    <w:name w:val="Ne1"/>
    <w:basedOn w:val="FS1"/>
    <w:next w:val="Ne2"/>
    <w:rsid w:val="009311F0"/>
    <w:pPr>
      <w:tabs>
        <w:tab w:val="clear" w:pos="7280"/>
        <w:tab w:val="clear" w:pos="9000"/>
        <w:tab w:val="left" w:pos="360"/>
      </w:tabs>
      <w:spacing w:before="120" w:line="280" w:lineRule="atLeast"/>
      <w:ind w:left="0" w:firstLine="0"/>
    </w:pPr>
    <w:rPr>
      <w:b/>
    </w:rPr>
  </w:style>
  <w:style w:type="paragraph" w:customStyle="1" w:styleId="Ne3">
    <w:name w:val="Ne3"/>
    <w:basedOn w:val="Ne2"/>
    <w:link w:val="Ne3Char"/>
    <w:rsid w:val="009311F0"/>
    <w:pPr>
      <w:overflowPunct w:val="0"/>
      <w:autoSpaceDE w:val="0"/>
      <w:autoSpaceDN w:val="0"/>
      <w:adjustRightInd w:val="0"/>
      <w:ind w:left="720"/>
      <w:textAlignment w:val="baseline"/>
    </w:pPr>
  </w:style>
  <w:style w:type="paragraph" w:styleId="DocumentMap">
    <w:name w:val="Document Map"/>
    <w:basedOn w:val="Normal"/>
    <w:link w:val="DocumentMapChar"/>
    <w:semiHidden/>
    <w:rsid w:val="009311F0"/>
    <w:pPr>
      <w:shd w:val="clear" w:color="auto" w:fill="000080"/>
    </w:pPr>
    <w:rPr>
      <w:rFonts w:ascii="Tahoma" w:hAnsi="Tahoma"/>
    </w:rPr>
  </w:style>
  <w:style w:type="paragraph" w:styleId="NormalWeb">
    <w:name w:val="Normal (Web)"/>
    <w:basedOn w:val="Normal"/>
    <w:uiPriority w:val="99"/>
    <w:rsid w:val="009311F0"/>
    <w:pPr>
      <w:spacing w:before="100" w:beforeAutospacing="1" w:after="100" w:afterAutospacing="1"/>
    </w:pPr>
    <w:rPr>
      <w:rFonts w:ascii="Times New Roman" w:hAnsi="Times New Roman"/>
      <w:color w:val="000000"/>
      <w:sz w:val="24"/>
      <w:szCs w:val="24"/>
    </w:rPr>
  </w:style>
  <w:style w:type="paragraph" w:styleId="BodyTextIndent3">
    <w:name w:val="Body Text Indent 3"/>
    <w:basedOn w:val="Normal"/>
    <w:rsid w:val="009311F0"/>
    <w:pPr>
      <w:spacing w:after="120"/>
      <w:ind w:left="360"/>
    </w:pPr>
    <w:rPr>
      <w:sz w:val="16"/>
      <w:szCs w:val="16"/>
    </w:rPr>
  </w:style>
  <w:style w:type="paragraph" w:styleId="BodyText3">
    <w:name w:val="Body Text 3"/>
    <w:basedOn w:val="Normal"/>
    <w:rsid w:val="009311F0"/>
    <w:pPr>
      <w:spacing w:after="120"/>
    </w:pPr>
    <w:rPr>
      <w:sz w:val="16"/>
      <w:szCs w:val="16"/>
    </w:rPr>
  </w:style>
  <w:style w:type="paragraph" w:styleId="BodyTextIndent">
    <w:name w:val="Body Text Indent"/>
    <w:basedOn w:val="Normal"/>
    <w:link w:val="BodyTextIndentChar"/>
    <w:rsid w:val="009311F0"/>
    <w:pPr>
      <w:spacing w:after="120"/>
      <w:ind w:left="360"/>
    </w:pPr>
  </w:style>
  <w:style w:type="character" w:customStyle="1" w:styleId="BodyTextIndentChar">
    <w:name w:val="Body Text Indent Char"/>
    <w:link w:val="BodyTextIndent"/>
    <w:rsid w:val="00164540"/>
    <w:rPr>
      <w:rFonts w:ascii="Arial" w:hAnsi="Arial"/>
      <w:lang w:val="en-US" w:eastAsia="en-US"/>
    </w:rPr>
  </w:style>
  <w:style w:type="paragraph" w:customStyle="1" w:styleId="AuditBody">
    <w:name w:val="AuditBody"/>
    <w:aliases w:val="ab,Audit Body"/>
    <w:basedOn w:val="Normal"/>
    <w:rsid w:val="009311F0"/>
    <w:pPr>
      <w:overflowPunct w:val="0"/>
      <w:autoSpaceDE w:val="0"/>
      <w:autoSpaceDN w:val="0"/>
      <w:adjustRightInd w:val="0"/>
      <w:spacing w:before="120" w:line="280" w:lineRule="atLeast"/>
      <w:jc w:val="both"/>
      <w:textAlignment w:val="baseline"/>
    </w:pPr>
  </w:style>
  <w:style w:type="paragraph" w:customStyle="1" w:styleId="AuditTitle">
    <w:name w:val="AuditTitle"/>
    <w:aliases w:val="at"/>
    <w:basedOn w:val="AuditBody"/>
    <w:next w:val="AuditBody"/>
    <w:rsid w:val="009311F0"/>
    <w:pPr>
      <w:spacing w:after="360"/>
    </w:pPr>
    <w:rPr>
      <w:b/>
      <w:caps/>
      <w:sz w:val="28"/>
    </w:rPr>
  </w:style>
  <w:style w:type="paragraph" w:customStyle="1" w:styleId="AuditAddressee">
    <w:name w:val="AuditAddressee"/>
    <w:aliases w:val="aa"/>
    <w:basedOn w:val="Normal"/>
    <w:rsid w:val="009311F0"/>
    <w:pPr>
      <w:keepNext/>
      <w:overflowPunct w:val="0"/>
      <w:autoSpaceDE w:val="0"/>
      <w:autoSpaceDN w:val="0"/>
      <w:adjustRightInd w:val="0"/>
      <w:spacing w:line="280" w:lineRule="atLeast"/>
      <w:textAlignment w:val="baseline"/>
    </w:pPr>
  </w:style>
  <w:style w:type="table" w:styleId="TableGrid">
    <w:name w:val="Table Grid"/>
    <w:basedOn w:val="TableNormal"/>
    <w:uiPriority w:val="39"/>
    <w:rsid w:val="00992B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FirstIndent">
    <w:name w:val="Body Text First Indent"/>
    <w:aliases w:val="btfi,(.5&quot;),bf"/>
    <w:basedOn w:val="BodyText"/>
    <w:link w:val="BodyTextFirstIndentChar"/>
    <w:rsid w:val="00A576BB"/>
    <w:pPr>
      <w:spacing w:after="120"/>
      <w:ind w:firstLine="210"/>
      <w:jc w:val="left"/>
    </w:pPr>
    <w:rPr>
      <w:bCs w:val="0"/>
      <w:sz w:val="20"/>
      <w:szCs w:val="20"/>
    </w:rPr>
  </w:style>
  <w:style w:type="character" w:customStyle="1" w:styleId="BodyTextFirstIndentChar">
    <w:name w:val="Body Text First Indent Char"/>
    <w:aliases w:val="btfi Char,(.5&quot;) Char,bf Char"/>
    <w:link w:val="BodyTextFirstIndent"/>
    <w:rsid w:val="000A0F15"/>
    <w:rPr>
      <w:rFonts w:ascii="Arial" w:hAnsi="Arial"/>
    </w:rPr>
  </w:style>
  <w:style w:type="paragraph" w:customStyle="1" w:styleId="HeadSub3">
    <w:name w:val="Head_Sub_3"/>
    <w:aliases w:val="HS3"/>
    <w:basedOn w:val="Normal"/>
    <w:next w:val="Normal"/>
    <w:rsid w:val="00DC1D72"/>
    <w:pPr>
      <w:keepNext/>
      <w:keepLines/>
      <w:spacing w:after="240"/>
      <w:ind w:left="720"/>
      <w:jc w:val="both"/>
      <w:outlineLvl w:val="3"/>
    </w:pPr>
    <w:rPr>
      <w:rFonts w:ascii="Times New Roman" w:hAnsi="Times New Roman"/>
      <w:szCs w:val="24"/>
      <w:u w:val="single"/>
    </w:rPr>
  </w:style>
  <w:style w:type="paragraph" w:customStyle="1" w:styleId="TableText">
    <w:name w:val="Table Text"/>
    <w:basedOn w:val="Normal"/>
    <w:rsid w:val="00561579"/>
    <w:pPr>
      <w:spacing w:after="120"/>
    </w:pPr>
    <w:rPr>
      <w:rFonts w:ascii="Times New Roman" w:hAnsi="Times New Roman"/>
    </w:rPr>
  </w:style>
  <w:style w:type="paragraph" w:customStyle="1" w:styleId="SecurityCont2">
    <w:name w:val="Security Cont 2"/>
    <w:aliases w:val="s2"/>
    <w:basedOn w:val="Normal"/>
    <w:rsid w:val="0046253F"/>
    <w:pPr>
      <w:spacing w:after="240"/>
      <w:jc w:val="both"/>
    </w:pPr>
    <w:rPr>
      <w:rFonts w:ascii="Times New Roman" w:hAnsi="Times New Roman"/>
    </w:rPr>
  </w:style>
  <w:style w:type="paragraph" w:customStyle="1" w:styleId="tabletext0">
    <w:name w:val="table text"/>
    <w:aliases w:val="tt"/>
    <w:basedOn w:val="Normal"/>
    <w:rsid w:val="00D866D4"/>
    <w:pPr>
      <w:keepNext/>
      <w:keepLines/>
      <w:jc w:val="both"/>
    </w:pPr>
    <w:rPr>
      <w:rFonts w:ascii="Times New Roman" w:hAnsi="Times New Roman"/>
      <w:szCs w:val="24"/>
    </w:rPr>
  </w:style>
  <w:style w:type="character" w:styleId="FollowedHyperlink">
    <w:name w:val="FollowedHyperlink"/>
    <w:rsid w:val="00D866D4"/>
    <w:rPr>
      <w:color w:val="800080"/>
      <w:u w:val="single"/>
    </w:rPr>
  </w:style>
  <w:style w:type="paragraph" w:styleId="ListParagraph">
    <w:name w:val="List Paragraph"/>
    <w:basedOn w:val="Normal"/>
    <w:uiPriority w:val="34"/>
    <w:qFormat/>
    <w:rsid w:val="001C362B"/>
    <w:pPr>
      <w:ind w:left="720"/>
      <w:jc w:val="both"/>
    </w:pPr>
    <w:rPr>
      <w:rFonts w:ascii="Times New Roman" w:hAnsi="Times New Roman"/>
      <w:sz w:val="22"/>
      <w:szCs w:val="24"/>
    </w:rPr>
  </w:style>
  <w:style w:type="character" w:styleId="CommentReference">
    <w:name w:val="annotation reference"/>
    <w:unhideWhenUsed/>
    <w:rsid w:val="00E70056"/>
    <w:rPr>
      <w:sz w:val="16"/>
      <w:szCs w:val="16"/>
    </w:rPr>
  </w:style>
  <w:style w:type="paragraph" w:styleId="CommentText">
    <w:name w:val="annotation text"/>
    <w:basedOn w:val="Normal"/>
    <w:link w:val="CommentTextChar"/>
    <w:unhideWhenUsed/>
    <w:rsid w:val="00E70056"/>
  </w:style>
  <w:style w:type="character" w:customStyle="1" w:styleId="CommentTextChar">
    <w:name w:val="Comment Text Char"/>
    <w:link w:val="CommentText"/>
    <w:rsid w:val="00E70056"/>
    <w:rPr>
      <w:rFonts w:ascii="Arial" w:hAnsi="Arial"/>
    </w:rPr>
  </w:style>
  <w:style w:type="paragraph" w:styleId="CommentSubject">
    <w:name w:val="annotation subject"/>
    <w:basedOn w:val="CommentText"/>
    <w:next w:val="CommentText"/>
    <w:link w:val="CommentSubjectChar"/>
    <w:semiHidden/>
    <w:unhideWhenUsed/>
    <w:rsid w:val="00E70056"/>
    <w:rPr>
      <w:b/>
      <w:bCs/>
    </w:rPr>
  </w:style>
  <w:style w:type="character" w:customStyle="1" w:styleId="CommentSubjectChar">
    <w:name w:val="Comment Subject Char"/>
    <w:link w:val="CommentSubject"/>
    <w:rsid w:val="00E70056"/>
    <w:rPr>
      <w:rFonts w:ascii="Arial" w:hAnsi="Arial"/>
      <w:b/>
      <w:bCs/>
    </w:rPr>
  </w:style>
  <w:style w:type="paragraph" w:styleId="NoSpacing">
    <w:name w:val="No Spacing"/>
    <w:link w:val="NoSpacingChar"/>
    <w:uiPriority w:val="1"/>
    <w:qFormat/>
    <w:rsid w:val="000A0F15"/>
    <w:pPr>
      <w:jc w:val="both"/>
    </w:pPr>
    <w:rPr>
      <w:rFonts w:eastAsia="Batang"/>
      <w:sz w:val="22"/>
      <w:szCs w:val="24"/>
      <w:lang w:val="en-CA"/>
    </w:rPr>
  </w:style>
  <w:style w:type="character" w:customStyle="1" w:styleId="NoSpacingChar">
    <w:name w:val="No Spacing Char"/>
    <w:link w:val="NoSpacing"/>
    <w:uiPriority w:val="1"/>
    <w:rsid w:val="00CD0A54"/>
    <w:rPr>
      <w:rFonts w:eastAsia="Batang"/>
      <w:sz w:val="22"/>
      <w:szCs w:val="24"/>
      <w:lang w:val="en-CA" w:eastAsia="en-US" w:bidi="ar-SA"/>
    </w:rPr>
  </w:style>
  <w:style w:type="paragraph" w:customStyle="1" w:styleId="LHFirmName">
    <w:name w:val="LH Firm Name"/>
    <w:basedOn w:val="Normal"/>
    <w:rsid w:val="00164540"/>
    <w:pPr>
      <w:spacing w:after="120"/>
      <w:ind w:left="-720"/>
      <w:jc w:val="both"/>
    </w:pPr>
    <w:rPr>
      <w:rFonts w:ascii="EngravrsRoman BT" w:hAnsi="EngravrsRoman BT"/>
      <w:b/>
      <w:spacing w:val="10"/>
      <w:sz w:val="15"/>
      <w:szCs w:val="24"/>
    </w:rPr>
  </w:style>
  <w:style w:type="paragraph" w:customStyle="1" w:styleId="BodyTextContinued">
    <w:name w:val="Body Text Continued"/>
    <w:basedOn w:val="BodyText"/>
    <w:next w:val="BodyText"/>
    <w:rsid w:val="00164540"/>
    <w:pPr>
      <w:spacing w:after="240"/>
    </w:pPr>
    <w:rPr>
      <w:rFonts w:ascii="Times New Roman" w:hAnsi="Times New Roman"/>
      <w:bCs w:val="0"/>
      <w:sz w:val="20"/>
    </w:rPr>
  </w:style>
  <w:style w:type="character" w:customStyle="1" w:styleId="FootnoteTextChar">
    <w:name w:val="Footnote Text Char"/>
    <w:link w:val="FootnoteText"/>
    <w:semiHidden/>
    <w:rsid w:val="00164540"/>
    <w:rPr>
      <w:sz w:val="16"/>
      <w:szCs w:val="24"/>
      <w:lang w:eastAsia="en-US"/>
    </w:rPr>
  </w:style>
  <w:style w:type="paragraph" w:styleId="FootnoteText">
    <w:name w:val="footnote text"/>
    <w:basedOn w:val="Normal"/>
    <w:link w:val="FootnoteTextChar"/>
    <w:semiHidden/>
    <w:rsid w:val="00164540"/>
    <w:pPr>
      <w:ind w:left="720" w:hanging="720"/>
      <w:jc w:val="both"/>
    </w:pPr>
    <w:rPr>
      <w:rFonts w:ascii="Times New Roman" w:hAnsi="Times New Roman"/>
      <w:sz w:val="16"/>
      <w:szCs w:val="24"/>
    </w:rPr>
  </w:style>
  <w:style w:type="paragraph" w:customStyle="1" w:styleId="LetterClosing">
    <w:name w:val="LetterClosing"/>
    <w:basedOn w:val="Normal"/>
    <w:next w:val="Normal"/>
    <w:rsid w:val="00164540"/>
    <w:pPr>
      <w:jc w:val="both"/>
    </w:pPr>
    <w:rPr>
      <w:rFonts w:ascii="Times New Roman" w:hAnsi="Times New Roman"/>
      <w:sz w:val="22"/>
      <w:szCs w:val="24"/>
    </w:rPr>
  </w:style>
  <w:style w:type="character" w:customStyle="1" w:styleId="MacroTextChar">
    <w:name w:val="Macro Text Char"/>
    <w:link w:val="MacroText"/>
    <w:semiHidden/>
    <w:rsid w:val="00164540"/>
    <w:rPr>
      <w:sz w:val="18"/>
      <w:lang w:val="en-US" w:eastAsia="en-US" w:bidi="ar-SA"/>
    </w:rPr>
  </w:style>
  <w:style w:type="paragraph" w:styleId="MacroText">
    <w:name w:val="macro"/>
    <w:link w:val="MacroTextChar"/>
    <w:semiHidden/>
    <w:rsid w:val="00164540"/>
    <w:pPr>
      <w:tabs>
        <w:tab w:val="left" w:pos="480"/>
        <w:tab w:val="left" w:pos="960"/>
        <w:tab w:val="left" w:pos="1440"/>
        <w:tab w:val="left" w:pos="1920"/>
        <w:tab w:val="left" w:pos="2400"/>
        <w:tab w:val="left" w:pos="2880"/>
        <w:tab w:val="left" w:pos="3360"/>
        <w:tab w:val="left" w:pos="3840"/>
        <w:tab w:val="left" w:pos="4320"/>
      </w:tabs>
      <w:jc w:val="both"/>
    </w:pPr>
    <w:rPr>
      <w:sz w:val="18"/>
    </w:rPr>
  </w:style>
  <w:style w:type="paragraph" w:styleId="NormalIndent">
    <w:name w:val="Normal Indent"/>
    <w:basedOn w:val="Normal"/>
    <w:rsid w:val="00164540"/>
    <w:pPr>
      <w:widowControl w:val="0"/>
      <w:spacing w:after="240" w:line="240" w:lineRule="exact"/>
      <w:ind w:left="720" w:right="720"/>
      <w:jc w:val="both"/>
    </w:pPr>
    <w:rPr>
      <w:rFonts w:ascii="Times New Roman" w:hAnsi="Times New Roman"/>
      <w:szCs w:val="24"/>
    </w:rPr>
  </w:style>
  <w:style w:type="paragraph" w:customStyle="1" w:styleId="PleadingSignature">
    <w:name w:val="Pleading Signature"/>
    <w:basedOn w:val="Normal"/>
    <w:rsid w:val="00164540"/>
    <w:pPr>
      <w:keepNext/>
      <w:keepLines/>
      <w:widowControl w:val="0"/>
      <w:tabs>
        <w:tab w:val="left" w:pos="5040"/>
        <w:tab w:val="right" w:pos="9360"/>
      </w:tabs>
      <w:spacing w:line="240" w:lineRule="exact"/>
      <w:ind w:left="4680"/>
      <w:jc w:val="both"/>
    </w:pPr>
    <w:rPr>
      <w:rFonts w:ascii="Times New Roman" w:hAnsi="Times New Roman"/>
      <w:sz w:val="22"/>
      <w:szCs w:val="24"/>
    </w:rPr>
  </w:style>
  <w:style w:type="paragraph" w:styleId="EnvelopeAddress">
    <w:name w:val="envelope address"/>
    <w:basedOn w:val="Normal"/>
    <w:rsid w:val="00164540"/>
    <w:pPr>
      <w:framePr w:w="5760" w:h="2160" w:hRule="exact" w:wrap="around" w:vAnchor="page" w:hAnchor="page" w:x="6481" w:y="3068"/>
      <w:jc w:val="both"/>
    </w:pPr>
    <w:rPr>
      <w:rFonts w:ascii="Times New Roman" w:hAnsi="Times New Roman"/>
      <w:sz w:val="22"/>
      <w:szCs w:val="24"/>
    </w:rPr>
  </w:style>
  <w:style w:type="paragraph" w:customStyle="1" w:styleId="LetterDate">
    <w:name w:val="Letter Date"/>
    <w:basedOn w:val="Normal"/>
    <w:next w:val="BodyText"/>
    <w:rsid w:val="00164540"/>
    <w:pPr>
      <w:jc w:val="both"/>
    </w:pPr>
    <w:rPr>
      <w:rFonts w:ascii="Times New Roman" w:hAnsi="Times New Roman"/>
      <w:sz w:val="22"/>
      <w:szCs w:val="24"/>
    </w:rPr>
  </w:style>
  <w:style w:type="character" w:customStyle="1" w:styleId="ParagraphNumber">
    <w:name w:val="ParagraphNumber"/>
    <w:basedOn w:val="DefaultParagraphFont"/>
    <w:rsid w:val="00164540"/>
  </w:style>
  <w:style w:type="paragraph" w:customStyle="1" w:styleId="DeliveryPhrase">
    <w:name w:val="Delivery Phrase"/>
    <w:basedOn w:val="Normal"/>
    <w:next w:val="Normal"/>
    <w:rsid w:val="00164540"/>
    <w:pPr>
      <w:spacing w:before="240"/>
      <w:jc w:val="both"/>
    </w:pPr>
    <w:rPr>
      <w:rFonts w:ascii="Times New Roman" w:hAnsi="Times New Roman"/>
      <w:b/>
      <w:caps/>
      <w:sz w:val="22"/>
      <w:szCs w:val="24"/>
    </w:rPr>
  </w:style>
  <w:style w:type="paragraph" w:customStyle="1" w:styleId="SDP">
    <w:name w:val="SDP"/>
    <w:basedOn w:val="Normal"/>
    <w:next w:val="Normal"/>
    <w:rsid w:val="00164540"/>
    <w:pPr>
      <w:spacing w:before="240"/>
      <w:jc w:val="both"/>
    </w:pPr>
    <w:rPr>
      <w:rFonts w:ascii="Times New Roman" w:hAnsi="Times New Roman"/>
      <w:b/>
      <w:caps/>
      <w:sz w:val="22"/>
      <w:szCs w:val="24"/>
    </w:rPr>
  </w:style>
  <w:style w:type="paragraph" w:styleId="Quote">
    <w:name w:val="Quote"/>
    <w:basedOn w:val="Normal"/>
    <w:next w:val="BodyTextContinued"/>
    <w:link w:val="QuoteChar"/>
    <w:qFormat/>
    <w:rsid w:val="00164540"/>
    <w:pPr>
      <w:ind w:left="720" w:right="720"/>
      <w:jc w:val="both"/>
    </w:pPr>
    <w:rPr>
      <w:rFonts w:ascii="Times New Roman" w:hAnsi="Times New Roman"/>
      <w:sz w:val="22"/>
      <w:szCs w:val="24"/>
    </w:rPr>
  </w:style>
  <w:style w:type="character" w:customStyle="1" w:styleId="QuoteChar">
    <w:name w:val="Quote Char"/>
    <w:link w:val="Quote"/>
    <w:rsid w:val="00164540"/>
    <w:rPr>
      <w:sz w:val="22"/>
      <w:szCs w:val="24"/>
      <w:lang w:eastAsia="en-US"/>
    </w:rPr>
  </w:style>
  <w:style w:type="paragraph" w:customStyle="1" w:styleId="Centered">
    <w:name w:val="Centered"/>
    <w:basedOn w:val="Normal"/>
    <w:next w:val="BodyText"/>
    <w:rsid w:val="00164540"/>
    <w:pPr>
      <w:spacing w:after="240" w:line="240" w:lineRule="exact"/>
      <w:jc w:val="center"/>
    </w:pPr>
    <w:rPr>
      <w:rFonts w:ascii="Times New Roman" w:hAnsi="Times New Roman"/>
      <w:sz w:val="22"/>
      <w:szCs w:val="24"/>
    </w:rPr>
  </w:style>
  <w:style w:type="paragraph" w:customStyle="1" w:styleId="HeaderNumbers">
    <w:name w:val="HeaderNumbers"/>
    <w:basedOn w:val="Normal"/>
    <w:rsid w:val="00164540"/>
    <w:pPr>
      <w:spacing w:before="720" w:line="480" w:lineRule="exact"/>
      <w:ind w:right="144"/>
      <w:jc w:val="right"/>
    </w:pPr>
    <w:rPr>
      <w:rFonts w:ascii="Times New Roman" w:hAnsi="Times New Roman"/>
      <w:sz w:val="22"/>
      <w:szCs w:val="24"/>
    </w:rPr>
  </w:style>
  <w:style w:type="paragraph" w:customStyle="1" w:styleId="LeftHeading">
    <w:name w:val="Left Heading"/>
    <w:basedOn w:val="Normal"/>
    <w:next w:val="Normal"/>
    <w:rsid w:val="00164540"/>
    <w:pPr>
      <w:jc w:val="both"/>
    </w:pPr>
    <w:rPr>
      <w:rFonts w:ascii="Times New Roman" w:hAnsi="Times New Roman"/>
      <w:b/>
      <w:sz w:val="22"/>
      <w:szCs w:val="24"/>
    </w:rPr>
  </w:style>
  <w:style w:type="paragraph" w:styleId="PlainText">
    <w:name w:val="Plain Text"/>
    <w:basedOn w:val="Normal"/>
    <w:link w:val="PlainTextChar"/>
    <w:rsid w:val="00164540"/>
    <w:pPr>
      <w:jc w:val="both"/>
    </w:pPr>
    <w:rPr>
      <w:rFonts w:ascii="Courier New" w:hAnsi="Courier New"/>
      <w:szCs w:val="24"/>
    </w:rPr>
  </w:style>
  <w:style w:type="character" w:customStyle="1" w:styleId="PlainTextChar">
    <w:name w:val="Plain Text Char"/>
    <w:link w:val="PlainText"/>
    <w:rsid w:val="00164540"/>
    <w:rPr>
      <w:rFonts w:ascii="Courier New" w:hAnsi="Courier New"/>
      <w:szCs w:val="24"/>
      <w:lang w:eastAsia="en-US"/>
    </w:rPr>
  </w:style>
  <w:style w:type="paragraph" w:customStyle="1" w:styleId="b10">
    <w:name w:val="b10"/>
    <w:aliases w:val="Body Text Indent 10"/>
    <w:basedOn w:val="BodyText"/>
    <w:rsid w:val="00164540"/>
    <w:pPr>
      <w:spacing w:after="240"/>
      <w:ind w:left="1440"/>
    </w:pPr>
    <w:rPr>
      <w:rFonts w:ascii="Times New Roman" w:hAnsi="Times New Roman"/>
      <w:bCs w:val="0"/>
      <w:sz w:val="20"/>
    </w:rPr>
  </w:style>
  <w:style w:type="paragraph" w:customStyle="1" w:styleId="b15">
    <w:name w:val="b15"/>
    <w:aliases w:val="Body Text Indent 15"/>
    <w:basedOn w:val="BodyText"/>
    <w:rsid w:val="00164540"/>
    <w:pPr>
      <w:spacing w:after="240"/>
      <w:ind w:left="2160"/>
    </w:pPr>
    <w:rPr>
      <w:rFonts w:ascii="Times New Roman" w:hAnsi="Times New Roman"/>
      <w:bCs w:val="0"/>
      <w:sz w:val="20"/>
    </w:rPr>
  </w:style>
  <w:style w:type="paragraph" w:customStyle="1" w:styleId="b20">
    <w:name w:val="b20"/>
    <w:aliases w:val="Body Text Indent 20"/>
    <w:basedOn w:val="BodyText"/>
    <w:rsid w:val="00164540"/>
    <w:pPr>
      <w:spacing w:after="240"/>
      <w:ind w:left="2880"/>
    </w:pPr>
    <w:rPr>
      <w:rFonts w:ascii="Times New Roman" w:hAnsi="Times New Roman"/>
      <w:bCs w:val="0"/>
      <w:sz w:val="20"/>
    </w:rPr>
  </w:style>
  <w:style w:type="paragraph" w:customStyle="1" w:styleId="b5">
    <w:name w:val="b5"/>
    <w:aliases w:val="Body Text Indent 5"/>
    <w:basedOn w:val="BodyText"/>
    <w:rsid w:val="00164540"/>
    <w:pPr>
      <w:spacing w:after="240"/>
      <w:ind w:left="720"/>
    </w:pPr>
    <w:rPr>
      <w:rFonts w:ascii="Times New Roman" w:hAnsi="Times New Roman"/>
      <w:bCs w:val="0"/>
      <w:sz w:val="20"/>
    </w:rPr>
  </w:style>
  <w:style w:type="paragraph" w:styleId="BlockText">
    <w:name w:val="Block Text"/>
    <w:basedOn w:val="Normal"/>
    <w:rsid w:val="00164540"/>
    <w:pPr>
      <w:spacing w:after="120"/>
      <w:ind w:left="1440" w:right="1440"/>
      <w:jc w:val="both"/>
    </w:pPr>
    <w:rPr>
      <w:rFonts w:ascii="Times New Roman" w:hAnsi="Times New Roman"/>
      <w:sz w:val="22"/>
      <w:szCs w:val="24"/>
    </w:rPr>
  </w:style>
  <w:style w:type="paragraph" w:styleId="BodyTextFirstIndent2">
    <w:name w:val="Body Text First Indent 2"/>
    <w:basedOn w:val="BodyTextIndent"/>
    <w:link w:val="BodyTextFirstIndent2Char"/>
    <w:rsid w:val="00164540"/>
    <w:pPr>
      <w:ind w:firstLine="210"/>
      <w:jc w:val="both"/>
    </w:pPr>
  </w:style>
  <w:style w:type="character" w:customStyle="1" w:styleId="BodyTextFirstIndent2Char">
    <w:name w:val="Body Text First Indent 2 Char"/>
    <w:link w:val="BodyTextFirstIndent2"/>
    <w:rsid w:val="00164540"/>
    <w:rPr>
      <w:rFonts w:ascii="Arial" w:hAnsi="Arial"/>
      <w:lang w:val="en-US" w:eastAsia="en-US"/>
    </w:rPr>
  </w:style>
  <w:style w:type="paragraph" w:styleId="BodyTextIndent2">
    <w:name w:val="Body Text Indent 2"/>
    <w:basedOn w:val="Normal"/>
    <w:link w:val="BodyTextIndent2Char"/>
    <w:rsid w:val="00164540"/>
    <w:pPr>
      <w:spacing w:after="120" w:line="480" w:lineRule="auto"/>
      <w:ind w:left="360"/>
      <w:jc w:val="both"/>
    </w:pPr>
    <w:rPr>
      <w:rFonts w:ascii="Times New Roman" w:hAnsi="Times New Roman"/>
      <w:sz w:val="22"/>
      <w:szCs w:val="24"/>
    </w:rPr>
  </w:style>
  <w:style w:type="character" w:customStyle="1" w:styleId="BodyTextIndent2Char">
    <w:name w:val="Body Text Indent 2 Char"/>
    <w:link w:val="BodyTextIndent2"/>
    <w:rsid w:val="00164540"/>
    <w:rPr>
      <w:sz w:val="22"/>
      <w:szCs w:val="24"/>
      <w:lang w:eastAsia="en-US"/>
    </w:rPr>
  </w:style>
  <w:style w:type="paragraph" w:customStyle="1" w:styleId="bt10">
    <w:name w:val="bt10"/>
    <w:aliases w:val="bullet list 10"/>
    <w:basedOn w:val="Normal"/>
    <w:rsid w:val="00164540"/>
    <w:pPr>
      <w:tabs>
        <w:tab w:val="left" w:pos="2160"/>
      </w:tabs>
      <w:spacing w:after="240"/>
      <w:ind w:left="2160" w:hanging="720"/>
      <w:jc w:val="both"/>
    </w:pPr>
    <w:rPr>
      <w:rFonts w:ascii="Times New Roman" w:hAnsi="Times New Roman"/>
      <w:sz w:val="22"/>
      <w:szCs w:val="24"/>
    </w:rPr>
  </w:style>
  <w:style w:type="paragraph" w:customStyle="1" w:styleId="bt5">
    <w:name w:val="bt5"/>
    <w:aliases w:val="bullet list 5"/>
    <w:basedOn w:val="Normal"/>
    <w:rsid w:val="00164540"/>
    <w:pPr>
      <w:tabs>
        <w:tab w:val="num" w:pos="1440"/>
      </w:tabs>
      <w:spacing w:after="240"/>
      <w:ind w:left="1440" w:hanging="720"/>
      <w:jc w:val="both"/>
    </w:pPr>
    <w:rPr>
      <w:rFonts w:ascii="Times New Roman" w:hAnsi="Times New Roman"/>
      <w:sz w:val="22"/>
      <w:szCs w:val="24"/>
    </w:rPr>
  </w:style>
  <w:style w:type="paragraph" w:styleId="Caption">
    <w:name w:val="caption"/>
    <w:basedOn w:val="Normal"/>
    <w:next w:val="Normal"/>
    <w:qFormat/>
    <w:rsid w:val="00164540"/>
    <w:pPr>
      <w:spacing w:before="120" w:after="120"/>
      <w:jc w:val="both"/>
    </w:pPr>
    <w:rPr>
      <w:rFonts w:ascii="Times New Roman" w:hAnsi="Times New Roman"/>
      <w:b/>
      <w:bCs/>
      <w:szCs w:val="24"/>
    </w:rPr>
  </w:style>
  <w:style w:type="paragraph" w:customStyle="1" w:styleId="cite">
    <w:name w:val="cite"/>
    <w:aliases w:val="Cite"/>
    <w:basedOn w:val="Normal"/>
    <w:rsid w:val="00164540"/>
    <w:pPr>
      <w:keepLines/>
      <w:spacing w:after="240"/>
      <w:ind w:left="1440" w:right="1440"/>
      <w:jc w:val="both"/>
    </w:pPr>
    <w:rPr>
      <w:rFonts w:ascii="Times New Roman" w:hAnsi="Times New Roman"/>
      <w:sz w:val="22"/>
      <w:szCs w:val="24"/>
    </w:rPr>
  </w:style>
  <w:style w:type="paragraph" w:styleId="Closing">
    <w:name w:val="Closing"/>
    <w:basedOn w:val="Normal"/>
    <w:link w:val="ClosingChar"/>
    <w:rsid w:val="00164540"/>
    <w:pPr>
      <w:ind w:left="4320"/>
      <w:jc w:val="both"/>
    </w:pPr>
    <w:rPr>
      <w:rFonts w:ascii="Times New Roman" w:hAnsi="Times New Roman"/>
      <w:sz w:val="22"/>
      <w:szCs w:val="24"/>
    </w:rPr>
  </w:style>
  <w:style w:type="character" w:customStyle="1" w:styleId="ClosingChar">
    <w:name w:val="Closing Char"/>
    <w:link w:val="Closing"/>
    <w:rsid w:val="00164540"/>
    <w:rPr>
      <w:sz w:val="22"/>
      <w:szCs w:val="24"/>
      <w:lang w:eastAsia="en-US"/>
    </w:rPr>
  </w:style>
  <w:style w:type="paragraph" w:styleId="Date">
    <w:name w:val="Date"/>
    <w:basedOn w:val="Normal"/>
    <w:next w:val="Normal"/>
    <w:link w:val="DateChar"/>
    <w:rsid w:val="00164540"/>
    <w:pPr>
      <w:jc w:val="both"/>
    </w:pPr>
    <w:rPr>
      <w:rFonts w:ascii="Times New Roman" w:hAnsi="Times New Roman"/>
      <w:sz w:val="22"/>
      <w:szCs w:val="24"/>
    </w:rPr>
  </w:style>
  <w:style w:type="character" w:customStyle="1" w:styleId="DateChar">
    <w:name w:val="Date Char"/>
    <w:link w:val="Date"/>
    <w:rsid w:val="00164540"/>
    <w:rPr>
      <w:sz w:val="22"/>
      <w:szCs w:val="24"/>
      <w:lang w:eastAsia="en-US"/>
    </w:rPr>
  </w:style>
  <w:style w:type="paragraph" w:styleId="E-mailSignature">
    <w:name w:val="E-mail Signature"/>
    <w:basedOn w:val="Normal"/>
    <w:link w:val="E-mailSignatureChar"/>
    <w:rsid w:val="00164540"/>
    <w:pPr>
      <w:jc w:val="both"/>
    </w:pPr>
    <w:rPr>
      <w:rFonts w:ascii="Times New Roman" w:hAnsi="Times New Roman"/>
      <w:sz w:val="22"/>
      <w:szCs w:val="24"/>
    </w:rPr>
  </w:style>
  <w:style w:type="character" w:customStyle="1" w:styleId="E-mailSignatureChar">
    <w:name w:val="E-mail Signature Char"/>
    <w:link w:val="E-mailSignature"/>
    <w:rsid w:val="00164540"/>
    <w:rPr>
      <w:sz w:val="22"/>
      <w:szCs w:val="24"/>
      <w:lang w:eastAsia="en-US"/>
    </w:rPr>
  </w:style>
  <w:style w:type="character" w:styleId="Emphasis">
    <w:name w:val="Emphasis"/>
    <w:uiPriority w:val="20"/>
    <w:qFormat/>
    <w:rsid w:val="00164540"/>
    <w:rPr>
      <w:i/>
      <w:iCs/>
    </w:rPr>
  </w:style>
  <w:style w:type="character" w:customStyle="1" w:styleId="EndnoteTextChar">
    <w:name w:val="Endnote Text Char"/>
    <w:link w:val="EndnoteText"/>
    <w:semiHidden/>
    <w:rsid w:val="00164540"/>
    <w:rPr>
      <w:szCs w:val="24"/>
      <w:lang w:eastAsia="en-US"/>
    </w:rPr>
  </w:style>
  <w:style w:type="paragraph" w:styleId="EndnoteText">
    <w:name w:val="endnote text"/>
    <w:basedOn w:val="Normal"/>
    <w:link w:val="EndnoteTextChar"/>
    <w:semiHidden/>
    <w:rsid w:val="00164540"/>
    <w:pPr>
      <w:jc w:val="both"/>
    </w:pPr>
    <w:rPr>
      <w:rFonts w:ascii="Times New Roman" w:hAnsi="Times New Roman"/>
      <w:szCs w:val="24"/>
    </w:rPr>
  </w:style>
  <w:style w:type="paragraph" w:styleId="EnvelopeReturn">
    <w:name w:val="envelope return"/>
    <w:basedOn w:val="Normal"/>
    <w:rsid w:val="00164540"/>
    <w:pPr>
      <w:jc w:val="both"/>
    </w:pPr>
    <w:rPr>
      <w:rFonts w:cs="Arial"/>
      <w:szCs w:val="24"/>
    </w:rPr>
  </w:style>
  <w:style w:type="character" w:styleId="HTMLAcronym">
    <w:name w:val="HTML Acronym"/>
    <w:basedOn w:val="DefaultParagraphFont"/>
    <w:rsid w:val="00164540"/>
  </w:style>
  <w:style w:type="paragraph" w:styleId="HTMLAddress">
    <w:name w:val="HTML Address"/>
    <w:basedOn w:val="Normal"/>
    <w:link w:val="HTMLAddressChar"/>
    <w:rsid w:val="00164540"/>
    <w:pPr>
      <w:jc w:val="both"/>
    </w:pPr>
    <w:rPr>
      <w:rFonts w:ascii="Times New Roman" w:hAnsi="Times New Roman"/>
      <w:i/>
      <w:iCs/>
      <w:sz w:val="22"/>
      <w:szCs w:val="24"/>
    </w:rPr>
  </w:style>
  <w:style w:type="character" w:customStyle="1" w:styleId="HTMLAddressChar">
    <w:name w:val="HTML Address Char"/>
    <w:link w:val="HTMLAddress"/>
    <w:rsid w:val="00164540"/>
    <w:rPr>
      <w:i/>
      <w:iCs/>
      <w:sz w:val="22"/>
      <w:szCs w:val="24"/>
      <w:lang w:eastAsia="en-US"/>
    </w:rPr>
  </w:style>
  <w:style w:type="character" w:styleId="HTMLCite">
    <w:name w:val="HTML Cite"/>
    <w:rsid w:val="00164540"/>
    <w:rPr>
      <w:i/>
      <w:iCs/>
    </w:rPr>
  </w:style>
  <w:style w:type="character" w:styleId="HTMLCode">
    <w:name w:val="HTML Code"/>
    <w:rsid w:val="00164540"/>
    <w:rPr>
      <w:rFonts w:ascii="Courier New" w:hAnsi="Courier New"/>
      <w:sz w:val="20"/>
      <w:szCs w:val="20"/>
    </w:rPr>
  </w:style>
  <w:style w:type="character" w:styleId="HTMLDefinition">
    <w:name w:val="HTML Definition"/>
    <w:rsid w:val="00164540"/>
    <w:rPr>
      <w:i/>
      <w:iCs/>
    </w:rPr>
  </w:style>
  <w:style w:type="character" w:styleId="HTMLKeyboard">
    <w:name w:val="HTML Keyboard"/>
    <w:rsid w:val="00164540"/>
    <w:rPr>
      <w:rFonts w:ascii="Courier New" w:hAnsi="Courier New"/>
      <w:sz w:val="20"/>
      <w:szCs w:val="20"/>
    </w:rPr>
  </w:style>
  <w:style w:type="paragraph" w:styleId="HTMLPreformatted">
    <w:name w:val="HTML Preformatted"/>
    <w:basedOn w:val="Normal"/>
    <w:link w:val="HTMLPreformattedChar"/>
    <w:uiPriority w:val="99"/>
    <w:rsid w:val="00164540"/>
    <w:pPr>
      <w:jc w:val="both"/>
    </w:pPr>
    <w:rPr>
      <w:rFonts w:ascii="Courier New" w:hAnsi="Courier New"/>
      <w:szCs w:val="24"/>
    </w:rPr>
  </w:style>
  <w:style w:type="character" w:customStyle="1" w:styleId="HTMLPreformattedChar">
    <w:name w:val="HTML Preformatted Char"/>
    <w:link w:val="HTMLPreformatted"/>
    <w:uiPriority w:val="99"/>
    <w:rsid w:val="00164540"/>
    <w:rPr>
      <w:rFonts w:ascii="Courier New" w:hAnsi="Courier New" w:cs="Courier New"/>
      <w:szCs w:val="24"/>
      <w:lang w:eastAsia="en-US"/>
    </w:rPr>
  </w:style>
  <w:style w:type="character" w:styleId="HTMLSample">
    <w:name w:val="HTML Sample"/>
    <w:rsid w:val="00164540"/>
    <w:rPr>
      <w:rFonts w:ascii="Courier New" w:hAnsi="Courier New"/>
    </w:rPr>
  </w:style>
  <w:style w:type="character" w:styleId="HTMLTypewriter">
    <w:name w:val="HTML Typewriter"/>
    <w:rsid w:val="00164540"/>
    <w:rPr>
      <w:rFonts w:ascii="Courier New" w:hAnsi="Courier New"/>
      <w:sz w:val="20"/>
      <w:szCs w:val="20"/>
    </w:rPr>
  </w:style>
  <w:style w:type="character" w:styleId="HTMLVariable">
    <w:name w:val="HTML Variable"/>
    <w:rsid w:val="00164540"/>
    <w:rPr>
      <w:i/>
      <w:iCs/>
    </w:rPr>
  </w:style>
  <w:style w:type="character" w:styleId="LineNumber">
    <w:name w:val="line number"/>
    <w:basedOn w:val="DefaultParagraphFont"/>
    <w:rsid w:val="00164540"/>
  </w:style>
  <w:style w:type="paragraph" w:styleId="List">
    <w:name w:val="List"/>
    <w:basedOn w:val="Normal"/>
    <w:rsid w:val="00164540"/>
    <w:pPr>
      <w:ind w:left="360" w:hanging="360"/>
      <w:jc w:val="both"/>
    </w:pPr>
    <w:rPr>
      <w:rFonts w:ascii="Times New Roman" w:hAnsi="Times New Roman"/>
      <w:sz w:val="22"/>
      <w:szCs w:val="24"/>
    </w:rPr>
  </w:style>
  <w:style w:type="paragraph" w:styleId="List2">
    <w:name w:val="List 2"/>
    <w:basedOn w:val="Normal"/>
    <w:rsid w:val="00164540"/>
    <w:pPr>
      <w:ind w:left="720" w:hanging="360"/>
      <w:jc w:val="both"/>
    </w:pPr>
    <w:rPr>
      <w:rFonts w:ascii="Times New Roman" w:hAnsi="Times New Roman"/>
      <w:sz w:val="22"/>
      <w:szCs w:val="24"/>
    </w:rPr>
  </w:style>
  <w:style w:type="paragraph" w:styleId="List3">
    <w:name w:val="List 3"/>
    <w:basedOn w:val="Normal"/>
    <w:rsid w:val="00164540"/>
    <w:pPr>
      <w:ind w:left="1080" w:hanging="360"/>
      <w:jc w:val="both"/>
    </w:pPr>
    <w:rPr>
      <w:rFonts w:ascii="Times New Roman" w:hAnsi="Times New Roman"/>
      <w:sz w:val="22"/>
      <w:szCs w:val="24"/>
    </w:rPr>
  </w:style>
  <w:style w:type="paragraph" w:styleId="List4">
    <w:name w:val="List 4"/>
    <w:basedOn w:val="Normal"/>
    <w:rsid w:val="00164540"/>
    <w:pPr>
      <w:ind w:left="1440" w:hanging="360"/>
      <w:jc w:val="both"/>
    </w:pPr>
    <w:rPr>
      <w:rFonts w:ascii="Times New Roman" w:hAnsi="Times New Roman"/>
      <w:sz w:val="22"/>
      <w:szCs w:val="24"/>
    </w:rPr>
  </w:style>
  <w:style w:type="paragraph" w:styleId="List5">
    <w:name w:val="List 5"/>
    <w:basedOn w:val="Normal"/>
    <w:rsid w:val="00164540"/>
    <w:pPr>
      <w:ind w:left="1800" w:hanging="360"/>
      <w:jc w:val="both"/>
    </w:pPr>
    <w:rPr>
      <w:rFonts w:ascii="Times New Roman" w:hAnsi="Times New Roman"/>
      <w:sz w:val="22"/>
      <w:szCs w:val="24"/>
    </w:rPr>
  </w:style>
  <w:style w:type="paragraph" w:styleId="ListBullet">
    <w:name w:val="List Bullet"/>
    <w:basedOn w:val="Normal"/>
    <w:autoRedefine/>
    <w:rsid w:val="00164540"/>
    <w:pPr>
      <w:tabs>
        <w:tab w:val="num" w:pos="1276"/>
      </w:tabs>
      <w:ind w:left="1276" w:hanging="425"/>
      <w:jc w:val="both"/>
    </w:pPr>
    <w:rPr>
      <w:rFonts w:ascii="Times New Roman" w:hAnsi="Times New Roman"/>
      <w:sz w:val="22"/>
      <w:szCs w:val="24"/>
    </w:rPr>
  </w:style>
  <w:style w:type="paragraph" w:styleId="ListBullet2">
    <w:name w:val="List Bullet 2"/>
    <w:basedOn w:val="Normal"/>
    <w:autoRedefine/>
    <w:rsid w:val="00164540"/>
    <w:pPr>
      <w:tabs>
        <w:tab w:val="num" w:pos="720"/>
      </w:tabs>
      <w:ind w:left="720" w:hanging="360"/>
      <w:jc w:val="both"/>
    </w:pPr>
    <w:rPr>
      <w:rFonts w:ascii="Times New Roman" w:hAnsi="Times New Roman"/>
      <w:sz w:val="22"/>
      <w:szCs w:val="24"/>
    </w:rPr>
  </w:style>
  <w:style w:type="paragraph" w:styleId="ListBullet3">
    <w:name w:val="List Bullet 3"/>
    <w:basedOn w:val="Normal"/>
    <w:autoRedefine/>
    <w:rsid w:val="00164540"/>
    <w:pPr>
      <w:tabs>
        <w:tab w:val="num" w:pos="720"/>
      </w:tabs>
      <w:ind w:left="720" w:hanging="360"/>
      <w:jc w:val="both"/>
    </w:pPr>
    <w:rPr>
      <w:rFonts w:ascii="Times New Roman" w:hAnsi="Times New Roman"/>
      <w:sz w:val="22"/>
      <w:szCs w:val="24"/>
    </w:rPr>
  </w:style>
  <w:style w:type="paragraph" w:styleId="ListBullet4">
    <w:name w:val="List Bullet 4"/>
    <w:basedOn w:val="Normal"/>
    <w:autoRedefine/>
    <w:rsid w:val="00164540"/>
    <w:pPr>
      <w:ind w:left="360" w:hanging="360"/>
      <w:jc w:val="both"/>
    </w:pPr>
    <w:rPr>
      <w:rFonts w:ascii="Times New Roman" w:hAnsi="Times New Roman"/>
      <w:sz w:val="22"/>
      <w:szCs w:val="24"/>
    </w:rPr>
  </w:style>
  <w:style w:type="paragraph" w:styleId="ListBullet5">
    <w:name w:val="List Bullet 5"/>
    <w:basedOn w:val="Normal"/>
    <w:autoRedefine/>
    <w:rsid w:val="00164540"/>
    <w:pPr>
      <w:tabs>
        <w:tab w:val="num" w:pos="720"/>
      </w:tabs>
      <w:ind w:left="720" w:hanging="360"/>
      <w:jc w:val="both"/>
    </w:pPr>
    <w:rPr>
      <w:rFonts w:ascii="Times New Roman" w:hAnsi="Times New Roman"/>
      <w:sz w:val="22"/>
      <w:szCs w:val="24"/>
    </w:rPr>
  </w:style>
  <w:style w:type="paragraph" w:styleId="ListContinue">
    <w:name w:val="List Continue"/>
    <w:basedOn w:val="Normal"/>
    <w:rsid w:val="00164540"/>
    <w:pPr>
      <w:spacing w:after="120"/>
      <w:ind w:left="360"/>
      <w:jc w:val="both"/>
    </w:pPr>
    <w:rPr>
      <w:rFonts w:ascii="Times New Roman" w:hAnsi="Times New Roman"/>
      <w:sz w:val="22"/>
      <w:szCs w:val="24"/>
    </w:rPr>
  </w:style>
  <w:style w:type="paragraph" w:styleId="ListContinue2">
    <w:name w:val="List Continue 2"/>
    <w:basedOn w:val="Normal"/>
    <w:rsid w:val="00164540"/>
    <w:pPr>
      <w:spacing w:after="120"/>
      <w:ind w:left="720"/>
      <w:jc w:val="both"/>
    </w:pPr>
    <w:rPr>
      <w:rFonts w:ascii="Times New Roman" w:hAnsi="Times New Roman"/>
      <w:sz w:val="22"/>
      <w:szCs w:val="24"/>
    </w:rPr>
  </w:style>
  <w:style w:type="paragraph" w:styleId="ListContinue3">
    <w:name w:val="List Continue 3"/>
    <w:basedOn w:val="Normal"/>
    <w:rsid w:val="00164540"/>
    <w:pPr>
      <w:spacing w:after="120"/>
      <w:ind w:left="1080"/>
      <w:jc w:val="both"/>
    </w:pPr>
    <w:rPr>
      <w:rFonts w:ascii="Times New Roman" w:hAnsi="Times New Roman"/>
      <w:sz w:val="22"/>
      <w:szCs w:val="24"/>
    </w:rPr>
  </w:style>
  <w:style w:type="paragraph" w:styleId="ListContinue4">
    <w:name w:val="List Continue 4"/>
    <w:basedOn w:val="Normal"/>
    <w:rsid w:val="00164540"/>
    <w:pPr>
      <w:spacing w:after="120"/>
      <w:ind w:left="1440"/>
      <w:jc w:val="both"/>
    </w:pPr>
    <w:rPr>
      <w:rFonts w:ascii="Times New Roman" w:hAnsi="Times New Roman"/>
      <w:sz w:val="22"/>
      <w:szCs w:val="24"/>
    </w:rPr>
  </w:style>
  <w:style w:type="paragraph" w:styleId="ListContinue5">
    <w:name w:val="List Continue 5"/>
    <w:basedOn w:val="Normal"/>
    <w:rsid w:val="00164540"/>
    <w:pPr>
      <w:spacing w:after="120"/>
      <w:ind w:left="1800"/>
      <w:jc w:val="both"/>
    </w:pPr>
    <w:rPr>
      <w:rFonts w:ascii="Times New Roman" w:hAnsi="Times New Roman"/>
      <w:sz w:val="22"/>
      <w:szCs w:val="24"/>
    </w:rPr>
  </w:style>
  <w:style w:type="paragraph" w:styleId="ListNumber">
    <w:name w:val="List Number"/>
    <w:basedOn w:val="Normal"/>
    <w:rsid w:val="00164540"/>
    <w:pPr>
      <w:tabs>
        <w:tab w:val="num" w:pos="720"/>
      </w:tabs>
      <w:ind w:left="720" w:hanging="360"/>
      <w:jc w:val="both"/>
    </w:pPr>
    <w:rPr>
      <w:rFonts w:ascii="Times New Roman" w:hAnsi="Times New Roman"/>
      <w:sz w:val="22"/>
      <w:szCs w:val="24"/>
    </w:rPr>
  </w:style>
  <w:style w:type="paragraph" w:styleId="ListNumber2">
    <w:name w:val="List Number 2"/>
    <w:basedOn w:val="Normal"/>
    <w:rsid w:val="00164540"/>
    <w:pPr>
      <w:tabs>
        <w:tab w:val="num" w:pos="720"/>
      </w:tabs>
      <w:ind w:left="720" w:hanging="360"/>
      <w:jc w:val="both"/>
    </w:pPr>
    <w:rPr>
      <w:rFonts w:ascii="Times New Roman" w:hAnsi="Times New Roman"/>
      <w:sz w:val="22"/>
      <w:szCs w:val="24"/>
    </w:rPr>
  </w:style>
  <w:style w:type="paragraph" w:styleId="ListNumber3">
    <w:name w:val="List Number 3"/>
    <w:basedOn w:val="Normal"/>
    <w:rsid w:val="00164540"/>
    <w:pPr>
      <w:tabs>
        <w:tab w:val="num" w:pos="720"/>
      </w:tabs>
      <w:ind w:left="720" w:hanging="360"/>
      <w:jc w:val="both"/>
    </w:pPr>
    <w:rPr>
      <w:rFonts w:ascii="Times New Roman" w:hAnsi="Times New Roman"/>
      <w:sz w:val="22"/>
      <w:szCs w:val="24"/>
    </w:rPr>
  </w:style>
  <w:style w:type="paragraph" w:styleId="ListNumber4">
    <w:name w:val="List Number 4"/>
    <w:basedOn w:val="Normal"/>
    <w:rsid w:val="00164540"/>
    <w:pPr>
      <w:tabs>
        <w:tab w:val="num" w:pos="720"/>
      </w:tabs>
      <w:ind w:left="720" w:hanging="360"/>
      <w:jc w:val="both"/>
    </w:pPr>
    <w:rPr>
      <w:rFonts w:ascii="Times New Roman" w:hAnsi="Times New Roman"/>
      <w:sz w:val="22"/>
      <w:szCs w:val="24"/>
    </w:rPr>
  </w:style>
  <w:style w:type="paragraph" w:styleId="ListNumber5">
    <w:name w:val="List Number 5"/>
    <w:basedOn w:val="Normal"/>
    <w:rsid w:val="00164540"/>
    <w:pPr>
      <w:tabs>
        <w:tab w:val="num" w:pos="360"/>
      </w:tabs>
      <w:ind w:left="360" w:hanging="360"/>
      <w:jc w:val="both"/>
    </w:pPr>
    <w:rPr>
      <w:rFonts w:ascii="Times New Roman" w:hAnsi="Times New Roman"/>
      <w:sz w:val="22"/>
      <w:szCs w:val="24"/>
    </w:rPr>
  </w:style>
  <w:style w:type="paragraph" w:styleId="MessageHeader">
    <w:name w:val="Message Header"/>
    <w:basedOn w:val="Normal"/>
    <w:link w:val="MessageHeaderChar"/>
    <w:rsid w:val="00164540"/>
    <w:pPr>
      <w:pBdr>
        <w:top w:val="single" w:sz="6" w:space="1" w:color="auto"/>
        <w:left w:val="single" w:sz="6" w:space="1" w:color="auto"/>
        <w:bottom w:val="single" w:sz="6" w:space="1" w:color="auto"/>
        <w:right w:val="single" w:sz="6" w:space="1" w:color="auto"/>
      </w:pBdr>
      <w:shd w:val="pct20" w:color="auto" w:fill="auto"/>
      <w:ind w:left="1080" w:hanging="1080"/>
      <w:jc w:val="both"/>
    </w:pPr>
    <w:rPr>
      <w:sz w:val="22"/>
      <w:szCs w:val="24"/>
    </w:rPr>
  </w:style>
  <w:style w:type="character" w:customStyle="1" w:styleId="MessageHeaderChar">
    <w:name w:val="Message Header Char"/>
    <w:link w:val="MessageHeader"/>
    <w:rsid w:val="00164540"/>
    <w:rPr>
      <w:rFonts w:ascii="Arial" w:hAnsi="Arial" w:cs="Arial"/>
      <w:sz w:val="22"/>
      <w:szCs w:val="24"/>
      <w:shd w:val="pct20" w:color="auto" w:fill="auto"/>
      <w:lang w:eastAsia="en-US"/>
    </w:rPr>
  </w:style>
  <w:style w:type="paragraph" w:customStyle="1" w:styleId="n">
    <w:name w:val="n"/>
    <w:aliases w:val="note number"/>
    <w:basedOn w:val="Normal"/>
    <w:rsid w:val="00164540"/>
    <w:pPr>
      <w:tabs>
        <w:tab w:val="num" w:pos="900"/>
      </w:tabs>
      <w:spacing w:after="60"/>
      <w:ind w:left="900" w:hanging="720"/>
      <w:jc w:val="both"/>
    </w:pPr>
    <w:rPr>
      <w:rFonts w:ascii="Times New Roman" w:hAnsi="Times New Roman"/>
      <w:sz w:val="16"/>
      <w:szCs w:val="24"/>
    </w:rPr>
  </w:style>
  <w:style w:type="paragraph" w:customStyle="1" w:styleId="n10">
    <w:name w:val="n10"/>
    <w:aliases w:val="Note 10"/>
    <w:basedOn w:val="Normal"/>
    <w:rsid w:val="00164540"/>
    <w:pPr>
      <w:spacing w:after="240"/>
      <w:ind w:left="2160" w:hanging="720"/>
      <w:jc w:val="both"/>
    </w:pPr>
    <w:rPr>
      <w:rFonts w:ascii="Times New Roman" w:hAnsi="Times New Roman"/>
      <w:sz w:val="22"/>
      <w:szCs w:val="24"/>
    </w:rPr>
  </w:style>
  <w:style w:type="paragraph" w:customStyle="1" w:styleId="n15">
    <w:name w:val="n15"/>
    <w:aliases w:val="Note 15"/>
    <w:basedOn w:val="Normal"/>
    <w:rsid w:val="00164540"/>
    <w:pPr>
      <w:spacing w:after="240"/>
      <w:ind w:left="2880" w:hanging="720"/>
      <w:jc w:val="both"/>
    </w:pPr>
    <w:rPr>
      <w:rFonts w:ascii="Times New Roman" w:hAnsi="Times New Roman"/>
      <w:sz w:val="22"/>
      <w:szCs w:val="24"/>
    </w:rPr>
  </w:style>
  <w:style w:type="paragraph" w:customStyle="1" w:styleId="n5">
    <w:name w:val="n5"/>
    <w:aliases w:val="Note 5"/>
    <w:basedOn w:val="Normal"/>
    <w:rsid w:val="00164540"/>
    <w:pPr>
      <w:spacing w:after="240"/>
      <w:ind w:left="1440" w:hanging="720"/>
      <w:jc w:val="both"/>
    </w:pPr>
    <w:rPr>
      <w:rFonts w:ascii="Times New Roman" w:hAnsi="Times New Roman"/>
      <w:sz w:val="22"/>
      <w:szCs w:val="24"/>
    </w:rPr>
  </w:style>
  <w:style w:type="paragraph" w:styleId="NoteHeading">
    <w:name w:val="Note Heading"/>
    <w:aliases w:val="nh"/>
    <w:basedOn w:val="Normal"/>
    <w:next w:val="n"/>
    <w:link w:val="NoteHeadingChar"/>
    <w:rsid w:val="00164540"/>
    <w:pPr>
      <w:keepNext/>
      <w:spacing w:before="120" w:after="120"/>
      <w:jc w:val="both"/>
    </w:pPr>
    <w:rPr>
      <w:rFonts w:ascii="Times New Roman Bold" w:hAnsi="Times New Roman Bold"/>
      <w:b/>
      <w:sz w:val="18"/>
      <w:szCs w:val="24"/>
    </w:rPr>
  </w:style>
  <w:style w:type="character" w:customStyle="1" w:styleId="NoteHeadingChar">
    <w:name w:val="Note Heading Char"/>
    <w:aliases w:val="nh Char"/>
    <w:link w:val="NoteHeading"/>
    <w:rsid w:val="00164540"/>
    <w:rPr>
      <w:rFonts w:ascii="Times New Roman Bold" w:hAnsi="Times New Roman Bold"/>
      <w:b/>
      <w:sz w:val="18"/>
      <w:szCs w:val="24"/>
      <w:lang w:eastAsia="en-US"/>
    </w:rPr>
  </w:style>
  <w:style w:type="paragraph" w:customStyle="1" w:styleId="q10">
    <w:name w:val="q10"/>
    <w:aliases w:val="Quote 10"/>
    <w:basedOn w:val="Normal"/>
    <w:rsid w:val="00164540"/>
    <w:pPr>
      <w:spacing w:after="240"/>
      <w:ind w:left="1440" w:right="1440"/>
      <w:jc w:val="both"/>
    </w:pPr>
    <w:rPr>
      <w:rFonts w:ascii="Times New Roman" w:hAnsi="Times New Roman"/>
      <w:sz w:val="22"/>
      <w:szCs w:val="24"/>
    </w:rPr>
  </w:style>
  <w:style w:type="paragraph" w:customStyle="1" w:styleId="q15">
    <w:name w:val="q15"/>
    <w:aliases w:val="Quote 15"/>
    <w:basedOn w:val="Normal"/>
    <w:rsid w:val="00164540"/>
    <w:pPr>
      <w:spacing w:after="240"/>
      <w:ind w:left="2160" w:right="2160"/>
      <w:jc w:val="both"/>
    </w:pPr>
    <w:rPr>
      <w:rFonts w:ascii="Times New Roman" w:hAnsi="Times New Roman"/>
      <w:sz w:val="22"/>
      <w:szCs w:val="24"/>
    </w:rPr>
  </w:style>
  <w:style w:type="paragraph" w:customStyle="1" w:styleId="q5">
    <w:name w:val="q5"/>
    <w:aliases w:val="Quote 5"/>
    <w:basedOn w:val="Normal"/>
    <w:rsid w:val="00164540"/>
    <w:pPr>
      <w:spacing w:after="240"/>
      <w:ind w:left="720" w:right="720"/>
      <w:jc w:val="both"/>
    </w:pPr>
    <w:rPr>
      <w:rFonts w:ascii="Times New Roman" w:hAnsi="Times New Roman"/>
      <w:sz w:val="22"/>
      <w:szCs w:val="24"/>
    </w:rPr>
  </w:style>
  <w:style w:type="paragraph" w:customStyle="1" w:styleId="ref">
    <w:name w:val="ref"/>
    <w:aliases w:val="Reference"/>
    <w:basedOn w:val="Normal"/>
    <w:next w:val="Normal"/>
    <w:rsid w:val="00164540"/>
    <w:pPr>
      <w:keepLines/>
      <w:spacing w:after="240"/>
      <w:ind w:left="5040"/>
      <w:jc w:val="both"/>
    </w:pPr>
    <w:rPr>
      <w:rFonts w:ascii="Times New Roman" w:hAnsi="Times New Roman"/>
      <w:szCs w:val="24"/>
    </w:rPr>
  </w:style>
  <w:style w:type="paragraph" w:styleId="Salutation">
    <w:name w:val="Salutation"/>
    <w:basedOn w:val="Normal"/>
    <w:next w:val="Normal"/>
    <w:link w:val="SalutationChar"/>
    <w:rsid w:val="00164540"/>
    <w:pPr>
      <w:jc w:val="both"/>
    </w:pPr>
    <w:rPr>
      <w:rFonts w:ascii="Times New Roman" w:hAnsi="Times New Roman"/>
      <w:sz w:val="22"/>
      <w:szCs w:val="24"/>
    </w:rPr>
  </w:style>
  <w:style w:type="character" w:customStyle="1" w:styleId="SalutationChar">
    <w:name w:val="Salutation Char"/>
    <w:link w:val="Salutation"/>
    <w:rsid w:val="00164540"/>
    <w:rPr>
      <w:sz w:val="22"/>
      <w:szCs w:val="24"/>
      <w:lang w:eastAsia="en-US"/>
    </w:rPr>
  </w:style>
  <w:style w:type="paragraph" w:styleId="Signature">
    <w:name w:val="Signature"/>
    <w:basedOn w:val="Normal"/>
    <w:link w:val="SignatureChar"/>
    <w:rsid w:val="00164540"/>
    <w:pPr>
      <w:ind w:left="4320"/>
      <w:jc w:val="both"/>
    </w:pPr>
    <w:rPr>
      <w:rFonts w:ascii="Times New Roman" w:hAnsi="Times New Roman"/>
      <w:sz w:val="22"/>
      <w:szCs w:val="24"/>
    </w:rPr>
  </w:style>
  <w:style w:type="character" w:customStyle="1" w:styleId="SignatureChar">
    <w:name w:val="Signature Char"/>
    <w:link w:val="Signature"/>
    <w:rsid w:val="00164540"/>
    <w:rPr>
      <w:sz w:val="22"/>
      <w:szCs w:val="24"/>
      <w:lang w:eastAsia="en-US"/>
    </w:rPr>
  </w:style>
  <w:style w:type="character" w:styleId="Strong">
    <w:name w:val="Strong"/>
    <w:uiPriority w:val="22"/>
    <w:qFormat/>
    <w:rsid w:val="00164540"/>
    <w:rPr>
      <w:b/>
      <w:bCs/>
    </w:rPr>
  </w:style>
  <w:style w:type="paragraph" w:styleId="Subtitle">
    <w:name w:val="Subtitle"/>
    <w:basedOn w:val="Normal"/>
    <w:link w:val="SubtitleChar"/>
    <w:qFormat/>
    <w:rsid w:val="00164540"/>
    <w:pPr>
      <w:spacing w:after="60"/>
      <w:jc w:val="center"/>
      <w:outlineLvl w:val="1"/>
    </w:pPr>
    <w:rPr>
      <w:sz w:val="22"/>
      <w:szCs w:val="24"/>
    </w:rPr>
  </w:style>
  <w:style w:type="character" w:customStyle="1" w:styleId="SubtitleChar">
    <w:name w:val="Subtitle Char"/>
    <w:link w:val="Subtitle"/>
    <w:rsid w:val="00164540"/>
    <w:rPr>
      <w:rFonts w:ascii="Arial" w:hAnsi="Arial" w:cs="Arial"/>
      <w:sz w:val="22"/>
      <w:szCs w:val="24"/>
      <w:lang w:eastAsia="en-US"/>
    </w:rPr>
  </w:style>
  <w:style w:type="paragraph" w:styleId="Title">
    <w:name w:val="Title"/>
    <w:aliases w:val="t"/>
    <w:basedOn w:val="Normal"/>
    <w:next w:val="BodyText"/>
    <w:link w:val="TitleChar"/>
    <w:qFormat/>
    <w:rsid w:val="00164540"/>
    <w:pPr>
      <w:spacing w:after="240"/>
      <w:jc w:val="center"/>
    </w:pPr>
    <w:rPr>
      <w:rFonts w:ascii="Times New Roman" w:hAnsi="Times New Roman"/>
      <w:b/>
      <w:bCs/>
      <w:sz w:val="28"/>
      <w:szCs w:val="32"/>
    </w:rPr>
  </w:style>
  <w:style w:type="character" w:customStyle="1" w:styleId="TitleChar">
    <w:name w:val="Title Char"/>
    <w:aliases w:val="t Char"/>
    <w:link w:val="Title"/>
    <w:rsid w:val="00164540"/>
    <w:rPr>
      <w:rFonts w:cs="Arial"/>
      <w:b/>
      <w:bCs/>
      <w:sz w:val="28"/>
      <w:szCs w:val="32"/>
      <w:lang w:eastAsia="en-US"/>
    </w:rPr>
  </w:style>
  <w:style w:type="paragraph" w:customStyle="1" w:styleId="BodyTextTab">
    <w:name w:val="Body Text Tab"/>
    <w:basedOn w:val="BodyText"/>
    <w:rsid w:val="00164540"/>
    <w:pPr>
      <w:spacing w:after="240"/>
      <w:ind w:firstLine="720"/>
    </w:pPr>
    <w:rPr>
      <w:rFonts w:ascii="Times New Roman" w:hAnsi="Times New Roman"/>
      <w:bCs w:val="0"/>
      <w:sz w:val="20"/>
    </w:rPr>
  </w:style>
  <w:style w:type="paragraph" w:customStyle="1" w:styleId="Parties">
    <w:name w:val="Parties"/>
    <w:basedOn w:val="BodyText"/>
    <w:rsid w:val="00164540"/>
    <w:pPr>
      <w:spacing w:after="240"/>
      <w:ind w:left="1440" w:right="1440"/>
    </w:pPr>
    <w:rPr>
      <w:rFonts w:ascii="Times New Roman" w:hAnsi="Times New Roman"/>
      <w:bCs w:val="0"/>
      <w:sz w:val="20"/>
    </w:rPr>
  </w:style>
  <w:style w:type="paragraph" w:customStyle="1" w:styleId="bt15">
    <w:name w:val="bt15"/>
    <w:aliases w:val="bullet list 15"/>
    <w:basedOn w:val="bt10"/>
    <w:rsid w:val="00164540"/>
    <w:pPr>
      <w:tabs>
        <w:tab w:val="clear" w:pos="2160"/>
        <w:tab w:val="left" w:pos="2880"/>
      </w:tabs>
      <w:ind w:left="2880"/>
    </w:pPr>
  </w:style>
  <w:style w:type="paragraph" w:customStyle="1" w:styleId="NumContinue">
    <w:name w:val="Num Continue"/>
    <w:basedOn w:val="BodyText"/>
    <w:rsid w:val="00164540"/>
    <w:pPr>
      <w:spacing w:after="240"/>
      <w:ind w:left="720"/>
    </w:pPr>
    <w:rPr>
      <w:rFonts w:ascii="Times New Roman" w:hAnsi="Times New Roman"/>
      <w:bCs w:val="0"/>
      <w:sz w:val="24"/>
    </w:rPr>
  </w:style>
  <w:style w:type="paragraph" w:customStyle="1" w:styleId="StandardL1">
    <w:name w:val="Standard_L1"/>
    <w:basedOn w:val="Normal"/>
    <w:rsid w:val="00164540"/>
    <w:pPr>
      <w:tabs>
        <w:tab w:val="num" w:pos="720"/>
      </w:tabs>
      <w:spacing w:after="240"/>
      <w:ind w:left="720" w:hanging="720"/>
      <w:jc w:val="both"/>
      <w:outlineLvl w:val="0"/>
    </w:pPr>
    <w:rPr>
      <w:rFonts w:ascii="Times New Roman" w:hAnsi="Times New Roman"/>
      <w:szCs w:val="24"/>
    </w:rPr>
  </w:style>
  <w:style w:type="paragraph" w:customStyle="1" w:styleId="StandardL2">
    <w:name w:val="Standard_L2"/>
    <w:basedOn w:val="StandardL1"/>
    <w:rsid w:val="00164540"/>
    <w:pPr>
      <w:numPr>
        <w:ilvl w:val="1"/>
      </w:numPr>
      <w:tabs>
        <w:tab w:val="num" w:pos="720"/>
      </w:tabs>
      <w:ind w:left="720" w:hanging="720"/>
      <w:outlineLvl w:val="1"/>
    </w:pPr>
  </w:style>
  <w:style w:type="paragraph" w:customStyle="1" w:styleId="StandardL3">
    <w:name w:val="Standard_L3"/>
    <w:basedOn w:val="StandardL2"/>
    <w:rsid w:val="00164540"/>
    <w:pPr>
      <w:numPr>
        <w:ilvl w:val="2"/>
      </w:numPr>
      <w:tabs>
        <w:tab w:val="num" w:pos="720"/>
      </w:tabs>
      <w:ind w:left="720" w:hanging="720"/>
      <w:outlineLvl w:val="2"/>
    </w:pPr>
  </w:style>
  <w:style w:type="paragraph" w:customStyle="1" w:styleId="StandardL4">
    <w:name w:val="Standard_L4"/>
    <w:basedOn w:val="StandardL3"/>
    <w:rsid w:val="00164540"/>
    <w:pPr>
      <w:numPr>
        <w:ilvl w:val="3"/>
      </w:numPr>
      <w:tabs>
        <w:tab w:val="num" w:pos="720"/>
      </w:tabs>
      <w:ind w:left="720" w:hanging="720"/>
      <w:outlineLvl w:val="3"/>
    </w:pPr>
  </w:style>
  <w:style w:type="paragraph" w:customStyle="1" w:styleId="StandardL5">
    <w:name w:val="Standard_L5"/>
    <w:basedOn w:val="StandardL4"/>
    <w:rsid w:val="00164540"/>
    <w:pPr>
      <w:numPr>
        <w:ilvl w:val="4"/>
      </w:numPr>
      <w:tabs>
        <w:tab w:val="num" w:pos="720"/>
      </w:tabs>
      <w:ind w:left="720" w:hanging="720"/>
      <w:outlineLvl w:val="4"/>
    </w:pPr>
  </w:style>
  <w:style w:type="paragraph" w:customStyle="1" w:styleId="StandardL6">
    <w:name w:val="Standard_L6"/>
    <w:basedOn w:val="StandardL5"/>
    <w:rsid w:val="00164540"/>
    <w:pPr>
      <w:numPr>
        <w:ilvl w:val="5"/>
      </w:numPr>
      <w:tabs>
        <w:tab w:val="num" w:pos="720"/>
      </w:tabs>
      <w:ind w:left="720" w:hanging="720"/>
      <w:outlineLvl w:val="5"/>
    </w:pPr>
  </w:style>
  <w:style w:type="paragraph" w:customStyle="1" w:styleId="StandardL7">
    <w:name w:val="Standard_L7"/>
    <w:basedOn w:val="StandardL6"/>
    <w:rsid w:val="00164540"/>
    <w:pPr>
      <w:numPr>
        <w:ilvl w:val="6"/>
      </w:numPr>
      <w:tabs>
        <w:tab w:val="num" w:pos="720"/>
      </w:tabs>
      <w:ind w:left="720" w:hanging="720"/>
      <w:outlineLvl w:val="6"/>
    </w:pPr>
  </w:style>
  <w:style w:type="paragraph" w:customStyle="1" w:styleId="StandardL8">
    <w:name w:val="Standard_L8"/>
    <w:basedOn w:val="StandardL7"/>
    <w:rsid w:val="00164540"/>
    <w:pPr>
      <w:numPr>
        <w:ilvl w:val="7"/>
      </w:numPr>
      <w:tabs>
        <w:tab w:val="num" w:pos="720"/>
      </w:tabs>
      <w:ind w:left="720" w:hanging="720"/>
      <w:outlineLvl w:val="7"/>
    </w:pPr>
  </w:style>
  <w:style w:type="paragraph" w:customStyle="1" w:styleId="StandardL9">
    <w:name w:val="Standard_L9"/>
    <w:basedOn w:val="StandardL8"/>
    <w:rsid w:val="00164540"/>
    <w:pPr>
      <w:numPr>
        <w:ilvl w:val="8"/>
      </w:numPr>
      <w:tabs>
        <w:tab w:val="num" w:pos="720"/>
      </w:tabs>
      <w:ind w:left="720" w:hanging="720"/>
      <w:outlineLvl w:val="8"/>
    </w:pPr>
  </w:style>
  <w:style w:type="character" w:customStyle="1" w:styleId="zzmpTCEntryL1">
    <w:name w:val="zzmpTCEntryL1"/>
    <w:rsid w:val="00164540"/>
    <w:rPr>
      <w:b w:val="0"/>
      <w:caps w:val="0"/>
      <w:color w:val="0000FF"/>
    </w:rPr>
  </w:style>
  <w:style w:type="character" w:customStyle="1" w:styleId="zzmpTCEntryL2">
    <w:name w:val="zzmpTCEntryL2"/>
    <w:rsid w:val="00164540"/>
    <w:rPr>
      <w:b w:val="0"/>
      <w:color w:val="0000FF"/>
    </w:rPr>
  </w:style>
  <w:style w:type="character" w:customStyle="1" w:styleId="zzmpTCEntryL3">
    <w:name w:val="zzmpTCEntryL3"/>
    <w:rsid w:val="00164540"/>
    <w:rPr>
      <w:b w:val="0"/>
      <w:color w:val="0000FF"/>
    </w:rPr>
  </w:style>
  <w:style w:type="character" w:customStyle="1" w:styleId="zzmpTCEntryL4">
    <w:name w:val="zzmpTCEntryL4"/>
    <w:rsid w:val="00164540"/>
    <w:rPr>
      <w:b w:val="0"/>
      <w:color w:val="0000FF"/>
    </w:rPr>
  </w:style>
  <w:style w:type="character" w:customStyle="1" w:styleId="zzmpTCEntryL5">
    <w:name w:val="zzmpTCEntryL5"/>
    <w:rsid w:val="00164540"/>
    <w:rPr>
      <w:color w:val="0000FF"/>
    </w:rPr>
  </w:style>
  <w:style w:type="character" w:customStyle="1" w:styleId="zzmpTCEntryL6">
    <w:name w:val="zzmpTCEntryL6"/>
    <w:rsid w:val="00164540"/>
    <w:rPr>
      <w:color w:val="0000FF"/>
    </w:rPr>
  </w:style>
  <w:style w:type="character" w:customStyle="1" w:styleId="zzmpTCEntryL7">
    <w:name w:val="zzmpTCEntryL7"/>
    <w:rsid w:val="00164540"/>
    <w:rPr>
      <w:color w:val="0000FF"/>
    </w:rPr>
  </w:style>
  <w:style w:type="character" w:customStyle="1" w:styleId="zzmpTCEntryL8">
    <w:name w:val="zzmpTCEntryL8"/>
    <w:rsid w:val="00164540"/>
    <w:rPr>
      <w:color w:val="0000FF"/>
    </w:rPr>
  </w:style>
  <w:style w:type="character" w:customStyle="1" w:styleId="zzmpTCEntryL9">
    <w:name w:val="zzmpTCEntryL9"/>
    <w:rsid w:val="00164540"/>
    <w:rPr>
      <w:color w:val="0000FF"/>
    </w:rPr>
  </w:style>
  <w:style w:type="paragraph" w:customStyle="1" w:styleId="TabbedL1">
    <w:name w:val="Tabbed_L1"/>
    <w:basedOn w:val="Normal"/>
    <w:rsid w:val="00164540"/>
    <w:pPr>
      <w:tabs>
        <w:tab w:val="num" w:pos="720"/>
      </w:tabs>
      <w:spacing w:after="240"/>
      <w:ind w:left="720" w:hanging="720"/>
      <w:jc w:val="both"/>
      <w:outlineLvl w:val="0"/>
    </w:pPr>
    <w:rPr>
      <w:rFonts w:ascii="Times New Roman Bold" w:hAnsi="Times New Roman Bold"/>
      <w:b/>
      <w:szCs w:val="24"/>
    </w:rPr>
  </w:style>
  <w:style w:type="paragraph" w:customStyle="1" w:styleId="TabbedL2">
    <w:name w:val="Tabbed_L2"/>
    <w:basedOn w:val="TabbedL1"/>
    <w:rsid w:val="00164540"/>
    <w:pPr>
      <w:numPr>
        <w:ilvl w:val="1"/>
      </w:numPr>
      <w:tabs>
        <w:tab w:val="num" w:pos="720"/>
      </w:tabs>
      <w:ind w:left="720" w:hanging="720"/>
      <w:outlineLvl w:val="1"/>
    </w:pPr>
  </w:style>
  <w:style w:type="paragraph" w:customStyle="1" w:styleId="TabbedL3">
    <w:name w:val="Tabbed_L3"/>
    <w:basedOn w:val="TabbedL2"/>
    <w:rsid w:val="00164540"/>
    <w:pPr>
      <w:numPr>
        <w:ilvl w:val="2"/>
      </w:numPr>
      <w:tabs>
        <w:tab w:val="num" w:pos="720"/>
      </w:tabs>
      <w:ind w:left="1440" w:hanging="720"/>
      <w:outlineLvl w:val="2"/>
    </w:pPr>
    <w:rPr>
      <w:rFonts w:ascii="Times New Roman" w:hAnsi="Times New Roman"/>
      <w:b w:val="0"/>
    </w:rPr>
  </w:style>
  <w:style w:type="paragraph" w:customStyle="1" w:styleId="TabbedL4">
    <w:name w:val="Tabbed_L4"/>
    <w:basedOn w:val="TabbedL3"/>
    <w:rsid w:val="00164540"/>
    <w:pPr>
      <w:numPr>
        <w:ilvl w:val="3"/>
      </w:numPr>
      <w:tabs>
        <w:tab w:val="num" w:pos="720"/>
      </w:tabs>
      <w:ind w:left="1440" w:hanging="720"/>
      <w:outlineLvl w:val="3"/>
    </w:pPr>
  </w:style>
  <w:style w:type="paragraph" w:customStyle="1" w:styleId="TabbedL5">
    <w:name w:val="Tabbed_L5"/>
    <w:basedOn w:val="TabbedL4"/>
    <w:rsid w:val="00164540"/>
    <w:pPr>
      <w:numPr>
        <w:ilvl w:val="4"/>
      </w:numPr>
      <w:tabs>
        <w:tab w:val="num" w:pos="720"/>
      </w:tabs>
      <w:ind w:left="1440" w:hanging="720"/>
      <w:outlineLvl w:val="4"/>
    </w:pPr>
  </w:style>
  <w:style w:type="paragraph" w:customStyle="1" w:styleId="TabbedL6">
    <w:name w:val="Tabbed_L6"/>
    <w:basedOn w:val="TabbedL5"/>
    <w:rsid w:val="00164540"/>
    <w:pPr>
      <w:numPr>
        <w:ilvl w:val="5"/>
      </w:numPr>
      <w:tabs>
        <w:tab w:val="num" w:pos="720"/>
      </w:tabs>
      <w:ind w:left="1440" w:hanging="720"/>
      <w:outlineLvl w:val="5"/>
    </w:pPr>
  </w:style>
  <w:style w:type="paragraph" w:customStyle="1" w:styleId="TabbedL7">
    <w:name w:val="Tabbed_L7"/>
    <w:basedOn w:val="TabbedL6"/>
    <w:rsid w:val="00164540"/>
    <w:pPr>
      <w:numPr>
        <w:ilvl w:val="6"/>
      </w:numPr>
      <w:tabs>
        <w:tab w:val="num" w:pos="720"/>
      </w:tabs>
      <w:ind w:left="1440" w:hanging="720"/>
      <w:outlineLvl w:val="6"/>
    </w:pPr>
  </w:style>
  <w:style w:type="paragraph" w:customStyle="1" w:styleId="TabbedL8">
    <w:name w:val="Tabbed_L8"/>
    <w:basedOn w:val="TabbedL7"/>
    <w:rsid w:val="00164540"/>
    <w:pPr>
      <w:numPr>
        <w:ilvl w:val="7"/>
      </w:numPr>
      <w:tabs>
        <w:tab w:val="num" w:pos="720"/>
      </w:tabs>
      <w:ind w:left="1440" w:hanging="720"/>
      <w:outlineLvl w:val="7"/>
    </w:pPr>
  </w:style>
  <w:style w:type="paragraph" w:customStyle="1" w:styleId="TabbedL9">
    <w:name w:val="Tabbed_L9"/>
    <w:basedOn w:val="TabbedL8"/>
    <w:rsid w:val="00164540"/>
    <w:pPr>
      <w:numPr>
        <w:ilvl w:val="8"/>
      </w:numPr>
      <w:tabs>
        <w:tab w:val="num" w:pos="720"/>
      </w:tabs>
      <w:ind w:left="1440" w:hanging="720"/>
      <w:outlineLvl w:val="8"/>
    </w:pPr>
  </w:style>
  <w:style w:type="paragraph" w:customStyle="1" w:styleId="1">
    <w:name w:val="1"/>
    <w:rsid w:val="00164540"/>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44" w:after="72"/>
      <w:ind w:left="360" w:hanging="360"/>
      <w:jc w:val="both"/>
    </w:pPr>
    <w:rPr>
      <w:rFonts w:ascii="Dutch" w:hAnsi="Dutch"/>
      <w:sz w:val="24"/>
    </w:rPr>
  </w:style>
  <w:style w:type="paragraph" w:customStyle="1" w:styleId="Heading2-11Right">
    <w:name w:val="Heading2-11 Right"/>
    <w:rsid w:val="00164540"/>
    <w:pPr>
      <w:widowControl w:val="0"/>
      <w:autoSpaceDE w:val="0"/>
      <w:autoSpaceDN w:val="0"/>
      <w:adjustRightInd w:val="0"/>
      <w:jc w:val="right"/>
    </w:pPr>
    <w:rPr>
      <w:b/>
      <w:bCs/>
      <w:sz w:val="22"/>
      <w:szCs w:val="22"/>
    </w:rPr>
  </w:style>
  <w:style w:type="paragraph" w:customStyle="1" w:styleId="Default">
    <w:name w:val="Default"/>
    <w:rsid w:val="00164540"/>
    <w:pPr>
      <w:widowControl w:val="0"/>
      <w:autoSpaceDE w:val="0"/>
      <w:autoSpaceDN w:val="0"/>
      <w:adjustRightInd w:val="0"/>
      <w:jc w:val="both"/>
    </w:pPr>
    <w:rPr>
      <w:rFonts w:ascii="Arial" w:hAnsi="Arial" w:cs="Arial"/>
      <w:color w:val="000000"/>
      <w:sz w:val="24"/>
      <w:szCs w:val="24"/>
    </w:rPr>
  </w:style>
  <w:style w:type="paragraph" w:customStyle="1" w:styleId="StyleBodyTextbTimesNewRomanBoldUnderline">
    <w:name w:val="Style Body Textb + Times New Roman Bold Underline"/>
    <w:basedOn w:val="BodyText"/>
    <w:rsid w:val="00164540"/>
    <w:pPr>
      <w:spacing w:after="240"/>
    </w:pPr>
    <w:rPr>
      <w:rFonts w:ascii="Times New Roman Bold" w:hAnsi="Times New Roman Bold"/>
      <w:bCs w:val="0"/>
      <w:sz w:val="20"/>
      <w:u w:val="single"/>
    </w:rPr>
  </w:style>
  <w:style w:type="paragraph" w:customStyle="1" w:styleId="Pro1">
    <w:name w:val="Pro1"/>
    <w:basedOn w:val="Normal"/>
    <w:next w:val="BodyText"/>
    <w:autoRedefine/>
    <w:rsid w:val="00164540"/>
    <w:pPr>
      <w:keepNext/>
      <w:spacing w:after="240"/>
      <w:jc w:val="center"/>
    </w:pPr>
    <w:rPr>
      <w:rFonts w:ascii="Times New Roman" w:hAnsi="Times New Roman"/>
      <w:b/>
      <w:caps/>
      <w:sz w:val="22"/>
      <w:szCs w:val="22"/>
    </w:rPr>
  </w:style>
  <w:style w:type="paragraph" w:customStyle="1" w:styleId="StyleBodyText29ptBoldItalic">
    <w:name w:val="Style Body Text 2 + 9 pt Bold Italic"/>
    <w:basedOn w:val="BodyText2"/>
    <w:rsid w:val="00164540"/>
    <w:pPr>
      <w:spacing w:after="240"/>
    </w:pPr>
    <w:rPr>
      <w:rFonts w:ascii="Times New Roman" w:hAnsi="Times New Roman"/>
      <w:b/>
      <w:bCs/>
      <w:i/>
      <w:iCs/>
      <w:sz w:val="18"/>
      <w:szCs w:val="24"/>
    </w:rPr>
  </w:style>
  <w:style w:type="paragraph" w:customStyle="1" w:styleId="StyleBodyText29ptItalic">
    <w:name w:val="Style Body Text 2 + 9 pt Italic"/>
    <w:basedOn w:val="BodyText2"/>
    <w:rsid w:val="00164540"/>
    <w:pPr>
      <w:spacing w:after="240"/>
    </w:pPr>
    <w:rPr>
      <w:rFonts w:ascii="Times New Roman" w:hAnsi="Times New Roman"/>
      <w:i/>
      <w:iCs/>
      <w:sz w:val="18"/>
      <w:szCs w:val="24"/>
    </w:rPr>
  </w:style>
  <w:style w:type="paragraph" w:customStyle="1" w:styleId="NotesText">
    <w:name w:val="Notes Text"/>
    <w:basedOn w:val="Normal"/>
    <w:rsid w:val="00164540"/>
    <w:pPr>
      <w:overflowPunct w:val="0"/>
      <w:autoSpaceDE w:val="0"/>
      <w:autoSpaceDN w:val="0"/>
      <w:adjustRightInd w:val="0"/>
      <w:spacing w:before="200"/>
      <w:jc w:val="both"/>
      <w:textAlignment w:val="baseline"/>
    </w:pPr>
    <w:rPr>
      <w:rFonts w:ascii="Times New Roman" w:hAnsi="Times New Roman"/>
    </w:rPr>
  </w:style>
  <w:style w:type="paragraph" w:customStyle="1" w:styleId="NotesSubHeading">
    <w:name w:val="Notes Sub Heading"/>
    <w:basedOn w:val="Normal"/>
    <w:next w:val="Normal"/>
    <w:rsid w:val="00164540"/>
    <w:pPr>
      <w:keepNext/>
      <w:overflowPunct w:val="0"/>
      <w:autoSpaceDE w:val="0"/>
      <w:autoSpaceDN w:val="0"/>
      <w:adjustRightInd w:val="0"/>
      <w:spacing w:before="200"/>
      <w:jc w:val="both"/>
      <w:textAlignment w:val="baseline"/>
    </w:pPr>
    <w:rPr>
      <w:rFonts w:ascii="Times New Roman" w:hAnsi="Times New Roman"/>
      <w:b/>
      <w:sz w:val="24"/>
    </w:rPr>
  </w:style>
  <w:style w:type="paragraph" w:styleId="TOC1">
    <w:name w:val="toc 1"/>
    <w:basedOn w:val="Normal"/>
    <w:next w:val="TOC2"/>
    <w:semiHidden/>
    <w:rsid w:val="00906EFC"/>
    <w:pPr>
      <w:spacing w:before="60" w:after="60"/>
      <w:ind w:right="288"/>
    </w:pPr>
    <w:rPr>
      <w:rFonts w:ascii="Times" w:hAnsi="Times"/>
      <w:bCs/>
      <w:caps/>
      <w:szCs w:val="24"/>
    </w:rPr>
  </w:style>
  <w:style w:type="paragraph" w:styleId="TOC2">
    <w:name w:val="toc 2"/>
    <w:basedOn w:val="Normal"/>
    <w:next w:val="TOC3"/>
    <w:semiHidden/>
    <w:rsid w:val="00906EFC"/>
    <w:pPr>
      <w:ind w:left="245" w:right="288"/>
    </w:pPr>
    <w:rPr>
      <w:rFonts w:ascii="Times" w:hAnsi="Times"/>
      <w:smallCaps/>
      <w:sz w:val="18"/>
      <w:szCs w:val="24"/>
    </w:rPr>
  </w:style>
  <w:style w:type="paragraph" w:styleId="TOC3">
    <w:name w:val="toc 3"/>
    <w:basedOn w:val="Normal"/>
    <w:next w:val="TOC4"/>
    <w:semiHidden/>
    <w:rsid w:val="00906EFC"/>
    <w:pPr>
      <w:ind w:left="480"/>
    </w:pPr>
    <w:rPr>
      <w:rFonts w:ascii="Times New Roman" w:hAnsi="Times New Roman"/>
      <w:i/>
      <w:iCs/>
      <w:sz w:val="18"/>
      <w:szCs w:val="24"/>
    </w:rPr>
  </w:style>
  <w:style w:type="paragraph" w:styleId="TOC4">
    <w:name w:val="toc 4"/>
    <w:basedOn w:val="Normal"/>
    <w:next w:val="TOC5"/>
    <w:semiHidden/>
    <w:rsid w:val="00906EFC"/>
    <w:pPr>
      <w:ind w:left="720"/>
    </w:pPr>
    <w:rPr>
      <w:rFonts w:ascii="Times New Roman" w:hAnsi="Times New Roman"/>
      <w:szCs w:val="21"/>
    </w:rPr>
  </w:style>
  <w:style w:type="paragraph" w:styleId="TOC5">
    <w:name w:val="toc 5"/>
    <w:basedOn w:val="Normal"/>
    <w:next w:val="TOC6"/>
    <w:semiHidden/>
    <w:rsid w:val="00906EFC"/>
    <w:pPr>
      <w:ind w:left="960"/>
    </w:pPr>
    <w:rPr>
      <w:rFonts w:ascii="Times New Roman" w:hAnsi="Times New Roman"/>
      <w:sz w:val="18"/>
      <w:szCs w:val="21"/>
    </w:rPr>
  </w:style>
  <w:style w:type="paragraph" w:styleId="TOC6">
    <w:name w:val="toc 6"/>
    <w:basedOn w:val="Normal"/>
    <w:next w:val="TOC7"/>
    <w:semiHidden/>
    <w:rsid w:val="00906EFC"/>
    <w:pPr>
      <w:ind w:left="1200"/>
    </w:pPr>
    <w:rPr>
      <w:rFonts w:ascii="Times New Roman" w:hAnsi="Times New Roman"/>
      <w:sz w:val="22"/>
      <w:szCs w:val="21"/>
    </w:rPr>
  </w:style>
  <w:style w:type="paragraph" w:styleId="TOC7">
    <w:name w:val="toc 7"/>
    <w:basedOn w:val="Normal"/>
    <w:next w:val="TOC8"/>
    <w:semiHidden/>
    <w:rsid w:val="00906EFC"/>
    <w:pPr>
      <w:ind w:left="1440"/>
    </w:pPr>
    <w:rPr>
      <w:rFonts w:ascii="Times New Roman" w:hAnsi="Times New Roman"/>
      <w:sz w:val="22"/>
      <w:szCs w:val="21"/>
    </w:rPr>
  </w:style>
  <w:style w:type="paragraph" w:styleId="TOC8">
    <w:name w:val="toc 8"/>
    <w:basedOn w:val="Normal"/>
    <w:next w:val="TOC9"/>
    <w:semiHidden/>
    <w:rsid w:val="00906EFC"/>
    <w:pPr>
      <w:ind w:left="1680"/>
    </w:pPr>
    <w:rPr>
      <w:rFonts w:ascii="Times New Roman" w:hAnsi="Times New Roman"/>
      <w:sz w:val="22"/>
      <w:szCs w:val="21"/>
    </w:rPr>
  </w:style>
  <w:style w:type="paragraph" w:styleId="TOC9">
    <w:name w:val="toc 9"/>
    <w:basedOn w:val="Normal"/>
    <w:semiHidden/>
    <w:rsid w:val="00906EFC"/>
    <w:pPr>
      <w:ind w:left="1920"/>
    </w:pPr>
    <w:rPr>
      <w:rFonts w:ascii="Times New Roman" w:hAnsi="Times New Roman"/>
      <w:sz w:val="22"/>
      <w:szCs w:val="21"/>
    </w:rPr>
  </w:style>
  <w:style w:type="paragraph" w:styleId="Index1">
    <w:name w:val="index 1"/>
    <w:basedOn w:val="Normal"/>
    <w:next w:val="Normal"/>
    <w:autoRedefine/>
    <w:semiHidden/>
    <w:rsid w:val="00906EFC"/>
    <w:pPr>
      <w:ind w:left="240" w:hanging="240"/>
      <w:jc w:val="both"/>
    </w:pPr>
    <w:rPr>
      <w:rFonts w:ascii="Times New Roman" w:hAnsi="Times New Roman"/>
      <w:szCs w:val="24"/>
    </w:rPr>
  </w:style>
  <w:style w:type="paragraph" w:customStyle="1" w:styleId="Preformatted">
    <w:name w:val="Preformatted"/>
    <w:basedOn w:val="Normal"/>
    <w:rsid w:val="00627FAD"/>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customStyle="1" w:styleId="font5">
    <w:name w:val="font5"/>
    <w:basedOn w:val="Normal"/>
    <w:rsid w:val="00A81FA5"/>
    <w:pPr>
      <w:spacing w:before="100" w:beforeAutospacing="1" w:after="100" w:afterAutospacing="1"/>
      <w:ind w:left="432"/>
    </w:pPr>
    <w:rPr>
      <w:rFonts w:ascii="Garamond" w:eastAsia="Arial Unicode MS" w:hAnsi="Garamond" w:cs="Arial Unicode MS"/>
      <w:szCs w:val="24"/>
    </w:rPr>
  </w:style>
  <w:style w:type="paragraph" w:customStyle="1" w:styleId="n2">
    <w:name w:val="n2"/>
    <w:basedOn w:val="Normal"/>
    <w:rsid w:val="0035285C"/>
    <w:pPr>
      <w:ind w:left="540"/>
      <w:jc w:val="both"/>
    </w:pPr>
    <w:rPr>
      <w:rFonts w:ascii="Times New Roman" w:hAnsi="Times New Roman"/>
      <w:sz w:val="18"/>
      <w:szCs w:val="24"/>
    </w:rPr>
  </w:style>
  <w:style w:type="paragraph" w:customStyle="1" w:styleId="T">
    <w:name w:val="T"/>
    <w:basedOn w:val="Normal"/>
    <w:rsid w:val="0035285C"/>
    <w:pPr>
      <w:tabs>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both"/>
    </w:pPr>
    <w:rPr>
      <w:rFonts w:ascii="Times New Roman" w:hAnsi="Times New Roman"/>
      <w:sz w:val="18"/>
      <w:szCs w:val="24"/>
    </w:rPr>
  </w:style>
  <w:style w:type="paragraph" w:customStyle="1" w:styleId="T1">
    <w:name w:val="T1"/>
    <w:basedOn w:val="Normal"/>
    <w:rsid w:val="0035285C"/>
    <w:pPr>
      <w:tabs>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152"/>
      <w:jc w:val="both"/>
    </w:pPr>
    <w:rPr>
      <w:rFonts w:ascii="Times New Roman" w:hAnsi="Times New Roman"/>
      <w:sz w:val="18"/>
      <w:szCs w:val="24"/>
    </w:rPr>
  </w:style>
  <w:style w:type="character" w:customStyle="1" w:styleId="EmailStyle431">
    <w:name w:val="EmailStyle431"/>
    <w:rsid w:val="0035285C"/>
    <w:rPr>
      <w:rFonts w:ascii="Arial" w:hAnsi="Arial" w:cs="Arial"/>
      <w:color w:val="0000FF"/>
      <w:sz w:val="20"/>
    </w:rPr>
  </w:style>
  <w:style w:type="character" w:customStyle="1" w:styleId="BalloonTextChar">
    <w:name w:val="Balloon Text Char"/>
    <w:link w:val="BalloonText"/>
    <w:semiHidden/>
    <w:rsid w:val="0035285C"/>
    <w:rPr>
      <w:rFonts w:ascii="Tahoma" w:hAnsi="Tahoma" w:cs="Tahoma"/>
      <w:sz w:val="16"/>
      <w:szCs w:val="16"/>
    </w:rPr>
  </w:style>
  <w:style w:type="character" w:customStyle="1" w:styleId="Heading4Char">
    <w:name w:val="Heading 4 Char"/>
    <w:aliases w:val="h4 Char"/>
    <w:link w:val="Heading4"/>
    <w:rsid w:val="0035285C"/>
    <w:rPr>
      <w:b/>
      <w:bCs/>
      <w:sz w:val="28"/>
      <w:szCs w:val="28"/>
    </w:rPr>
  </w:style>
  <w:style w:type="paragraph" w:customStyle="1" w:styleId="A5Normal">
    <w:name w:val="A5 Normal"/>
    <w:basedOn w:val="Normal"/>
    <w:rsid w:val="0035285C"/>
    <w:pPr>
      <w:ind w:left="432"/>
      <w:jc w:val="both"/>
    </w:pPr>
    <w:rPr>
      <w:rFonts w:ascii="Times New Roman" w:hAnsi="Times New Roman"/>
      <w:sz w:val="22"/>
      <w:szCs w:val="24"/>
    </w:rPr>
  </w:style>
  <w:style w:type="paragraph" w:styleId="Revision">
    <w:name w:val="Revision"/>
    <w:hidden/>
    <w:semiHidden/>
    <w:rsid w:val="0035285C"/>
    <w:pPr>
      <w:ind w:left="432"/>
    </w:pPr>
    <w:rPr>
      <w:sz w:val="24"/>
      <w:szCs w:val="24"/>
    </w:rPr>
  </w:style>
  <w:style w:type="paragraph" w:customStyle="1" w:styleId="Subparagraph">
    <w:name w:val="Subparagraph"/>
    <w:basedOn w:val="BodyTextIndent"/>
    <w:rsid w:val="0035285C"/>
    <w:pPr>
      <w:overflowPunct w:val="0"/>
      <w:autoSpaceDE w:val="0"/>
      <w:autoSpaceDN w:val="0"/>
      <w:adjustRightInd w:val="0"/>
      <w:spacing w:after="0"/>
      <w:ind w:left="720"/>
      <w:jc w:val="both"/>
      <w:textAlignment w:val="baseline"/>
    </w:pPr>
    <w:rPr>
      <w:sz w:val="24"/>
      <w:szCs w:val="24"/>
    </w:rPr>
  </w:style>
  <w:style w:type="character" w:customStyle="1" w:styleId="EmailStyle581">
    <w:name w:val="EmailStyle581"/>
    <w:rsid w:val="0035285C"/>
    <w:rPr>
      <w:rFonts w:ascii="Arial" w:hAnsi="Arial" w:cs="Arial"/>
      <w:color w:val="0000FF"/>
      <w:sz w:val="20"/>
    </w:rPr>
  </w:style>
  <w:style w:type="character" w:customStyle="1" w:styleId="BodyTextChar">
    <w:name w:val="Body Text Char"/>
    <w:aliases w:val="bt Char,b Char,bullet list Char"/>
    <w:link w:val="BodyText"/>
    <w:rsid w:val="0035285C"/>
    <w:rPr>
      <w:rFonts w:ascii="Arial" w:hAnsi="Arial" w:cs="Arial"/>
      <w:bCs/>
      <w:sz w:val="22"/>
      <w:szCs w:val="24"/>
    </w:rPr>
  </w:style>
  <w:style w:type="character" w:customStyle="1" w:styleId="DocumentMapChar">
    <w:name w:val="Document Map Char"/>
    <w:link w:val="DocumentMap"/>
    <w:semiHidden/>
    <w:rsid w:val="0035285C"/>
    <w:rPr>
      <w:rFonts w:ascii="Tahoma" w:hAnsi="Tahoma" w:cs="Tahoma"/>
      <w:shd w:val="clear" w:color="auto" w:fill="000080"/>
    </w:rPr>
  </w:style>
  <w:style w:type="character" w:customStyle="1" w:styleId="EmailStyle65">
    <w:name w:val="EmailStyle65"/>
    <w:rsid w:val="0035285C"/>
    <w:rPr>
      <w:rFonts w:ascii="Arial" w:hAnsi="Arial" w:cs="Arial"/>
      <w:color w:val="0000FF"/>
      <w:sz w:val="20"/>
    </w:rPr>
  </w:style>
  <w:style w:type="character" w:customStyle="1" w:styleId="EmailStyle661">
    <w:name w:val="EmailStyle661"/>
    <w:rsid w:val="0035285C"/>
    <w:rPr>
      <w:rFonts w:ascii="Arial" w:hAnsi="Arial" w:cs="Arial"/>
      <w:color w:val="0000FF"/>
      <w:sz w:val="20"/>
    </w:rPr>
  </w:style>
  <w:style w:type="character" w:customStyle="1" w:styleId="EmailStyle671">
    <w:name w:val="EmailStyle671"/>
    <w:rsid w:val="0035285C"/>
    <w:rPr>
      <w:rFonts w:ascii="Arial" w:hAnsi="Arial" w:cs="Arial"/>
      <w:color w:val="0000FF"/>
      <w:sz w:val="20"/>
    </w:rPr>
  </w:style>
  <w:style w:type="character" w:customStyle="1" w:styleId="EmailStyle681">
    <w:name w:val="EmailStyle681"/>
    <w:rsid w:val="0035285C"/>
    <w:rPr>
      <w:rFonts w:ascii="Arial" w:hAnsi="Arial" w:cs="Arial"/>
      <w:color w:val="0000FF"/>
      <w:sz w:val="20"/>
    </w:rPr>
  </w:style>
  <w:style w:type="character" w:customStyle="1" w:styleId="EmailStyle69">
    <w:name w:val="EmailStyle69"/>
    <w:rsid w:val="0035285C"/>
    <w:rPr>
      <w:rFonts w:ascii="Arial" w:hAnsi="Arial" w:cs="Arial"/>
      <w:color w:val="0000FF"/>
      <w:sz w:val="20"/>
    </w:rPr>
  </w:style>
  <w:style w:type="character" w:customStyle="1" w:styleId="EmailStyle70">
    <w:name w:val="EmailStyle70"/>
    <w:rsid w:val="0035285C"/>
    <w:rPr>
      <w:rFonts w:ascii="Arial" w:hAnsi="Arial" w:cs="Arial"/>
      <w:color w:val="0000FF"/>
      <w:sz w:val="20"/>
    </w:rPr>
  </w:style>
  <w:style w:type="paragraph" w:customStyle="1" w:styleId="CM32">
    <w:name w:val="CM32"/>
    <w:basedOn w:val="Default"/>
    <w:next w:val="Default"/>
    <w:rsid w:val="00F905B2"/>
    <w:pPr>
      <w:spacing w:after="235"/>
      <w:jc w:val="left"/>
    </w:pPr>
    <w:rPr>
      <w:rFonts w:ascii="Zurich BT" w:eastAsia="Cambria" w:hAnsi="Zurich BT" w:cs="Times New Roman"/>
      <w:color w:val="auto"/>
    </w:rPr>
  </w:style>
  <w:style w:type="paragraph" w:customStyle="1" w:styleId="CM12">
    <w:name w:val="CM12"/>
    <w:basedOn w:val="Default"/>
    <w:next w:val="Default"/>
    <w:rsid w:val="00F905B2"/>
    <w:pPr>
      <w:spacing w:line="238" w:lineRule="atLeast"/>
      <w:jc w:val="left"/>
    </w:pPr>
    <w:rPr>
      <w:rFonts w:ascii="Zurich BT" w:eastAsia="Cambria" w:hAnsi="Zurich BT" w:cs="Times New Roman"/>
      <w:color w:val="auto"/>
    </w:rPr>
  </w:style>
  <w:style w:type="paragraph" w:customStyle="1" w:styleId="CM13">
    <w:name w:val="CM13"/>
    <w:basedOn w:val="Default"/>
    <w:next w:val="Default"/>
    <w:rsid w:val="00F905B2"/>
    <w:pPr>
      <w:spacing w:line="240" w:lineRule="atLeast"/>
      <w:jc w:val="left"/>
    </w:pPr>
    <w:rPr>
      <w:rFonts w:ascii="Zurich BT" w:eastAsia="Cambria" w:hAnsi="Zurich BT" w:cs="Times New Roman"/>
      <w:color w:val="auto"/>
    </w:rPr>
  </w:style>
  <w:style w:type="paragraph" w:customStyle="1" w:styleId="CM18">
    <w:name w:val="CM18"/>
    <w:basedOn w:val="Default"/>
    <w:next w:val="Default"/>
    <w:rsid w:val="00F905B2"/>
    <w:pPr>
      <w:spacing w:line="240" w:lineRule="atLeast"/>
      <w:jc w:val="left"/>
    </w:pPr>
    <w:rPr>
      <w:rFonts w:ascii="Zurich BT" w:eastAsia="Cambria" w:hAnsi="Zurich BT" w:cs="Times New Roman"/>
      <w:color w:val="auto"/>
    </w:rPr>
  </w:style>
  <w:style w:type="character" w:customStyle="1" w:styleId="Ne2Char">
    <w:name w:val="Ne2 Char"/>
    <w:link w:val="Ne2"/>
    <w:rsid w:val="00173FC0"/>
    <w:rPr>
      <w:rFonts w:ascii="Arial" w:hAnsi="Arial"/>
    </w:rPr>
  </w:style>
  <w:style w:type="character" w:customStyle="1" w:styleId="Ne3Char">
    <w:name w:val="Ne3 Char"/>
    <w:link w:val="Ne3"/>
    <w:rsid w:val="00BA4ACC"/>
    <w:rPr>
      <w:rFonts w:ascii="Arial" w:hAnsi="Arial"/>
    </w:rPr>
  </w:style>
  <w:style w:type="character" w:customStyle="1" w:styleId="FS2Char">
    <w:name w:val="FS2 Char"/>
    <w:link w:val="FS2"/>
    <w:rsid w:val="00BA4ACC"/>
    <w:rPr>
      <w:rFonts w:ascii="Arial" w:hAnsi="Arial"/>
    </w:rPr>
  </w:style>
  <w:style w:type="paragraph" w:customStyle="1" w:styleId="SecurityCont3">
    <w:name w:val="Security Cont 3"/>
    <w:aliases w:val="s3"/>
    <w:basedOn w:val="SecurityCont2"/>
    <w:link w:val="SecurityCont3Char"/>
    <w:uiPriority w:val="99"/>
    <w:rsid w:val="00775696"/>
  </w:style>
  <w:style w:type="character" w:customStyle="1" w:styleId="SecurityCont3Char">
    <w:name w:val="Security Cont 3 Char"/>
    <w:aliases w:val="s3 Char"/>
    <w:link w:val="SecurityCont3"/>
    <w:uiPriority w:val="99"/>
    <w:locked/>
    <w:rsid w:val="00775696"/>
    <w:rPr>
      <w:lang w:val="en-CA"/>
    </w:rPr>
  </w:style>
  <w:style w:type="paragraph" w:customStyle="1" w:styleId="FS-HEADING3">
    <w:name w:val="_FS - HEADING 3"/>
    <w:basedOn w:val="Normal"/>
    <w:rsid w:val="00D03577"/>
    <w:pPr>
      <w:spacing w:after="120"/>
    </w:pPr>
    <w:rPr>
      <w:rFonts w:ascii="Times New Roman" w:hAnsi="Times New Roman"/>
      <w:b/>
      <w:bCs/>
      <w:caps/>
    </w:rPr>
  </w:style>
  <w:style w:type="paragraph" w:customStyle="1" w:styleId="SecurityCont4">
    <w:name w:val="Security Cont 4"/>
    <w:aliases w:val="s4"/>
    <w:basedOn w:val="Normal"/>
    <w:rsid w:val="0053654C"/>
    <w:pPr>
      <w:spacing w:after="240"/>
      <w:jc w:val="both"/>
    </w:pPr>
    <w:rPr>
      <w:rFonts w:ascii="Times New Roman" w:hAnsi="Times New Roman"/>
    </w:rPr>
  </w:style>
  <w:style w:type="character" w:customStyle="1" w:styleId="Heading8Char">
    <w:name w:val="Heading 8 Char"/>
    <w:link w:val="Heading8"/>
    <w:rsid w:val="00E8496B"/>
    <w:rPr>
      <w:rFonts w:ascii="Arial" w:hAnsi="Arial"/>
      <w:b/>
      <w:bCs/>
    </w:rPr>
  </w:style>
  <w:style w:type="paragraph" w:customStyle="1" w:styleId="Ne4">
    <w:name w:val="Ne4"/>
    <w:basedOn w:val="Normal"/>
    <w:rsid w:val="0004138E"/>
    <w:pPr>
      <w:overflowPunct w:val="0"/>
      <w:autoSpaceDE w:val="0"/>
      <w:autoSpaceDN w:val="0"/>
      <w:adjustRightInd w:val="0"/>
      <w:spacing w:before="120" w:line="280" w:lineRule="atLeast"/>
      <w:ind w:left="1080"/>
      <w:jc w:val="both"/>
    </w:pPr>
  </w:style>
  <w:style w:type="table" w:customStyle="1" w:styleId="TableGrid2">
    <w:name w:val="Table Grid2"/>
    <w:basedOn w:val="TableNormal"/>
    <w:uiPriority w:val="59"/>
    <w:rsid w:val="00017C93"/>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oindependienteCar">
    <w:name w:val="Texto independiente Car"/>
    <w:aliases w:val="bt Car"/>
    <w:locked/>
    <w:rsid w:val="00483236"/>
    <w:rPr>
      <w:rFonts w:ascii="Calibri" w:eastAsia="Calibri" w:hAnsi="Calibri"/>
    </w:rPr>
  </w:style>
  <w:style w:type="paragraph" w:customStyle="1" w:styleId="CM25">
    <w:name w:val="CM25"/>
    <w:basedOn w:val="Normal"/>
    <w:next w:val="Normal"/>
    <w:uiPriority w:val="99"/>
    <w:rsid w:val="00756081"/>
    <w:pPr>
      <w:widowControl w:val="0"/>
      <w:autoSpaceDE w:val="0"/>
      <w:autoSpaceDN w:val="0"/>
      <w:adjustRightInd w:val="0"/>
    </w:pPr>
    <w:rPr>
      <w:rFonts w:cs="Arial"/>
      <w:sz w:val="24"/>
      <w:szCs w:val="24"/>
    </w:rPr>
  </w:style>
  <w:style w:type="paragraph" w:customStyle="1" w:styleId="SecurityL1">
    <w:name w:val="Security_L1"/>
    <w:basedOn w:val="Normal"/>
    <w:next w:val="Normal"/>
    <w:rsid w:val="00121196"/>
    <w:pPr>
      <w:keepNext/>
      <w:numPr>
        <w:numId w:val="2"/>
      </w:numPr>
      <w:spacing w:after="240"/>
      <w:jc w:val="center"/>
      <w:outlineLvl w:val="0"/>
    </w:pPr>
    <w:rPr>
      <w:rFonts w:ascii="Times New Roman" w:hAnsi="Times New Roman"/>
      <w:b/>
      <w:caps/>
    </w:rPr>
  </w:style>
  <w:style w:type="paragraph" w:customStyle="1" w:styleId="SecurityL2">
    <w:name w:val="Security_L2"/>
    <w:basedOn w:val="SecurityL1"/>
    <w:next w:val="SecurityCont2"/>
    <w:rsid w:val="00121196"/>
    <w:pPr>
      <w:numPr>
        <w:ilvl w:val="1"/>
      </w:numPr>
      <w:tabs>
        <w:tab w:val="left" w:pos="1440"/>
      </w:tabs>
      <w:jc w:val="both"/>
      <w:outlineLvl w:val="1"/>
    </w:pPr>
    <w:rPr>
      <w:caps w:val="0"/>
    </w:rPr>
  </w:style>
  <w:style w:type="paragraph" w:customStyle="1" w:styleId="SecurityL3">
    <w:name w:val="Security_L3"/>
    <w:basedOn w:val="SecurityL2"/>
    <w:next w:val="SecurityCont3"/>
    <w:rsid w:val="00121196"/>
    <w:pPr>
      <w:numPr>
        <w:ilvl w:val="2"/>
      </w:numPr>
      <w:outlineLvl w:val="2"/>
    </w:pPr>
    <w:rPr>
      <w:i/>
    </w:rPr>
  </w:style>
  <w:style w:type="paragraph" w:customStyle="1" w:styleId="SecurityL4">
    <w:name w:val="Security_L4"/>
    <w:basedOn w:val="SecurityL3"/>
    <w:next w:val="SecurityCont4"/>
    <w:rsid w:val="00121196"/>
    <w:pPr>
      <w:numPr>
        <w:ilvl w:val="3"/>
      </w:numPr>
      <w:outlineLvl w:val="3"/>
    </w:pPr>
    <w:rPr>
      <w:b w:val="0"/>
    </w:rPr>
  </w:style>
  <w:style w:type="paragraph" w:customStyle="1" w:styleId="SecurityL6">
    <w:name w:val="Security_L6"/>
    <w:basedOn w:val="Normal"/>
    <w:rsid w:val="00121196"/>
    <w:pPr>
      <w:numPr>
        <w:ilvl w:val="5"/>
        <w:numId w:val="2"/>
      </w:numPr>
      <w:spacing w:after="240"/>
      <w:jc w:val="both"/>
      <w:outlineLvl w:val="5"/>
    </w:pPr>
    <w:rPr>
      <w:rFonts w:ascii="Times New Roman" w:hAnsi="Times New Roman"/>
    </w:rPr>
  </w:style>
  <w:style w:type="paragraph" w:customStyle="1" w:styleId="SecurityL7">
    <w:name w:val="Security_L7"/>
    <w:basedOn w:val="SecurityL6"/>
    <w:rsid w:val="00121196"/>
    <w:pPr>
      <w:numPr>
        <w:ilvl w:val="6"/>
      </w:numPr>
      <w:outlineLvl w:val="6"/>
    </w:pPr>
  </w:style>
  <w:style w:type="paragraph" w:customStyle="1" w:styleId="SecurityL8">
    <w:name w:val="Security_L8"/>
    <w:basedOn w:val="SecurityL7"/>
    <w:next w:val="Normal"/>
    <w:link w:val="SecurityL8Char"/>
    <w:rsid w:val="00121196"/>
    <w:pPr>
      <w:numPr>
        <w:ilvl w:val="7"/>
      </w:numPr>
      <w:spacing w:before="120" w:after="120"/>
      <w:outlineLvl w:val="7"/>
    </w:pPr>
    <w:rPr>
      <w:sz w:val="16"/>
    </w:rPr>
  </w:style>
  <w:style w:type="character" w:customStyle="1" w:styleId="SecurityL8Char">
    <w:name w:val="Security_L8 Char"/>
    <w:link w:val="SecurityL8"/>
    <w:rsid w:val="00121196"/>
    <w:rPr>
      <w:sz w:val="16"/>
      <w:lang w:val="en-CA"/>
    </w:rPr>
  </w:style>
  <w:style w:type="paragraph" w:customStyle="1" w:styleId="SecurityL9">
    <w:name w:val="Security_L9"/>
    <w:basedOn w:val="SecurityL8"/>
    <w:rsid w:val="00121196"/>
    <w:pPr>
      <w:numPr>
        <w:ilvl w:val="8"/>
      </w:numPr>
      <w:tabs>
        <w:tab w:val="clear" w:pos="990"/>
      </w:tabs>
      <w:spacing w:before="0" w:after="0"/>
      <w:ind w:left="6480" w:hanging="360"/>
      <w:outlineLvl w:val="8"/>
    </w:pPr>
  </w:style>
  <w:style w:type="character" w:customStyle="1" w:styleId="apple-converted-space">
    <w:name w:val="apple-converted-space"/>
    <w:basedOn w:val="DefaultParagraphFont"/>
    <w:rsid w:val="003C2F0B"/>
  </w:style>
  <w:style w:type="character" w:customStyle="1" w:styleId="EmailStyle243">
    <w:name w:val="EmailStyle243"/>
    <w:basedOn w:val="DefaultParagraphFont"/>
    <w:rsid w:val="00667599"/>
    <w:rPr>
      <w:rFonts w:ascii="Arial" w:hAnsi="Arial" w:cs="Arial"/>
      <w:color w:val="0000FF"/>
      <w:sz w:val="20"/>
    </w:rPr>
  </w:style>
  <w:style w:type="character" w:styleId="FootnoteReference">
    <w:name w:val="footnote reference"/>
    <w:basedOn w:val="DefaultParagraphFont"/>
    <w:uiPriority w:val="99"/>
    <w:semiHidden/>
    <w:unhideWhenUsed/>
    <w:rsid w:val="00C202A9"/>
    <w:rPr>
      <w:vertAlign w:val="superscript"/>
    </w:rPr>
  </w:style>
  <w:style w:type="paragraph" w:customStyle="1" w:styleId="TableParagraph">
    <w:name w:val="Table Paragraph"/>
    <w:basedOn w:val="Normal"/>
    <w:uiPriority w:val="1"/>
    <w:qFormat/>
    <w:rsid w:val="00C202A9"/>
    <w:pPr>
      <w:widowControl w:val="0"/>
      <w:autoSpaceDE w:val="0"/>
      <w:autoSpaceDN w:val="0"/>
    </w:pPr>
    <w:rPr>
      <w:rFonts w:ascii="Arial MT" w:eastAsia="Arial MT" w:hAnsi="Arial MT" w:cs="Arial MT"/>
      <w:sz w:val="22"/>
      <w:szCs w:val="22"/>
      <w:lang w:val="en-US"/>
    </w:rPr>
  </w:style>
  <w:style w:type="character" w:styleId="UnresolvedMention">
    <w:name w:val="Unresolved Mention"/>
    <w:basedOn w:val="DefaultParagraphFont"/>
    <w:uiPriority w:val="99"/>
    <w:semiHidden/>
    <w:unhideWhenUsed/>
    <w:rsid w:val="00036773"/>
    <w:rPr>
      <w:color w:val="605E5C"/>
      <w:shd w:val="clear" w:color="auto" w:fill="E1DFDD"/>
    </w:rPr>
  </w:style>
  <w:style w:type="paragraph" w:customStyle="1" w:styleId="gmail-ne4">
    <w:name w:val="gmail-ne4"/>
    <w:basedOn w:val="Normal"/>
    <w:uiPriority w:val="99"/>
    <w:rsid w:val="004C56AA"/>
    <w:pPr>
      <w:spacing w:before="100" w:beforeAutospacing="1" w:after="100" w:afterAutospacing="1"/>
    </w:pPr>
    <w:rPr>
      <w:rFonts w:ascii="Calibri" w:eastAsiaTheme="minorHAnsi" w:hAnsi="Calibri" w:cs="Calibri"/>
      <w:sz w:val="22"/>
      <w:szCs w:val="22"/>
      <w:lang w:val="es-AR" w:eastAsia="es-AR"/>
    </w:rPr>
  </w:style>
  <w:style w:type="paragraph" w:customStyle="1" w:styleId="BDPDOCID">
    <w:name w:val="BDPDOCID"/>
    <w:basedOn w:val="Normal"/>
    <w:qFormat/>
    <w:rsid w:val="003263FA"/>
    <w:pPr>
      <w:spacing w:after="240"/>
      <w:jc w:val="both"/>
    </w:pPr>
    <w:rPr>
      <w:rFonts w:ascii="Times New Roman" w:hAnsi="Times New Roman"/>
      <w:sz w:val="16"/>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3779">
      <w:bodyDiv w:val="1"/>
      <w:marLeft w:val="0"/>
      <w:marRight w:val="0"/>
      <w:marTop w:val="0"/>
      <w:marBottom w:val="0"/>
      <w:divBdr>
        <w:top w:val="none" w:sz="0" w:space="0" w:color="auto"/>
        <w:left w:val="none" w:sz="0" w:space="0" w:color="auto"/>
        <w:bottom w:val="none" w:sz="0" w:space="0" w:color="auto"/>
        <w:right w:val="none" w:sz="0" w:space="0" w:color="auto"/>
      </w:divBdr>
    </w:div>
    <w:div w:id="14623695">
      <w:bodyDiv w:val="1"/>
      <w:marLeft w:val="0"/>
      <w:marRight w:val="0"/>
      <w:marTop w:val="0"/>
      <w:marBottom w:val="0"/>
      <w:divBdr>
        <w:top w:val="none" w:sz="0" w:space="0" w:color="auto"/>
        <w:left w:val="none" w:sz="0" w:space="0" w:color="auto"/>
        <w:bottom w:val="none" w:sz="0" w:space="0" w:color="auto"/>
        <w:right w:val="none" w:sz="0" w:space="0" w:color="auto"/>
      </w:divBdr>
    </w:div>
    <w:div w:id="25984071">
      <w:bodyDiv w:val="1"/>
      <w:marLeft w:val="0"/>
      <w:marRight w:val="0"/>
      <w:marTop w:val="0"/>
      <w:marBottom w:val="0"/>
      <w:divBdr>
        <w:top w:val="none" w:sz="0" w:space="0" w:color="auto"/>
        <w:left w:val="none" w:sz="0" w:space="0" w:color="auto"/>
        <w:bottom w:val="none" w:sz="0" w:space="0" w:color="auto"/>
        <w:right w:val="none" w:sz="0" w:space="0" w:color="auto"/>
      </w:divBdr>
    </w:div>
    <w:div w:id="35207005">
      <w:bodyDiv w:val="1"/>
      <w:marLeft w:val="0"/>
      <w:marRight w:val="0"/>
      <w:marTop w:val="0"/>
      <w:marBottom w:val="0"/>
      <w:divBdr>
        <w:top w:val="none" w:sz="0" w:space="0" w:color="auto"/>
        <w:left w:val="none" w:sz="0" w:space="0" w:color="auto"/>
        <w:bottom w:val="none" w:sz="0" w:space="0" w:color="auto"/>
        <w:right w:val="none" w:sz="0" w:space="0" w:color="auto"/>
      </w:divBdr>
    </w:div>
    <w:div w:id="38481010">
      <w:bodyDiv w:val="1"/>
      <w:marLeft w:val="0"/>
      <w:marRight w:val="0"/>
      <w:marTop w:val="0"/>
      <w:marBottom w:val="0"/>
      <w:divBdr>
        <w:top w:val="none" w:sz="0" w:space="0" w:color="auto"/>
        <w:left w:val="none" w:sz="0" w:space="0" w:color="auto"/>
        <w:bottom w:val="none" w:sz="0" w:space="0" w:color="auto"/>
        <w:right w:val="none" w:sz="0" w:space="0" w:color="auto"/>
      </w:divBdr>
    </w:div>
    <w:div w:id="55973646">
      <w:bodyDiv w:val="1"/>
      <w:marLeft w:val="0"/>
      <w:marRight w:val="0"/>
      <w:marTop w:val="0"/>
      <w:marBottom w:val="0"/>
      <w:divBdr>
        <w:top w:val="none" w:sz="0" w:space="0" w:color="auto"/>
        <w:left w:val="none" w:sz="0" w:space="0" w:color="auto"/>
        <w:bottom w:val="none" w:sz="0" w:space="0" w:color="auto"/>
        <w:right w:val="none" w:sz="0" w:space="0" w:color="auto"/>
      </w:divBdr>
    </w:div>
    <w:div w:id="73479927">
      <w:bodyDiv w:val="1"/>
      <w:marLeft w:val="0"/>
      <w:marRight w:val="0"/>
      <w:marTop w:val="0"/>
      <w:marBottom w:val="0"/>
      <w:divBdr>
        <w:top w:val="none" w:sz="0" w:space="0" w:color="auto"/>
        <w:left w:val="none" w:sz="0" w:space="0" w:color="auto"/>
        <w:bottom w:val="none" w:sz="0" w:space="0" w:color="auto"/>
        <w:right w:val="none" w:sz="0" w:space="0" w:color="auto"/>
      </w:divBdr>
    </w:div>
    <w:div w:id="83848371">
      <w:bodyDiv w:val="1"/>
      <w:marLeft w:val="0"/>
      <w:marRight w:val="0"/>
      <w:marTop w:val="0"/>
      <w:marBottom w:val="0"/>
      <w:divBdr>
        <w:top w:val="none" w:sz="0" w:space="0" w:color="auto"/>
        <w:left w:val="none" w:sz="0" w:space="0" w:color="auto"/>
        <w:bottom w:val="none" w:sz="0" w:space="0" w:color="auto"/>
        <w:right w:val="none" w:sz="0" w:space="0" w:color="auto"/>
      </w:divBdr>
    </w:div>
    <w:div w:id="110563491">
      <w:bodyDiv w:val="1"/>
      <w:marLeft w:val="0"/>
      <w:marRight w:val="0"/>
      <w:marTop w:val="0"/>
      <w:marBottom w:val="0"/>
      <w:divBdr>
        <w:top w:val="none" w:sz="0" w:space="0" w:color="auto"/>
        <w:left w:val="none" w:sz="0" w:space="0" w:color="auto"/>
        <w:bottom w:val="none" w:sz="0" w:space="0" w:color="auto"/>
        <w:right w:val="none" w:sz="0" w:space="0" w:color="auto"/>
      </w:divBdr>
    </w:div>
    <w:div w:id="127667459">
      <w:bodyDiv w:val="1"/>
      <w:marLeft w:val="0"/>
      <w:marRight w:val="0"/>
      <w:marTop w:val="0"/>
      <w:marBottom w:val="0"/>
      <w:divBdr>
        <w:top w:val="none" w:sz="0" w:space="0" w:color="auto"/>
        <w:left w:val="none" w:sz="0" w:space="0" w:color="auto"/>
        <w:bottom w:val="none" w:sz="0" w:space="0" w:color="auto"/>
        <w:right w:val="none" w:sz="0" w:space="0" w:color="auto"/>
      </w:divBdr>
    </w:div>
    <w:div w:id="140273506">
      <w:bodyDiv w:val="1"/>
      <w:marLeft w:val="0"/>
      <w:marRight w:val="0"/>
      <w:marTop w:val="0"/>
      <w:marBottom w:val="0"/>
      <w:divBdr>
        <w:top w:val="none" w:sz="0" w:space="0" w:color="auto"/>
        <w:left w:val="none" w:sz="0" w:space="0" w:color="auto"/>
        <w:bottom w:val="none" w:sz="0" w:space="0" w:color="auto"/>
        <w:right w:val="none" w:sz="0" w:space="0" w:color="auto"/>
      </w:divBdr>
    </w:div>
    <w:div w:id="158428165">
      <w:bodyDiv w:val="1"/>
      <w:marLeft w:val="0"/>
      <w:marRight w:val="0"/>
      <w:marTop w:val="0"/>
      <w:marBottom w:val="0"/>
      <w:divBdr>
        <w:top w:val="none" w:sz="0" w:space="0" w:color="auto"/>
        <w:left w:val="none" w:sz="0" w:space="0" w:color="auto"/>
        <w:bottom w:val="none" w:sz="0" w:space="0" w:color="auto"/>
        <w:right w:val="none" w:sz="0" w:space="0" w:color="auto"/>
      </w:divBdr>
    </w:div>
    <w:div w:id="170412972">
      <w:bodyDiv w:val="1"/>
      <w:marLeft w:val="0"/>
      <w:marRight w:val="0"/>
      <w:marTop w:val="0"/>
      <w:marBottom w:val="0"/>
      <w:divBdr>
        <w:top w:val="none" w:sz="0" w:space="0" w:color="auto"/>
        <w:left w:val="none" w:sz="0" w:space="0" w:color="auto"/>
        <w:bottom w:val="none" w:sz="0" w:space="0" w:color="auto"/>
        <w:right w:val="none" w:sz="0" w:space="0" w:color="auto"/>
      </w:divBdr>
    </w:div>
    <w:div w:id="199588206">
      <w:bodyDiv w:val="1"/>
      <w:marLeft w:val="0"/>
      <w:marRight w:val="0"/>
      <w:marTop w:val="0"/>
      <w:marBottom w:val="0"/>
      <w:divBdr>
        <w:top w:val="none" w:sz="0" w:space="0" w:color="auto"/>
        <w:left w:val="none" w:sz="0" w:space="0" w:color="auto"/>
        <w:bottom w:val="none" w:sz="0" w:space="0" w:color="auto"/>
        <w:right w:val="none" w:sz="0" w:space="0" w:color="auto"/>
      </w:divBdr>
    </w:div>
    <w:div w:id="210970183">
      <w:bodyDiv w:val="1"/>
      <w:marLeft w:val="0"/>
      <w:marRight w:val="0"/>
      <w:marTop w:val="0"/>
      <w:marBottom w:val="0"/>
      <w:divBdr>
        <w:top w:val="none" w:sz="0" w:space="0" w:color="auto"/>
        <w:left w:val="none" w:sz="0" w:space="0" w:color="auto"/>
        <w:bottom w:val="none" w:sz="0" w:space="0" w:color="auto"/>
        <w:right w:val="none" w:sz="0" w:space="0" w:color="auto"/>
      </w:divBdr>
    </w:div>
    <w:div w:id="223100940">
      <w:bodyDiv w:val="1"/>
      <w:marLeft w:val="0"/>
      <w:marRight w:val="0"/>
      <w:marTop w:val="0"/>
      <w:marBottom w:val="0"/>
      <w:divBdr>
        <w:top w:val="none" w:sz="0" w:space="0" w:color="auto"/>
        <w:left w:val="none" w:sz="0" w:space="0" w:color="auto"/>
        <w:bottom w:val="none" w:sz="0" w:space="0" w:color="auto"/>
        <w:right w:val="none" w:sz="0" w:space="0" w:color="auto"/>
      </w:divBdr>
    </w:div>
    <w:div w:id="229583005">
      <w:bodyDiv w:val="1"/>
      <w:marLeft w:val="0"/>
      <w:marRight w:val="0"/>
      <w:marTop w:val="0"/>
      <w:marBottom w:val="0"/>
      <w:divBdr>
        <w:top w:val="none" w:sz="0" w:space="0" w:color="auto"/>
        <w:left w:val="none" w:sz="0" w:space="0" w:color="auto"/>
        <w:bottom w:val="none" w:sz="0" w:space="0" w:color="auto"/>
        <w:right w:val="none" w:sz="0" w:space="0" w:color="auto"/>
      </w:divBdr>
    </w:div>
    <w:div w:id="230310020">
      <w:bodyDiv w:val="1"/>
      <w:marLeft w:val="0"/>
      <w:marRight w:val="0"/>
      <w:marTop w:val="0"/>
      <w:marBottom w:val="0"/>
      <w:divBdr>
        <w:top w:val="none" w:sz="0" w:space="0" w:color="auto"/>
        <w:left w:val="none" w:sz="0" w:space="0" w:color="auto"/>
        <w:bottom w:val="none" w:sz="0" w:space="0" w:color="auto"/>
        <w:right w:val="none" w:sz="0" w:space="0" w:color="auto"/>
      </w:divBdr>
    </w:div>
    <w:div w:id="247158964">
      <w:bodyDiv w:val="1"/>
      <w:marLeft w:val="0"/>
      <w:marRight w:val="0"/>
      <w:marTop w:val="0"/>
      <w:marBottom w:val="0"/>
      <w:divBdr>
        <w:top w:val="none" w:sz="0" w:space="0" w:color="auto"/>
        <w:left w:val="none" w:sz="0" w:space="0" w:color="auto"/>
        <w:bottom w:val="none" w:sz="0" w:space="0" w:color="auto"/>
        <w:right w:val="none" w:sz="0" w:space="0" w:color="auto"/>
      </w:divBdr>
    </w:div>
    <w:div w:id="260768415">
      <w:bodyDiv w:val="1"/>
      <w:marLeft w:val="0"/>
      <w:marRight w:val="0"/>
      <w:marTop w:val="0"/>
      <w:marBottom w:val="0"/>
      <w:divBdr>
        <w:top w:val="none" w:sz="0" w:space="0" w:color="auto"/>
        <w:left w:val="none" w:sz="0" w:space="0" w:color="auto"/>
        <w:bottom w:val="none" w:sz="0" w:space="0" w:color="auto"/>
        <w:right w:val="none" w:sz="0" w:space="0" w:color="auto"/>
      </w:divBdr>
    </w:div>
    <w:div w:id="265238784">
      <w:bodyDiv w:val="1"/>
      <w:marLeft w:val="0"/>
      <w:marRight w:val="0"/>
      <w:marTop w:val="0"/>
      <w:marBottom w:val="0"/>
      <w:divBdr>
        <w:top w:val="none" w:sz="0" w:space="0" w:color="auto"/>
        <w:left w:val="none" w:sz="0" w:space="0" w:color="auto"/>
        <w:bottom w:val="none" w:sz="0" w:space="0" w:color="auto"/>
        <w:right w:val="none" w:sz="0" w:space="0" w:color="auto"/>
      </w:divBdr>
    </w:div>
    <w:div w:id="265356819">
      <w:bodyDiv w:val="1"/>
      <w:marLeft w:val="0"/>
      <w:marRight w:val="0"/>
      <w:marTop w:val="0"/>
      <w:marBottom w:val="0"/>
      <w:divBdr>
        <w:top w:val="none" w:sz="0" w:space="0" w:color="auto"/>
        <w:left w:val="none" w:sz="0" w:space="0" w:color="auto"/>
        <w:bottom w:val="none" w:sz="0" w:space="0" w:color="auto"/>
        <w:right w:val="none" w:sz="0" w:space="0" w:color="auto"/>
      </w:divBdr>
    </w:div>
    <w:div w:id="271909948">
      <w:bodyDiv w:val="1"/>
      <w:marLeft w:val="0"/>
      <w:marRight w:val="0"/>
      <w:marTop w:val="0"/>
      <w:marBottom w:val="0"/>
      <w:divBdr>
        <w:top w:val="none" w:sz="0" w:space="0" w:color="auto"/>
        <w:left w:val="none" w:sz="0" w:space="0" w:color="auto"/>
        <w:bottom w:val="none" w:sz="0" w:space="0" w:color="auto"/>
        <w:right w:val="none" w:sz="0" w:space="0" w:color="auto"/>
      </w:divBdr>
    </w:div>
    <w:div w:id="275480333">
      <w:bodyDiv w:val="1"/>
      <w:marLeft w:val="0"/>
      <w:marRight w:val="0"/>
      <w:marTop w:val="0"/>
      <w:marBottom w:val="0"/>
      <w:divBdr>
        <w:top w:val="none" w:sz="0" w:space="0" w:color="auto"/>
        <w:left w:val="none" w:sz="0" w:space="0" w:color="auto"/>
        <w:bottom w:val="none" w:sz="0" w:space="0" w:color="auto"/>
        <w:right w:val="none" w:sz="0" w:space="0" w:color="auto"/>
      </w:divBdr>
    </w:div>
    <w:div w:id="288123195">
      <w:bodyDiv w:val="1"/>
      <w:marLeft w:val="0"/>
      <w:marRight w:val="0"/>
      <w:marTop w:val="0"/>
      <w:marBottom w:val="0"/>
      <w:divBdr>
        <w:top w:val="none" w:sz="0" w:space="0" w:color="auto"/>
        <w:left w:val="none" w:sz="0" w:space="0" w:color="auto"/>
        <w:bottom w:val="none" w:sz="0" w:space="0" w:color="auto"/>
        <w:right w:val="none" w:sz="0" w:space="0" w:color="auto"/>
      </w:divBdr>
    </w:div>
    <w:div w:id="297731284">
      <w:bodyDiv w:val="1"/>
      <w:marLeft w:val="0"/>
      <w:marRight w:val="0"/>
      <w:marTop w:val="0"/>
      <w:marBottom w:val="0"/>
      <w:divBdr>
        <w:top w:val="none" w:sz="0" w:space="0" w:color="auto"/>
        <w:left w:val="none" w:sz="0" w:space="0" w:color="auto"/>
        <w:bottom w:val="none" w:sz="0" w:space="0" w:color="auto"/>
        <w:right w:val="none" w:sz="0" w:space="0" w:color="auto"/>
      </w:divBdr>
    </w:div>
    <w:div w:id="301157424">
      <w:bodyDiv w:val="1"/>
      <w:marLeft w:val="0"/>
      <w:marRight w:val="0"/>
      <w:marTop w:val="0"/>
      <w:marBottom w:val="0"/>
      <w:divBdr>
        <w:top w:val="none" w:sz="0" w:space="0" w:color="auto"/>
        <w:left w:val="none" w:sz="0" w:space="0" w:color="auto"/>
        <w:bottom w:val="none" w:sz="0" w:space="0" w:color="auto"/>
        <w:right w:val="none" w:sz="0" w:space="0" w:color="auto"/>
      </w:divBdr>
    </w:div>
    <w:div w:id="305360749">
      <w:bodyDiv w:val="1"/>
      <w:marLeft w:val="0"/>
      <w:marRight w:val="0"/>
      <w:marTop w:val="0"/>
      <w:marBottom w:val="0"/>
      <w:divBdr>
        <w:top w:val="none" w:sz="0" w:space="0" w:color="auto"/>
        <w:left w:val="none" w:sz="0" w:space="0" w:color="auto"/>
        <w:bottom w:val="none" w:sz="0" w:space="0" w:color="auto"/>
        <w:right w:val="none" w:sz="0" w:space="0" w:color="auto"/>
      </w:divBdr>
    </w:div>
    <w:div w:id="306931762">
      <w:bodyDiv w:val="1"/>
      <w:marLeft w:val="0"/>
      <w:marRight w:val="0"/>
      <w:marTop w:val="0"/>
      <w:marBottom w:val="0"/>
      <w:divBdr>
        <w:top w:val="none" w:sz="0" w:space="0" w:color="auto"/>
        <w:left w:val="none" w:sz="0" w:space="0" w:color="auto"/>
        <w:bottom w:val="none" w:sz="0" w:space="0" w:color="auto"/>
        <w:right w:val="none" w:sz="0" w:space="0" w:color="auto"/>
      </w:divBdr>
    </w:div>
    <w:div w:id="310867336">
      <w:bodyDiv w:val="1"/>
      <w:marLeft w:val="0"/>
      <w:marRight w:val="0"/>
      <w:marTop w:val="0"/>
      <w:marBottom w:val="0"/>
      <w:divBdr>
        <w:top w:val="none" w:sz="0" w:space="0" w:color="auto"/>
        <w:left w:val="none" w:sz="0" w:space="0" w:color="auto"/>
        <w:bottom w:val="none" w:sz="0" w:space="0" w:color="auto"/>
        <w:right w:val="none" w:sz="0" w:space="0" w:color="auto"/>
      </w:divBdr>
      <w:divsChild>
        <w:div w:id="304940989">
          <w:marLeft w:val="0"/>
          <w:marRight w:val="0"/>
          <w:marTop w:val="0"/>
          <w:marBottom w:val="0"/>
          <w:divBdr>
            <w:top w:val="none" w:sz="0" w:space="0" w:color="auto"/>
            <w:left w:val="none" w:sz="0" w:space="0" w:color="auto"/>
            <w:bottom w:val="none" w:sz="0" w:space="0" w:color="auto"/>
            <w:right w:val="none" w:sz="0" w:space="0" w:color="auto"/>
          </w:divBdr>
        </w:div>
        <w:div w:id="580411228">
          <w:marLeft w:val="0"/>
          <w:marRight w:val="0"/>
          <w:marTop w:val="0"/>
          <w:marBottom w:val="0"/>
          <w:divBdr>
            <w:top w:val="none" w:sz="0" w:space="0" w:color="auto"/>
            <w:left w:val="none" w:sz="0" w:space="0" w:color="auto"/>
            <w:bottom w:val="none" w:sz="0" w:space="0" w:color="auto"/>
            <w:right w:val="none" w:sz="0" w:space="0" w:color="auto"/>
          </w:divBdr>
        </w:div>
        <w:div w:id="1195923546">
          <w:marLeft w:val="0"/>
          <w:marRight w:val="0"/>
          <w:marTop w:val="0"/>
          <w:marBottom w:val="0"/>
          <w:divBdr>
            <w:top w:val="none" w:sz="0" w:space="0" w:color="auto"/>
            <w:left w:val="none" w:sz="0" w:space="0" w:color="auto"/>
            <w:bottom w:val="none" w:sz="0" w:space="0" w:color="auto"/>
            <w:right w:val="none" w:sz="0" w:space="0" w:color="auto"/>
          </w:divBdr>
        </w:div>
        <w:div w:id="1360088607">
          <w:marLeft w:val="0"/>
          <w:marRight w:val="0"/>
          <w:marTop w:val="0"/>
          <w:marBottom w:val="0"/>
          <w:divBdr>
            <w:top w:val="none" w:sz="0" w:space="0" w:color="auto"/>
            <w:left w:val="none" w:sz="0" w:space="0" w:color="auto"/>
            <w:bottom w:val="none" w:sz="0" w:space="0" w:color="auto"/>
            <w:right w:val="none" w:sz="0" w:space="0" w:color="auto"/>
          </w:divBdr>
        </w:div>
        <w:div w:id="1859461007">
          <w:marLeft w:val="0"/>
          <w:marRight w:val="0"/>
          <w:marTop w:val="0"/>
          <w:marBottom w:val="0"/>
          <w:divBdr>
            <w:top w:val="none" w:sz="0" w:space="0" w:color="auto"/>
            <w:left w:val="none" w:sz="0" w:space="0" w:color="auto"/>
            <w:bottom w:val="none" w:sz="0" w:space="0" w:color="auto"/>
            <w:right w:val="none" w:sz="0" w:space="0" w:color="auto"/>
          </w:divBdr>
        </w:div>
        <w:div w:id="2061782964">
          <w:marLeft w:val="0"/>
          <w:marRight w:val="0"/>
          <w:marTop w:val="0"/>
          <w:marBottom w:val="0"/>
          <w:divBdr>
            <w:top w:val="none" w:sz="0" w:space="0" w:color="auto"/>
            <w:left w:val="none" w:sz="0" w:space="0" w:color="auto"/>
            <w:bottom w:val="none" w:sz="0" w:space="0" w:color="auto"/>
            <w:right w:val="none" w:sz="0" w:space="0" w:color="auto"/>
          </w:divBdr>
        </w:div>
      </w:divsChild>
    </w:div>
    <w:div w:id="338310305">
      <w:bodyDiv w:val="1"/>
      <w:marLeft w:val="0"/>
      <w:marRight w:val="0"/>
      <w:marTop w:val="0"/>
      <w:marBottom w:val="0"/>
      <w:divBdr>
        <w:top w:val="none" w:sz="0" w:space="0" w:color="auto"/>
        <w:left w:val="none" w:sz="0" w:space="0" w:color="auto"/>
        <w:bottom w:val="none" w:sz="0" w:space="0" w:color="auto"/>
        <w:right w:val="none" w:sz="0" w:space="0" w:color="auto"/>
      </w:divBdr>
    </w:div>
    <w:div w:id="339740509">
      <w:bodyDiv w:val="1"/>
      <w:marLeft w:val="0"/>
      <w:marRight w:val="0"/>
      <w:marTop w:val="0"/>
      <w:marBottom w:val="0"/>
      <w:divBdr>
        <w:top w:val="none" w:sz="0" w:space="0" w:color="auto"/>
        <w:left w:val="none" w:sz="0" w:space="0" w:color="auto"/>
        <w:bottom w:val="none" w:sz="0" w:space="0" w:color="auto"/>
        <w:right w:val="none" w:sz="0" w:space="0" w:color="auto"/>
      </w:divBdr>
    </w:div>
    <w:div w:id="391081496">
      <w:bodyDiv w:val="1"/>
      <w:marLeft w:val="0"/>
      <w:marRight w:val="0"/>
      <w:marTop w:val="0"/>
      <w:marBottom w:val="0"/>
      <w:divBdr>
        <w:top w:val="none" w:sz="0" w:space="0" w:color="auto"/>
        <w:left w:val="none" w:sz="0" w:space="0" w:color="auto"/>
        <w:bottom w:val="none" w:sz="0" w:space="0" w:color="auto"/>
        <w:right w:val="none" w:sz="0" w:space="0" w:color="auto"/>
      </w:divBdr>
    </w:div>
    <w:div w:id="397360149">
      <w:bodyDiv w:val="1"/>
      <w:marLeft w:val="0"/>
      <w:marRight w:val="0"/>
      <w:marTop w:val="0"/>
      <w:marBottom w:val="0"/>
      <w:divBdr>
        <w:top w:val="none" w:sz="0" w:space="0" w:color="auto"/>
        <w:left w:val="none" w:sz="0" w:space="0" w:color="auto"/>
        <w:bottom w:val="none" w:sz="0" w:space="0" w:color="auto"/>
        <w:right w:val="none" w:sz="0" w:space="0" w:color="auto"/>
      </w:divBdr>
    </w:div>
    <w:div w:id="407918614">
      <w:bodyDiv w:val="1"/>
      <w:marLeft w:val="0"/>
      <w:marRight w:val="0"/>
      <w:marTop w:val="0"/>
      <w:marBottom w:val="0"/>
      <w:divBdr>
        <w:top w:val="none" w:sz="0" w:space="0" w:color="auto"/>
        <w:left w:val="none" w:sz="0" w:space="0" w:color="auto"/>
        <w:bottom w:val="none" w:sz="0" w:space="0" w:color="auto"/>
        <w:right w:val="none" w:sz="0" w:space="0" w:color="auto"/>
      </w:divBdr>
    </w:div>
    <w:div w:id="409348060">
      <w:bodyDiv w:val="1"/>
      <w:marLeft w:val="0"/>
      <w:marRight w:val="0"/>
      <w:marTop w:val="0"/>
      <w:marBottom w:val="0"/>
      <w:divBdr>
        <w:top w:val="none" w:sz="0" w:space="0" w:color="auto"/>
        <w:left w:val="none" w:sz="0" w:space="0" w:color="auto"/>
        <w:bottom w:val="none" w:sz="0" w:space="0" w:color="auto"/>
        <w:right w:val="none" w:sz="0" w:space="0" w:color="auto"/>
      </w:divBdr>
    </w:div>
    <w:div w:id="413356319">
      <w:bodyDiv w:val="1"/>
      <w:marLeft w:val="0"/>
      <w:marRight w:val="0"/>
      <w:marTop w:val="0"/>
      <w:marBottom w:val="0"/>
      <w:divBdr>
        <w:top w:val="none" w:sz="0" w:space="0" w:color="auto"/>
        <w:left w:val="none" w:sz="0" w:space="0" w:color="auto"/>
        <w:bottom w:val="none" w:sz="0" w:space="0" w:color="auto"/>
        <w:right w:val="none" w:sz="0" w:space="0" w:color="auto"/>
      </w:divBdr>
    </w:div>
    <w:div w:id="429588605">
      <w:bodyDiv w:val="1"/>
      <w:marLeft w:val="0"/>
      <w:marRight w:val="0"/>
      <w:marTop w:val="0"/>
      <w:marBottom w:val="0"/>
      <w:divBdr>
        <w:top w:val="none" w:sz="0" w:space="0" w:color="auto"/>
        <w:left w:val="none" w:sz="0" w:space="0" w:color="auto"/>
        <w:bottom w:val="none" w:sz="0" w:space="0" w:color="auto"/>
        <w:right w:val="none" w:sz="0" w:space="0" w:color="auto"/>
      </w:divBdr>
    </w:div>
    <w:div w:id="430276115">
      <w:bodyDiv w:val="1"/>
      <w:marLeft w:val="0"/>
      <w:marRight w:val="0"/>
      <w:marTop w:val="0"/>
      <w:marBottom w:val="0"/>
      <w:divBdr>
        <w:top w:val="none" w:sz="0" w:space="0" w:color="auto"/>
        <w:left w:val="none" w:sz="0" w:space="0" w:color="auto"/>
        <w:bottom w:val="none" w:sz="0" w:space="0" w:color="auto"/>
        <w:right w:val="none" w:sz="0" w:space="0" w:color="auto"/>
      </w:divBdr>
    </w:div>
    <w:div w:id="430704862">
      <w:bodyDiv w:val="1"/>
      <w:marLeft w:val="0"/>
      <w:marRight w:val="0"/>
      <w:marTop w:val="0"/>
      <w:marBottom w:val="0"/>
      <w:divBdr>
        <w:top w:val="none" w:sz="0" w:space="0" w:color="auto"/>
        <w:left w:val="none" w:sz="0" w:space="0" w:color="auto"/>
        <w:bottom w:val="none" w:sz="0" w:space="0" w:color="auto"/>
        <w:right w:val="none" w:sz="0" w:space="0" w:color="auto"/>
      </w:divBdr>
    </w:div>
    <w:div w:id="433136904">
      <w:bodyDiv w:val="1"/>
      <w:marLeft w:val="0"/>
      <w:marRight w:val="0"/>
      <w:marTop w:val="0"/>
      <w:marBottom w:val="0"/>
      <w:divBdr>
        <w:top w:val="none" w:sz="0" w:space="0" w:color="auto"/>
        <w:left w:val="none" w:sz="0" w:space="0" w:color="auto"/>
        <w:bottom w:val="none" w:sz="0" w:space="0" w:color="auto"/>
        <w:right w:val="none" w:sz="0" w:space="0" w:color="auto"/>
      </w:divBdr>
    </w:div>
    <w:div w:id="442112793">
      <w:bodyDiv w:val="1"/>
      <w:marLeft w:val="0"/>
      <w:marRight w:val="0"/>
      <w:marTop w:val="0"/>
      <w:marBottom w:val="0"/>
      <w:divBdr>
        <w:top w:val="none" w:sz="0" w:space="0" w:color="auto"/>
        <w:left w:val="none" w:sz="0" w:space="0" w:color="auto"/>
        <w:bottom w:val="none" w:sz="0" w:space="0" w:color="auto"/>
        <w:right w:val="none" w:sz="0" w:space="0" w:color="auto"/>
      </w:divBdr>
    </w:div>
    <w:div w:id="464205596">
      <w:bodyDiv w:val="1"/>
      <w:marLeft w:val="0"/>
      <w:marRight w:val="0"/>
      <w:marTop w:val="0"/>
      <w:marBottom w:val="0"/>
      <w:divBdr>
        <w:top w:val="none" w:sz="0" w:space="0" w:color="auto"/>
        <w:left w:val="none" w:sz="0" w:space="0" w:color="auto"/>
        <w:bottom w:val="none" w:sz="0" w:space="0" w:color="auto"/>
        <w:right w:val="none" w:sz="0" w:space="0" w:color="auto"/>
      </w:divBdr>
      <w:divsChild>
        <w:div w:id="1458524176">
          <w:marLeft w:val="0"/>
          <w:marRight w:val="0"/>
          <w:marTop w:val="0"/>
          <w:marBottom w:val="0"/>
          <w:divBdr>
            <w:top w:val="none" w:sz="0" w:space="0" w:color="auto"/>
            <w:left w:val="none" w:sz="0" w:space="0" w:color="auto"/>
            <w:bottom w:val="none" w:sz="0" w:space="0" w:color="auto"/>
            <w:right w:val="none" w:sz="0" w:space="0" w:color="auto"/>
          </w:divBdr>
        </w:div>
        <w:div w:id="1848404381">
          <w:marLeft w:val="0"/>
          <w:marRight w:val="0"/>
          <w:marTop w:val="0"/>
          <w:marBottom w:val="0"/>
          <w:divBdr>
            <w:top w:val="none" w:sz="0" w:space="0" w:color="auto"/>
            <w:left w:val="none" w:sz="0" w:space="0" w:color="auto"/>
            <w:bottom w:val="none" w:sz="0" w:space="0" w:color="auto"/>
            <w:right w:val="none" w:sz="0" w:space="0" w:color="auto"/>
          </w:divBdr>
        </w:div>
      </w:divsChild>
    </w:div>
    <w:div w:id="486939732">
      <w:bodyDiv w:val="1"/>
      <w:marLeft w:val="0"/>
      <w:marRight w:val="0"/>
      <w:marTop w:val="0"/>
      <w:marBottom w:val="0"/>
      <w:divBdr>
        <w:top w:val="none" w:sz="0" w:space="0" w:color="auto"/>
        <w:left w:val="none" w:sz="0" w:space="0" w:color="auto"/>
        <w:bottom w:val="none" w:sz="0" w:space="0" w:color="auto"/>
        <w:right w:val="none" w:sz="0" w:space="0" w:color="auto"/>
      </w:divBdr>
    </w:div>
    <w:div w:id="497306459">
      <w:bodyDiv w:val="1"/>
      <w:marLeft w:val="0"/>
      <w:marRight w:val="0"/>
      <w:marTop w:val="0"/>
      <w:marBottom w:val="0"/>
      <w:divBdr>
        <w:top w:val="none" w:sz="0" w:space="0" w:color="auto"/>
        <w:left w:val="none" w:sz="0" w:space="0" w:color="auto"/>
        <w:bottom w:val="none" w:sz="0" w:space="0" w:color="auto"/>
        <w:right w:val="none" w:sz="0" w:space="0" w:color="auto"/>
      </w:divBdr>
    </w:div>
    <w:div w:id="532961556">
      <w:bodyDiv w:val="1"/>
      <w:marLeft w:val="0"/>
      <w:marRight w:val="0"/>
      <w:marTop w:val="0"/>
      <w:marBottom w:val="0"/>
      <w:divBdr>
        <w:top w:val="none" w:sz="0" w:space="0" w:color="auto"/>
        <w:left w:val="none" w:sz="0" w:space="0" w:color="auto"/>
        <w:bottom w:val="none" w:sz="0" w:space="0" w:color="auto"/>
        <w:right w:val="none" w:sz="0" w:space="0" w:color="auto"/>
      </w:divBdr>
    </w:div>
    <w:div w:id="574903039">
      <w:bodyDiv w:val="1"/>
      <w:marLeft w:val="0"/>
      <w:marRight w:val="0"/>
      <w:marTop w:val="0"/>
      <w:marBottom w:val="0"/>
      <w:divBdr>
        <w:top w:val="none" w:sz="0" w:space="0" w:color="auto"/>
        <w:left w:val="none" w:sz="0" w:space="0" w:color="auto"/>
        <w:bottom w:val="none" w:sz="0" w:space="0" w:color="auto"/>
        <w:right w:val="none" w:sz="0" w:space="0" w:color="auto"/>
      </w:divBdr>
    </w:div>
    <w:div w:id="579405677">
      <w:bodyDiv w:val="1"/>
      <w:marLeft w:val="0"/>
      <w:marRight w:val="0"/>
      <w:marTop w:val="0"/>
      <w:marBottom w:val="0"/>
      <w:divBdr>
        <w:top w:val="none" w:sz="0" w:space="0" w:color="auto"/>
        <w:left w:val="none" w:sz="0" w:space="0" w:color="auto"/>
        <w:bottom w:val="none" w:sz="0" w:space="0" w:color="auto"/>
        <w:right w:val="none" w:sz="0" w:space="0" w:color="auto"/>
      </w:divBdr>
    </w:div>
    <w:div w:id="591009502">
      <w:bodyDiv w:val="1"/>
      <w:marLeft w:val="0"/>
      <w:marRight w:val="0"/>
      <w:marTop w:val="0"/>
      <w:marBottom w:val="0"/>
      <w:divBdr>
        <w:top w:val="none" w:sz="0" w:space="0" w:color="auto"/>
        <w:left w:val="none" w:sz="0" w:space="0" w:color="auto"/>
        <w:bottom w:val="none" w:sz="0" w:space="0" w:color="auto"/>
        <w:right w:val="none" w:sz="0" w:space="0" w:color="auto"/>
      </w:divBdr>
    </w:div>
    <w:div w:id="608588617">
      <w:bodyDiv w:val="1"/>
      <w:marLeft w:val="0"/>
      <w:marRight w:val="0"/>
      <w:marTop w:val="0"/>
      <w:marBottom w:val="0"/>
      <w:divBdr>
        <w:top w:val="none" w:sz="0" w:space="0" w:color="auto"/>
        <w:left w:val="none" w:sz="0" w:space="0" w:color="auto"/>
        <w:bottom w:val="none" w:sz="0" w:space="0" w:color="auto"/>
        <w:right w:val="none" w:sz="0" w:space="0" w:color="auto"/>
      </w:divBdr>
    </w:div>
    <w:div w:id="609049568">
      <w:bodyDiv w:val="1"/>
      <w:marLeft w:val="0"/>
      <w:marRight w:val="0"/>
      <w:marTop w:val="0"/>
      <w:marBottom w:val="0"/>
      <w:divBdr>
        <w:top w:val="none" w:sz="0" w:space="0" w:color="auto"/>
        <w:left w:val="none" w:sz="0" w:space="0" w:color="auto"/>
        <w:bottom w:val="none" w:sz="0" w:space="0" w:color="auto"/>
        <w:right w:val="none" w:sz="0" w:space="0" w:color="auto"/>
      </w:divBdr>
    </w:div>
    <w:div w:id="615714378">
      <w:bodyDiv w:val="1"/>
      <w:marLeft w:val="0"/>
      <w:marRight w:val="0"/>
      <w:marTop w:val="0"/>
      <w:marBottom w:val="0"/>
      <w:divBdr>
        <w:top w:val="none" w:sz="0" w:space="0" w:color="auto"/>
        <w:left w:val="none" w:sz="0" w:space="0" w:color="auto"/>
        <w:bottom w:val="none" w:sz="0" w:space="0" w:color="auto"/>
        <w:right w:val="none" w:sz="0" w:space="0" w:color="auto"/>
      </w:divBdr>
    </w:div>
    <w:div w:id="647980270">
      <w:bodyDiv w:val="1"/>
      <w:marLeft w:val="0"/>
      <w:marRight w:val="0"/>
      <w:marTop w:val="0"/>
      <w:marBottom w:val="0"/>
      <w:divBdr>
        <w:top w:val="none" w:sz="0" w:space="0" w:color="auto"/>
        <w:left w:val="none" w:sz="0" w:space="0" w:color="auto"/>
        <w:bottom w:val="none" w:sz="0" w:space="0" w:color="auto"/>
        <w:right w:val="none" w:sz="0" w:space="0" w:color="auto"/>
      </w:divBdr>
    </w:div>
    <w:div w:id="655573915">
      <w:bodyDiv w:val="1"/>
      <w:marLeft w:val="0"/>
      <w:marRight w:val="0"/>
      <w:marTop w:val="0"/>
      <w:marBottom w:val="0"/>
      <w:divBdr>
        <w:top w:val="none" w:sz="0" w:space="0" w:color="auto"/>
        <w:left w:val="none" w:sz="0" w:space="0" w:color="auto"/>
        <w:bottom w:val="none" w:sz="0" w:space="0" w:color="auto"/>
        <w:right w:val="none" w:sz="0" w:space="0" w:color="auto"/>
      </w:divBdr>
    </w:div>
    <w:div w:id="658508772">
      <w:bodyDiv w:val="1"/>
      <w:marLeft w:val="0"/>
      <w:marRight w:val="0"/>
      <w:marTop w:val="0"/>
      <w:marBottom w:val="0"/>
      <w:divBdr>
        <w:top w:val="none" w:sz="0" w:space="0" w:color="auto"/>
        <w:left w:val="none" w:sz="0" w:space="0" w:color="auto"/>
        <w:bottom w:val="none" w:sz="0" w:space="0" w:color="auto"/>
        <w:right w:val="none" w:sz="0" w:space="0" w:color="auto"/>
      </w:divBdr>
    </w:div>
    <w:div w:id="688870701">
      <w:bodyDiv w:val="1"/>
      <w:marLeft w:val="0"/>
      <w:marRight w:val="0"/>
      <w:marTop w:val="0"/>
      <w:marBottom w:val="0"/>
      <w:divBdr>
        <w:top w:val="none" w:sz="0" w:space="0" w:color="auto"/>
        <w:left w:val="none" w:sz="0" w:space="0" w:color="auto"/>
        <w:bottom w:val="none" w:sz="0" w:space="0" w:color="auto"/>
        <w:right w:val="none" w:sz="0" w:space="0" w:color="auto"/>
      </w:divBdr>
    </w:div>
    <w:div w:id="699622470">
      <w:bodyDiv w:val="1"/>
      <w:marLeft w:val="0"/>
      <w:marRight w:val="0"/>
      <w:marTop w:val="0"/>
      <w:marBottom w:val="0"/>
      <w:divBdr>
        <w:top w:val="none" w:sz="0" w:space="0" w:color="auto"/>
        <w:left w:val="none" w:sz="0" w:space="0" w:color="auto"/>
        <w:bottom w:val="none" w:sz="0" w:space="0" w:color="auto"/>
        <w:right w:val="none" w:sz="0" w:space="0" w:color="auto"/>
      </w:divBdr>
    </w:div>
    <w:div w:id="705057735">
      <w:bodyDiv w:val="1"/>
      <w:marLeft w:val="0"/>
      <w:marRight w:val="0"/>
      <w:marTop w:val="0"/>
      <w:marBottom w:val="0"/>
      <w:divBdr>
        <w:top w:val="none" w:sz="0" w:space="0" w:color="auto"/>
        <w:left w:val="none" w:sz="0" w:space="0" w:color="auto"/>
        <w:bottom w:val="none" w:sz="0" w:space="0" w:color="auto"/>
        <w:right w:val="none" w:sz="0" w:space="0" w:color="auto"/>
      </w:divBdr>
    </w:div>
    <w:div w:id="705908045">
      <w:bodyDiv w:val="1"/>
      <w:marLeft w:val="0"/>
      <w:marRight w:val="0"/>
      <w:marTop w:val="0"/>
      <w:marBottom w:val="0"/>
      <w:divBdr>
        <w:top w:val="none" w:sz="0" w:space="0" w:color="auto"/>
        <w:left w:val="none" w:sz="0" w:space="0" w:color="auto"/>
        <w:bottom w:val="none" w:sz="0" w:space="0" w:color="auto"/>
        <w:right w:val="none" w:sz="0" w:space="0" w:color="auto"/>
      </w:divBdr>
    </w:div>
    <w:div w:id="712310965">
      <w:bodyDiv w:val="1"/>
      <w:marLeft w:val="0"/>
      <w:marRight w:val="0"/>
      <w:marTop w:val="0"/>
      <w:marBottom w:val="0"/>
      <w:divBdr>
        <w:top w:val="none" w:sz="0" w:space="0" w:color="auto"/>
        <w:left w:val="none" w:sz="0" w:space="0" w:color="auto"/>
        <w:bottom w:val="none" w:sz="0" w:space="0" w:color="auto"/>
        <w:right w:val="none" w:sz="0" w:space="0" w:color="auto"/>
      </w:divBdr>
    </w:div>
    <w:div w:id="712390220">
      <w:bodyDiv w:val="1"/>
      <w:marLeft w:val="0"/>
      <w:marRight w:val="0"/>
      <w:marTop w:val="0"/>
      <w:marBottom w:val="0"/>
      <w:divBdr>
        <w:top w:val="none" w:sz="0" w:space="0" w:color="auto"/>
        <w:left w:val="none" w:sz="0" w:space="0" w:color="auto"/>
        <w:bottom w:val="none" w:sz="0" w:space="0" w:color="auto"/>
        <w:right w:val="none" w:sz="0" w:space="0" w:color="auto"/>
      </w:divBdr>
    </w:div>
    <w:div w:id="768502113">
      <w:bodyDiv w:val="1"/>
      <w:marLeft w:val="0"/>
      <w:marRight w:val="0"/>
      <w:marTop w:val="0"/>
      <w:marBottom w:val="0"/>
      <w:divBdr>
        <w:top w:val="none" w:sz="0" w:space="0" w:color="auto"/>
        <w:left w:val="none" w:sz="0" w:space="0" w:color="auto"/>
        <w:bottom w:val="none" w:sz="0" w:space="0" w:color="auto"/>
        <w:right w:val="none" w:sz="0" w:space="0" w:color="auto"/>
      </w:divBdr>
    </w:div>
    <w:div w:id="782262531">
      <w:bodyDiv w:val="1"/>
      <w:marLeft w:val="0"/>
      <w:marRight w:val="0"/>
      <w:marTop w:val="0"/>
      <w:marBottom w:val="0"/>
      <w:divBdr>
        <w:top w:val="none" w:sz="0" w:space="0" w:color="auto"/>
        <w:left w:val="none" w:sz="0" w:space="0" w:color="auto"/>
        <w:bottom w:val="none" w:sz="0" w:space="0" w:color="auto"/>
        <w:right w:val="none" w:sz="0" w:space="0" w:color="auto"/>
      </w:divBdr>
    </w:div>
    <w:div w:id="825560126">
      <w:bodyDiv w:val="1"/>
      <w:marLeft w:val="0"/>
      <w:marRight w:val="0"/>
      <w:marTop w:val="0"/>
      <w:marBottom w:val="0"/>
      <w:divBdr>
        <w:top w:val="none" w:sz="0" w:space="0" w:color="auto"/>
        <w:left w:val="none" w:sz="0" w:space="0" w:color="auto"/>
        <w:bottom w:val="none" w:sz="0" w:space="0" w:color="auto"/>
        <w:right w:val="none" w:sz="0" w:space="0" w:color="auto"/>
      </w:divBdr>
    </w:div>
    <w:div w:id="827096111">
      <w:bodyDiv w:val="1"/>
      <w:marLeft w:val="0"/>
      <w:marRight w:val="0"/>
      <w:marTop w:val="0"/>
      <w:marBottom w:val="0"/>
      <w:divBdr>
        <w:top w:val="none" w:sz="0" w:space="0" w:color="auto"/>
        <w:left w:val="none" w:sz="0" w:space="0" w:color="auto"/>
        <w:bottom w:val="none" w:sz="0" w:space="0" w:color="auto"/>
        <w:right w:val="none" w:sz="0" w:space="0" w:color="auto"/>
      </w:divBdr>
    </w:div>
    <w:div w:id="830678093">
      <w:bodyDiv w:val="1"/>
      <w:marLeft w:val="0"/>
      <w:marRight w:val="0"/>
      <w:marTop w:val="0"/>
      <w:marBottom w:val="0"/>
      <w:divBdr>
        <w:top w:val="none" w:sz="0" w:space="0" w:color="auto"/>
        <w:left w:val="none" w:sz="0" w:space="0" w:color="auto"/>
        <w:bottom w:val="none" w:sz="0" w:space="0" w:color="auto"/>
        <w:right w:val="none" w:sz="0" w:space="0" w:color="auto"/>
      </w:divBdr>
    </w:div>
    <w:div w:id="874460402">
      <w:bodyDiv w:val="1"/>
      <w:marLeft w:val="0"/>
      <w:marRight w:val="0"/>
      <w:marTop w:val="0"/>
      <w:marBottom w:val="0"/>
      <w:divBdr>
        <w:top w:val="none" w:sz="0" w:space="0" w:color="auto"/>
        <w:left w:val="none" w:sz="0" w:space="0" w:color="auto"/>
        <w:bottom w:val="none" w:sz="0" w:space="0" w:color="auto"/>
        <w:right w:val="none" w:sz="0" w:space="0" w:color="auto"/>
      </w:divBdr>
    </w:div>
    <w:div w:id="895629089">
      <w:bodyDiv w:val="1"/>
      <w:marLeft w:val="0"/>
      <w:marRight w:val="0"/>
      <w:marTop w:val="0"/>
      <w:marBottom w:val="0"/>
      <w:divBdr>
        <w:top w:val="none" w:sz="0" w:space="0" w:color="auto"/>
        <w:left w:val="none" w:sz="0" w:space="0" w:color="auto"/>
        <w:bottom w:val="none" w:sz="0" w:space="0" w:color="auto"/>
        <w:right w:val="none" w:sz="0" w:space="0" w:color="auto"/>
      </w:divBdr>
    </w:div>
    <w:div w:id="905729133">
      <w:bodyDiv w:val="1"/>
      <w:marLeft w:val="0"/>
      <w:marRight w:val="0"/>
      <w:marTop w:val="0"/>
      <w:marBottom w:val="0"/>
      <w:divBdr>
        <w:top w:val="none" w:sz="0" w:space="0" w:color="auto"/>
        <w:left w:val="none" w:sz="0" w:space="0" w:color="auto"/>
        <w:bottom w:val="none" w:sz="0" w:space="0" w:color="auto"/>
        <w:right w:val="none" w:sz="0" w:space="0" w:color="auto"/>
      </w:divBdr>
    </w:div>
    <w:div w:id="911232320">
      <w:bodyDiv w:val="1"/>
      <w:marLeft w:val="0"/>
      <w:marRight w:val="0"/>
      <w:marTop w:val="0"/>
      <w:marBottom w:val="0"/>
      <w:divBdr>
        <w:top w:val="none" w:sz="0" w:space="0" w:color="auto"/>
        <w:left w:val="none" w:sz="0" w:space="0" w:color="auto"/>
        <w:bottom w:val="none" w:sz="0" w:space="0" w:color="auto"/>
        <w:right w:val="none" w:sz="0" w:space="0" w:color="auto"/>
      </w:divBdr>
    </w:div>
    <w:div w:id="913126146">
      <w:bodyDiv w:val="1"/>
      <w:marLeft w:val="0"/>
      <w:marRight w:val="0"/>
      <w:marTop w:val="0"/>
      <w:marBottom w:val="0"/>
      <w:divBdr>
        <w:top w:val="none" w:sz="0" w:space="0" w:color="auto"/>
        <w:left w:val="none" w:sz="0" w:space="0" w:color="auto"/>
        <w:bottom w:val="none" w:sz="0" w:space="0" w:color="auto"/>
        <w:right w:val="none" w:sz="0" w:space="0" w:color="auto"/>
      </w:divBdr>
    </w:div>
    <w:div w:id="933169209">
      <w:bodyDiv w:val="1"/>
      <w:marLeft w:val="0"/>
      <w:marRight w:val="0"/>
      <w:marTop w:val="0"/>
      <w:marBottom w:val="0"/>
      <w:divBdr>
        <w:top w:val="none" w:sz="0" w:space="0" w:color="auto"/>
        <w:left w:val="none" w:sz="0" w:space="0" w:color="auto"/>
        <w:bottom w:val="none" w:sz="0" w:space="0" w:color="auto"/>
        <w:right w:val="none" w:sz="0" w:space="0" w:color="auto"/>
      </w:divBdr>
      <w:divsChild>
        <w:div w:id="934242279">
          <w:marLeft w:val="0"/>
          <w:marRight w:val="0"/>
          <w:marTop w:val="0"/>
          <w:marBottom w:val="75"/>
          <w:divBdr>
            <w:top w:val="none" w:sz="0" w:space="0" w:color="auto"/>
            <w:left w:val="none" w:sz="0" w:space="0" w:color="auto"/>
            <w:bottom w:val="none" w:sz="0" w:space="0" w:color="auto"/>
            <w:right w:val="none" w:sz="0" w:space="0" w:color="auto"/>
          </w:divBdr>
        </w:div>
      </w:divsChild>
    </w:div>
    <w:div w:id="939141896">
      <w:bodyDiv w:val="1"/>
      <w:marLeft w:val="0"/>
      <w:marRight w:val="0"/>
      <w:marTop w:val="0"/>
      <w:marBottom w:val="0"/>
      <w:divBdr>
        <w:top w:val="none" w:sz="0" w:space="0" w:color="auto"/>
        <w:left w:val="none" w:sz="0" w:space="0" w:color="auto"/>
        <w:bottom w:val="none" w:sz="0" w:space="0" w:color="auto"/>
        <w:right w:val="none" w:sz="0" w:space="0" w:color="auto"/>
      </w:divBdr>
      <w:divsChild>
        <w:div w:id="170150606">
          <w:marLeft w:val="0"/>
          <w:marRight w:val="0"/>
          <w:marTop w:val="0"/>
          <w:marBottom w:val="0"/>
          <w:divBdr>
            <w:top w:val="none" w:sz="0" w:space="0" w:color="auto"/>
            <w:left w:val="none" w:sz="0" w:space="0" w:color="auto"/>
            <w:bottom w:val="none" w:sz="0" w:space="0" w:color="auto"/>
            <w:right w:val="none" w:sz="0" w:space="0" w:color="auto"/>
          </w:divBdr>
        </w:div>
        <w:div w:id="732433716">
          <w:marLeft w:val="0"/>
          <w:marRight w:val="0"/>
          <w:marTop w:val="0"/>
          <w:marBottom w:val="0"/>
          <w:divBdr>
            <w:top w:val="none" w:sz="0" w:space="0" w:color="auto"/>
            <w:left w:val="none" w:sz="0" w:space="0" w:color="auto"/>
            <w:bottom w:val="none" w:sz="0" w:space="0" w:color="auto"/>
            <w:right w:val="none" w:sz="0" w:space="0" w:color="auto"/>
          </w:divBdr>
        </w:div>
        <w:div w:id="1367605900">
          <w:marLeft w:val="0"/>
          <w:marRight w:val="0"/>
          <w:marTop w:val="0"/>
          <w:marBottom w:val="0"/>
          <w:divBdr>
            <w:top w:val="none" w:sz="0" w:space="0" w:color="auto"/>
            <w:left w:val="none" w:sz="0" w:space="0" w:color="auto"/>
            <w:bottom w:val="none" w:sz="0" w:space="0" w:color="auto"/>
            <w:right w:val="none" w:sz="0" w:space="0" w:color="auto"/>
          </w:divBdr>
        </w:div>
        <w:div w:id="1434014274">
          <w:marLeft w:val="0"/>
          <w:marRight w:val="0"/>
          <w:marTop w:val="0"/>
          <w:marBottom w:val="0"/>
          <w:divBdr>
            <w:top w:val="none" w:sz="0" w:space="0" w:color="auto"/>
            <w:left w:val="none" w:sz="0" w:space="0" w:color="auto"/>
            <w:bottom w:val="none" w:sz="0" w:space="0" w:color="auto"/>
            <w:right w:val="none" w:sz="0" w:space="0" w:color="auto"/>
          </w:divBdr>
        </w:div>
      </w:divsChild>
    </w:div>
    <w:div w:id="965693600">
      <w:bodyDiv w:val="1"/>
      <w:marLeft w:val="0"/>
      <w:marRight w:val="0"/>
      <w:marTop w:val="0"/>
      <w:marBottom w:val="0"/>
      <w:divBdr>
        <w:top w:val="none" w:sz="0" w:space="0" w:color="auto"/>
        <w:left w:val="none" w:sz="0" w:space="0" w:color="auto"/>
        <w:bottom w:val="none" w:sz="0" w:space="0" w:color="auto"/>
        <w:right w:val="none" w:sz="0" w:space="0" w:color="auto"/>
      </w:divBdr>
    </w:div>
    <w:div w:id="987510635">
      <w:bodyDiv w:val="1"/>
      <w:marLeft w:val="0"/>
      <w:marRight w:val="0"/>
      <w:marTop w:val="0"/>
      <w:marBottom w:val="0"/>
      <w:divBdr>
        <w:top w:val="none" w:sz="0" w:space="0" w:color="auto"/>
        <w:left w:val="none" w:sz="0" w:space="0" w:color="auto"/>
        <w:bottom w:val="none" w:sz="0" w:space="0" w:color="auto"/>
        <w:right w:val="none" w:sz="0" w:space="0" w:color="auto"/>
      </w:divBdr>
    </w:div>
    <w:div w:id="996495149">
      <w:bodyDiv w:val="1"/>
      <w:marLeft w:val="0"/>
      <w:marRight w:val="0"/>
      <w:marTop w:val="0"/>
      <w:marBottom w:val="0"/>
      <w:divBdr>
        <w:top w:val="none" w:sz="0" w:space="0" w:color="auto"/>
        <w:left w:val="none" w:sz="0" w:space="0" w:color="auto"/>
        <w:bottom w:val="none" w:sz="0" w:space="0" w:color="auto"/>
        <w:right w:val="none" w:sz="0" w:space="0" w:color="auto"/>
      </w:divBdr>
    </w:div>
    <w:div w:id="1009985031">
      <w:bodyDiv w:val="1"/>
      <w:marLeft w:val="0"/>
      <w:marRight w:val="0"/>
      <w:marTop w:val="0"/>
      <w:marBottom w:val="0"/>
      <w:divBdr>
        <w:top w:val="none" w:sz="0" w:space="0" w:color="auto"/>
        <w:left w:val="none" w:sz="0" w:space="0" w:color="auto"/>
        <w:bottom w:val="none" w:sz="0" w:space="0" w:color="auto"/>
        <w:right w:val="none" w:sz="0" w:space="0" w:color="auto"/>
      </w:divBdr>
    </w:div>
    <w:div w:id="1010371868">
      <w:bodyDiv w:val="1"/>
      <w:marLeft w:val="0"/>
      <w:marRight w:val="0"/>
      <w:marTop w:val="0"/>
      <w:marBottom w:val="0"/>
      <w:divBdr>
        <w:top w:val="none" w:sz="0" w:space="0" w:color="auto"/>
        <w:left w:val="none" w:sz="0" w:space="0" w:color="auto"/>
        <w:bottom w:val="none" w:sz="0" w:space="0" w:color="auto"/>
        <w:right w:val="none" w:sz="0" w:space="0" w:color="auto"/>
      </w:divBdr>
    </w:div>
    <w:div w:id="1010984435">
      <w:bodyDiv w:val="1"/>
      <w:marLeft w:val="0"/>
      <w:marRight w:val="0"/>
      <w:marTop w:val="0"/>
      <w:marBottom w:val="0"/>
      <w:divBdr>
        <w:top w:val="none" w:sz="0" w:space="0" w:color="auto"/>
        <w:left w:val="none" w:sz="0" w:space="0" w:color="auto"/>
        <w:bottom w:val="none" w:sz="0" w:space="0" w:color="auto"/>
        <w:right w:val="none" w:sz="0" w:space="0" w:color="auto"/>
      </w:divBdr>
      <w:divsChild>
        <w:div w:id="1221290193">
          <w:marLeft w:val="0"/>
          <w:marRight w:val="0"/>
          <w:marTop w:val="0"/>
          <w:marBottom w:val="0"/>
          <w:divBdr>
            <w:top w:val="none" w:sz="0" w:space="0" w:color="auto"/>
            <w:left w:val="none" w:sz="0" w:space="0" w:color="auto"/>
            <w:bottom w:val="none" w:sz="0" w:space="0" w:color="auto"/>
            <w:right w:val="none" w:sz="0" w:space="0" w:color="auto"/>
          </w:divBdr>
        </w:div>
      </w:divsChild>
    </w:div>
    <w:div w:id="1011638409">
      <w:bodyDiv w:val="1"/>
      <w:marLeft w:val="0"/>
      <w:marRight w:val="0"/>
      <w:marTop w:val="0"/>
      <w:marBottom w:val="0"/>
      <w:divBdr>
        <w:top w:val="none" w:sz="0" w:space="0" w:color="auto"/>
        <w:left w:val="none" w:sz="0" w:space="0" w:color="auto"/>
        <w:bottom w:val="none" w:sz="0" w:space="0" w:color="auto"/>
        <w:right w:val="none" w:sz="0" w:space="0" w:color="auto"/>
      </w:divBdr>
    </w:div>
    <w:div w:id="1019742666">
      <w:bodyDiv w:val="1"/>
      <w:marLeft w:val="0"/>
      <w:marRight w:val="0"/>
      <w:marTop w:val="0"/>
      <w:marBottom w:val="0"/>
      <w:divBdr>
        <w:top w:val="none" w:sz="0" w:space="0" w:color="auto"/>
        <w:left w:val="none" w:sz="0" w:space="0" w:color="auto"/>
        <w:bottom w:val="none" w:sz="0" w:space="0" w:color="auto"/>
        <w:right w:val="none" w:sz="0" w:space="0" w:color="auto"/>
      </w:divBdr>
    </w:div>
    <w:div w:id="1038967830">
      <w:bodyDiv w:val="1"/>
      <w:marLeft w:val="0"/>
      <w:marRight w:val="0"/>
      <w:marTop w:val="0"/>
      <w:marBottom w:val="0"/>
      <w:divBdr>
        <w:top w:val="none" w:sz="0" w:space="0" w:color="auto"/>
        <w:left w:val="none" w:sz="0" w:space="0" w:color="auto"/>
        <w:bottom w:val="none" w:sz="0" w:space="0" w:color="auto"/>
        <w:right w:val="none" w:sz="0" w:space="0" w:color="auto"/>
      </w:divBdr>
    </w:div>
    <w:div w:id="1041322840">
      <w:bodyDiv w:val="1"/>
      <w:marLeft w:val="0"/>
      <w:marRight w:val="0"/>
      <w:marTop w:val="0"/>
      <w:marBottom w:val="0"/>
      <w:divBdr>
        <w:top w:val="none" w:sz="0" w:space="0" w:color="auto"/>
        <w:left w:val="none" w:sz="0" w:space="0" w:color="auto"/>
        <w:bottom w:val="none" w:sz="0" w:space="0" w:color="auto"/>
        <w:right w:val="none" w:sz="0" w:space="0" w:color="auto"/>
      </w:divBdr>
    </w:div>
    <w:div w:id="1044522633">
      <w:bodyDiv w:val="1"/>
      <w:marLeft w:val="0"/>
      <w:marRight w:val="0"/>
      <w:marTop w:val="0"/>
      <w:marBottom w:val="0"/>
      <w:divBdr>
        <w:top w:val="none" w:sz="0" w:space="0" w:color="auto"/>
        <w:left w:val="none" w:sz="0" w:space="0" w:color="auto"/>
        <w:bottom w:val="none" w:sz="0" w:space="0" w:color="auto"/>
        <w:right w:val="none" w:sz="0" w:space="0" w:color="auto"/>
      </w:divBdr>
    </w:div>
    <w:div w:id="1094861419">
      <w:bodyDiv w:val="1"/>
      <w:marLeft w:val="0"/>
      <w:marRight w:val="0"/>
      <w:marTop w:val="0"/>
      <w:marBottom w:val="0"/>
      <w:divBdr>
        <w:top w:val="none" w:sz="0" w:space="0" w:color="auto"/>
        <w:left w:val="none" w:sz="0" w:space="0" w:color="auto"/>
        <w:bottom w:val="none" w:sz="0" w:space="0" w:color="auto"/>
        <w:right w:val="none" w:sz="0" w:space="0" w:color="auto"/>
      </w:divBdr>
    </w:div>
    <w:div w:id="1096172272">
      <w:bodyDiv w:val="1"/>
      <w:marLeft w:val="0"/>
      <w:marRight w:val="0"/>
      <w:marTop w:val="0"/>
      <w:marBottom w:val="0"/>
      <w:divBdr>
        <w:top w:val="none" w:sz="0" w:space="0" w:color="auto"/>
        <w:left w:val="none" w:sz="0" w:space="0" w:color="auto"/>
        <w:bottom w:val="none" w:sz="0" w:space="0" w:color="auto"/>
        <w:right w:val="none" w:sz="0" w:space="0" w:color="auto"/>
      </w:divBdr>
    </w:div>
    <w:div w:id="1115445603">
      <w:bodyDiv w:val="1"/>
      <w:marLeft w:val="0"/>
      <w:marRight w:val="0"/>
      <w:marTop w:val="0"/>
      <w:marBottom w:val="0"/>
      <w:divBdr>
        <w:top w:val="none" w:sz="0" w:space="0" w:color="auto"/>
        <w:left w:val="none" w:sz="0" w:space="0" w:color="auto"/>
        <w:bottom w:val="none" w:sz="0" w:space="0" w:color="auto"/>
        <w:right w:val="none" w:sz="0" w:space="0" w:color="auto"/>
      </w:divBdr>
    </w:div>
    <w:div w:id="1118993284">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31435231">
      <w:bodyDiv w:val="1"/>
      <w:marLeft w:val="0"/>
      <w:marRight w:val="0"/>
      <w:marTop w:val="0"/>
      <w:marBottom w:val="0"/>
      <w:divBdr>
        <w:top w:val="none" w:sz="0" w:space="0" w:color="auto"/>
        <w:left w:val="none" w:sz="0" w:space="0" w:color="auto"/>
        <w:bottom w:val="none" w:sz="0" w:space="0" w:color="auto"/>
        <w:right w:val="none" w:sz="0" w:space="0" w:color="auto"/>
      </w:divBdr>
    </w:div>
    <w:div w:id="1139299453">
      <w:bodyDiv w:val="1"/>
      <w:marLeft w:val="0"/>
      <w:marRight w:val="0"/>
      <w:marTop w:val="0"/>
      <w:marBottom w:val="0"/>
      <w:divBdr>
        <w:top w:val="none" w:sz="0" w:space="0" w:color="auto"/>
        <w:left w:val="none" w:sz="0" w:space="0" w:color="auto"/>
        <w:bottom w:val="none" w:sz="0" w:space="0" w:color="auto"/>
        <w:right w:val="none" w:sz="0" w:space="0" w:color="auto"/>
      </w:divBdr>
    </w:div>
    <w:div w:id="1163080918">
      <w:bodyDiv w:val="1"/>
      <w:marLeft w:val="0"/>
      <w:marRight w:val="0"/>
      <w:marTop w:val="0"/>
      <w:marBottom w:val="0"/>
      <w:divBdr>
        <w:top w:val="none" w:sz="0" w:space="0" w:color="auto"/>
        <w:left w:val="none" w:sz="0" w:space="0" w:color="auto"/>
        <w:bottom w:val="none" w:sz="0" w:space="0" w:color="auto"/>
        <w:right w:val="none" w:sz="0" w:space="0" w:color="auto"/>
      </w:divBdr>
      <w:divsChild>
        <w:div w:id="15929082">
          <w:marLeft w:val="0"/>
          <w:marRight w:val="0"/>
          <w:marTop w:val="0"/>
          <w:marBottom w:val="0"/>
          <w:divBdr>
            <w:top w:val="none" w:sz="0" w:space="0" w:color="auto"/>
            <w:left w:val="none" w:sz="0" w:space="0" w:color="auto"/>
            <w:bottom w:val="none" w:sz="0" w:space="0" w:color="auto"/>
            <w:right w:val="none" w:sz="0" w:space="0" w:color="auto"/>
          </w:divBdr>
        </w:div>
        <w:div w:id="142478777">
          <w:marLeft w:val="0"/>
          <w:marRight w:val="0"/>
          <w:marTop w:val="0"/>
          <w:marBottom w:val="0"/>
          <w:divBdr>
            <w:top w:val="none" w:sz="0" w:space="0" w:color="auto"/>
            <w:left w:val="none" w:sz="0" w:space="0" w:color="auto"/>
            <w:bottom w:val="none" w:sz="0" w:space="0" w:color="auto"/>
            <w:right w:val="none" w:sz="0" w:space="0" w:color="auto"/>
          </w:divBdr>
        </w:div>
        <w:div w:id="280502814">
          <w:marLeft w:val="0"/>
          <w:marRight w:val="0"/>
          <w:marTop w:val="0"/>
          <w:marBottom w:val="0"/>
          <w:divBdr>
            <w:top w:val="none" w:sz="0" w:space="0" w:color="auto"/>
            <w:left w:val="none" w:sz="0" w:space="0" w:color="auto"/>
            <w:bottom w:val="none" w:sz="0" w:space="0" w:color="auto"/>
            <w:right w:val="none" w:sz="0" w:space="0" w:color="auto"/>
          </w:divBdr>
        </w:div>
        <w:div w:id="928150935">
          <w:marLeft w:val="0"/>
          <w:marRight w:val="0"/>
          <w:marTop w:val="0"/>
          <w:marBottom w:val="0"/>
          <w:divBdr>
            <w:top w:val="none" w:sz="0" w:space="0" w:color="auto"/>
            <w:left w:val="none" w:sz="0" w:space="0" w:color="auto"/>
            <w:bottom w:val="none" w:sz="0" w:space="0" w:color="auto"/>
            <w:right w:val="none" w:sz="0" w:space="0" w:color="auto"/>
          </w:divBdr>
        </w:div>
        <w:div w:id="1687512005">
          <w:marLeft w:val="0"/>
          <w:marRight w:val="0"/>
          <w:marTop w:val="0"/>
          <w:marBottom w:val="0"/>
          <w:divBdr>
            <w:top w:val="none" w:sz="0" w:space="0" w:color="auto"/>
            <w:left w:val="none" w:sz="0" w:space="0" w:color="auto"/>
            <w:bottom w:val="none" w:sz="0" w:space="0" w:color="auto"/>
            <w:right w:val="none" w:sz="0" w:space="0" w:color="auto"/>
          </w:divBdr>
        </w:div>
        <w:div w:id="1762413970">
          <w:marLeft w:val="0"/>
          <w:marRight w:val="0"/>
          <w:marTop w:val="0"/>
          <w:marBottom w:val="0"/>
          <w:divBdr>
            <w:top w:val="none" w:sz="0" w:space="0" w:color="auto"/>
            <w:left w:val="none" w:sz="0" w:space="0" w:color="auto"/>
            <w:bottom w:val="none" w:sz="0" w:space="0" w:color="auto"/>
            <w:right w:val="none" w:sz="0" w:space="0" w:color="auto"/>
          </w:divBdr>
        </w:div>
        <w:div w:id="2120907292">
          <w:marLeft w:val="0"/>
          <w:marRight w:val="0"/>
          <w:marTop w:val="0"/>
          <w:marBottom w:val="0"/>
          <w:divBdr>
            <w:top w:val="none" w:sz="0" w:space="0" w:color="auto"/>
            <w:left w:val="none" w:sz="0" w:space="0" w:color="auto"/>
            <w:bottom w:val="none" w:sz="0" w:space="0" w:color="auto"/>
            <w:right w:val="none" w:sz="0" w:space="0" w:color="auto"/>
          </w:divBdr>
        </w:div>
      </w:divsChild>
    </w:div>
    <w:div w:id="1183589169">
      <w:bodyDiv w:val="1"/>
      <w:marLeft w:val="0"/>
      <w:marRight w:val="0"/>
      <w:marTop w:val="0"/>
      <w:marBottom w:val="0"/>
      <w:divBdr>
        <w:top w:val="none" w:sz="0" w:space="0" w:color="auto"/>
        <w:left w:val="none" w:sz="0" w:space="0" w:color="auto"/>
        <w:bottom w:val="none" w:sz="0" w:space="0" w:color="auto"/>
        <w:right w:val="none" w:sz="0" w:space="0" w:color="auto"/>
      </w:divBdr>
    </w:div>
    <w:div w:id="1190993988">
      <w:bodyDiv w:val="1"/>
      <w:marLeft w:val="0"/>
      <w:marRight w:val="0"/>
      <w:marTop w:val="0"/>
      <w:marBottom w:val="0"/>
      <w:divBdr>
        <w:top w:val="none" w:sz="0" w:space="0" w:color="auto"/>
        <w:left w:val="none" w:sz="0" w:space="0" w:color="auto"/>
        <w:bottom w:val="none" w:sz="0" w:space="0" w:color="auto"/>
        <w:right w:val="none" w:sz="0" w:space="0" w:color="auto"/>
      </w:divBdr>
    </w:div>
    <w:div w:id="1192766016">
      <w:bodyDiv w:val="1"/>
      <w:marLeft w:val="0"/>
      <w:marRight w:val="0"/>
      <w:marTop w:val="0"/>
      <w:marBottom w:val="0"/>
      <w:divBdr>
        <w:top w:val="none" w:sz="0" w:space="0" w:color="auto"/>
        <w:left w:val="none" w:sz="0" w:space="0" w:color="auto"/>
        <w:bottom w:val="none" w:sz="0" w:space="0" w:color="auto"/>
        <w:right w:val="none" w:sz="0" w:space="0" w:color="auto"/>
      </w:divBdr>
    </w:div>
    <w:div w:id="1194075759">
      <w:bodyDiv w:val="1"/>
      <w:marLeft w:val="0"/>
      <w:marRight w:val="0"/>
      <w:marTop w:val="0"/>
      <w:marBottom w:val="0"/>
      <w:divBdr>
        <w:top w:val="none" w:sz="0" w:space="0" w:color="auto"/>
        <w:left w:val="none" w:sz="0" w:space="0" w:color="auto"/>
        <w:bottom w:val="none" w:sz="0" w:space="0" w:color="auto"/>
        <w:right w:val="none" w:sz="0" w:space="0" w:color="auto"/>
      </w:divBdr>
    </w:div>
    <w:div w:id="1199321000">
      <w:bodyDiv w:val="1"/>
      <w:marLeft w:val="0"/>
      <w:marRight w:val="0"/>
      <w:marTop w:val="0"/>
      <w:marBottom w:val="0"/>
      <w:divBdr>
        <w:top w:val="none" w:sz="0" w:space="0" w:color="auto"/>
        <w:left w:val="none" w:sz="0" w:space="0" w:color="auto"/>
        <w:bottom w:val="none" w:sz="0" w:space="0" w:color="auto"/>
        <w:right w:val="none" w:sz="0" w:space="0" w:color="auto"/>
      </w:divBdr>
    </w:div>
    <w:div w:id="1214926427">
      <w:bodyDiv w:val="1"/>
      <w:marLeft w:val="0"/>
      <w:marRight w:val="0"/>
      <w:marTop w:val="0"/>
      <w:marBottom w:val="0"/>
      <w:divBdr>
        <w:top w:val="none" w:sz="0" w:space="0" w:color="auto"/>
        <w:left w:val="none" w:sz="0" w:space="0" w:color="auto"/>
        <w:bottom w:val="none" w:sz="0" w:space="0" w:color="auto"/>
        <w:right w:val="none" w:sz="0" w:space="0" w:color="auto"/>
      </w:divBdr>
    </w:div>
    <w:div w:id="1217349627">
      <w:bodyDiv w:val="1"/>
      <w:marLeft w:val="0"/>
      <w:marRight w:val="0"/>
      <w:marTop w:val="0"/>
      <w:marBottom w:val="0"/>
      <w:divBdr>
        <w:top w:val="none" w:sz="0" w:space="0" w:color="auto"/>
        <w:left w:val="none" w:sz="0" w:space="0" w:color="auto"/>
        <w:bottom w:val="none" w:sz="0" w:space="0" w:color="auto"/>
        <w:right w:val="none" w:sz="0" w:space="0" w:color="auto"/>
      </w:divBdr>
    </w:div>
    <w:div w:id="1237593584">
      <w:bodyDiv w:val="1"/>
      <w:marLeft w:val="0"/>
      <w:marRight w:val="0"/>
      <w:marTop w:val="0"/>
      <w:marBottom w:val="0"/>
      <w:divBdr>
        <w:top w:val="none" w:sz="0" w:space="0" w:color="auto"/>
        <w:left w:val="none" w:sz="0" w:space="0" w:color="auto"/>
        <w:bottom w:val="none" w:sz="0" w:space="0" w:color="auto"/>
        <w:right w:val="none" w:sz="0" w:space="0" w:color="auto"/>
      </w:divBdr>
    </w:div>
    <w:div w:id="1240752415">
      <w:bodyDiv w:val="1"/>
      <w:marLeft w:val="0"/>
      <w:marRight w:val="0"/>
      <w:marTop w:val="0"/>
      <w:marBottom w:val="0"/>
      <w:divBdr>
        <w:top w:val="none" w:sz="0" w:space="0" w:color="auto"/>
        <w:left w:val="none" w:sz="0" w:space="0" w:color="auto"/>
        <w:bottom w:val="none" w:sz="0" w:space="0" w:color="auto"/>
        <w:right w:val="none" w:sz="0" w:space="0" w:color="auto"/>
      </w:divBdr>
    </w:div>
    <w:div w:id="1263495511">
      <w:bodyDiv w:val="1"/>
      <w:marLeft w:val="0"/>
      <w:marRight w:val="0"/>
      <w:marTop w:val="0"/>
      <w:marBottom w:val="0"/>
      <w:divBdr>
        <w:top w:val="none" w:sz="0" w:space="0" w:color="auto"/>
        <w:left w:val="none" w:sz="0" w:space="0" w:color="auto"/>
        <w:bottom w:val="none" w:sz="0" w:space="0" w:color="auto"/>
        <w:right w:val="none" w:sz="0" w:space="0" w:color="auto"/>
      </w:divBdr>
    </w:div>
    <w:div w:id="1265530908">
      <w:bodyDiv w:val="1"/>
      <w:marLeft w:val="0"/>
      <w:marRight w:val="0"/>
      <w:marTop w:val="0"/>
      <w:marBottom w:val="0"/>
      <w:divBdr>
        <w:top w:val="none" w:sz="0" w:space="0" w:color="auto"/>
        <w:left w:val="none" w:sz="0" w:space="0" w:color="auto"/>
        <w:bottom w:val="none" w:sz="0" w:space="0" w:color="auto"/>
        <w:right w:val="none" w:sz="0" w:space="0" w:color="auto"/>
      </w:divBdr>
    </w:div>
    <w:div w:id="1332562511">
      <w:bodyDiv w:val="1"/>
      <w:marLeft w:val="0"/>
      <w:marRight w:val="0"/>
      <w:marTop w:val="0"/>
      <w:marBottom w:val="0"/>
      <w:divBdr>
        <w:top w:val="none" w:sz="0" w:space="0" w:color="auto"/>
        <w:left w:val="none" w:sz="0" w:space="0" w:color="auto"/>
        <w:bottom w:val="none" w:sz="0" w:space="0" w:color="auto"/>
        <w:right w:val="none" w:sz="0" w:space="0" w:color="auto"/>
      </w:divBdr>
    </w:div>
    <w:div w:id="1332830016">
      <w:bodyDiv w:val="1"/>
      <w:marLeft w:val="0"/>
      <w:marRight w:val="0"/>
      <w:marTop w:val="0"/>
      <w:marBottom w:val="0"/>
      <w:divBdr>
        <w:top w:val="none" w:sz="0" w:space="0" w:color="auto"/>
        <w:left w:val="none" w:sz="0" w:space="0" w:color="auto"/>
        <w:bottom w:val="none" w:sz="0" w:space="0" w:color="auto"/>
        <w:right w:val="none" w:sz="0" w:space="0" w:color="auto"/>
      </w:divBdr>
    </w:div>
    <w:div w:id="1350527936">
      <w:bodyDiv w:val="1"/>
      <w:marLeft w:val="0"/>
      <w:marRight w:val="0"/>
      <w:marTop w:val="0"/>
      <w:marBottom w:val="0"/>
      <w:divBdr>
        <w:top w:val="none" w:sz="0" w:space="0" w:color="auto"/>
        <w:left w:val="none" w:sz="0" w:space="0" w:color="auto"/>
        <w:bottom w:val="none" w:sz="0" w:space="0" w:color="auto"/>
        <w:right w:val="none" w:sz="0" w:space="0" w:color="auto"/>
      </w:divBdr>
    </w:div>
    <w:div w:id="1355106815">
      <w:bodyDiv w:val="1"/>
      <w:marLeft w:val="0"/>
      <w:marRight w:val="0"/>
      <w:marTop w:val="0"/>
      <w:marBottom w:val="0"/>
      <w:divBdr>
        <w:top w:val="none" w:sz="0" w:space="0" w:color="auto"/>
        <w:left w:val="none" w:sz="0" w:space="0" w:color="auto"/>
        <w:bottom w:val="none" w:sz="0" w:space="0" w:color="auto"/>
        <w:right w:val="none" w:sz="0" w:space="0" w:color="auto"/>
      </w:divBdr>
    </w:div>
    <w:div w:id="1377042550">
      <w:bodyDiv w:val="1"/>
      <w:marLeft w:val="0"/>
      <w:marRight w:val="0"/>
      <w:marTop w:val="0"/>
      <w:marBottom w:val="0"/>
      <w:divBdr>
        <w:top w:val="none" w:sz="0" w:space="0" w:color="auto"/>
        <w:left w:val="none" w:sz="0" w:space="0" w:color="auto"/>
        <w:bottom w:val="none" w:sz="0" w:space="0" w:color="auto"/>
        <w:right w:val="none" w:sz="0" w:space="0" w:color="auto"/>
      </w:divBdr>
    </w:div>
    <w:div w:id="1383679437">
      <w:bodyDiv w:val="1"/>
      <w:marLeft w:val="0"/>
      <w:marRight w:val="0"/>
      <w:marTop w:val="0"/>
      <w:marBottom w:val="0"/>
      <w:divBdr>
        <w:top w:val="none" w:sz="0" w:space="0" w:color="auto"/>
        <w:left w:val="none" w:sz="0" w:space="0" w:color="auto"/>
        <w:bottom w:val="none" w:sz="0" w:space="0" w:color="auto"/>
        <w:right w:val="none" w:sz="0" w:space="0" w:color="auto"/>
      </w:divBdr>
    </w:div>
    <w:div w:id="1388341028">
      <w:bodyDiv w:val="1"/>
      <w:marLeft w:val="0"/>
      <w:marRight w:val="0"/>
      <w:marTop w:val="0"/>
      <w:marBottom w:val="0"/>
      <w:divBdr>
        <w:top w:val="none" w:sz="0" w:space="0" w:color="auto"/>
        <w:left w:val="none" w:sz="0" w:space="0" w:color="auto"/>
        <w:bottom w:val="none" w:sz="0" w:space="0" w:color="auto"/>
        <w:right w:val="none" w:sz="0" w:space="0" w:color="auto"/>
      </w:divBdr>
    </w:div>
    <w:div w:id="1400597125">
      <w:bodyDiv w:val="1"/>
      <w:marLeft w:val="0"/>
      <w:marRight w:val="0"/>
      <w:marTop w:val="0"/>
      <w:marBottom w:val="0"/>
      <w:divBdr>
        <w:top w:val="none" w:sz="0" w:space="0" w:color="auto"/>
        <w:left w:val="none" w:sz="0" w:space="0" w:color="auto"/>
        <w:bottom w:val="none" w:sz="0" w:space="0" w:color="auto"/>
        <w:right w:val="none" w:sz="0" w:space="0" w:color="auto"/>
      </w:divBdr>
    </w:div>
    <w:div w:id="1407342119">
      <w:bodyDiv w:val="1"/>
      <w:marLeft w:val="0"/>
      <w:marRight w:val="0"/>
      <w:marTop w:val="0"/>
      <w:marBottom w:val="0"/>
      <w:divBdr>
        <w:top w:val="none" w:sz="0" w:space="0" w:color="auto"/>
        <w:left w:val="none" w:sz="0" w:space="0" w:color="auto"/>
        <w:bottom w:val="none" w:sz="0" w:space="0" w:color="auto"/>
        <w:right w:val="none" w:sz="0" w:space="0" w:color="auto"/>
      </w:divBdr>
    </w:div>
    <w:div w:id="1407919265">
      <w:bodyDiv w:val="1"/>
      <w:marLeft w:val="0"/>
      <w:marRight w:val="0"/>
      <w:marTop w:val="0"/>
      <w:marBottom w:val="0"/>
      <w:divBdr>
        <w:top w:val="none" w:sz="0" w:space="0" w:color="auto"/>
        <w:left w:val="none" w:sz="0" w:space="0" w:color="auto"/>
        <w:bottom w:val="none" w:sz="0" w:space="0" w:color="auto"/>
        <w:right w:val="none" w:sz="0" w:space="0" w:color="auto"/>
      </w:divBdr>
    </w:div>
    <w:div w:id="1412041051">
      <w:bodyDiv w:val="1"/>
      <w:marLeft w:val="0"/>
      <w:marRight w:val="0"/>
      <w:marTop w:val="0"/>
      <w:marBottom w:val="0"/>
      <w:divBdr>
        <w:top w:val="none" w:sz="0" w:space="0" w:color="auto"/>
        <w:left w:val="none" w:sz="0" w:space="0" w:color="auto"/>
        <w:bottom w:val="none" w:sz="0" w:space="0" w:color="auto"/>
        <w:right w:val="none" w:sz="0" w:space="0" w:color="auto"/>
      </w:divBdr>
    </w:div>
    <w:div w:id="1414007488">
      <w:bodyDiv w:val="1"/>
      <w:marLeft w:val="0"/>
      <w:marRight w:val="0"/>
      <w:marTop w:val="0"/>
      <w:marBottom w:val="0"/>
      <w:divBdr>
        <w:top w:val="none" w:sz="0" w:space="0" w:color="auto"/>
        <w:left w:val="none" w:sz="0" w:space="0" w:color="auto"/>
        <w:bottom w:val="none" w:sz="0" w:space="0" w:color="auto"/>
        <w:right w:val="none" w:sz="0" w:space="0" w:color="auto"/>
      </w:divBdr>
    </w:div>
    <w:div w:id="1424182976">
      <w:bodyDiv w:val="1"/>
      <w:marLeft w:val="0"/>
      <w:marRight w:val="0"/>
      <w:marTop w:val="0"/>
      <w:marBottom w:val="0"/>
      <w:divBdr>
        <w:top w:val="none" w:sz="0" w:space="0" w:color="auto"/>
        <w:left w:val="none" w:sz="0" w:space="0" w:color="auto"/>
        <w:bottom w:val="none" w:sz="0" w:space="0" w:color="auto"/>
        <w:right w:val="none" w:sz="0" w:space="0" w:color="auto"/>
      </w:divBdr>
    </w:div>
    <w:div w:id="1453011343">
      <w:bodyDiv w:val="1"/>
      <w:marLeft w:val="0"/>
      <w:marRight w:val="0"/>
      <w:marTop w:val="0"/>
      <w:marBottom w:val="0"/>
      <w:divBdr>
        <w:top w:val="none" w:sz="0" w:space="0" w:color="auto"/>
        <w:left w:val="none" w:sz="0" w:space="0" w:color="auto"/>
        <w:bottom w:val="none" w:sz="0" w:space="0" w:color="auto"/>
        <w:right w:val="none" w:sz="0" w:space="0" w:color="auto"/>
      </w:divBdr>
    </w:div>
    <w:div w:id="1453280702">
      <w:bodyDiv w:val="1"/>
      <w:marLeft w:val="0"/>
      <w:marRight w:val="0"/>
      <w:marTop w:val="0"/>
      <w:marBottom w:val="0"/>
      <w:divBdr>
        <w:top w:val="none" w:sz="0" w:space="0" w:color="auto"/>
        <w:left w:val="none" w:sz="0" w:space="0" w:color="auto"/>
        <w:bottom w:val="none" w:sz="0" w:space="0" w:color="auto"/>
        <w:right w:val="none" w:sz="0" w:space="0" w:color="auto"/>
      </w:divBdr>
    </w:div>
    <w:div w:id="1483035967">
      <w:bodyDiv w:val="1"/>
      <w:marLeft w:val="0"/>
      <w:marRight w:val="0"/>
      <w:marTop w:val="0"/>
      <w:marBottom w:val="0"/>
      <w:divBdr>
        <w:top w:val="none" w:sz="0" w:space="0" w:color="auto"/>
        <w:left w:val="none" w:sz="0" w:space="0" w:color="auto"/>
        <w:bottom w:val="none" w:sz="0" w:space="0" w:color="auto"/>
        <w:right w:val="none" w:sz="0" w:space="0" w:color="auto"/>
      </w:divBdr>
    </w:div>
    <w:div w:id="1483614893">
      <w:bodyDiv w:val="1"/>
      <w:marLeft w:val="0"/>
      <w:marRight w:val="0"/>
      <w:marTop w:val="0"/>
      <w:marBottom w:val="0"/>
      <w:divBdr>
        <w:top w:val="none" w:sz="0" w:space="0" w:color="auto"/>
        <w:left w:val="none" w:sz="0" w:space="0" w:color="auto"/>
        <w:bottom w:val="none" w:sz="0" w:space="0" w:color="auto"/>
        <w:right w:val="none" w:sz="0" w:space="0" w:color="auto"/>
      </w:divBdr>
    </w:div>
    <w:div w:id="1484660961">
      <w:bodyDiv w:val="1"/>
      <w:marLeft w:val="0"/>
      <w:marRight w:val="0"/>
      <w:marTop w:val="0"/>
      <w:marBottom w:val="0"/>
      <w:divBdr>
        <w:top w:val="none" w:sz="0" w:space="0" w:color="auto"/>
        <w:left w:val="none" w:sz="0" w:space="0" w:color="auto"/>
        <w:bottom w:val="none" w:sz="0" w:space="0" w:color="auto"/>
        <w:right w:val="none" w:sz="0" w:space="0" w:color="auto"/>
      </w:divBdr>
    </w:div>
    <w:div w:id="1500727127">
      <w:bodyDiv w:val="1"/>
      <w:marLeft w:val="0"/>
      <w:marRight w:val="0"/>
      <w:marTop w:val="0"/>
      <w:marBottom w:val="0"/>
      <w:divBdr>
        <w:top w:val="none" w:sz="0" w:space="0" w:color="auto"/>
        <w:left w:val="none" w:sz="0" w:space="0" w:color="auto"/>
        <w:bottom w:val="none" w:sz="0" w:space="0" w:color="auto"/>
        <w:right w:val="none" w:sz="0" w:space="0" w:color="auto"/>
      </w:divBdr>
    </w:div>
    <w:div w:id="1510291450">
      <w:bodyDiv w:val="1"/>
      <w:marLeft w:val="0"/>
      <w:marRight w:val="0"/>
      <w:marTop w:val="0"/>
      <w:marBottom w:val="0"/>
      <w:divBdr>
        <w:top w:val="none" w:sz="0" w:space="0" w:color="auto"/>
        <w:left w:val="none" w:sz="0" w:space="0" w:color="auto"/>
        <w:bottom w:val="none" w:sz="0" w:space="0" w:color="auto"/>
        <w:right w:val="none" w:sz="0" w:space="0" w:color="auto"/>
      </w:divBdr>
    </w:div>
    <w:div w:id="1511720720">
      <w:bodyDiv w:val="1"/>
      <w:marLeft w:val="0"/>
      <w:marRight w:val="0"/>
      <w:marTop w:val="0"/>
      <w:marBottom w:val="0"/>
      <w:divBdr>
        <w:top w:val="none" w:sz="0" w:space="0" w:color="auto"/>
        <w:left w:val="none" w:sz="0" w:space="0" w:color="auto"/>
        <w:bottom w:val="none" w:sz="0" w:space="0" w:color="auto"/>
        <w:right w:val="none" w:sz="0" w:space="0" w:color="auto"/>
      </w:divBdr>
    </w:div>
    <w:div w:id="1536884818">
      <w:bodyDiv w:val="1"/>
      <w:marLeft w:val="0"/>
      <w:marRight w:val="0"/>
      <w:marTop w:val="0"/>
      <w:marBottom w:val="0"/>
      <w:divBdr>
        <w:top w:val="none" w:sz="0" w:space="0" w:color="auto"/>
        <w:left w:val="none" w:sz="0" w:space="0" w:color="auto"/>
        <w:bottom w:val="none" w:sz="0" w:space="0" w:color="auto"/>
        <w:right w:val="none" w:sz="0" w:space="0" w:color="auto"/>
      </w:divBdr>
    </w:div>
    <w:div w:id="1544364682">
      <w:bodyDiv w:val="1"/>
      <w:marLeft w:val="0"/>
      <w:marRight w:val="0"/>
      <w:marTop w:val="0"/>
      <w:marBottom w:val="0"/>
      <w:divBdr>
        <w:top w:val="none" w:sz="0" w:space="0" w:color="auto"/>
        <w:left w:val="none" w:sz="0" w:space="0" w:color="auto"/>
        <w:bottom w:val="none" w:sz="0" w:space="0" w:color="auto"/>
        <w:right w:val="none" w:sz="0" w:space="0" w:color="auto"/>
      </w:divBdr>
    </w:div>
    <w:div w:id="1559172024">
      <w:bodyDiv w:val="1"/>
      <w:marLeft w:val="0"/>
      <w:marRight w:val="0"/>
      <w:marTop w:val="0"/>
      <w:marBottom w:val="0"/>
      <w:divBdr>
        <w:top w:val="none" w:sz="0" w:space="0" w:color="auto"/>
        <w:left w:val="none" w:sz="0" w:space="0" w:color="auto"/>
        <w:bottom w:val="none" w:sz="0" w:space="0" w:color="auto"/>
        <w:right w:val="none" w:sz="0" w:space="0" w:color="auto"/>
      </w:divBdr>
    </w:div>
    <w:div w:id="1582909066">
      <w:bodyDiv w:val="1"/>
      <w:marLeft w:val="0"/>
      <w:marRight w:val="0"/>
      <w:marTop w:val="0"/>
      <w:marBottom w:val="0"/>
      <w:divBdr>
        <w:top w:val="none" w:sz="0" w:space="0" w:color="auto"/>
        <w:left w:val="none" w:sz="0" w:space="0" w:color="auto"/>
        <w:bottom w:val="none" w:sz="0" w:space="0" w:color="auto"/>
        <w:right w:val="none" w:sz="0" w:space="0" w:color="auto"/>
      </w:divBdr>
    </w:div>
    <w:div w:id="1600404290">
      <w:bodyDiv w:val="1"/>
      <w:marLeft w:val="0"/>
      <w:marRight w:val="0"/>
      <w:marTop w:val="0"/>
      <w:marBottom w:val="0"/>
      <w:divBdr>
        <w:top w:val="none" w:sz="0" w:space="0" w:color="auto"/>
        <w:left w:val="none" w:sz="0" w:space="0" w:color="auto"/>
        <w:bottom w:val="none" w:sz="0" w:space="0" w:color="auto"/>
        <w:right w:val="none" w:sz="0" w:space="0" w:color="auto"/>
      </w:divBdr>
    </w:div>
    <w:div w:id="1601453162">
      <w:bodyDiv w:val="1"/>
      <w:marLeft w:val="0"/>
      <w:marRight w:val="0"/>
      <w:marTop w:val="0"/>
      <w:marBottom w:val="0"/>
      <w:divBdr>
        <w:top w:val="none" w:sz="0" w:space="0" w:color="auto"/>
        <w:left w:val="none" w:sz="0" w:space="0" w:color="auto"/>
        <w:bottom w:val="none" w:sz="0" w:space="0" w:color="auto"/>
        <w:right w:val="none" w:sz="0" w:space="0" w:color="auto"/>
      </w:divBdr>
    </w:div>
    <w:div w:id="1617173033">
      <w:bodyDiv w:val="1"/>
      <w:marLeft w:val="0"/>
      <w:marRight w:val="0"/>
      <w:marTop w:val="0"/>
      <w:marBottom w:val="0"/>
      <w:divBdr>
        <w:top w:val="none" w:sz="0" w:space="0" w:color="auto"/>
        <w:left w:val="none" w:sz="0" w:space="0" w:color="auto"/>
        <w:bottom w:val="none" w:sz="0" w:space="0" w:color="auto"/>
        <w:right w:val="none" w:sz="0" w:space="0" w:color="auto"/>
      </w:divBdr>
    </w:div>
    <w:div w:id="1623342843">
      <w:bodyDiv w:val="1"/>
      <w:marLeft w:val="0"/>
      <w:marRight w:val="0"/>
      <w:marTop w:val="0"/>
      <w:marBottom w:val="0"/>
      <w:divBdr>
        <w:top w:val="none" w:sz="0" w:space="0" w:color="auto"/>
        <w:left w:val="none" w:sz="0" w:space="0" w:color="auto"/>
        <w:bottom w:val="none" w:sz="0" w:space="0" w:color="auto"/>
        <w:right w:val="none" w:sz="0" w:space="0" w:color="auto"/>
      </w:divBdr>
    </w:div>
    <w:div w:id="1630816165">
      <w:bodyDiv w:val="1"/>
      <w:marLeft w:val="0"/>
      <w:marRight w:val="0"/>
      <w:marTop w:val="0"/>
      <w:marBottom w:val="0"/>
      <w:divBdr>
        <w:top w:val="none" w:sz="0" w:space="0" w:color="auto"/>
        <w:left w:val="none" w:sz="0" w:space="0" w:color="auto"/>
        <w:bottom w:val="none" w:sz="0" w:space="0" w:color="auto"/>
        <w:right w:val="none" w:sz="0" w:space="0" w:color="auto"/>
      </w:divBdr>
    </w:div>
    <w:div w:id="1641030254">
      <w:bodyDiv w:val="1"/>
      <w:marLeft w:val="0"/>
      <w:marRight w:val="0"/>
      <w:marTop w:val="0"/>
      <w:marBottom w:val="0"/>
      <w:divBdr>
        <w:top w:val="none" w:sz="0" w:space="0" w:color="auto"/>
        <w:left w:val="none" w:sz="0" w:space="0" w:color="auto"/>
        <w:bottom w:val="none" w:sz="0" w:space="0" w:color="auto"/>
        <w:right w:val="none" w:sz="0" w:space="0" w:color="auto"/>
      </w:divBdr>
    </w:div>
    <w:div w:id="1651054713">
      <w:bodyDiv w:val="1"/>
      <w:marLeft w:val="0"/>
      <w:marRight w:val="0"/>
      <w:marTop w:val="0"/>
      <w:marBottom w:val="0"/>
      <w:divBdr>
        <w:top w:val="none" w:sz="0" w:space="0" w:color="auto"/>
        <w:left w:val="none" w:sz="0" w:space="0" w:color="auto"/>
        <w:bottom w:val="none" w:sz="0" w:space="0" w:color="auto"/>
        <w:right w:val="none" w:sz="0" w:space="0" w:color="auto"/>
      </w:divBdr>
    </w:div>
    <w:div w:id="1684823420">
      <w:bodyDiv w:val="1"/>
      <w:marLeft w:val="0"/>
      <w:marRight w:val="0"/>
      <w:marTop w:val="0"/>
      <w:marBottom w:val="0"/>
      <w:divBdr>
        <w:top w:val="none" w:sz="0" w:space="0" w:color="auto"/>
        <w:left w:val="none" w:sz="0" w:space="0" w:color="auto"/>
        <w:bottom w:val="none" w:sz="0" w:space="0" w:color="auto"/>
        <w:right w:val="none" w:sz="0" w:space="0" w:color="auto"/>
      </w:divBdr>
    </w:div>
    <w:div w:id="1691446182">
      <w:bodyDiv w:val="1"/>
      <w:marLeft w:val="0"/>
      <w:marRight w:val="0"/>
      <w:marTop w:val="0"/>
      <w:marBottom w:val="0"/>
      <w:divBdr>
        <w:top w:val="none" w:sz="0" w:space="0" w:color="auto"/>
        <w:left w:val="none" w:sz="0" w:space="0" w:color="auto"/>
        <w:bottom w:val="none" w:sz="0" w:space="0" w:color="auto"/>
        <w:right w:val="none" w:sz="0" w:space="0" w:color="auto"/>
      </w:divBdr>
    </w:div>
    <w:div w:id="1713725806">
      <w:bodyDiv w:val="1"/>
      <w:marLeft w:val="0"/>
      <w:marRight w:val="0"/>
      <w:marTop w:val="0"/>
      <w:marBottom w:val="0"/>
      <w:divBdr>
        <w:top w:val="none" w:sz="0" w:space="0" w:color="auto"/>
        <w:left w:val="none" w:sz="0" w:space="0" w:color="auto"/>
        <w:bottom w:val="none" w:sz="0" w:space="0" w:color="auto"/>
        <w:right w:val="none" w:sz="0" w:space="0" w:color="auto"/>
      </w:divBdr>
    </w:div>
    <w:div w:id="1714039748">
      <w:bodyDiv w:val="1"/>
      <w:marLeft w:val="0"/>
      <w:marRight w:val="0"/>
      <w:marTop w:val="0"/>
      <w:marBottom w:val="0"/>
      <w:divBdr>
        <w:top w:val="none" w:sz="0" w:space="0" w:color="auto"/>
        <w:left w:val="none" w:sz="0" w:space="0" w:color="auto"/>
        <w:bottom w:val="none" w:sz="0" w:space="0" w:color="auto"/>
        <w:right w:val="none" w:sz="0" w:space="0" w:color="auto"/>
      </w:divBdr>
    </w:div>
    <w:div w:id="1729038503">
      <w:bodyDiv w:val="1"/>
      <w:marLeft w:val="0"/>
      <w:marRight w:val="0"/>
      <w:marTop w:val="0"/>
      <w:marBottom w:val="0"/>
      <w:divBdr>
        <w:top w:val="none" w:sz="0" w:space="0" w:color="auto"/>
        <w:left w:val="none" w:sz="0" w:space="0" w:color="auto"/>
        <w:bottom w:val="none" w:sz="0" w:space="0" w:color="auto"/>
        <w:right w:val="none" w:sz="0" w:space="0" w:color="auto"/>
      </w:divBdr>
    </w:div>
    <w:div w:id="1777674158">
      <w:bodyDiv w:val="1"/>
      <w:marLeft w:val="0"/>
      <w:marRight w:val="0"/>
      <w:marTop w:val="0"/>
      <w:marBottom w:val="0"/>
      <w:divBdr>
        <w:top w:val="none" w:sz="0" w:space="0" w:color="auto"/>
        <w:left w:val="none" w:sz="0" w:space="0" w:color="auto"/>
        <w:bottom w:val="none" w:sz="0" w:space="0" w:color="auto"/>
        <w:right w:val="none" w:sz="0" w:space="0" w:color="auto"/>
      </w:divBdr>
    </w:div>
    <w:div w:id="1787381947">
      <w:bodyDiv w:val="1"/>
      <w:marLeft w:val="0"/>
      <w:marRight w:val="0"/>
      <w:marTop w:val="0"/>
      <w:marBottom w:val="0"/>
      <w:divBdr>
        <w:top w:val="none" w:sz="0" w:space="0" w:color="auto"/>
        <w:left w:val="none" w:sz="0" w:space="0" w:color="auto"/>
        <w:bottom w:val="none" w:sz="0" w:space="0" w:color="auto"/>
        <w:right w:val="none" w:sz="0" w:space="0" w:color="auto"/>
      </w:divBdr>
    </w:div>
    <w:div w:id="1809277145">
      <w:bodyDiv w:val="1"/>
      <w:marLeft w:val="0"/>
      <w:marRight w:val="0"/>
      <w:marTop w:val="0"/>
      <w:marBottom w:val="0"/>
      <w:divBdr>
        <w:top w:val="none" w:sz="0" w:space="0" w:color="auto"/>
        <w:left w:val="none" w:sz="0" w:space="0" w:color="auto"/>
        <w:bottom w:val="none" w:sz="0" w:space="0" w:color="auto"/>
        <w:right w:val="none" w:sz="0" w:space="0" w:color="auto"/>
      </w:divBdr>
    </w:div>
    <w:div w:id="1821653622">
      <w:bodyDiv w:val="1"/>
      <w:marLeft w:val="0"/>
      <w:marRight w:val="0"/>
      <w:marTop w:val="0"/>
      <w:marBottom w:val="0"/>
      <w:divBdr>
        <w:top w:val="none" w:sz="0" w:space="0" w:color="auto"/>
        <w:left w:val="none" w:sz="0" w:space="0" w:color="auto"/>
        <w:bottom w:val="none" w:sz="0" w:space="0" w:color="auto"/>
        <w:right w:val="none" w:sz="0" w:space="0" w:color="auto"/>
      </w:divBdr>
    </w:div>
    <w:div w:id="1855606358">
      <w:bodyDiv w:val="1"/>
      <w:marLeft w:val="0"/>
      <w:marRight w:val="0"/>
      <w:marTop w:val="0"/>
      <w:marBottom w:val="0"/>
      <w:divBdr>
        <w:top w:val="none" w:sz="0" w:space="0" w:color="auto"/>
        <w:left w:val="none" w:sz="0" w:space="0" w:color="auto"/>
        <w:bottom w:val="none" w:sz="0" w:space="0" w:color="auto"/>
        <w:right w:val="none" w:sz="0" w:space="0" w:color="auto"/>
      </w:divBdr>
    </w:div>
    <w:div w:id="1861233375">
      <w:bodyDiv w:val="1"/>
      <w:marLeft w:val="0"/>
      <w:marRight w:val="0"/>
      <w:marTop w:val="0"/>
      <w:marBottom w:val="0"/>
      <w:divBdr>
        <w:top w:val="none" w:sz="0" w:space="0" w:color="auto"/>
        <w:left w:val="none" w:sz="0" w:space="0" w:color="auto"/>
        <w:bottom w:val="none" w:sz="0" w:space="0" w:color="auto"/>
        <w:right w:val="none" w:sz="0" w:space="0" w:color="auto"/>
      </w:divBdr>
      <w:divsChild>
        <w:div w:id="8527110">
          <w:marLeft w:val="0"/>
          <w:marRight w:val="0"/>
          <w:marTop w:val="0"/>
          <w:marBottom w:val="0"/>
          <w:divBdr>
            <w:top w:val="none" w:sz="0" w:space="0" w:color="auto"/>
            <w:left w:val="none" w:sz="0" w:space="0" w:color="auto"/>
            <w:bottom w:val="none" w:sz="0" w:space="0" w:color="auto"/>
            <w:right w:val="none" w:sz="0" w:space="0" w:color="auto"/>
          </w:divBdr>
        </w:div>
        <w:div w:id="21059119">
          <w:marLeft w:val="0"/>
          <w:marRight w:val="0"/>
          <w:marTop w:val="0"/>
          <w:marBottom w:val="0"/>
          <w:divBdr>
            <w:top w:val="none" w:sz="0" w:space="0" w:color="auto"/>
            <w:left w:val="none" w:sz="0" w:space="0" w:color="auto"/>
            <w:bottom w:val="none" w:sz="0" w:space="0" w:color="auto"/>
            <w:right w:val="none" w:sz="0" w:space="0" w:color="auto"/>
          </w:divBdr>
        </w:div>
      </w:divsChild>
    </w:div>
    <w:div w:id="1865092162">
      <w:bodyDiv w:val="1"/>
      <w:marLeft w:val="0"/>
      <w:marRight w:val="0"/>
      <w:marTop w:val="0"/>
      <w:marBottom w:val="0"/>
      <w:divBdr>
        <w:top w:val="none" w:sz="0" w:space="0" w:color="auto"/>
        <w:left w:val="none" w:sz="0" w:space="0" w:color="auto"/>
        <w:bottom w:val="none" w:sz="0" w:space="0" w:color="auto"/>
        <w:right w:val="none" w:sz="0" w:space="0" w:color="auto"/>
      </w:divBdr>
      <w:divsChild>
        <w:div w:id="2109036426">
          <w:marLeft w:val="0"/>
          <w:marRight w:val="0"/>
          <w:marTop w:val="0"/>
          <w:marBottom w:val="0"/>
          <w:divBdr>
            <w:top w:val="none" w:sz="0" w:space="0" w:color="auto"/>
            <w:left w:val="none" w:sz="0" w:space="0" w:color="auto"/>
            <w:bottom w:val="none" w:sz="0" w:space="0" w:color="auto"/>
            <w:right w:val="none" w:sz="0" w:space="0" w:color="auto"/>
          </w:divBdr>
          <w:divsChild>
            <w:div w:id="145558162">
              <w:marLeft w:val="0"/>
              <w:marRight w:val="0"/>
              <w:marTop w:val="100"/>
              <w:marBottom w:val="100"/>
              <w:divBdr>
                <w:top w:val="none" w:sz="0" w:space="0" w:color="auto"/>
                <w:left w:val="none" w:sz="0" w:space="0" w:color="auto"/>
                <w:bottom w:val="none" w:sz="0" w:space="0" w:color="auto"/>
                <w:right w:val="none" w:sz="0" w:space="0" w:color="auto"/>
              </w:divBdr>
              <w:divsChild>
                <w:div w:id="1255359426">
                  <w:marLeft w:val="0"/>
                  <w:marRight w:val="0"/>
                  <w:marTop w:val="0"/>
                  <w:marBottom w:val="0"/>
                  <w:divBdr>
                    <w:top w:val="none" w:sz="0" w:space="0" w:color="auto"/>
                    <w:left w:val="none" w:sz="0" w:space="0" w:color="auto"/>
                    <w:bottom w:val="none" w:sz="0" w:space="0" w:color="auto"/>
                    <w:right w:val="none" w:sz="0" w:space="0" w:color="auto"/>
                  </w:divBdr>
                  <w:divsChild>
                    <w:div w:id="1117456493">
                      <w:marLeft w:val="0"/>
                      <w:marRight w:val="0"/>
                      <w:marTop w:val="0"/>
                      <w:marBottom w:val="0"/>
                      <w:divBdr>
                        <w:top w:val="none" w:sz="0" w:space="0" w:color="auto"/>
                        <w:left w:val="none" w:sz="0" w:space="0" w:color="auto"/>
                        <w:bottom w:val="none" w:sz="0" w:space="0" w:color="auto"/>
                        <w:right w:val="none" w:sz="0" w:space="0" w:color="auto"/>
                      </w:divBdr>
                      <w:divsChild>
                        <w:div w:id="225073196">
                          <w:marLeft w:val="0"/>
                          <w:marRight w:val="0"/>
                          <w:marTop w:val="0"/>
                          <w:marBottom w:val="0"/>
                          <w:divBdr>
                            <w:top w:val="none" w:sz="0" w:space="0" w:color="auto"/>
                            <w:left w:val="none" w:sz="0" w:space="0" w:color="auto"/>
                            <w:bottom w:val="none" w:sz="0" w:space="0" w:color="auto"/>
                            <w:right w:val="none" w:sz="0" w:space="0" w:color="auto"/>
                          </w:divBdr>
                          <w:divsChild>
                            <w:div w:id="1681279165">
                              <w:marLeft w:val="0"/>
                              <w:marRight w:val="0"/>
                              <w:marTop w:val="0"/>
                              <w:marBottom w:val="0"/>
                              <w:divBdr>
                                <w:top w:val="none" w:sz="0" w:space="0" w:color="auto"/>
                                <w:left w:val="none" w:sz="0" w:space="0" w:color="auto"/>
                                <w:bottom w:val="none" w:sz="0" w:space="0" w:color="auto"/>
                                <w:right w:val="none" w:sz="0" w:space="0" w:color="auto"/>
                              </w:divBdr>
                              <w:divsChild>
                                <w:div w:id="575477280">
                                  <w:marLeft w:val="0"/>
                                  <w:marRight w:val="0"/>
                                  <w:marTop w:val="0"/>
                                  <w:marBottom w:val="0"/>
                                  <w:divBdr>
                                    <w:top w:val="none" w:sz="0" w:space="0" w:color="auto"/>
                                    <w:left w:val="none" w:sz="0" w:space="0" w:color="auto"/>
                                    <w:bottom w:val="none" w:sz="0" w:space="0" w:color="auto"/>
                                    <w:right w:val="none" w:sz="0" w:space="0" w:color="auto"/>
                                  </w:divBdr>
                                  <w:divsChild>
                                    <w:div w:id="562712993">
                                      <w:marLeft w:val="0"/>
                                      <w:marRight w:val="0"/>
                                      <w:marTop w:val="0"/>
                                      <w:marBottom w:val="0"/>
                                      <w:divBdr>
                                        <w:top w:val="none" w:sz="0" w:space="0" w:color="auto"/>
                                        <w:left w:val="none" w:sz="0" w:space="0" w:color="auto"/>
                                        <w:bottom w:val="none" w:sz="0" w:space="0" w:color="auto"/>
                                        <w:right w:val="none" w:sz="0" w:space="0" w:color="auto"/>
                                      </w:divBdr>
                                      <w:divsChild>
                                        <w:div w:id="41374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5242511">
      <w:bodyDiv w:val="1"/>
      <w:marLeft w:val="0"/>
      <w:marRight w:val="0"/>
      <w:marTop w:val="0"/>
      <w:marBottom w:val="0"/>
      <w:divBdr>
        <w:top w:val="none" w:sz="0" w:space="0" w:color="auto"/>
        <w:left w:val="none" w:sz="0" w:space="0" w:color="auto"/>
        <w:bottom w:val="none" w:sz="0" w:space="0" w:color="auto"/>
        <w:right w:val="none" w:sz="0" w:space="0" w:color="auto"/>
      </w:divBdr>
    </w:div>
    <w:div w:id="1874878472">
      <w:bodyDiv w:val="1"/>
      <w:marLeft w:val="0"/>
      <w:marRight w:val="0"/>
      <w:marTop w:val="0"/>
      <w:marBottom w:val="0"/>
      <w:divBdr>
        <w:top w:val="none" w:sz="0" w:space="0" w:color="auto"/>
        <w:left w:val="none" w:sz="0" w:space="0" w:color="auto"/>
        <w:bottom w:val="none" w:sz="0" w:space="0" w:color="auto"/>
        <w:right w:val="none" w:sz="0" w:space="0" w:color="auto"/>
      </w:divBdr>
      <w:divsChild>
        <w:div w:id="60370720">
          <w:marLeft w:val="0"/>
          <w:marRight w:val="0"/>
          <w:marTop w:val="0"/>
          <w:marBottom w:val="0"/>
          <w:divBdr>
            <w:top w:val="none" w:sz="0" w:space="0" w:color="auto"/>
            <w:left w:val="none" w:sz="0" w:space="0" w:color="auto"/>
            <w:bottom w:val="none" w:sz="0" w:space="0" w:color="auto"/>
            <w:right w:val="none" w:sz="0" w:space="0" w:color="auto"/>
          </w:divBdr>
        </w:div>
        <w:div w:id="86343599">
          <w:marLeft w:val="0"/>
          <w:marRight w:val="0"/>
          <w:marTop w:val="0"/>
          <w:marBottom w:val="0"/>
          <w:divBdr>
            <w:top w:val="none" w:sz="0" w:space="0" w:color="auto"/>
            <w:left w:val="none" w:sz="0" w:space="0" w:color="auto"/>
            <w:bottom w:val="none" w:sz="0" w:space="0" w:color="auto"/>
            <w:right w:val="none" w:sz="0" w:space="0" w:color="auto"/>
          </w:divBdr>
        </w:div>
        <w:div w:id="146484093">
          <w:marLeft w:val="0"/>
          <w:marRight w:val="0"/>
          <w:marTop w:val="0"/>
          <w:marBottom w:val="0"/>
          <w:divBdr>
            <w:top w:val="none" w:sz="0" w:space="0" w:color="auto"/>
            <w:left w:val="none" w:sz="0" w:space="0" w:color="auto"/>
            <w:bottom w:val="none" w:sz="0" w:space="0" w:color="auto"/>
            <w:right w:val="none" w:sz="0" w:space="0" w:color="auto"/>
          </w:divBdr>
        </w:div>
        <w:div w:id="216162591">
          <w:marLeft w:val="0"/>
          <w:marRight w:val="0"/>
          <w:marTop w:val="0"/>
          <w:marBottom w:val="0"/>
          <w:divBdr>
            <w:top w:val="none" w:sz="0" w:space="0" w:color="auto"/>
            <w:left w:val="none" w:sz="0" w:space="0" w:color="auto"/>
            <w:bottom w:val="none" w:sz="0" w:space="0" w:color="auto"/>
            <w:right w:val="none" w:sz="0" w:space="0" w:color="auto"/>
          </w:divBdr>
        </w:div>
        <w:div w:id="725764417">
          <w:marLeft w:val="0"/>
          <w:marRight w:val="0"/>
          <w:marTop w:val="0"/>
          <w:marBottom w:val="0"/>
          <w:divBdr>
            <w:top w:val="none" w:sz="0" w:space="0" w:color="auto"/>
            <w:left w:val="none" w:sz="0" w:space="0" w:color="auto"/>
            <w:bottom w:val="none" w:sz="0" w:space="0" w:color="auto"/>
            <w:right w:val="none" w:sz="0" w:space="0" w:color="auto"/>
          </w:divBdr>
        </w:div>
        <w:div w:id="889419723">
          <w:marLeft w:val="0"/>
          <w:marRight w:val="0"/>
          <w:marTop w:val="0"/>
          <w:marBottom w:val="0"/>
          <w:divBdr>
            <w:top w:val="none" w:sz="0" w:space="0" w:color="auto"/>
            <w:left w:val="none" w:sz="0" w:space="0" w:color="auto"/>
            <w:bottom w:val="none" w:sz="0" w:space="0" w:color="auto"/>
            <w:right w:val="none" w:sz="0" w:space="0" w:color="auto"/>
          </w:divBdr>
        </w:div>
        <w:div w:id="967245967">
          <w:marLeft w:val="0"/>
          <w:marRight w:val="0"/>
          <w:marTop w:val="0"/>
          <w:marBottom w:val="0"/>
          <w:divBdr>
            <w:top w:val="none" w:sz="0" w:space="0" w:color="auto"/>
            <w:left w:val="none" w:sz="0" w:space="0" w:color="auto"/>
            <w:bottom w:val="none" w:sz="0" w:space="0" w:color="auto"/>
            <w:right w:val="none" w:sz="0" w:space="0" w:color="auto"/>
          </w:divBdr>
        </w:div>
        <w:div w:id="1021737487">
          <w:marLeft w:val="0"/>
          <w:marRight w:val="0"/>
          <w:marTop w:val="0"/>
          <w:marBottom w:val="0"/>
          <w:divBdr>
            <w:top w:val="none" w:sz="0" w:space="0" w:color="auto"/>
            <w:left w:val="none" w:sz="0" w:space="0" w:color="auto"/>
            <w:bottom w:val="none" w:sz="0" w:space="0" w:color="auto"/>
            <w:right w:val="none" w:sz="0" w:space="0" w:color="auto"/>
          </w:divBdr>
        </w:div>
        <w:div w:id="1162040338">
          <w:marLeft w:val="0"/>
          <w:marRight w:val="0"/>
          <w:marTop w:val="0"/>
          <w:marBottom w:val="0"/>
          <w:divBdr>
            <w:top w:val="none" w:sz="0" w:space="0" w:color="auto"/>
            <w:left w:val="none" w:sz="0" w:space="0" w:color="auto"/>
            <w:bottom w:val="none" w:sz="0" w:space="0" w:color="auto"/>
            <w:right w:val="none" w:sz="0" w:space="0" w:color="auto"/>
          </w:divBdr>
        </w:div>
        <w:div w:id="1172338692">
          <w:marLeft w:val="0"/>
          <w:marRight w:val="0"/>
          <w:marTop w:val="0"/>
          <w:marBottom w:val="0"/>
          <w:divBdr>
            <w:top w:val="none" w:sz="0" w:space="0" w:color="auto"/>
            <w:left w:val="none" w:sz="0" w:space="0" w:color="auto"/>
            <w:bottom w:val="none" w:sz="0" w:space="0" w:color="auto"/>
            <w:right w:val="none" w:sz="0" w:space="0" w:color="auto"/>
          </w:divBdr>
        </w:div>
        <w:div w:id="1179660428">
          <w:marLeft w:val="0"/>
          <w:marRight w:val="0"/>
          <w:marTop w:val="0"/>
          <w:marBottom w:val="0"/>
          <w:divBdr>
            <w:top w:val="none" w:sz="0" w:space="0" w:color="auto"/>
            <w:left w:val="none" w:sz="0" w:space="0" w:color="auto"/>
            <w:bottom w:val="none" w:sz="0" w:space="0" w:color="auto"/>
            <w:right w:val="none" w:sz="0" w:space="0" w:color="auto"/>
          </w:divBdr>
        </w:div>
        <w:div w:id="1516338683">
          <w:marLeft w:val="0"/>
          <w:marRight w:val="0"/>
          <w:marTop w:val="0"/>
          <w:marBottom w:val="0"/>
          <w:divBdr>
            <w:top w:val="none" w:sz="0" w:space="0" w:color="auto"/>
            <w:left w:val="none" w:sz="0" w:space="0" w:color="auto"/>
            <w:bottom w:val="none" w:sz="0" w:space="0" w:color="auto"/>
            <w:right w:val="none" w:sz="0" w:space="0" w:color="auto"/>
          </w:divBdr>
        </w:div>
        <w:div w:id="1552957127">
          <w:marLeft w:val="0"/>
          <w:marRight w:val="0"/>
          <w:marTop w:val="0"/>
          <w:marBottom w:val="0"/>
          <w:divBdr>
            <w:top w:val="none" w:sz="0" w:space="0" w:color="auto"/>
            <w:left w:val="none" w:sz="0" w:space="0" w:color="auto"/>
            <w:bottom w:val="none" w:sz="0" w:space="0" w:color="auto"/>
            <w:right w:val="none" w:sz="0" w:space="0" w:color="auto"/>
          </w:divBdr>
        </w:div>
        <w:div w:id="1619752796">
          <w:marLeft w:val="0"/>
          <w:marRight w:val="0"/>
          <w:marTop w:val="0"/>
          <w:marBottom w:val="0"/>
          <w:divBdr>
            <w:top w:val="none" w:sz="0" w:space="0" w:color="auto"/>
            <w:left w:val="none" w:sz="0" w:space="0" w:color="auto"/>
            <w:bottom w:val="none" w:sz="0" w:space="0" w:color="auto"/>
            <w:right w:val="none" w:sz="0" w:space="0" w:color="auto"/>
          </w:divBdr>
        </w:div>
        <w:div w:id="1858343930">
          <w:marLeft w:val="0"/>
          <w:marRight w:val="0"/>
          <w:marTop w:val="0"/>
          <w:marBottom w:val="0"/>
          <w:divBdr>
            <w:top w:val="none" w:sz="0" w:space="0" w:color="auto"/>
            <w:left w:val="none" w:sz="0" w:space="0" w:color="auto"/>
            <w:bottom w:val="none" w:sz="0" w:space="0" w:color="auto"/>
            <w:right w:val="none" w:sz="0" w:space="0" w:color="auto"/>
          </w:divBdr>
        </w:div>
        <w:div w:id="1935242828">
          <w:marLeft w:val="0"/>
          <w:marRight w:val="0"/>
          <w:marTop w:val="0"/>
          <w:marBottom w:val="0"/>
          <w:divBdr>
            <w:top w:val="none" w:sz="0" w:space="0" w:color="auto"/>
            <w:left w:val="none" w:sz="0" w:space="0" w:color="auto"/>
            <w:bottom w:val="none" w:sz="0" w:space="0" w:color="auto"/>
            <w:right w:val="none" w:sz="0" w:space="0" w:color="auto"/>
          </w:divBdr>
        </w:div>
        <w:div w:id="2002463765">
          <w:marLeft w:val="0"/>
          <w:marRight w:val="0"/>
          <w:marTop w:val="0"/>
          <w:marBottom w:val="0"/>
          <w:divBdr>
            <w:top w:val="none" w:sz="0" w:space="0" w:color="auto"/>
            <w:left w:val="none" w:sz="0" w:space="0" w:color="auto"/>
            <w:bottom w:val="none" w:sz="0" w:space="0" w:color="auto"/>
            <w:right w:val="none" w:sz="0" w:space="0" w:color="auto"/>
          </w:divBdr>
        </w:div>
        <w:div w:id="2019846783">
          <w:marLeft w:val="0"/>
          <w:marRight w:val="0"/>
          <w:marTop w:val="0"/>
          <w:marBottom w:val="0"/>
          <w:divBdr>
            <w:top w:val="none" w:sz="0" w:space="0" w:color="auto"/>
            <w:left w:val="none" w:sz="0" w:space="0" w:color="auto"/>
            <w:bottom w:val="none" w:sz="0" w:space="0" w:color="auto"/>
            <w:right w:val="none" w:sz="0" w:space="0" w:color="auto"/>
          </w:divBdr>
        </w:div>
        <w:div w:id="2128157921">
          <w:marLeft w:val="0"/>
          <w:marRight w:val="0"/>
          <w:marTop w:val="0"/>
          <w:marBottom w:val="0"/>
          <w:divBdr>
            <w:top w:val="none" w:sz="0" w:space="0" w:color="auto"/>
            <w:left w:val="none" w:sz="0" w:space="0" w:color="auto"/>
            <w:bottom w:val="none" w:sz="0" w:space="0" w:color="auto"/>
            <w:right w:val="none" w:sz="0" w:space="0" w:color="auto"/>
          </w:divBdr>
        </w:div>
      </w:divsChild>
    </w:div>
    <w:div w:id="1900556797">
      <w:bodyDiv w:val="1"/>
      <w:marLeft w:val="0"/>
      <w:marRight w:val="0"/>
      <w:marTop w:val="0"/>
      <w:marBottom w:val="0"/>
      <w:divBdr>
        <w:top w:val="none" w:sz="0" w:space="0" w:color="auto"/>
        <w:left w:val="none" w:sz="0" w:space="0" w:color="auto"/>
        <w:bottom w:val="none" w:sz="0" w:space="0" w:color="auto"/>
        <w:right w:val="none" w:sz="0" w:space="0" w:color="auto"/>
      </w:divBdr>
      <w:divsChild>
        <w:div w:id="698235493">
          <w:marLeft w:val="0"/>
          <w:marRight w:val="0"/>
          <w:marTop w:val="0"/>
          <w:marBottom w:val="0"/>
          <w:divBdr>
            <w:top w:val="none" w:sz="0" w:space="0" w:color="auto"/>
            <w:left w:val="none" w:sz="0" w:space="0" w:color="auto"/>
            <w:bottom w:val="none" w:sz="0" w:space="0" w:color="auto"/>
            <w:right w:val="none" w:sz="0" w:space="0" w:color="auto"/>
          </w:divBdr>
        </w:div>
        <w:div w:id="1196315036">
          <w:marLeft w:val="0"/>
          <w:marRight w:val="0"/>
          <w:marTop w:val="0"/>
          <w:marBottom w:val="0"/>
          <w:divBdr>
            <w:top w:val="none" w:sz="0" w:space="0" w:color="auto"/>
            <w:left w:val="none" w:sz="0" w:space="0" w:color="auto"/>
            <w:bottom w:val="none" w:sz="0" w:space="0" w:color="auto"/>
            <w:right w:val="none" w:sz="0" w:space="0" w:color="auto"/>
          </w:divBdr>
        </w:div>
      </w:divsChild>
    </w:div>
    <w:div w:id="1900819716">
      <w:bodyDiv w:val="1"/>
      <w:marLeft w:val="0"/>
      <w:marRight w:val="0"/>
      <w:marTop w:val="0"/>
      <w:marBottom w:val="0"/>
      <w:divBdr>
        <w:top w:val="none" w:sz="0" w:space="0" w:color="auto"/>
        <w:left w:val="none" w:sz="0" w:space="0" w:color="auto"/>
        <w:bottom w:val="none" w:sz="0" w:space="0" w:color="auto"/>
        <w:right w:val="none" w:sz="0" w:space="0" w:color="auto"/>
      </w:divBdr>
    </w:div>
    <w:div w:id="1958364626">
      <w:bodyDiv w:val="1"/>
      <w:marLeft w:val="0"/>
      <w:marRight w:val="0"/>
      <w:marTop w:val="0"/>
      <w:marBottom w:val="0"/>
      <w:divBdr>
        <w:top w:val="none" w:sz="0" w:space="0" w:color="auto"/>
        <w:left w:val="none" w:sz="0" w:space="0" w:color="auto"/>
        <w:bottom w:val="none" w:sz="0" w:space="0" w:color="auto"/>
        <w:right w:val="none" w:sz="0" w:space="0" w:color="auto"/>
      </w:divBdr>
    </w:div>
    <w:div w:id="1966498591">
      <w:bodyDiv w:val="1"/>
      <w:marLeft w:val="0"/>
      <w:marRight w:val="0"/>
      <w:marTop w:val="0"/>
      <w:marBottom w:val="0"/>
      <w:divBdr>
        <w:top w:val="none" w:sz="0" w:space="0" w:color="auto"/>
        <w:left w:val="none" w:sz="0" w:space="0" w:color="auto"/>
        <w:bottom w:val="none" w:sz="0" w:space="0" w:color="auto"/>
        <w:right w:val="none" w:sz="0" w:space="0" w:color="auto"/>
      </w:divBdr>
    </w:div>
    <w:div w:id="1991907872">
      <w:bodyDiv w:val="1"/>
      <w:marLeft w:val="0"/>
      <w:marRight w:val="0"/>
      <w:marTop w:val="0"/>
      <w:marBottom w:val="0"/>
      <w:divBdr>
        <w:top w:val="none" w:sz="0" w:space="0" w:color="auto"/>
        <w:left w:val="none" w:sz="0" w:space="0" w:color="auto"/>
        <w:bottom w:val="none" w:sz="0" w:space="0" w:color="auto"/>
        <w:right w:val="none" w:sz="0" w:space="0" w:color="auto"/>
      </w:divBdr>
    </w:div>
    <w:div w:id="2088964296">
      <w:bodyDiv w:val="1"/>
      <w:marLeft w:val="0"/>
      <w:marRight w:val="0"/>
      <w:marTop w:val="0"/>
      <w:marBottom w:val="0"/>
      <w:divBdr>
        <w:top w:val="none" w:sz="0" w:space="0" w:color="auto"/>
        <w:left w:val="none" w:sz="0" w:space="0" w:color="auto"/>
        <w:bottom w:val="none" w:sz="0" w:space="0" w:color="auto"/>
        <w:right w:val="none" w:sz="0" w:space="0" w:color="auto"/>
      </w:divBdr>
    </w:div>
    <w:div w:id="2116708287">
      <w:bodyDiv w:val="1"/>
      <w:marLeft w:val="0"/>
      <w:marRight w:val="0"/>
      <w:marTop w:val="0"/>
      <w:marBottom w:val="0"/>
      <w:divBdr>
        <w:top w:val="none" w:sz="0" w:space="0" w:color="auto"/>
        <w:left w:val="none" w:sz="0" w:space="0" w:color="auto"/>
        <w:bottom w:val="none" w:sz="0" w:space="0" w:color="auto"/>
        <w:right w:val="none" w:sz="0" w:space="0" w:color="auto"/>
      </w:divBdr>
    </w:div>
    <w:div w:id="2128233345">
      <w:bodyDiv w:val="1"/>
      <w:marLeft w:val="0"/>
      <w:marRight w:val="0"/>
      <w:marTop w:val="0"/>
      <w:marBottom w:val="0"/>
      <w:divBdr>
        <w:top w:val="none" w:sz="0" w:space="0" w:color="auto"/>
        <w:left w:val="none" w:sz="0" w:space="0" w:color="auto"/>
        <w:bottom w:val="none" w:sz="0" w:space="0" w:color="auto"/>
        <w:right w:val="none" w:sz="0" w:space="0" w:color="auto"/>
      </w:divBdr>
    </w:div>
    <w:div w:id="2138982740">
      <w:bodyDiv w:val="1"/>
      <w:marLeft w:val="0"/>
      <w:marRight w:val="0"/>
      <w:marTop w:val="0"/>
      <w:marBottom w:val="0"/>
      <w:divBdr>
        <w:top w:val="none" w:sz="0" w:space="0" w:color="auto"/>
        <w:left w:val="none" w:sz="0" w:space="0" w:color="auto"/>
        <w:bottom w:val="none" w:sz="0" w:space="0" w:color="auto"/>
        <w:right w:val="none" w:sz="0" w:space="0" w:color="auto"/>
      </w:divBdr>
    </w:div>
    <w:div w:id="21465020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customXml" Target="../customXml/item39.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customXml" Target="../customXml/item42.xml"/><Relationship Id="rId47" Type="http://schemas.openxmlformats.org/officeDocument/2006/relationships/customXml" Target="../customXml/item47.xml"/><Relationship Id="rId50" Type="http://schemas.openxmlformats.org/officeDocument/2006/relationships/numbering" Target="numbering.xml"/><Relationship Id="rId55" Type="http://schemas.openxmlformats.org/officeDocument/2006/relationships/endnotes" Target="endnotes.xml"/><Relationship Id="rId63" Type="http://schemas.openxmlformats.org/officeDocument/2006/relationships/footer" Target="footer2.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customXml" Target="../customXml/item29.xml"/><Relationship Id="rId41" Type="http://schemas.openxmlformats.org/officeDocument/2006/relationships/customXml" Target="../customXml/item41.xml"/><Relationship Id="rId54" Type="http://schemas.openxmlformats.org/officeDocument/2006/relationships/footnotes" Target="footnotes.xm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customXml" Target="../customXml/item40.xml"/><Relationship Id="rId45" Type="http://schemas.openxmlformats.org/officeDocument/2006/relationships/customXml" Target="../customXml/item45.xml"/><Relationship Id="rId53" Type="http://schemas.openxmlformats.org/officeDocument/2006/relationships/webSettings" Target="webSettings.xml"/><Relationship Id="rId58" Type="http://schemas.openxmlformats.org/officeDocument/2006/relationships/hyperlink" Target="http://www.sedarplus.ca" TargetMode="Externa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customXml" Target="../customXml/item49.xml"/><Relationship Id="rId57" Type="http://schemas.openxmlformats.org/officeDocument/2006/relationships/hyperlink" Target="http://www.sedarplus.ca" TargetMode="External"/><Relationship Id="rId61" Type="http://schemas.openxmlformats.org/officeDocument/2006/relationships/footer" Target="footer1.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customXml" Target="../customXml/item31.xml"/><Relationship Id="rId44" Type="http://schemas.openxmlformats.org/officeDocument/2006/relationships/customXml" Target="../customXml/item44.xml"/><Relationship Id="rId52" Type="http://schemas.openxmlformats.org/officeDocument/2006/relationships/settings" Target="settings.xml"/><Relationship Id="rId60" Type="http://schemas.openxmlformats.org/officeDocument/2006/relationships/header" Target="header1.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customXml" Target="../customXml/item43.xml"/><Relationship Id="rId48" Type="http://schemas.openxmlformats.org/officeDocument/2006/relationships/customXml" Target="../customXml/item48.xml"/><Relationship Id="rId56" Type="http://schemas.openxmlformats.org/officeDocument/2006/relationships/hyperlink" Target="http://www.sedarplus.c" TargetMode="External"/><Relationship Id="rId64" Type="http://schemas.openxmlformats.org/officeDocument/2006/relationships/fontTable" Target="fontTable.xml"/><Relationship Id="rId8" Type="http://schemas.openxmlformats.org/officeDocument/2006/relationships/customXml" Target="../customXml/item8.xml"/><Relationship Id="rId51"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customXml" Target="../customXml/item46.xml"/><Relationship Id="rId59" Type="http://schemas.openxmlformats.org/officeDocument/2006/relationships/hyperlink" Target="mailto:info@crownpointenerg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Frosted Glass">
      <a:fillStyleLst>
        <a:solidFill>
          <a:schemeClr val="phClr"/>
        </a:solidFill>
        <a:gradFill rotWithShape="1">
          <a:gsLst>
            <a:gs pos="0">
              <a:schemeClr val="phClr">
                <a:tint val="1000"/>
                <a:satMod val="100000"/>
              </a:schemeClr>
            </a:gs>
            <a:gs pos="68000">
              <a:schemeClr val="phClr">
                <a:tint val="77000"/>
                <a:satMod val="100000"/>
              </a:schemeClr>
            </a:gs>
            <a:gs pos="81000">
              <a:schemeClr val="phClr">
                <a:tint val="79000"/>
                <a:satMod val="100000"/>
              </a:schemeClr>
            </a:gs>
            <a:gs pos="86000">
              <a:schemeClr val="phClr">
                <a:tint val="73000"/>
                <a:satMod val="100000"/>
              </a:schemeClr>
            </a:gs>
            <a:gs pos="100000">
              <a:schemeClr val="phClr">
                <a:tint val="35000"/>
                <a:satMod val="100000"/>
              </a:schemeClr>
            </a:gs>
          </a:gsLst>
          <a:lin ang="5400000" scaled="0"/>
        </a:gradFill>
        <a:gradFill rotWithShape="1">
          <a:gsLst>
            <a:gs pos="0">
              <a:schemeClr val="phClr">
                <a:tint val="73000"/>
                <a:shade val="100000"/>
                <a:satMod val="150000"/>
              </a:schemeClr>
            </a:gs>
            <a:gs pos="25000">
              <a:schemeClr val="phClr">
                <a:tint val="96000"/>
                <a:shade val="80000"/>
                <a:satMod val="105000"/>
              </a:schemeClr>
            </a:gs>
            <a:gs pos="38000">
              <a:schemeClr val="phClr">
                <a:tint val="96000"/>
                <a:shade val="59000"/>
                <a:satMod val="120000"/>
              </a:schemeClr>
            </a:gs>
            <a:gs pos="55000">
              <a:schemeClr val="phClr">
                <a:tint val="100000"/>
                <a:shade val="57000"/>
                <a:satMod val="120000"/>
              </a:schemeClr>
            </a:gs>
            <a:gs pos="80000">
              <a:schemeClr val="phClr">
                <a:tint val="100000"/>
                <a:shade val="56000"/>
                <a:satMod val="145000"/>
              </a:schemeClr>
            </a:gs>
            <a:gs pos="88000">
              <a:schemeClr val="phClr">
                <a:tint val="100000"/>
                <a:shade val="63000"/>
                <a:satMod val="160000"/>
              </a:schemeClr>
            </a:gs>
            <a:gs pos="100000">
              <a:schemeClr val="phClr">
                <a:tint val="99000"/>
                <a:shade val="100000"/>
                <a:satMod val="155000"/>
              </a:schemeClr>
            </a:gs>
          </a:gsLst>
          <a:lin ang="54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scene3d>
            <a:camera prst="orthographicFront">
              <a:rot lat="0" lon="0" rev="0"/>
            </a:camera>
            <a:lightRig rig="glow" dir="tl">
              <a:rot lat="0" lon="0" rev="1800000"/>
            </a:lightRig>
          </a:scene3d>
          <a:sp3d contourW="10160" prstMaterial="dkEdge">
            <a:bevelT w="0" h="0" prst="angle"/>
            <a:contourClr>
              <a:schemeClr val="phClr">
                <a:shade val="30000"/>
                <a:satMod val="150000"/>
              </a:schemeClr>
            </a:contourClr>
          </a:sp3d>
        </a:effectStyle>
        <a:effectStyle>
          <a:effectLst>
            <a:glow rad="50800">
              <a:schemeClr val="phClr">
                <a:tint val="68000"/>
                <a:shade val="93000"/>
                <a:alpha val="37000"/>
                <a:satMod val="250000"/>
              </a:schemeClr>
            </a:glow>
          </a:effectLst>
          <a:scene3d>
            <a:camera prst="orthographicFront">
              <a:rot lat="0" lon="0" rev="0"/>
            </a:camera>
            <a:lightRig rig="glow" dir="t">
              <a:rot lat="0" lon="0" rev="1800000"/>
            </a:lightRig>
          </a:scene3d>
          <a:sp3d contourW="10160" prstMaterial="dkEdge">
            <a:bevelT w="20320" h="19050" prst="angle"/>
            <a:contourClr>
              <a:schemeClr val="phClr">
                <a:shade val="30000"/>
                <a:satMod val="15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properties xmlns="http://www.imanage.com/work/xmlschema">
  <documentid>ACTIVE!17469222.1</documentid>
  <senderid>SWELSH</senderid>
  <senderemail>SWELSH@BDPLAW.COM</senderemail>
  <lastmodified>2026-08-10T17:38:00.0000000-06:00</lastmodified>
  <database>ACTIVE</database>
</properties>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35.xml><?xml version="1.0" encoding="utf-8"?>
<b:Sources xmlns:b="http://schemas.openxmlformats.org/officeDocument/2006/bibliography" xmlns="http://schemas.openxmlformats.org/officeDocument/2006/bibliography" SelectedStyle="\APA.XSL" StyleName="APA"/>
</file>

<file path=customXml/item36.xml><?xml version="1.0" encoding="utf-8"?>
<b:Sources xmlns:b="http://schemas.openxmlformats.org/officeDocument/2006/bibliography" xmlns="http://schemas.openxmlformats.org/officeDocument/2006/bibliography" SelectedStyle="\APA.XSL" StyleName="APA"/>
</file>

<file path=customXml/item37.xml><?xml version="1.0" encoding="utf-8"?>
<b:Sources xmlns:b="http://schemas.openxmlformats.org/officeDocument/2006/bibliography" xmlns="http://schemas.openxmlformats.org/officeDocument/2006/bibliography" SelectedStyle="\APA.XSL" StyleName="APA"/>
</file>

<file path=customXml/item38.xml><?xml version="1.0" encoding="utf-8"?>
<b:Sources xmlns:b="http://schemas.openxmlformats.org/officeDocument/2006/bibliography" xmlns="http://schemas.openxmlformats.org/officeDocument/2006/bibliography" SelectedStyle="\APA.XSL" StyleName="APA"/>
</file>

<file path=customXml/item39.xml><?xml version="1.0" encoding="utf-8"?>
<b:Sources xmlns:b="http://schemas.openxmlformats.org/officeDocument/2006/bibliography" xmlns="http://schemas.openxmlformats.org/officeDocument/2006/bibliography" SelectedStyle="\APA.XSL" StyleName="APA"/>
</file>

<file path=customXml/item40.xml><?xml version="1.0" encoding="utf-8"?>
<b:Sources xmlns:b="http://schemas.openxmlformats.org/officeDocument/2006/bibliography" xmlns="http://schemas.openxmlformats.org/officeDocument/2006/bibliography" SelectedStyle="\APA.XSL" StyleName="APA"/>
</file>

<file path=customXml/item41.xml><?xml version="1.0" encoding="utf-8"?>
<b:Sources xmlns:b="http://schemas.openxmlformats.org/officeDocument/2006/bibliography" xmlns="http://schemas.openxmlformats.org/officeDocument/2006/bibliography" SelectedStyle="\APA.XSL" StyleName="APA"/>
</file>

<file path=customXml/item42.xml><?xml version="1.0" encoding="utf-8"?>
<b:Sources xmlns:b="http://schemas.openxmlformats.org/officeDocument/2006/bibliography" xmlns="http://schemas.openxmlformats.org/officeDocument/2006/bibliography" SelectedStyle="\APA.XSL" StyleName="APA"/>
</file>

<file path=customXml/item43.xml><?xml version="1.0" encoding="utf-8"?>
<b:Sources xmlns:b="http://schemas.openxmlformats.org/officeDocument/2006/bibliography" xmlns="http://schemas.openxmlformats.org/officeDocument/2006/bibliography" SelectedStyle="\APA.XSL" StyleName="APA"/>
</file>

<file path=customXml/item44.xml><?xml version="1.0" encoding="utf-8"?>
<b:Sources xmlns:b="http://schemas.openxmlformats.org/officeDocument/2006/bibliography" xmlns="http://schemas.openxmlformats.org/officeDocument/2006/bibliography" SelectedStyle="\APA.XSL" StyleName="APA"/>
</file>

<file path=customXml/item45.xml><?xml version="1.0" encoding="utf-8"?>
<b:Sources xmlns:b="http://schemas.openxmlformats.org/officeDocument/2006/bibliography" xmlns="http://schemas.openxmlformats.org/officeDocument/2006/bibliography" SelectedStyle="\APA.XSL" StyleName="APA"/>
</file>

<file path=customXml/item46.xml><?xml version="1.0" encoding="utf-8"?>
<b:Sources xmlns:b="http://schemas.openxmlformats.org/officeDocument/2006/bibliography" xmlns="http://schemas.openxmlformats.org/officeDocument/2006/bibliography" SelectedStyle="\APA.XSL" StyleName="APA"/>
</file>

<file path=customXml/item47.xml><?xml version="1.0" encoding="utf-8"?>
<b:Sources xmlns:b="http://schemas.openxmlformats.org/officeDocument/2006/bibliography" xmlns="http://schemas.openxmlformats.org/officeDocument/2006/bibliography" SelectedStyle="\APA.XSL" StyleName="APA"/>
</file>

<file path=customXml/item48.xml><?xml version="1.0" encoding="utf-8"?>
<b:Sources xmlns:b="http://schemas.openxmlformats.org/officeDocument/2006/bibliography" xmlns="http://schemas.openxmlformats.org/officeDocument/2006/bibliography" SelectedStyle="\APA.XSL" StyleName="APA"/>
</file>

<file path=customXml/item4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9B444-7ECD-42BE-B078-7031072C0320}">
  <ds:schemaRefs>
    <ds:schemaRef ds:uri="http://schemas.openxmlformats.org/officeDocument/2006/bibliography"/>
  </ds:schemaRefs>
</ds:datastoreItem>
</file>

<file path=customXml/itemProps2.xml><?xml version="1.0" encoding="utf-8"?>
<ds:datastoreItem xmlns:ds="http://schemas.openxmlformats.org/officeDocument/2006/customXml" ds:itemID="{19B6EEB2-7C75-4012-81C3-6D932A0DB709}">
  <ds:schemaRefs>
    <ds:schemaRef ds:uri="http://schemas.openxmlformats.org/officeDocument/2006/bibliography"/>
  </ds:schemaRefs>
</ds:datastoreItem>
</file>

<file path=customXml/itemProps3.xml><?xml version="1.0" encoding="utf-8"?>
<ds:datastoreItem xmlns:ds="http://schemas.openxmlformats.org/officeDocument/2006/customXml" ds:itemID="{1CA3B17A-8371-4105-B9F5-90D4E6541BD1}">
  <ds:schemaRefs>
    <ds:schemaRef ds:uri="http://schemas.openxmlformats.org/officeDocument/2006/bibliography"/>
  </ds:schemaRefs>
</ds:datastoreItem>
</file>

<file path=customXml/itemProps4.xml><?xml version="1.0" encoding="utf-8"?>
<ds:datastoreItem xmlns:ds="http://schemas.openxmlformats.org/officeDocument/2006/customXml" ds:itemID="{5E69983E-9600-41EB-A913-AE47669BCAB6}">
  <ds:schemaRefs>
    <ds:schemaRef ds:uri="http://schemas.openxmlformats.org/officeDocument/2006/bibliography"/>
  </ds:schemaRefs>
</ds:datastoreItem>
</file>

<file path=customXml/itemProps5.xml><?xml version="1.0" encoding="utf-8"?>
<ds:datastoreItem xmlns:ds="http://schemas.openxmlformats.org/officeDocument/2006/customXml" ds:itemID="{67C42DA3-1AA6-4BD1-8CD2-D2DF95E0C405}">
  <ds:schemaRefs>
    <ds:schemaRef ds:uri="http://schemas.openxmlformats.org/officeDocument/2006/bibliography"/>
  </ds:schemaRefs>
</ds:datastoreItem>
</file>

<file path=customXml/itemProps6.xml><?xml version="1.0" encoding="utf-8"?>
<ds:datastoreItem xmlns:ds="http://schemas.openxmlformats.org/officeDocument/2006/customXml" ds:itemID="{95167447-948A-45B8-ADD1-D361D326D440}">
  <ds:schemaRefs>
    <ds:schemaRef ds:uri="http://schemas.openxmlformats.org/officeDocument/2006/bibliography"/>
  </ds:schemaRefs>
</ds:datastoreItem>
</file>

<file path=customXml/itemProps7.xml><?xml version="1.0" encoding="utf-8"?>
<ds:datastoreItem xmlns:ds="http://schemas.openxmlformats.org/officeDocument/2006/customXml" ds:itemID="{851DA1AD-A35A-4BF1-9F5B-C2028651A36C}">
  <ds:schemaRefs>
    <ds:schemaRef ds:uri="http://schemas.openxmlformats.org/officeDocument/2006/bibliography"/>
  </ds:schemaRefs>
</ds:datastoreItem>
</file>

<file path=customXml/itemProps8.xml><?xml version="1.0" encoding="utf-8"?>
<ds:datastoreItem xmlns:ds="http://schemas.openxmlformats.org/officeDocument/2006/customXml" ds:itemID="{3A702229-A594-48E9-8695-39A81ECB4027}">
  <ds:schemaRefs>
    <ds:schemaRef ds:uri="http://schemas.openxmlformats.org/officeDocument/2006/bibliography"/>
  </ds:schemaRefs>
</ds:datastoreItem>
</file>

<file path=customXml/itemProps9.xml><?xml version="1.0" encoding="utf-8"?>
<ds:datastoreItem xmlns:ds="http://schemas.openxmlformats.org/officeDocument/2006/customXml" ds:itemID="{EA078364-723A-4403-9502-B7004CDC8BDF}">
  <ds:schemaRefs>
    <ds:schemaRef ds:uri="http://schemas.openxmlformats.org/officeDocument/2006/bibliography"/>
  </ds:schemaRefs>
</ds:datastoreItem>
</file>

<file path=customXml/itemProps10.xml><?xml version="1.0" encoding="utf-8"?>
<ds:datastoreItem xmlns:ds="http://schemas.openxmlformats.org/officeDocument/2006/customXml" ds:itemID="{BD86EEA4-3F6E-48AD-9506-FE8395A3DB08}">
  <ds:schemaRefs>
    <ds:schemaRef ds:uri="http://schemas.openxmlformats.org/officeDocument/2006/bibliography"/>
  </ds:schemaRefs>
</ds:datastoreItem>
</file>

<file path=customXml/itemProps11.xml><?xml version="1.0" encoding="utf-8"?>
<ds:datastoreItem xmlns:ds="http://schemas.openxmlformats.org/officeDocument/2006/customXml" ds:itemID="{584B4826-7181-4392-8388-05AB85ECCD26}">
  <ds:schemaRefs>
    <ds:schemaRef ds:uri="http://schemas.openxmlformats.org/officeDocument/2006/bibliography"/>
  </ds:schemaRefs>
</ds:datastoreItem>
</file>

<file path=customXml/itemProps12.xml><?xml version="1.0" encoding="utf-8"?>
<ds:datastoreItem xmlns:ds="http://schemas.openxmlformats.org/officeDocument/2006/customXml" ds:itemID="{7B1B2C43-159B-41AD-A6A6-F0099C50A5EB}">
  <ds:schemaRefs>
    <ds:schemaRef ds:uri="http://schemas.openxmlformats.org/officeDocument/2006/bibliography"/>
  </ds:schemaRefs>
</ds:datastoreItem>
</file>

<file path=customXml/itemProps13.xml><?xml version="1.0" encoding="utf-8"?>
<ds:datastoreItem xmlns:ds="http://schemas.openxmlformats.org/officeDocument/2006/customXml" ds:itemID="{2B3FCAFA-E985-49B1-94DA-13C6614EF915}">
  <ds:schemaRefs>
    <ds:schemaRef ds:uri="http://schemas.openxmlformats.org/officeDocument/2006/bibliography"/>
  </ds:schemaRefs>
</ds:datastoreItem>
</file>

<file path=customXml/itemProps14.xml><?xml version="1.0" encoding="utf-8"?>
<ds:datastoreItem xmlns:ds="http://schemas.openxmlformats.org/officeDocument/2006/customXml" ds:itemID="{3602F4FC-BAA9-445E-9F73-3A11A2E8C462}">
  <ds:schemaRefs>
    <ds:schemaRef ds:uri="http://schemas.openxmlformats.org/officeDocument/2006/bibliography"/>
  </ds:schemaRefs>
</ds:datastoreItem>
</file>

<file path=customXml/itemProps15.xml><?xml version="1.0" encoding="utf-8"?>
<ds:datastoreItem xmlns:ds="http://schemas.openxmlformats.org/officeDocument/2006/customXml" ds:itemID="{5F1634BA-5B0A-45AE-95ED-46FBBFF384B1}">
  <ds:schemaRefs>
    <ds:schemaRef ds:uri="http://schemas.openxmlformats.org/officeDocument/2006/bibliography"/>
  </ds:schemaRefs>
</ds:datastoreItem>
</file>

<file path=customXml/itemProps16.xml><?xml version="1.0" encoding="utf-8"?>
<ds:datastoreItem xmlns:ds="http://schemas.openxmlformats.org/officeDocument/2006/customXml" ds:itemID="{A2424990-C190-4DC9-A5F7-17E02BCA331D}">
  <ds:schemaRefs>
    <ds:schemaRef ds:uri="http://schemas.openxmlformats.org/officeDocument/2006/bibliography"/>
  </ds:schemaRefs>
</ds:datastoreItem>
</file>

<file path=customXml/itemProps17.xml><?xml version="1.0" encoding="utf-8"?>
<ds:datastoreItem xmlns:ds="http://schemas.openxmlformats.org/officeDocument/2006/customXml" ds:itemID="{E835A43C-9FD8-433D-AB6C-185007457984}">
  <ds:schemaRefs>
    <ds:schemaRef ds:uri="http://schemas.openxmlformats.org/officeDocument/2006/bibliography"/>
  </ds:schemaRefs>
</ds:datastoreItem>
</file>

<file path=customXml/itemProps18.xml><?xml version="1.0" encoding="utf-8"?>
<ds:datastoreItem xmlns:ds="http://schemas.openxmlformats.org/officeDocument/2006/customXml" ds:itemID="{B37297EB-959B-465E-A36F-195F09A06D11}">
  <ds:schemaRefs>
    <ds:schemaRef ds:uri="http://schemas.openxmlformats.org/officeDocument/2006/bibliography"/>
  </ds:schemaRefs>
</ds:datastoreItem>
</file>

<file path=customXml/itemProps19.xml><?xml version="1.0" encoding="utf-8"?>
<ds:datastoreItem xmlns:ds="http://schemas.openxmlformats.org/officeDocument/2006/customXml" ds:itemID="{A393E4C5-876E-40C2-ACF2-6CD2A20D2AA8}">
  <ds:schemaRefs>
    <ds:schemaRef ds:uri="http://schemas.openxmlformats.org/officeDocument/2006/bibliography"/>
  </ds:schemaRefs>
</ds:datastoreItem>
</file>

<file path=customXml/itemProps20.xml><?xml version="1.0" encoding="utf-8"?>
<ds:datastoreItem xmlns:ds="http://schemas.openxmlformats.org/officeDocument/2006/customXml" ds:itemID="{8DED27CB-21D8-471A-AF93-846131B3CCF3}">
  <ds:schemaRefs>
    <ds:schemaRef ds:uri="http://schemas.openxmlformats.org/officeDocument/2006/bibliography"/>
  </ds:schemaRefs>
</ds:datastoreItem>
</file>

<file path=customXml/itemProps21.xml><?xml version="1.0" encoding="utf-8"?>
<ds:datastoreItem xmlns:ds="http://schemas.openxmlformats.org/officeDocument/2006/customXml" ds:itemID="{7212B856-3480-4ACB-96B6-5E48FDF800DE}">
  <ds:schemaRefs>
    <ds:schemaRef ds:uri="http://schemas.openxmlformats.org/officeDocument/2006/bibliography"/>
  </ds:schemaRefs>
</ds:datastoreItem>
</file>

<file path=customXml/itemProps22.xml><?xml version="1.0" encoding="utf-8"?>
<ds:datastoreItem xmlns:ds="http://schemas.openxmlformats.org/officeDocument/2006/customXml" ds:itemID="{BB6106AE-3A1E-44A8-AB2A-978D156ABEA5}">
  <ds:schemaRefs>
    <ds:schemaRef ds:uri="http://schemas.openxmlformats.org/officeDocument/2006/bibliography"/>
  </ds:schemaRefs>
</ds:datastoreItem>
</file>

<file path=customXml/itemProps23.xml><?xml version="1.0" encoding="utf-8"?>
<ds:datastoreItem xmlns:ds="http://schemas.openxmlformats.org/officeDocument/2006/customXml" ds:itemID="{C2A49FA0-6D51-4003-9E4B-CDE9B726B611}">
  <ds:schemaRefs>
    <ds:schemaRef ds:uri="http://schemas.openxmlformats.org/officeDocument/2006/bibliography"/>
  </ds:schemaRefs>
</ds:datastoreItem>
</file>

<file path=customXml/itemProps24.xml><?xml version="1.0" encoding="utf-8"?>
<ds:datastoreItem xmlns:ds="http://schemas.openxmlformats.org/officeDocument/2006/customXml" ds:itemID="{82C9BB58-4796-4390-86E5-C415CD5A2FCB}">
  <ds:schemaRefs>
    <ds:schemaRef ds:uri="http://www.imanage.com/work/xmlschema"/>
  </ds:schemaRefs>
</ds:datastoreItem>
</file>

<file path=customXml/itemProps25.xml><?xml version="1.0" encoding="utf-8"?>
<ds:datastoreItem xmlns:ds="http://schemas.openxmlformats.org/officeDocument/2006/customXml" ds:itemID="{BDD4A1FD-EA85-4BA8-8C2E-79B57B8E3CA1}">
  <ds:schemaRefs>
    <ds:schemaRef ds:uri="http://schemas.openxmlformats.org/officeDocument/2006/bibliography"/>
  </ds:schemaRefs>
</ds:datastoreItem>
</file>

<file path=customXml/itemProps26.xml><?xml version="1.0" encoding="utf-8"?>
<ds:datastoreItem xmlns:ds="http://schemas.openxmlformats.org/officeDocument/2006/customXml" ds:itemID="{0098D981-B0F1-41EA-9DB5-392C8431E987}">
  <ds:schemaRefs>
    <ds:schemaRef ds:uri="http://schemas.openxmlformats.org/officeDocument/2006/bibliography"/>
  </ds:schemaRefs>
</ds:datastoreItem>
</file>

<file path=customXml/itemProps27.xml><?xml version="1.0" encoding="utf-8"?>
<ds:datastoreItem xmlns:ds="http://schemas.openxmlformats.org/officeDocument/2006/customXml" ds:itemID="{C0FFC668-5FE1-4106-9BAE-99AB9DF23791}">
  <ds:schemaRefs>
    <ds:schemaRef ds:uri="http://schemas.openxmlformats.org/officeDocument/2006/bibliography"/>
  </ds:schemaRefs>
</ds:datastoreItem>
</file>

<file path=customXml/itemProps28.xml><?xml version="1.0" encoding="utf-8"?>
<ds:datastoreItem xmlns:ds="http://schemas.openxmlformats.org/officeDocument/2006/customXml" ds:itemID="{2C02F60D-2CAC-4DD5-95AE-9F44A9929BB9}">
  <ds:schemaRefs>
    <ds:schemaRef ds:uri="http://schemas.openxmlformats.org/officeDocument/2006/bibliography"/>
  </ds:schemaRefs>
</ds:datastoreItem>
</file>

<file path=customXml/itemProps29.xml><?xml version="1.0" encoding="utf-8"?>
<ds:datastoreItem xmlns:ds="http://schemas.openxmlformats.org/officeDocument/2006/customXml" ds:itemID="{F481DB3B-1B39-4B32-8730-E0085559EB32}">
  <ds:schemaRefs>
    <ds:schemaRef ds:uri="http://schemas.openxmlformats.org/officeDocument/2006/bibliography"/>
  </ds:schemaRefs>
</ds:datastoreItem>
</file>

<file path=customXml/itemProps30.xml><?xml version="1.0" encoding="utf-8"?>
<ds:datastoreItem xmlns:ds="http://schemas.openxmlformats.org/officeDocument/2006/customXml" ds:itemID="{37BC5FAA-21C4-44DD-AFC4-1FE900E36616}">
  <ds:schemaRefs>
    <ds:schemaRef ds:uri="http://schemas.openxmlformats.org/officeDocument/2006/bibliography"/>
  </ds:schemaRefs>
</ds:datastoreItem>
</file>

<file path=customXml/itemProps31.xml><?xml version="1.0" encoding="utf-8"?>
<ds:datastoreItem xmlns:ds="http://schemas.openxmlformats.org/officeDocument/2006/customXml" ds:itemID="{75739CC6-9AB6-41C8-BFC6-990DAFE374FE}">
  <ds:schemaRefs>
    <ds:schemaRef ds:uri="http://schemas.openxmlformats.org/officeDocument/2006/bibliography"/>
  </ds:schemaRefs>
</ds:datastoreItem>
</file>

<file path=customXml/itemProps32.xml><?xml version="1.0" encoding="utf-8"?>
<ds:datastoreItem xmlns:ds="http://schemas.openxmlformats.org/officeDocument/2006/customXml" ds:itemID="{7D21C526-AEF1-4C20-B3EA-0FC4CAC21088}">
  <ds:schemaRefs>
    <ds:schemaRef ds:uri="http://schemas.openxmlformats.org/officeDocument/2006/bibliography"/>
  </ds:schemaRefs>
</ds:datastoreItem>
</file>

<file path=customXml/itemProps33.xml><?xml version="1.0" encoding="utf-8"?>
<ds:datastoreItem xmlns:ds="http://schemas.openxmlformats.org/officeDocument/2006/customXml" ds:itemID="{13BF7049-1CF7-4A7A-8AD6-B1FB4BC5CDB1}">
  <ds:schemaRefs>
    <ds:schemaRef ds:uri="http://schemas.openxmlformats.org/officeDocument/2006/bibliography"/>
  </ds:schemaRefs>
</ds:datastoreItem>
</file>

<file path=customXml/itemProps34.xml><?xml version="1.0" encoding="utf-8"?>
<ds:datastoreItem xmlns:ds="http://schemas.openxmlformats.org/officeDocument/2006/customXml" ds:itemID="{64C58292-511D-495D-809D-A39D20CCD36E}">
  <ds:schemaRefs>
    <ds:schemaRef ds:uri="http://schemas.openxmlformats.org/officeDocument/2006/bibliography"/>
  </ds:schemaRefs>
</ds:datastoreItem>
</file>

<file path=customXml/itemProps35.xml><?xml version="1.0" encoding="utf-8"?>
<ds:datastoreItem xmlns:ds="http://schemas.openxmlformats.org/officeDocument/2006/customXml" ds:itemID="{49A1DC95-CD5F-4E99-BBF6-35AC0D67190D}">
  <ds:schemaRefs>
    <ds:schemaRef ds:uri="http://schemas.openxmlformats.org/officeDocument/2006/bibliography"/>
  </ds:schemaRefs>
</ds:datastoreItem>
</file>

<file path=customXml/itemProps36.xml><?xml version="1.0" encoding="utf-8"?>
<ds:datastoreItem xmlns:ds="http://schemas.openxmlformats.org/officeDocument/2006/customXml" ds:itemID="{0A80F4DB-81C6-4906-B0C7-95AF9CF75FD8}">
  <ds:schemaRefs>
    <ds:schemaRef ds:uri="http://schemas.openxmlformats.org/officeDocument/2006/bibliography"/>
  </ds:schemaRefs>
</ds:datastoreItem>
</file>

<file path=customXml/itemProps37.xml><?xml version="1.0" encoding="utf-8"?>
<ds:datastoreItem xmlns:ds="http://schemas.openxmlformats.org/officeDocument/2006/customXml" ds:itemID="{2407F2C1-5449-4EE2-9590-93805510DF4C}">
  <ds:schemaRefs>
    <ds:schemaRef ds:uri="http://schemas.openxmlformats.org/officeDocument/2006/bibliography"/>
  </ds:schemaRefs>
</ds:datastoreItem>
</file>

<file path=customXml/itemProps38.xml><?xml version="1.0" encoding="utf-8"?>
<ds:datastoreItem xmlns:ds="http://schemas.openxmlformats.org/officeDocument/2006/customXml" ds:itemID="{7A2DD12E-B594-4C60-92AC-D48179DE8E8A}">
  <ds:schemaRefs>
    <ds:schemaRef ds:uri="http://schemas.openxmlformats.org/officeDocument/2006/bibliography"/>
  </ds:schemaRefs>
</ds:datastoreItem>
</file>

<file path=customXml/itemProps39.xml><?xml version="1.0" encoding="utf-8"?>
<ds:datastoreItem xmlns:ds="http://schemas.openxmlformats.org/officeDocument/2006/customXml" ds:itemID="{A731781F-7589-4505-89BF-93BFC9582949}">
  <ds:schemaRefs>
    <ds:schemaRef ds:uri="http://schemas.openxmlformats.org/officeDocument/2006/bibliography"/>
  </ds:schemaRefs>
</ds:datastoreItem>
</file>

<file path=customXml/itemProps40.xml><?xml version="1.0" encoding="utf-8"?>
<ds:datastoreItem xmlns:ds="http://schemas.openxmlformats.org/officeDocument/2006/customXml" ds:itemID="{D1A041C5-398E-468C-B970-261386307A44}">
  <ds:schemaRefs>
    <ds:schemaRef ds:uri="http://schemas.openxmlformats.org/officeDocument/2006/bibliography"/>
  </ds:schemaRefs>
</ds:datastoreItem>
</file>

<file path=customXml/itemProps41.xml><?xml version="1.0" encoding="utf-8"?>
<ds:datastoreItem xmlns:ds="http://schemas.openxmlformats.org/officeDocument/2006/customXml" ds:itemID="{9E2C075F-A010-43FB-9ED1-0C9286FB970C}">
  <ds:schemaRefs>
    <ds:schemaRef ds:uri="http://schemas.openxmlformats.org/officeDocument/2006/bibliography"/>
  </ds:schemaRefs>
</ds:datastoreItem>
</file>

<file path=customXml/itemProps42.xml><?xml version="1.0" encoding="utf-8"?>
<ds:datastoreItem xmlns:ds="http://schemas.openxmlformats.org/officeDocument/2006/customXml" ds:itemID="{55A0C31C-12E5-4DED-B284-C0B0B25DEFBB}">
  <ds:schemaRefs>
    <ds:schemaRef ds:uri="http://schemas.openxmlformats.org/officeDocument/2006/bibliography"/>
  </ds:schemaRefs>
</ds:datastoreItem>
</file>

<file path=customXml/itemProps43.xml><?xml version="1.0" encoding="utf-8"?>
<ds:datastoreItem xmlns:ds="http://schemas.openxmlformats.org/officeDocument/2006/customXml" ds:itemID="{92D3536F-8BB3-4041-A18C-6844DE77263F}">
  <ds:schemaRefs>
    <ds:schemaRef ds:uri="http://schemas.openxmlformats.org/officeDocument/2006/bibliography"/>
  </ds:schemaRefs>
</ds:datastoreItem>
</file>

<file path=customXml/itemProps44.xml><?xml version="1.0" encoding="utf-8"?>
<ds:datastoreItem xmlns:ds="http://schemas.openxmlformats.org/officeDocument/2006/customXml" ds:itemID="{3CEC382E-1B64-4FAF-8197-FDE6D73E408C}">
  <ds:schemaRefs>
    <ds:schemaRef ds:uri="http://schemas.openxmlformats.org/officeDocument/2006/bibliography"/>
  </ds:schemaRefs>
</ds:datastoreItem>
</file>

<file path=customXml/itemProps45.xml><?xml version="1.0" encoding="utf-8"?>
<ds:datastoreItem xmlns:ds="http://schemas.openxmlformats.org/officeDocument/2006/customXml" ds:itemID="{6AF3DFFB-6030-435D-B1A4-989A245BBE56}">
  <ds:schemaRefs>
    <ds:schemaRef ds:uri="http://schemas.openxmlformats.org/officeDocument/2006/bibliography"/>
  </ds:schemaRefs>
</ds:datastoreItem>
</file>

<file path=customXml/itemProps46.xml><?xml version="1.0" encoding="utf-8"?>
<ds:datastoreItem xmlns:ds="http://schemas.openxmlformats.org/officeDocument/2006/customXml" ds:itemID="{F26E5844-66CD-400B-8B89-C156FAF3EC94}">
  <ds:schemaRefs>
    <ds:schemaRef ds:uri="http://schemas.openxmlformats.org/officeDocument/2006/bibliography"/>
  </ds:schemaRefs>
</ds:datastoreItem>
</file>

<file path=customXml/itemProps47.xml><?xml version="1.0" encoding="utf-8"?>
<ds:datastoreItem xmlns:ds="http://schemas.openxmlformats.org/officeDocument/2006/customXml" ds:itemID="{5B17B396-3A0B-4A35-863B-7BBE4FF2318F}">
  <ds:schemaRefs>
    <ds:schemaRef ds:uri="http://schemas.openxmlformats.org/officeDocument/2006/bibliography"/>
  </ds:schemaRefs>
</ds:datastoreItem>
</file>

<file path=customXml/itemProps48.xml><?xml version="1.0" encoding="utf-8"?>
<ds:datastoreItem xmlns:ds="http://schemas.openxmlformats.org/officeDocument/2006/customXml" ds:itemID="{79D3EBE1-528F-4F08-8B0C-F32E4303BA5D}">
  <ds:schemaRefs>
    <ds:schemaRef ds:uri="http://schemas.openxmlformats.org/officeDocument/2006/bibliography"/>
  </ds:schemaRefs>
</ds:datastoreItem>
</file>

<file path=customXml/itemProps49.xml><?xml version="1.0" encoding="utf-8"?>
<ds:datastoreItem xmlns:ds="http://schemas.openxmlformats.org/officeDocument/2006/customXml" ds:itemID="{FE5C8325-7CBC-4919-9195-559933623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12203</Words>
  <Characters>67121</Characters>
  <Application>Microsoft Office Word</Application>
  <DocSecurity>0</DocSecurity>
  <Lines>559</Lines>
  <Paragraphs>158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79166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de Brito Ferra</dc:creator>
  <cp:keywords/>
  <dc:description/>
  <cp:lastModifiedBy>DE BRITO FERRA Natalia</cp:lastModifiedBy>
  <cp:revision>4</cp:revision>
  <cp:lastPrinted>2024-05-10T15:25:00Z</cp:lastPrinted>
  <dcterms:created xsi:type="dcterms:W3CDTF">2026-08-11T19:55:00Z</dcterms:created>
  <dcterms:modified xsi:type="dcterms:W3CDTF">2026-08-11T20:11:00Z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-44070618</vt:i4>
  </property>
  <property fmtid="{D5CDD505-2E9C-101B-9397-08002B2CF9AE}" pid="3" name="DSLxDOC_SAVED">
    <vt:lpwstr>1</vt:lpwstr>
  </property>
  <property fmtid="{D5CDD505-2E9C-101B-9397-08002B2CF9AE}" pid="4" name="DOCXDOCID">
    <vt:lpwstr>17036328.1</vt:lpwstr>
  </property>
  <property fmtid="{D5CDD505-2E9C-101B-9397-08002B2CF9AE}" pid="5" name="DocXFormat">
    <vt:lpwstr>BDP DOCID</vt:lpwstr>
  </property>
  <property fmtid="{D5CDD505-2E9C-101B-9397-08002B2CF9AE}" pid="6" name="DocXLocation">
    <vt:lpwstr>NoDocId</vt:lpwstr>
  </property>
</Properties>
</file>