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362D0" w14:textId="63E96C89" w:rsidR="00997CEA" w:rsidRPr="00902562" w:rsidRDefault="00997CEA" w:rsidP="0070547D">
      <w:pPr>
        <w:widowControl w:val="0"/>
        <w:tabs>
          <w:tab w:val="right" w:pos="9360"/>
        </w:tabs>
        <w:jc w:val="both"/>
        <w:rPr>
          <w:rFonts w:ascii="Arial" w:hAnsi="Arial" w:cs="Arial"/>
          <w:sz w:val="24"/>
        </w:rPr>
      </w:pPr>
      <w:r>
        <w:rPr>
          <w:rFonts w:ascii="Arial" w:hAnsi="Arial" w:cs="Arial"/>
          <w:sz w:val="24"/>
        </w:rPr>
        <w:t xml:space="preserve">FOR IMMEDIATE RELEASE </w:t>
      </w:r>
      <w:r>
        <w:rPr>
          <w:rFonts w:ascii="Arial" w:hAnsi="Arial" w:cs="Arial"/>
          <w:sz w:val="24"/>
        </w:rPr>
        <w:tab/>
        <w:t>CWV: TSX.V</w:t>
      </w:r>
    </w:p>
    <w:p w14:paraId="4B02A0D3" w14:textId="031DC954" w:rsidR="00997CEA" w:rsidRPr="00902562" w:rsidRDefault="00DF4E30" w:rsidP="00D17181">
      <w:pPr>
        <w:widowControl w:val="0"/>
        <w:rPr>
          <w:rFonts w:ascii="Arial" w:hAnsi="Arial" w:cs="Arial"/>
          <w:sz w:val="24"/>
        </w:rPr>
      </w:pPr>
      <w:r>
        <w:rPr>
          <w:rFonts w:ascii="Arial" w:hAnsi="Arial" w:cs="Arial"/>
          <w:sz w:val="24"/>
        </w:rPr>
        <w:t>March</w:t>
      </w:r>
      <w:r w:rsidR="00411AD2">
        <w:rPr>
          <w:rFonts w:ascii="Arial" w:hAnsi="Arial" w:cs="Arial"/>
          <w:sz w:val="24"/>
        </w:rPr>
        <w:t xml:space="preserve"> 11</w:t>
      </w:r>
      <w:r w:rsidR="00E46032">
        <w:rPr>
          <w:rFonts w:ascii="Arial" w:hAnsi="Arial" w:cs="Arial"/>
          <w:sz w:val="24"/>
        </w:rPr>
        <w:t xml:space="preserve">, </w:t>
      </w:r>
      <w:r w:rsidR="00CD751F">
        <w:rPr>
          <w:rFonts w:ascii="Arial" w:hAnsi="Arial" w:cs="Arial"/>
          <w:sz w:val="24"/>
        </w:rPr>
        <w:t>202</w:t>
      </w:r>
      <w:r w:rsidR="00530575">
        <w:rPr>
          <w:rFonts w:ascii="Arial" w:hAnsi="Arial" w:cs="Arial"/>
          <w:sz w:val="24"/>
        </w:rPr>
        <w:t>6</w:t>
      </w:r>
    </w:p>
    <w:p w14:paraId="3EE0A1A2" w14:textId="77777777" w:rsidR="00043229" w:rsidRPr="00902562" w:rsidRDefault="00043229" w:rsidP="00D17181">
      <w:pPr>
        <w:widowControl w:val="0"/>
        <w:rPr>
          <w:rFonts w:ascii="Arial" w:hAnsi="Arial" w:cs="Arial"/>
          <w:b/>
          <w:sz w:val="24"/>
        </w:rPr>
      </w:pPr>
    </w:p>
    <w:p w14:paraId="57F2805D" w14:textId="101CE42E" w:rsidR="00DF4E30" w:rsidRDefault="00DF4E30" w:rsidP="00DF4E30">
      <w:pPr>
        <w:widowControl w:val="0"/>
        <w:ind w:left="720"/>
        <w:jc w:val="center"/>
        <w:outlineLvl w:val="0"/>
        <w:rPr>
          <w:rFonts w:ascii="Arial" w:hAnsi="Arial" w:cs="Arial"/>
          <w:b/>
          <w:sz w:val="24"/>
        </w:rPr>
      </w:pPr>
      <w:r>
        <w:rPr>
          <w:rFonts w:ascii="Arial" w:hAnsi="Arial" w:cs="Arial"/>
          <w:b/>
          <w:sz w:val="24"/>
        </w:rPr>
        <w:t xml:space="preserve">Crown Point Announces </w:t>
      </w:r>
      <w:r w:rsidR="00F439AE">
        <w:rPr>
          <w:rFonts w:ascii="Arial" w:hAnsi="Arial" w:cs="Arial"/>
          <w:b/>
          <w:sz w:val="24"/>
        </w:rPr>
        <w:t>Unaudited Financial</w:t>
      </w:r>
      <w:r>
        <w:rPr>
          <w:rFonts w:ascii="Arial" w:hAnsi="Arial" w:cs="Arial"/>
          <w:b/>
          <w:sz w:val="24"/>
        </w:rPr>
        <w:t xml:space="preserve"> and </w:t>
      </w:r>
      <w:r w:rsidR="00F439AE">
        <w:rPr>
          <w:rFonts w:ascii="Arial" w:hAnsi="Arial" w:cs="Arial"/>
          <w:b/>
          <w:sz w:val="24"/>
        </w:rPr>
        <w:t>Operating</w:t>
      </w:r>
      <w:r>
        <w:rPr>
          <w:rFonts w:ascii="Arial" w:hAnsi="Arial" w:cs="Arial"/>
          <w:b/>
          <w:sz w:val="24"/>
        </w:rPr>
        <w:t xml:space="preserve"> Results</w:t>
      </w:r>
    </w:p>
    <w:p w14:paraId="0D334D39" w14:textId="4B6DF5E1" w:rsidR="00DF4E30" w:rsidRDefault="00DF4E30" w:rsidP="00DF4E30">
      <w:pPr>
        <w:widowControl w:val="0"/>
        <w:ind w:left="720"/>
        <w:jc w:val="center"/>
        <w:outlineLvl w:val="0"/>
        <w:rPr>
          <w:rFonts w:ascii="Arial" w:hAnsi="Arial" w:cs="Arial"/>
          <w:b/>
          <w:sz w:val="24"/>
        </w:rPr>
      </w:pPr>
      <w:r>
        <w:rPr>
          <w:rFonts w:ascii="Arial" w:hAnsi="Arial" w:cs="Arial"/>
          <w:b/>
          <w:sz w:val="24"/>
        </w:rPr>
        <w:t xml:space="preserve">for the Three Months and Year Ended December 31, </w:t>
      </w:r>
      <w:proofErr w:type="gramStart"/>
      <w:r>
        <w:rPr>
          <w:rFonts w:ascii="Arial" w:hAnsi="Arial" w:cs="Arial"/>
          <w:b/>
          <w:sz w:val="24"/>
        </w:rPr>
        <w:t>202</w:t>
      </w:r>
      <w:r w:rsidR="00530575">
        <w:rPr>
          <w:rFonts w:ascii="Arial" w:hAnsi="Arial" w:cs="Arial"/>
          <w:b/>
          <w:sz w:val="24"/>
        </w:rPr>
        <w:t>5</w:t>
      </w:r>
      <w:proofErr w:type="gramEnd"/>
      <w:r w:rsidR="00122AB0">
        <w:rPr>
          <w:rFonts w:ascii="Arial" w:hAnsi="Arial" w:cs="Arial"/>
          <w:b/>
          <w:sz w:val="24"/>
        </w:rPr>
        <w:t xml:space="preserve"> and</w:t>
      </w:r>
    </w:p>
    <w:p w14:paraId="791AF3DA" w14:textId="50ADDAAB" w:rsidR="00122AB0" w:rsidRDefault="00122AB0" w:rsidP="00DF4E30">
      <w:pPr>
        <w:widowControl w:val="0"/>
        <w:ind w:left="720"/>
        <w:jc w:val="center"/>
        <w:outlineLvl w:val="0"/>
        <w:rPr>
          <w:rFonts w:ascii="Arial" w:hAnsi="Arial" w:cs="Arial"/>
          <w:b/>
          <w:sz w:val="24"/>
        </w:rPr>
      </w:pPr>
      <w:r>
        <w:rPr>
          <w:rFonts w:ascii="Arial" w:hAnsi="Arial" w:cs="Arial"/>
          <w:b/>
          <w:sz w:val="24"/>
        </w:rPr>
        <w:t>Announces Retirement of Board Chair</w:t>
      </w:r>
    </w:p>
    <w:p w14:paraId="33C941BF" w14:textId="65BC91BB" w:rsidR="00DF4E30" w:rsidRDefault="00997CEA" w:rsidP="00F439AE">
      <w:pPr>
        <w:widowControl w:val="0"/>
        <w:tabs>
          <w:tab w:val="left" w:pos="1440"/>
        </w:tabs>
        <w:spacing w:before="120" w:line="240" w:lineRule="atLeast"/>
        <w:jc w:val="both"/>
        <w:rPr>
          <w:rFonts w:ascii="Arial" w:hAnsi="Arial" w:cs="Arial"/>
          <w:b/>
          <w:sz w:val="20"/>
          <w:szCs w:val="20"/>
        </w:rPr>
      </w:pPr>
      <w:r>
        <w:rPr>
          <w:rFonts w:ascii="Arial" w:hAnsi="Arial" w:cs="Arial"/>
          <w:b/>
          <w:sz w:val="20"/>
          <w:szCs w:val="20"/>
        </w:rPr>
        <w:t xml:space="preserve">TSX-V:  CWV: Crown Point Energy Inc. (“Crown Point”, </w:t>
      </w:r>
      <w:r>
        <w:rPr>
          <w:rFonts w:ascii="Arial" w:hAnsi="Arial" w:cs="Arial"/>
          <w:sz w:val="20"/>
          <w:szCs w:val="20"/>
        </w:rPr>
        <w:t>the</w:t>
      </w:r>
      <w:r>
        <w:rPr>
          <w:rFonts w:ascii="Arial" w:hAnsi="Arial" w:cs="Arial"/>
          <w:b/>
          <w:sz w:val="20"/>
          <w:szCs w:val="20"/>
        </w:rPr>
        <w:t xml:space="preserve"> “Company” </w:t>
      </w:r>
      <w:r>
        <w:rPr>
          <w:rFonts w:ascii="Arial" w:hAnsi="Arial" w:cs="Arial"/>
          <w:sz w:val="20"/>
          <w:szCs w:val="20"/>
        </w:rPr>
        <w:t>or</w:t>
      </w:r>
      <w:r>
        <w:rPr>
          <w:rFonts w:ascii="Arial" w:hAnsi="Arial" w:cs="Arial"/>
          <w:b/>
          <w:sz w:val="20"/>
          <w:szCs w:val="20"/>
        </w:rPr>
        <w:t xml:space="preserve"> </w:t>
      </w:r>
      <w:r w:rsidR="003760A5">
        <w:rPr>
          <w:rFonts w:ascii="Arial" w:hAnsi="Arial" w:cs="Arial"/>
          <w:b/>
          <w:sz w:val="20"/>
          <w:szCs w:val="20"/>
        </w:rPr>
        <w:t>“</w:t>
      </w:r>
      <w:r>
        <w:rPr>
          <w:rFonts w:ascii="Arial" w:hAnsi="Arial" w:cs="Arial"/>
          <w:b/>
          <w:sz w:val="20"/>
          <w:szCs w:val="20"/>
        </w:rPr>
        <w:t>we</w:t>
      </w:r>
      <w:r w:rsidR="003760A5">
        <w:rPr>
          <w:rFonts w:ascii="Arial" w:hAnsi="Arial" w:cs="Arial"/>
          <w:b/>
          <w:sz w:val="20"/>
          <w:szCs w:val="20"/>
        </w:rPr>
        <w:t>”</w:t>
      </w:r>
      <w:r>
        <w:rPr>
          <w:rFonts w:ascii="Arial" w:hAnsi="Arial" w:cs="Arial"/>
          <w:b/>
          <w:sz w:val="20"/>
          <w:szCs w:val="20"/>
        </w:rPr>
        <w:t>)</w:t>
      </w:r>
      <w:r>
        <w:rPr>
          <w:rFonts w:ascii="Arial" w:hAnsi="Arial" w:cs="Arial"/>
          <w:sz w:val="20"/>
          <w:szCs w:val="20"/>
        </w:rPr>
        <w:t xml:space="preserve"> today announced its </w:t>
      </w:r>
      <w:r w:rsidR="00F439AE">
        <w:rPr>
          <w:rFonts w:ascii="Arial" w:hAnsi="Arial" w:cs="Arial"/>
          <w:sz w:val="20"/>
          <w:szCs w:val="20"/>
        </w:rPr>
        <w:t xml:space="preserve">unaudited </w:t>
      </w:r>
      <w:r w:rsidR="00DF4E30">
        <w:rPr>
          <w:rFonts w:ascii="Arial" w:hAnsi="Arial" w:cs="Arial"/>
          <w:sz w:val="20"/>
          <w:szCs w:val="20"/>
        </w:rPr>
        <w:t>financial and operating results for the three months and year ended December 31, 202</w:t>
      </w:r>
      <w:r w:rsidR="00530575">
        <w:rPr>
          <w:rFonts w:ascii="Arial" w:hAnsi="Arial" w:cs="Arial"/>
          <w:sz w:val="20"/>
          <w:szCs w:val="20"/>
        </w:rPr>
        <w:t>5</w:t>
      </w:r>
      <w:r w:rsidR="00DF4E30">
        <w:rPr>
          <w:rFonts w:ascii="Arial" w:hAnsi="Arial" w:cs="Arial"/>
          <w:sz w:val="20"/>
          <w:szCs w:val="20"/>
        </w:rPr>
        <w:t>.</w:t>
      </w:r>
      <w:r w:rsidR="00F439AE">
        <w:rPr>
          <w:rFonts w:ascii="Arial" w:hAnsi="Arial" w:cs="Arial"/>
          <w:sz w:val="20"/>
          <w:szCs w:val="20"/>
        </w:rPr>
        <w:t xml:space="preserve">  </w:t>
      </w:r>
      <w:r w:rsidR="00DF4E30">
        <w:rPr>
          <w:rFonts w:ascii="Arial" w:hAnsi="Arial" w:cs="Arial"/>
          <w:b/>
          <w:sz w:val="20"/>
          <w:szCs w:val="20"/>
        </w:rPr>
        <w:t>All dollar figures are expressed in United States dollars (</w:t>
      </w:r>
      <w:r w:rsidR="003760A5">
        <w:rPr>
          <w:rFonts w:ascii="Arial" w:hAnsi="Arial" w:cs="Arial"/>
          <w:b/>
          <w:sz w:val="20"/>
          <w:szCs w:val="20"/>
        </w:rPr>
        <w:t>“</w:t>
      </w:r>
      <w:r w:rsidR="00DF4E30">
        <w:rPr>
          <w:rFonts w:ascii="Arial" w:hAnsi="Arial" w:cs="Arial"/>
          <w:b/>
          <w:sz w:val="20"/>
          <w:szCs w:val="20"/>
        </w:rPr>
        <w:t>USD</w:t>
      </w:r>
      <w:r w:rsidR="003760A5">
        <w:rPr>
          <w:rFonts w:ascii="Arial" w:hAnsi="Arial" w:cs="Arial"/>
          <w:b/>
          <w:sz w:val="20"/>
          <w:szCs w:val="20"/>
        </w:rPr>
        <w:t>”</w:t>
      </w:r>
      <w:r w:rsidR="00DF4E30">
        <w:rPr>
          <w:rFonts w:ascii="Arial" w:hAnsi="Arial" w:cs="Arial"/>
          <w:b/>
          <w:sz w:val="20"/>
          <w:szCs w:val="20"/>
        </w:rPr>
        <w:t>) unless otherwise stated.</w:t>
      </w:r>
    </w:p>
    <w:p w14:paraId="2098ECF8" w14:textId="1416F585" w:rsidR="00DF4E30" w:rsidRDefault="00DF4E30" w:rsidP="00DF4E30">
      <w:pPr>
        <w:widowControl w:val="0"/>
        <w:spacing w:before="120"/>
        <w:jc w:val="both"/>
        <w:rPr>
          <w:rFonts w:ascii="Arial" w:hAnsi="Arial" w:cs="Arial"/>
          <w:sz w:val="20"/>
          <w:szCs w:val="20"/>
        </w:rPr>
      </w:pPr>
      <w:r>
        <w:rPr>
          <w:rFonts w:ascii="Arial" w:hAnsi="Arial" w:cs="Arial"/>
          <w:sz w:val="20"/>
          <w:szCs w:val="20"/>
        </w:rPr>
        <w:t xml:space="preserve">In the following discussion, the three months and the year ended December 31, </w:t>
      </w:r>
      <w:proofErr w:type="gramStart"/>
      <w:r>
        <w:rPr>
          <w:rFonts w:ascii="Arial" w:hAnsi="Arial" w:cs="Arial"/>
          <w:sz w:val="20"/>
          <w:szCs w:val="20"/>
        </w:rPr>
        <w:t>202</w:t>
      </w:r>
      <w:r w:rsidR="00530575">
        <w:rPr>
          <w:rFonts w:ascii="Arial" w:hAnsi="Arial" w:cs="Arial"/>
          <w:sz w:val="20"/>
          <w:szCs w:val="20"/>
        </w:rPr>
        <w:t>5</w:t>
      </w:r>
      <w:proofErr w:type="gramEnd"/>
      <w:r>
        <w:rPr>
          <w:rFonts w:ascii="Arial" w:hAnsi="Arial" w:cs="Arial"/>
          <w:sz w:val="20"/>
          <w:szCs w:val="20"/>
        </w:rPr>
        <w:t xml:space="preserve"> may be referred to as “Q4 202</w:t>
      </w:r>
      <w:r w:rsidR="00530575">
        <w:rPr>
          <w:rFonts w:ascii="Arial" w:hAnsi="Arial" w:cs="Arial"/>
          <w:sz w:val="20"/>
          <w:szCs w:val="20"/>
        </w:rPr>
        <w:t>5</w:t>
      </w:r>
      <w:r>
        <w:rPr>
          <w:rFonts w:ascii="Arial" w:hAnsi="Arial" w:cs="Arial"/>
          <w:sz w:val="20"/>
          <w:szCs w:val="20"/>
        </w:rPr>
        <w:t>” and “202</w:t>
      </w:r>
      <w:r w:rsidR="00530575">
        <w:rPr>
          <w:rFonts w:ascii="Arial" w:hAnsi="Arial" w:cs="Arial"/>
          <w:sz w:val="20"/>
          <w:szCs w:val="20"/>
        </w:rPr>
        <w:t>5</w:t>
      </w:r>
      <w:r>
        <w:rPr>
          <w:rFonts w:ascii="Arial" w:hAnsi="Arial" w:cs="Arial"/>
          <w:sz w:val="20"/>
          <w:szCs w:val="20"/>
        </w:rPr>
        <w:t xml:space="preserve">”, respectively.  The comparative three months and year ended December 31, </w:t>
      </w:r>
      <w:proofErr w:type="gramStart"/>
      <w:r>
        <w:rPr>
          <w:rFonts w:ascii="Arial" w:hAnsi="Arial" w:cs="Arial"/>
          <w:sz w:val="20"/>
          <w:szCs w:val="20"/>
        </w:rPr>
        <w:t>202</w:t>
      </w:r>
      <w:r w:rsidR="00530575">
        <w:rPr>
          <w:rFonts w:ascii="Arial" w:hAnsi="Arial" w:cs="Arial"/>
          <w:sz w:val="20"/>
          <w:szCs w:val="20"/>
        </w:rPr>
        <w:t>4</w:t>
      </w:r>
      <w:proofErr w:type="gramEnd"/>
      <w:r>
        <w:rPr>
          <w:rFonts w:ascii="Arial" w:hAnsi="Arial" w:cs="Arial"/>
          <w:sz w:val="20"/>
          <w:szCs w:val="20"/>
        </w:rPr>
        <w:t xml:space="preserve"> may be referred to as “Q4 202</w:t>
      </w:r>
      <w:r w:rsidR="00530575">
        <w:rPr>
          <w:rFonts w:ascii="Arial" w:hAnsi="Arial" w:cs="Arial"/>
          <w:sz w:val="20"/>
          <w:szCs w:val="20"/>
        </w:rPr>
        <w:t>4</w:t>
      </w:r>
      <w:r>
        <w:rPr>
          <w:rFonts w:ascii="Arial" w:hAnsi="Arial" w:cs="Arial"/>
          <w:sz w:val="20"/>
          <w:szCs w:val="20"/>
        </w:rPr>
        <w:t>” and “202</w:t>
      </w:r>
      <w:r w:rsidR="00530575">
        <w:rPr>
          <w:rFonts w:ascii="Arial" w:hAnsi="Arial" w:cs="Arial"/>
          <w:sz w:val="20"/>
          <w:szCs w:val="20"/>
        </w:rPr>
        <w:t>4</w:t>
      </w:r>
      <w:r>
        <w:rPr>
          <w:rFonts w:ascii="Arial" w:hAnsi="Arial" w:cs="Arial"/>
          <w:sz w:val="20"/>
          <w:szCs w:val="20"/>
        </w:rPr>
        <w:t>”, respectively.</w:t>
      </w:r>
    </w:p>
    <w:p w14:paraId="5AC735E0" w14:textId="2F1CAC06" w:rsidR="00122AB0" w:rsidRDefault="00122AB0" w:rsidP="00DF4E30">
      <w:pPr>
        <w:widowControl w:val="0"/>
        <w:spacing w:before="120"/>
        <w:jc w:val="both"/>
        <w:rPr>
          <w:rFonts w:ascii="Arial" w:hAnsi="Arial" w:cs="Arial"/>
          <w:b/>
          <w:bCs/>
          <w:sz w:val="20"/>
          <w:szCs w:val="20"/>
        </w:rPr>
      </w:pPr>
      <w:r>
        <w:rPr>
          <w:rFonts w:ascii="Arial" w:hAnsi="Arial" w:cs="Arial"/>
          <w:b/>
          <w:bCs/>
          <w:sz w:val="20"/>
          <w:szCs w:val="20"/>
        </w:rPr>
        <w:t>RETIREMENT OF BOARD CHAIR</w:t>
      </w:r>
    </w:p>
    <w:p w14:paraId="10926D28" w14:textId="33C435F3" w:rsidR="00122AB0" w:rsidRPr="00122AB0" w:rsidRDefault="00122AB0" w:rsidP="00DF4E30">
      <w:pPr>
        <w:widowControl w:val="0"/>
        <w:spacing w:before="120"/>
        <w:jc w:val="both"/>
        <w:rPr>
          <w:rFonts w:ascii="Arial" w:hAnsi="Arial" w:cs="Arial"/>
          <w:sz w:val="20"/>
          <w:szCs w:val="20"/>
        </w:rPr>
      </w:pPr>
      <w:r>
        <w:rPr>
          <w:rFonts w:ascii="Arial" w:hAnsi="Arial" w:cs="Arial"/>
          <w:sz w:val="20"/>
          <w:szCs w:val="20"/>
        </w:rPr>
        <w:t xml:space="preserve">Gordon Kettleson, the Chair of Crown Point's </w:t>
      </w:r>
      <w:r w:rsidR="00D92B91">
        <w:rPr>
          <w:rFonts w:ascii="Arial" w:hAnsi="Arial" w:cs="Arial"/>
          <w:sz w:val="20"/>
          <w:szCs w:val="20"/>
        </w:rPr>
        <w:t>b</w:t>
      </w:r>
      <w:r>
        <w:rPr>
          <w:rFonts w:ascii="Arial" w:hAnsi="Arial" w:cs="Arial"/>
          <w:sz w:val="20"/>
          <w:szCs w:val="20"/>
        </w:rPr>
        <w:t>oard</w:t>
      </w:r>
      <w:r w:rsidR="00D92B91">
        <w:rPr>
          <w:rFonts w:ascii="Arial" w:hAnsi="Arial" w:cs="Arial"/>
          <w:sz w:val="20"/>
          <w:szCs w:val="20"/>
        </w:rPr>
        <w:t xml:space="preserve"> of directors ("</w:t>
      </w:r>
      <w:r w:rsidR="00D92B91" w:rsidRPr="00D92B91">
        <w:rPr>
          <w:rFonts w:ascii="Arial" w:hAnsi="Arial" w:cs="Arial"/>
          <w:b/>
          <w:bCs/>
          <w:sz w:val="20"/>
          <w:szCs w:val="20"/>
        </w:rPr>
        <w:t>Board</w:t>
      </w:r>
      <w:r w:rsidR="00D92B91">
        <w:rPr>
          <w:rFonts w:ascii="Arial" w:hAnsi="Arial" w:cs="Arial"/>
          <w:sz w:val="20"/>
          <w:szCs w:val="20"/>
        </w:rPr>
        <w:t>")</w:t>
      </w:r>
      <w:r>
        <w:rPr>
          <w:rFonts w:ascii="Arial" w:hAnsi="Arial" w:cs="Arial"/>
          <w:sz w:val="20"/>
          <w:szCs w:val="20"/>
        </w:rPr>
        <w:t xml:space="preserve">, has retired from his role as a director and </w:t>
      </w:r>
      <w:r w:rsidR="00822DDD">
        <w:rPr>
          <w:rFonts w:ascii="Arial" w:hAnsi="Arial" w:cs="Arial"/>
          <w:sz w:val="20"/>
          <w:szCs w:val="20"/>
        </w:rPr>
        <w:t xml:space="preserve">Board </w:t>
      </w:r>
      <w:r>
        <w:rPr>
          <w:rFonts w:ascii="Arial" w:hAnsi="Arial" w:cs="Arial"/>
          <w:sz w:val="20"/>
          <w:szCs w:val="20"/>
        </w:rPr>
        <w:t xml:space="preserve">Chair.  </w:t>
      </w:r>
      <w:r w:rsidR="00AB3083">
        <w:rPr>
          <w:rFonts w:ascii="Arial" w:hAnsi="Arial" w:cs="Arial"/>
          <w:sz w:val="20"/>
          <w:szCs w:val="20"/>
        </w:rPr>
        <w:t>Mr. Kettleson is a founder of the Company</w:t>
      </w:r>
      <w:r w:rsidR="00D92B91">
        <w:rPr>
          <w:rFonts w:ascii="Arial" w:hAnsi="Arial" w:cs="Arial"/>
          <w:sz w:val="20"/>
          <w:szCs w:val="20"/>
        </w:rPr>
        <w:t xml:space="preserve"> and</w:t>
      </w:r>
      <w:r w:rsidR="00AB3083">
        <w:rPr>
          <w:rFonts w:ascii="Arial" w:hAnsi="Arial" w:cs="Arial"/>
          <w:sz w:val="20"/>
          <w:szCs w:val="20"/>
        </w:rPr>
        <w:t xml:space="preserve"> has served as a director since 2001.</w:t>
      </w:r>
      <w:r w:rsidR="00D92B91">
        <w:rPr>
          <w:rFonts w:ascii="Arial" w:hAnsi="Arial" w:cs="Arial"/>
          <w:sz w:val="20"/>
          <w:szCs w:val="20"/>
        </w:rPr>
        <w:t xml:space="preserve"> At times, he has also served as the Company's President, CEO and CFO.  Crown Point's Board </w:t>
      </w:r>
      <w:r w:rsidR="00822DDD">
        <w:rPr>
          <w:rFonts w:ascii="Arial" w:hAnsi="Arial" w:cs="Arial"/>
          <w:sz w:val="20"/>
          <w:szCs w:val="20"/>
        </w:rPr>
        <w:t xml:space="preserve">wishes to </w:t>
      </w:r>
      <w:r w:rsidR="00D92B91">
        <w:rPr>
          <w:rFonts w:ascii="Arial" w:hAnsi="Arial" w:cs="Arial"/>
          <w:sz w:val="20"/>
          <w:szCs w:val="20"/>
        </w:rPr>
        <w:t xml:space="preserve">acknowledge the significant contributions that Gord has made to the Company </w:t>
      </w:r>
      <w:r w:rsidR="00822DDD">
        <w:rPr>
          <w:rFonts w:ascii="Arial" w:hAnsi="Arial" w:cs="Arial"/>
          <w:sz w:val="20"/>
          <w:szCs w:val="20"/>
        </w:rPr>
        <w:t xml:space="preserve">since its founding </w:t>
      </w:r>
      <w:r w:rsidR="00D92B91">
        <w:rPr>
          <w:rFonts w:ascii="Arial" w:hAnsi="Arial" w:cs="Arial"/>
          <w:sz w:val="20"/>
          <w:szCs w:val="20"/>
        </w:rPr>
        <w:t xml:space="preserve">and thanks </w:t>
      </w:r>
      <w:r w:rsidR="00822DDD">
        <w:rPr>
          <w:rFonts w:ascii="Arial" w:hAnsi="Arial" w:cs="Arial"/>
          <w:sz w:val="20"/>
          <w:szCs w:val="20"/>
        </w:rPr>
        <w:t>Gord</w:t>
      </w:r>
      <w:r w:rsidR="00D92B91">
        <w:rPr>
          <w:rFonts w:ascii="Arial" w:hAnsi="Arial" w:cs="Arial"/>
          <w:sz w:val="20"/>
          <w:szCs w:val="20"/>
        </w:rPr>
        <w:t xml:space="preserve"> for his wise counsel during his tenure.  </w:t>
      </w:r>
    </w:p>
    <w:p w14:paraId="0FC864BC" w14:textId="54F51356" w:rsidR="002D3101" w:rsidRPr="00902562" w:rsidRDefault="00411AD2" w:rsidP="002D3101">
      <w:pPr>
        <w:widowControl w:val="0"/>
        <w:spacing w:before="120"/>
        <w:jc w:val="both"/>
        <w:rPr>
          <w:rFonts w:ascii="Arial" w:hAnsi="Arial" w:cs="Arial"/>
          <w:b/>
          <w:bCs/>
          <w:caps/>
          <w:color w:val="000000"/>
          <w:sz w:val="20"/>
          <w:szCs w:val="20"/>
        </w:rPr>
      </w:pPr>
      <w:r>
        <w:rPr>
          <w:rFonts w:ascii="Arial" w:hAnsi="Arial" w:cs="Arial"/>
          <w:b/>
          <w:bCs/>
          <w:caps/>
          <w:color w:val="000000"/>
          <w:sz w:val="20"/>
          <w:szCs w:val="20"/>
        </w:rPr>
        <w:t>Q</w:t>
      </w:r>
      <w:r w:rsidR="00DF4E30">
        <w:rPr>
          <w:rFonts w:ascii="Arial" w:hAnsi="Arial" w:cs="Arial"/>
          <w:b/>
          <w:bCs/>
          <w:caps/>
          <w:color w:val="000000"/>
          <w:sz w:val="20"/>
          <w:szCs w:val="20"/>
        </w:rPr>
        <w:t>4</w:t>
      </w:r>
      <w:r>
        <w:rPr>
          <w:rFonts w:ascii="Arial" w:hAnsi="Arial" w:cs="Arial"/>
          <w:b/>
          <w:bCs/>
          <w:caps/>
          <w:color w:val="000000"/>
          <w:sz w:val="20"/>
          <w:szCs w:val="20"/>
        </w:rPr>
        <w:t xml:space="preserve"> </w:t>
      </w:r>
      <w:r w:rsidR="002D3101">
        <w:rPr>
          <w:rFonts w:ascii="Arial" w:hAnsi="Arial" w:cs="Arial"/>
          <w:b/>
          <w:bCs/>
          <w:caps/>
          <w:color w:val="000000"/>
          <w:sz w:val="20"/>
          <w:szCs w:val="20"/>
        </w:rPr>
        <w:t>202</w:t>
      </w:r>
      <w:r w:rsidR="00530575">
        <w:rPr>
          <w:rFonts w:ascii="Arial" w:hAnsi="Arial" w:cs="Arial"/>
          <w:b/>
          <w:bCs/>
          <w:caps/>
          <w:color w:val="000000"/>
          <w:sz w:val="20"/>
          <w:szCs w:val="20"/>
        </w:rPr>
        <w:t>5</w:t>
      </w:r>
      <w:r w:rsidR="002D3101">
        <w:rPr>
          <w:rFonts w:ascii="Arial" w:hAnsi="Arial" w:cs="Arial"/>
          <w:b/>
          <w:bCs/>
          <w:caps/>
          <w:color w:val="000000"/>
          <w:sz w:val="20"/>
          <w:szCs w:val="20"/>
        </w:rPr>
        <w:t xml:space="preserve"> SUMMARY</w:t>
      </w:r>
    </w:p>
    <w:p w14:paraId="15CD3FC4" w14:textId="16046A24" w:rsidR="002D3101" w:rsidRPr="00902562" w:rsidRDefault="002D3101" w:rsidP="002D3101">
      <w:pPr>
        <w:widowControl w:val="0"/>
        <w:autoSpaceDE w:val="0"/>
        <w:autoSpaceDN w:val="0"/>
        <w:adjustRightInd w:val="0"/>
        <w:spacing w:before="120" w:line="240" w:lineRule="atLeast"/>
        <w:jc w:val="both"/>
        <w:rPr>
          <w:rFonts w:ascii="Arial" w:hAnsi="Arial" w:cs="Arial"/>
          <w:sz w:val="20"/>
          <w:szCs w:val="20"/>
        </w:rPr>
      </w:pPr>
      <w:r>
        <w:rPr>
          <w:rFonts w:ascii="Arial" w:hAnsi="Arial" w:cs="Arial"/>
          <w:sz w:val="20"/>
          <w:szCs w:val="20"/>
        </w:rPr>
        <w:t xml:space="preserve">During </w:t>
      </w:r>
      <w:r w:rsidR="00411AD2">
        <w:rPr>
          <w:rFonts w:ascii="Arial" w:hAnsi="Arial" w:cs="Arial"/>
          <w:sz w:val="20"/>
          <w:szCs w:val="20"/>
        </w:rPr>
        <w:t>Q</w:t>
      </w:r>
      <w:r w:rsidR="00DF4E30">
        <w:rPr>
          <w:rFonts w:ascii="Arial" w:hAnsi="Arial" w:cs="Arial"/>
          <w:sz w:val="20"/>
          <w:szCs w:val="20"/>
        </w:rPr>
        <w:t>4</w:t>
      </w:r>
      <w:r w:rsidR="00411AD2">
        <w:rPr>
          <w:rFonts w:ascii="Arial" w:hAnsi="Arial" w:cs="Arial"/>
          <w:sz w:val="20"/>
          <w:szCs w:val="20"/>
        </w:rPr>
        <w:t xml:space="preserve"> </w:t>
      </w:r>
      <w:r>
        <w:rPr>
          <w:rFonts w:ascii="Arial" w:hAnsi="Arial" w:cs="Arial"/>
          <w:sz w:val="20"/>
          <w:szCs w:val="20"/>
        </w:rPr>
        <w:t>202</w:t>
      </w:r>
      <w:r w:rsidR="00530575">
        <w:rPr>
          <w:rFonts w:ascii="Arial" w:hAnsi="Arial" w:cs="Arial"/>
          <w:sz w:val="20"/>
          <w:szCs w:val="20"/>
        </w:rPr>
        <w:t>5</w:t>
      </w:r>
      <w:r>
        <w:rPr>
          <w:rFonts w:ascii="Arial" w:hAnsi="Arial" w:cs="Arial"/>
          <w:sz w:val="20"/>
          <w:szCs w:val="20"/>
        </w:rPr>
        <w:t>, the Company:</w:t>
      </w:r>
    </w:p>
    <w:p w14:paraId="7E13EFE8" w14:textId="10356142" w:rsidR="002D3101" w:rsidRPr="007513DE" w:rsidRDefault="002D3101" w:rsidP="002D3101">
      <w:pPr>
        <w:pStyle w:val="ListParagraph"/>
        <w:widowControl w:val="0"/>
        <w:numPr>
          <w:ilvl w:val="0"/>
          <w:numId w:val="43"/>
        </w:numPr>
        <w:autoSpaceDE w:val="0"/>
        <w:autoSpaceDN w:val="0"/>
        <w:adjustRightInd w:val="0"/>
        <w:spacing w:before="60" w:line="240" w:lineRule="atLeast"/>
        <w:ind w:left="548" w:hanging="274"/>
        <w:contextualSpacing w:val="0"/>
        <w:jc w:val="both"/>
        <w:rPr>
          <w:rFonts w:ascii="Arial" w:hAnsi="Arial" w:cs="Arial"/>
          <w:sz w:val="20"/>
          <w:szCs w:val="20"/>
        </w:rPr>
      </w:pPr>
      <w:r w:rsidRPr="007513DE">
        <w:rPr>
          <w:rFonts w:ascii="Arial" w:hAnsi="Arial" w:cs="Arial"/>
          <w:sz w:val="20"/>
          <w:szCs w:val="20"/>
        </w:rPr>
        <w:t xml:space="preserve">Reported net </w:t>
      </w:r>
      <w:r w:rsidRPr="003B2E4F">
        <w:rPr>
          <w:rFonts w:ascii="Arial" w:hAnsi="Arial" w:cs="Arial"/>
          <w:sz w:val="20"/>
          <w:szCs w:val="20"/>
        </w:rPr>
        <w:t xml:space="preserve">cash </w:t>
      </w:r>
      <w:r w:rsidR="00080951" w:rsidRPr="003B2E4F">
        <w:rPr>
          <w:rFonts w:ascii="Arial" w:hAnsi="Arial" w:cs="Arial"/>
          <w:sz w:val="20"/>
          <w:szCs w:val="20"/>
        </w:rPr>
        <w:t>used in</w:t>
      </w:r>
      <w:r w:rsidRPr="003B2E4F">
        <w:rPr>
          <w:rFonts w:ascii="Arial" w:hAnsi="Arial" w:cs="Arial"/>
          <w:sz w:val="20"/>
          <w:szCs w:val="20"/>
        </w:rPr>
        <w:t xml:space="preserve"> operating activities </w:t>
      </w:r>
      <w:r w:rsidR="00080951" w:rsidRPr="003B2E4F">
        <w:rPr>
          <w:rFonts w:ascii="Arial" w:hAnsi="Arial" w:cs="Arial"/>
          <w:sz w:val="20"/>
          <w:szCs w:val="20"/>
        </w:rPr>
        <w:t xml:space="preserve">of </w:t>
      </w:r>
      <w:r w:rsidR="004A129C" w:rsidRPr="003B2E4F">
        <w:rPr>
          <w:rFonts w:ascii="Arial" w:hAnsi="Arial" w:cs="Arial"/>
          <w:sz w:val="20"/>
          <w:szCs w:val="20"/>
        </w:rPr>
        <w:t>$</w:t>
      </w:r>
      <w:r w:rsidR="007325EE">
        <w:rPr>
          <w:rFonts w:ascii="Arial" w:hAnsi="Arial" w:cs="Arial"/>
          <w:sz w:val="20"/>
          <w:szCs w:val="20"/>
        </w:rPr>
        <w:t>4.5</w:t>
      </w:r>
      <w:r w:rsidR="004A129C">
        <w:rPr>
          <w:rFonts w:ascii="Arial" w:hAnsi="Arial" w:cs="Arial"/>
          <w:sz w:val="20"/>
          <w:szCs w:val="20"/>
        </w:rPr>
        <w:t xml:space="preserve"> </w:t>
      </w:r>
      <w:r w:rsidR="00080951" w:rsidRPr="003B2E4F">
        <w:rPr>
          <w:rFonts w:ascii="Arial" w:hAnsi="Arial" w:cs="Arial"/>
          <w:sz w:val="20"/>
          <w:szCs w:val="20"/>
        </w:rPr>
        <w:t xml:space="preserve">million </w:t>
      </w:r>
      <w:r w:rsidRPr="003B2E4F">
        <w:rPr>
          <w:rFonts w:ascii="Arial" w:hAnsi="Arial" w:cs="Arial"/>
          <w:sz w:val="20"/>
          <w:szCs w:val="20"/>
        </w:rPr>
        <w:t xml:space="preserve">and funds flow </w:t>
      </w:r>
      <w:r w:rsidR="005D2566">
        <w:rPr>
          <w:rFonts w:ascii="Arial" w:hAnsi="Arial" w:cs="Arial"/>
          <w:sz w:val="20"/>
          <w:szCs w:val="20"/>
        </w:rPr>
        <w:t>used in</w:t>
      </w:r>
      <w:r w:rsidRPr="003B2E4F">
        <w:rPr>
          <w:rFonts w:ascii="Arial" w:hAnsi="Arial" w:cs="Arial"/>
          <w:sz w:val="20"/>
          <w:szCs w:val="20"/>
        </w:rPr>
        <w:t xml:space="preserve"> operating activities of $</w:t>
      </w:r>
      <w:r w:rsidR="007325EE">
        <w:rPr>
          <w:rFonts w:ascii="Arial" w:hAnsi="Arial" w:cs="Arial"/>
          <w:sz w:val="20"/>
          <w:szCs w:val="20"/>
        </w:rPr>
        <w:t>4.7</w:t>
      </w:r>
      <w:r w:rsidR="007810D1">
        <w:rPr>
          <w:rFonts w:ascii="Arial" w:hAnsi="Arial" w:cs="Arial"/>
          <w:sz w:val="20"/>
          <w:szCs w:val="20"/>
        </w:rPr>
        <w:t xml:space="preserve"> </w:t>
      </w:r>
      <w:proofErr w:type="gramStart"/>
      <w:r w:rsidRPr="003B2E4F">
        <w:rPr>
          <w:rFonts w:ascii="Arial" w:hAnsi="Arial" w:cs="Arial"/>
          <w:sz w:val="20"/>
          <w:szCs w:val="20"/>
        </w:rPr>
        <w:t>million;</w:t>
      </w:r>
      <w:proofErr w:type="gramEnd"/>
      <w:r w:rsidRPr="007513DE">
        <w:rPr>
          <w:rFonts w:ascii="Arial" w:hAnsi="Arial" w:cs="Arial"/>
          <w:sz w:val="20"/>
          <w:szCs w:val="20"/>
        </w:rPr>
        <w:t xml:space="preserve"> </w:t>
      </w:r>
    </w:p>
    <w:p w14:paraId="5DE78FD7" w14:textId="0FBB3BA9" w:rsidR="002D3101" w:rsidRDefault="002D3101" w:rsidP="002D3101">
      <w:pPr>
        <w:pStyle w:val="ListParagraph"/>
        <w:widowControl w:val="0"/>
        <w:numPr>
          <w:ilvl w:val="0"/>
          <w:numId w:val="43"/>
        </w:numPr>
        <w:autoSpaceDE w:val="0"/>
        <w:autoSpaceDN w:val="0"/>
        <w:adjustRightInd w:val="0"/>
        <w:spacing w:before="60" w:line="240" w:lineRule="atLeast"/>
        <w:ind w:left="548" w:hanging="274"/>
        <w:contextualSpacing w:val="0"/>
        <w:jc w:val="both"/>
        <w:rPr>
          <w:rFonts w:ascii="Arial" w:hAnsi="Arial" w:cs="Arial"/>
          <w:sz w:val="20"/>
          <w:szCs w:val="20"/>
        </w:rPr>
      </w:pPr>
      <w:r>
        <w:rPr>
          <w:rFonts w:ascii="Arial" w:hAnsi="Arial" w:cs="Arial"/>
          <w:sz w:val="20"/>
          <w:szCs w:val="20"/>
        </w:rPr>
        <w:t>Earned $</w:t>
      </w:r>
      <w:r w:rsidR="007325EE">
        <w:rPr>
          <w:rFonts w:ascii="Arial" w:hAnsi="Arial" w:cs="Arial"/>
          <w:sz w:val="20"/>
          <w:szCs w:val="20"/>
        </w:rPr>
        <w:t>34.6</w:t>
      </w:r>
      <w:r>
        <w:rPr>
          <w:rFonts w:ascii="Arial" w:hAnsi="Arial" w:cs="Arial"/>
          <w:sz w:val="20"/>
          <w:szCs w:val="20"/>
        </w:rPr>
        <w:t xml:space="preserve"> million of oil and natural gas sales revenue on total average daily sales volumes of </w:t>
      </w:r>
      <w:r w:rsidR="007325EE">
        <w:rPr>
          <w:rFonts w:ascii="Arial" w:hAnsi="Arial" w:cs="Arial"/>
          <w:sz w:val="20"/>
          <w:szCs w:val="20"/>
        </w:rPr>
        <w:t>6,918</w:t>
      </w:r>
      <w:r w:rsidR="00411AD2">
        <w:rPr>
          <w:rFonts w:ascii="Arial" w:hAnsi="Arial" w:cs="Arial"/>
          <w:sz w:val="20"/>
          <w:szCs w:val="20"/>
        </w:rPr>
        <w:t xml:space="preserve"> </w:t>
      </w:r>
      <w:r>
        <w:rPr>
          <w:rFonts w:ascii="Arial" w:hAnsi="Arial" w:cs="Arial"/>
          <w:sz w:val="20"/>
          <w:szCs w:val="20"/>
        </w:rPr>
        <w:t>BOE per day</w:t>
      </w:r>
      <w:r w:rsidR="00B9212F">
        <w:rPr>
          <w:rFonts w:ascii="Arial" w:hAnsi="Arial" w:cs="Arial"/>
          <w:sz w:val="20"/>
          <w:szCs w:val="20"/>
        </w:rPr>
        <w:t xml:space="preserve">. The increase in comparison to previous quarters is </w:t>
      </w:r>
      <w:r w:rsidR="000F4E28">
        <w:rPr>
          <w:rFonts w:ascii="Arial" w:hAnsi="Arial" w:cs="Arial"/>
          <w:sz w:val="20"/>
          <w:szCs w:val="20"/>
        </w:rPr>
        <w:t>due</w:t>
      </w:r>
      <w:r w:rsidR="00BE4A40">
        <w:rPr>
          <w:rFonts w:ascii="Arial" w:hAnsi="Arial" w:cs="Arial"/>
          <w:sz w:val="20"/>
          <w:szCs w:val="20"/>
        </w:rPr>
        <w:t xml:space="preserve"> </w:t>
      </w:r>
      <w:r w:rsidR="000F4E28" w:rsidRPr="000F4E28">
        <w:rPr>
          <w:rFonts w:ascii="Arial" w:hAnsi="Arial" w:cs="Arial"/>
          <w:sz w:val="20"/>
          <w:szCs w:val="20"/>
        </w:rPr>
        <w:t>to</w:t>
      </w:r>
      <w:r w:rsidR="00DF4E30">
        <w:rPr>
          <w:rFonts w:ascii="Arial" w:hAnsi="Arial" w:cs="Arial"/>
          <w:sz w:val="20"/>
          <w:szCs w:val="20"/>
        </w:rPr>
        <w:t xml:space="preserve"> the</w:t>
      </w:r>
      <w:r w:rsidR="000F4E28" w:rsidRPr="000F4E28">
        <w:rPr>
          <w:rFonts w:ascii="Arial" w:hAnsi="Arial" w:cs="Arial"/>
          <w:sz w:val="20"/>
          <w:szCs w:val="20"/>
        </w:rPr>
        <w:t xml:space="preserve"> </w:t>
      </w:r>
      <w:r w:rsidR="00080951">
        <w:rPr>
          <w:rFonts w:ascii="Arial" w:hAnsi="Arial" w:cs="Arial"/>
          <w:sz w:val="20"/>
          <w:szCs w:val="20"/>
        </w:rPr>
        <w:t>oil</w:t>
      </w:r>
      <w:r w:rsidR="000F4E28" w:rsidRPr="000F4E28">
        <w:rPr>
          <w:rFonts w:ascii="Arial" w:hAnsi="Arial" w:cs="Arial"/>
          <w:sz w:val="20"/>
          <w:szCs w:val="20"/>
        </w:rPr>
        <w:t xml:space="preserve"> </w:t>
      </w:r>
      <w:r w:rsidR="00532E73">
        <w:rPr>
          <w:rFonts w:ascii="Arial" w:hAnsi="Arial" w:cs="Arial"/>
          <w:sz w:val="20"/>
          <w:szCs w:val="20"/>
        </w:rPr>
        <w:t xml:space="preserve">and natural gas </w:t>
      </w:r>
      <w:r w:rsidR="000F4E28" w:rsidRPr="000F4E28">
        <w:rPr>
          <w:rFonts w:ascii="Arial" w:hAnsi="Arial" w:cs="Arial"/>
          <w:sz w:val="20"/>
          <w:szCs w:val="20"/>
        </w:rPr>
        <w:t xml:space="preserve">sales volumes </w:t>
      </w:r>
      <w:r w:rsidR="00DF4E30">
        <w:rPr>
          <w:rFonts w:ascii="Arial" w:hAnsi="Arial" w:cs="Arial"/>
          <w:sz w:val="20"/>
          <w:szCs w:val="20"/>
        </w:rPr>
        <w:t xml:space="preserve">from the </w:t>
      </w:r>
      <w:r w:rsidR="002D5FF2">
        <w:rPr>
          <w:rFonts w:ascii="Arial" w:hAnsi="Arial" w:cs="Arial"/>
          <w:sz w:val="20"/>
          <w:szCs w:val="20"/>
        </w:rPr>
        <w:t>Chubut</w:t>
      </w:r>
      <w:r w:rsidR="00DF4E30">
        <w:rPr>
          <w:rFonts w:ascii="Arial" w:hAnsi="Arial" w:cs="Arial"/>
          <w:sz w:val="20"/>
          <w:szCs w:val="20"/>
        </w:rPr>
        <w:t xml:space="preserve"> Concessions </w:t>
      </w:r>
      <w:r w:rsidR="0018409C">
        <w:rPr>
          <w:rFonts w:ascii="Arial" w:hAnsi="Arial" w:cs="Arial"/>
          <w:sz w:val="20"/>
          <w:szCs w:val="20"/>
        </w:rPr>
        <w:t xml:space="preserve">(as defined below) </w:t>
      </w:r>
      <w:r w:rsidR="00DF4E30">
        <w:rPr>
          <w:rFonts w:ascii="Arial" w:hAnsi="Arial" w:cs="Arial"/>
          <w:sz w:val="20"/>
          <w:szCs w:val="20"/>
        </w:rPr>
        <w:t>since the closing date</w:t>
      </w:r>
      <w:r w:rsidR="002D5FF2">
        <w:rPr>
          <w:rFonts w:ascii="Arial" w:hAnsi="Arial" w:cs="Arial"/>
          <w:sz w:val="20"/>
          <w:szCs w:val="20"/>
        </w:rPr>
        <w:t>s</w:t>
      </w:r>
      <w:r w:rsidR="00DF4E30">
        <w:rPr>
          <w:rFonts w:ascii="Arial" w:hAnsi="Arial" w:cs="Arial"/>
          <w:sz w:val="20"/>
          <w:szCs w:val="20"/>
        </w:rPr>
        <w:t xml:space="preserve"> on October 1, 202</w:t>
      </w:r>
      <w:r w:rsidR="002D5FF2">
        <w:rPr>
          <w:rFonts w:ascii="Arial" w:hAnsi="Arial" w:cs="Arial"/>
          <w:sz w:val="20"/>
          <w:szCs w:val="20"/>
        </w:rPr>
        <w:t>5 (35.7% interest) and December 1, 2025 (59.3% interest</w:t>
      </w:r>
      <w:proofErr w:type="gramStart"/>
      <w:r w:rsidR="002D5FF2">
        <w:rPr>
          <w:rFonts w:ascii="Arial" w:hAnsi="Arial" w:cs="Arial"/>
          <w:sz w:val="20"/>
          <w:szCs w:val="20"/>
        </w:rPr>
        <w:t>)</w:t>
      </w:r>
      <w:r w:rsidR="00545595">
        <w:rPr>
          <w:rFonts w:ascii="Arial" w:hAnsi="Arial" w:cs="Arial"/>
          <w:sz w:val="20"/>
          <w:szCs w:val="20"/>
        </w:rPr>
        <w:t>;</w:t>
      </w:r>
      <w:proofErr w:type="gramEnd"/>
    </w:p>
    <w:p w14:paraId="17860EFD" w14:textId="4BCB4CD0" w:rsidR="002D3101" w:rsidRDefault="002D3101" w:rsidP="002D3101">
      <w:pPr>
        <w:pStyle w:val="ListParagraph"/>
        <w:widowControl w:val="0"/>
        <w:numPr>
          <w:ilvl w:val="0"/>
          <w:numId w:val="43"/>
        </w:numPr>
        <w:autoSpaceDE w:val="0"/>
        <w:autoSpaceDN w:val="0"/>
        <w:adjustRightInd w:val="0"/>
        <w:spacing w:before="60" w:line="240" w:lineRule="atLeast"/>
        <w:ind w:left="548" w:hanging="274"/>
        <w:contextualSpacing w:val="0"/>
        <w:jc w:val="both"/>
        <w:rPr>
          <w:rFonts w:ascii="Arial" w:hAnsi="Arial" w:cs="Arial"/>
          <w:sz w:val="20"/>
          <w:szCs w:val="20"/>
        </w:rPr>
      </w:pPr>
      <w:r>
        <w:rPr>
          <w:rFonts w:ascii="Arial" w:hAnsi="Arial" w:cs="Arial"/>
          <w:sz w:val="20"/>
          <w:szCs w:val="20"/>
        </w:rPr>
        <w:t>Received an average of $</w:t>
      </w:r>
      <w:r w:rsidR="007325EE">
        <w:rPr>
          <w:rFonts w:ascii="Arial" w:hAnsi="Arial" w:cs="Arial"/>
          <w:sz w:val="20"/>
          <w:szCs w:val="20"/>
        </w:rPr>
        <w:t xml:space="preserve">2.85 </w:t>
      </w:r>
      <w:r>
        <w:rPr>
          <w:rFonts w:ascii="Arial" w:hAnsi="Arial" w:cs="Arial"/>
          <w:sz w:val="20"/>
          <w:szCs w:val="20"/>
        </w:rPr>
        <w:t>per mcf for natural gas and $</w:t>
      </w:r>
      <w:r w:rsidR="007325EE">
        <w:rPr>
          <w:rFonts w:ascii="Arial" w:hAnsi="Arial" w:cs="Arial"/>
          <w:sz w:val="20"/>
          <w:szCs w:val="20"/>
        </w:rPr>
        <w:t xml:space="preserve">58.10 </w:t>
      </w:r>
      <w:r>
        <w:rPr>
          <w:rFonts w:ascii="Arial" w:hAnsi="Arial" w:cs="Arial"/>
          <w:sz w:val="20"/>
          <w:szCs w:val="20"/>
        </w:rPr>
        <w:t xml:space="preserve">per </w:t>
      </w:r>
      <w:proofErr w:type="spellStart"/>
      <w:r>
        <w:rPr>
          <w:rFonts w:ascii="Arial" w:hAnsi="Arial" w:cs="Arial"/>
          <w:sz w:val="20"/>
          <w:szCs w:val="20"/>
        </w:rPr>
        <w:t>bbl</w:t>
      </w:r>
      <w:proofErr w:type="spellEnd"/>
      <w:r>
        <w:rPr>
          <w:rFonts w:ascii="Arial" w:hAnsi="Arial" w:cs="Arial"/>
          <w:sz w:val="20"/>
          <w:szCs w:val="20"/>
        </w:rPr>
        <w:t xml:space="preserve"> for </w:t>
      </w:r>
      <w:proofErr w:type="gramStart"/>
      <w:r>
        <w:rPr>
          <w:rFonts w:ascii="Arial" w:hAnsi="Arial" w:cs="Arial"/>
          <w:sz w:val="20"/>
          <w:szCs w:val="20"/>
        </w:rPr>
        <w:t>oil;</w:t>
      </w:r>
      <w:proofErr w:type="gramEnd"/>
    </w:p>
    <w:p w14:paraId="0CF9B842" w14:textId="6926888E" w:rsidR="002D3101" w:rsidRDefault="002D3101" w:rsidP="002D3101">
      <w:pPr>
        <w:pStyle w:val="ListParagraph"/>
        <w:widowControl w:val="0"/>
        <w:numPr>
          <w:ilvl w:val="0"/>
          <w:numId w:val="43"/>
        </w:numPr>
        <w:autoSpaceDE w:val="0"/>
        <w:autoSpaceDN w:val="0"/>
        <w:adjustRightInd w:val="0"/>
        <w:spacing w:before="60" w:line="240" w:lineRule="atLeast"/>
        <w:ind w:left="548" w:hanging="274"/>
        <w:contextualSpacing w:val="0"/>
        <w:jc w:val="both"/>
        <w:rPr>
          <w:rFonts w:ascii="Arial" w:hAnsi="Arial" w:cs="Arial"/>
          <w:sz w:val="20"/>
          <w:szCs w:val="20"/>
        </w:rPr>
      </w:pPr>
      <w:r>
        <w:rPr>
          <w:rFonts w:ascii="Arial" w:hAnsi="Arial" w:cs="Arial"/>
          <w:sz w:val="20"/>
          <w:szCs w:val="20"/>
        </w:rPr>
        <w:t>Reported a</w:t>
      </w:r>
      <w:r w:rsidR="00315F52">
        <w:rPr>
          <w:rFonts w:ascii="Arial" w:hAnsi="Arial" w:cs="Arial"/>
          <w:sz w:val="20"/>
          <w:szCs w:val="20"/>
        </w:rPr>
        <w:t>n</w:t>
      </w:r>
      <w:r w:rsidR="00722FAB">
        <w:rPr>
          <w:rFonts w:ascii="Arial" w:hAnsi="Arial" w:cs="Arial"/>
          <w:sz w:val="20"/>
          <w:szCs w:val="20"/>
        </w:rPr>
        <w:t xml:space="preserve"> </w:t>
      </w:r>
      <w:r>
        <w:rPr>
          <w:rFonts w:ascii="Arial" w:hAnsi="Arial" w:cs="Arial"/>
          <w:sz w:val="20"/>
          <w:szCs w:val="20"/>
        </w:rPr>
        <w:t>operating netback of $</w:t>
      </w:r>
      <w:r w:rsidR="007325EE">
        <w:rPr>
          <w:rFonts w:ascii="Arial" w:hAnsi="Arial" w:cs="Arial"/>
          <w:sz w:val="20"/>
          <w:szCs w:val="20"/>
        </w:rPr>
        <w:t xml:space="preserve">5.91 </w:t>
      </w:r>
      <w:r>
        <w:rPr>
          <w:rFonts w:ascii="Arial" w:hAnsi="Arial" w:cs="Arial"/>
          <w:sz w:val="20"/>
          <w:szCs w:val="20"/>
        </w:rPr>
        <w:t>per BOE</w:t>
      </w:r>
      <w:r>
        <w:rPr>
          <w:rStyle w:val="FootnoteReference"/>
          <w:rFonts w:ascii="Arial" w:hAnsi="Arial" w:cs="Arial"/>
          <w:sz w:val="20"/>
          <w:szCs w:val="20"/>
        </w:rPr>
        <w:footnoteReference w:id="2"/>
      </w:r>
      <w:r>
        <w:rPr>
          <w:rFonts w:ascii="Arial" w:hAnsi="Arial" w:cs="Arial"/>
          <w:sz w:val="20"/>
          <w:szCs w:val="20"/>
        </w:rPr>
        <w:t xml:space="preserve">; </w:t>
      </w:r>
    </w:p>
    <w:p w14:paraId="737C1EDC" w14:textId="1041A013" w:rsidR="009D02A2" w:rsidRPr="00C218C9" w:rsidRDefault="002D3101" w:rsidP="00426ED1">
      <w:pPr>
        <w:pStyle w:val="ListParagraph"/>
        <w:widowControl w:val="0"/>
        <w:numPr>
          <w:ilvl w:val="0"/>
          <w:numId w:val="43"/>
        </w:numPr>
        <w:autoSpaceDE w:val="0"/>
        <w:autoSpaceDN w:val="0"/>
        <w:adjustRightInd w:val="0"/>
        <w:spacing w:before="60" w:line="240" w:lineRule="atLeast"/>
        <w:ind w:left="548" w:hanging="274"/>
        <w:contextualSpacing w:val="0"/>
        <w:jc w:val="both"/>
        <w:rPr>
          <w:rFonts w:ascii="Arial" w:hAnsi="Arial" w:cs="Arial"/>
          <w:sz w:val="20"/>
          <w:szCs w:val="20"/>
        </w:rPr>
      </w:pPr>
      <w:r w:rsidRPr="00C218C9">
        <w:rPr>
          <w:rFonts w:ascii="Arial" w:hAnsi="Arial" w:cs="Arial"/>
          <w:sz w:val="20"/>
          <w:szCs w:val="20"/>
        </w:rPr>
        <w:t>Obtained $</w:t>
      </w:r>
      <w:r w:rsidR="007325EE">
        <w:rPr>
          <w:rFonts w:ascii="Arial" w:hAnsi="Arial" w:cs="Arial"/>
          <w:sz w:val="20"/>
          <w:szCs w:val="20"/>
        </w:rPr>
        <w:t>66.</w:t>
      </w:r>
      <w:r w:rsidR="007810D1">
        <w:rPr>
          <w:rFonts w:ascii="Arial" w:hAnsi="Arial" w:cs="Arial"/>
          <w:sz w:val="20"/>
          <w:szCs w:val="20"/>
        </w:rPr>
        <w:t>6</w:t>
      </w:r>
      <w:r w:rsidR="00BE4A40" w:rsidRPr="00C218C9">
        <w:rPr>
          <w:rFonts w:ascii="Arial" w:hAnsi="Arial" w:cs="Arial"/>
          <w:sz w:val="20"/>
          <w:szCs w:val="20"/>
        </w:rPr>
        <w:t xml:space="preserve"> </w:t>
      </w:r>
      <w:r w:rsidRPr="00C218C9">
        <w:rPr>
          <w:rFonts w:ascii="Arial" w:hAnsi="Arial" w:cs="Arial"/>
          <w:sz w:val="20"/>
          <w:szCs w:val="20"/>
        </w:rPr>
        <w:t>million</w:t>
      </w:r>
      <w:r w:rsidR="007325EE">
        <w:rPr>
          <w:rFonts w:ascii="Arial" w:hAnsi="Arial" w:cs="Arial"/>
          <w:sz w:val="20"/>
          <w:szCs w:val="20"/>
        </w:rPr>
        <w:t xml:space="preserve"> and repaid $4.9 million</w:t>
      </w:r>
      <w:r w:rsidR="007E4CAF" w:rsidRPr="00C218C9">
        <w:rPr>
          <w:rFonts w:ascii="Arial" w:hAnsi="Arial" w:cs="Arial"/>
          <w:sz w:val="20"/>
          <w:szCs w:val="20"/>
        </w:rPr>
        <w:t xml:space="preserve"> </w:t>
      </w:r>
      <w:r w:rsidRPr="00C218C9">
        <w:rPr>
          <w:rFonts w:ascii="Arial" w:hAnsi="Arial" w:cs="Arial"/>
          <w:sz w:val="20"/>
          <w:szCs w:val="20"/>
        </w:rPr>
        <w:t>of working capital</w:t>
      </w:r>
      <w:r w:rsidR="009D02A2" w:rsidRPr="00C218C9">
        <w:rPr>
          <w:rFonts w:ascii="Arial" w:hAnsi="Arial" w:cs="Arial"/>
          <w:sz w:val="20"/>
          <w:szCs w:val="20"/>
        </w:rPr>
        <w:t xml:space="preserve"> </w:t>
      </w:r>
      <w:r w:rsidR="007325EE">
        <w:rPr>
          <w:rFonts w:ascii="Arial" w:hAnsi="Arial" w:cs="Arial"/>
          <w:sz w:val="20"/>
          <w:szCs w:val="20"/>
        </w:rPr>
        <w:t xml:space="preserve">and discounted promissory </w:t>
      </w:r>
      <w:proofErr w:type="gramStart"/>
      <w:r w:rsidR="007325EE">
        <w:rPr>
          <w:rFonts w:ascii="Arial" w:hAnsi="Arial" w:cs="Arial"/>
          <w:sz w:val="20"/>
          <w:szCs w:val="20"/>
        </w:rPr>
        <w:t>notes;</w:t>
      </w:r>
      <w:proofErr w:type="gramEnd"/>
    </w:p>
    <w:p w14:paraId="25105F80" w14:textId="68E70FAD" w:rsidR="002D3101" w:rsidRPr="009D02A2" w:rsidRDefault="002D3101" w:rsidP="00426ED1">
      <w:pPr>
        <w:pStyle w:val="ListParagraph"/>
        <w:widowControl w:val="0"/>
        <w:numPr>
          <w:ilvl w:val="0"/>
          <w:numId w:val="43"/>
        </w:numPr>
        <w:autoSpaceDE w:val="0"/>
        <w:autoSpaceDN w:val="0"/>
        <w:adjustRightInd w:val="0"/>
        <w:spacing w:before="60" w:line="240" w:lineRule="atLeast"/>
        <w:ind w:left="548" w:hanging="274"/>
        <w:contextualSpacing w:val="0"/>
        <w:jc w:val="both"/>
        <w:rPr>
          <w:rFonts w:ascii="Arial" w:hAnsi="Arial" w:cs="Arial"/>
          <w:sz w:val="20"/>
          <w:szCs w:val="20"/>
        </w:rPr>
      </w:pPr>
      <w:r w:rsidRPr="009D02A2">
        <w:rPr>
          <w:rFonts w:ascii="Arial" w:hAnsi="Arial" w:cs="Arial"/>
          <w:sz w:val="20"/>
          <w:szCs w:val="20"/>
        </w:rPr>
        <w:t>Reported loss before taxes of $</w:t>
      </w:r>
      <w:r w:rsidR="007325EE">
        <w:rPr>
          <w:rFonts w:ascii="Arial" w:hAnsi="Arial" w:cs="Arial"/>
          <w:sz w:val="20"/>
          <w:szCs w:val="20"/>
        </w:rPr>
        <w:t xml:space="preserve">9.1 </w:t>
      </w:r>
      <w:r w:rsidRPr="009D02A2">
        <w:rPr>
          <w:rFonts w:ascii="Arial" w:hAnsi="Arial" w:cs="Arial"/>
          <w:sz w:val="20"/>
          <w:szCs w:val="20"/>
        </w:rPr>
        <w:t>millio</w:t>
      </w:r>
      <w:r w:rsidR="009D02A2">
        <w:rPr>
          <w:rFonts w:ascii="Arial" w:hAnsi="Arial" w:cs="Arial"/>
          <w:sz w:val="20"/>
          <w:szCs w:val="20"/>
        </w:rPr>
        <w:t xml:space="preserve">n </w:t>
      </w:r>
      <w:r w:rsidRPr="009D02A2">
        <w:rPr>
          <w:rFonts w:ascii="Arial" w:hAnsi="Arial" w:cs="Arial"/>
          <w:sz w:val="20"/>
          <w:szCs w:val="20"/>
        </w:rPr>
        <w:t>and a net loss of $</w:t>
      </w:r>
      <w:r w:rsidR="007325EE">
        <w:rPr>
          <w:rFonts w:ascii="Arial" w:hAnsi="Arial" w:cs="Arial"/>
          <w:sz w:val="20"/>
          <w:szCs w:val="20"/>
        </w:rPr>
        <w:t xml:space="preserve">5.7 </w:t>
      </w:r>
      <w:proofErr w:type="gramStart"/>
      <w:r w:rsidRPr="009D02A2">
        <w:rPr>
          <w:rFonts w:ascii="Arial" w:hAnsi="Arial" w:cs="Arial"/>
          <w:sz w:val="20"/>
          <w:szCs w:val="20"/>
        </w:rPr>
        <w:t>million;</w:t>
      </w:r>
      <w:proofErr w:type="gramEnd"/>
    </w:p>
    <w:p w14:paraId="3E4A0F01" w14:textId="43A5174C" w:rsidR="00964D5E" w:rsidRPr="00432167" w:rsidRDefault="002D3101" w:rsidP="002D3101">
      <w:pPr>
        <w:pStyle w:val="ListParagraph"/>
        <w:widowControl w:val="0"/>
        <w:numPr>
          <w:ilvl w:val="0"/>
          <w:numId w:val="43"/>
        </w:numPr>
        <w:autoSpaceDE w:val="0"/>
        <w:autoSpaceDN w:val="0"/>
        <w:adjustRightInd w:val="0"/>
        <w:spacing w:before="60" w:line="240" w:lineRule="atLeast"/>
        <w:ind w:left="548" w:hanging="274"/>
        <w:contextualSpacing w:val="0"/>
        <w:jc w:val="both"/>
        <w:rPr>
          <w:rFonts w:ascii="Arial" w:hAnsi="Arial" w:cs="Arial"/>
          <w:sz w:val="20"/>
          <w:szCs w:val="20"/>
        </w:rPr>
      </w:pPr>
      <w:r>
        <w:rPr>
          <w:rFonts w:ascii="Arial" w:hAnsi="Arial" w:cs="Arial"/>
          <w:sz w:val="20"/>
          <w:szCs w:val="20"/>
        </w:rPr>
        <w:t xml:space="preserve">Reported </w:t>
      </w:r>
      <w:r w:rsidRPr="00432167">
        <w:rPr>
          <w:rFonts w:ascii="Arial" w:hAnsi="Arial" w:cs="Arial"/>
          <w:sz w:val="20"/>
          <w:szCs w:val="20"/>
        </w:rPr>
        <w:t>a working capital deficit</w:t>
      </w:r>
      <w:r w:rsidRPr="00432167">
        <w:rPr>
          <w:rStyle w:val="FootnoteReference"/>
          <w:rFonts w:ascii="Arial" w:hAnsi="Arial" w:cs="Arial"/>
          <w:sz w:val="20"/>
          <w:szCs w:val="20"/>
        </w:rPr>
        <w:footnoteReference w:id="3"/>
      </w:r>
      <w:r w:rsidRPr="00432167">
        <w:rPr>
          <w:rFonts w:ascii="Arial" w:hAnsi="Arial" w:cs="Arial"/>
          <w:sz w:val="20"/>
          <w:szCs w:val="20"/>
        </w:rPr>
        <w:t xml:space="preserve"> of $</w:t>
      </w:r>
      <w:r w:rsidR="0005288F">
        <w:rPr>
          <w:rFonts w:ascii="Arial" w:hAnsi="Arial" w:cs="Arial"/>
          <w:sz w:val="20"/>
          <w:szCs w:val="20"/>
        </w:rPr>
        <w:t>71.8</w:t>
      </w:r>
      <w:r w:rsidRPr="00432167">
        <w:rPr>
          <w:rFonts w:ascii="Arial" w:hAnsi="Arial" w:cs="Arial"/>
          <w:sz w:val="20"/>
          <w:szCs w:val="20"/>
        </w:rPr>
        <w:t xml:space="preserve"> million</w:t>
      </w:r>
      <w:r w:rsidR="001575D5">
        <w:rPr>
          <w:rFonts w:ascii="Arial" w:hAnsi="Arial" w:cs="Arial"/>
          <w:sz w:val="20"/>
          <w:szCs w:val="20"/>
        </w:rPr>
        <w:t xml:space="preserve">; </w:t>
      </w:r>
      <w:r w:rsidR="00C02DFB">
        <w:rPr>
          <w:rFonts w:ascii="Arial" w:hAnsi="Arial" w:cs="Arial"/>
          <w:sz w:val="20"/>
          <w:szCs w:val="20"/>
        </w:rPr>
        <w:t>and</w:t>
      </w:r>
    </w:p>
    <w:p w14:paraId="44134682" w14:textId="4E0522EB" w:rsidR="002D3101" w:rsidRPr="0005288F" w:rsidRDefault="005834CF" w:rsidP="008303F1">
      <w:pPr>
        <w:pStyle w:val="ListParagraph"/>
        <w:widowControl w:val="0"/>
        <w:numPr>
          <w:ilvl w:val="0"/>
          <w:numId w:val="43"/>
        </w:numPr>
        <w:autoSpaceDE w:val="0"/>
        <w:autoSpaceDN w:val="0"/>
        <w:adjustRightInd w:val="0"/>
        <w:spacing w:before="60" w:line="240" w:lineRule="atLeast"/>
        <w:ind w:left="548" w:hanging="274"/>
        <w:contextualSpacing w:val="0"/>
        <w:jc w:val="both"/>
        <w:rPr>
          <w:rFonts w:ascii="Arial" w:hAnsi="Arial" w:cs="Arial"/>
          <w:b/>
          <w:bCs/>
          <w:caps/>
          <w:color w:val="000000"/>
          <w:sz w:val="20"/>
          <w:szCs w:val="20"/>
        </w:rPr>
      </w:pPr>
      <w:r w:rsidRPr="0005288F">
        <w:rPr>
          <w:rFonts w:ascii="Arial" w:hAnsi="Arial" w:cs="Arial"/>
          <w:color w:val="000000"/>
          <w:sz w:val="20"/>
          <w:szCs w:val="20"/>
        </w:rPr>
        <w:t xml:space="preserve">Completed the acquisition of a </w:t>
      </w:r>
      <w:r w:rsidR="00077BC1" w:rsidRPr="0005288F">
        <w:rPr>
          <w:rFonts w:ascii="Arial" w:hAnsi="Arial" w:cs="Arial"/>
          <w:color w:val="000000"/>
          <w:sz w:val="20"/>
          <w:szCs w:val="20"/>
        </w:rPr>
        <w:t>95</w:t>
      </w:r>
      <w:r w:rsidRPr="0005288F">
        <w:rPr>
          <w:rFonts w:ascii="Arial" w:hAnsi="Arial" w:cs="Arial"/>
          <w:color w:val="000000"/>
          <w:sz w:val="20"/>
          <w:szCs w:val="20"/>
        </w:rPr>
        <w:t xml:space="preserve">% operating interest in the </w:t>
      </w:r>
      <w:r w:rsidR="00077BC1" w:rsidRPr="0005288F">
        <w:rPr>
          <w:rFonts w:ascii="Arial" w:hAnsi="Arial" w:cs="Arial"/>
          <w:color w:val="000000"/>
          <w:sz w:val="20"/>
          <w:szCs w:val="20"/>
        </w:rPr>
        <w:t xml:space="preserve">El </w:t>
      </w:r>
      <w:proofErr w:type="spellStart"/>
      <w:r w:rsidR="00077BC1" w:rsidRPr="0005288F">
        <w:rPr>
          <w:rFonts w:ascii="Arial" w:hAnsi="Arial" w:cs="Arial"/>
          <w:color w:val="000000"/>
          <w:sz w:val="20"/>
          <w:szCs w:val="20"/>
        </w:rPr>
        <w:t>Tordillo</w:t>
      </w:r>
      <w:proofErr w:type="spellEnd"/>
      <w:r w:rsidR="00077BC1" w:rsidRPr="0005288F">
        <w:rPr>
          <w:rFonts w:ascii="Arial" w:hAnsi="Arial" w:cs="Arial"/>
          <w:color w:val="000000"/>
          <w:sz w:val="20"/>
          <w:szCs w:val="20"/>
        </w:rPr>
        <w:t xml:space="preserve">, La Tapera and Puesto Quiroga </w:t>
      </w:r>
      <w:r w:rsidRPr="0005288F">
        <w:rPr>
          <w:rFonts w:ascii="Arial" w:hAnsi="Arial" w:cs="Arial"/>
          <w:color w:val="000000"/>
          <w:sz w:val="20"/>
          <w:szCs w:val="20"/>
        </w:rPr>
        <w:t xml:space="preserve">hydrocarbon exploitation concessions (the </w:t>
      </w:r>
      <w:r w:rsidR="00294150" w:rsidRPr="0005288F">
        <w:rPr>
          <w:rFonts w:ascii="Arial" w:hAnsi="Arial" w:cs="Arial"/>
          <w:color w:val="000000"/>
          <w:sz w:val="20"/>
          <w:szCs w:val="20"/>
        </w:rPr>
        <w:t>“</w:t>
      </w:r>
      <w:r w:rsidR="00077BC1" w:rsidRPr="0005288F">
        <w:rPr>
          <w:rFonts w:ascii="Arial" w:hAnsi="Arial" w:cs="Arial"/>
          <w:b/>
          <w:bCs/>
          <w:color w:val="000000"/>
          <w:sz w:val="20"/>
          <w:szCs w:val="20"/>
        </w:rPr>
        <w:t>Chubut</w:t>
      </w:r>
      <w:r w:rsidRPr="0005288F">
        <w:rPr>
          <w:rFonts w:ascii="Arial" w:hAnsi="Arial" w:cs="Arial"/>
          <w:b/>
          <w:bCs/>
          <w:color w:val="000000"/>
          <w:sz w:val="20"/>
          <w:szCs w:val="20"/>
        </w:rPr>
        <w:t xml:space="preserve"> Concessions</w:t>
      </w:r>
      <w:r w:rsidRPr="0005288F">
        <w:rPr>
          <w:rFonts w:ascii="Arial" w:hAnsi="Arial" w:cs="Arial"/>
          <w:color w:val="000000"/>
          <w:sz w:val="20"/>
          <w:szCs w:val="20"/>
        </w:rPr>
        <w:t xml:space="preserve">”) for </w:t>
      </w:r>
      <w:r w:rsidR="00077BC1" w:rsidRPr="0005288F">
        <w:rPr>
          <w:rFonts w:ascii="Arial" w:hAnsi="Arial" w:cs="Arial"/>
          <w:color w:val="000000"/>
          <w:sz w:val="20"/>
          <w:szCs w:val="20"/>
        </w:rPr>
        <w:t xml:space="preserve">approximately </w:t>
      </w:r>
      <w:r w:rsidRPr="0005288F">
        <w:rPr>
          <w:rFonts w:ascii="Arial" w:hAnsi="Arial" w:cs="Arial"/>
          <w:color w:val="000000"/>
          <w:sz w:val="20"/>
          <w:szCs w:val="20"/>
        </w:rPr>
        <w:t>$</w:t>
      </w:r>
      <w:r w:rsidR="0005288F" w:rsidRPr="0005288F">
        <w:rPr>
          <w:rFonts w:ascii="Arial" w:hAnsi="Arial" w:cs="Arial"/>
          <w:color w:val="000000"/>
          <w:sz w:val="20"/>
          <w:szCs w:val="20"/>
        </w:rPr>
        <w:t>57.1</w:t>
      </w:r>
      <w:r w:rsidRPr="0005288F">
        <w:rPr>
          <w:rFonts w:ascii="Arial" w:hAnsi="Arial" w:cs="Arial"/>
          <w:color w:val="000000"/>
          <w:sz w:val="20"/>
          <w:szCs w:val="20"/>
        </w:rPr>
        <w:t xml:space="preserve"> million </w:t>
      </w:r>
      <w:r w:rsidR="00C02DFB" w:rsidRPr="0005288F">
        <w:rPr>
          <w:rFonts w:ascii="Arial" w:hAnsi="Arial" w:cs="Arial"/>
          <w:color w:val="000000"/>
          <w:sz w:val="20"/>
          <w:szCs w:val="20"/>
        </w:rPr>
        <w:t xml:space="preserve">at closing and </w:t>
      </w:r>
      <w:r w:rsidR="0005288F">
        <w:rPr>
          <w:rFonts w:ascii="Arial" w:hAnsi="Arial" w:cs="Arial"/>
          <w:color w:val="000000"/>
          <w:sz w:val="20"/>
          <w:szCs w:val="20"/>
        </w:rPr>
        <w:t>contingent consideration estimated at $2.1 million</w:t>
      </w:r>
      <w:r w:rsidR="00CC304E">
        <w:rPr>
          <w:rFonts w:ascii="Arial" w:hAnsi="Arial" w:cs="Arial"/>
          <w:color w:val="000000"/>
          <w:sz w:val="20"/>
          <w:szCs w:val="20"/>
        </w:rPr>
        <w:t xml:space="preserve"> (the "</w:t>
      </w:r>
      <w:r w:rsidR="00CC304E" w:rsidRPr="00CC304E">
        <w:rPr>
          <w:rFonts w:ascii="Arial" w:hAnsi="Arial" w:cs="Arial"/>
          <w:b/>
          <w:bCs/>
          <w:color w:val="000000"/>
          <w:sz w:val="20"/>
          <w:szCs w:val="20"/>
        </w:rPr>
        <w:t>Acquisition</w:t>
      </w:r>
      <w:r w:rsidR="00CC304E">
        <w:rPr>
          <w:rFonts w:ascii="Arial" w:hAnsi="Arial" w:cs="Arial"/>
          <w:color w:val="000000"/>
          <w:sz w:val="20"/>
          <w:szCs w:val="20"/>
        </w:rPr>
        <w:t>")</w:t>
      </w:r>
      <w:r w:rsidR="0005288F">
        <w:rPr>
          <w:rFonts w:ascii="Arial" w:hAnsi="Arial" w:cs="Arial"/>
          <w:color w:val="000000"/>
          <w:sz w:val="20"/>
          <w:szCs w:val="20"/>
        </w:rPr>
        <w:t xml:space="preserve">. </w:t>
      </w:r>
      <w:r w:rsidR="0005288F" w:rsidRPr="0005288F">
        <w:rPr>
          <w:rFonts w:ascii="Arial" w:hAnsi="Arial" w:cs="Arial"/>
          <w:color w:val="000000"/>
          <w:sz w:val="20"/>
          <w:szCs w:val="20"/>
        </w:rPr>
        <w:t xml:space="preserve">In connection with the </w:t>
      </w:r>
      <w:r w:rsidR="00CC304E">
        <w:rPr>
          <w:rFonts w:ascii="Arial" w:hAnsi="Arial" w:cs="Arial"/>
          <w:color w:val="000000"/>
          <w:sz w:val="20"/>
          <w:szCs w:val="20"/>
        </w:rPr>
        <w:t>A</w:t>
      </w:r>
      <w:r w:rsidR="0005288F" w:rsidRPr="0005288F">
        <w:rPr>
          <w:rFonts w:ascii="Arial" w:hAnsi="Arial" w:cs="Arial"/>
          <w:color w:val="000000"/>
          <w:sz w:val="20"/>
          <w:szCs w:val="20"/>
        </w:rPr>
        <w:t xml:space="preserve">cquisition, </w:t>
      </w:r>
      <w:r w:rsidR="00EA7062">
        <w:rPr>
          <w:rFonts w:ascii="Arial" w:hAnsi="Arial" w:cs="Arial"/>
          <w:color w:val="000000"/>
          <w:sz w:val="20"/>
          <w:szCs w:val="20"/>
        </w:rPr>
        <w:t xml:space="preserve">the Company also </w:t>
      </w:r>
      <w:r w:rsidR="0005288F" w:rsidRPr="0005288F">
        <w:rPr>
          <w:rFonts w:ascii="Arial" w:hAnsi="Arial" w:cs="Arial"/>
          <w:color w:val="000000"/>
          <w:sz w:val="20"/>
          <w:szCs w:val="20"/>
        </w:rPr>
        <w:t xml:space="preserve">acquired 4.2% of the outstanding shares of </w:t>
      </w:r>
      <w:proofErr w:type="spellStart"/>
      <w:r w:rsidR="0005288F" w:rsidRPr="0005288F">
        <w:rPr>
          <w:rFonts w:ascii="Arial" w:hAnsi="Arial" w:cs="Arial"/>
          <w:color w:val="000000"/>
          <w:sz w:val="20"/>
          <w:szCs w:val="20"/>
        </w:rPr>
        <w:t>Terminales</w:t>
      </w:r>
      <w:proofErr w:type="spellEnd"/>
      <w:r w:rsidR="0005288F" w:rsidRPr="0005288F">
        <w:rPr>
          <w:rFonts w:ascii="Arial" w:hAnsi="Arial" w:cs="Arial"/>
          <w:color w:val="000000"/>
          <w:sz w:val="20"/>
          <w:szCs w:val="20"/>
        </w:rPr>
        <w:t xml:space="preserve"> </w:t>
      </w:r>
      <w:proofErr w:type="spellStart"/>
      <w:r w:rsidR="0005288F" w:rsidRPr="0005288F">
        <w:rPr>
          <w:rFonts w:ascii="Arial" w:hAnsi="Arial" w:cs="Arial"/>
          <w:color w:val="000000"/>
          <w:sz w:val="20"/>
          <w:szCs w:val="20"/>
        </w:rPr>
        <w:t>Marítimas</w:t>
      </w:r>
      <w:proofErr w:type="spellEnd"/>
      <w:r w:rsidR="0005288F" w:rsidRPr="0005288F">
        <w:rPr>
          <w:rFonts w:ascii="Arial" w:hAnsi="Arial" w:cs="Arial"/>
          <w:color w:val="000000"/>
          <w:sz w:val="20"/>
          <w:szCs w:val="20"/>
        </w:rPr>
        <w:t xml:space="preserve"> </w:t>
      </w:r>
      <w:proofErr w:type="spellStart"/>
      <w:r w:rsidR="0005288F" w:rsidRPr="0005288F">
        <w:rPr>
          <w:rFonts w:ascii="Arial" w:hAnsi="Arial" w:cs="Arial"/>
          <w:color w:val="000000"/>
          <w:sz w:val="20"/>
          <w:szCs w:val="20"/>
        </w:rPr>
        <w:t>Patagónicas</w:t>
      </w:r>
      <w:proofErr w:type="spellEnd"/>
      <w:r w:rsidR="0005288F" w:rsidRPr="0005288F">
        <w:rPr>
          <w:rFonts w:ascii="Arial" w:hAnsi="Arial" w:cs="Arial"/>
          <w:color w:val="000000"/>
          <w:sz w:val="20"/>
          <w:szCs w:val="20"/>
        </w:rPr>
        <w:t xml:space="preserve"> S.A. for cash consideration of $1.8 million. </w:t>
      </w:r>
    </w:p>
    <w:p w14:paraId="4C886F1D" w14:textId="77777777" w:rsidR="0005288F" w:rsidRPr="0005288F" w:rsidRDefault="0005288F" w:rsidP="0005288F">
      <w:pPr>
        <w:pStyle w:val="ListParagraph"/>
        <w:widowControl w:val="0"/>
        <w:autoSpaceDE w:val="0"/>
        <w:autoSpaceDN w:val="0"/>
        <w:adjustRightInd w:val="0"/>
        <w:spacing w:before="60" w:line="240" w:lineRule="atLeast"/>
        <w:ind w:left="548"/>
        <w:contextualSpacing w:val="0"/>
        <w:jc w:val="both"/>
        <w:rPr>
          <w:rFonts w:ascii="Arial" w:hAnsi="Arial" w:cs="Arial"/>
          <w:b/>
          <w:bCs/>
          <w:caps/>
          <w:color w:val="000000"/>
          <w:sz w:val="20"/>
          <w:szCs w:val="20"/>
        </w:rPr>
      </w:pPr>
    </w:p>
    <w:p w14:paraId="3284B894" w14:textId="77777777" w:rsidR="002D3101" w:rsidRPr="00432167" w:rsidRDefault="002D3101" w:rsidP="002D3101">
      <w:pPr>
        <w:widowControl w:val="0"/>
        <w:rPr>
          <w:rFonts w:ascii="Arial" w:hAnsi="Arial" w:cs="Arial"/>
          <w:b/>
          <w:bCs/>
          <w:caps/>
          <w:color w:val="000000"/>
          <w:sz w:val="20"/>
          <w:szCs w:val="20"/>
        </w:rPr>
      </w:pPr>
      <w:r w:rsidRPr="00432167">
        <w:rPr>
          <w:rFonts w:ascii="Arial" w:hAnsi="Arial" w:cs="Arial"/>
          <w:b/>
          <w:bCs/>
          <w:caps/>
          <w:color w:val="000000"/>
          <w:sz w:val="20"/>
          <w:szCs w:val="20"/>
        </w:rPr>
        <w:t>SUBSEQUENT EVENTS</w:t>
      </w:r>
    </w:p>
    <w:p w14:paraId="28A9D557" w14:textId="4E64814F" w:rsidR="002D3101" w:rsidRDefault="002D3101" w:rsidP="002D3101">
      <w:pPr>
        <w:widowControl w:val="0"/>
        <w:autoSpaceDE w:val="0"/>
        <w:autoSpaceDN w:val="0"/>
        <w:adjustRightInd w:val="0"/>
        <w:spacing w:before="120" w:line="240" w:lineRule="atLeast"/>
        <w:jc w:val="both"/>
        <w:rPr>
          <w:rFonts w:ascii="Arial" w:hAnsi="Arial" w:cs="Arial"/>
          <w:sz w:val="20"/>
          <w:szCs w:val="20"/>
        </w:rPr>
      </w:pPr>
      <w:proofErr w:type="gramStart"/>
      <w:r w:rsidRPr="00432167">
        <w:rPr>
          <w:rFonts w:ascii="Arial" w:hAnsi="Arial" w:cs="Arial"/>
          <w:sz w:val="20"/>
          <w:szCs w:val="20"/>
        </w:rPr>
        <w:t>Subsequent to</w:t>
      </w:r>
      <w:proofErr w:type="gramEnd"/>
      <w:r w:rsidRPr="00432167">
        <w:rPr>
          <w:rFonts w:ascii="Arial" w:hAnsi="Arial" w:cs="Arial"/>
          <w:sz w:val="20"/>
          <w:szCs w:val="20"/>
        </w:rPr>
        <w:t xml:space="preserve"> </w:t>
      </w:r>
      <w:r w:rsidR="005834CF">
        <w:rPr>
          <w:rFonts w:ascii="Arial" w:hAnsi="Arial" w:cs="Arial"/>
          <w:sz w:val="20"/>
          <w:szCs w:val="20"/>
        </w:rPr>
        <w:t>December</w:t>
      </w:r>
      <w:r w:rsidR="00767960">
        <w:rPr>
          <w:rFonts w:ascii="Arial" w:hAnsi="Arial" w:cs="Arial"/>
          <w:sz w:val="20"/>
          <w:szCs w:val="20"/>
        </w:rPr>
        <w:t xml:space="preserve"> </w:t>
      </w:r>
      <w:r w:rsidR="005834CF">
        <w:rPr>
          <w:rFonts w:ascii="Arial" w:hAnsi="Arial" w:cs="Arial"/>
          <w:sz w:val="20"/>
          <w:szCs w:val="20"/>
        </w:rPr>
        <w:t>31</w:t>
      </w:r>
      <w:r>
        <w:rPr>
          <w:rFonts w:ascii="Arial" w:hAnsi="Arial" w:cs="Arial"/>
          <w:sz w:val="20"/>
          <w:szCs w:val="20"/>
        </w:rPr>
        <w:t>,</w:t>
      </w:r>
      <w:r w:rsidR="001B40D9">
        <w:rPr>
          <w:rFonts w:ascii="Arial" w:hAnsi="Arial" w:cs="Arial"/>
          <w:sz w:val="20"/>
          <w:szCs w:val="20"/>
        </w:rPr>
        <w:t xml:space="preserve"> 202</w:t>
      </w:r>
      <w:r w:rsidR="00C02DFB">
        <w:rPr>
          <w:rFonts w:ascii="Arial" w:hAnsi="Arial" w:cs="Arial"/>
          <w:sz w:val="20"/>
          <w:szCs w:val="20"/>
        </w:rPr>
        <w:t>5,</w:t>
      </w:r>
      <w:r>
        <w:rPr>
          <w:rFonts w:ascii="Arial" w:hAnsi="Arial" w:cs="Arial"/>
          <w:sz w:val="20"/>
          <w:szCs w:val="20"/>
        </w:rPr>
        <w:t xml:space="preserve"> the Company:</w:t>
      </w:r>
    </w:p>
    <w:p w14:paraId="297B17AC" w14:textId="4CDB3D58" w:rsidR="00113D00" w:rsidRPr="002D73AA" w:rsidRDefault="00C02DFB" w:rsidP="002D73AA">
      <w:pPr>
        <w:pStyle w:val="ListParagraph"/>
        <w:widowControl w:val="0"/>
        <w:numPr>
          <w:ilvl w:val="0"/>
          <w:numId w:val="43"/>
        </w:numPr>
        <w:autoSpaceDE w:val="0"/>
        <w:autoSpaceDN w:val="0"/>
        <w:adjustRightInd w:val="0"/>
        <w:spacing w:before="60" w:line="240" w:lineRule="atLeast"/>
        <w:ind w:left="547"/>
        <w:contextualSpacing w:val="0"/>
        <w:jc w:val="both"/>
        <w:rPr>
          <w:rFonts w:ascii="Arial" w:hAnsi="Arial" w:cs="Arial"/>
          <w:b/>
          <w:bCs/>
          <w:caps/>
          <w:color w:val="000000"/>
          <w:sz w:val="20"/>
          <w:szCs w:val="20"/>
        </w:rPr>
      </w:pPr>
      <w:bookmarkStart w:id="0" w:name="_Hlk127447650"/>
      <w:bookmarkStart w:id="1" w:name="_Hlk95858902"/>
      <w:r w:rsidRPr="00113D00">
        <w:rPr>
          <w:rFonts w:ascii="Arial" w:hAnsi="Arial" w:cs="Arial"/>
          <w:sz w:val="20"/>
          <w:szCs w:val="20"/>
        </w:rPr>
        <w:t>I</w:t>
      </w:r>
      <w:r w:rsidRPr="00113D00">
        <w:rPr>
          <w:rFonts w:ascii="Arial" w:eastAsia="Arial" w:hAnsi="Arial" w:cs="Arial"/>
          <w:sz w:val="20"/>
          <w:szCs w:val="20"/>
        </w:rPr>
        <w:t xml:space="preserve">ssued </w:t>
      </w:r>
      <w:r w:rsidRPr="00113D00">
        <w:rPr>
          <w:rFonts w:ascii="Arial" w:hAnsi="Arial" w:cs="Arial"/>
          <w:sz w:val="20"/>
          <w:szCs w:val="20"/>
        </w:rPr>
        <w:t>$30 million principal amount of secured fixed-rate Series IX Notes</w:t>
      </w:r>
      <w:r w:rsidR="00113D00" w:rsidRPr="00113D00">
        <w:rPr>
          <w:rFonts w:ascii="Arial" w:hAnsi="Arial" w:cs="Arial"/>
          <w:sz w:val="20"/>
          <w:szCs w:val="20"/>
        </w:rPr>
        <w:t>, of which (</w:t>
      </w:r>
      <w:proofErr w:type="spellStart"/>
      <w:r w:rsidR="00113D00" w:rsidRPr="00113D00">
        <w:rPr>
          <w:rFonts w:ascii="Arial" w:hAnsi="Arial" w:cs="Arial"/>
          <w:sz w:val="20"/>
          <w:szCs w:val="20"/>
        </w:rPr>
        <w:t>i</w:t>
      </w:r>
      <w:proofErr w:type="spellEnd"/>
      <w:r w:rsidR="00113D00" w:rsidRPr="00113D00">
        <w:rPr>
          <w:rFonts w:ascii="Arial" w:hAnsi="Arial" w:cs="Arial"/>
          <w:sz w:val="20"/>
          <w:szCs w:val="20"/>
        </w:rPr>
        <w:t xml:space="preserve">) </w:t>
      </w:r>
      <w:r w:rsidR="007810D1">
        <w:rPr>
          <w:rFonts w:ascii="Arial" w:hAnsi="Arial" w:cs="Arial"/>
          <w:sz w:val="20"/>
          <w:szCs w:val="20"/>
        </w:rPr>
        <w:t>$</w:t>
      </w:r>
      <w:r w:rsidR="00113D00" w:rsidRPr="00113D00">
        <w:rPr>
          <w:rFonts w:ascii="Arial" w:hAnsi="Arial" w:cs="Arial"/>
          <w:sz w:val="20"/>
          <w:szCs w:val="20"/>
        </w:rPr>
        <w:t>24</w:t>
      </w:r>
      <w:r w:rsidR="007810D1">
        <w:rPr>
          <w:rFonts w:ascii="Arial" w:hAnsi="Arial" w:cs="Arial"/>
          <w:sz w:val="20"/>
          <w:szCs w:val="20"/>
        </w:rPr>
        <w:t>.6 million</w:t>
      </w:r>
      <w:r w:rsidR="00113D00" w:rsidRPr="00113D00">
        <w:rPr>
          <w:rFonts w:ascii="Arial" w:hAnsi="Arial" w:cs="Arial"/>
          <w:sz w:val="20"/>
          <w:szCs w:val="20"/>
        </w:rPr>
        <w:t xml:space="preserve"> principal amount of Series IX Notes were issued for cash consideration, payable in Pesos, and (ii) $5</w:t>
      </w:r>
      <w:r w:rsidR="008C0223">
        <w:rPr>
          <w:rFonts w:ascii="Arial" w:hAnsi="Arial" w:cs="Arial"/>
          <w:sz w:val="20"/>
          <w:szCs w:val="20"/>
        </w:rPr>
        <w:t xml:space="preserve">.4 million </w:t>
      </w:r>
      <w:r w:rsidR="00113D00" w:rsidRPr="00113D00">
        <w:rPr>
          <w:rFonts w:ascii="Arial" w:hAnsi="Arial" w:cs="Arial"/>
          <w:sz w:val="20"/>
          <w:szCs w:val="20"/>
        </w:rPr>
        <w:t xml:space="preserve">principal amount of Series IX Notes were issued in exchange for the surrender and </w:t>
      </w:r>
      <w:r w:rsidR="00113D00" w:rsidRPr="00113D00">
        <w:rPr>
          <w:rFonts w:ascii="Arial" w:hAnsi="Arial" w:cs="Arial"/>
          <w:sz w:val="20"/>
          <w:szCs w:val="20"/>
        </w:rPr>
        <w:lastRenderedPageBreak/>
        <w:t>cancellation of $5</w:t>
      </w:r>
      <w:r w:rsidR="008C0223">
        <w:rPr>
          <w:rFonts w:ascii="Arial" w:hAnsi="Arial" w:cs="Arial"/>
          <w:sz w:val="20"/>
          <w:szCs w:val="20"/>
        </w:rPr>
        <w:t xml:space="preserve">.4 million </w:t>
      </w:r>
      <w:r w:rsidR="00113D00" w:rsidRPr="00113D00">
        <w:rPr>
          <w:rFonts w:ascii="Arial" w:hAnsi="Arial" w:cs="Arial"/>
          <w:sz w:val="20"/>
          <w:szCs w:val="20"/>
        </w:rPr>
        <w:t>principal amount of Series V Notes at an exchange ratio of US$100 principal amount of Series IX Notes for every US$100 principal amount of Series V Notes.</w:t>
      </w:r>
      <w:bookmarkEnd w:id="0"/>
      <w:bookmarkEnd w:id="1"/>
    </w:p>
    <w:p w14:paraId="166A40B3" w14:textId="52B0F29F" w:rsidR="002D3101" w:rsidRPr="002D73AA" w:rsidRDefault="00113D00" w:rsidP="00114048">
      <w:pPr>
        <w:pStyle w:val="ListParagraph"/>
        <w:widowControl w:val="0"/>
        <w:numPr>
          <w:ilvl w:val="0"/>
          <w:numId w:val="43"/>
        </w:numPr>
        <w:autoSpaceDE w:val="0"/>
        <w:autoSpaceDN w:val="0"/>
        <w:adjustRightInd w:val="0"/>
        <w:spacing w:before="60" w:line="240" w:lineRule="atLeast"/>
        <w:ind w:left="547"/>
        <w:contextualSpacing w:val="0"/>
        <w:jc w:val="both"/>
        <w:rPr>
          <w:rFonts w:ascii="Arial" w:hAnsi="Arial" w:cs="Arial"/>
          <w:b/>
          <w:bCs/>
          <w:caps/>
          <w:color w:val="000000"/>
          <w:sz w:val="20"/>
          <w:szCs w:val="20"/>
        </w:rPr>
      </w:pPr>
      <w:r>
        <w:rPr>
          <w:rFonts w:ascii="Arial" w:hAnsi="Arial" w:cs="Arial"/>
          <w:sz w:val="20"/>
          <w:szCs w:val="20"/>
        </w:rPr>
        <w:t>R</w:t>
      </w:r>
      <w:r w:rsidRPr="005834CF">
        <w:rPr>
          <w:rFonts w:ascii="Arial" w:hAnsi="Arial" w:cs="Arial"/>
          <w:sz w:val="20"/>
          <w:szCs w:val="20"/>
        </w:rPr>
        <w:t xml:space="preserve">epaid </w:t>
      </w:r>
      <w:r>
        <w:rPr>
          <w:rFonts w:ascii="Arial" w:hAnsi="Arial" w:cs="Arial"/>
          <w:sz w:val="20"/>
          <w:szCs w:val="20"/>
        </w:rPr>
        <w:t>$</w:t>
      </w:r>
      <w:r w:rsidR="002D73AA">
        <w:rPr>
          <w:rFonts w:ascii="Arial" w:hAnsi="Arial" w:cs="Arial"/>
          <w:sz w:val="20"/>
          <w:szCs w:val="20"/>
        </w:rPr>
        <w:t>1.8</w:t>
      </w:r>
      <w:r>
        <w:rPr>
          <w:rFonts w:ascii="Arial" w:hAnsi="Arial" w:cs="Arial"/>
          <w:sz w:val="20"/>
          <w:szCs w:val="20"/>
        </w:rPr>
        <w:t xml:space="preserve"> million of principal </w:t>
      </w:r>
      <w:r w:rsidRPr="005834CF">
        <w:rPr>
          <w:rFonts w:ascii="Arial" w:hAnsi="Arial" w:cs="Arial"/>
          <w:sz w:val="20"/>
          <w:szCs w:val="20"/>
        </w:rPr>
        <w:t>installment</w:t>
      </w:r>
      <w:r>
        <w:rPr>
          <w:rFonts w:ascii="Arial" w:hAnsi="Arial" w:cs="Arial"/>
          <w:sz w:val="20"/>
          <w:szCs w:val="20"/>
        </w:rPr>
        <w:t>s</w:t>
      </w:r>
      <w:r w:rsidRPr="005834CF">
        <w:rPr>
          <w:rFonts w:ascii="Arial" w:hAnsi="Arial" w:cs="Arial"/>
          <w:sz w:val="20"/>
          <w:szCs w:val="20"/>
        </w:rPr>
        <w:t xml:space="preserve"> </w:t>
      </w:r>
      <w:r>
        <w:rPr>
          <w:rFonts w:ascii="Arial" w:hAnsi="Arial" w:cs="Arial"/>
          <w:sz w:val="20"/>
          <w:szCs w:val="20"/>
        </w:rPr>
        <w:t>on the</w:t>
      </w:r>
      <w:r w:rsidRPr="005834CF">
        <w:rPr>
          <w:rFonts w:ascii="Arial" w:hAnsi="Arial" w:cs="Arial"/>
          <w:sz w:val="20"/>
          <w:szCs w:val="20"/>
        </w:rPr>
        <w:t xml:space="preserve"> Series </w:t>
      </w:r>
      <w:r w:rsidR="002D73AA">
        <w:rPr>
          <w:rFonts w:ascii="Arial" w:hAnsi="Arial" w:cs="Arial"/>
          <w:sz w:val="20"/>
          <w:szCs w:val="20"/>
        </w:rPr>
        <w:t xml:space="preserve">V </w:t>
      </w:r>
      <w:r w:rsidRPr="005834CF">
        <w:rPr>
          <w:rFonts w:ascii="Arial" w:hAnsi="Arial" w:cs="Arial"/>
          <w:sz w:val="20"/>
          <w:szCs w:val="20"/>
        </w:rPr>
        <w:t>Notes</w:t>
      </w:r>
      <w:r w:rsidR="000E0366">
        <w:rPr>
          <w:rFonts w:ascii="Arial" w:hAnsi="Arial" w:cs="Arial"/>
          <w:sz w:val="20"/>
          <w:szCs w:val="20"/>
        </w:rPr>
        <w:t xml:space="preserve"> and </w:t>
      </w:r>
      <w:r w:rsidR="000D51F0" w:rsidRPr="006761DF">
        <w:rPr>
          <w:rFonts w:ascii="Arial" w:hAnsi="Arial" w:cs="Arial"/>
          <w:sz w:val="20"/>
          <w:szCs w:val="20"/>
        </w:rPr>
        <w:t>$</w:t>
      </w:r>
      <w:r w:rsidR="002D73AA">
        <w:rPr>
          <w:rFonts w:ascii="Arial" w:hAnsi="Arial" w:cs="Arial"/>
          <w:sz w:val="20"/>
          <w:szCs w:val="20"/>
        </w:rPr>
        <w:t xml:space="preserve">11.58 </w:t>
      </w:r>
      <w:r w:rsidR="000D51F0" w:rsidRPr="006761DF">
        <w:rPr>
          <w:rFonts w:ascii="Arial" w:hAnsi="Arial" w:cs="Arial"/>
          <w:sz w:val="20"/>
          <w:szCs w:val="20"/>
        </w:rPr>
        <w:t>million on working capital loans</w:t>
      </w:r>
      <w:r w:rsidR="008C0223">
        <w:rPr>
          <w:rFonts w:ascii="Arial" w:hAnsi="Arial" w:cs="Arial"/>
          <w:sz w:val="20"/>
          <w:szCs w:val="20"/>
        </w:rPr>
        <w:t xml:space="preserve"> and discounted promissory notes.</w:t>
      </w:r>
    </w:p>
    <w:p w14:paraId="7B118507" w14:textId="5DE4008A" w:rsidR="002D73AA" w:rsidRPr="006761DF" w:rsidRDefault="00CC304E" w:rsidP="00114048">
      <w:pPr>
        <w:pStyle w:val="ListParagraph"/>
        <w:widowControl w:val="0"/>
        <w:numPr>
          <w:ilvl w:val="0"/>
          <w:numId w:val="43"/>
        </w:numPr>
        <w:autoSpaceDE w:val="0"/>
        <w:autoSpaceDN w:val="0"/>
        <w:adjustRightInd w:val="0"/>
        <w:spacing w:before="60" w:line="240" w:lineRule="atLeast"/>
        <w:ind w:left="547"/>
        <w:contextualSpacing w:val="0"/>
        <w:jc w:val="both"/>
        <w:rPr>
          <w:rFonts w:ascii="Arial" w:hAnsi="Arial" w:cs="Arial"/>
          <w:b/>
          <w:bCs/>
          <w:caps/>
          <w:color w:val="000000"/>
          <w:sz w:val="20"/>
          <w:szCs w:val="20"/>
        </w:rPr>
      </w:pPr>
      <w:r>
        <w:rPr>
          <w:rFonts w:ascii="Arial" w:hAnsi="Arial" w:cs="Arial"/>
          <w:sz w:val="20"/>
          <w:szCs w:val="20"/>
        </w:rPr>
        <w:t xml:space="preserve">Paid </w:t>
      </w:r>
      <w:r w:rsidR="002D73AA">
        <w:rPr>
          <w:rFonts w:ascii="Arial" w:hAnsi="Arial" w:cs="Arial"/>
          <w:sz w:val="20"/>
          <w:szCs w:val="20"/>
        </w:rPr>
        <w:t xml:space="preserve">$2.5 million to </w:t>
      </w:r>
      <w:proofErr w:type="spellStart"/>
      <w:r w:rsidR="002D73AA">
        <w:rPr>
          <w:rFonts w:ascii="Arial" w:hAnsi="Arial" w:cs="Arial"/>
          <w:sz w:val="20"/>
          <w:szCs w:val="20"/>
        </w:rPr>
        <w:t>Tecpetrol</w:t>
      </w:r>
      <w:proofErr w:type="spellEnd"/>
      <w:r>
        <w:rPr>
          <w:rFonts w:ascii="Arial" w:hAnsi="Arial" w:cs="Arial"/>
          <w:sz w:val="20"/>
          <w:szCs w:val="20"/>
        </w:rPr>
        <w:t xml:space="preserve"> to satisfy </w:t>
      </w:r>
      <w:r w:rsidR="002D73AA">
        <w:rPr>
          <w:rFonts w:ascii="Arial" w:hAnsi="Arial" w:cs="Arial"/>
          <w:sz w:val="20"/>
          <w:szCs w:val="20"/>
        </w:rPr>
        <w:t xml:space="preserve">the outstanding balance </w:t>
      </w:r>
      <w:r>
        <w:rPr>
          <w:rFonts w:ascii="Arial" w:hAnsi="Arial" w:cs="Arial"/>
          <w:sz w:val="20"/>
          <w:szCs w:val="20"/>
        </w:rPr>
        <w:t>owing on</w:t>
      </w:r>
      <w:r w:rsidR="002D73AA">
        <w:rPr>
          <w:rFonts w:ascii="Arial" w:hAnsi="Arial" w:cs="Arial"/>
          <w:sz w:val="20"/>
          <w:szCs w:val="20"/>
        </w:rPr>
        <w:t xml:space="preserve"> the final </w:t>
      </w:r>
      <w:r>
        <w:rPr>
          <w:rFonts w:ascii="Arial" w:hAnsi="Arial" w:cs="Arial"/>
          <w:sz w:val="20"/>
          <w:szCs w:val="20"/>
        </w:rPr>
        <w:t xml:space="preserve">purchase </w:t>
      </w:r>
      <w:r w:rsidR="002D73AA">
        <w:rPr>
          <w:rFonts w:ascii="Arial" w:hAnsi="Arial" w:cs="Arial"/>
          <w:sz w:val="20"/>
          <w:szCs w:val="20"/>
        </w:rPr>
        <w:t xml:space="preserve">price adjustment </w:t>
      </w:r>
      <w:r>
        <w:rPr>
          <w:rFonts w:ascii="Arial" w:hAnsi="Arial" w:cs="Arial"/>
          <w:sz w:val="20"/>
          <w:szCs w:val="20"/>
        </w:rPr>
        <w:t xml:space="preserve">for </w:t>
      </w:r>
      <w:r w:rsidR="002D73AA">
        <w:rPr>
          <w:rFonts w:ascii="Arial" w:hAnsi="Arial" w:cs="Arial"/>
          <w:sz w:val="20"/>
          <w:szCs w:val="20"/>
        </w:rPr>
        <w:t xml:space="preserve">the </w:t>
      </w:r>
      <w:r>
        <w:rPr>
          <w:rFonts w:ascii="Arial" w:hAnsi="Arial" w:cs="Arial"/>
          <w:sz w:val="20"/>
          <w:szCs w:val="20"/>
        </w:rPr>
        <w:t>A</w:t>
      </w:r>
      <w:r w:rsidR="002D73AA">
        <w:rPr>
          <w:rFonts w:ascii="Arial" w:hAnsi="Arial" w:cs="Arial"/>
          <w:sz w:val="20"/>
          <w:szCs w:val="20"/>
        </w:rPr>
        <w:t>cquisition.</w:t>
      </w:r>
    </w:p>
    <w:p w14:paraId="734994C6" w14:textId="77777777" w:rsidR="003003D6" w:rsidRDefault="003003D6" w:rsidP="001B40D9">
      <w:pPr>
        <w:widowControl w:val="0"/>
        <w:rPr>
          <w:rFonts w:ascii="Arial" w:hAnsi="Arial" w:cs="Arial"/>
          <w:b/>
          <w:bCs/>
          <w:caps/>
          <w:color w:val="000000"/>
          <w:sz w:val="20"/>
          <w:szCs w:val="20"/>
        </w:rPr>
      </w:pPr>
    </w:p>
    <w:p w14:paraId="25496980" w14:textId="5C138105" w:rsidR="001B40D9" w:rsidRPr="009D04E0" w:rsidRDefault="001B40D9" w:rsidP="00532E73">
      <w:pPr>
        <w:keepNext/>
        <w:rPr>
          <w:rFonts w:ascii="Arial" w:hAnsi="Arial" w:cs="Arial"/>
          <w:b/>
          <w:bCs/>
          <w:caps/>
          <w:color w:val="000000"/>
          <w:sz w:val="20"/>
          <w:szCs w:val="20"/>
        </w:rPr>
      </w:pPr>
      <w:r w:rsidRPr="009D04E0">
        <w:rPr>
          <w:rFonts w:ascii="Arial" w:hAnsi="Arial" w:cs="Arial"/>
          <w:b/>
          <w:bCs/>
          <w:caps/>
          <w:color w:val="000000"/>
          <w:sz w:val="20"/>
          <w:szCs w:val="20"/>
        </w:rPr>
        <w:t>Operational update</w:t>
      </w:r>
    </w:p>
    <w:p w14:paraId="00E43946" w14:textId="42CB2DF7" w:rsidR="000E0366" w:rsidRDefault="000E0366" w:rsidP="00532E73">
      <w:pPr>
        <w:keepNext/>
        <w:autoSpaceDE w:val="0"/>
        <w:autoSpaceDN w:val="0"/>
        <w:spacing w:before="120" w:line="240" w:lineRule="atLeast"/>
        <w:jc w:val="both"/>
        <w:rPr>
          <w:rFonts w:ascii="Arial" w:hAnsi="Arial" w:cs="Arial"/>
          <w:b/>
          <w:sz w:val="20"/>
          <w:szCs w:val="20"/>
          <w:lang w:val="it-IT"/>
        </w:rPr>
      </w:pPr>
      <w:r>
        <w:rPr>
          <w:rFonts w:ascii="Arial" w:hAnsi="Arial" w:cs="Arial"/>
          <w:b/>
          <w:sz w:val="20"/>
          <w:szCs w:val="20"/>
          <w:lang w:val="it-IT"/>
        </w:rPr>
        <w:t>Chubut Concessions</w:t>
      </w:r>
    </w:p>
    <w:p w14:paraId="522BEB8B" w14:textId="0EF59829" w:rsidR="005063E5" w:rsidRDefault="005063E5" w:rsidP="00B76C56">
      <w:pPr>
        <w:widowControl w:val="0"/>
        <w:autoSpaceDE w:val="0"/>
        <w:autoSpaceDN w:val="0"/>
        <w:spacing w:before="120" w:line="240" w:lineRule="atLeast"/>
        <w:jc w:val="both"/>
        <w:rPr>
          <w:rFonts w:ascii="Arial" w:hAnsi="Arial" w:cs="Arial"/>
          <w:sz w:val="20"/>
          <w:szCs w:val="20"/>
        </w:rPr>
      </w:pPr>
      <w:r w:rsidRPr="005063E5">
        <w:rPr>
          <w:rFonts w:ascii="Arial" w:hAnsi="Arial" w:cs="Arial"/>
          <w:sz w:val="20"/>
          <w:szCs w:val="20"/>
        </w:rPr>
        <w:t xml:space="preserve">During Q4 2025, El </w:t>
      </w:r>
      <w:proofErr w:type="spellStart"/>
      <w:r w:rsidRPr="005063E5">
        <w:rPr>
          <w:rFonts w:ascii="Arial" w:hAnsi="Arial" w:cs="Arial"/>
          <w:sz w:val="20"/>
          <w:szCs w:val="20"/>
        </w:rPr>
        <w:t>Tordillo</w:t>
      </w:r>
      <w:proofErr w:type="spellEnd"/>
      <w:r w:rsidRPr="005063E5">
        <w:rPr>
          <w:rFonts w:ascii="Arial" w:hAnsi="Arial" w:cs="Arial"/>
          <w:sz w:val="20"/>
          <w:szCs w:val="20"/>
        </w:rPr>
        <w:t xml:space="preserve"> concession oil production averaged 4,244 (net 2,382) </w:t>
      </w:r>
      <w:proofErr w:type="spellStart"/>
      <w:r w:rsidRPr="005063E5">
        <w:rPr>
          <w:rFonts w:ascii="Arial" w:hAnsi="Arial" w:cs="Arial"/>
          <w:sz w:val="20"/>
          <w:szCs w:val="20"/>
        </w:rPr>
        <w:t>bbls</w:t>
      </w:r>
      <w:proofErr w:type="spellEnd"/>
      <w:r w:rsidRPr="005063E5">
        <w:rPr>
          <w:rFonts w:ascii="Arial" w:hAnsi="Arial" w:cs="Arial"/>
          <w:sz w:val="20"/>
          <w:szCs w:val="20"/>
        </w:rPr>
        <w:t xml:space="preserve"> of oil per day, La Tapera concession oil production averaged 43 (net 24) </w:t>
      </w:r>
      <w:proofErr w:type="spellStart"/>
      <w:r w:rsidRPr="005063E5">
        <w:rPr>
          <w:rFonts w:ascii="Arial" w:hAnsi="Arial" w:cs="Arial"/>
          <w:sz w:val="20"/>
          <w:szCs w:val="20"/>
        </w:rPr>
        <w:t>bbls</w:t>
      </w:r>
      <w:proofErr w:type="spellEnd"/>
      <w:r w:rsidRPr="005063E5">
        <w:rPr>
          <w:rFonts w:ascii="Arial" w:hAnsi="Arial" w:cs="Arial"/>
          <w:sz w:val="20"/>
          <w:szCs w:val="20"/>
        </w:rPr>
        <w:t xml:space="preserve"> of oil per day and Puesto Quiroga concession oil production averaged 172 (net 94) </w:t>
      </w:r>
      <w:proofErr w:type="spellStart"/>
      <w:r w:rsidRPr="005063E5">
        <w:rPr>
          <w:rFonts w:ascii="Arial" w:hAnsi="Arial" w:cs="Arial"/>
          <w:sz w:val="20"/>
          <w:szCs w:val="20"/>
        </w:rPr>
        <w:t>bbls</w:t>
      </w:r>
      <w:proofErr w:type="spellEnd"/>
      <w:r w:rsidRPr="005063E5">
        <w:rPr>
          <w:rFonts w:ascii="Arial" w:hAnsi="Arial" w:cs="Arial"/>
          <w:sz w:val="20"/>
          <w:szCs w:val="20"/>
        </w:rPr>
        <w:t xml:space="preserve"> of oil per day.  Natural gas production from </w:t>
      </w:r>
      <w:r w:rsidR="003E04B2">
        <w:rPr>
          <w:rFonts w:ascii="Arial" w:hAnsi="Arial" w:cs="Arial"/>
          <w:sz w:val="20"/>
          <w:szCs w:val="20"/>
        </w:rPr>
        <w:t xml:space="preserve">the </w:t>
      </w:r>
      <w:r w:rsidRPr="005063E5">
        <w:rPr>
          <w:rFonts w:ascii="Arial" w:hAnsi="Arial" w:cs="Arial"/>
          <w:sz w:val="20"/>
          <w:szCs w:val="20"/>
        </w:rPr>
        <w:t xml:space="preserve">El </w:t>
      </w:r>
      <w:proofErr w:type="spellStart"/>
      <w:r w:rsidRPr="005063E5">
        <w:rPr>
          <w:rFonts w:ascii="Arial" w:hAnsi="Arial" w:cs="Arial"/>
          <w:sz w:val="20"/>
          <w:szCs w:val="20"/>
        </w:rPr>
        <w:t>Tordillo</w:t>
      </w:r>
      <w:proofErr w:type="spellEnd"/>
      <w:r w:rsidRPr="005063E5">
        <w:rPr>
          <w:rFonts w:ascii="Arial" w:hAnsi="Arial" w:cs="Arial"/>
          <w:sz w:val="20"/>
          <w:szCs w:val="20"/>
        </w:rPr>
        <w:t xml:space="preserve"> concession averaged 2,120 (net 1,302) mcf per day.</w:t>
      </w:r>
    </w:p>
    <w:p w14:paraId="489DE032" w14:textId="15E6CBFA" w:rsidR="00B76C56" w:rsidRPr="00B76C56" w:rsidRDefault="00B76C56" w:rsidP="00B76C56">
      <w:pPr>
        <w:widowControl w:val="0"/>
        <w:autoSpaceDE w:val="0"/>
        <w:autoSpaceDN w:val="0"/>
        <w:spacing w:before="120" w:line="240" w:lineRule="atLeast"/>
        <w:jc w:val="both"/>
        <w:rPr>
          <w:rFonts w:ascii="Arial" w:hAnsi="Arial" w:cs="Arial"/>
          <w:b/>
          <w:sz w:val="20"/>
          <w:szCs w:val="20"/>
          <w:lang w:val="it-IT"/>
        </w:rPr>
      </w:pPr>
      <w:r w:rsidRPr="00B76C56">
        <w:rPr>
          <w:rFonts w:ascii="Arial" w:hAnsi="Arial" w:cs="Arial"/>
          <w:b/>
          <w:sz w:val="20"/>
          <w:szCs w:val="20"/>
          <w:lang w:val="it-IT"/>
        </w:rPr>
        <w:t>Santa Cruz Concessions</w:t>
      </w:r>
      <w:r>
        <w:rPr>
          <w:rFonts w:ascii="Arial" w:hAnsi="Arial" w:cs="Arial"/>
          <w:b/>
          <w:sz w:val="20"/>
          <w:szCs w:val="20"/>
          <w:lang w:val="it-IT"/>
        </w:rPr>
        <w:t xml:space="preserve"> </w:t>
      </w:r>
    </w:p>
    <w:p w14:paraId="686FB9B9" w14:textId="7EDB1131" w:rsidR="005063E5" w:rsidRDefault="005063E5" w:rsidP="004F58B8">
      <w:pPr>
        <w:widowControl w:val="0"/>
        <w:autoSpaceDE w:val="0"/>
        <w:autoSpaceDN w:val="0"/>
        <w:spacing w:before="120" w:line="240" w:lineRule="atLeast"/>
        <w:jc w:val="both"/>
        <w:rPr>
          <w:rFonts w:ascii="Arial" w:hAnsi="Arial" w:cs="Arial"/>
          <w:sz w:val="20"/>
          <w:szCs w:val="20"/>
        </w:rPr>
      </w:pPr>
      <w:r w:rsidRPr="005063E5">
        <w:rPr>
          <w:rFonts w:ascii="Arial" w:hAnsi="Arial" w:cs="Arial"/>
          <w:sz w:val="20"/>
          <w:szCs w:val="20"/>
        </w:rPr>
        <w:t xml:space="preserve">During Q4 2025, Piedra </w:t>
      </w:r>
      <w:proofErr w:type="spellStart"/>
      <w:r w:rsidRPr="005063E5">
        <w:rPr>
          <w:rFonts w:ascii="Arial" w:hAnsi="Arial" w:cs="Arial"/>
          <w:sz w:val="20"/>
          <w:szCs w:val="20"/>
        </w:rPr>
        <w:t>Clavada</w:t>
      </w:r>
      <w:proofErr w:type="spellEnd"/>
      <w:r w:rsidRPr="005063E5">
        <w:rPr>
          <w:rFonts w:ascii="Arial" w:hAnsi="Arial" w:cs="Arial"/>
          <w:sz w:val="20"/>
          <w:szCs w:val="20"/>
        </w:rPr>
        <w:t xml:space="preserve"> </w:t>
      </w:r>
      <w:r w:rsidR="003E04B2">
        <w:rPr>
          <w:rFonts w:ascii="Arial" w:hAnsi="Arial" w:cs="Arial"/>
          <w:sz w:val="20"/>
          <w:szCs w:val="20"/>
        </w:rPr>
        <w:t>c</w:t>
      </w:r>
      <w:r w:rsidRPr="005063E5">
        <w:rPr>
          <w:rFonts w:ascii="Arial" w:hAnsi="Arial" w:cs="Arial"/>
          <w:sz w:val="20"/>
          <w:szCs w:val="20"/>
        </w:rPr>
        <w:t xml:space="preserve">oncession oil production averaged 1,822 </w:t>
      </w:r>
      <w:proofErr w:type="spellStart"/>
      <w:r w:rsidRPr="005063E5">
        <w:rPr>
          <w:rFonts w:ascii="Arial" w:hAnsi="Arial" w:cs="Arial"/>
          <w:sz w:val="20"/>
          <w:szCs w:val="20"/>
        </w:rPr>
        <w:t>bbls</w:t>
      </w:r>
      <w:proofErr w:type="spellEnd"/>
      <w:r w:rsidRPr="005063E5">
        <w:rPr>
          <w:rFonts w:ascii="Arial" w:hAnsi="Arial" w:cs="Arial"/>
          <w:sz w:val="20"/>
          <w:szCs w:val="20"/>
        </w:rPr>
        <w:t xml:space="preserve"> of oil per day and </w:t>
      </w:r>
      <w:proofErr w:type="spellStart"/>
      <w:r w:rsidRPr="005063E5">
        <w:rPr>
          <w:rFonts w:ascii="Arial" w:hAnsi="Arial" w:cs="Arial"/>
          <w:sz w:val="20"/>
          <w:szCs w:val="20"/>
        </w:rPr>
        <w:t>Koluel</w:t>
      </w:r>
      <w:proofErr w:type="spellEnd"/>
      <w:r w:rsidRPr="005063E5">
        <w:rPr>
          <w:rFonts w:ascii="Arial" w:hAnsi="Arial" w:cs="Arial"/>
          <w:sz w:val="20"/>
          <w:szCs w:val="20"/>
        </w:rPr>
        <w:t xml:space="preserve"> Kaike concession oil production averaged 818 </w:t>
      </w:r>
      <w:proofErr w:type="spellStart"/>
      <w:r w:rsidRPr="005063E5">
        <w:rPr>
          <w:rFonts w:ascii="Arial" w:hAnsi="Arial" w:cs="Arial"/>
          <w:sz w:val="20"/>
          <w:szCs w:val="20"/>
        </w:rPr>
        <w:t>bbls</w:t>
      </w:r>
      <w:proofErr w:type="spellEnd"/>
      <w:r w:rsidRPr="005063E5">
        <w:rPr>
          <w:rFonts w:ascii="Arial" w:hAnsi="Arial" w:cs="Arial"/>
          <w:sz w:val="20"/>
          <w:szCs w:val="20"/>
        </w:rPr>
        <w:t xml:space="preserve"> of oil per day. During Q4 2025, the Company performed a workover on an oil well. </w:t>
      </w:r>
    </w:p>
    <w:p w14:paraId="17A00BEB" w14:textId="2F529035" w:rsidR="004F58B8" w:rsidRPr="009D04E0" w:rsidRDefault="00083073" w:rsidP="004F58B8">
      <w:pPr>
        <w:widowControl w:val="0"/>
        <w:autoSpaceDE w:val="0"/>
        <w:autoSpaceDN w:val="0"/>
        <w:spacing w:before="120" w:line="240" w:lineRule="atLeast"/>
        <w:jc w:val="both"/>
        <w:rPr>
          <w:rFonts w:ascii="Arial" w:hAnsi="Arial" w:cs="Arial"/>
          <w:b/>
          <w:sz w:val="20"/>
          <w:szCs w:val="20"/>
          <w:lang w:val="it-IT"/>
        </w:rPr>
      </w:pPr>
      <w:r w:rsidRPr="009D04E0">
        <w:rPr>
          <w:rFonts w:ascii="Arial" w:hAnsi="Arial" w:cs="Arial"/>
          <w:b/>
          <w:sz w:val="20"/>
          <w:szCs w:val="20"/>
          <w:lang w:val="it-IT"/>
        </w:rPr>
        <w:t xml:space="preserve">Tierra del Fuego </w:t>
      </w:r>
      <w:r w:rsidR="004F58B8" w:rsidRPr="009D04E0">
        <w:rPr>
          <w:rFonts w:ascii="Arial" w:hAnsi="Arial" w:cs="Arial"/>
          <w:b/>
          <w:sz w:val="20"/>
          <w:szCs w:val="20"/>
          <w:lang w:val="it-IT"/>
        </w:rPr>
        <w:t>Concessions</w:t>
      </w:r>
      <w:r w:rsidR="009D04E0">
        <w:rPr>
          <w:rFonts w:ascii="Arial" w:hAnsi="Arial" w:cs="Arial"/>
          <w:b/>
          <w:sz w:val="20"/>
          <w:szCs w:val="20"/>
          <w:lang w:val="it-IT"/>
        </w:rPr>
        <w:t xml:space="preserve"> </w:t>
      </w:r>
      <w:r w:rsidR="009D04E0" w:rsidRPr="009D04E0">
        <w:rPr>
          <w:rFonts w:ascii="Arial" w:hAnsi="Arial" w:cs="Arial"/>
          <w:b/>
          <w:sz w:val="20"/>
          <w:szCs w:val="20"/>
          <w:lang w:val="it-IT"/>
        </w:rPr>
        <w:t>(</w:t>
      </w:r>
      <w:r w:rsidR="00294150" w:rsidRPr="00294150">
        <w:rPr>
          <w:rFonts w:ascii="Arial" w:hAnsi="Arial" w:cs="Arial"/>
          <w:b/>
          <w:sz w:val="20"/>
          <w:szCs w:val="20"/>
          <w:lang w:val="it-IT"/>
        </w:rPr>
        <w:t>“</w:t>
      </w:r>
      <w:r w:rsidR="009D04E0">
        <w:rPr>
          <w:rFonts w:ascii="Arial" w:hAnsi="Arial" w:cs="Arial"/>
          <w:b/>
          <w:sz w:val="20"/>
          <w:szCs w:val="20"/>
          <w:lang w:val="it-IT"/>
        </w:rPr>
        <w:t>TDF Concessions</w:t>
      </w:r>
      <w:r w:rsidR="00294150" w:rsidRPr="00294150">
        <w:rPr>
          <w:rFonts w:ascii="Arial" w:hAnsi="Arial" w:cs="Arial"/>
          <w:b/>
          <w:sz w:val="20"/>
          <w:szCs w:val="20"/>
          <w:lang w:val="it-IT"/>
        </w:rPr>
        <w:t>”</w:t>
      </w:r>
      <w:r w:rsidR="009D04E0" w:rsidRPr="009D04E0">
        <w:rPr>
          <w:rFonts w:ascii="Arial" w:hAnsi="Arial" w:cs="Arial"/>
          <w:b/>
          <w:sz w:val="20"/>
          <w:szCs w:val="20"/>
          <w:lang w:val="it-IT"/>
        </w:rPr>
        <w:t xml:space="preserve">) </w:t>
      </w:r>
    </w:p>
    <w:p w14:paraId="642AEB1B" w14:textId="77777777" w:rsidR="005063E5" w:rsidRDefault="005063E5" w:rsidP="004F58B8">
      <w:pPr>
        <w:widowControl w:val="0"/>
        <w:autoSpaceDE w:val="0"/>
        <w:autoSpaceDN w:val="0"/>
        <w:spacing w:before="120" w:line="240" w:lineRule="atLeast"/>
        <w:jc w:val="both"/>
        <w:rPr>
          <w:rFonts w:ascii="Arial" w:hAnsi="Arial" w:cs="Arial"/>
          <w:sz w:val="20"/>
          <w:szCs w:val="20"/>
        </w:rPr>
      </w:pPr>
      <w:r w:rsidRPr="005063E5">
        <w:rPr>
          <w:rFonts w:ascii="Arial" w:hAnsi="Arial" w:cs="Arial"/>
          <w:sz w:val="20"/>
          <w:szCs w:val="20"/>
        </w:rPr>
        <w:t xml:space="preserve">During Q4 2025, San Martin oil production averaged 354 (net 171) </w:t>
      </w:r>
      <w:proofErr w:type="spellStart"/>
      <w:r w:rsidRPr="005063E5">
        <w:rPr>
          <w:rFonts w:ascii="Arial" w:hAnsi="Arial" w:cs="Arial"/>
          <w:sz w:val="20"/>
          <w:szCs w:val="20"/>
        </w:rPr>
        <w:t>bbls</w:t>
      </w:r>
      <w:proofErr w:type="spellEnd"/>
      <w:r w:rsidRPr="005063E5">
        <w:rPr>
          <w:rFonts w:ascii="Arial" w:hAnsi="Arial" w:cs="Arial"/>
          <w:sz w:val="20"/>
          <w:szCs w:val="20"/>
        </w:rPr>
        <w:t xml:space="preserve"> of oil per day; Las Violetas concession natural gas production averaged 7,749 (net 3,745) mcf per day and associated oil production averaged 186 (net 90) </w:t>
      </w:r>
      <w:proofErr w:type="spellStart"/>
      <w:r w:rsidRPr="005063E5">
        <w:rPr>
          <w:rFonts w:ascii="Arial" w:hAnsi="Arial" w:cs="Arial"/>
          <w:sz w:val="20"/>
          <w:szCs w:val="20"/>
        </w:rPr>
        <w:t>bbls</w:t>
      </w:r>
      <w:proofErr w:type="spellEnd"/>
      <w:r w:rsidRPr="005063E5">
        <w:rPr>
          <w:rFonts w:ascii="Arial" w:hAnsi="Arial" w:cs="Arial"/>
          <w:sz w:val="20"/>
          <w:szCs w:val="20"/>
        </w:rPr>
        <w:t xml:space="preserve"> of oil per day.</w:t>
      </w:r>
    </w:p>
    <w:p w14:paraId="3E64FCB2" w14:textId="2FC2EDD6" w:rsidR="004F58B8" w:rsidRPr="009D04E0" w:rsidRDefault="004F58B8" w:rsidP="004F58B8">
      <w:pPr>
        <w:widowControl w:val="0"/>
        <w:autoSpaceDE w:val="0"/>
        <w:autoSpaceDN w:val="0"/>
        <w:spacing w:before="120" w:line="240" w:lineRule="atLeast"/>
        <w:jc w:val="both"/>
        <w:rPr>
          <w:rFonts w:ascii="Arial" w:hAnsi="Arial" w:cs="Arial"/>
          <w:b/>
          <w:sz w:val="20"/>
          <w:szCs w:val="20"/>
          <w:lang w:val="it-IT"/>
        </w:rPr>
      </w:pPr>
      <w:r w:rsidRPr="009D04E0">
        <w:rPr>
          <w:rFonts w:ascii="Arial" w:hAnsi="Arial" w:cs="Arial"/>
          <w:b/>
          <w:sz w:val="20"/>
          <w:szCs w:val="20"/>
          <w:lang w:val="it-IT"/>
        </w:rPr>
        <w:t>Mendoza Concessions</w:t>
      </w:r>
      <w:r w:rsidRPr="009D04E0">
        <w:rPr>
          <w:rFonts w:ascii="Arial" w:hAnsi="Arial" w:cs="Arial"/>
          <w:b/>
          <w:sz w:val="20"/>
          <w:szCs w:val="20"/>
          <w:lang w:val="it-IT"/>
        </w:rPr>
        <w:tab/>
      </w:r>
    </w:p>
    <w:p w14:paraId="603E5DE2" w14:textId="3D803E44" w:rsidR="005063E5" w:rsidRDefault="005063E5" w:rsidP="009825E3">
      <w:pPr>
        <w:pStyle w:val="Ne4"/>
        <w:widowControl w:val="0"/>
        <w:spacing w:before="240" w:line="240" w:lineRule="atLeast"/>
        <w:ind w:left="0"/>
        <w:rPr>
          <w:rFonts w:cs="Arial"/>
          <w:bCs/>
          <w:lang w:val="it-IT"/>
        </w:rPr>
      </w:pPr>
      <w:r w:rsidRPr="005063E5">
        <w:rPr>
          <w:rFonts w:cs="Arial"/>
          <w:bCs/>
          <w:lang w:val="it-IT"/>
        </w:rPr>
        <w:t>Oil</w:t>
      </w:r>
      <w:r>
        <w:rPr>
          <w:rFonts w:cs="Arial"/>
          <w:bCs/>
          <w:lang w:val="it-IT"/>
        </w:rPr>
        <w:t xml:space="preserve"> </w:t>
      </w:r>
      <w:r w:rsidRPr="005063E5">
        <w:rPr>
          <w:rFonts w:cs="Arial"/>
          <w:bCs/>
          <w:lang w:val="it-IT"/>
        </w:rPr>
        <w:t>production for Q4 2025 averaged 866 (net 433) bbls of oil per day from the CH Concession and 142 (net 71) bbls of oil per day from the PPCO Concession. During Q4 2025, the Company performed workovers on two oil producing wells in the CH Concession.</w:t>
      </w:r>
    </w:p>
    <w:p w14:paraId="6D4BBB4B" w14:textId="11576159" w:rsidR="009825E3" w:rsidRPr="009D04E0" w:rsidRDefault="009825E3" w:rsidP="009825E3">
      <w:pPr>
        <w:pStyle w:val="Ne4"/>
        <w:widowControl w:val="0"/>
        <w:spacing w:before="240" w:line="240" w:lineRule="atLeast"/>
        <w:ind w:left="0"/>
        <w:rPr>
          <w:rFonts w:cs="Arial"/>
        </w:rPr>
      </w:pPr>
      <w:r w:rsidRPr="009D04E0">
        <w:rPr>
          <w:rFonts w:cs="Arial"/>
          <w:b/>
        </w:rPr>
        <w:t>OUTLOOK</w:t>
      </w:r>
    </w:p>
    <w:p w14:paraId="7C28B336" w14:textId="0B6A9631" w:rsidR="009825E3" w:rsidRPr="00B76C56" w:rsidRDefault="00042E43" w:rsidP="00F439AE">
      <w:pPr>
        <w:pStyle w:val="HTMLPreformatted"/>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line="240" w:lineRule="atLeast"/>
        <w:rPr>
          <w:rFonts w:ascii="Arial" w:hAnsi="Arial" w:cs="Arial"/>
          <w:bCs/>
          <w:szCs w:val="20"/>
        </w:rPr>
      </w:pPr>
      <w:r w:rsidRPr="00B76C56">
        <w:rPr>
          <w:rFonts w:ascii="Arial" w:hAnsi="Arial" w:cs="Arial"/>
          <w:bCs/>
          <w:szCs w:val="20"/>
        </w:rPr>
        <w:t>The Company’s capital spending for fiscal 202</w:t>
      </w:r>
      <w:r w:rsidR="0014148B">
        <w:rPr>
          <w:rFonts w:ascii="Arial" w:hAnsi="Arial" w:cs="Arial"/>
          <w:bCs/>
          <w:szCs w:val="20"/>
        </w:rPr>
        <w:t>6</w:t>
      </w:r>
      <w:r w:rsidRPr="00B76C56">
        <w:rPr>
          <w:rFonts w:ascii="Arial" w:hAnsi="Arial" w:cs="Arial"/>
          <w:bCs/>
          <w:szCs w:val="20"/>
        </w:rPr>
        <w:t xml:space="preserve"> is budgeted at approximately $</w:t>
      </w:r>
      <w:r w:rsidR="005063E5">
        <w:rPr>
          <w:rFonts w:ascii="Arial" w:hAnsi="Arial" w:cs="Arial"/>
          <w:szCs w:val="20"/>
        </w:rPr>
        <w:t>77</w:t>
      </w:r>
      <w:r w:rsidR="0014148B" w:rsidRPr="00B76C56">
        <w:rPr>
          <w:rFonts w:ascii="Arial" w:hAnsi="Arial" w:cs="Arial"/>
          <w:szCs w:val="20"/>
        </w:rPr>
        <w:t xml:space="preserve"> </w:t>
      </w:r>
      <w:r w:rsidRPr="00B76C56">
        <w:rPr>
          <w:rFonts w:ascii="Arial" w:hAnsi="Arial" w:cs="Arial"/>
          <w:bCs/>
          <w:szCs w:val="20"/>
        </w:rPr>
        <w:t>million</w:t>
      </w:r>
      <w:r w:rsidR="009F1003">
        <w:rPr>
          <w:rFonts w:ascii="Arial" w:hAnsi="Arial" w:cs="Arial"/>
          <w:bCs/>
          <w:szCs w:val="20"/>
        </w:rPr>
        <w:t>,</w:t>
      </w:r>
      <w:r w:rsidRPr="00B76C56">
        <w:rPr>
          <w:rFonts w:ascii="Arial" w:hAnsi="Arial" w:cs="Arial"/>
          <w:bCs/>
          <w:szCs w:val="20"/>
        </w:rPr>
        <w:t xml:space="preserve"> of which</w:t>
      </w:r>
      <w:r w:rsidR="005E3798">
        <w:rPr>
          <w:rFonts w:ascii="Arial" w:hAnsi="Arial" w:cs="Arial"/>
          <w:bCs/>
          <w:szCs w:val="20"/>
        </w:rPr>
        <w:t>:</w:t>
      </w:r>
      <w:r w:rsidR="00B76C56" w:rsidRPr="00B76C56">
        <w:rPr>
          <w:rFonts w:ascii="Arial" w:hAnsi="Arial" w:cs="Arial"/>
          <w:bCs/>
          <w:szCs w:val="20"/>
        </w:rPr>
        <w:t xml:space="preserve"> </w:t>
      </w:r>
      <w:r w:rsidR="00B76C56" w:rsidRPr="00B76C56">
        <w:rPr>
          <w:rFonts w:ascii="Arial" w:hAnsi="Arial"/>
          <w:color w:val="000000" w:themeColor="text1"/>
        </w:rPr>
        <w:t>$</w:t>
      </w:r>
      <w:r w:rsidR="005063E5">
        <w:rPr>
          <w:rFonts w:ascii="Arial" w:hAnsi="Arial" w:cs="Arial"/>
          <w:szCs w:val="20"/>
        </w:rPr>
        <w:t xml:space="preserve">44.7 </w:t>
      </w:r>
      <w:r w:rsidR="00B76C56" w:rsidRPr="00B76C56">
        <w:rPr>
          <w:rFonts w:ascii="Arial" w:hAnsi="Arial"/>
          <w:color w:val="000000" w:themeColor="text1"/>
        </w:rPr>
        <w:t xml:space="preserve">million </w:t>
      </w:r>
      <w:r w:rsidR="00376445">
        <w:rPr>
          <w:rFonts w:ascii="Arial" w:hAnsi="Arial"/>
          <w:color w:val="000000" w:themeColor="text1"/>
        </w:rPr>
        <w:t xml:space="preserve">is allocated </w:t>
      </w:r>
      <w:r w:rsidR="00FD5B0D">
        <w:rPr>
          <w:rFonts w:ascii="Arial" w:hAnsi="Arial"/>
          <w:color w:val="000000" w:themeColor="text1"/>
        </w:rPr>
        <w:t xml:space="preserve">to </w:t>
      </w:r>
      <w:r w:rsidR="00B76C56" w:rsidRPr="00B76C56">
        <w:rPr>
          <w:rFonts w:ascii="Arial" w:hAnsi="Arial"/>
          <w:color w:val="000000" w:themeColor="text1"/>
        </w:rPr>
        <w:t xml:space="preserve">the </w:t>
      </w:r>
      <w:r w:rsidR="0014148B">
        <w:rPr>
          <w:rFonts w:ascii="Arial" w:hAnsi="Arial"/>
          <w:color w:val="000000" w:themeColor="text1"/>
        </w:rPr>
        <w:t xml:space="preserve">Chubut Concessions </w:t>
      </w:r>
      <w:r w:rsidR="00720776">
        <w:rPr>
          <w:rFonts w:ascii="Arial" w:hAnsi="Arial"/>
          <w:color w:val="000000" w:themeColor="text1"/>
        </w:rPr>
        <w:t xml:space="preserve">for </w:t>
      </w:r>
      <w:r w:rsidR="005063E5" w:rsidRPr="000D310E">
        <w:rPr>
          <w:rFonts w:ascii="Arial" w:hAnsi="Arial"/>
          <w:color w:val="000000" w:themeColor="text1"/>
        </w:rPr>
        <w:t>well workovers</w:t>
      </w:r>
      <w:r w:rsidR="00720776">
        <w:rPr>
          <w:rFonts w:ascii="Arial" w:hAnsi="Arial"/>
          <w:color w:val="000000" w:themeColor="text1"/>
        </w:rPr>
        <w:t xml:space="preserve">, </w:t>
      </w:r>
      <w:r w:rsidR="005063E5" w:rsidRPr="000D310E">
        <w:rPr>
          <w:rFonts w:ascii="Arial" w:hAnsi="Arial"/>
          <w:color w:val="000000" w:themeColor="text1"/>
        </w:rPr>
        <w:t xml:space="preserve">facilities improvements </w:t>
      </w:r>
      <w:r w:rsidR="00720776">
        <w:rPr>
          <w:rFonts w:ascii="Arial" w:hAnsi="Arial"/>
          <w:color w:val="000000" w:themeColor="text1"/>
        </w:rPr>
        <w:t>and</w:t>
      </w:r>
      <w:r w:rsidR="005063E5" w:rsidRPr="000D310E">
        <w:rPr>
          <w:rFonts w:ascii="Arial" w:hAnsi="Arial"/>
          <w:color w:val="000000" w:themeColor="text1"/>
        </w:rPr>
        <w:t xml:space="preserve"> a drilling campaign comprised of 8 wells</w:t>
      </w:r>
      <w:r w:rsidR="005E3798">
        <w:rPr>
          <w:rFonts w:ascii="Arial" w:hAnsi="Arial" w:cs="Arial"/>
          <w:szCs w:val="20"/>
        </w:rPr>
        <w:t>;</w:t>
      </w:r>
      <w:r w:rsidR="0014148B">
        <w:rPr>
          <w:rFonts w:ascii="Arial" w:hAnsi="Arial" w:cs="Arial"/>
          <w:szCs w:val="20"/>
        </w:rPr>
        <w:t xml:space="preserve"> </w:t>
      </w:r>
      <w:r w:rsidR="0014148B" w:rsidRPr="00B76C56">
        <w:rPr>
          <w:rFonts w:ascii="Arial" w:hAnsi="Arial"/>
          <w:color w:val="000000" w:themeColor="text1"/>
        </w:rPr>
        <w:t>$</w:t>
      </w:r>
      <w:r w:rsidR="005063E5">
        <w:rPr>
          <w:rFonts w:ascii="Arial" w:hAnsi="Arial" w:cs="Arial"/>
          <w:szCs w:val="20"/>
        </w:rPr>
        <w:t xml:space="preserve">29 </w:t>
      </w:r>
      <w:r w:rsidR="0014148B" w:rsidRPr="00B76C56">
        <w:rPr>
          <w:rFonts w:ascii="Arial" w:hAnsi="Arial"/>
          <w:color w:val="000000" w:themeColor="text1"/>
        </w:rPr>
        <w:t xml:space="preserve">million </w:t>
      </w:r>
      <w:r w:rsidR="0014148B">
        <w:rPr>
          <w:rFonts w:ascii="Arial" w:hAnsi="Arial"/>
          <w:color w:val="000000" w:themeColor="text1"/>
        </w:rPr>
        <w:t xml:space="preserve">is allocated to </w:t>
      </w:r>
      <w:r w:rsidR="0014148B" w:rsidRPr="00B76C56">
        <w:rPr>
          <w:rFonts w:ascii="Arial" w:hAnsi="Arial"/>
          <w:color w:val="000000" w:themeColor="text1"/>
        </w:rPr>
        <w:t xml:space="preserve">the </w:t>
      </w:r>
      <w:r w:rsidR="00B76C56" w:rsidRPr="00B76C56">
        <w:rPr>
          <w:rFonts w:ascii="Arial" w:hAnsi="Arial"/>
          <w:color w:val="000000" w:themeColor="text1"/>
        </w:rPr>
        <w:t xml:space="preserve">Santa Cruz Concessions for </w:t>
      </w:r>
      <w:r w:rsidR="00720776" w:rsidRPr="000D310E">
        <w:rPr>
          <w:rFonts w:ascii="Arial" w:hAnsi="Arial"/>
          <w:color w:val="000000" w:themeColor="text1"/>
        </w:rPr>
        <w:t>well workovers</w:t>
      </w:r>
      <w:r w:rsidR="00720776">
        <w:rPr>
          <w:rFonts w:ascii="Arial" w:hAnsi="Arial"/>
          <w:color w:val="000000" w:themeColor="text1"/>
        </w:rPr>
        <w:t xml:space="preserve">, </w:t>
      </w:r>
      <w:r w:rsidR="00720776" w:rsidRPr="000D310E">
        <w:rPr>
          <w:rFonts w:ascii="Arial" w:hAnsi="Arial"/>
          <w:color w:val="000000" w:themeColor="text1"/>
        </w:rPr>
        <w:t xml:space="preserve">facilities improvements </w:t>
      </w:r>
      <w:r w:rsidR="00720776">
        <w:rPr>
          <w:rFonts w:ascii="Arial" w:hAnsi="Arial"/>
          <w:color w:val="000000" w:themeColor="text1"/>
        </w:rPr>
        <w:t>and</w:t>
      </w:r>
      <w:r w:rsidR="00720776" w:rsidRPr="000D310E">
        <w:rPr>
          <w:rFonts w:ascii="Arial" w:hAnsi="Arial"/>
          <w:color w:val="000000" w:themeColor="text1"/>
        </w:rPr>
        <w:t xml:space="preserve"> a drilling campaign comprised of </w:t>
      </w:r>
      <w:r w:rsidR="00720776">
        <w:rPr>
          <w:rFonts w:ascii="Arial" w:hAnsi="Arial"/>
          <w:color w:val="000000" w:themeColor="text1"/>
        </w:rPr>
        <w:t>5</w:t>
      </w:r>
      <w:r w:rsidR="00720776" w:rsidRPr="000D310E">
        <w:rPr>
          <w:rFonts w:ascii="Arial" w:hAnsi="Arial"/>
          <w:color w:val="000000" w:themeColor="text1"/>
        </w:rPr>
        <w:t xml:space="preserve"> wells</w:t>
      </w:r>
      <w:r w:rsidR="005E3798">
        <w:rPr>
          <w:rFonts w:ascii="Arial" w:hAnsi="Arial" w:cs="Arial"/>
          <w:szCs w:val="20"/>
        </w:rPr>
        <w:t>;</w:t>
      </w:r>
      <w:r w:rsidR="00B76C56" w:rsidRPr="00B76C56">
        <w:rPr>
          <w:rFonts w:ascii="Arial" w:hAnsi="Arial"/>
          <w:color w:val="000000" w:themeColor="text1"/>
        </w:rPr>
        <w:t xml:space="preserve"> </w:t>
      </w:r>
      <w:r w:rsidR="0014148B" w:rsidRPr="00B76C56">
        <w:rPr>
          <w:rFonts w:ascii="Arial" w:hAnsi="Arial"/>
          <w:color w:val="000000" w:themeColor="text1"/>
        </w:rPr>
        <w:t>$</w:t>
      </w:r>
      <w:r w:rsidR="005063E5">
        <w:rPr>
          <w:rFonts w:ascii="Arial" w:hAnsi="Arial" w:cs="Arial"/>
          <w:szCs w:val="20"/>
        </w:rPr>
        <w:t>1.3</w:t>
      </w:r>
      <w:r w:rsidR="0014148B" w:rsidRPr="00B76C56">
        <w:rPr>
          <w:rFonts w:ascii="Arial" w:hAnsi="Arial" w:cs="Arial"/>
          <w:szCs w:val="20"/>
        </w:rPr>
        <w:t xml:space="preserve"> </w:t>
      </w:r>
      <w:r w:rsidR="0014148B" w:rsidRPr="00B76C56">
        <w:rPr>
          <w:rFonts w:ascii="Arial" w:hAnsi="Arial"/>
          <w:color w:val="000000" w:themeColor="text1"/>
        </w:rPr>
        <w:t xml:space="preserve">million </w:t>
      </w:r>
      <w:r w:rsidR="0014148B">
        <w:rPr>
          <w:rFonts w:ascii="Arial" w:hAnsi="Arial"/>
          <w:color w:val="000000" w:themeColor="text1"/>
        </w:rPr>
        <w:t xml:space="preserve">is allocated to </w:t>
      </w:r>
      <w:r w:rsidR="0014148B" w:rsidRPr="00B76C56">
        <w:rPr>
          <w:rFonts w:ascii="Arial" w:hAnsi="Arial"/>
          <w:color w:val="000000" w:themeColor="text1"/>
        </w:rPr>
        <w:t xml:space="preserve">the </w:t>
      </w:r>
      <w:r w:rsidR="0014148B">
        <w:rPr>
          <w:rFonts w:ascii="Arial" w:hAnsi="Arial"/>
          <w:color w:val="000000" w:themeColor="text1"/>
        </w:rPr>
        <w:t>Mendoza</w:t>
      </w:r>
      <w:r w:rsidR="0014148B" w:rsidRPr="00B76C56">
        <w:rPr>
          <w:rFonts w:ascii="Arial" w:hAnsi="Arial"/>
          <w:color w:val="000000" w:themeColor="text1"/>
        </w:rPr>
        <w:t xml:space="preserve"> Concessions for </w:t>
      </w:r>
      <w:r w:rsidR="00720776" w:rsidRPr="000D310E">
        <w:rPr>
          <w:rFonts w:ascii="Arial" w:hAnsi="Arial"/>
          <w:color w:val="000000" w:themeColor="text1"/>
        </w:rPr>
        <w:t>well workovers</w:t>
      </w:r>
      <w:r w:rsidR="00720776">
        <w:rPr>
          <w:rFonts w:ascii="Arial" w:hAnsi="Arial"/>
          <w:color w:val="000000" w:themeColor="text1"/>
        </w:rPr>
        <w:t xml:space="preserve"> and </w:t>
      </w:r>
      <w:r w:rsidR="00720776" w:rsidRPr="000D310E">
        <w:rPr>
          <w:rFonts w:ascii="Arial" w:hAnsi="Arial"/>
          <w:color w:val="000000" w:themeColor="text1"/>
        </w:rPr>
        <w:t>facilities improvements</w:t>
      </w:r>
      <w:r w:rsidR="005E3798">
        <w:rPr>
          <w:rFonts w:ascii="Arial" w:hAnsi="Arial" w:cs="Arial"/>
          <w:bCs/>
          <w:szCs w:val="20"/>
        </w:rPr>
        <w:t>;</w:t>
      </w:r>
      <w:r w:rsidRPr="00B76C56">
        <w:rPr>
          <w:rFonts w:ascii="Arial" w:hAnsi="Arial" w:cs="Arial"/>
          <w:bCs/>
          <w:szCs w:val="20"/>
        </w:rPr>
        <w:t xml:space="preserve"> </w:t>
      </w:r>
      <w:r w:rsidR="0014148B" w:rsidRPr="00B76C56">
        <w:rPr>
          <w:rFonts w:ascii="Arial" w:hAnsi="Arial"/>
          <w:color w:val="000000" w:themeColor="text1"/>
        </w:rPr>
        <w:t>$</w:t>
      </w:r>
      <w:r w:rsidR="005063E5">
        <w:rPr>
          <w:rFonts w:ascii="Arial" w:hAnsi="Arial"/>
          <w:color w:val="000000" w:themeColor="text1"/>
        </w:rPr>
        <w:t>1.2</w:t>
      </w:r>
      <w:r w:rsidR="0014148B" w:rsidRPr="00B76C56">
        <w:rPr>
          <w:rFonts w:ascii="Arial" w:hAnsi="Arial" w:cs="Arial"/>
          <w:szCs w:val="20"/>
        </w:rPr>
        <w:t xml:space="preserve"> </w:t>
      </w:r>
      <w:r w:rsidR="0014148B" w:rsidRPr="00B76C56">
        <w:rPr>
          <w:rFonts w:ascii="Arial" w:hAnsi="Arial"/>
          <w:color w:val="000000" w:themeColor="text1"/>
        </w:rPr>
        <w:t xml:space="preserve">million </w:t>
      </w:r>
      <w:r w:rsidR="0014148B">
        <w:rPr>
          <w:rFonts w:ascii="Arial" w:hAnsi="Arial"/>
          <w:color w:val="000000" w:themeColor="text1"/>
        </w:rPr>
        <w:t xml:space="preserve">is allocated to </w:t>
      </w:r>
      <w:r w:rsidR="0014148B" w:rsidRPr="00B76C56">
        <w:rPr>
          <w:rFonts w:ascii="Arial" w:hAnsi="Arial"/>
          <w:color w:val="000000" w:themeColor="text1"/>
        </w:rPr>
        <w:t xml:space="preserve">the </w:t>
      </w:r>
      <w:r w:rsidR="0014148B">
        <w:rPr>
          <w:rFonts w:ascii="Arial" w:hAnsi="Arial"/>
          <w:color w:val="000000" w:themeColor="text1"/>
        </w:rPr>
        <w:t>TDF</w:t>
      </w:r>
      <w:r w:rsidR="0014148B" w:rsidRPr="00B76C56">
        <w:rPr>
          <w:rFonts w:ascii="Arial" w:hAnsi="Arial"/>
          <w:color w:val="000000" w:themeColor="text1"/>
        </w:rPr>
        <w:t xml:space="preserve"> Concessions for </w:t>
      </w:r>
      <w:r w:rsidR="00720776">
        <w:rPr>
          <w:rFonts w:ascii="Arial" w:hAnsi="Arial" w:cs="Arial"/>
          <w:szCs w:val="20"/>
        </w:rPr>
        <w:t xml:space="preserve">the </w:t>
      </w:r>
      <w:r w:rsidR="00904EA2">
        <w:rPr>
          <w:rFonts w:ascii="Arial" w:hAnsi="Arial" w:cs="Arial"/>
          <w:szCs w:val="20"/>
        </w:rPr>
        <w:t xml:space="preserve">anticipated </w:t>
      </w:r>
      <w:r w:rsidR="00720776">
        <w:rPr>
          <w:rFonts w:ascii="Arial" w:hAnsi="Arial" w:cs="Arial"/>
          <w:szCs w:val="20"/>
        </w:rPr>
        <w:t>extension fee</w:t>
      </w:r>
      <w:r w:rsidR="005E3798">
        <w:rPr>
          <w:rFonts w:ascii="Arial" w:hAnsi="Arial" w:cs="Arial"/>
          <w:bCs/>
          <w:szCs w:val="20"/>
        </w:rPr>
        <w:t>;</w:t>
      </w:r>
      <w:r w:rsidR="00376445">
        <w:rPr>
          <w:rFonts w:ascii="Arial" w:hAnsi="Arial" w:cs="Arial"/>
          <w:bCs/>
          <w:szCs w:val="20"/>
        </w:rPr>
        <w:t xml:space="preserve"> and </w:t>
      </w:r>
      <w:r w:rsidR="0014148B" w:rsidRPr="00B76C56">
        <w:rPr>
          <w:rFonts w:ascii="Arial" w:hAnsi="Arial"/>
          <w:color w:val="000000" w:themeColor="text1"/>
        </w:rPr>
        <w:t>$</w:t>
      </w:r>
      <w:r w:rsidR="005063E5">
        <w:rPr>
          <w:rFonts w:ascii="Arial" w:hAnsi="Arial" w:cs="Arial"/>
          <w:szCs w:val="20"/>
        </w:rPr>
        <w:t>0.8</w:t>
      </w:r>
      <w:r w:rsidR="0014148B" w:rsidRPr="00B76C56">
        <w:rPr>
          <w:rFonts w:ascii="Arial" w:hAnsi="Arial" w:cs="Arial"/>
          <w:szCs w:val="20"/>
        </w:rPr>
        <w:t xml:space="preserve"> </w:t>
      </w:r>
      <w:r w:rsidR="0014148B" w:rsidRPr="00B76C56">
        <w:rPr>
          <w:rFonts w:ascii="Arial" w:hAnsi="Arial"/>
          <w:color w:val="000000" w:themeColor="text1"/>
        </w:rPr>
        <w:t xml:space="preserve">million </w:t>
      </w:r>
      <w:r w:rsidR="0014148B">
        <w:rPr>
          <w:rFonts w:ascii="Arial" w:hAnsi="Arial"/>
          <w:color w:val="000000" w:themeColor="text1"/>
        </w:rPr>
        <w:t xml:space="preserve">is allocated to </w:t>
      </w:r>
      <w:r w:rsidR="0014148B" w:rsidRPr="00B76C56">
        <w:rPr>
          <w:rFonts w:ascii="Arial" w:hAnsi="Arial"/>
          <w:color w:val="000000" w:themeColor="text1"/>
        </w:rPr>
        <w:t xml:space="preserve">the </w:t>
      </w:r>
      <w:r w:rsidR="0014148B">
        <w:rPr>
          <w:rFonts w:ascii="Arial" w:hAnsi="Arial"/>
          <w:color w:val="000000" w:themeColor="text1"/>
        </w:rPr>
        <w:t>Cerro de Los Leones Concession</w:t>
      </w:r>
      <w:r w:rsidR="0014148B" w:rsidRPr="00B76C56">
        <w:rPr>
          <w:rFonts w:ascii="Arial" w:hAnsi="Arial"/>
          <w:color w:val="000000" w:themeColor="text1"/>
        </w:rPr>
        <w:t xml:space="preserve"> for</w:t>
      </w:r>
      <w:r w:rsidR="00720776">
        <w:rPr>
          <w:rFonts w:ascii="Arial" w:hAnsi="Arial"/>
          <w:color w:val="000000" w:themeColor="text1"/>
        </w:rPr>
        <w:t xml:space="preserve"> </w:t>
      </w:r>
      <w:r w:rsidR="00720776" w:rsidRPr="00720776">
        <w:rPr>
          <w:rFonts w:ascii="Arial" w:hAnsi="Arial"/>
          <w:color w:val="000000" w:themeColor="text1"/>
        </w:rPr>
        <w:t>testing of the gas bearing sandstone layers of the Neuquén Group</w:t>
      </w:r>
      <w:r w:rsidRPr="00B76C56">
        <w:rPr>
          <w:rFonts w:ascii="Arial" w:hAnsi="Arial" w:cs="Arial"/>
          <w:bCs/>
          <w:szCs w:val="20"/>
        </w:rPr>
        <w:t>.</w:t>
      </w:r>
      <w:r w:rsidR="005D56F8" w:rsidRPr="00B76C56">
        <w:rPr>
          <w:rFonts w:ascii="Arial" w:hAnsi="Arial" w:cs="Arial"/>
          <w:color w:val="000000"/>
          <w:szCs w:val="20"/>
        </w:rPr>
        <w:t xml:space="preserve"> </w:t>
      </w:r>
    </w:p>
    <w:p w14:paraId="08E7FB91" w14:textId="3AE16631" w:rsidR="00EB4AAA" w:rsidRDefault="00EB4AAA">
      <w:pPr>
        <w:rPr>
          <w:rFonts w:ascii="Arial" w:hAnsi="Arial" w:cs="Arial"/>
          <w:sz w:val="20"/>
          <w:szCs w:val="20"/>
        </w:rPr>
      </w:pPr>
    </w:p>
    <w:p w14:paraId="3AA226CD" w14:textId="0D731122" w:rsidR="006429BF" w:rsidRDefault="006429BF" w:rsidP="00FE41AD">
      <w:pPr>
        <w:spacing w:before="120" w:line="240" w:lineRule="atLeast"/>
        <w:jc w:val="both"/>
        <w:rPr>
          <w:rFonts w:ascii="Arial" w:hAnsi="Arial" w:cs="Arial"/>
          <w:b/>
          <w:bCs/>
          <w:caps/>
          <w:color w:val="000000"/>
          <w:szCs w:val="22"/>
          <w:lang w:val="en-CA"/>
        </w:rPr>
      </w:pPr>
      <w:r>
        <w:rPr>
          <w:rFonts w:ascii="Arial" w:hAnsi="Arial" w:cs="Arial"/>
          <w:b/>
          <w:bCs/>
          <w:caps/>
          <w:color w:val="000000"/>
          <w:sz w:val="20"/>
          <w:szCs w:val="20"/>
        </w:rPr>
        <w:t>SUMMARY OF FINANCIAL INFORMATION</w:t>
      </w:r>
      <w:r>
        <w:rPr>
          <w:rFonts w:ascii="Arial" w:hAnsi="Arial" w:cs="Arial"/>
          <w:b/>
          <w:bCs/>
          <w:caps/>
          <w:color w:val="000000"/>
          <w:szCs w:val="22"/>
          <w:lang w:val="en-CA"/>
        </w:rPr>
        <w:t xml:space="preserve"> </w:t>
      </w:r>
    </w:p>
    <w:p w14:paraId="2CD4B29E" w14:textId="77777777" w:rsidR="00076D7D" w:rsidRPr="00076D7D" w:rsidRDefault="00076D7D" w:rsidP="00FE41AD">
      <w:pPr>
        <w:spacing w:before="120" w:line="240" w:lineRule="atLeast"/>
        <w:jc w:val="both"/>
        <w:rPr>
          <w:rFonts w:ascii="Arial" w:hAnsi="Arial" w:cs="Arial"/>
          <w:b/>
          <w:bCs/>
          <w:caps/>
          <w:color w:val="000000"/>
          <w:sz w:val="16"/>
          <w:szCs w:val="16"/>
          <w:lang w:val="en-CA"/>
        </w:rPr>
      </w:pPr>
    </w:p>
    <w:tbl>
      <w:tblPr>
        <w:tblW w:w="8760" w:type="dxa"/>
        <w:tblLayout w:type="fixed"/>
        <w:tblLook w:val="04A0" w:firstRow="1" w:lastRow="0" w:firstColumn="1" w:lastColumn="0" w:noHBand="0" w:noVBand="1"/>
      </w:tblPr>
      <w:tblGrid>
        <w:gridCol w:w="5872"/>
        <w:gridCol w:w="1398"/>
        <w:gridCol w:w="1490"/>
      </w:tblGrid>
      <w:tr w:rsidR="00144954" w:rsidRPr="00002555" w14:paraId="41B969B8" w14:textId="77777777" w:rsidTr="00F439AE">
        <w:trPr>
          <w:trHeight w:val="404"/>
        </w:trPr>
        <w:tc>
          <w:tcPr>
            <w:tcW w:w="5872" w:type="dxa"/>
            <w:tcBorders>
              <w:top w:val="single" w:sz="12" w:space="0" w:color="auto"/>
              <w:bottom w:val="single" w:sz="4" w:space="0" w:color="auto"/>
            </w:tcBorders>
          </w:tcPr>
          <w:p w14:paraId="6CA436DA" w14:textId="7A339487" w:rsidR="00144954" w:rsidRPr="00002555" w:rsidRDefault="00144954" w:rsidP="00144954">
            <w:pPr>
              <w:widowControl w:val="0"/>
              <w:jc w:val="both"/>
              <w:rPr>
                <w:rFonts w:ascii="Arial" w:hAnsi="Arial" w:cs="Arial"/>
                <w:bCs/>
                <w:sz w:val="18"/>
                <w:szCs w:val="18"/>
                <w:lang w:val="en-CA"/>
              </w:rPr>
            </w:pPr>
            <w:r w:rsidRPr="00002555">
              <w:rPr>
                <w:rFonts w:ascii="Arial" w:hAnsi="Arial" w:cs="Arial"/>
                <w:bCs/>
                <w:sz w:val="18"/>
                <w:szCs w:val="18"/>
                <w:lang w:val="en-CA"/>
              </w:rPr>
              <w:t>(expressed in $</w:t>
            </w:r>
            <w:r w:rsidR="00590F21" w:rsidRPr="00002555">
              <w:rPr>
                <w:rFonts w:ascii="Arial" w:hAnsi="Arial" w:cs="Arial"/>
                <w:bCs/>
                <w:sz w:val="18"/>
                <w:szCs w:val="18"/>
                <w:lang w:val="en-CA"/>
              </w:rPr>
              <w:t>, except shares outstanding</w:t>
            </w:r>
            <w:r w:rsidRPr="00002555">
              <w:rPr>
                <w:rFonts w:ascii="Arial" w:hAnsi="Arial" w:cs="Arial"/>
                <w:bCs/>
                <w:sz w:val="18"/>
                <w:szCs w:val="18"/>
                <w:lang w:val="en-CA"/>
              </w:rPr>
              <w:t>)</w:t>
            </w:r>
            <w:r w:rsidR="00F439AE">
              <w:rPr>
                <w:rFonts w:ascii="Arial" w:hAnsi="Arial" w:cs="Arial"/>
                <w:bCs/>
                <w:sz w:val="18"/>
                <w:szCs w:val="18"/>
                <w:lang w:val="en-CA"/>
              </w:rPr>
              <w:t xml:space="preserve"> </w:t>
            </w:r>
          </w:p>
        </w:tc>
        <w:tc>
          <w:tcPr>
            <w:tcW w:w="1398" w:type="dxa"/>
            <w:tcBorders>
              <w:top w:val="single" w:sz="12" w:space="0" w:color="auto"/>
              <w:bottom w:val="single" w:sz="4" w:space="0" w:color="auto"/>
            </w:tcBorders>
            <w:vAlign w:val="bottom"/>
          </w:tcPr>
          <w:p w14:paraId="72D94546" w14:textId="103B66C0" w:rsidR="00144954" w:rsidRPr="00002555" w:rsidRDefault="00FD5B0D" w:rsidP="00144954">
            <w:pPr>
              <w:widowControl w:val="0"/>
              <w:jc w:val="right"/>
              <w:rPr>
                <w:rFonts w:ascii="Arial" w:hAnsi="Arial" w:cs="Arial"/>
                <w:b/>
                <w:bCs/>
                <w:sz w:val="18"/>
                <w:szCs w:val="18"/>
                <w:lang w:val="en-CA"/>
              </w:rPr>
            </w:pPr>
            <w:r>
              <w:rPr>
                <w:rFonts w:ascii="Arial" w:hAnsi="Arial" w:cs="Arial"/>
                <w:b/>
                <w:bCs/>
                <w:sz w:val="18"/>
                <w:szCs w:val="18"/>
                <w:lang w:val="en-CA"/>
              </w:rPr>
              <w:t>December</w:t>
            </w:r>
            <w:r w:rsidR="00257237" w:rsidRPr="00002555">
              <w:rPr>
                <w:rFonts w:ascii="Arial" w:hAnsi="Arial" w:cs="Arial"/>
                <w:b/>
                <w:bCs/>
                <w:sz w:val="18"/>
                <w:szCs w:val="18"/>
                <w:lang w:val="en-CA"/>
              </w:rPr>
              <w:t xml:space="preserve"> </w:t>
            </w:r>
            <w:r w:rsidR="00391063" w:rsidRPr="00002555">
              <w:rPr>
                <w:rFonts w:ascii="Arial" w:hAnsi="Arial" w:cs="Arial"/>
                <w:b/>
                <w:bCs/>
                <w:sz w:val="18"/>
                <w:szCs w:val="18"/>
                <w:lang w:val="en-CA"/>
              </w:rPr>
              <w:t>3</w:t>
            </w:r>
            <w:r>
              <w:rPr>
                <w:rFonts w:ascii="Arial" w:hAnsi="Arial" w:cs="Arial"/>
                <w:b/>
                <w:bCs/>
                <w:sz w:val="18"/>
                <w:szCs w:val="18"/>
                <w:lang w:val="en-CA"/>
              </w:rPr>
              <w:t>1</w:t>
            </w:r>
          </w:p>
          <w:p w14:paraId="55D67AD8" w14:textId="32F84B2C" w:rsidR="00144954" w:rsidRDefault="00144954" w:rsidP="00144954">
            <w:pPr>
              <w:widowControl w:val="0"/>
              <w:jc w:val="right"/>
              <w:rPr>
                <w:rFonts w:ascii="Arial" w:hAnsi="Arial" w:cs="Arial"/>
                <w:b/>
                <w:bCs/>
                <w:sz w:val="18"/>
                <w:szCs w:val="18"/>
                <w:lang w:val="en-CA"/>
              </w:rPr>
            </w:pPr>
            <w:r w:rsidRPr="00002555">
              <w:rPr>
                <w:rFonts w:ascii="Arial" w:hAnsi="Arial" w:cs="Arial"/>
                <w:b/>
                <w:bCs/>
                <w:sz w:val="18"/>
                <w:szCs w:val="18"/>
                <w:lang w:val="en-CA"/>
              </w:rPr>
              <w:t>202</w:t>
            </w:r>
            <w:r w:rsidR="00C326FF">
              <w:rPr>
                <w:rFonts w:ascii="Arial" w:hAnsi="Arial" w:cs="Arial"/>
                <w:b/>
                <w:bCs/>
                <w:sz w:val="18"/>
                <w:szCs w:val="18"/>
                <w:lang w:val="en-CA"/>
              </w:rPr>
              <w:t>5</w:t>
            </w:r>
          </w:p>
          <w:p w14:paraId="144386D8" w14:textId="602FDCDF" w:rsidR="00F439AE" w:rsidRPr="00F439AE" w:rsidRDefault="00F439AE" w:rsidP="00144954">
            <w:pPr>
              <w:widowControl w:val="0"/>
              <w:jc w:val="right"/>
              <w:rPr>
                <w:rFonts w:ascii="Arial" w:hAnsi="Arial" w:cs="Arial"/>
                <w:b/>
                <w:bCs/>
                <w:sz w:val="18"/>
                <w:szCs w:val="18"/>
                <w:lang w:val="en-CA"/>
              </w:rPr>
            </w:pPr>
            <w:r w:rsidRPr="00F439AE">
              <w:rPr>
                <w:rFonts w:ascii="Arial" w:hAnsi="Arial" w:cs="Arial"/>
                <w:b/>
                <w:bCs/>
                <w:sz w:val="18"/>
                <w:szCs w:val="18"/>
                <w:lang w:val="en-CA"/>
              </w:rPr>
              <w:t>(unaudited)</w:t>
            </w:r>
          </w:p>
        </w:tc>
        <w:tc>
          <w:tcPr>
            <w:tcW w:w="1490" w:type="dxa"/>
            <w:tcBorders>
              <w:top w:val="single" w:sz="12" w:space="0" w:color="auto"/>
              <w:bottom w:val="single" w:sz="4" w:space="0" w:color="auto"/>
            </w:tcBorders>
          </w:tcPr>
          <w:p w14:paraId="248A5F12" w14:textId="77777777" w:rsidR="00144954" w:rsidRPr="00002555" w:rsidRDefault="00144954" w:rsidP="00F439AE">
            <w:pPr>
              <w:widowControl w:val="0"/>
              <w:jc w:val="right"/>
              <w:rPr>
                <w:rFonts w:ascii="Arial" w:hAnsi="Arial" w:cs="Arial"/>
                <w:b/>
                <w:bCs/>
                <w:sz w:val="18"/>
                <w:szCs w:val="18"/>
                <w:lang w:val="en-CA"/>
              </w:rPr>
            </w:pPr>
            <w:r w:rsidRPr="00002555">
              <w:rPr>
                <w:rFonts w:ascii="Arial" w:hAnsi="Arial" w:cs="Arial"/>
                <w:b/>
                <w:bCs/>
                <w:sz w:val="18"/>
                <w:szCs w:val="18"/>
                <w:lang w:val="en-CA"/>
              </w:rPr>
              <w:t>December 31</w:t>
            </w:r>
          </w:p>
          <w:p w14:paraId="6E743FBE" w14:textId="77777777" w:rsidR="00144954" w:rsidRDefault="00144954" w:rsidP="00F439AE">
            <w:pPr>
              <w:widowControl w:val="0"/>
              <w:jc w:val="right"/>
              <w:rPr>
                <w:rFonts w:ascii="Arial" w:hAnsi="Arial" w:cs="Arial"/>
                <w:b/>
                <w:bCs/>
                <w:sz w:val="18"/>
                <w:szCs w:val="18"/>
                <w:lang w:val="en-CA"/>
              </w:rPr>
            </w:pPr>
            <w:r w:rsidRPr="00002555">
              <w:rPr>
                <w:rFonts w:ascii="Arial" w:hAnsi="Arial" w:cs="Arial"/>
                <w:b/>
                <w:bCs/>
                <w:sz w:val="18"/>
                <w:szCs w:val="18"/>
                <w:lang w:val="en-CA"/>
              </w:rPr>
              <w:t>202</w:t>
            </w:r>
            <w:r w:rsidR="00C326FF">
              <w:rPr>
                <w:rFonts w:ascii="Arial" w:hAnsi="Arial" w:cs="Arial"/>
                <w:b/>
                <w:bCs/>
                <w:sz w:val="18"/>
                <w:szCs w:val="18"/>
                <w:lang w:val="en-CA"/>
              </w:rPr>
              <w:t>4</w:t>
            </w:r>
          </w:p>
          <w:p w14:paraId="6772FF4F" w14:textId="7028DC84" w:rsidR="00C326FF" w:rsidRPr="00002555" w:rsidRDefault="00C326FF" w:rsidP="00F439AE">
            <w:pPr>
              <w:widowControl w:val="0"/>
              <w:jc w:val="right"/>
              <w:rPr>
                <w:rFonts w:ascii="Arial" w:hAnsi="Arial" w:cs="Arial"/>
                <w:b/>
                <w:bCs/>
                <w:sz w:val="18"/>
                <w:szCs w:val="18"/>
                <w:lang w:val="en-CA"/>
              </w:rPr>
            </w:pPr>
            <w:r>
              <w:rPr>
                <w:rFonts w:ascii="Arial" w:hAnsi="Arial" w:cs="Arial"/>
                <w:b/>
                <w:bCs/>
                <w:sz w:val="18"/>
                <w:szCs w:val="18"/>
                <w:lang w:val="en-CA"/>
              </w:rPr>
              <w:t>(audited)</w:t>
            </w:r>
          </w:p>
        </w:tc>
      </w:tr>
      <w:tr w:rsidR="00C326FF" w:rsidRPr="00002555" w14:paraId="021AF382" w14:textId="77777777" w:rsidTr="005F3A2E">
        <w:tblPrEx>
          <w:tblLook w:val="01E0" w:firstRow="1" w:lastRow="1" w:firstColumn="1" w:lastColumn="1" w:noHBand="0" w:noVBand="0"/>
        </w:tblPrEx>
        <w:trPr>
          <w:trHeight w:val="173"/>
        </w:trPr>
        <w:tc>
          <w:tcPr>
            <w:tcW w:w="5872" w:type="dxa"/>
            <w:tcBorders>
              <w:top w:val="single" w:sz="4" w:space="0" w:color="auto"/>
            </w:tcBorders>
          </w:tcPr>
          <w:p w14:paraId="26600CDA" w14:textId="7F159D74" w:rsidR="00C326FF" w:rsidRPr="00002555" w:rsidRDefault="00C326FF" w:rsidP="00C326FF">
            <w:pPr>
              <w:widowControl w:val="0"/>
              <w:spacing w:line="240" w:lineRule="atLeast"/>
              <w:rPr>
                <w:rFonts w:ascii="Arial" w:hAnsi="Arial" w:cs="Arial"/>
                <w:sz w:val="18"/>
                <w:szCs w:val="18"/>
                <w:lang w:val="en-CA"/>
              </w:rPr>
            </w:pPr>
            <w:r w:rsidRPr="00002555">
              <w:rPr>
                <w:rFonts w:ascii="Arial" w:hAnsi="Arial" w:cs="Arial"/>
                <w:sz w:val="18"/>
                <w:szCs w:val="18"/>
                <w:lang w:val="en-CA"/>
              </w:rPr>
              <w:t>Current assets</w:t>
            </w:r>
          </w:p>
        </w:tc>
        <w:tc>
          <w:tcPr>
            <w:tcW w:w="1398" w:type="dxa"/>
            <w:tcBorders>
              <w:top w:val="single" w:sz="4" w:space="0" w:color="auto"/>
            </w:tcBorders>
            <w:vAlign w:val="bottom"/>
          </w:tcPr>
          <w:p w14:paraId="4DD9C071" w14:textId="69589E6B" w:rsidR="00C326FF" w:rsidRPr="00257237" w:rsidRDefault="00642CD0" w:rsidP="00C326FF">
            <w:pPr>
              <w:widowControl w:val="0"/>
              <w:tabs>
                <w:tab w:val="decimal" w:pos="1062"/>
              </w:tabs>
              <w:spacing w:line="240" w:lineRule="atLeast"/>
              <w:ind w:right="-45"/>
              <w:jc w:val="center"/>
              <w:rPr>
                <w:rFonts w:ascii="Arial" w:hAnsi="Arial" w:cs="Arial"/>
                <w:sz w:val="18"/>
                <w:szCs w:val="18"/>
                <w:lang w:val="en-CA"/>
              </w:rPr>
            </w:pPr>
            <w:r>
              <w:rPr>
                <w:rFonts w:ascii="Arial" w:hAnsi="Arial" w:cs="Arial"/>
                <w:sz w:val="18"/>
                <w:szCs w:val="18"/>
                <w:lang w:val="en-CA"/>
              </w:rPr>
              <w:t>50,655,</w:t>
            </w:r>
            <w:r w:rsidR="008C0223">
              <w:rPr>
                <w:rFonts w:ascii="Arial" w:hAnsi="Arial" w:cs="Arial"/>
                <w:sz w:val="18"/>
                <w:szCs w:val="18"/>
                <w:lang w:val="en-CA"/>
              </w:rPr>
              <w:t>4</w:t>
            </w:r>
            <w:r>
              <w:rPr>
                <w:rFonts w:ascii="Arial" w:hAnsi="Arial" w:cs="Arial"/>
                <w:sz w:val="18"/>
                <w:szCs w:val="18"/>
                <w:lang w:val="en-CA"/>
              </w:rPr>
              <w:t>02</w:t>
            </w:r>
          </w:p>
        </w:tc>
        <w:tc>
          <w:tcPr>
            <w:tcW w:w="1490" w:type="dxa"/>
            <w:tcBorders>
              <w:top w:val="single" w:sz="4" w:space="0" w:color="auto"/>
            </w:tcBorders>
            <w:vAlign w:val="bottom"/>
          </w:tcPr>
          <w:p w14:paraId="35B88033" w14:textId="5926D6CA" w:rsidR="00C326FF" w:rsidRPr="00002555" w:rsidRDefault="00C326FF" w:rsidP="00C326FF">
            <w:pPr>
              <w:widowControl w:val="0"/>
              <w:tabs>
                <w:tab w:val="decimal" w:pos="1062"/>
              </w:tabs>
              <w:spacing w:line="240" w:lineRule="atLeast"/>
              <w:ind w:right="-45"/>
              <w:rPr>
                <w:rFonts w:ascii="Arial" w:hAnsi="Arial" w:cs="Arial"/>
                <w:sz w:val="18"/>
                <w:szCs w:val="18"/>
                <w:lang w:val="en-CA"/>
              </w:rPr>
            </w:pPr>
            <w:r>
              <w:rPr>
                <w:rFonts w:ascii="Arial" w:hAnsi="Arial" w:cs="Arial"/>
                <w:sz w:val="18"/>
                <w:szCs w:val="18"/>
              </w:rPr>
              <w:t>28,129,766</w:t>
            </w:r>
          </w:p>
        </w:tc>
      </w:tr>
      <w:tr w:rsidR="00C326FF" w:rsidRPr="00002555" w14:paraId="049929D5" w14:textId="77777777" w:rsidTr="005F3A2E">
        <w:tblPrEx>
          <w:tblLook w:val="01E0" w:firstRow="1" w:lastRow="1" w:firstColumn="1" w:lastColumn="1" w:noHBand="0" w:noVBand="0"/>
        </w:tblPrEx>
        <w:trPr>
          <w:trHeight w:val="173"/>
        </w:trPr>
        <w:tc>
          <w:tcPr>
            <w:tcW w:w="5872" w:type="dxa"/>
            <w:tcBorders>
              <w:bottom w:val="single" w:sz="4" w:space="0" w:color="auto"/>
            </w:tcBorders>
          </w:tcPr>
          <w:p w14:paraId="5908CC48" w14:textId="77777777" w:rsidR="00C326FF" w:rsidRPr="00002555" w:rsidRDefault="00C326FF" w:rsidP="00C326FF">
            <w:pPr>
              <w:widowControl w:val="0"/>
              <w:spacing w:line="240" w:lineRule="atLeast"/>
              <w:rPr>
                <w:rFonts w:ascii="Arial" w:hAnsi="Arial" w:cs="Arial"/>
                <w:sz w:val="18"/>
                <w:szCs w:val="18"/>
                <w:lang w:val="en-CA"/>
              </w:rPr>
            </w:pPr>
            <w:r w:rsidRPr="00002555">
              <w:rPr>
                <w:rFonts w:ascii="Arial" w:hAnsi="Arial" w:cs="Arial"/>
                <w:sz w:val="18"/>
                <w:szCs w:val="18"/>
                <w:lang w:val="en-CA"/>
              </w:rPr>
              <w:t>Current liabilities</w:t>
            </w:r>
          </w:p>
        </w:tc>
        <w:tc>
          <w:tcPr>
            <w:tcW w:w="1398" w:type="dxa"/>
            <w:tcBorders>
              <w:bottom w:val="single" w:sz="4" w:space="0" w:color="000000"/>
            </w:tcBorders>
            <w:vAlign w:val="bottom"/>
          </w:tcPr>
          <w:p w14:paraId="4191C7B7" w14:textId="5BE52A47" w:rsidR="00C326FF" w:rsidRPr="00257237" w:rsidRDefault="00642CD0" w:rsidP="00C326FF">
            <w:pPr>
              <w:widowControl w:val="0"/>
              <w:tabs>
                <w:tab w:val="decimal" w:pos="1062"/>
              </w:tabs>
              <w:spacing w:line="240" w:lineRule="atLeast"/>
              <w:ind w:right="-45"/>
              <w:jc w:val="center"/>
              <w:rPr>
                <w:rFonts w:ascii="Arial" w:hAnsi="Arial" w:cs="Arial"/>
                <w:sz w:val="18"/>
                <w:szCs w:val="18"/>
                <w:lang w:val="en-CA"/>
              </w:rPr>
            </w:pPr>
            <w:r>
              <w:rPr>
                <w:rFonts w:ascii="Arial" w:hAnsi="Arial" w:cs="Arial"/>
                <w:sz w:val="18"/>
                <w:szCs w:val="18"/>
                <w:lang w:val="en-CA"/>
              </w:rPr>
              <w:t>(122,470,728)</w:t>
            </w:r>
          </w:p>
        </w:tc>
        <w:tc>
          <w:tcPr>
            <w:tcW w:w="1490" w:type="dxa"/>
            <w:tcBorders>
              <w:bottom w:val="single" w:sz="4" w:space="0" w:color="auto"/>
            </w:tcBorders>
            <w:vAlign w:val="bottom"/>
          </w:tcPr>
          <w:p w14:paraId="10A77DFE" w14:textId="3825CABD" w:rsidR="00C326FF" w:rsidRPr="00002555" w:rsidRDefault="00C326FF" w:rsidP="00C326FF">
            <w:pPr>
              <w:widowControl w:val="0"/>
              <w:tabs>
                <w:tab w:val="decimal" w:pos="1062"/>
              </w:tabs>
              <w:spacing w:line="240" w:lineRule="atLeast"/>
              <w:ind w:right="-45"/>
              <w:rPr>
                <w:rFonts w:ascii="Arial" w:hAnsi="Arial" w:cs="Arial"/>
                <w:sz w:val="18"/>
                <w:szCs w:val="18"/>
                <w:lang w:val="en-CA"/>
              </w:rPr>
            </w:pPr>
            <w:r>
              <w:rPr>
                <w:rFonts w:ascii="Arial" w:hAnsi="Arial" w:cs="Arial"/>
                <w:sz w:val="18"/>
                <w:szCs w:val="18"/>
              </w:rPr>
              <w:t>(56,945,822)</w:t>
            </w:r>
          </w:p>
        </w:tc>
      </w:tr>
      <w:tr w:rsidR="00C326FF" w:rsidRPr="00002555" w14:paraId="77E25F0F" w14:textId="77777777" w:rsidTr="005F3A2E">
        <w:tblPrEx>
          <w:tblLook w:val="01E0" w:firstRow="1" w:lastRow="1" w:firstColumn="1" w:lastColumn="1" w:noHBand="0" w:noVBand="0"/>
        </w:tblPrEx>
        <w:trPr>
          <w:trHeight w:val="173"/>
        </w:trPr>
        <w:tc>
          <w:tcPr>
            <w:tcW w:w="5872" w:type="dxa"/>
            <w:tcBorders>
              <w:top w:val="single" w:sz="4" w:space="0" w:color="auto"/>
              <w:bottom w:val="single" w:sz="4" w:space="0" w:color="auto"/>
            </w:tcBorders>
            <w:vAlign w:val="bottom"/>
          </w:tcPr>
          <w:p w14:paraId="02E67878" w14:textId="294E8DFD" w:rsidR="00C326FF" w:rsidRPr="00002555" w:rsidRDefault="00C326FF" w:rsidP="00C326FF">
            <w:pPr>
              <w:widowControl w:val="0"/>
              <w:spacing w:line="240" w:lineRule="atLeast"/>
              <w:rPr>
                <w:rFonts w:ascii="Arial" w:hAnsi="Arial" w:cs="Arial"/>
                <w:sz w:val="18"/>
                <w:szCs w:val="18"/>
                <w:lang w:val="en-CA"/>
              </w:rPr>
            </w:pPr>
            <w:r w:rsidRPr="00002555">
              <w:rPr>
                <w:rFonts w:ascii="Arial" w:hAnsi="Arial" w:cs="Arial"/>
                <w:sz w:val="18"/>
                <w:szCs w:val="18"/>
                <w:lang w:val="en-CA"/>
              </w:rPr>
              <w:t xml:space="preserve">Working capital </w:t>
            </w:r>
            <w:r w:rsidRPr="00002555">
              <w:rPr>
                <w:rFonts w:ascii="Arial" w:hAnsi="Arial" w:cs="Arial"/>
                <w:sz w:val="18"/>
                <w:szCs w:val="18"/>
                <w:vertAlign w:val="superscript"/>
                <w:lang w:val="en-CA"/>
              </w:rPr>
              <w:t>(1)</w:t>
            </w:r>
          </w:p>
        </w:tc>
        <w:tc>
          <w:tcPr>
            <w:tcW w:w="1398" w:type="dxa"/>
            <w:tcBorders>
              <w:top w:val="single" w:sz="4" w:space="0" w:color="000000"/>
              <w:bottom w:val="single" w:sz="4" w:space="0" w:color="000000"/>
            </w:tcBorders>
            <w:vAlign w:val="bottom"/>
          </w:tcPr>
          <w:p w14:paraId="5EA84DE3" w14:textId="1876ACFC" w:rsidR="00C326FF" w:rsidRPr="00257237" w:rsidRDefault="00642CD0" w:rsidP="00C326FF">
            <w:pPr>
              <w:widowControl w:val="0"/>
              <w:tabs>
                <w:tab w:val="decimal" w:pos="1062"/>
              </w:tabs>
              <w:spacing w:line="240" w:lineRule="atLeast"/>
              <w:ind w:right="-45"/>
              <w:jc w:val="center"/>
              <w:rPr>
                <w:rFonts w:ascii="Arial" w:hAnsi="Arial" w:cs="Arial"/>
                <w:sz w:val="18"/>
                <w:szCs w:val="18"/>
                <w:lang w:val="en-CA"/>
              </w:rPr>
            </w:pPr>
            <w:r>
              <w:rPr>
                <w:rFonts w:ascii="Arial" w:hAnsi="Arial" w:cs="Arial"/>
                <w:sz w:val="18"/>
                <w:szCs w:val="18"/>
                <w:lang w:val="en-CA"/>
              </w:rPr>
              <w:t>(71,815,326)</w:t>
            </w:r>
          </w:p>
        </w:tc>
        <w:tc>
          <w:tcPr>
            <w:tcW w:w="1490" w:type="dxa"/>
            <w:tcBorders>
              <w:top w:val="single" w:sz="4" w:space="0" w:color="auto"/>
              <w:bottom w:val="single" w:sz="4" w:space="0" w:color="auto"/>
            </w:tcBorders>
            <w:vAlign w:val="bottom"/>
          </w:tcPr>
          <w:p w14:paraId="79C0E371" w14:textId="469B9F7C" w:rsidR="00C326FF" w:rsidRPr="00002555" w:rsidRDefault="00C326FF" w:rsidP="00C326FF">
            <w:pPr>
              <w:widowControl w:val="0"/>
              <w:tabs>
                <w:tab w:val="decimal" w:pos="1062"/>
              </w:tabs>
              <w:spacing w:line="240" w:lineRule="atLeast"/>
              <w:ind w:right="-45"/>
              <w:rPr>
                <w:rFonts w:ascii="Arial" w:hAnsi="Arial" w:cs="Arial"/>
                <w:sz w:val="18"/>
                <w:szCs w:val="18"/>
                <w:lang w:val="en-CA"/>
              </w:rPr>
            </w:pPr>
            <w:r>
              <w:rPr>
                <w:rFonts w:ascii="Arial" w:hAnsi="Arial" w:cs="Arial"/>
                <w:sz w:val="18"/>
                <w:szCs w:val="18"/>
              </w:rPr>
              <w:t>(28,816,056)</w:t>
            </w:r>
          </w:p>
        </w:tc>
      </w:tr>
      <w:tr w:rsidR="00C326FF" w:rsidRPr="00002555" w14:paraId="689B42CA" w14:textId="77777777" w:rsidTr="005F3A2E">
        <w:tblPrEx>
          <w:tblLook w:val="01E0" w:firstRow="1" w:lastRow="1" w:firstColumn="1" w:lastColumn="1" w:noHBand="0" w:noVBand="0"/>
        </w:tblPrEx>
        <w:trPr>
          <w:trHeight w:val="221"/>
        </w:trPr>
        <w:tc>
          <w:tcPr>
            <w:tcW w:w="5872" w:type="dxa"/>
            <w:vAlign w:val="bottom"/>
          </w:tcPr>
          <w:p w14:paraId="01CE6BBD" w14:textId="56DD6E33" w:rsidR="00C326FF" w:rsidRPr="00002555" w:rsidRDefault="00C326FF" w:rsidP="00C326FF">
            <w:pPr>
              <w:widowControl w:val="0"/>
              <w:spacing w:line="240" w:lineRule="atLeast"/>
              <w:rPr>
                <w:rFonts w:ascii="Arial" w:hAnsi="Arial" w:cs="Arial"/>
                <w:sz w:val="18"/>
                <w:szCs w:val="18"/>
                <w:lang w:val="en-CA"/>
              </w:rPr>
            </w:pPr>
            <w:r w:rsidRPr="00002555">
              <w:rPr>
                <w:rFonts w:ascii="Arial" w:hAnsi="Arial" w:cs="Arial"/>
                <w:sz w:val="18"/>
                <w:szCs w:val="18"/>
                <w:lang w:val="en-CA"/>
              </w:rPr>
              <w:t>Exploration and evaluation assets</w:t>
            </w:r>
          </w:p>
        </w:tc>
        <w:tc>
          <w:tcPr>
            <w:tcW w:w="1398" w:type="dxa"/>
            <w:vAlign w:val="bottom"/>
          </w:tcPr>
          <w:p w14:paraId="6707E00A" w14:textId="740329A4" w:rsidR="00C326FF" w:rsidRPr="00257237" w:rsidRDefault="00642CD0" w:rsidP="00C326FF">
            <w:pPr>
              <w:widowControl w:val="0"/>
              <w:tabs>
                <w:tab w:val="decimal" w:pos="1062"/>
              </w:tabs>
              <w:spacing w:line="240" w:lineRule="atLeast"/>
              <w:ind w:right="-45"/>
              <w:jc w:val="center"/>
              <w:rPr>
                <w:rFonts w:ascii="Arial" w:hAnsi="Arial" w:cs="Arial"/>
                <w:sz w:val="18"/>
                <w:szCs w:val="18"/>
                <w:lang w:val="en-CA"/>
              </w:rPr>
            </w:pPr>
            <w:r>
              <w:rPr>
                <w:rFonts w:ascii="Arial" w:hAnsi="Arial" w:cs="Arial"/>
                <w:sz w:val="18"/>
                <w:szCs w:val="18"/>
                <w:lang w:val="en-CA"/>
              </w:rPr>
              <w:t>14,018,547</w:t>
            </w:r>
          </w:p>
        </w:tc>
        <w:tc>
          <w:tcPr>
            <w:tcW w:w="1490" w:type="dxa"/>
            <w:vAlign w:val="bottom"/>
          </w:tcPr>
          <w:p w14:paraId="342ACA2F" w14:textId="13E87581" w:rsidR="00C326FF" w:rsidRPr="00002555" w:rsidRDefault="00C326FF" w:rsidP="00C326FF">
            <w:pPr>
              <w:widowControl w:val="0"/>
              <w:tabs>
                <w:tab w:val="decimal" w:pos="1062"/>
              </w:tabs>
              <w:spacing w:line="240" w:lineRule="atLeast"/>
              <w:ind w:right="-45"/>
              <w:rPr>
                <w:rFonts w:ascii="Arial" w:hAnsi="Arial" w:cs="Arial"/>
                <w:sz w:val="18"/>
                <w:szCs w:val="18"/>
                <w:lang w:val="en-CA"/>
              </w:rPr>
            </w:pPr>
            <w:r>
              <w:rPr>
                <w:rFonts w:ascii="Arial" w:hAnsi="Arial" w:cs="Arial"/>
                <w:sz w:val="18"/>
                <w:szCs w:val="18"/>
              </w:rPr>
              <w:t>14,052,021</w:t>
            </w:r>
          </w:p>
        </w:tc>
      </w:tr>
      <w:tr w:rsidR="00C326FF" w:rsidRPr="00002555" w14:paraId="428DC790" w14:textId="77777777" w:rsidTr="005F3A2E">
        <w:tblPrEx>
          <w:tblLook w:val="01E0" w:firstRow="1" w:lastRow="1" w:firstColumn="1" w:lastColumn="1" w:noHBand="0" w:noVBand="0"/>
        </w:tblPrEx>
        <w:trPr>
          <w:trHeight w:val="221"/>
        </w:trPr>
        <w:tc>
          <w:tcPr>
            <w:tcW w:w="5872" w:type="dxa"/>
            <w:vAlign w:val="bottom"/>
          </w:tcPr>
          <w:p w14:paraId="695EF20E" w14:textId="6B443643" w:rsidR="00C326FF" w:rsidRPr="00002555" w:rsidRDefault="00C326FF" w:rsidP="00C326FF">
            <w:pPr>
              <w:widowControl w:val="0"/>
              <w:spacing w:line="240" w:lineRule="atLeast"/>
              <w:rPr>
                <w:rFonts w:ascii="Arial" w:hAnsi="Arial" w:cs="Arial"/>
                <w:sz w:val="18"/>
                <w:szCs w:val="18"/>
                <w:lang w:val="en-CA"/>
              </w:rPr>
            </w:pPr>
            <w:r w:rsidRPr="00002555">
              <w:rPr>
                <w:rFonts w:ascii="Arial" w:hAnsi="Arial" w:cs="Arial"/>
                <w:sz w:val="18"/>
                <w:szCs w:val="18"/>
                <w:lang w:val="en-CA"/>
              </w:rPr>
              <w:t>Property and equipment</w:t>
            </w:r>
          </w:p>
        </w:tc>
        <w:tc>
          <w:tcPr>
            <w:tcW w:w="1398" w:type="dxa"/>
            <w:vAlign w:val="bottom"/>
          </w:tcPr>
          <w:p w14:paraId="7A78FCC4" w14:textId="305A255E" w:rsidR="00C326FF" w:rsidRPr="00257237" w:rsidRDefault="00642CD0" w:rsidP="00C326FF">
            <w:pPr>
              <w:widowControl w:val="0"/>
              <w:tabs>
                <w:tab w:val="decimal" w:pos="1062"/>
              </w:tabs>
              <w:spacing w:line="240" w:lineRule="atLeast"/>
              <w:ind w:right="-45"/>
              <w:jc w:val="center"/>
              <w:rPr>
                <w:rFonts w:ascii="Arial" w:hAnsi="Arial" w:cs="Arial"/>
                <w:sz w:val="18"/>
                <w:szCs w:val="18"/>
                <w:lang w:val="en-CA"/>
              </w:rPr>
            </w:pPr>
            <w:r>
              <w:rPr>
                <w:rFonts w:ascii="Arial" w:hAnsi="Arial" w:cs="Arial"/>
                <w:sz w:val="18"/>
                <w:szCs w:val="18"/>
                <w:lang w:val="en-CA"/>
              </w:rPr>
              <w:t>226,293,865</w:t>
            </w:r>
          </w:p>
        </w:tc>
        <w:tc>
          <w:tcPr>
            <w:tcW w:w="1490" w:type="dxa"/>
            <w:vAlign w:val="bottom"/>
          </w:tcPr>
          <w:p w14:paraId="0E85EACF" w14:textId="4336103E" w:rsidR="00C326FF" w:rsidRPr="00002555" w:rsidRDefault="00C326FF" w:rsidP="00C326FF">
            <w:pPr>
              <w:widowControl w:val="0"/>
              <w:tabs>
                <w:tab w:val="decimal" w:pos="1062"/>
              </w:tabs>
              <w:spacing w:line="240" w:lineRule="atLeast"/>
              <w:ind w:right="-45"/>
              <w:rPr>
                <w:rFonts w:ascii="Arial" w:hAnsi="Arial" w:cs="Arial"/>
                <w:sz w:val="18"/>
                <w:szCs w:val="18"/>
                <w:lang w:val="en-CA"/>
              </w:rPr>
            </w:pPr>
            <w:r>
              <w:rPr>
                <w:rFonts w:ascii="Arial" w:hAnsi="Arial" w:cs="Arial"/>
                <w:sz w:val="18"/>
                <w:szCs w:val="18"/>
              </w:rPr>
              <w:t>175,506,640</w:t>
            </w:r>
          </w:p>
        </w:tc>
      </w:tr>
      <w:tr w:rsidR="00C326FF" w:rsidRPr="00002555" w14:paraId="56531471" w14:textId="77777777" w:rsidTr="005F3A2E">
        <w:tblPrEx>
          <w:tblLook w:val="01E0" w:firstRow="1" w:lastRow="1" w:firstColumn="1" w:lastColumn="1" w:noHBand="0" w:noVBand="0"/>
        </w:tblPrEx>
        <w:trPr>
          <w:trHeight w:val="232"/>
        </w:trPr>
        <w:tc>
          <w:tcPr>
            <w:tcW w:w="5872" w:type="dxa"/>
            <w:vAlign w:val="bottom"/>
          </w:tcPr>
          <w:p w14:paraId="275E37CB" w14:textId="77777777" w:rsidR="00C326FF" w:rsidRPr="00002555" w:rsidRDefault="00C326FF" w:rsidP="00C326FF">
            <w:pPr>
              <w:widowControl w:val="0"/>
              <w:spacing w:line="240" w:lineRule="atLeast"/>
              <w:rPr>
                <w:rFonts w:ascii="Arial" w:hAnsi="Arial" w:cs="Arial"/>
                <w:sz w:val="18"/>
                <w:szCs w:val="18"/>
                <w:lang w:val="en-CA"/>
              </w:rPr>
            </w:pPr>
            <w:r w:rsidRPr="00002555">
              <w:rPr>
                <w:rFonts w:ascii="Arial" w:hAnsi="Arial" w:cs="Arial"/>
                <w:sz w:val="18"/>
                <w:szCs w:val="18"/>
                <w:lang w:val="en-CA"/>
              </w:rPr>
              <w:lastRenderedPageBreak/>
              <w:t>Total assets</w:t>
            </w:r>
          </w:p>
        </w:tc>
        <w:tc>
          <w:tcPr>
            <w:tcW w:w="1398" w:type="dxa"/>
            <w:vAlign w:val="bottom"/>
          </w:tcPr>
          <w:p w14:paraId="648F3C9D" w14:textId="5493CB91" w:rsidR="00C326FF" w:rsidRPr="00257237" w:rsidRDefault="00642CD0" w:rsidP="00C326FF">
            <w:pPr>
              <w:widowControl w:val="0"/>
              <w:tabs>
                <w:tab w:val="decimal" w:pos="1062"/>
              </w:tabs>
              <w:spacing w:line="240" w:lineRule="atLeast"/>
              <w:ind w:right="-45"/>
              <w:jc w:val="center"/>
              <w:rPr>
                <w:rFonts w:ascii="Arial" w:hAnsi="Arial" w:cs="Arial"/>
                <w:sz w:val="18"/>
                <w:szCs w:val="18"/>
                <w:lang w:val="en-CA"/>
              </w:rPr>
            </w:pPr>
            <w:r>
              <w:rPr>
                <w:rFonts w:ascii="Arial" w:hAnsi="Arial" w:cs="Arial"/>
                <w:sz w:val="18"/>
                <w:szCs w:val="18"/>
                <w:lang w:val="en-CA"/>
              </w:rPr>
              <w:t>293,165,032</w:t>
            </w:r>
          </w:p>
        </w:tc>
        <w:tc>
          <w:tcPr>
            <w:tcW w:w="1490" w:type="dxa"/>
            <w:vAlign w:val="bottom"/>
          </w:tcPr>
          <w:p w14:paraId="66153304" w14:textId="58D7BB71" w:rsidR="00C326FF" w:rsidRPr="00002555" w:rsidRDefault="00C326FF" w:rsidP="00C326FF">
            <w:pPr>
              <w:widowControl w:val="0"/>
              <w:tabs>
                <w:tab w:val="decimal" w:pos="1062"/>
              </w:tabs>
              <w:spacing w:line="240" w:lineRule="atLeast"/>
              <w:ind w:right="-45"/>
              <w:rPr>
                <w:rFonts w:ascii="Arial" w:hAnsi="Arial" w:cs="Arial"/>
                <w:sz w:val="18"/>
                <w:szCs w:val="18"/>
                <w:lang w:val="en-CA"/>
              </w:rPr>
            </w:pPr>
            <w:r>
              <w:rPr>
                <w:rFonts w:ascii="Arial" w:hAnsi="Arial" w:cs="Arial"/>
                <w:sz w:val="18"/>
                <w:szCs w:val="18"/>
              </w:rPr>
              <w:t>218,188,749</w:t>
            </w:r>
          </w:p>
        </w:tc>
      </w:tr>
      <w:tr w:rsidR="00C326FF" w:rsidRPr="00002555" w14:paraId="7CEC6EB4" w14:textId="77777777" w:rsidTr="005F3A2E">
        <w:tblPrEx>
          <w:tblLook w:val="01E0" w:firstRow="1" w:lastRow="1" w:firstColumn="1" w:lastColumn="1" w:noHBand="0" w:noVBand="0"/>
        </w:tblPrEx>
        <w:trPr>
          <w:trHeight w:val="221"/>
        </w:trPr>
        <w:tc>
          <w:tcPr>
            <w:tcW w:w="5872" w:type="dxa"/>
            <w:vAlign w:val="bottom"/>
          </w:tcPr>
          <w:p w14:paraId="4C4413C8" w14:textId="45A9E7B2" w:rsidR="00C326FF" w:rsidRPr="00002555" w:rsidRDefault="00C326FF" w:rsidP="00C326FF">
            <w:pPr>
              <w:widowControl w:val="0"/>
              <w:spacing w:line="240" w:lineRule="atLeast"/>
              <w:rPr>
                <w:rFonts w:ascii="Arial" w:hAnsi="Arial" w:cs="Arial"/>
                <w:sz w:val="18"/>
                <w:szCs w:val="18"/>
                <w:lang w:val="en-CA"/>
              </w:rPr>
            </w:pPr>
            <w:r w:rsidRPr="00002555">
              <w:rPr>
                <w:rFonts w:ascii="Arial" w:hAnsi="Arial" w:cs="Arial"/>
                <w:sz w:val="18"/>
                <w:szCs w:val="18"/>
                <w:lang w:val="en-CA"/>
              </w:rPr>
              <w:t xml:space="preserve">Non-current financial liabilities </w:t>
            </w:r>
            <w:r w:rsidRPr="00002555">
              <w:rPr>
                <w:rFonts w:ascii="Arial" w:hAnsi="Arial" w:cs="Arial"/>
                <w:sz w:val="18"/>
                <w:szCs w:val="18"/>
                <w:vertAlign w:val="superscript"/>
                <w:lang w:val="en-CA"/>
              </w:rPr>
              <w:t>(1)</w:t>
            </w:r>
          </w:p>
        </w:tc>
        <w:tc>
          <w:tcPr>
            <w:tcW w:w="1398" w:type="dxa"/>
            <w:vAlign w:val="bottom"/>
          </w:tcPr>
          <w:p w14:paraId="6AB7CC9A" w14:textId="3F556C9E" w:rsidR="00C326FF" w:rsidRPr="00257237" w:rsidRDefault="00642CD0" w:rsidP="00C326FF">
            <w:pPr>
              <w:widowControl w:val="0"/>
              <w:tabs>
                <w:tab w:val="decimal" w:pos="1062"/>
              </w:tabs>
              <w:spacing w:line="240" w:lineRule="atLeast"/>
              <w:ind w:right="-45"/>
              <w:jc w:val="center"/>
              <w:rPr>
                <w:rFonts w:ascii="Arial" w:hAnsi="Arial" w:cs="Arial"/>
                <w:sz w:val="18"/>
                <w:szCs w:val="18"/>
                <w:lang w:val="en-CA"/>
              </w:rPr>
            </w:pPr>
            <w:r>
              <w:rPr>
                <w:rFonts w:ascii="Arial" w:hAnsi="Arial" w:cs="Arial"/>
                <w:sz w:val="18"/>
                <w:szCs w:val="18"/>
                <w:lang w:val="en-CA"/>
              </w:rPr>
              <w:t>42,801,599</w:t>
            </w:r>
          </w:p>
        </w:tc>
        <w:tc>
          <w:tcPr>
            <w:tcW w:w="1490" w:type="dxa"/>
            <w:vAlign w:val="bottom"/>
          </w:tcPr>
          <w:p w14:paraId="28310DD5" w14:textId="6D9166F2" w:rsidR="00C326FF" w:rsidRPr="00002555" w:rsidRDefault="00C326FF" w:rsidP="00C326FF">
            <w:pPr>
              <w:widowControl w:val="0"/>
              <w:tabs>
                <w:tab w:val="decimal" w:pos="1062"/>
              </w:tabs>
              <w:spacing w:line="240" w:lineRule="atLeast"/>
              <w:ind w:right="-45"/>
              <w:rPr>
                <w:rFonts w:ascii="Arial" w:hAnsi="Arial" w:cs="Arial"/>
                <w:sz w:val="18"/>
                <w:szCs w:val="18"/>
                <w:lang w:val="en-CA"/>
              </w:rPr>
            </w:pPr>
            <w:r>
              <w:rPr>
                <w:rFonts w:ascii="Arial" w:hAnsi="Arial" w:cs="Arial"/>
                <w:sz w:val="18"/>
                <w:szCs w:val="18"/>
              </w:rPr>
              <w:t>31,945,591</w:t>
            </w:r>
          </w:p>
        </w:tc>
      </w:tr>
      <w:tr w:rsidR="00C326FF" w:rsidRPr="00002555" w14:paraId="796826EC" w14:textId="77777777" w:rsidTr="005F3A2E">
        <w:tblPrEx>
          <w:tblLook w:val="01E0" w:firstRow="1" w:lastRow="1" w:firstColumn="1" w:lastColumn="1" w:noHBand="0" w:noVBand="0"/>
        </w:tblPrEx>
        <w:trPr>
          <w:trHeight w:val="221"/>
        </w:trPr>
        <w:tc>
          <w:tcPr>
            <w:tcW w:w="5872" w:type="dxa"/>
            <w:vAlign w:val="bottom"/>
          </w:tcPr>
          <w:p w14:paraId="155FF6CA" w14:textId="77777777" w:rsidR="00C326FF" w:rsidRPr="00002555" w:rsidRDefault="00C326FF" w:rsidP="00C326FF">
            <w:pPr>
              <w:widowControl w:val="0"/>
              <w:spacing w:line="240" w:lineRule="atLeast"/>
              <w:rPr>
                <w:rFonts w:ascii="Arial" w:hAnsi="Arial" w:cs="Arial"/>
                <w:sz w:val="18"/>
                <w:szCs w:val="18"/>
                <w:lang w:val="en-CA"/>
              </w:rPr>
            </w:pPr>
            <w:r w:rsidRPr="00002555">
              <w:rPr>
                <w:rFonts w:ascii="Arial" w:hAnsi="Arial" w:cs="Arial"/>
                <w:sz w:val="18"/>
                <w:szCs w:val="18"/>
                <w:lang w:val="en-CA"/>
              </w:rPr>
              <w:t>Share capital</w:t>
            </w:r>
          </w:p>
        </w:tc>
        <w:tc>
          <w:tcPr>
            <w:tcW w:w="1398" w:type="dxa"/>
            <w:vAlign w:val="bottom"/>
          </w:tcPr>
          <w:p w14:paraId="1D8B5F8D" w14:textId="32C73BC2" w:rsidR="00C326FF" w:rsidRPr="00257237" w:rsidRDefault="00C326FF" w:rsidP="00C326FF">
            <w:pPr>
              <w:widowControl w:val="0"/>
              <w:tabs>
                <w:tab w:val="decimal" w:pos="1062"/>
              </w:tabs>
              <w:spacing w:line="240" w:lineRule="atLeast"/>
              <w:ind w:right="-45"/>
              <w:jc w:val="center"/>
              <w:rPr>
                <w:rFonts w:ascii="Arial" w:hAnsi="Arial" w:cs="Arial"/>
                <w:sz w:val="18"/>
                <w:szCs w:val="18"/>
                <w:lang w:val="en-CA"/>
              </w:rPr>
            </w:pPr>
            <w:r>
              <w:rPr>
                <w:rFonts w:ascii="Arial" w:hAnsi="Arial" w:cs="Arial"/>
                <w:sz w:val="18"/>
                <w:szCs w:val="18"/>
              </w:rPr>
              <w:t>56,456,328</w:t>
            </w:r>
          </w:p>
        </w:tc>
        <w:tc>
          <w:tcPr>
            <w:tcW w:w="1490" w:type="dxa"/>
            <w:vAlign w:val="bottom"/>
          </w:tcPr>
          <w:p w14:paraId="06DD7899" w14:textId="41250D15" w:rsidR="00C326FF" w:rsidRPr="00002555" w:rsidRDefault="00C326FF" w:rsidP="00C326FF">
            <w:pPr>
              <w:widowControl w:val="0"/>
              <w:tabs>
                <w:tab w:val="decimal" w:pos="1062"/>
              </w:tabs>
              <w:spacing w:line="240" w:lineRule="atLeast"/>
              <w:ind w:right="-45"/>
              <w:rPr>
                <w:rFonts w:ascii="Arial" w:hAnsi="Arial" w:cs="Arial"/>
                <w:sz w:val="18"/>
                <w:szCs w:val="18"/>
                <w:lang w:val="en-CA"/>
              </w:rPr>
            </w:pPr>
            <w:r>
              <w:rPr>
                <w:rFonts w:ascii="Arial" w:hAnsi="Arial" w:cs="Arial"/>
                <w:sz w:val="18"/>
                <w:szCs w:val="18"/>
              </w:rPr>
              <w:t>56,456,328</w:t>
            </w:r>
          </w:p>
        </w:tc>
      </w:tr>
      <w:tr w:rsidR="00C326FF" w:rsidRPr="00002555" w14:paraId="7AB455A5" w14:textId="77777777" w:rsidTr="005F3A2E">
        <w:tblPrEx>
          <w:tblLook w:val="01E0" w:firstRow="1" w:lastRow="1" w:firstColumn="1" w:lastColumn="1" w:noHBand="0" w:noVBand="0"/>
        </w:tblPrEx>
        <w:trPr>
          <w:trHeight w:val="221"/>
        </w:trPr>
        <w:tc>
          <w:tcPr>
            <w:tcW w:w="5872" w:type="dxa"/>
            <w:tcBorders>
              <w:bottom w:val="single" w:sz="12" w:space="0" w:color="auto"/>
            </w:tcBorders>
            <w:vAlign w:val="bottom"/>
          </w:tcPr>
          <w:p w14:paraId="2BAA256B" w14:textId="77777777" w:rsidR="00C326FF" w:rsidRPr="00002555" w:rsidRDefault="00C326FF" w:rsidP="00C326FF">
            <w:pPr>
              <w:widowControl w:val="0"/>
              <w:spacing w:line="240" w:lineRule="atLeast"/>
              <w:rPr>
                <w:rFonts w:ascii="Arial" w:hAnsi="Arial" w:cs="Arial"/>
                <w:sz w:val="18"/>
                <w:szCs w:val="18"/>
                <w:lang w:val="en-CA"/>
              </w:rPr>
            </w:pPr>
            <w:r w:rsidRPr="00002555">
              <w:rPr>
                <w:rFonts w:ascii="Arial" w:hAnsi="Arial" w:cs="Arial"/>
                <w:sz w:val="18"/>
                <w:szCs w:val="18"/>
                <w:lang w:val="en-CA"/>
              </w:rPr>
              <w:t xml:space="preserve">Total common shares outstanding </w:t>
            </w:r>
          </w:p>
        </w:tc>
        <w:tc>
          <w:tcPr>
            <w:tcW w:w="1398" w:type="dxa"/>
            <w:tcBorders>
              <w:bottom w:val="single" w:sz="12" w:space="0" w:color="auto"/>
            </w:tcBorders>
            <w:vAlign w:val="center"/>
          </w:tcPr>
          <w:p w14:paraId="396A531D" w14:textId="1C207EA9" w:rsidR="00C326FF" w:rsidRPr="00257237" w:rsidRDefault="00C326FF" w:rsidP="00C326FF">
            <w:pPr>
              <w:widowControl w:val="0"/>
              <w:tabs>
                <w:tab w:val="decimal" w:pos="1062"/>
              </w:tabs>
              <w:spacing w:line="240" w:lineRule="atLeast"/>
              <w:ind w:right="-45"/>
              <w:jc w:val="center"/>
              <w:rPr>
                <w:rFonts w:ascii="Arial" w:hAnsi="Arial" w:cs="Arial"/>
                <w:sz w:val="18"/>
                <w:szCs w:val="18"/>
                <w:lang w:val="en-CA"/>
              </w:rPr>
            </w:pPr>
            <w:r>
              <w:rPr>
                <w:rFonts w:ascii="Arial" w:hAnsi="Arial" w:cs="Arial"/>
                <w:sz w:val="18"/>
                <w:szCs w:val="18"/>
              </w:rPr>
              <w:t>72,903,038</w:t>
            </w:r>
          </w:p>
        </w:tc>
        <w:tc>
          <w:tcPr>
            <w:tcW w:w="1490" w:type="dxa"/>
            <w:tcBorders>
              <w:bottom w:val="single" w:sz="12" w:space="0" w:color="auto"/>
            </w:tcBorders>
            <w:vAlign w:val="center"/>
          </w:tcPr>
          <w:p w14:paraId="3F033FD3" w14:textId="03DA60DF" w:rsidR="00C326FF" w:rsidRPr="00002555" w:rsidRDefault="00C326FF" w:rsidP="00C326FF">
            <w:pPr>
              <w:widowControl w:val="0"/>
              <w:tabs>
                <w:tab w:val="decimal" w:pos="1062"/>
              </w:tabs>
              <w:spacing w:line="240" w:lineRule="atLeast"/>
              <w:ind w:right="-45"/>
              <w:rPr>
                <w:rFonts w:ascii="Arial" w:hAnsi="Arial" w:cs="Arial"/>
                <w:sz w:val="18"/>
                <w:szCs w:val="18"/>
                <w:lang w:val="en-CA"/>
              </w:rPr>
            </w:pPr>
            <w:r>
              <w:rPr>
                <w:rFonts w:ascii="Arial" w:hAnsi="Arial" w:cs="Arial"/>
                <w:sz w:val="18"/>
                <w:szCs w:val="18"/>
              </w:rPr>
              <w:t>72,903,038</w:t>
            </w:r>
          </w:p>
        </w:tc>
      </w:tr>
    </w:tbl>
    <w:p w14:paraId="5F79694C" w14:textId="77777777" w:rsidR="00946DA2" w:rsidRDefault="00946DA2" w:rsidP="004F7EFE">
      <w:pPr>
        <w:widowControl w:val="0"/>
        <w:spacing w:before="40"/>
        <w:jc w:val="both"/>
        <w:rPr>
          <w:rFonts w:ascii="Arial" w:hAnsi="Arial" w:cs="Arial"/>
          <w:sz w:val="18"/>
          <w:szCs w:val="18"/>
          <w:vertAlign w:val="superscript"/>
        </w:rPr>
      </w:pPr>
    </w:p>
    <w:p w14:paraId="43917D0E" w14:textId="77777777" w:rsidR="00642CD0" w:rsidRDefault="00642CD0" w:rsidP="004F7EFE">
      <w:pPr>
        <w:widowControl w:val="0"/>
        <w:spacing w:before="40"/>
        <w:jc w:val="both"/>
        <w:rPr>
          <w:rFonts w:ascii="Arial" w:hAnsi="Arial" w:cs="Arial"/>
          <w:sz w:val="18"/>
          <w:szCs w:val="18"/>
          <w:vertAlign w:val="superscript"/>
        </w:rPr>
      </w:pPr>
    </w:p>
    <w:p w14:paraId="6061EC87" w14:textId="77777777" w:rsidR="00642CD0" w:rsidRDefault="00642CD0" w:rsidP="004F7EFE">
      <w:pPr>
        <w:widowControl w:val="0"/>
        <w:spacing w:before="40"/>
        <w:jc w:val="both"/>
        <w:rPr>
          <w:rFonts w:ascii="Arial" w:hAnsi="Arial" w:cs="Arial"/>
          <w:sz w:val="18"/>
          <w:szCs w:val="18"/>
          <w:vertAlign w:val="superscript"/>
        </w:rPr>
      </w:pPr>
    </w:p>
    <w:p w14:paraId="6DC76310" w14:textId="77777777" w:rsidR="00642CD0" w:rsidRDefault="00642CD0" w:rsidP="004F7EFE">
      <w:pPr>
        <w:widowControl w:val="0"/>
        <w:spacing w:before="40"/>
        <w:jc w:val="both"/>
        <w:rPr>
          <w:rFonts w:ascii="Arial" w:hAnsi="Arial" w:cs="Arial"/>
          <w:sz w:val="18"/>
          <w:szCs w:val="18"/>
          <w:vertAlign w:val="superscript"/>
        </w:rPr>
      </w:pPr>
    </w:p>
    <w:tbl>
      <w:tblPr>
        <w:tblW w:w="9900" w:type="dxa"/>
        <w:tblLayout w:type="fixed"/>
        <w:tblLook w:val="0400" w:firstRow="0" w:lastRow="0" w:firstColumn="0" w:lastColumn="0" w:noHBand="0" w:noVBand="1"/>
      </w:tblPr>
      <w:tblGrid>
        <w:gridCol w:w="4770"/>
        <w:gridCol w:w="1282"/>
        <w:gridCol w:w="1283"/>
        <w:gridCol w:w="1282"/>
        <w:gridCol w:w="1283"/>
      </w:tblGrid>
      <w:tr w:rsidR="0015755E" w:rsidRPr="00C0574C" w14:paraId="03423B4A" w14:textId="77777777" w:rsidTr="0097153E">
        <w:trPr>
          <w:trHeight w:val="275"/>
        </w:trPr>
        <w:tc>
          <w:tcPr>
            <w:tcW w:w="4770" w:type="dxa"/>
            <w:tcBorders>
              <w:top w:val="single" w:sz="12" w:space="0" w:color="000000"/>
            </w:tcBorders>
            <w:vAlign w:val="bottom"/>
          </w:tcPr>
          <w:p w14:paraId="42654190" w14:textId="77777777" w:rsidR="0015755E" w:rsidRPr="00C0574C" w:rsidRDefault="0015755E" w:rsidP="0097153E">
            <w:pPr>
              <w:widowControl w:val="0"/>
              <w:pBdr>
                <w:top w:val="nil"/>
                <w:left w:val="nil"/>
                <w:bottom w:val="nil"/>
                <w:right w:val="nil"/>
                <w:between w:val="nil"/>
              </w:pBdr>
              <w:spacing w:before="60"/>
              <w:rPr>
                <w:rFonts w:ascii="Arial" w:hAnsi="Arial" w:cs="Arial"/>
                <w:color w:val="000000"/>
                <w:sz w:val="18"/>
                <w:szCs w:val="18"/>
              </w:rPr>
            </w:pPr>
            <w:r w:rsidRPr="00C0574C">
              <w:rPr>
                <w:rFonts w:ascii="Arial" w:hAnsi="Arial" w:cs="Arial"/>
                <w:color w:val="000000"/>
                <w:sz w:val="18"/>
                <w:szCs w:val="18"/>
              </w:rPr>
              <w:t>(expressed in $, except shares outstanding)</w:t>
            </w:r>
          </w:p>
        </w:tc>
        <w:tc>
          <w:tcPr>
            <w:tcW w:w="2565" w:type="dxa"/>
            <w:gridSpan w:val="2"/>
            <w:tcBorders>
              <w:top w:val="single" w:sz="12" w:space="0" w:color="000000"/>
            </w:tcBorders>
            <w:vAlign w:val="bottom"/>
          </w:tcPr>
          <w:p w14:paraId="4190FD97" w14:textId="77777777" w:rsidR="0015755E" w:rsidRPr="00C0574C" w:rsidRDefault="0015755E" w:rsidP="0097153E">
            <w:pPr>
              <w:widowControl w:val="0"/>
              <w:pBdr>
                <w:top w:val="nil"/>
                <w:left w:val="nil"/>
                <w:bottom w:val="nil"/>
                <w:right w:val="nil"/>
                <w:between w:val="nil"/>
              </w:pBdr>
              <w:spacing w:before="60"/>
              <w:jc w:val="center"/>
              <w:rPr>
                <w:rFonts w:ascii="Arial" w:hAnsi="Arial" w:cs="Arial"/>
                <w:b/>
                <w:color w:val="000000"/>
                <w:sz w:val="16"/>
                <w:szCs w:val="16"/>
              </w:rPr>
            </w:pPr>
            <w:r w:rsidRPr="00C0574C">
              <w:rPr>
                <w:rFonts w:ascii="Arial" w:hAnsi="Arial" w:cs="Arial"/>
                <w:b/>
                <w:color w:val="000000"/>
                <w:sz w:val="16"/>
                <w:szCs w:val="16"/>
              </w:rPr>
              <w:t>Three months ended</w:t>
            </w:r>
          </w:p>
        </w:tc>
        <w:tc>
          <w:tcPr>
            <w:tcW w:w="2565" w:type="dxa"/>
            <w:gridSpan w:val="2"/>
            <w:tcBorders>
              <w:top w:val="single" w:sz="12" w:space="0" w:color="000000"/>
            </w:tcBorders>
            <w:vAlign w:val="bottom"/>
          </w:tcPr>
          <w:p w14:paraId="725D603F" w14:textId="77777777" w:rsidR="0015755E" w:rsidRPr="00C0574C" w:rsidRDefault="0015755E" w:rsidP="0097153E">
            <w:pPr>
              <w:widowControl w:val="0"/>
              <w:pBdr>
                <w:top w:val="nil"/>
                <w:left w:val="nil"/>
                <w:bottom w:val="nil"/>
                <w:right w:val="nil"/>
                <w:between w:val="nil"/>
              </w:pBdr>
              <w:spacing w:before="60"/>
              <w:jc w:val="center"/>
              <w:rPr>
                <w:rFonts w:ascii="Arial" w:hAnsi="Arial" w:cs="Arial"/>
                <w:b/>
                <w:color w:val="000000"/>
                <w:sz w:val="16"/>
                <w:szCs w:val="16"/>
              </w:rPr>
            </w:pPr>
            <w:r>
              <w:rPr>
                <w:rFonts w:ascii="Arial" w:hAnsi="Arial" w:cs="Arial"/>
                <w:b/>
                <w:color w:val="000000"/>
                <w:sz w:val="16"/>
                <w:szCs w:val="16"/>
              </w:rPr>
              <w:t>Year e</w:t>
            </w:r>
            <w:r w:rsidRPr="00C0574C">
              <w:rPr>
                <w:rFonts w:ascii="Arial" w:hAnsi="Arial" w:cs="Arial"/>
                <w:b/>
                <w:color w:val="000000"/>
                <w:sz w:val="16"/>
                <w:szCs w:val="16"/>
              </w:rPr>
              <w:t>nded</w:t>
            </w:r>
          </w:p>
        </w:tc>
      </w:tr>
      <w:tr w:rsidR="0015755E" w:rsidRPr="00C0574C" w14:paraId="49166B65" w14:textId="77777777" w:rsidTr="0097153E">
        <w:trPr>
          <w:trHeight w:val="279"/>
        </w:trPr>
        <w:tc>
          <w:tcPr>
            <w:tcW w:w="4770" w:type="dxa"/>
          </w:tcPr>
          <w:p w14:paraId="1EE936AA" w14:textId="77777777" w:rsidR="0015755E" w:rsidRPr="00C0574C" w:rsidRDefault="0015755E" w:rsidP="0097153E">
            <w:pPr>
              <w:widowControl w:val="0"/>
              <w:pBdr>
                <w:top w:val="nil"/>
                <w:left w:val="nil"/>
                <w:bottom w:val="nil"/>
                <w:right w:val="nil"/>
                <w:between w:val="nil"/>
              </w:pBdr>
              <w:jc w:val="both"/>
              <w:rPr>
                <w:rFonts w:ascii="Arial" w:hAnsi="Arial" w:cs="Arial"/>
                <w:color w:val="000000"/>
                <w:sz w:val="18"/>
                <w:szCs w:val="18"/>
              </w:rPr>
            </w:pPr>
          </w:p>
        </w:tc>
        <w:tc>
          <w:tcPr>
            <w:tcW w:w="2565" w:type="dxa"/>
            <w:gridSpan w:val="2"/>
            <w:vAlign w:val="bottom"/>
          </w:tcPr>
          <w:p w14:paraId="73E2D4C0" w14:textId="77777777" w:rsidR="0015755E" w:rsidRPr="00C0574C" w:rsidRDefault="0015755E" w:rsidP="0097153E">
            <w:pPr>
              <w:widowControl w:val="0"/>
              <w:pBdr>
                <w:top w:val="nil"/>
                <w:left w:val="nil"/>
                <w:bottom w:val="nil"/>
                <w:right w:val="nil"/>
                <w:between w:val="nil"/>
              </w:pBdr>
              <w:jc w:val="center"/>
              <w:rPr>
                <w:rFonts w:ascii="Arial" w:hAnsi="Arial" w:cs="Arial"/>
                <w:b/>
                <w:color w:val="000000"/>
                <w:sz w:val="16"/>
                <w:szCs w:val="16"/>
              </w:rPr>
            </w:pPr>
            <w:r>
              <w:rPr>
                <w:rFonts w:ascii="Arial" w:hAnsi="Arial" w:cs="Arial"/>
                <w:b/>
                <w:color w:val="000000"/>
                <w:sz w:val="16"/>
                <w:szCs w:val="16"/>
              </w:rPr>
              <w:t>December</w:t>
            </w:r>
            <w:r w:rsidRPr="00C0574C">
              <w:rPr>
                <w:rFonts w:ascii="Arial" w:hAnsi="Arial" w:cs="Arial"/>
                <w:b/>
                <w:color w:val="000000"/>
                <w:sz w:val="16"/>
                <w:szCs w:val="16"/>
              </w:rPr>
              <w:t xml:space="preserve"> 3</w:t>
            </w:r>
            <w:r>
              <w:rPr>
                <w:rFonts w:ascii="Arial" w:hAnsi="Arial" w:cs="Arial"/>
                <w:b/>
                <w:color w:val="000000"/>
                <w:sz w:val="16"/>
                <w:szCs w:val="16"/>
              </w:rPr>
              <w:t>1</w:t>
            </w:r>
          </w:p>
        </w:tc>
        <w:tc>
          <w:tcPr>
            <w:tcW w:w="2565" w:type="dxa"/>
            <w:gridSpan w:val="2"/>
            <w:vAlign w:val="bottom"/>
          </w:tcPr>
          <w:p w14:paraId="6008B50C" w14:textId="77777777" w:rsidR="0015755E" w:rsidRPr="00C0574C" w:rsidRDefault="0015755E" w:rsidP="0097153E">
            <w:pPr>
              <w:widowControl w:val="0"/>
              <w:pBdr>
                <w:top w:val="nil"/>
                <w:left w:val="nil"/>
                <w:bottom w:val="nil"/>
                <w:right w:val="nil"/>
                <w:between w:val="nil"/>
              </w:pBdr>
              <w:jc w:val="center"/>
              <w:rPr>
                <w:rFonts w:ascii="Arial" w:hAnsi="Arial" w:cs="Arial"/>
                <w:b/>
                <w:color w:val="000000"/>
                <w:sz w:val="16"/>
                <w:szCs w:val="16"/>
              </w:rPr>
            </w:pPr>
            <w:r>
              <w:rPr>
                <w:rFonts w:ascii="Arial" w:hAnsi="Arial" w:cs="Arial"/>
                <w:b/>
                <w:color w:val="000000"/>
                <w:sz w:val="16"/>
                <w:szCs w:val="16"/>
              </w:rPr>
              <w:t>December</w:t>
            </w:r>
            <w:r w:rsidRPr="00C0574C">
              <w:rPr>
                <w:rFonts w:ascii="Arial" w:hAnsi="Arial" w:cs="Arial"/>
                <w:b/>
                <w:color w:val="000000"/>
                <w:sz w:val="16"/>
                <w:szCs w:val="16"/>
              </w:rPr>
              <w:t xml:space="preserve"> 3</w:t>
            </w:r>
            <w:r>
              <w:rPr>
                <w:rFonts w:ascii="Arial" w:hAnsi="Arial" w:cs="Arial"/>
                <w:b/>
                <w:color w:val="000000"/>
                <w:sz w:val="16"/>
                <w:szCs w:val="16"/>
              </w:rPr>
              <w:t>1</w:t>
            </w:r>
          </w:p>
        </w:tc>
      </w:tr>
      <w:tr w:rsidR="0015755E" w:rsidRPr="00C0574C" w14:paraId="3431E514" w14:textId="77777777" w:rsidTr="001B1418">
        <w:trPr>
          <w:trHeight w:val="197"/>
        </w:trPr>
        <w:tc>
          <w:tcPr>
            <w:tcW w:w="4770" w:type="dxa"/>
            <w:tcBorders>
              <w:bottom w:val="single" w:sz="4" w:space="0" w:color="auto"/>
            </w:tcBorders>
          </w:tcPr>
          <w:p w14:paraId="7C22D9F4" w14:textId="77777777" w:rsidR="0015755E" w:rsidRPr="00C0574C" w:rsidRDefault="0015755E" w:rsidP="0015755E">
            <w:pPr>
              <w:widowControl w:val="0"/>
              <w:pBdr>
                <w:top w:val="nil"/>
                <w:left w:val="nil"/>
                <w:bottom w:val="nil"/>
                <w:right w:val="nil"/>
                <w:between w:val="nil"/>
              </w:pBdr>
              <w:jc w:val="both"/>
              <w:rPr>
                <w:rFonts w:ascii="Arial" w:hAnsi="Arial" w:cs="Arial"/>
                <w:color w:val="000000"/>
                <w:sz w:val="18"/>
                <w:szCs w:val="18"/>
              </w:rPr>
            </w:pPr>
          </w:p>
        </w:tc>
        <w:tc>
          <w:tcPr>
            <w:tcW w:w="1282" w:type="dxa"/>
            <w:tcBorders>
              <w:bottom w:val="single" w:sz="4" w:space="0" w:color="auto"/>
            </w:tcBorders>
          </w:tcPr>
          <w:p w14:paraId="601064CB" w14:textId="4FA4E381" w:rsidR="001B1418" w:rsidRPr="00C0574C" w:rsidRDefault="0015755E" w:rsidP="001B1418">
            <w:pPr>
              <w:widowControl w:val="0"/>
              <w:pBdr>
                <w:top w:val="nil"/>
                <w:left w:val="nil"/>
                <w:bottom w:val="nil"/>
                <w:right w:val="nil"/>
                <w:between w:val="nil"/>
              </w:pBdr>
              <w:jc w:val="center"/>
              <w:rPr>
                <w:rFonts w:ascii="Arial" w:hAnsi="Arial" w:cs="Arial"/>
                <w:b/>
                <w:color w:val="000000"/>
                <w:sz w:val="16"/>
                <w:szCs w:val="16"/>
              </w:rPr>
            </w:pPr>
            <w:r w:rsidRPr="00C0574C">
              <w:rPr>
                <w:rFonts w:ascii="Arial" w:hAnsi="Arial" w:cs="Arial"/>
                <w:b/>
                <w:color w:val="000000"/>
                <w:sz w:val="16"/>
                <w:szCs w:val="16"/>
              </w:rPr>
              <w:t>202</w:t>
            </w:r>
            <w:r w:rsidR="009F4923">
              <w:rPr>
                <w:rFonts w:ascii="Arial" w:hAnsi="Arial" w:cs="Arial"/>
                <w:b/>
                <w:color w:val="000000"/>
                <w:sz w:val="16"/>
                <w:szCs w:val="16"/>
              </w:rPr>
              <w:t>5</w:t>
            </w:r>
          </w:p>
        </w:tc>
        <w:tc>
          <w:tcPr>
            <w:tcW w:w="1283" w:type="dxa"/>
            <w:tcBorders>
              <w:bottom w:val="single" w:sz="4" w:space="0" w:color="auto"/>
            </w:tcBorders>
          </w:tcPr>
          <w:p w14:paraId="6FF7A306" w14:textId="2959E445" w:rsidR="0015755E" w:rsidRPr="00C0574C" w:rsidRDefault="0015755E" w:rsidP="001B1418">
            <w:pPr>
              <w:widowControl w:val="0"/>
              <w:pBdr>
                <w:top w:val="nil"/>
                <w:left w:val="nil"/>
                <w:bottom w:val="nil"/>
                <w:right w:val="nil"/>
                <w:between w:val="nil"/>
              </w:pBdr>
              <w:jc w:val="center"/>
              <w:rPr>
                <w:rFonts w:ascii="Arial" w:hAnsi="Arial" w:cs="Arial"/>
                <w:b/>
                <w:color w:val="000000"/>
                <w:sz w:val="16"/>
                <w:szCs w:val="16"/>
              </w:rPr>
            </w:pPr>
            <w:r w:rsidRPr="00C0574C">
              <w:rPr>
                <w:rFonts w:ascii="Arial" w:hAnsi="Arial" w:cs="Arial"/>
                <w:b/>
                <w:color w:val="000000"/>
                <w:sz w:val="16"/>
                <w:szCs w:val="16"/>
              </w:rPr>
              <w:t>202</w:t>
            </w:r>
            <w:r w:rsidR="009F4923">
              <w:rPr>
                <w:rFonts w:ascii="Arial" w:hAnsi="Arial" w:cs="Arial"/>
                <w:b/>
                <w:color w:val="000000"/>
                <w:sz w:val="16"/>
                <w:szCs w:val="16"/>
              </w:rPr>
              <w:t>4</w:t>
            </w:r>
          </w:p>
        </w:tc>
        <w:tc>
          <w:tcPr>
            <w:tcW w:w="1282" w:type="dxa"/>
            <w:tcBorders>
              <w:bottom w:val="single" w:sz="4" w:space="0" w:color="auto"/>
            </w:tcBorders>
            <w:vAlign w:val="bottom"/>
          </w:tcPr>
          <w:p w14:paraId="2411AACE" w14:textId="29132ACD" w:rsidR="0015755E" w:rsidRDefault="0015755E" w:rsidP="0015755E">
            <w:pPr>
              <w:widowControl w:val="0"/>
              <w:pBdr>
                <w:top w:val="nil"/>
                <w:left w:val="nil"/>
                <w:bottom w:val="nil"/>
                <w:right w:val="nil"/>
                <w:between w:val="nil"/>
              </w:pBdr>
              <w:jc w:val="center"/>
              <w:rPr>
                <w:rFonts w:ascii="Arial" w:hAnsi="Arial" w:cs="Arial"/>
                <w:b/>
                <w:color w:val="000000"/>
                <w:sz w:val="16"/>
                <w:szCs w:val="16"/>
              </w:rPr>
            </w:pPr>
            <w:r w:rsidRPr="00C0574C">
              <w:rPr>
                <w:rFonts w:ascii="Arial" w:hAnsi="Arial" w:cs="Arial"/>
                <w:b/>
                <w:color w:val="000000"/>
                <w:sz w:val="16"/>
                <w:szCs w:val="16"/>
              </w:rPr>
              <w:t>202</w:t>
            </w:r>
            <w:r w:rsidR="009F4923">
              <w:rPr>
                <w:rFonts w:ascii="Arial" w:hAnsi="Arial" w:cs="Arial"/>
                <w:b/>
                <w:color w:val="000000"/>
                <w:sz w:val="16"/>
                <w:szCs w:val="16"/>
              </w:rPr>
              <w:t>5</w:t>
            </w:r>
          </w:p>
          <w:p w14:paraId="0A3610DF" w14:textId="12EB9468" w:rsidR="001B1418" w:rsidRPr="00C0574C" w:rsidRDefault="001B1418" w:rsidP="0015755E">
            <w:pPr>
              <w:widowControl w:val="0"/>
              <w:pBdr>
                <w:top w:val="nil"/>
                <w:left w:val="nil"/>
                <w:bottom w:val="nil"/>
                <w:right w:val="nil"/>
                <w:between w:val="nil"/>
              </w:pBdr>
              <w:jc w:val="center"/>
              <w:rPr>
                <w:rFonts w:ascii="Arial" w:hAnsi="Arial" w:cs="Arial"/>
                <w:b/>
                <w:color w:val="000000"/>
                <w:sz w:val="16"/>
                <w:szCs w:val="16"/>
              </w:rPr>
            </w:pPr>
            <w:r>
              <w:rPr>
                <w:rFonts w:ascii="Arial" w:hAnsi="Arial" w:cs="Arial"/>
                <w:b/>
                <w:color w:val="000000"/>
                <w:sz w:val="16"/>
                <w:szCs w:val="16"/>
              </w:rPr>
              <w:t>(unaudited)</w:t>
            </w:r>
          </w:p>
        </w:tc>
        <w:tc>
          <w:tcPr>
            <w:tcW w:w="1283" w:type="dxa"/>
            <w:tcBorders>
              <w:bottom w:val="single" w:sz="4" w:space="0" w:color="auto"/>
            </w:tcBorders>
          </w:tcPr>
          <w:p w14:paraId="4B620778" w14:textId="760C74C5" w:rsidR="0015755E" w:rsidRDefault="0015755E" w:rsidP="001B1418">
            <w:pPr>
              <w:widowControl w:val="0"/>
              <w:pBdr>
                <w:top w:val="nil"/>
                <w:left w:val="nil"/>
                <w:bottom w:val="nil"/>
                <w:right w:val="nil"/>
                <w:between w:val="nil"/>
              </w:pBdr>
              <w:jc w:val="center"/>
              <w:rPr>
                <w:rFonts w:ascii="Arial" w:hAnsi="Arial" w:cs="Arial"/>
                <w:b/>
                <w:color w:val="000000"/>
                <w:sz w:val="16"/>
                <w:szCs w:val="16"/>
              </w:rPr>
            </w:pPr>
            <w:r w:rsidRPr="00C0574C">
              <w:rPr>
                <w:rFonts w:ascii="Arial" w:hAnsi="Arial" w:cs="Arial"/>
                <w:b/>
                <w:color w:val="000000"/>
                <w:sz w:val="16"/>
                <w:szCs w:val="16"/>
              </w:rPr>
              <w:t>202</w:t>
            </w:r>
            <w:r w:rsidR="009F4923">
              <w:rPr>
                <w:rFonts w:ascii="Arial" w:hAnsi="Arial" w:cs="Arial"/>
                <w:b/>
                <w:color w:val="000000"/>
                <w:sz w:val="16"/>
                <w:szCs w:val="16"/>
              </w:rPr>
              <w:t>4</w:t>
            </w:r>
          </w:p>
          <w:p w14:paraId="5731FFDF" w14:textId="78E7C330" w:rsidR="009F4923" w:rsidRPr="00C0574C" w:rsidRDefault="009F4923" w:rsidP="001B1418">
            <w:pPr>
              <w:widowControl w:val="0"/>
              <w:pBdr>
                <w:top w:val="nil"/>
                <w:left w:val="nil"/>
                <w:bottom w:val="nil"/>
                <w:right w:val="nil"/>
                <w:between w:val="nil"/>
              </w:pBdr>
              <w:jc w:val="center"/>
              <w:rPr>
                <w:rFonts w:ascii="Arial" w:hAnsi="Arial" w:cs="Arial"/>
                <w:b/>
                <w:color w:val="000000"/>
                <w:sz w:val="16"/>
                <w:szCs w:val="16"/>
              </w:rPr>
            </w:pPr>
            <w:r>
              <w:rPr>
                <w:rFonts w:ascii="Arial" w:hAnsi="Arial" w:cs="Arial"/>
                <w:b/>
                <w:color w:val="000000"/>
                <w:sz w:val="16"/>
                <w:szCs w:val="16"/>
              </w:rPr>
              <w:t>(audited)</w:t>
            </w:r>
          </w:p>
        </w:tc>
      </w:tr>
      <w:tr w:rsidR="009F4923" w:rsidRPr="00C0574C" w14:paraId="219C70B6" w14:textId="77777777" w:rsidTr="0015755E">
        <w:trPr>
          <w:trHeight w:val="207"/>
        </w:trPr>
        <w:tc>
          <w:tcPr>
            <w:tcW w:w="4770" w:type="dxa"/>
            <w:tcBorders>
              <w:top w:val="single" w:sz="4" w:space="0" w:color="auto"/>
            </w:tcBorders>
            <w:vAlign w:val="bottom"/>
          </w:tcPr>
          <w:p w14:paraId="792E0CA6" w14:textId="77777777" w:rsidR="009F4923" w:rsidRPr="00C0574C" w:rsidRDefault="009F4923" w:rsidP="009F4923">
            <w:pPr>
              <w:widowControl w:val="0"/>
              <w:pBdr>
                <w:top w:val="nil"/>
                <w:left w:val="nil"/>
                <w:bottom w:val="nil"/>
                <w:right w:val="nil"/>
                <w:between w:val="nil"/>
              </w:pBdr>
              <w:rPr>
                <w:rFonts w:ascii="Arial" w:hAnsi="Arial" w:cs="Arial"/>
                <w:color w:val="000000"/>
                <w:sz w:val="18"/>
                <w:szCs w:val="18"/>
              </w:rPr>
            </w:pPr>
            <w:r w:rsidRPr="00C0574C">
              <w:rPr>
                <w:rFonts w:ascii="Arial" w:hAnsi="Arial" w:cs="Arial"/>
                <w:color w:val="000000"/>
                <w:sz w:val="18"/>
                <w:szCs w:val="18"/>
              </w:rPr>
              <w:t>Oil and natural gas sales revenue</w:t>
            </w:r>
          </w:p>
        </w:tc>
        <w:tc>
          <w:tcPr>
            <w:tcW w:w="1282" w:type="dxa"/>
            <w:tcBorders>
              <w:top w:val="single" w:sz="4" w:space="0" w:color="auto"/>
            </w:tcBorders>
            <w:vAlign w:val="bottom"/>
          </w:tcPr>
          <w:p w14:paraId="76A83B15" w14:textId="7D0B1458" w:rsidR="009F4923" w:rsidRPr="007F1B62" w:rsidRDefault="008E263D" w:rsidP="009F4923">
            <w:pPr>
              <w:pBdr>
                <w:top w:val="nil"/>
                <w:left w:val="nil"/>
                <w:bottom w:val="nil"/>
                <w:right w:val="nil"/>
                <w:between w:val="nil"/>
              </w:pBdr>
              <w:tabs>
                <w:tab w:val="decimal" w:pos="1065"/>
              </w:tabs>
              <w:ind w:right="-101"/>
              <w:jc w:val="right"/>
              <w:rPr>
                <w:rFonts w:ascii="Arial" w:hAnsi="Arial" w:cs="Arial"/>
                <w:color w:val="000000"/>
                <w:sz w:val="18"/>
                <w:szCs w:val="18"/>
              </w:rPr>
            </w:pPr>
            <w:r>
              <w:rPr>
                <w:rFonts w:ascii="Arial" w:hAnsi="Arial" w:cs="Arial"/>
                <w:color w:val="000000"/>
                <w:sz w:val="18"/>
                <w:szCs w:val="18"/>
              </w:rPr>
              <w:t>34,566,448</w:t>
            </w:r>
          </w:p>
        </w:tc>
        <w:tc>
          <w:tcPr>
            <w:tcW w:w="1283" w:type="dxa"/>
            <w:tcBorders>
              <w:top w:val="single" w:sz="4" w:space="0" w:color="auto"/>
            </w:tcBorders>
            <w:vAlign w:val="bottom"/>
          </w:tcPr>
          <w:p w14:paraId="2EEF7B5B" w14:textId="17F7C815" w:rsidR="009F4923" w:rsidRPr="007F1B62" w:rsidRDefault="009F4923" w:rsidP="009F4923">
            <w:pPr>
              <w:pBdr>
                <w:top w:val="nil"/>
                <w:left w:val="nil"/>
                <w:bottom w:val="nil"/>
                <w:right w:val="nil"/>
                <w:between w:val="nil"/>
              </w:pBdr>
              <w:tabs>
                <w:tab w:val="decimal" w:pos="1065"/>
              </w:tabs>
              <w:ind w:right="-105"/>
              <w:jc w:val="right"/>
              <w:rPr>
                <w:rFonts w:ascii="Arial" w:hAnsi="Arial" w:cs="Arial"/>
                <w:color w:val="000000"/>
                <w:sz w:val="18"/>
                <w:szCs w:val="18"/>
              </w:rPr>
            </w:pPr>
            <w:r>
              <w:rPr>
                <w:rFonts w:ascii="Arial" w:hAnsi="Arial" w:cs="Arial"/>
                <w:sz w:val="18"/>
                <w:szCs w:val="18"/>
              </w:rPr>
              <w:t>19,580,949</w:t>
            </w:r>
          </w:p>
        </w:tc>
        <w:tc>
          <w:tcPr>
            <w:tcW w:w="1282" w:type="dxa"/>
            <w:tcBorders>
              <w:top w:val="single" w:sz="4" w:space="0" w:color="auto"/>
            </w:tcBorders>
            <w:vAlign w:val="bottom"/>
          </w:tcPr>
          <w:p w14:paraId="345C2D19" w14:textId="3F7C23A9" w:rsidR="009F4923" w:rsidRPr="007F1B62" w:rsidRDefault="008E263D" w:rsidP="009F4923">
            <w:pPr>
              <w:pBdr>
                <w:top w:val="nil"/>
                <w:left w:val="nil"/>
                <w:bottom w:val="nil"/>
                <w:right w:val="nil"/>
                <w:between w:val="nil"/>
              </w:pBdr>
              <w:tabs>
                <w:tab w:val="decimal" w:pos="1065"/>
              </w:tabs>
              <w:ind w:right="-105"/>
              <w:jc w:val="right"/>
              <w:rPr>
                <w:rFonts w:ascii="Arial" w:hAnsi="Arial" w:cs="Arial"/>
                <w:color w:val="000000"/>
                <w:sz w:val="18"/>
                <w:szCs w:val="18"/>
              </w:rPr>
            </w:pPr>
            <w:r>
              <w:rPr>
                <w:rFonts w:ascii="Arial" w:hAnsi="Arial" w:cs="Arial"/>
                <w:color w:val="000000"/>
                <w:sz w:val="18"/>
                <w:szCs w:val="18"/>
              </w:rPr>
              <w:t>101,987,219</w:t>
            </w:r>
          </w:p>
        </w:tc>
        <w:tc>
          <w:tcPr>
            <w:tcW w:w="1283" w:type="dxa"/>
            <w:tcBorders>
              <w:top w:val="single" w:sz="4" w:space="0" w:color="auto"/>
            </w:tcBorders>
            <w:vAlign w:val="bottom"/>
          </w:tcPr>
          <w:p w14:paraId="4F3AE628" w14:textId="74AE3167" w:rsidR="009F4923" w:rsidRPr="007F1B62" w:rsidRDefault="009F4923" w:rsidP="009F4923">
            <w:pPr>
              <w:pBdr>
                <w:top w:val="nil"/>
                <w:left w:val="nil"/>
                <w:bottom w:val="nil"/>
                <w:right w:val="nil"/>
                <w:between w:val="nil"/>
              </w:pBdr>
              <w:tabs>
                <w:tab w:val="decimal" w:pos="1065"/>
              </w:tabs>
              <w:ind w:right="-105"/>
              <w:jc w:val="right"/>
              <w:rPr>
                <w:rFonts w:ascii="Arial" w:hAnsi="Arial" w:cs="Arial"/>
                <w:color w:val="000000"/>
                <w:sz w:val="18"/>
                <w:szCs w:val="18"/>
              </w:rPr>
            </w:pPr>
            <w:r>
              <w:rPr>
                <w:rFonts w:ascii="Arial" w:hAnsi="Arial" w:cs="Arial"/>
                <w:sz w:val="18"/>
                <w:szCs w:val="18"/>
              </w:rPr>
              <w:t>36,827,158</w:t>
            </w:r>
          </w:p>
        </w:tc>
      </w:tr>
      <w:tr w:rsidR="009F4923" w:rsidRPr="00C0574C" w14:paraId="18D7BAE8" w14:textId="77777777" w:rsidTr="0015755E">
        <w:trPr>
          <w:trHeight w:val="207"/>
        </w:trPr>
        <w:tc>
          <w:tcPr>
            <w:tcW w:w="4770" w:type="dxa"/>
            <w:vAlign w:val="bottom"/>
          </w:tcPr>
          <w:p w14:paraId="50C6FEC7" w14:textId="77777777" w:rsidR="009F4923" w:rsidRPr="00C0574C" w:rsidRDefault="009F4923" w:rsidP="009F4923">
            <w:pPr>
              <w:widowControl w:val="0"/>
              <w:pBdr>
                <w:top w:val="nil"/>
                <w:left w:val="nil"/>
                <w:bottom w:val="nil"/>
                <w:right w:val="nil"/>
                <w:between w:val="nil"/>
              </w:pBdr>
              <w:rPr>
                <w:rFonts w:ascii="Arial" w:hAnsi="Arial" w:cs="Arial"/>
                <w:color w:val="000000"/>
                <w:sz w:val="18"/>
                <w:szCs w:val="18"/>
              </w:rPr>
            </w:pPr>
            <w:r w:rsidRPr="00C0574C">
              <w:rPr>
                <w:rFonts w:ascii="Arial" w:hAnsi="Arial" w:cs="Arial"/>
                <w:color w:val="000000"/>
                <w:sz w:val="18"/>
                <w:szCs w:val="18"/>
              </w:rPr>
              <w:t>Loss before taxes</w:t>
            </w:r>
          </w:p>
        </w:tc>
        <w:tc>
          <w:tcPr>
            <w:tcW w:w="1282" w:type="dxa"/>
            <w:vAlign w:val="bottom"/>
          </w:tcPr>
          <w:p w14:paraId="7D28F5E0" w14:textId="327881CF" w:rsidR="009F4923" w:rsidRPr="007F1B62" w:rsidRDefault="008E263D" w:rsidP="009F4923">
            <w:pPr>
              <w:pBdr>
                <w:top w:val="nil"/>
                <w:left w:val="nil"/>
                <w:bottom w:val="nil"/>
                <w:right w:val="nil"/>
                <w:between w:val="nil"/>
              </w:pBdr>
              <w:tabs>
                <w:tab w:val="decimal" w:pos="1065"/>
              </w:tabs>
              <w:ind w:right="-101"/>
              <w:jc w:val="right"/>
              <w:rPr>
                <w:rFonts w:ascii="Arial" w:hAnsi="Arial" w:cs="Arial"/>
                <w:color w:val="000000"/>
                <w:sz w:val="18"/>
                <w:szCs w:val="18"/>
              </w:rPr>
            </w:pPr>
            <w:r>
              <w:rPr>
                <w:rFonts w:ascii="Arial" w:hAnsi="Arial" w:cs="Arial"/>
                <w:color w:val="000000"/>
                <w:sz w:val="18"/>
                <w:szCs w:val="18"/>
              </w:rPr>
              <w:t>(9,109,489)</w:t>
            </w:r>
          </w:p>
        </w:tc>
        <w:tc>
          <w:tcPr>
            <w:tcW w:w="1283" w:type="dxa"/>
            <w:vAlign w:val="bottom"/>
          </w:tcPr>
          <w:p w14:paraId="276D8D8F" w14:textId="44F73B0E" w:rsidR="009F4923" w:rsidRPr="007F1B62" w:rsidRDefault="009F4923" w:rsidP="009F4923">
            <w:pPr>
              <w:pBdr>
                <w:top w:val="nil"/>
                <w:left w:val="nil"/>
                <w:bottom w:val="nil"/>
                <w:right w:val="nil"/>
                <w:between w:val="nil"/>
              </w:pBdr>
              <w:tabs>
                <w:tab w:val="decimal" w:pos="1065"/>
              </w:tabs>
              <w:ind w:right="-105"/>
              <w:jc w:val="right"/>
              <w:rPr>
                <w:rFonts w:ascii="Arial" w:hAnsi="Arial" w:cs="Arial"/>
                <w:color w:val="000000"/>
                <w:sz w:val="18"/>
                <w:szCs w:val="18"/>
              </w:rPr>
            </w:pPr>
            <w:r>
              <w:rPr>
                <w:rFonts w:ascii="Arial" w:hAnsi="Arial" w:cs="Arial"/>
                <w:sz w:val="18"/>
                <w:szCs w:val="18"/>
              </w:rPr>
              <w:t>(3,047,172)</w:t>
            </w:r>
          </w:p>
        </w:tc>
        <w:tc>
          <w:tcPr>
            <w:tcW w:w="1282" w:type="dxa"/>
            <w:vAlign w:val="bottom"/>
          </w:tcPr>
          <w:p w14:paraId="30DC721B" w14:textId="42A3A8FF" w:rsidR="009F4923" w:rsidRPr="007F1B62" w:rsidRDefault="008E263D" w:rsidP="009F4923">
            <w:pPr>
              <w:pBdr>
                <w:top w:val="nil"/>
                <w:left w:val="nil"/>
                <w:bottom w:val="nil"/>
                <w:right w:val="nil"/>
                <w:between w:val="nil"/>
              </w:pBdr>
              <w:tabs>
                <w:tab w:val="decimal" w:pos="1065"/>
              </w:tabs>
              <w:ind w:right="-105"/>
              <w:jc w:val="right"/>
              <w:rPr>
                <w:rFonts w:ascii="Arial" w:hAnsi="Arial" w:cs="Arial"/>
                <w:color w:val="000000"/>
                <w:sz w:val="18"/>
                <w:szCs w:val="18"/>
              </w:rPr>
            </w:pPr>
            <w:r>
              <w:rPr>
                <w:rFonts w:ascii="Arial" w:hAnsi="Arial" w:cs="Arial"/>
                <w:color w:val="000000"/>
                <w:sz w:val="18"/>
                <w:szCs w:val="18"/>
              </w:rPr>
              <w:t>(18,560,348)</w:t>
            </w:r>
          </w:p>
        </w:tc>
        <w:tc>
          <w:tcPr>
            <w:tcW w:w="1283" w:type="dxa"/>
            <w:vAlign w:val="bottom"/>
          </w:tcPr>
          <w:p w14:paraId="14123068" w14:textId="6F0A7DCA" w:rsidR="009F4923" w:rsidRPr="007F1B62" w:rsidRDefault="009F4923" w:rsidP="009F4923">
            <w:pPr>
              <w:pBdr>
                <w:top w:val="nil"/>
                <w:left w:val="nil"/>
                <w:bottom w:val="nil"/>
                <w:right w:val="nil"/>
                <w:between w:val="nil"/>
              </w:pBdr>
              <w:tabs>
                <w:tab w:val="decimal" w:pos="1065"/>
              </w:tabs>
              <w:ind w:right="-105"/>
              <w:jc w:val="right"/>
              <w:rPr>
                <w:rFonts w:ascii="Arial" w:hAnsi="Arial" w:cs="Arial"/>
                <w:color w:val="000000"/>
                <w:sz w:val="18"/>
                <w:szCs w:val="18"/>
              </w:rPr>
            </w:pPr>
            <w:r>
              <w:rPr>
                <w:rFonts w:ascii="Arial" w:hAnsi="Arial" w:cs="Arial"/>
                <w:sz w:val="18"/>
                <w:szCs w:val="18"/>
              </w:rPr>
              <w:t>(13,013,738)</w:t>
            </w:r>
          </w:p>
        </w:tc>
      </w:tr>
      <w:tr w:rsidR="009F4923" w:rsidRPr="00C0574C" w14:paraId="4A7F22F6" w14:textId="77777777" w:rsidTr="0015755E">
        <w:trPr>
          <w:trHeight w:val="239"/>
        </w:trPr>
        <w:tc>
          <w:tcPr>
            <w:tcW w:w="4770" w:type="dxa"/>
            <w:vAlign w:val="bottom"/>
          </w:tcPr>
          <w:p w14:paraId="272A27CE" w14:textId="77777777" w:rsidR="009F4923" w:rsidRPr="00C0574C" w:rsidRDefault="009F4923" w:rsidP="009F4923">
            <w:pPr>
              <w:widowControl w:val="0"/>
              <w:pBdr>
                <w:top w:val="nil"/>
                <w:left w:val="nil"/>
                <w:bottom w:val="nil"/>
                <w:right w:val="nil"/>
                <w:between w:val="nil"/>
              </w:pBdr>
              <w:rPr>
                <w:rFonts w:ascii="Arial" w:hAnsi="Arial" w:cs="Arial"/>
                <w:color w:val="000000"/>
                <w:sz w:val="18"/>
                <w:szCs w:val="18"/>
              </w:rPr>
            </w:pPr>
            <w:r w:rsidRPr="00C0574C">
              <w:rPr>
                <w:rFonts w:ascii="Arial" w:hAnsi="Arial" w:cs="Arial"/>
                <w:color w:val="000000"/>
                <w:sz w:val="18"/>
                <w:szCs w:val="18"/>
              </w:rPr>
              <w:t>Net loss</w:t>
            </w:r>
          </w:p>
        </w:tc>
        <w:tc>
          <w:tcPr>
            <w:tcW w:w="1282" w:type="dxa"/>
            <w:vAlign w:val="bottom"/>
          </w:tcPr>
          <w:p w14:paraId="1745D54B" w14:textId="2C40A542" w:rsidR="009F4923" w:rsidRPr="007F1B62" w:rsidRDefault="008E263D" w:rsidP="009F4923">
            <w:pPr>
              <w:pBdr>
                <w:top w:val="nil"/>
                <w:left w:val="nil"/>
                <w:bottom w:val="nil"/>
                <w:right w:val="nil"/>
                <w:between w:val="nil"/>
              </w:pBdr>
              <w:tabs>
                <w:tab w:val="decimal" w:pos="1065"/>
              </w:tabs>
              <w:ind w:right="-105"/>
              <w:jc w:val="right"/>
              <w:rPr>
                <w:rFonts w:ascii="Arial" w:hAnsi="Arial" w:cs="Arial"/>
                <w:color w:val="000000"/>
                <w:sz w:val="18"/>
                <w:szCs w:val="18"/>
              </w:rPr>
            </w:pPr>
            <w:r>
              <w:rPr>
                <w:rFonts w:ascii="Arial" w:hAnsi="Arial" w:cs="Arial"/>
                <w:color w:val="000000"/>
                <w:sz w:val="18"/>
                <w:szCs w:val="18"/>
              </w:rPr>
              <w:t>(5,708,493)</w:t>
            </w:r>
          </w:p>
        </w:tc>
        <w:tc>
          <w:tcPr>
            <w:tcW w:w="1283" w:type="dxa"/>
            <w:vAlign w:val="bottom"/>
          </w:tcPr>
          <w:p w14:paraId="6D144E59" w14:textId="5BA15D81" w:rsidR="009F4923" w:rsidRPr="007F1B62" w:rsidRDefault="009F4923" w:rsidP="009F4923">
            <w:pPr>
              <w:pBdr>
                <w:top w:val="nil"/>
                <w:left w:val="nil"/>
                <w:bottom w:val="nil"/>
                <w:right w:val="nil"/>
                <w:between w:val="nil"/>
              </w:pBdr>
              <w:tabs>
                <w:tab w:val="decimal" w:pos="1065"/>
              </w:tabs>
              <w:ind w:right="-105"/>
              <w:jc w:val="right"/>
              <w:rPr>
                <w:rFonts w:ascii="Arial" w:hAnsi="Arial" w:cs="Arial"/>
                <w:color w:val="000000"/>
                <w:sz w:val="18"/>
                <w:szCs w:val="18"/>
              </w:rPr>
            </w:pPr>
            <w:r>
              <w:rPr>
                <w:rFonts w:ascii="Arial" w:hAnsi="Arial" w:cs="Arial"/>
                <w:sz w:val="18"/>
                <w:szCs w:val="18"/>
              </w:rPr>
              <w:t>(3,121,431)</w:t>
            </w:r>
          </w:p>
        </w:tc>
        <w:tc>
          <w:tcPr>
            <w:tcW w:w="1282" w:type="dxa"/>
            <w:vAlign w:val="bottom"/>
          </w:tcPr>
          <w:p w14:paraId="3F0E9DB3" w14:textId="05F8433D" w:rsidR="009F4923" w:rsidRPr="007F1B62" w:rsidRDefault="008E263D" w:rsidP="009F4923">
            <w:pPr>
              <w:pBdr>
                <w:top w:val="nil"/>
                <w:left w:val="nil"/>
                <w:bottom w:val="nil"/>
                <w:right w:val="nil"/>
                <w:between w:val="nil"/>
              </w:pBdr>
              <w:tabs>
                <w:tab w:val="decimal" w:pos="1065"/>
              </w:tabs>
              <w:ind w:right="-105"/>
              <w:jc w:val="right"/>
              <w:rPr>
                <w:rFonts w:ascii="Arial" w:hAnsi="Arial" w:cs="Arial"/>
                <w:color w:val="000000"/>
                <w:sz w:val="18"/>
                <w:szCs w:val="18"/>
              </w:rPr>
            </w:pPr>
            <w:r>
              <w:rPr>
                <w:rFonts w:ascii="Arial" w:hAnsi="Arial" w:cs="Arial"/>
                <w:color w:val="000000"/>
                <w:sz w:val="18"/>
                <w:szCs w:val="18"/>
              </w:rPr>
              <w:t>(4,737,351)</w:t>
            </w:r>
          </w:p>
        </w:tc>
        <w:tc>
          <w:tcPr>
            <w:tcW w:w="1283" w:type="dxa"/>
            <w:vAlign w:val="bottom"/>
          </w:tcPr>
          <w:p w14:paraId="2EC4AF20" w14:textId="0088A838" w:rsidR="009F4923" w:rsidRPr="007F1B62" w:rsidRDefault="009F4923" w:rsidP="009F4923">
            <w:pPr>
              <w:pBdr>
                <w:top w:val="nil"/>
                <w:left w:val="nil"/>
                <w:bottom w:val="nil"/>
                <w:right w:val="nil"/>
                <w:between w:val="nil"/>
              </w:pBdr>
              <w:tabs>
                <w:tab w:val="decimal" w:pos="1065"/>
              </w:tabs>
              <w:ind w:right="-105"/>
              <w:jc w:val="right"/>
              <w:rPr>
                <w:rFonts w:ascii="Arial" w:hAnsi="Arial" w:cs="Arial"/>
                <w:color w:val="000000"/>
                <w:sz w:val="18"/>
                <w:szCs w:val="18"/>
              </w:rPr>
            </w:pPr>
            <w:r>
              <w:rPr>
                <w:rFonts w:ascii="Arial" w:hAnsi="Arial" w:cs="Arial"/>
                <w:sz w:val="18"/>
                <w:szCs w:val="18"/>
              </w:rPr>
              <w:t>(9,145,821)</w:t>
            </w:r>
          </w:p>
        </w:tc>
      </w:tr>
      <w:tr w:rsidR="009F4923" w:rsidRPr="00C0574C" w14:paraId="7DAFCF89" w14:textId="77777777" w:rsidTr="0015755E">
        <w:trPr>
          <w:trHeight w:val="243"/>
        </w:trPr>
        <w:tc>
          <w:tcPr>
            <w:tcW w:w="4770" w:type="dxa"/>
            <w:vAlign w:val="bottom"/>
          </w:tcPr>
          <w:p w14:paraId="0A6D0406" w14:textId="77777777" w:rsidR="009F4923" w:rsidRPr="00C0574C" w:rsidRDefault="009F4923" w:rsidP="009F4923">
            <w:pPr>
              <w:widowControl w:val="0"/>
              <w:pBdr>
                <w:top w:val="nil"/>
                <w:left w:val="nil"/>
                <w:bottom w:val="nil"/>
                <w:right w:val="nil"/>
                <w:between w:val="nil"/>
              </w:pBdr>
              <w:ind w:right="-38"/>
              <w:rPr>
                <w:rFonts w:ascii="Arial" w:hAnsi="Arial" w:cs="Arial"/>
                <w:color w:val="000000"/>
                <w:sz w:val="18"/>
                <w:szCs w:val="18"/>
              </w:rPr>
            </w:pPr>
            <w:r w:rsidRPr="00C0574C">
              <w:rPr>
                <w:rFonts w:ascii="Arial" w:hAnsi="Arial" w:cs="Arial"/>
                <w:color w:val="000000"/>
                <w:sz w:val="18"/>
                <w:szCs w:val="18"/>
              </w:rPr>
              <w:t xml:space="preserve">Net loss per share </w:t>
            </w:r>
            <w:r w:rsidRPr="00C0574C">
              <w:rPr>
                <w:rFonts w:ascii="Arial" w:hAnsi="Arial" w:cs="Arial"/>
                <w:color w:val="000000"/>
                <w:vertAlign w:val="superscript"/>
              </w:rPr>
              <w:t>(2)</w:t>
            </w:r>
            <w:r w:rsidRPr="00C0574C">
              <w:rPr>
                <w:rFonts w:ascii="Arial" w:hAnsi="Arial" w:cs="Arial"/>
                <w:color w:val="000000"/>
                <w:sz w:val="18"/>
                <w:szCs w:val="18"/>
              </w:rPr>
              <w:t xml:space="preserve"> </w:t>
            </w:r>
          </w:p>
        </w:tc>
        <w:tc>
          <w:tcPr>
            <w:tcW w:w="1282" w:type="dxa"/>
            <w:vAlign w:val="bottom"/>
          </w:tcPr>
          <w:p w14:paraId="134006B1" w14:textId="125D1429" w:rsidR="009F4923" w:rsidRPr="007F1B62" w:rsidRDefault="008E263D" w:rsidP="009F4923">
            <w:pPr>
              <w:widowControl w:val="0"/>
              <w:pBdr>
                <w:top w:val="nil"/>
                <w:left w:val="nil"/>
                <w:bottom w:val="nil"/>
                <w:right w:val="nil"/>
                <w:between w:val="nil"/>
              </w:pBdr>
              <w:ind w:right="-38"/>
              <w:jc w:val="right"/>
              <w:rPr>
                <w:rFonts w:ascii="Arial" w:hAnsi="Arial" w:cs="Arial"/>
                <w:color w:val="000000"/>
                <w:sz w:val="18"/>
                <w:szCs w:val="18"/>
              </w:rPr>
            </w:pPr>
            <w:r>
              <w:rPr>
                <w:rFonts w:ascii="Arial" w:hAnsi="Arial" w:cs="Arial"/>
                <w:color w:val="000000"/>
                <w:sz w:val="18"/>
                <w:szCs w:val="18"/>
              </w:rPr>
              <w:t>(0.08)</w:t>
            </w:r>
          </w:p>
        </w:tc>
        <w:tc>
          <w:tcPr>
            <w:tcW w:w="1283" w:type="dxa"/>
            <w:vAlign w:val="bottom"/>
          </w:tcPr>
          <w:p w14:paraId="1A4D63BC" w14:textId="625224A9" w:rsidR="009F4923" w:rsidRPr="007F1B62" w:rsidRDefault="009F4923" w:rsidP="009F4923">
            <w:pPr>
              <w:widowControl w:val="0"/>
              <w:pBdr>
                <w:top w:val="nil"/>
                <w:left w:val="nil"/>
                <w:bottom w:val="nil"/>
                <w:right w:val="nil"/>
                <w:between w:val="nil"/>
              </w:pBdr>
              <w:ind w:right="-38"/>
              <w:jc w:val="right"/>
              <w:rPr>
                <w:rFonts w:ascii="Arial" w:hAnsi="Arial" w:cs="Arial"/>
                <w:color w:val="000000"/>
                <w:sz w:val="18"/>
                <w:szCs w:val="18"/>
              </w:rPr>
            </w:pPr>
            <w:r>
              <w:rPr>
                <w:rFonts w:ascii="Arial" w:hAnsi="Arial" w:cs="Arial"/>
                <w:sz w:val="18"/>
                <w:szCs w:val="18"/>
              </w:rPr>
              <w:t>(0.04)</w:t>
            </w:r>
          </w:p>
        </w:tc>
        <w:tc>
          <w:tcPr>
            <w:tcW w:w="1282" w:type="dxa"/>
            <w:vAlign w:val="bottom"/>
          </w:tcPr>
          <w:p w14:paraId="25F7D5F3" w14:textId="0D5B23EE" w:rsidR="009F4923" w:rsidRPr="007F1B62" w:rsidRDefault="008E263D" w:rsidP="009F4923">
            <w:pPr>
              <w:widowControl w:val="0"/>
              <w:pBdr>
                <w:top w:val="nil"/>
                <w:left w:val="nil"/>
                <w:bottom w:val="nil"/>
                <w:right w:val="nil"/>
                <w:between w:val="nil"/>
              </w:pBdr>
              <w:ind w:right="-38"/>
              <w:jc w:val="right"/>
              <w:rPr>
                <w:rFonts w:ascii="Arial" w:hAnsi="Arial" w:cs="Arial"/>
                <w:color w:val="000000"/>
                <w:sz w:val="18"/>
                <w:szCs w:val="18"/>
              </w:rPr>
            </w:pPr>
            <w:r>
              <w:rPr>
                <w:rFonts w:ascii="Arial" w:hAnsi="Arial" w:cs="Arial"/>
                <w:color w:val="000000"/>
                <w:sz w:val="18"/>
                <w:szCs w:val="18"/>
              </w:rPr>
              <w:t>(0.06)</w:t>
            </w:r>
          </w:p>
        </w:tc>
        <w:tc>
          <w:tcPr>
            <w:tcW w:w="1283" w:type="dxa"/>
            <w:vAlign w:val="bottom"/>
          </w:tcPr>
          <w:p w14:paraId="2FD79D07" w14:textId="15AA2D4F" w:rsidR="009F4923" w:rsidRPr="007F1B62" w:rsidRDefault="009F4923" w:rsidP="009F4923">
            <w:pPr>
              <w:widowControl w:val="0"/>
              <w:pBdr>
                <w:top w:val="nil"/>
                <w:left w:val="nil"/>
                <w:bottom w:val="nil"/>
                <w:right w:val="nil"/>
                <w:between w:val="nil"/>
              </w:pBdr>
              <w:ind w:right="-38"/>
              <w:jc w:val="right"/>
              <w:rPr>
                <w:rFonts w:ascii="Arial" w:hAnsi="Arial" w:cs="Arial"/>
                <w:color w:val="000000"/>
                <w:sz w:val="18"/>
                <w:szCs w:val="18"/>
              </w:rPr>
            </w:pPr>
            <w:r>
              <w:rPr>
                <w:rFonts w:ascii="Arial" w:hAnsi="Arial" w:cs="Arial"/>
                <w:sz w:val="18"/>
                <w:szCs w:val="18"/>
              </w:rPr>
              <w:t>(0.13)</w:t>
            </w:r>
          </w:p>
        </w:tc>
      </w:tr>
      <w:tr w:rsidR="009F4923" w:rsidRPr="00C0574C" w14:paraId="0B98DE8B" w14:textId="77777777" w:rsidTr="0015755E">
        <w:trPr>
          <w:trHeight w:val="243"/>
        </w:trPr>
        <w:tc>
          <w:tcPr>
            <w:tcW w:w="4770" w:type="dxa"/>
            <w:vAlign w:val="bottom"/>
          </w:tcPr>
          <w:p w14:paraId="5CB9AB3C" w14:textId="77777777" w:rsidR="009F4923" w:rsidRPr="00C0574C" w:rsidRDefault="009F4923" w:rsidP="009F4923">
            <w:pPr>
              <w:widowControl w:val="0"/>
              <w:pBdr>
                <w:top w:val="nil"/>
                <w:left w:val="nil"/>
                <w:bottom w:val="nil"/>
                <w:right w:val="nil"/>
                <w:between w:val="nil"/>
              </w:pBdr>
              <w:ind w:right="-108"/>
              <w:rPr>
                <w:rFonts w:ascii="Arial" w:hAnsi="Arial" w:cs="Arial"/>
                <w:color w:val="000000"/>
                <w:sz w:val="18"/>
                <w:szCs w:val="18"/>
              </w:rPr>
            </w:pPr>
            <w:r w:rsidRPr="00C0574C">
              <w:rPr>
                <w:rFonts w:ascii="Arial" w:hAnsi="Arial" w:cs="Arial"/>
                <w:color w:val="000000"/>
                <w:sz w:val="18"/>
                <w:szCs w:val="18"/>
              </w:rPr>
              <w:t xml:space="preserve">Net cash (used) provided by operating activities </w:t>
            </w:r>
          </w:p>
        </w:tc>
        <w:tc>
          <w:tcPr>
            <w:tcW w:w="1282" w:type="dxa"/>
            <w:vAlign w:val="bottom"/>
          </w:tcPr>
          <w:p w14:paraId="59EB0F5C" w14:textId="6F6CCED2" w:rsidR="009F4923" w:rsidRPr="007F1B62" w:rsidRDefault="008E263D" w:rsidP="009F4923">
            <w:pPr>
              <w:pBdr>
                <w:top w:val="nil"/>
                <w:left w:val="nil"/>
                <w:bottom w:val="nil"/>
                <w:right w:val="nil"/>
                <w:between w:val="nil"/>
              </w:pBdr>
              <w:tabs>
                <w:tab w:val="decimal" w:pos="1065"/>
              </w:tabs>
              <w:ind w:right="-105"/>
              <w:jc w:val="right"/>
              <w:rPr>
                <w:rFonts w:ascii="Arial" w:hAnsi="Arial" w:cs="Arial"/>
                <w:color w:val="000000"/>
                <w:sz w:val="18"/>
                <w:szCs w:val="18"/>
              </w:rPr>
            </w:pPr>
            <w:r>
              <w:rPr>
                <w:rFonts w:ascii="Arial" w:hAnsi="Arial" w:cs="Arial"/>
                <w:color w:val="000000"/>
                <w:sz w:val="18"/>
                <w:szCs w:val="18"/>
              </w:rPr>
              <w:t>(4,497,008)</w:t>
            </w:r>
          </w:p>
        </w:tc>
        <w:tc>
          <w:tcPr>
            <w:tcW w:w="1283" w:type="dxa"/>
            <w:vAlign w:val="bottom"/>
          </w:tcPr>
          <w:p w14:paraId="29B93236" w14:textId="336F0168" w:rsidR="009F4923" w:rsidRPr="007F1B62" w:rsidRDefault="009F4923" w:rsidP="009F4923">
            <w:pPr>
              <w:pBdr>
                <w:top w:val="nil"/>
                <w:left w:val="nil"/>
                <w:bottom w:val="nil"/>
                <w:right w:val="nil"/>
                <w:between w:val="nil"/>
              </w:pBdr>
              <w:tabs>
                <w:tab w:val="decimal" w:pos="1065"/>
              </w:tabs>
              <w:ind w:right="-105"/>
              <w:jc w:val="right"/>
              <w:rPr>
                <w:rFonts w:ascii="Arial" w:hAnsi="Arial" w:cs="Arial"/>
                <w:color w:val="000000"/>
                <w:sz w:val="18"/>
                <w:szCs w:val="18"/>
              </w:rPr>
            </w:pPr>
            <w:r w:rsidRPr="0067053E">
              <w:rPr>
                <w:rFonts w:ascii="Arial" w:hAnsi="Arial" w:cs="Arial"/>
                <w:sz w:val="18"/>
                <w:szCs w:val="18"/>
              </w:rPr>
              <w:t>(1</w:t>
            </w:r>
            <w:r>
              <w:rPr>
                <w:rFonts w:ascii="Arial" w:hAnsi="Arial" w:cs="Arial"/>
                <w:sz w:val="18"/>
                <w:szCs w:val="18"/>
              </w:rPr>
              <w:t>,</w:t>
            </w:r>
            <w:r w:rsidRPr="0067053E">
              <w:rPr>
                <w:rFonts w:ascii="Arial" w:hAnsi="Arial" w:cs="Arial"/>
                <w:sz w:val="18"/>
                <w:szCs w:val="18"/>
              </w:rPr>
              <w:t>529</w:t>
            </w:r>
            <w:r>
              <w:rPr>
                <w:rFonts w:ascii="Arial" w:hAnsi="Arial" w:cs="Arial"/>
                <w:sz w:val="18"/>
                <w:szCs w:val="18"/>
              </w:rPr>
              <w:t>,</w:t>
            </w:r>
            <w:r w:rsidRPr="0067053E">
              <w:rPr>
                <w:rFonts w:ascii="Arial" w:hAnsi="Arial" w:cs="Arial"/>
                <w:sz w:val="18"/>
                <w:szCs w:val="18"/>
              </w:rPr>
              <w:t>817)</w:t>
            </w:r>
          </w:p>
        </w:tc>
        <w:tc>
          <w:tcPr>
            <w:tcW w:w="1282" w:type="dxa"/>
            <w:vAlign w:val="bottom"/>
          </w:tcPr>
          <w:p w14:paraId="40C809C6" w14:textId="0FB9E00C" w:rsidR="009F4923" w:rsidRPr="007F1B62" w:rsidRDefault="008E263D" w:rsidP="009F4923">
            <w:pPr>
              <w:pBdr>
                <w:top w:val="nil"/>
                <w:left w:val="nil"/>
                <w:bottom w:val="nil"/>
                <w:right w:val="nil"/>
                <w:between w:val="nil"/>
              </w:pBdr>
              <w:tabs>
                <w:tab w:val="decimal" w:pos="1065"/>
              </w:tabs>
              <w:ind w:right="-105"/>
              <w:jc w:val="right"/>
              <w:rPr>
                <w:rFonts w:ascii="Arial" w:hAnsi="Arial" w:cs="Arial"/>
                <w:color w:val="000000"/>
                <w:sz w:val="18"/>
                <w:szCs w:val="18"/>
              </w:rPr>
            </w:pPr>
            <w:r>
              <w:rPr>
                <w:rFonts w:ascii="Arial" w:hAnsi="Arial" w:cs="Arial"/>
                <w:color w:val="000000"/>
                <w:sz w:val="18"/>
                <w:szCs w:val="18"/>
              </w:rPr>
              <w:t>686,046</w:t>
            </w:r>
          </w:p>
        </w:tc>
        <w:tc>
          <w:tcPr>
            <w:tcW w:w="1283" w:type="dxa"/>
            <w:vAlign w:val="bottom"/>
          </w:tcPr>
          <w:p w14:paraId="552BC7B2" w14:textId="0E297384" w:rsidR="009F4923" w:rsidRPr="007F1B62" w:rsidRDefault="009F4923" w:rsidP="009F4923">
            <w:pPr>
              <w:pBdr>
                <w:top w:val="nil"/>
                <w:left w:val="nil"/>
                <w:bottom w:val="nil"/>
                <w:right w:val="nil"/>
                <w:between w:val="nil"/>
              </w:pBdr>
              <w:tabs>
                <w:tab w:val="decimal" w:pos="1065"/>
              </w:tabs>
              <w:ind w:right="-105"/>
              <w:jc w:val="right"/>
              <w:rPr>
                <w:rFonts w:ascii="Arial" w:hAnsi="Arial" w:cs="Arial"/>
                <w:color w:val="000000"/>
                <w:sz w:val="18"/>
                <w:szCs w:val="18"/>
              </w:rPr>
            </w:pPr>
            <w:r w:rsidRPr="007355CD">
              <w:rPr>
                <w:rFonts w:ascii="Arial" w:hAnsi="Arial" w:cs="Arial"/>
                <w:sz w:val="18"/>
                <w:szCs w:val="18"/>
              </w:rPr>
              <w:t>(4,391,237)</w:t>
            </w:r>
          </w:p>
        </w:tc>
      </w:tr>
      <w:tr w:rsidR="009F4923" w:rsidRPr="00C0574C" w14:paraId="74C4C3B4" w14:textId="77777777" w:rsidTr="0015755E">
        <w:trPr>
          <w:trHeight w:val="243"/>
        </w:trPr>
        <w:tc>
          <w:tcPr>
            <w:tcW w:w="4770" w:type="dxa"/>
            <w:vAlign w:val="bottom"/>
          </w:tcPr>
          <w:p w14:paraId="029E3D09" w14:textId="77777777" w:rsidR="009F4923" w:rsidRPr="00C0574C" w:rsidRDefault="009F4923" w:rsidP="009F4923">
            <w:pPr>
              <w:widowControl w:val="0"/>
              <w:pBdr>
                <w:top w:val="nil"/>
                <w:left w:val="nil"/>
                <w:bottom w:val="nil"/>
                <w:right w:val="nil"/>
                <w:between w:val="nil"/>
              </w:pBdr>
              <w:ind w:right="-38"/>
              <w:rPr>
                <w:rFonts w:ascii="Arial" w:hAnsi="Arial" w:cs="Arial"/>
                <w:color w:val="000000"/>
                <w:sz w:val="18"/>
                <w:szCs w:val="18"/>
              </w:rPr>
            </w:pPr>
            <w:r w:rsidRPr="00C0574C">
              <w:rPr>
                <w:rFonts w:ascii="Arial" w:hAnsi="Arial" w:cs="Arial"/>
                <w:color w:val="000000"/>
                <w:sz w:val="18"/>
                <w:szCs w:val="18"/>
              </w:rPr>
              <w:t xml:space="preserve">Net cash per share – operating activities </w:t>
            </w:r>
            <w:r w:rsidRPr="00C0574C">
              <w:rPr>
                <w:rFonts w:ascii="Arial" w:hAnsi="Arial" w:cs="Arial"/>
                <w:color w:val="000000"/>
                <w:vertAlign w:val="superscript"/>
              </w:rPr>
              <w:t>(</w:t>
            </w:r>
            <w:r>
              <w:rPr>
                <w:rFonts w:ascii="Arial" w:hAnsi="Arial" w:cs="Arial"/>
                <w:color w:val="000000"/>
                <w:vertAlign w:val="superscript"/>
              </w:rPr>
              <w:t>1</w:t>
            </w:r>
            <w:r w:rsidRPr="00C0574C">
              <w:rPr>
                <w:rFonts w:ascii="Arial" w:hAnsi="Arial" w:cs="Arial"/>
                <w:color w:val="000000"/>
                <w:vertAlign w:val="superscript"/>
              </w:rPr>
              <w:t>)(</w:t>
            </w:r>
            <w:r>
              <w:rPr>
                <w:rFonts w:ascii="Arial" w:hAnsi="Arial" w:cs="Arial"/>
                <w:color w:val="000000"/>
                <w:vertAlign w:val="superscript"/>
              </w:rPr>
              <w:t>2</w:t>
            </w:r>
            <w:r w:rsidRPr="00C0574C">
              <w:rPr>
                <w:rFonts w:ascii="Arial" w:hAnsi="Arial" w:cs="Arial"/>
                <w:color w:val="000000"/>
                <w:vertAlign w:val="superscript"/>
              </w:rPr>
              <w:t>)</w:t>
            </w:r>
          </w:p>
        </w:tc>
        <w:tc>
          <w:tcPr>
            <w:tcW w:w="1282" w:type="dxa"/>
            <w:vAlign w:val="bottom"/>
          </w:tcPr>
          <w:p w14:paraId="0B984123" w14:textId="69586E87" w:rsidR="009F4923" w:rsidRPr="007F1B62" w:rsidRDefault="008E263D" w:rsidP="009F4923">
            <w:pPr>
              <w:widowControl w:val="0"/>
              <w:pBdr>
                <w:top w:val="nil"/>
                <w:left w:val="nil"/>
                <w:bottom w:val="nil"/>
                <w:right w:val="nil"/>
                <w:between w:val="nil"/>
              </w:pBdr>
              <w:ind w:right="-38"/>
              <w:jc w:val="right"/>
              <w:rPr>
                <w:rFonts w:ascii="Arial" w:hAnsi="Arial" w:cs="Arial"/>
                <w:color w:val="000000"/>
                <w:sz w:val="18"/>
                <w:szCs w:val="18"/>
              </w:rPr>
            </w:pPr>
            <w:r>
              <w:rPr>
                <w:rFonts w:ascii="Arial" w:hAnsi="Arial" w:cs="Arial"/>
                <w:color w:val="000000"/>
                <w:sz w:val="18"/>
                <w:szCs w:val="18"/>
              </w:rPr>
              <w:t>(0.06)</w:t>
            </w:r>
          </w:p>
        </w:tc>
        <w:tc>
          <w:tcPr>
            <w:tcW w:w="1283" w:type="dxa"/>
            <w:vAlign w:val="bottom"/>
          </w:tcPr>
          <w:p w14:paraId="6B079E67" w14:textId="1473225B" w:rsidR="009F4923" w:rsidRPr="007F1B62" w:rsidRDefault="009F4923" w:rsidP="009F4923">
            <w:pPr>
              <w:widowControl w:val="0"/>
              <w:pBdr>
                <w:top w:val="nil"/>
                <w:left w:val="nil"/>
                <w:bottom w:val="nil"/>
                <w:right w:val="nil"/>
                <w:between w:val="nil"/>
              </w:pBdr>
              <w:ind w:right="-38"/>
              <w:jc w:val="right"/>
              <w:rPr>
                <w:rFonts w:ascii="Arial" w:hAnsi="Arial" w:cs="Arial"/>
                <w:color w:val="000000"/>
                <w:sz w:val="18"/>
                <w:szCs w:val="18"/>
              </w:rPr>
            </w:pPr>
            <w:r>
              <w:rPr>
                <w:rFonts w:ascii="Arial" w:hAnsi="Arial" w:cs="Arial"/>
                <w:sz w:val="18"/>
                <w:szCs w:val="18"/>
              </w:rPr>
              <w:t>(0.02)</w:t>
            </w:r>
          </w:p>
        </w:tc>
        <w:tc>
          <w:tcPr>
            <w:tcW w:w="1282" w:type="dxa"/>
            <w:vAlign w:val="bottom"/>
          </w:tcPr>
          <w:p w14:paraId="1E54B937" w14:textId="555AD3C2" w:rsidR="009F4923" w:rsidRPr="007F1B62" w:rsidRDefault="008E263D" w:rsidP="009F4923">
            <w:pPr>
              <w:widowControl w:val="0"/>
              <w:pBdr>
                <w:top w:val="nil"/>
                <w:left w:val="nil"/>
                <w:bottom w:val="nil"/>
                <w:right w:val="nil"/>
                <w:between w:val="nil"/>
              </w:pBdr>
              <w:ind w:right="-38"/>
              <w:jc w:val="right"/>
              <w:rPr>
                <w:rFonts w:ascii="Arial" w:hAnsi="Arial" w:cs="Arial"/>
                <w:color w:val="000000"/>
                <w:sz w:val="18"/>
                <w:szCs w:val="18"/>
              </w:rPr>
            </w:pPr>
            <w:r>
              <w:rPr>
                <w:rFonts w:ascii="Arial" w:hAnsi="Arial" w:cs="Arial"/>
                <w:color w:val="000000"/>
                <w:sz w:val="18"/>
                <w:szCs w:val="18"/>
              </w:rPr>
              <w:t>0.01</w:t>
            </w:r>
          </w:p>
        </w:tc>
        <w:tc>
          <w:tcPr>
            <w:tcW w:w="1283" w:type="dxa"/>
            <w:vAlign w:val="bottom"/>
          </w:tcPr>
          <w:p w14:paraId="33523B96" w14:textId="53161294" w:rsidR="009F4923" w:rsidRPr="007F1B62" w:rsidRDefault="009F4923" w:rsidP="009F4923">
            <w:pPr>
              <w:widowControl w:val="0"/>
              <w:pBdr>
                <w:top w:val="nil"/>
                <w:left w:val="nil"/>
                <w:bottom w:val="nil"/>
                <w:right w:val="nil"/>
                <w:between w:val="nil"/>
              </w:pBdr>
              <w:ind w:right="-38"/>
              <w:jc w:val="right"/>
              <w:rPr>
                <w:rFonts w:ascii="Arial" w:hAnsi="Arial" w:cs="Arial"/>
                <w:color w:val="000000"/>
                <w:sz w:val="18"/>
                <w:szCs w:val="18"/>
              </w:rPr>
            </w:pPr>
            <w:r>
              <w:rPr>
                <w:rFonts w:ascii="Arial" w:hAnsi="Arial" w:cs="Arial"/>
                <w:sz w:val="18"/>
                <w:szCs w:val="18"/>
              </w:rPr>
              <w:t>(0.06)</w:t>
            </w:r>
          </w:p>
        </w:tc>
      </w:tr>
      <w:tr w:rsidR="009F4923" w:rsidRPr="00C0574C" w14:paraId="16F0C3B1" w14:textId="77777777" w:rsidTr="0015755E">
        <w:trPr>
          <w:trHeight w:val="221"/>
        </w:trPr>
        <w:tc>
          <w:tcPr>
            <w:tcW w:w="4770" w:type="dxa"/>
            <w:vAlign w:val="bottom"/>
          </w:tcPr>
          <w:p w14:paraId="3B94C4E8" w14:textId="77777777" w:rsidR="009F4923" w:rsidRPr="00C0574C" w:rsidRDefault="009F4923" w:rsidP="009F4923">
            <w:pPr>
              <w:widowControl w:val="0"/>
              <w:pBdr>
                <w:top w:val="nil"/>
                <w:left w:val="nil"/>
                <w:bottom w:val="nil"/>
                <w:right w:val="nil"/>
                <w:between w:val="nil"/>
              </w:pBdr>
              <w:ind w:right="-241"/>
              <w:rPr>
                <w:rFonts w:ascii="Arial" w:hAnsi="Arial" w:cs="Arial"/>
                <w:color w:val="000000"/>
                <w:sz w:val="18"/>
                <w:szCs w:val="18"/>
              </w:rPr>
            </w:pPr>
            <w:r w:rsidRPr="00C0574C">
              <w:rPr>
                <w:rFonts w:ascii="Arial" w:hAnsi="Arial" w:cs="Arial"/>
                <w:color w:val="000000"/>
                <w:sz w:val="18"/>
                <w:szCs w:val="18"/>
              </w:rPr>
              <w:t xml:space="preserve">Funds flow (used) provided by operating activities </w:t>
            </w:r>
          </w:p>
        </w:tc>
        <w:tc>
          <w:tcPr>
            <w:tcW w:w="1282" w:type="dxa"/>
            <w:vAlign w:val="bottom"/>
          </w:tcPr>
          <w:p w14:paraId="5552BD24" w14:textId="7541F398" w:rsidR="009F4923" w:rsidRPr="007F1B62" w:rsidRDefault="008E263D" w:rsidP="009F4923">
            <w:pPr>
              <w:pBdr>
                <w:top w:val="nil"/>
                <w:left w:val="nil"/>
                <w:bottom w:val="nil"/>
                <w:right w:val="nil"/>
                <w:between w:val="nil"/>
              </w:pBdr>
              <w:tabs>
                <w:tab w:val="decimal" w:pos="1065"/>
              </w:tabs>
              <w:ind w:right="-105"/>
              <w:jc w:val="right"/>
              <w:rPr>
                <w:rFonts w:ascii="Arial" w:hAnsi="Arial" w:cs="Arial"/>
                <w:color w:val="000000"/>
                <w:sz w:val="18"/>
                <w:szCs w:val="18"/>
              </w:rPr>
            </w:pPr>
            <w:r>
              <w:rPr>
                <w:rFonts w:ascii="Arial" w:hAnsi="Arial" w:cs="Arial"/>
                <w:color w:val="000000"/>
                <w:sz w:val="18"/>
                <w:szCs w:val="18"/>
              </w:rPr>
              <w:t>(4,687,530)</w:t>
            </w:r>
          </w:p>
        </w:tc>
        <w:tc>
          <w:tcPr>
            <w:tcW w:w="1283" w:type="dxa"/>
            <w:vAlign w:val="bottom"/>
          </w:tcPr>
          <w:p w14:paraId="622EE525" w14:textId="4289F96A" w:rsidR="009F4923" w:rsidRPr="007F1B62" w:rsidRDefault="009F4923" w:rsidP="009F4923">
            <w:pPr>
              <w:pBdr>
                <w:top w:val="nil"/>
                <w:left w:val="nil"/>
                <w:bottom w:val="nil"/>
                <w:right w:val="nil"/>
                <w:between w:val="nil"/>
              </w:pBdr>
              <w:tabs>
                <w:tab w:val="decimal" w:pos="1065"/>
              </w:tabs>
              <w:ind w:right="-105"/>
              <w:jc w:val="right"/>
              <w:rPr>
                <w:rFonts w:ascii="Arial" w:hAnsi="Arial" w:cs="Arial"/>
                <w:color w:val="000000"/>
                <w:sz w:val="18"/>
                <w:szCs w:val="18"/>
              </w:rPr>
            </w:pPr>
            <w:r>
              <w:rPr>
                <w:rFonts w:ascii="Arial" w:hAnsi="Arial" w:cs="Arial"/>
                <w:sz w:val="18"/>
                <w:szCs w:val="18"/>
              </w:rPr>
              <w:t>991,927</w:t>
            </w:r>
          </w:p>
        </w:tc>
        <w:tc>
          <w:tcPr>
            <w:tcW w:w="1282" w:type="dxa"/>
            <w:vAlign w:val="bottom"/>
          </w:tcPr>
          <w:p w14:paraId="3C1998D4" w14:textId="08F3F611" w:rsidR="009F4923" w:rsidRPr="007F1B62" w:rsidRDefault="008E263D" w:rsidP="009F4923">
            <w:pPr>
              <w:pBdr>
                <w:top w:val="nil"/>
                <w:left w:val="nil"/>
                <w:bottom w:val="nil"/>
                <w:right w:val="nil"/>
                <w:between w:val="nil"/>
              </w:pBdr>
              <w:tabs>
                <w:tab w:val="decimal" w:pos="1065"/>
              </w:tabs>
              <w:ind w:right="-105"/>
              <w:jc w:val="right"/>
              <w:rPr>
                <w:rFonts w:ascii="Arial" w:hAnsi="Arial" w:cs="Arial"/>
                <w:color w:val="000000"/>
                <w:sz w:val="18"/>
                <w:szCs w:val="18"/>
              </w:rPr>
            </w:pPr>
            <w:r>
              <w:rPr>
                <w:rFonts w:ascii="Arial" w:hAnsi="Arial" w:cs="Arial"/>
                <w:color w:val="000000"/>
                <w:sz w:val="18"/>
                <w:szCs w:val="18"/>
              </w:rPr>
              <w:t>(13,481,563)</w:t>
            </w:r>
          </w:p>
        </w:tc>
        <w:tc>
          <w:tcPr>
            <w:tcW w:w="1283" w:type="dxa"/>
            <w:vAlign w:val="bottom"/>
          </w:tcPr>
          <w:p w14:paraId="3D08D56E" w14:textId="10D38B64" w:rsidR="009F4923" w:rsidRPr="007F1B62" w:rsidRDefault="009F4923" w:rsidP="009F4923">
            <w:pPr>
              <w:pBdr>
                <w:top w:val="nil"/>
                <w:left w:val="nil"/>
                <w:bottom w:val="nil"/>
                <w:right w:val="nil"/>
                <w:between w:val="nil"/>
              </w:pBdr>
              <w:tabs>
                <w:tab w:val="decimal" w:pos="1065"/>
              </w:tabs>
              <w:ind w:right="-105"/>
              <w:jc w:val="right"/>
              <w:rPr>
                <w:rFonts w:ascii="Arial" w:hAnsi="Arial" w:cs="Arial"/>
                <w:color w:val="000000"/>
                <w:sz w:val="18"/>
                <w:szCs w:val="18"/>
              </w:rPr>
            </w:pPr>
            <w:r>
              <w:rPr>
                <w:rFonts w:ascii="Arial" w:hAnsi="Arial" w:cs="Arial"/>
                <w:sz w:val="18"/>
                <w:szCs w:val="18"/>
              </w:rPr>
              <w:t>(1,093,965)</w:t>
            </w:r>
          </w:p>
        </w:tc>
      </w:tr>
      <w:tr w:rsidR="009F4923" w:rsidRPr="00C0574C" w14:paraId="044D8CD6" w14:textId="77777777" w:rsidTr="0015755E">
        <w:trPr>
          <w:trHeight w:val="243"/>
        </w:trPr>
        <w:tc>
          <w:tcPr>
            <w:tcW w:w="4770" w:type="dxa"/>
            <w:vAlign w:val="bottom"/>
          </w:tcPr>
          <w:p w14:paraId="2D9011E7" w14:textId="77777777" w:rsidR="009F4923" w:rsidRPr="00C0574C" w:rsidRDefault="009F4923" w:rsidP="009F4923">
            <w:pPr>
              <w:widowControl w:val="0"/>
              <w:pBdr>
                <w:top w:val="nil"/>
                <w:left w:val="nil"/>
                <w:bottom w:val="nil"/>
                <w:right w:val="nil"/>
                <w:between w:val="nil"/>
              </w:pBdr>
              <w:ind w:right="-250"/>
              <w:rPr>
                <w:rFonts w:ascii="Arial" w:hAnsi="Arial" w:cs="Arial"/>
                <w:color w:val="000000"/>
                <w:sz w:val="18"/>
                <w:szCs w:val="18"/>
              </w:rPr>
            </w:pPr>
            <w:r w:rsidRPr="00C0574C">
              <w:rPr>
                <w:rFonts w:ascii="Arial" w:hAnsi="Arial" w:cs="Arial"/>
                <w:color w:val="000000"/>
                <w:sz w:val="18"/>
                <w:szCs w:val="18"/>
              </w:rPr>
              <w:t xml:space="preserve">Funds flow per share – operating activities </w:t>
            </w:r>
            <w:r w:rsidRPr="00C0574C">
              <w:rPr>
                <w:rFonts w:ascii="Arial" w:hAnsi="Arial" w:cs="Arial"/>
                <w:color w:val="000000"/>
                <w:vertAlign w:val="superscript"/>
              </w:rPr>
              <w:t>(</w:t>
            </w:r>
            <w:r>
              <w:rPr>
                <w:rFonts w:ascii="Arial" w:hAnsi="Arial" w:cs="Arial"/>
                <w:color w:val="000000"/>
                <w:vertAlign w:val="superscript"/>
              </w:rPr>
              <w:t>1</w:t>
            </w:r>
            <w:r w:rsidRPr="00C0574C">
              <w:rPr>
                <w:rFonts w:ascii="Arial" w:hAnsi="Arial" w:cs="Arial"/>
                <w:color w:val="000000"/>
                <w:vertAlign w:val="superscript"/>
              </w:rPr>
              <w:t>)(</w:t>
            </w:r>
            <w:r>
              <w:rPr>
                <w:rFonts w:ascii="Arial" w:hAnsi="Arial" w:cs="Arial"/>
                <w:color w:val="000000"/>
                <w:vertAlign w:val="superscript"/>
              </w:rPr>
              <w:t>2</w:t>
            </w:r>
            <w:r w:rsidRPr="00C0574C">
              <w:rPr>
                <w:rFonts w:ascii="Arial" w:hAnsi="Arial" w:cs="Arial"/>
                <w:color w:val="000000"/>
                <w:vertAlign w:val="superscript"/>
              </w:rPr>
              <w:t>)</w:t>
            </w:r>
          </w:p>
        </w:tc>
        <w:tc>
          <w:tcPr>
            <w:tcW w:w="1282" w:type="dxa"/>
            <w:vAlign w:val="bottom"/>
          </w:tcPr>
          <w:p w14:paraId="0B0B9207" w14:textId="529FE1AC" w:rsidR="008E263D" w:rsidRPr="007F1B62" w:rsidRDefault="008E263D" w:rsidP="008E263D">
            <w:pPr>
              <w:widowControl w:val="0"/>
              <w:pBdr>
                <w:top w:val="nil"/>
                <w:left w:val="nil"/>
                <w:bottom w:val="nil"/>
                <w:right w:val="nil"/>
                <w:between w:val="nil"/>
              </w:pBdr>
              <w:ind w:right="-38"/>
              <w:jc w:val="right"/>
              <w:rPr>
                <w:rFonts w:ascii="Arial" w:hAnsi="Arial" w:cs="Arial"/>
                <w:color w:val="000000"/>
                <w:sz w:val="18"/>
                <w:szCs w:val="18"/>
              </w:rPr>
            </w:pPr>
            <w:r>
              <w:rPr>
                <w:rFonts w:ascii="Arial" w:hAnsi="Arial" w:cs="Arial"/>
                <w:color w:val="000000"/>
                <w:sz w:val="18"/>
                <w:szCs w:val="18"/>
              </w:rPr>
              <w:t>(0.06)</w:t>
            </w:r>
          </w:p>
        </w:tc>
        <w:tc>
          <w:tcPr>
            <w:tcW w:w="1283" w:type="dxa"/>
            <w:vAlign w:val="bottom"/>
          </w:tcPr>
          <w:p w14:paraId="55EDD87B" w14:textId="42323DEF" w:rsidR="009F4923" w:rsidRPr="007F1B62" w:rsidRDefault="009F4923" w:rsidP="009F4923">
            <w:pPr>
              <w:widowControl w:val="0"/>
              <w:pBdr>
                <w:top w:val="nil"/>
                <w:left w:val="nil"/>
                <w:bottom w:val="nil"/>
                <w:right w:val="nil"/>
                <w:between w:val="nil"/>
              </w:pBdr>
              <w:ind w:right="-38"/>
              <w:jc w:val="right"/>
              <w:rPr>
                <w:rFonts w:ascii="Arial" w:hAnsi="Arial" w:cs="Arial"/>
                <w:color w:val="000000"/>
                <w:sz w:val="18"/>
                <w:szCs w:val="18"/>
              </w:rPr>
            </w:pPr>
            <w:r>
              <w:rPr>
                <w:rFonts w:ascii="Arial" w:hAnsi="Arial" w:cs="Arial"/>
                <w:sz w:val="18"/>
                <w:szCs w:val="18"/>
              </w:rPr>
              <w:t>0.01</w:t>
            </w:r>
          </w:p>
        </w:tc>
        <w:tc>
          <w:tcPr>
            <w:tcW w:w="1282" w:type="dxa"/>
            <w:vAlign w:val="bottom"/>
          </w:tcPr>
          <w:p w14:paraId="2096BA88" w14:textId="7187E462" w:rsidR="009F4923" w:rsidRPr="007F1B62" w:rsidRDefault="008E263D" w:rsidP="009F4923">
            <w:pPr>
              <w:widowControl w:val="0"/>
              <w:pBdr>
                <w:top w:val="nil"/>
                <w:left w:val="nil"/>
                <w:bottom w:val="nil"/>
                <w:right w:val="nil"/>
                <w:between w:val="nil"/>
              </w:pBdr>
              <w:ind w:right="-38"/>
              <w:jc w:val="right"/>
              <w:rPr>
                <w:rFonts w:ascii="Arial" w:hAnsi="Arial" w:cs="Arial"/>
                <w:color w:val="000000"/>
                <w:sz w:val="18"/>
                <w:szCs w:val="18"/>
              </w:rPr>
            </w:pPr>
            <w:r>
              <w:rPr>
                <w:rFonts w:ascii="Arial" w:hAnsi="Arial" w:cs="Arial"/>
                <w:color w:val="000000"/>
                <w:sz w:val="18"/>
                <w:szCs w:val="18"/>
              </w:rPr>
              <w:t>(0.18)</w:t>
            </w:r>
          </w:p>
        </w:tc>
        <w:tc>
          <w:tcPr>
            <w:tcW w:w="1283" w:type="dxa"/>
            <w:vAlign w:val="bottom"/>
          </w:tcPr>
          <w:p w14:paraId="517EB0B2" w14:textId="1E9723B8" w:rsidR="009F4923" w:rsidRPr="007F1B62" w:rsidRDefault="009F4923" w:rsidP="009F4923">
            <w:pPr>
              <w:widowControl w:val="0"/>
              <w:pBdr>
                <w:top w:val="nil"/>
                <w:left w:val="nil"/>
                <w:bottom w:val="nil"/>
                <w:right w:val="nil"/>
                <w:between w:val="nil"/>
              </w:pBdr>
              <w:ind w:right="-38"/>
              <w:jc w:val="right"/>
              <w:rPr>
                <w:rFonts w:ascii="Arial" w:hAnsi="Arial" w:cs="Arial"/>
                <w:color w:val="000000"/>
                <w:sz w:val="18"/>
                <w:szCs w:val="18"/>
              </w:rPr>
            </w:pPr>
            <w:r>
              <w:rPr>
                <w:rFonts w:ascii="Arial" w:hAnsi="Arial" w:cs="Arial"/>
                <w:sz w:val="18"/>
                <w:szCs w:val="18"/>
              </w:rPr>
              <w:t>(0.02)</w:t>
            </w:r>
          </w:p>
        </w:tc>
      </w:tr>
      <w:tr w:rsidR="009F4923" w:rsidRPr="00C0574C" w14:paraId="2ADBF8BE" w14:textId="77777777" w:rsidTr="0015755E">
        <w:trPr>
          <w:trHeight w:val="221"/>
        </w:trPr>
        <w:tc>
          <w:tcPr>
            <w:tcW w:w="4770" w:type="dxa"/>
            <w:vAlign w:val="bottom"/>
          </w:tcPr>
          <w:p w14:paraId="2E209DFF" w14:textId="77777777" w:rsidR="009F4923" w:rsidRPr="00C0574C" w:rsidRDefault="009F4923" w:rsidP="009F4923">
            <w:pPr>
              <w:widowControl w:val="0"/>
              <w:pBdr>
                <w:top w:val="nil"/>
                <w:left w:val="nil"/>
                <w:bottom w:val="nil"/>
                <w:right w:val="nil"/>
                <w:between w:val="nil"/>
              </w:pBdr>
              <w:rPr>
                <w:rFonts w:ascii="Arial" w:hAnsi="Arial" w:cs="Arial"/>
                <w:color w:val="000000"/>
                <w:sz w:val="18"/>
                <w:szCs w:val="18"/>
              </w:rPr>
            </w:pPr>
            <w:r w:rsidRPr="00C0574C">
              <w:rPr>
                <w:rFonts w:ascii="Arial" w:hAnsi="Arial" w:cs="Arial"/>
                <w:color w:val="000000"/>
                <w:sz w:val="18"/>
                <w:szCs w:val="18"/>
              </w:rPr>
              <w:t>Weighted average number of shares – basic and diluted</w:t>
            </w:r>
          </w:p>
        </w:tc>
        <w:tc>
          <w:tcPr>
            <w:tcW w:w="1282" w:type="dxa"/>
            <w:vAlign w:val="bottom"/>
          </w:tcPr>
          <w:p w14:paraId="345A1894" w14:textId="6C348418" w:rsidR="009F4923" w:rsidRPr="007F1B62" w:rsidRDefault="009F4923" w:rsidP="009F4923">
            <w:pPr>
              <w:pBdr>
                <w:top w:val="nil"/>
                <w:left w:val="nil"/>
                <w:bottom w:val="nil"/>
                <w:right w:val="nil"/>
                <w:between w:val="nil"/>
              </w:pBdr>
              <w:tabs>
                <w:tab w:val="decimal" w:pos="1065"/>
              </w:tabs>
              <w:ind w:right="-105"/>
              <w:jc w:val="right"/>
              <w:rPr>
                <w:rFonts w:ascii="Arial" w:hAnsi="Arial" w:cs="Arial"/>
                <w:color w:val="000000"/>
                <w:sz w:val="18"/>
                <w:szCs w:val="18"/>
              </w:rPr>
            </w:pPr>
            <w:r>
              <w:rPr>
                <w:rFonts w:ascii="Arial" w:hAnsi="Arial" w:cs="Arial"/>
                <w:sz w:val="18"/>
                <w:szCs w:val="18"/>
              </w:rPr>
              <w:t>72,903,038</w:t>
            </w:r>
          </w:p>
        </w:tc>
        <w:tc>
          <w:tcPr>
            <w:tcW w:w="1283" w:type="dxa"/>
            <w:vAlign w:val="bottom"/>
          </w:tcPr>
          <w:p w14:paraId="7F6DB08A" w14:textId="65F1764B" w:rsidR="009F4923" w:rsidRPr="007F1B62" w:rsidRDefault="009F4923" w:rsidP="009F4923">
            <w:pPr>
              <w:pBdr>
                <w:top w:val="nil"/>
                <w:left w:val="nil"/>
                <w:bottom w:val="nil"/>
                <w:right w:val="nil"/>
                <w:between w:val="nil"/>
              </w:pBdr>
              <w:tabs>
                <w:tab w:val="decimal" w:pos="1065"/>
              </w:tabs>
              <w:ind w:right="-105"/>
              <w:jc w:val="right"/>
              <w:rPr>
                <w:rFonts w:ascii="Arial" w:hAnsi="Arial" w:cs="Arial"/>
                <w:color w:val="000000"/>
                <w:sz w:val="18"/>
                <w:szCs w:val="18"/>
              </w:rPr>
            </w:pPr>
            <w:r w:rsidRPr="007F1B62">
              <w:rPr>
                <w:rFonts w:ascii="Arial" w:hAnsi="Arial" w:cs="Arial"/>
                <w:sz w:val="18"/>
                <w:szCs w:val="18"/>
              </w:rPr>
              <w:t>72,903,038</w:t>
            </w:r>
          </w:p>
        </w:tc>
        <w:tc>
          <w:tcPr>
            <w:tcW w:w="1282" w:type="dxa"/>
            <w:vAlign w:val="bottom"/>
          </w:tcPr>
          <w:p w14:paraId="2E1AA8FA" w14:textId="24273CF4" w:rsidR="009F4923" w:rsidRPr="007F1B62" w:rsidRDefault="009F4923" w:rsidP="009F4923">
            <w:pPr>
              <w:pBdr>
                <w:top w:val="nil"/>
                <w:left w:val="nil"/>
                <w:bottom w:val="nil"/>
                <w:right w:val="nil"/>
                <w:between w:val="nil"/>
              </w:pBdr>
              <w:tabs>
                <w:tab w:val="decimal" w:pos="1065"/>
              </w:tabs>
              <w:ind w:right="-105"/>
              <w:jc w:val="right"/>
              <w:rPr>
                <w:rFonts w:ascii="Arial" w:hAnsi="Arial" w:cs="Arial"/>
                <w:color w:val="000000"/>
                <w:sz w:val="18"/>
                <w:szCs w:val="18"/>
              </w:rPr>
            </w:pPr>
            <w:r>
              <w:rPr>
                <w:rFonts w:ascii="Arial" w:hAnsi="Arial" w:cs="Arial"/>
                <w:sz w:val="18"/>
                <w:szCs w:val="18"/>
              </w:rPr>
              <w:t>72,903,038</w:t>
            </w:r>
          </w:p>
        </w:tc>
        <w:tc>
          <w:tcPr>
            <w:tcW w:w="1283" w:type="dxa"/>
            <w:vAlign w:val="bottom"/>
          </w:tcPr>
          <w:p w14:paraId="4FD148A0" w14:textId="0BE20F75" w:rsidR="009F4923" w:rsidRPr="007F1B62" w:rsidRDefault="009F4923" w:rsidP="009F4923">
            <w:pPr>
              <w:pBdr>
                <w:top w:val="nil"/>
                <w:left w:val="nil"/>
                <w:bottom w:val="nil"/>
                <w:right w:val="nil"/>
                <w:between w:val="nil"/>
              </w:pBdr>
              <w:tabs>
                <w:tab w:val="decimal" w:pos="1065"/>
              </w:tabs>
              <w:ind w:right="-105"/>
              <w:jc w:val="right"/>
              <w:rPr>
                <w:rFonts w:ascii="Arial" w:hAnsi="Arial" w:cs="Arial"/>
                <w:color w:val="000000"/>
                <w:sz w:val="18"/>
                <w:szCs w:val="18"/>
              </w:rPr>
            </w:pPr>
            <w:r w:rsidRPr="007F1B62">
              <w:rPr>
                <w:rFonts w:ascii="Arial" w:hAnsi="Arial" w:cs="Arial"/>
                <w:sz w:val="18"/>
                <w:szCs w:val="18"/>
              </w:rPr>
              <w:t>72,903,038</w:t>
            </w:r>
          </w:p>
        </w:tc>
      </w:tr>
    </w:tbl>
    <w:p w14:paraId="39F335D7" w14:textId="77777777" w:rsidR="0015755E" w:rsidRDefault="0015755E" w:rsidP="004F7EFE">
      <w:pPr>
        <w:widowControl w:val="0"/>
        <w:spacing w:before="40"/>
        <w:jc w:val="both"/>
        <w:rPr>
          <w:rFonts w:ascii="Arial" w:hAnsi="Arial" w:cs="Arial"/>
          <w:sz w:val="18"/>
          <w:szCs w:val="18"/>
          <w:vertAlign w:val="superscript"/>
        </w:rPr>
      </w:pPr>
    </w:p>
    <w:p w14:paraId="267F0FC8" w14:textId="187D9CE4" w:rsidR="00A11329" w:rsidRPr="00747799" w:rsidRDefault="004F7EFE" w:rsidP="00747799">
      <w:pPr>
        <w:widowControl w:val="0"/>
        <w:spacing w:before="40"/>
        <w:ind w:left="432" w:hanging="288"/>
        <w:jc w:val="both"/>
        <w:rPr>
          <w:rFonts w:ascii="Arial" w:hAnsi="Arial" w:cs="Arial"/>
          <w:sz w:val="16"/>
          <w:szCs w:val="16"/>
          <w:lang w:val="en-CA"/>
        </w:rPr>
      </w:pPr>
      <w:r>
        <w:rPr>
          <w:rFonts w:ascii="Arial" w:hAnsi="Arial" w:cs="Arial"/>
          <w:sz w:val="18"/>
          <w:szCs w:val="18"/>
          <w:vertAlign w:val="superscript"/>
          <w:lang w:val="en-CA"/>
        </w:rPr>
        <w:t xml:space="preserve"> </w:t>
      </w:r>
      <w:r w:rsidR="006429BF" w:rsidRPr="00747799">
        <w:rPr>
          <w:rFonts w:ascii="Arial" w:hAnsi="Arial" w:cs="Arial"/>
          <w:sz w:val="16"/>
          <w:szCs w:val="16"/>
          <w:vertAlign w:val="superscript"/>
          <w:lang w:val="en-CA"/>
        </w:rPr>
        <w:t>(1)</w:t>
      </w:r>
      <w:r w:rsidR="006429BF" w:rsidRPr="00747799">
        <w:rPr>
          <w:rFonts w:ascii="Arial" w:hAnsi="Arial" w:cs="Arial"/>
          <w:sz w:val="16"/>
          <w:szCs w:val="16"/>
          <w:lang w:val="en-CA"/>
        </w:rPr>
        <w:t xml:space="preserve">  </w:t>
      </w:r>
      <w:r w:rsidR="00747799" w:rsidRPr="00747799">
        <w:rPr>
          <w:rFonts w:ascii="Arial" w:hAnsi="Arial" w:cs="Arial"/>
          <w:sz w:val="16"/>
          <w:szCs w:val="16"/>
        </w:rPr>
        <w:t>We adhere to International Financial Reporting Standards (“</w:t>
      </w:r>
      <w:r w:rsidR="00747799" w:rsidRPr="00747799">
        <w:rPr>
          <w:rFonts w:ascii="Arial" w:hAnsi="Arial" w:cs="Arial"/>
          <w:b/>
          <w:sz w:val="16"/>
          <w:szCs w:val="16"/>
        </w:rPr>
        <w:t>IFRS</w:t>
      </w:r>
      <w:r w:rsidR="00747799" w:rsidRPr="00747799">
        <w:rPr>
          <w:rFonts w:ascii="Arial" w:hAnsi="Arial" w:cs="Arial"/>
          <w:sz w:val="16"/>
          <w:szCs w:val="16"/>
        </w:rPr>
        <w:t xml:space="preserve">”) however the Company also employs certain non-IFRS measures to analyze financial performance, financial position, and cash flow.  </w:t>
      </w:r>
      <w:r w:rsidR="00CE0655" w:rsidRPr="00747799">
        <w:rPr>
          <w:rFonts w:ascii="Arial" w:hAnsi="Arial" w:cs="Arial"/>
          <w:sz w:val="16"/>
          <w:szCs w:val="16"/>
          <w:lang w:val="en-CA"/>
        </w:rPr>
        <w:t xml:space="preserve">“Working capital” is a capital management measure. “Non-current financial liabilities” is a supplemental financial measure. </w:t>
      </w:r>
      <w:r w:rsidR="003760A5" w:rsidRPr="00747799">
        <w:rPr>
          <w:rFonts w:ascii="Arial" w:hAnsi="Arial" w:cs="Arial"/>
          <w:sz w:val="16"/>
          <w:szCs w:val="16"/>
          <w:lang w:val="en-CA"/>
        </w:rPr>
        <w:t>“</w:t>
      </w:r>
      <w:r w:rsidR="00CE0655" w:rsidRPr="00747799">
        <w:rPr>
          <w:rFonts w:ascii="Arial" w:hAnsi="Arial" w:cs="Arial"/>
          <w:sz w:val="16"/>
          <w:szCs w:val="16"/>
          <w:lang w:val="en-CA"/>
        </w:rPr>
        <w:t>Net cash per share – operating activities</w:t>
      </w:r>
      <w:r w:rsidR="003760A5" w:rsidRPr="00747799">
        <w:rPr>
          <w:rFonts w:ascii="Arial" w:hAnsi="Arial" w:cs="Arial"/>
          <w:sz w:val="16"/>
          <w:szCs w:val="16"/>
          <w:lang w:val="en-CA"/>
        </w:rPr>
        <w:t>”</w:t>
      </w:r>
      <w:r w:rsidR="00CE0655" w:rsidRPr="00747799">
        <w:rPr>
          <w:rFonts w:ascii="Arial" w:hAnsi="Arial" w:cs="Arial"/>
          <w:sz w:val="16"/>
          <w:szCs w:val="16"/>
          <w:lang w:val="en-CA"/>
        </w:rPr>
        <w:t xml:space="preserve"> is a supplemental financial measure. </w:t>
      </w:r>
      <w:r w:rsidR="003760A5" w:rsidRPr="00747799">
        <w:rPr>
          <w:rFonts w:ascii="Arial" w:hAnsi="Arial" w:cs="Arial"/>
          <w:sz w:val="16"/>
          <w:szCs w:val="16"/>
          <w:lang w:val="en-CA"/>
        </w:rPr>
        <w:t>“</w:t>
      </w:r>
      <w:r w:rsidR="00CE0655" w:rsidRPr="00747799">
        <w:rPr>
          <w:rFonts w:ascii="Arial" w:hAnsi="Arial" w:cs="Arial"/>
          <w:sz w:val="16"/>
          <w:szCs w:val="16"/>
          <w:lang w:val="en-CA"/>
        </w:rPr>
        <w:t>Funds flow per share – operating activities</w:t>
      </w:r>
      <w:r w:rsidR="003760A5" w:rsidRPr="00747799">
        <w:rPr>
          <w:rFonts w:ascii="Arial" w:hAnsi="Arial" w:cs="Arial"/>
          <w:sz w:val="16"/>
          <w:szCs w:val="16"/>
          <w:lang w:val="en-CA"/>
        </w:rPr>
        <w:t>”</w:t>
      </w:r>
      <w:r w:rsidR="00CE0655" w:rsidRPr="00747799">
        <w:rPr>
          <w:rFonts w:ascii="Arial" w:hAnsi="Arial" w:cs="Arial"/>
          <w:sz w:val="16"/>
          <w:szCs w:val="16"/>
          <w:lang w:val="en-CA"/>
        </w:rPr>
        <w:t xml:space="preserve"> is a supplemental financial measure.  See </w:t>
      </w:r>
      <w:r w:rsidR="003760A5" w:rsidRPr="00747799">
        <w:rPr>
          <w:rFonts w:ascii="Arial" w:hAnsi="Arial" w:cs="Arial"/>
          <w:sz w:val="16"/>
          <w:szCs w:val="16"/>
          <w:lang w:val="en-CA"/>
        </w:rPr>
        <w:t>“</w:t>
      </w:r>
      <w:r w:rsidR="00CE0655" w:rsidRPr="00747799">
        <w:rPr>
          <w:rFonts w:ascii="Arial" w:hAnsi="Arial" w:cs="Arial"/>
          <w:sz w:val="16"/>
          <w:szCs w:val="16"/>
          <w:lang w:val="en-CA"/>
        </w:rPr>
        <w:t>Non-IFRS and Other Financial Measures</w:t>
      </w:r>
      <w:r w:rsidR="003760A5" w:rsidRPr="00747799">
        <w:rPr>
          <w:rFonts w:ascii="Arial" w:hAnsi="Arial" w:cs="Arial"/>
          <w:sz w:val="16"/>
          <w:szCs w:val="16"/>
          <w:lang w:val="en-CA"/>
        </w:rPr>
        <w:t>”</w:t>
      </w:r>
      <w:r w:rsidR="00CE0655" w:rsidRPr="00747799">
        <w:rPr>
          <w:rFonts w:ascii="Arial" w:hAnsi="Arial" w:cs="Arial"/>
          <w:sz w:val="16"/>
          <w:szCs w:val="16"/>
          <w:lang w:val="en-CA"/>
        </w:rPr>
        <w:t>.</w:t>
      </w:r>
    </w:p>
    <w:p w14:paraId="738D29D8" w14:textId="44BD88E6" w:rsidR="00A11329" w:rsidRPr="00747799" w:rsidRDefault="00A11329" w:rsidP="00A11329">
      <w:pPr>
        <w:widowControl w:val="0"/>
        <w:ind w:left="432" w:hanging="288"/>
        <w:jc w:val="both"/>
        <w:rPr>
          <w:rFonts w:ascii="Arial" w:hAnsi="Arial" w:cs="Arial"/>
          <w:sz w:val="16"/>
          <w:szCs w:val="16"/>
          <w:lang w:val="en-CA"/>
        </w:rPr>
      </w:pPr>
      <w:r w:rsidRPr="00747799">
        <w:rPr>
          <w:rFonts w:ascii="Arial" w:hAnsi="Arial" w:cs="Arial"/>
          <w:sz w:val="16"/>
          <w:szCs w:val="16"/>
          <w:vertAlign w:val="superscript"/>
          <w:lang w:val="en-CA"/>
        </w:rPr>
        <w:t>(</w:t>
      </w:r>
      <w:r w:rsidR="00747799" w:rsidRPr="00747799">
        <w:rPr>
          <w:rFonts w:ascii="Arial" w:hAnsi="Arial" w:cs="Arial"/>
          <w:sz w:val="16"/>
          <w:szCs w:val="16"/>
          <w:vertAlign w:val="superscript"/>
          <w:lang w:val="en-CA"/>
        </w:rPr>
        <w:t>2</w:t>
      </w:r>
      <w:r w:rsidRPr="00747799">
        <w:rPr>
          <w:rFonts w:ascii="Arial" w:hAnsi="Arial" w:cs="Arial"/>
          <w:sz w:val="16"/>
          <w:szCs w:val="16"/>
          <w:vertAlign w:val="superscript"/>
          <w:lang w:val="en-CA"/>
        </w:rPr>
        <w:t>)</w:t>
      </w:r>
      <w:r w:rsidRPr="00747799">
        <w:rPr>
          <w:rFonts w:ascii="Arial" w:hAnsi="Arial" w:cs="Arial"/>
          <w:sz w:val="16"/>
          <w:szCs w:val="16"/>
          <w:lang w:val="en-CA"/>
        </w:rPr>
        <w:t xml:space="preserve">  </w:t>
      </w:r>
      <w:r w:rsidR="00747799">
        <w:rPr>
          <w:rFonts w:ascii="Arial" w:hAnsi="Arial" w:cs="Arial"/>
          <w:sz w:val="16"/>
          <w:szCs w:val="16"/>
          <w:lang w:val="en-CA"/>
        </w:rPr>
        <w:t xml:space="preserve"> </w:t>
      </w:r>
      <w:r w:rsidRPr="00747799">
        <w:rPr>
          <w:rFonts w:ascii="Arial" w:hAnsi="Arial" w:cs="Arial"/>
          <w:sz w:val="16"/>
          <w:szCs w:val="16"/>
          <w:lang w:val="en-CA"/>
        </w:rPr>
        <w:t xml:space="preserve">All per share figures are </w:t>
      </w:r>
      <w:r w:rsidR="00AD14A5" w:rsidRPr="00747799">
        <w:rPr>
          <w:rFonts w:ascii="Arial" w:hAnsi="Arial" w:cs="Arial"/>
          <w:sz w:val="16"/>
          <w:szCs w:val="16"/>
          <w:lang w:val="en-CA"/>
        </w:rPr>
        <w:t>the same for</w:t>
      </w:r>
      <w:r w:rsidRPr="00747799">
        <w:rPr>
          <w:rFonts w:ascii="Arial" w:hAnsi="Arial" w:cs="Arial"/>
          <w:sz w:val="16"/>
          <w:szCs w:val="16"/>
          <w:lang w:val="en-CA"/>
        </w:rPr>
        <w:t xml:space="preserve"> the basic </w:t>
      </w:r>
      <w:r w:rsidR="00AD14A5" w:rsidRPr="00747799">
        <w:rPr>
          <w:rFonts w:ascii="Arial" w:hAnsi="Arial" w:cs="Arial"/>
          <w:sz w:val="16"/>
          <w:szCs w:val="16"/>
          <w:lang w:val="en-CA"/>
        </w:rPr>
        <w:t xml:space="preserve">and diluted </w:t>
      </w:r>
      <w:r w:rsidRPr="00747799">
        <w:rPr>
          <w:rFonts w:ascii="Arial" w:hAnsi="Arial" w:cs="Arial"/>
          <w:sz w:val="16"/>
          <w:szCs w:val="16"/>
          <w:lang w:val="en-CA"/>
        </w:rPr>
        <w:t>weighted average number of shares outstanding in the period</w:t>
      </w:r>
      <w:r w:rsidR="00590F21" w:rsidRPr="00747799">
        <w:rPr>
          <w:rFonts w:ascii="Arial" w:hAnsi="Arial" w:cs="Arial"/>
          <w:sz w:val="16"/>
          <w:szCs w:val="16"/>
          <w:lang w:val="en-CA"/>
        </w:rPr>
        <w:t>s</w:t>
      </w:r>
      <w:r w:rsidRPr="00747799">
        <w:rPr>
          <w:rFonts w:ascii="Arial" w:hAnsi="Arial" w:cs="Arial"/>
          <w:sz w:val="16"/>
          <w:szCs w:val="16"/>
          <w:lang w:val="en-CA"/>
        </w:rPr>
        <w:t>.  The effect of options is anti-dilutive in loss periods.  Per share amounts may not add due to rounding.</w:t>
      </w:r>
    </w:p>
    <w:p w14:paraId="1F378A12" w14:textId="77777777" w:rsidR="00042E43" w:rsidRDefault="00042E43" w:rsidP="00D02275">
      <w:pPr>
        <w:rPr>
          <w:rFonts w:ascii="Arial" w:hAnsi="Arial" w:cs="Arial"/>
          <w:b/>
          <w:sz w:val="20"/>
          <w:szCs w:val="20"/>
          <w:lang w:val="en-CA"/>
        </w:rPr>
      </w:pPr>
    </w:p>
    <w:p w14:paraId="098B3A89" w14:textId="6E49C5D6" w:rsidR="00570F49" w:rsidRDefault="00150304" w:rsidP="00D02275">
      <w:pPr>
        <w:rPr>
          <w:rFonts w:ascii="Arial" w:hAnsi="Arial" w:cs="Arial"/>
          <w:b/>
          <w:sz w:val="20"/>
          <w:szCs w:val="20"/>
          <w:lang w:val="en-CA"/>
        </w:rPr>
      </w:pPr>
      <w:r>
        <w:rPr>
          <w:rFonts w:ascii="Arial" w:hAnsi="Arial" w:cs="Arial"/>
          <w:b/>
          <w:sz w:val="20"/>
          <w:szCs w:val="20"/>
          <w:lang w:val="en-CA"/>
        </w:rPr>
        <w:t>Sales Volumes</w:t>
      </w:r>
    </w:p>
    <w:tbl>
      <w:tblPr>
        <w:tblW w:w="9355" w:type="dxa"/>
        <w:tblLayout w:type="fixed"/>
        <w:tblLook w:val="04A0" w:firstRow="1" w:lastRow="0" w:firstColumn="1" w:lastColumn="0" w:noHBand="0" w:noVBand="1"/>
      </w:tblPr>
      <w:tblGrid>
        <w:gridCol w:w="4765"/>
        <w:gridCol w:w="1170"/>
        <w:gridCol w:w="1080"/>
        <w:gridCol w:w="1170"/>
        <w:gridCol w:w="1170"/>
      </w:tblGrid>
      <w:tr w:rsidR="009464D4" w:rsidRPr="00902562" w14:paraId="691F95A4" w14:textId="77777777" w:rsidTr="00AB2D66">
        <w:tc>
          <w:tcPr>
            <w:tcW w:w="4765" w:type="dxa"/>
            <w:tcBorders>
              <w:top w:val="single" w:sz="12" w:space="0" w:color="auto"/>
              <w:left w:val="single" w:sz="4" w:space="0" w:color="auto"/>
              <w:right w:val="single" w:sz="4" w:space="0" w:color="auto"/>
            </w:tcBorders>
          </w:tcPr>
          <w:p w14:paraId="62CE00C7" w14:textId="77777777" w:rsidR="009464D4" w:rsidRPr="00902562" w:rsidRDefault="009464D4" w:rsidP="00AB2D66">
            <w:pPr>
              <w:rPr>
                <w:rFonts w:ascii="Arial" w:hAnsi="Arial" w:cs="Arial"/>
                <w:b/>
                <w:bCs/>
                <w:sz w:val="16"/>
                <w:szCs w:val="16"/>
                <w:lang w:val="en-CA"/>
              </w:rPr>
            </w:pPr>
          </w:p>
        </w:tc>
        <w:tc>
          <w:tcPr>
            <w:tcW w:w="2250" w:type="dxa"/>
            <w:gridSpan w:val="2"/>
            <w:tcBorders>
              <w:top w:val="single" w:sz="12" w:space="0" w:color="auto"/>
              <w:left w:val="single" w:sz="4" w:space="0" w:color="auto"/>
              <w:right w:val="single" w:sz="4" w:space="0" w:color="auto"/>
            </w:tcBorders>
            <w:vAlign w:val="bottom"/>
          </w:tcPr>
          <w:p w14:paraId="1400C204" w14:textId="77777777" w:rsidR="009464D4" w:rsidRPr="00902562" w:rsidRDefault="009464D4" w:rsidP="00AB2D66">
            <w:pPr>
              <w:widowControl w:val="0"/>
              <w:spacing w:before="60"/>
              <w:jc w:val="center"/>
              <w:rPr>
                <w:rFonts w:ascii="Arial" w:hAnsi="Arial" w:cs="Arial"/>
                <w:b/>
                <w:bCs/>
                <w:sz w:val="16"/>
                <w:szCs w:val="16"/>
                <w:lang w:val="en-CA"/>
              </w:rPr>
            </w:pPr>
            <w:r>
              <w:rPr>
                <w:rFonts w:ascii="Arial" w:hAnsi="Arial" w:cs="Arial"/>
                <w:b/>
                <w:bCs/>
                <w:sz w:val="16"/>
                <w:szCs w:val="16"/>
                <w:lang w:val="en-CA"/>
              </w:rPr>
              <w:t>Three months ended</w:t>
            </w:r>
          </w:p>
        </w:tc>
        <w:tc>
          <w:tcPr>
            <w:tcW w:w="2340" w:type="dxa"/>
            <w:gridSpan w:val="2"/>
            <w:tcBorders>
              <w:top w:val="single" w:sz="12" w:space="0" w:color="auto"/>
              <w:left w:val="single" w:sz="4" w:space="0" w:color="auto"/>
              <w:right w:val="single" w:sz="4" w:space="0" w:color="auto"/>
            </w:tcBorders>
            <w:vAlign w:val="bottom"/>
          </w:tcPr>
          <w:p w14:paraId="7C1FC042" w14:textId="0DA85079" w:rsidR="009464D4" w:rsidRPr="00902562" w:rsidRDefault="0015755E" w:rsidP="00AB2D66">
            <w:pPr>
              <w:widowControl w:val="0"/>
              <w:spacing w:before="60"/>
              <w:jc w:val="center"/>
              <w:rPr>
                <w:rFonts w:ascii="Arial" w:hAnsi="Arial" w:cs="Arial"/>
                <w:b/>
                <w:bCs/>
                <w:sz w:val="16"/>
                <w:szCs w:val="16"/>
                <w:lang w:val="en-CA"/>
              </w:rPr>
            </w:pPr>
            <w:r>
              <w:rPr>
                <w:rFonts w:ascii="Arial" w:hAnsi="Arial" w:cs="Arial"/>
                <w:b/>
                <w:bCs/>
                <w:sz w:val="16"/>
                <w:szCs w:val="16"/>
                <w:lang w:val="en-CA"/>
              </w:rPr>
              <w:t>Year ended</w:t>
            </w:r>
          </w:p>
        </w:tc>
      </w:tr>
      <w:tr w:rsidR="009464D4" w:rsidRPr="00902562" w14:paraId="1860F4DF" w14:textId="77777777" w:rsidTr="00AB2D66">
        <w:tc>
          <w:tcPr>
            <w:tcW w:w="4765" w:type="dxa"/>
            <w:tcBorders>
              <w:left w:val="single" w:sz="4" w:space="0" w:color="auto"/>
              <w:right w:val="single" w:sz="4" w:space="0" w:color="auto"/>
            </w:tcBorders>
          </w:tcPr>
          <w:p w14:paraId="7BBCA38B" w14:textId="77777777" w:rsidR="009464D4" w:rsidRPr="00902562" w:rsidRDefault="009464D4" w:rsidP="00AB2D66">
            <w:pPr>
              <w:rPr>
                <w:rFonts w:ascii="Arial" w:hAnsi="Arial" w:cs="Arial"/>
                <w:b/>
                <w:sz w:val="16"/>
                <w:szCs w:val="16"/>
                <w:lang w:val="en-CA"/>
              </w:rPr>
            </w:pPr>
          </w:p>
        </w:tc>
        <w:tc>
          <w:tcPr>
            <w:tcW w:w="2250" w:type="dxa"/>
            <w:gridSpan w:val="2"/>
            <w:tcBorders>
              <w:left w:val="single" w:sz="4" w:space="0" w:color="auto"/>
              <w:bottom w:val="single" w:sz="4" w:space="0" w:color="auto"/>
              <w:right w:val="single" w:sz="4" w:space="0" w:color="auto"/>
            </w:tcBorders>
            <w:vAlign w:val="bottom"/>
          </w:tcPr>
          <w:p w14:paraId="0EDB0C14" w14:textId="378B901A" w:rsidR="009464D4" w:rsidRPr="00902562" w:rsidRDefault="0015755E" w:rsidP="00AB2D66">
            <w:pPr>
              <w:widowControl w:val="0"/>
              <w:jc w:val="center"/>
              <w:rPr>
                <w:rFonts w:ascii="Arial" w:hAnsi="Arial" w:cs="Arial"/>
                <w:b/>
                <w:bCs/>
                <w:sz w:val="16"/>
                <w:szCs w:val="16"/>
                <w:lang w:val="en-CA"/>
              </w:rPr>
            </w:pPr>
            <w:r>
              <w:rPr>
                <w:rFonts w:ascii="Arial" w:hAnsi="Arial" w:cs="Arial"/>
                <w:b/>
                <w:bCs/>
                <w:sz w:val="16"/>
                <w:szCs w:val="16"/>
                <w:lang w:val="en-CA"/>
              </w:rPr>
              <w:t>December</w:t>
            </w:r>
            <w:r w:rsidR="00257237">
              <w:rPr>
                <w:rFonts w:ascii="Arial" w:hAnsi="Arial" w:cs="Arial"/>
                <w:b/>
                <w:bCs/>
                <w:sz w:val="16"/>
                <w:szCs w:val="16"/>
                <w:lang w:val="en-CA"/>
              </w:rPr>
              <w:t xml:space="preserve"> </w:t>
            </w:r>
            <w:r w:rsidR="009464D4">
              <w:rPr>
                <w:rFonts w:ascii="Arial" w:hAnsi="Arial" w:cs="Arial"/>
                <w:b/>
                <w:bCs/>
                <w:sz w:val="16"/>
                <w:szCs w:val="16"/>
                <w:lang w:val="en-CA"/>
              </w:rPr>
              <w:t>3</w:t>
            </w:r>
            <w:r>
              <w:rPr>
                <w:rFonts w:ascii="Arial" w:hAnsi="Arial" w:cs="Arial"/>
                <w:b/>
                <w:bCs/>
                <w:sz w:val="16"/>
                <w:szCs w:val="16"/>
                <w:lang w:val="en-CA"/>
              </w:rPr>
              <w:t>1</w:t>
            </w:r>
          </w:p>
        </w:tc>
        <w:tc>
          <w:tcPr>
            <w:tcW w:w="2340" w:type="dxa"/>
            <w:gridSpan w:val="2"/>
            <w:tcBorders>
              <w:left w:val="single" w:sz="4" w:space="0" w:color="auto"/>
              <w:bottom w:val="single" w:sz="4" w:space="0" w:color="auto"/>
              <w:right w:val="single" w:sz="4" w:space="0" w:color="auto"/>
            </w:tcBorders>
            <w:vAlign w:val="bottom"/>
          </w:tcPr>
          <w:p w14:paraId="046B030E" w14:textId="3A65685A" w:rsidR="009464D4" w:rsidRPr="00902562" w:rsidRDefault="0015755E" w:rsidP="00AB2D66">
            <w:pPr>
              <w:widowControl w:val="0"/>
              <w:jc w:val="center"/>
              <w:rPr>
                <w:rFonts w:ascii="Arial" w:hAnsi="Arial" w:cs="Arial"/>
                <w:b/>
                <w:bCs/>
                <w:sz w:val="16"/>
                <w:szCs w:val="16"/>
                <w:lang w:val="en-CA"/>
              </w:rPr>
            </w:pPr>
            <w:r>
              <w:rPr>
                <w:rFonts w:ascii="Arial" w:hAnsi="Arial" w:cs="Arial"/>
                <w:b/>
                <w:bCs/>
                <w:sz w:val="16"/>
                <w:szCs w:val="16"/>
                <w:lang w:val="en-CA"/>
              </w:rPr>
              <w:t>December</w:t>
            </w:r>
            <w:r w:rsidR="00257237">
              <w:rPr>
                <w:rFonts w:ascii="Arial" w:hAnsi="Arial" w:cs="Arial"/>
                <w:b/>
                <w:bCs/>
                <w:sz w:val="16"/>
                <w:szCs w:val="16"/>
                <w:lang w:val="en-CA"/>
              </w:rPr>
              <w:t xml:space="preserve"> </w:t>
            </w:r>
            <w:r w:rsidR="009464D4">
              <w:rPr>
                <w:rFonts w:ascii="Arial" w:hAnsi="Arial" w:cs="Arial"/>
                <w:b/>
                <w:bCs/>
                <w:sz w:val="16"/>
                <w:szCs w:val="16"/>
                <w:lang w:val="en-CA"/>
              </w:rPr>
              <w:t>3</w:t>
            </w:r>
            <w:r>
              <w:rPr>
                <w:rFonts w:ascii="Arial" w:hAnsi="Arial" w:cs="Arial"/>
                <w:b/>
                <w:bCs/>
                <w:sz w:val="16"/>
                <w:szCs w:val="16"/>
                <w:lang w:val="en-CA"/>
              </w:rPr>
              <w:t>1</w:t>
            </w:r>
          </w:p>
        </w:tc>
      </w:tr>
      <w:tr w:rsidR="009464D4" w:rsidRPr="00902562" w14:paraId="4FB7A4FD" w14:textId="77777777" w:rsidTr="00AB2D66">
        <w:tc>
          <w:tcPr>
            <w:tcW w:w="4765" w:type="dxa"/>
            <w:tcBorders>
              <w:left w:val="single" w:sz="4" w:space="0" w:color="auto"/>
              <w:bottom w:val="single" w:sz="4" w:space="0" w:color="auto"/>
              <w:right w:val="single" w:sz="4" w:space="0" w:color="auto"/>
            </w:tcBorders>
          </w:tcPr>
          <w:p w14:paraId="5A9EDF1C" w14:textId="77777777" w:rsidR="009464D4" w:rsidRPr="00902562" w:rsidRDefault="009464D4" w:rsidP="009464D4">
            <w:pPr>
              <w:rPr>
                <w:rFonts w:ascii="Arial" w:hAnsi="Arial" w:cs="Arial"/>
                <w:bCs/>
                <w:sz w:val="16"/>
                <w:szCs w:val="16"/>
                <w:lang w:val="en-CA"/>
              </w:rPr>
            </w:pPr>
          </w:p>
        </w:tc>
        <w:tc>
          <w:tcPr>
            <w:tcW w:w="1170" w:type="dxa"/>
            <w:tcBorders>
              <w:top w:val="single" w:sz="4" w:space="0" w:color="auto"/>
              <w:left w:val="single" w:sz="4" w:space="0" w:color="auto"/>
              <w:bottom w:val="single" w:sz="4" w:space="0" w:color="auto"/>
              <w:right w:val="single" w:sz="4" w:space="0" w:color="auto"/>
            </w:tcBorders>
            <w:vAlign w:val="bottom"/>
          </w:tcPr>
          <w:p w14:paraId="1BE215AF" w14:textId="27BE20DA" w:rsidR="009464D4" w:rsidRPr="00902562" w:rsidRDefault="009464D4" w:rsidP="009464D4">
            <w:pPr>
              <w:widowControl w:val="0"/>
              <w:ind w:right="162"/>
              <w:jc w:val="center"/>
              <w:rPr>
                <w:rFonts w:ascii="Arial" w:hAnsi="Arial" w:cs="Arial"/>
                <w:b/>
                <w:bCs/>
                <w:sz w:val="16"/>
                <w:szCs w:val="16"/>
                <w:lang w:val="en-CA"/>
              </w:rPr>
            </w:pPr>
            <w:r w:rsidRPr="00C0574C">
              <w:rPr>
                <w:rFonts w:ascii="Arial" w:hAnsi="Arial" w:cs="Arial"/>
                <w:b/>
                <w:color w:val="000000"/>
                <w:sz w:val="16"/>
                <w:szCs w:val="16"/>
              </w:rPr>
              <w:t>202</w:t>
            </w:r>
            <w:r w:rsidR="009F4923">
              <w:rPr>
                <w:rFonts w:ascii="Arial" w:hAnsi="Arial" w:cs="Arial"/>
                <w:b/>
                <w:color w:val="000000"/>
                <w:sz w:val="16"/>
                <w:szCs w:val="16"/>
              </w:rPr>
              <w:t>5</w:t>
            </w:r>
          </w:p>
        </w:tc>
        <w:tc>
          <w:tcPr>
            <w:tcW w:w="1080" w:type="dxa"/>
            <w:tcBorders>
              <w:top w:val="single" w:sz="4" w:space="0" w:color="auto"/>
              <w:left w:val="single" w:sz="4" w:space="0" w:color="auto"/>
              <w:bottom w:val="single" w:sz="4" w:space="0" w:color="auto"/>
              <w:right w:val="single" w:sz="4" w:space="0" w:color="auto"/>
            </w:tcBorders>
            <w:vAlign w:val="bottom"/>
          </w:tcPr>
          <w:p w14:paraId="4B668C40" w14:textId="7099BBC3" w:rsidR="009464D4" w:rsidRPr="00902562" w:rsidRDefault="009464D4" w:rsidP="009464D4">
            <w:pPr>
              <w:widowControl w:val="0"/>
              <w:ind w:right="72"/>
              <w:jc w:val="center"/>
              <w:rPr>
                <w:rFonts w:ascii="Arial" w:hAnsi="Arial" w:cs="Arial"/>
                <w:b/>
                <w:bCs/>
                <w:sz w:val="16"/>
                <w:szCs w:val="16"/>
                <w:lang w:val="en-CA"/>
              </w:rPr>
            </w:pPr>
            <w:r w:rsidRPr="00C0574C">
              <w:rPr>
                <w:rFonts w:ascii="Arial" w:hAnsi="Arial" w:cs="Arial"/>
                <w:b/>
                <w:color w:val="000000"/>
                <w:sz w:val="16"/>
                <w:szCs w:val="16"/>
              </w:rPr>
              <w:t>202</w:t>
            </w:r>
            <w:r w:rsidR="009F4923">
              <w:rPr>
                <w:rFonts w:ascii="Arial" w:hAnsi="Arial" w:cs="Arial"/>
                <w:b/>
                <w:color w:val="000000"/>
                <w:sz w:val="16"/>
                <w:szCs w:val="16"/>
              </w:rPr>
              <w:t>4</w:t>
            </w:r>
          </w:p>
        </w:tc>
        <w:tc>
          <w:tcPr>
            <w:tcW w:w="1170" w:type="dxa"/>
            <w:tcBorders>
              <w:top w:val="single" w:sz="4" w:space="0" w:color="auto"/>
              <w:left w:val="single" w:sz="4" w:space="0" w:color="auto"/>
              <w:bottom w:val="single" w:sz="4" w:space="0" w:color="auto"/>
              <w:right w:val="single" w:sz="4" w:space="0" w:color="auto"/>
            </w:tcBorders>
            <w:vAlign w:val="bottom"/>
          </w:tcPr>
          <w:p w14:paraId="381F5D80" w14:textId="1D876F32" w:rsidR="009464D4" w:rsidRPr="00902562" w:rsidRDefault="009464D4" w:rsidP="009464D4">
            <w:pPr>
              <w:widowControl w:val="0"/>
              <w:ind w:right="162"/>
              <w:jc w:val="center"/>
              <w:rPr>
                <w:rFonts w:ascii="Arial" w:hAnsi="Arial" w:cs="Arial"/>
                <w:b/>
                <w:bCs/>
                <w:sz w:val="16"/>
                <w:szCs w:val="16"/>
                <w:lang w:val="en-CA"/>
              </w:rPr>
            </w:pPr>
            <w:r w:rsidRPr="00C0574C">
              <w:rPr>
                <w:rFonts w:ascii="Arial" w:hAnsi="Arial" w:cs="Arial"/>
                <w:b/>
                <w:color w:val="000000"/>
                <w:sz w:val="16"/>
                <w:szCs w:val="16"/>
              </w:rPr>
              <w:t>202</w:t>
            </w:r>
            <w:r w:rsidR="009F4923">
              <w:rPr>
                <w:rFonts w:ascii="Arial" w:hAnsi="Arial" w:cs="Arial"/>
                <w:b/>
                <w:color w:val="000000"/>
                <w:sz w:val="16"/>
                <w:szCs w:val="16"/>
              </w:rPr>
              <w:t>5</w:t>
            </w:r>
          </w:p>
        </w:tc>
        <w:tc>
          <w:tcPr>
            <w:tcW w:w="1170" w:type="dxa"/>
            <w:tcBorders>
              <w:top w:val="single" w:sz="4" w:space="0" w:color="auto"/>
              <w:left w:val="single" w:sz="4" w:space="0" w:color="auto"/>
              <w:bottom w:val="single" w:sz="4" w:space="0" w:color="auto"/>
              <w:right w:val="single" w:sz="4" w:space="0" w:color="auto"/>
            </w:tcBorders>
            <w:vAlign w:val="bottom"/>
          </w:tcPr>
          <w:p w14:paraId="2652C0B5" w14:textId="4A487E62" w:rsidR="009464D4" w:rsidRPr="00902562" w:rsidRDefault="009464D4" w:rsidP="009464D4">
            <w:pPr>
              <w:widowControl w:val="0"/>
              <w:ind w:right="162"/>
              <w:jc w:val="center"/>
              <w:rPr>
                <w:rFonts w:ascii="Arial" w:hAnsi="Arial" w:cs="Arial"/>
                <w:b/>
                <w:bCs/>
                <w:sz w:val="16"/>
                <w:szCs w:val="16"/>
                <w:lang w:val="en-CA"/>
              </w:rPr>
            </w:pPr>
            <w:r w:rsidRPr="00C0574C">
              <w:rPr>
                <w:rFonts w:ascii="Arial" w:hAnsi="Arial" w:cs="Arial"/>
                <w:b/>
                <w:color w:val="000000"/>
                <w:sz w:val="16"/>
                <w:szCs w:val="16"/>
              </w:rPr>
              <w:t>202</w:t>
            </w:r>
            <w:r w:rsidR="009F4923">
              <w:rPr>
                <w:rFonts w:ascii="Arial" w:hAnsi="Arial" w:cs="Arial"/>
                <w:b/>
                <w:color w:val="000000"/>
                <w:sz w:val="16"/>
                <w:szCs w:val="16"/>
              </w:rPr>
              <w:t>4</w:t>
            </w:r>
          </w:p>
        </w:tc>
      </w:tr>
      <w:tr w:rsidR="009F4923" w:rsidRPr="00C0574C" w14:paraId="103D3D9E" w14:textId="77777777" w:rsidTr="00076B56">
        <w:tblPrEx>
          <w:tblLook w:val="01E0" w:firstRow="1" w:lastRow="1" w:firstColumn="1" w:lastColumn="1" w:noHBand="0" w:noVBand="0"/>
        </w:tblPrEx>
        <w:trPr>
          <w:trHeight w:val="325"/>
        </w:trPr>
        <w:tc>
          <w:tcPr>
            <w:tcW w:w="4765" w:type="dxa"/>
            <w:tcBorders>
              <w:top w:val="single" w:sz="4" w:space="0" w:color="auto"/>
              <w:left w:val="single" w:sz="4" w:space="0" w:color="auto"/>
              <w:bottom w:val="single" w:sz="12" w:space="0" w:color="auto"/>
              <w:right w:val="single" w:sz="4" w:space="0" w:color="auto"/>
            </w:tcBorders>
            <w:vAlign w:val="bottom"/>
          </w:tcPr>
          <w:p w14:paraId="53415174" w14:textId="77777777" w:rsidR="009F4923" w:rsidRPr="004D30A2" w:rsidRDefault="009F4923" w:rsidP="009F4923">
            <w:pPr>
              <w:spacing w:before="60" w:line="240" w:lineRule="atLeast"/>
              <w:rPr>
                <w:rFonts w:ascii="Arial" w:hAnsi="Arial" w:cs="Arial"/>
                <w:sz w:val="16"/>
                <w:szCs w:val="16"/>
                <w:lang w:val="en-CA"/>
              </w:rPr>
            </w:pPr>
            <w:r>
              <w:rPr>
                <w:rFonts w:ascii="Arial" w:hAnsi="Arial" w:cs="Arial"/>
                <w:sz w:val="16"/>
                <w:szCs w:val="16"/>
                <w:lang w:val="en-CA"/>
              </w:rPr>
              <w:t>Total sales volumes (BOE)</w:t>
            </w:r>
          </w:p>
        </w:tc>
        <w:tc>
          <w:tcPr>
            <w:tcW w:w="1170" w:type="dxa"/>
            <w:tcBorders>
              <w:top w:val="single" w:sz="4" w:space="0" w:color="auto"/>
              <w:left w:val="single" w:sz="4" w:space="0" w:color="auto"/>
              <w:bottom w:val="single" w:sz="12" w:space="0" w:color="auto"/>
              <w:right w:val="single" w:sz="4" w:space="0" w:color="auto"/>
            </w:tcBorders>
            <w:vAlign w:val="bottom"/>
          </w:tcPr>
          <w:p w14:paraId="0BDEBD4A" w14:textId="78D8599A" w:rsidR="009F4923" w:rsidRPr="00257237" w:rsidRDefault="002971AD" w:rsidP="009F4923">
            <w:pPr>
              <w:pStyle w:val="BodyText2"/>
              <w:widowControl w:val="0"/>
              <w:tabs>
                <w:tab w:val="decimal" w:pos="792"/>
              </w:tabs>
              <w:spacing w:before="60" w:after="0" w:line="240" w:lineRule="atLeast"/>
              <w:ind w:right="162"/>
              <w:jc w:val="right"/>
              <w:rPr>
                <w:rFonts w:ascii="Arial" w:hAnsi="Arial" w:cs="Arial"/>
                <w:color w:val="000000"/>
                <w:sz w:val="16"/>
                <w:szCs w:val="16"/>
                <w:lang w:val="en-CA"/>
              </w:rPr>
            </w:pPr>
            <w:r>
              <w:rPr>
                <w:rFonts w:ascii="Arial" w:hAnsi="Arial" w:cs="Arial"/>
                <w:color w:val="000000"/>
                <w:sz w:val="16"/>
                <w:szCs w:val="16"/>
                <w:lang w:val="en-CA"/>
              </w:rPr>
              <w:t>636,354</w:t>
            </w:r>
          </w:p>
        </w:tc>
        <w:tc>
          <w:tcPr>
            <w:tcW w:w="1080" w:type="dxa"/>
            <w:tcBorders>
              <w:top w:val="single" w:sz="4" w:space="0" w:color="auto"/>
              <w:left w:val="single" w:sz="4" w:space="0" w:color="auto"/>
              <w:bottom w:val="single" w:sz="12" w:space="0" w:color="auto"/>
              <w:right w:val="single" w:sz="4" w:space="0" w:color="auto"/>
            </w:tcBorders>
            <w:vAlign w:val="bottom"/>
          </w:tcPr>
          <w:p w14:paraId="7B1073CE" w14:textId="26CD2874" w:rsidR="009F4923" w:rsidRPr="00257237" w:rsidRDefault="009F4923" w:rsidP="009F4923">
            <w:pPr>
              <w:pStyle w:val="BodyText2"/>
              <w:widowControl w:val="0"/>
              <w:tabs>
                <w:tab w:val="decimal" w:pos="792"/>
              </w:tabs>
              <w:spacing w:before="60" w:after="0" w:line="240" w:lineRule="atLeast"/>
              <w:ind w:right="72"/>
              <w:jc w:val="right"/>
              <w:rPr>
                <w:rFonts w:ascii="Arial" w:hAnsi="Arial" w:cs="Arial"/>
                <w:color w:val="000000"/>
                <w:sz w:val="16"/>
                <w:szCs w:val="16"/>
                <w:lang w:val="en-CA"/>
              </w:rPr>
            </w:pPr>
            <w:r>
              <w:rPr>
                <w:rFonts w:ascii="Arial" w:hAnsi="Arial" w:cs="Arial"/>
                <w:sz w:val="16"/>
                <w:szCs w:val="16"/>
              </w:rPr>
              <w:t>306,807</w:t>
            </w:r>
          </w:p>
        </w:tc>
        <w:tc>
          <w:tcPr>
            <w:tcW w:w="1170" w:type="dxa"/>
            <w:tcBorders>
              <w:top w:val="single" w:sz="4" w:space="0" w:color="auto"/>
              <w:left w:val="single" w:sz="4" w:space="0" w:color="auto"/>
              <w:bottom w:val="single" w:sz="12" w:space="0" w:color="auto"/>
              <w:right w:val="single" w:sz="4" w:space="0" w:color="auto"/>
            </w:tcBorders>
            <w:vAlign w:val="bottom"/>
          </w:tcPr>
          <w:p w14:paraId="4137A151" w14:textId="53CDABCF" w:rsidR="009F4923" w:rsidRPr="00257237" w:rsidRDefault="002971AD" w:rsidP="009F4923">
            <w:pPr>
              <w:pStyle w:val="BodyText2"/>
              <w:widowControl w:val="0"/>
              <w:tabs>
                <w:tab w:val="decimal" w:pos="792"/>
              </w:tabs>
              <w:spacing w:before="60" w:after="0" w:line="240" w:lineRule="atLeast"/>
              <w:ind w:right="162"/>
              <w:jc w:val="right"/>
              <w:rPr>
                <w:rFonts w:ascii="Arial" w:hAnsi="Arial" w:cs="Arial"/>
                <w:color w:val="000000"/>
                <w:sz w:val="16"/>
                <w:szCs w:val="16"/>
                <w:lang w:val="en-CA"/>
              </w:rPr>
            </w:pPr>
            <w:r>
              <w:rPr>
                <w:rFonts w:ascii="Arial" w:hAnsi="Arial" w:cs="Arial"/>
                <w:color w:val="000000"/>
                <w:sz w:val="16"/>
                <w:szCs w:val="16"/>
                <w:lang w:val="en-CA"/>
              </w:rPr>
              <w:t>1,777,896</w:t>
            </w:r>
          </w:p>
        </w:tc>
        <w:tc>
          <w:tcPr>
            <w:tcW w:w="1170" w:type="dxa"/>
            <w:tcBorders>
              <w:top w:val="single" w:sz="4" w:space="0" w:color="auto"/>
              <w:left w:val="single" w:sz="4" w:space="0" w:color="auto"/>
              <w:bottom w:val="single" w:sz="12" w:space="0" w:color="auto"/>
              <w:right w:val="single" w:sz="4" w:space="0" w:color="auto"/>
            </w:tcBorders>
            <w:vAlign w:val="bottom"/>
          </w:tcPr>
          <w:p w14:paraId="0E348775" w14:textId="55AE0C9B" w:rsidR="009F4923" w:rsidRPr="00257237" w:rsidRDefault="009F4923" w:rsidP="009F4923">
            <w:pPr>
              <w:pStyle w:val="BodyText2"/>
              <w:widowControl w:val="0"/>
              <w:tabs>
                <w:tab w:val="decimal" w:pos="972"/>
              </w:tabs>
              <w:spacing w:before="60" w:after="0" w:line="240" w:lineRule="atLeast"/>
              <w:ind w:right="162"/>
              <w:jc w:val="right"/>
              <w:rPr>
                <w:rFonts w:ascii="Arial" w:hAnsi="Arial" w:cs="Arial"/>
                <w:color w:val="000000"/>
                <w:sz w:val="16"/>
                <w:szCs w:val="16"/>
                <w:lang w:val="en-CA"/>
              </w:rPr>
            </w:pPr>
            <w:r>
              <w:rPr>
                <w:rFonts w:ascii="Arial" w:hAnsi="Arial" w:cs="Arial"/>
                <w:color w:val="000000"/>
                <w:sz w:val="16"/>
                <w:szCs w:val="16"/>
                <w:lang w:val="en-CA"/>
              </w:rPr>
              <w:t>676,990</w:t>
            </w:r>
          </w:p>
        </w:tc>
      </w:tr>
      <w:tr w:rsidR="009F4923" w:rsidRPr="00C0574C" w14:paraId="56C01373" w14:textId="77777777" w:rsidTr="00915B4B">
        <w:tblPrEx>
          <w:tblLook w:val="01E0" w:firstRow="1" w:lastRow="1" w:firstColumn="1" w:lastColumn="1" w:noHBand="0" w:noVBand="0"/>
        </w:tblPrEx>
        <w:trPr>
          <w:trHeight w:val="50"/>
        </w:trPr>
        <w:tc>
          <w:tcPr>
            <w:tcW w:w="4765" w:type="dxa"/>
            <w:tcBorders>
              <w:top w:val="single" w:sz="12" w:space="0" w:color="auto"/>
              <w:left w:val="single" w:sz="4" w:space="0" w:color="auto"/>
              <w:right w:val="single" w:sz="4" w:space="0" w:color="auto"/>
            </w:tcBorders>
            <w:vAlign w:val="bottom"/>
          </w:tcPr>
          <w:p w14:paraId="18718D06" w14:textId="7F27CF2F" w:rsidR="009F4923" w:rsidRPr="004D30A2" w:rsidRDefault="009F4923" w:rsidP="009F4923">
            <w:pPr>
              <w:spacing w:before="60"/>
              <w:rPr>
                <w:rFonts w:ascii="Arial" w:hAnsi="Arial" w:cs="Arial"/>
                <w:sz w:val="16"/>
                <w:szCs w:val="16"/>
                <w:lang w:val="en-CA"/>
              </w:rPr>
            </w:pPr>
            <w:r>
              <w:rPr>
                <w:rFonts w:ascii="Arial" w:hAnsi="Arial" w:cs="Arial"/>
                <w:sz w:val="16"/>
                <w:szCs w:val="16"/>
                <w:lang w:val="en-CA"/>
              </w:rPr>
              <w:t xml:space="preserve">Crude oil </w:t>
            </w:r>
            <w:proofErr w:type="spellStart"/>
            <w:r>
              <w:rPr>
                <w:rFonts w:ascii="Arial" w:hAnsi="Arial" w:cs="Arial"/>
                <w:sz w:val="16"/>
                <w:szCs w:val="16"/>
                <w:lang w:val="en-CA"/>
              </w:rPr>
              <w:t>bbls</w:t>
            </w:r>
            <w:proofErr w:type="spellEnd"/>
            <w:r>
              <w:rPr>
                <w:rFonts w:ascii="Arial" w:hAnsi="Arial" w:cs="Arial"/>
                <w:sz w:val="16"/>
                <w:szCs w:val="16"/>
                <w:lang w:val="en-CA"/>
              </w:rPr>
              <w:t xml:space="preserve"> per day </w:t>
            </w:r>
          </w:p>
        </w:tc>
        <w:tc>
          <w:tcPr>
            <w:tcW w:w="1170" w:type="dxa"/>
            <w:tcBorders>
              <w:top w:val="single" w:sz="12" w:space="0" w:color="auto"/>
              <w:left w:val="single" w:sz="4" w:space="0" w:color="auto"/>
              <w:right w:val="single" w:sz="4" w:space="0" w:color="auto"/>
            </w:tcBorders>
          </w:tcPr>
          <w:p w14:paraId="573BE29D" w14:textId="51388799" w:rsidR="009F4923" w:rsidRPr="00257237" w:rsidRDefault="002971AD" w:rsidP="009F4923">
            <w:pPr>
              <w:pStyle w:val="BodyText2"/>
              <w:widowControl w:val="0"/>
              <w:tabs>
                <w:tab w:val="decimal" w:pos="792"/>
              </w:tabs>
              <w:spacing w:before="60" w:after="0" w:line="240" w:lineRule="atLeast"/>
              <w:ind w:right="162"/>
              <w:jc w:val="right"/>
              <w:rPr>
                <w:rFonts w:ascii="Arial" w:hAnsi="Arial" w:cs="Arial"/>
                <w:color w:val="000000"/>
                <w:sz w:val="16"/>
                <w:szCs w:val="16"/>
                <w:lang w:val="en-CA"/>
              </w:rPr>
            </w:pPr>
            <w:r>
              <w:rPr>
                <w:rFonts w:ascii="Arial" w:hAnsi="Arial" w:cs="Arial"/>
                <w:color w:val="000000"/>
                <w:sz w:val="16"/>
                <w:szCs w:val="16"/>
                <w:lang w:val="en-CA"/>
              </w:rPr>
              <w:t>6,271</w:t>
            </w:r>
          </w:p>
        </w:tc>
        <w:tc>
          <w:tcPr>
            <w:tcW w:w="1080" w:type="dxa"/>
            <w:tcBorders>
              <w:top w:val="single" w:sz="12" w:space="0" w:color="auto"/>
              <w:left w:val="single" w:sz="4" w:space="0" w:color="auto"/>
              <w:right w:val="single" w:sz="4" w:space="0" w:color="auto"/>
            </w:tcBorders>
          </w:tcPr>
          <w:p w14:paraId="2F718D28" w14:textId="2795B598" w:rsidR="009F4923" w:rsidRPr="00257237" w:rsidRDefault="009F4923" w:rsidP="009F4923">
            <w:pPr>
              <w:pStyle w:val="BodyText2"/>
              <w:widowControl w:val="0"/>
              <w:tabs>
                <w:tab w:val="decimal" w:pos="792"/>
              </w:tabs>
              <w:spacing w:before="60" w:after="0" w:line="240" w:lineRule="atLeast"/>
              <w:ind w:right="72"/>
              <w:jc w:val="right"/>
              <w:rPr>
                <w:rFonts w:ascii="Arial" w:hAnsi="Arial" w:cs="Arial"/>
                <w:color w:val="000000"/>
                <w:sz w:val="16"/>
                <w:szCs w:val="16"/>
                <w:lang w:val="en-CA"/>
              </w:rPr>
            </w:pPr>
            <w:r>
              <w:rPr>
                <w:rFonts w:ascii="Arial" w:hAnsi="Arial" w:cs="Arial"/>
                <w:color w:val="000000"/>
                <w:sz w:val="16"/>
                <w:szCs w:val="16"/>
                <w:lang w:val="en-CA"/>
              </w:rPr>
              <w:t>2,868</w:t>
            </w:r>
          </w:p>
        </w:tc>
        <w:tc>
          <w:tcPr>
            <w:tcW w:w="1170" w:type="dxa"/>
            <w:tcBorders>
              <w:top w:val="single" w:sz="12" w:space="0" w:color="auto"/>
              <w:left w:val="single" w:sz="4" w:space="0" w:color="auto"/>
              <w:right w:val="single" w:sz="4" w:space="0" w:color="auto"/>
            </w:tcBorders>
          </w:tcPr>
          <w:p w14:paraId="3241157E" w14:textId="5336C810" w:rsidR="009F4923" w:rsidRPr="00257237" w:rsidRDefault="002971AD" w:rsidP="009F4923">
            <w:pPr>
              <w:pStyle w:val="BodyText2"/>
              <w:widowControl w:val="0"/>
              <w:tabs>
                <w:tab w:val="decimal" w:pos="792"/>
              </w:tabs>
              <w:spacing w:before="60" w:after="0" w:line="240" w:lineRule="atLeast"/>
              <w:ind w:right="162"/>
              <w:jc w:val="right"/>
              <w:rPr>
                <w:rFonts w:ascii="Arial" w:hAnsi="Arial" w:cs="Arial"/>
                <w:color w:val="000000"/>
                <w:sz w:val="16"/>
                <w:szCs w:val="16"/>
                <w:lang w:val="en-CA"/>
              </w:rPr>
            </w:pPr>
            <w:r>
              <w:rPr>
                <w:rFonts w:ascii="Arial" w:hAnsi="Arial" w:cs="Arial"/>
                <w:color w:val="000000"/>
                <w:sz w:val="16"/>
                <w:szCs w:val="16"/>
                <w:lang w:val="en-CA"/>
              </w:rPr>
              <w:t>4,204</w:t>
            </w:r>
          </w:p>
        </w:tc>
        <w:tc>
          <w:tcPr>
            <w:tcW w:w="1170" w:type="dxa"/>
            <w:tcBorders>
              <w:top w:val="single" w:sz="12" w:space="0" w:color="auto"/>
              <w:left w:val="single" w:sz="4" w:space="0" w:color="auto"/>
              <w:right w:val="single" w:sz="4" w:space="0" w:color="auto"/>
            </w:tcBorders>
          </w:tcPr>
          <w:p w14:paraId="05E25413" w14:textId="11268C2D" w:rsidR="009F4923" w:rsidRPr="00257237" w:rsidRDefault="009F4923" w:rsidP="009F4923">
            <w:pPr>
              <w:pStyle w:val="BodyText2"/>
              <w:widowControl w:val="0"/>
              <w:tabs>
                <w:tab w:val="left" w:pos="968"/>
              </w:tabs>
              <w:spacing w:before="60" w:after="0" w:line="240" w:lineRule="atLeast"/>
              <w:ind w:right="162"/>
              <w:jc w:val="right"/>
              <w:rPr>
                <w:rFonts w:ascii="Arial" w:hAnsi="Arial" w:cs="Arial"/>
                <w:color w:val="000000"/>
                <w:sz w:val="16"/>
                <w:szCs w:val="16"/>
                <w:lang w:val="en-CA"/>
              </w:rPr>
            </w:pPr>
            <w:r>
              <w:rPr>
                <w:rFonts w:ascii="Arial" w:hAnsi="Arial" w:cs="Arial"/>
                <w:sz w:val="16"/>
                <w:szCs w:val="16"/>
              </w:rPr>
              <w:t>1,296</w:t>
            </w:r>
          </w:p>
        </w:tc>
      </w:tr>
      <w:tr w:rsidR="009F4923" w:rsidRPr="00C0574C" w14:paraId="369B380D" w14:textId="77777777" w:rsidTr="00915B4B">
        <w:tblPrEx>
          <w:tblLook w:val="01E0" w:firstRow="1" w:lastRow="1" w:firstColumn="1" w:lastColumn="1" w:noHBand="0" w:noVBand="0"/>
        </w:tblPrEx>
        <w:tc>
          <w:tcPr>
            <w:tcW w:w="4765" w:type="dxa"/>
            <w:tcBorders>
              <w:left w:val="single" w:sz="4" w:space="0" w:color="auto"/>
              <w:right w:val="single" w:sz="4" w:space="0" w:color="auto"/>
            </w:tcBorders>
            <w:vAlign w:val="bottom"/>
          </w:tcPr>
          <w:p w14:paraId="21B7059C" w14:textId="77777777" w:rsidR="009F4923" w:rsidRPr="004D30A2" w:rsidRDefault="009F4923" w:rsidP="009F4923">
            <w:pPr>
              <w:rPr>
                <w:rFonts w:ascii="Arial" w:hAnsi="Arial" w:cs="Arial"/>
                <w:sz w:val="16"/>
                <w:szCs w:val="16"/>
                <w:lang w:val="en-CA"/>
              </w:rPr>
            </w:pPr>
            <w:r>
              <w:rPr>
                <w:rFonts w:ascii="Arial" w:hAnsi="Arial" w:cs="Arial"/>
                <w:sz w:val="16"/>
                <w:szCs w:val="16"/>
                <w:lang w:val="en-CA"/>
              </w:rPr>
              <w:t xml:space="preserve">NGL </w:t>
            </w:r>
            <w:proofErr w:type="spellStart"/>
            <w:r>
              <w:rPr>
                <w:rFonts w:ascii="Arial" w:hAnsi="Arial" w:cs="Arial"/>
                <w:sz w:val="16"/>
                <w:szCs w:val="16"/>
                <w:lang w:val="en-CA"/>
              </w:rPr>
              <w:t>bbls</w:t>
            </w:r>
            <w:proofErr w:type="spellEnd"/>
            <w:r>
              <w:rPr>
                <w:rFonts w:ascii="Arial" w:hAnsi="Arial" w:cs="Arial"/>
                <w:sz w:val="16"/>
                <w:szCs w:val="16"/>
                <w:lang w:val="en-CA"/>
              </w:rPr>
              <w:t xml:space="preserve"> per day </w:t>
            </w:r>
          </w:p>
        </w:tc>
        <w:tc>
          <w:tcPr>
            <w:tcW w:w="1170" w:type="dxa"/>
            <w:tcBorders>
              <w:left w:val="single" w:sz="4" w:space="0" w:color="auto"/>
              <w:right w:val="single" w:sz="4" w:space="0" w:color="auto"/>
            </w:tcBorders>
          </w:tcPr>
          <w:p w14:paraId="055EFB8E" w14:textId="7EFE5E8F" w:rsidR="009F4923" w:rsidRPr="00257237" w:rsidRDefault="002971AD" w:rsidP="009F4923">
            <w:pPr>
              <w:pStyle w:val="BodyText2"/>
              <w:widowControl w:val="0"/>
              <w:tabs>
                <w:tab w:val="decimal" w:pos="792"/>
              </w:tabs>
              <w:spacing w:after="0" w:line="240" w:lineRule="atLeast"/>
              <w:ind w:right="162"/>
              <w:jc w:val="right"/>
              <w:rPr>
                <w:rFonts w:ascii="Arial" w:hAnsi="Arial" w:cs="Arial"/>
                <w:color w:val="000000"/>
                <w:sz w:val="16"/>
                <w:szCs w:val="16"/>
                <w:lang w:val="en-CA"/>
              </w:rPr>
            </w:pPr>
            <w:r>
              <w:rPr>
                <w:rFonts w:ascii="Arial" w:hAnsi="Arial" w:cs="Arial"/>
                <w:color w:val="000000"/>
                <w:sz w:val="16"/>
                <w:szCs w:val="16"/>
                <w:lang w:val="en-CA"/>
              </w:rPr>
              <w:t>28</w:t>
            </w:r>
          </w:p>
        </w:tc>
        <w:tc>
          <w:tcPr>
            <w:tcW w:w="1080" w:type="dxa"/>
            <w:tcBorders>
              <w:left w:val="single" w:sz="4" w:space="0" w:color="auto"/>
              <w:right w:val="single" w:sz="4" w:space="0" w:color="auto"/>
            </w:tcBorders>
          </w:tcPr>
          <w:p w14:paraId="27E52DCF" w14:textId="35645EB0" w:rsidR="009F4923" w:rsidRPr="00257237" w:rsidRDefault="009F4923" w:rsidP="009F4923">
            <w:pPr>
              <w:pStyle w:val="BodyText2"/>
              <w:widowControl w:val="0"/>
              <w:tabs>
                <w:tab w:val="decimal" w:pos="792"/>
              </w:tabs>
              <w:spacing w:after="0" w:line="240" w:lineRule="atLeast"/>
              <w:ind w:right="72"/>
              <w:jc w:val="right"/>
              <w:rPr>
                <w:rFonts w:ascii="Arial" w:hAnsi="Arial" w:cs="Arial"/>
                <w:color w:val="000000"/>
                <w:sz w:val="16"/>
                <w:szCs w:val="16"/>
                <w:lang w:val="en-CA"/>
              </w:rPr>
            </w:pPr>
            <w:r>
              <w:rPr>
                <w:rFonts w:ascii="Arial" w:hAnsi="Arial" w:cs="Arial"/>
                <w:color w:val="000000"/>
                <w:sz w:val="16"/>
                <w:szCs w:val="16"/>
                <w:lang w:val="en-CA"/>
              </w:rPr>
              <w:t>17</w:t>
            </w:r>
          </w:p>
        </w:tc>
        <w:tc>
          <w:tcPr>
            <w:tcW w:w="1170" w:type="dxa"/>
            <w:tcBorders>
              <w:left w:val="single" w:sz="4" w:space="0" w:color="auto"/>
              <w:right w:val="single" w:sz="4" w:space="0" w:color="auto"/>
            </w:tcBorders>
          </w:tcPr>
          <w:p w14:paraId="1E1B3305" w14:textId="33139F13" w:rsidR="009F4923" w:rsidRPr="00257237" w:rsidRDefault="002971AD" w:rsidP="009F4923">
            <w:pPr>
              <w:pStyle w:val="BodyText2"/>
              <w:widowControl w:val="0"/>
              <w:tabs>
                <w:tab w:val="decimal" w:pos="792"/>
              </w:tabs>
              <w:spacing w:after="0" w:line="240" w:lineRule="atLeast"/>
              <w:ind w:right="162"/>
              <w:jc w:val="right"/>
              <w:rPr>
                <w:rFonts w:ascii="Arial" w:hAnsi="Arial" w:cs="Arial"/>
                <w:color w:val="000000"/>
                <w:sz w:val="16"/>
                <w:szCs w:val="16"/>
                <w:lang w:val="en-CA"/>
              </w:rPr>
            </w:pPr>
            <w:r>
              <w:rPr>
                <w:rFonts w:ascii="Arial" w:hAnsi="Arial" w:cs="Arial"/>
                <w:color w:val="000000"/>
                <w:sz w:val="16"/>
                <w:szCs w:val="16"/>
                <w:lang w:val="en-CA"/>
              </w:rPr>
              <w:t>22</w:t>
            </w:r>
          </w:p>
        </w:tc>
        <w:tc>
          <w:tcPr>
            <w:tcW w:w="1170" w:type="dxa"/>
            <w:tcBorders>
              <w:left w:val="single" w:sz="4" w:space="0" w:color="auto"/>
              <w:right w:val="single" w:sz="4" w:space="0" w:color="auto"/>
            </w:tcBorders>
          </w:tcPr>
          <w:p w14:paraId="148111F9" w14:textId="0EDC431D" w:rsidR="009F4923" w:rsidRPr="00257237" w:rsidRDefault="009F4923" w:rsidP="009F4923">
            <w:pPr>
              <w:pStyle w:val="BodyText2"/>
              <w:widowControl w:val="0"/>
              <w:tabs>
                <w:tab w:val="left" w:pos="968"/>
              </w:tabs>
              <w:spacing w:after="0" w:line="240" w:lineRule="atLeast"/>
              <w:ind w:right="162"/>
              <w:jc w:val="right"/>
              <w:rPr>
                <w:rFonts w:ascii="Arial" w:hAnsi="Arial" w:cs="Arial"/>
                <w:color w:val="000000"/>
                <w:sz w:val="16"/>
                <w:szCs w:val="16"/>
                <w:lang w:val="en-CA"/>
              </w:rPr>
            </w:pPr>
            <w:r w:rsidRPr="00257237">
              <w:rPr>
                <w:rFonts w:ascii="Arial" w:hAnsi="Arial" w:cs="Arial"/>
                <w:sz w:val="16"/>
                <w:szCs w:val="16"/>
              </w:rPr>
              <w:t xml:space="preserve"> 18 </w:t>
            </w:r>
          </w:p>
        </w:tc>
      </w:tr>
      <w:tr w:rsidR="009F4923" w:rsidRPr="00C0574C" w14:paraId="259B4E43" w14:textId="77777777" w:rsidTr="00915B4B">
        <w:tblPrEx>
          <w:tblLook w:val="01E0" w:firstRow="1" w:lastRow="1" w:firstColumn="1" w:lastColumn="1" w:noHBand="0" w:noVBand="0"/>
        </w:tblPrEx>
        <w:tc>
          <w:tcPr>
            <w:tcW w:w="4765" w:type="dxa"/>
            <w:tcBorders>
              <w:left w:val="single" w:sz="4" w:space="0" w:color="auto"/>
              <w:bottom w:val="single" w:sz="4" w:space="0" w:color="auto"/>
              <w:right w:val="single" w:sz="4" w:space="0" w:color="auto"/>
            </w:tcBorders>
            <w:vAlign w:val="bottom"/>
          </w:tcPr>
          <w:p w14:paraId="7BC22635" w14:textId="77777777" w:rsidR="009F4923" w:rsidRPr="004D30A2" w:rsidRDefault="009F4923" w:rsidP="009F4923">
            <w:pPr>
              <w:rPr>
                <w:rFonts w:ascii="Arial" w:hAnsi="Arial" w:cs="Arial"/>
                <w:sz w:val="16"/>
                <w:szCs w:val="16"/>
                <w:lang w:val="en-CA"/>
              </w:rPr>
            </w:pPr>
            <w:r>
              <w:rPr>
                <w:rFonts w:ascii="Arial" w:hAnsi="Arial" w:cs="Arial"/>
                <w:sz w:val="16"/>
                <w:szCs w:val="16"/>
                <w:lang w:val="en-CA"/>
              </w:rPr>
              <w:t xml:space="preserve">Natural gas mcf per day </w:t>
            </w:r>
          </w:p>
        </w:tc>
        <w:tc>
          <w:tcPr>
            <w:tcW w:w="1170" w:type="dxa"/>
            <w:tcBorders>
              <w:left w:val="single" w:sz="4" w:space="0" w:color="auto"/>
              <w:bottom w:val="single" w:sz="4" w:space="0" w:color="auto"/>
              <w:right w:val="single" w:sz="4" w:space="0" w:color="auto"/>
            </w:tcBorders>
          </w:tcPr>
          <w:p w14:paraId="6240B723" w14:textId="200C0DB9" w:rsidR="009F4923" w:rsidRPr="00257237" w:rsidRDefault="002971AD" w:rsidP="009F4923">
            <w:pPr>
              <w:pStyle w:val="BodyText2"/>
              <w:widowControl w:val="0"/>
              <w:tabs>
                <w:tab w:val="decimal" w:pos="792"/>
              </w:tabs>
              <w:spacing w:after="0" w:line="240" w:lineRule="atLeast"/>
              <w:ind w:right="162"/>
              <w:jc w:val="right"/>
              <w:rPr>
                <w:rFonts w:ascii="Arial" w:hAnsi="Arial" w:cs="Arial"/>
                <w:color w:val="000000"/>
                <w:sz w:val="16"/>
                <w:szCs w:val="16"/>
                <w:lang w:val="en-CA"/>
              </w:rPr>
            </w:pPr>
            <w:r>
              <w:rPr>
                <w:rFonts w:ascii="Arial" w:hAnsi="Arial" w:cs="Arial"/>
                <w:color w:val="000000"/>
                <w:sz w:val="16"/>
                <w:szCs w:val="16"/>
                <w:lang w:val="en-CA"/>
              </w:rPr>
              <w:t>3,712</w:t>
            </w:r>
          </w:p>
        </w:tc>
        <w:tc>
          <w:tcPr>
            <w:tcW w:w="1080" w:type="dxa"/>
            <w:tcBorders>
              <w:left w:val="single" w:sz="4" w:space="0" w:color="auto"/>
              <w:bottom w:val="single" w:sz="4" w:space="0" w:color="auto"/>
              <w:right w:val="single" w:sz="4" w:space="0" w:color="auto"/>
            </w:tcBorders>
          </w:tcPr>
          <w:p w14:paraId="67BEAB87" w14:textId="669150F0" w:rsidR="009F4923" w:rsidRPr="00257237" w:rsidRDefault="009F4923" w:rsidP="009F4923">
            <w:pPr>
              <w:pStyle w:val="BodyText2"/>
              <w:widowControl w:val="0"/>
              <w:tabs>
                <w:tab w:val="decimal" w:pos="792"/>
              </w:tabs>
              <w:spacing w:after="0" w:line="240" w:lineRule="atLeast"/>
              <w:ind w:right="72"/>
              <w:jc w:val="right"/>
              <w:rPr>
                <w:rFonts w:ascii="Arial" w:hAnsi="Arial" w:cs="Arial"/>
                <w:color w:val="000000"/>
                <w:sz w:val="16"/>
                <w:szCs w:val="16"/>
                <w:lang w:val="en-CA"/>
              </w:rPr>
            </w:pPr>
            <w:r>
              <w:rPr>
                <w:rFonts w:ascii="Arial" w:hAnsi="Arial" w:cs="Arial"/>
                <w:color w:val="000000"/>
                <w:sz w:val="16"/>
                <w:szCs w:val="16"/>
                <w:lang w:val="en-CA"/>
              </w:rPr>
              <w:t>2,698</w:t>
            </w:r>
          </w:p>
        </w:tc>
        <w:tc>
          <w:tcPr>
            <w:tcW w:w="1170" w:type="dxa"/>
            <w:tcBorders>
              <w:left w:val="single" w:sz="4" w:space="0" w:color="auto"/>
              <w:bottom w:val="single" w:sz="4" w:space="0" w:color="auto"/>
              <w:right w:val="single" w:sz="4" w:space="0" w:color="auto"/>
            </w:tcBorders>
          </w:tcPr>
          <w:p w14:paraId="18C756E0" w14:textId="7951D3E3" w:rsidR="009F4923" w:rsidRPr="00257237" w:rsidRDefault="002971AD" w:rsidP="009F4923">
            <w:pPr>
              <w:pStyle w:val="BodyText2"/>
              <w:widowControl w:val="0"/>
              <w:tabs>
                <w:tab w:val="decimal" w:pos="792"/>
              </w:tabs>
              <w:spacing w:after="0" w:line="240" w:lineRule="atLeast"/>
              <w:ind w:right="162"/>
              <w:jc w:val="right"/>
              <w:rPr>
                <w:rFonts w:ascii="Arial" w:hAnsi="Arial" w:cs="Arial"/>
                <w:color w:val="000000"/>
                <w:sz w:val="16"/>
                <w:szCs w:val="16"/>
                <w:lang w:val="en-CA"/>
              </w:rPr>
            </w:pPr>
            <w:r>
              <w:rPr>
                <w:rFonts w:ascii="Arial" w:hAnsi="Arial" w:cs="Arial"/>
                <w:color w:val="000000"/>
                <w:sz w:val="16"/>
                <w:szCs w:val="16"/>
                <w:lang w:val="en-CA"/>
              </w:rPr>
              <w:t>3,868</w:t>
            </w:r>
          </w:p>
        </w:tc>
        <w:tc>
          <w:tcPr>
            <w:tcW w:w="1170" w:type="dxa"/>
            <w:tcBorders>
              <w:left w:val="single" w:sz="4" w:space="0" w:color="auto"/>
              <w:bottom w:val="single" w:sz="4" w:space="0" w:color="auto"/>
              <w:right w:val="single" w:sz="4" w:space="0" w:color="auto"/>
            </w:tcBorders>
          </w:tcPr>
          <w:p w14:paraId="325C9A61" w14:textId="33075BD2" w:rsidR="009F4923" w:rsidRPr="00257237" w:rsidRDefault="009F4923" w:rsidP="009F4923">
            <w:pPr>
              <w:pStyle w:val="BodyText2"/>
              <w:widowControl w:val="0"/>
              <w:tabs>
                <w:tab w:val="left" w:pos="968"/>
              </w:tabs>
              <w:spacing w:after="0" w:line="240" w:lineRule="atLeast"/>
              <w:ind w:right="162"/>
              <w:jc w:val="right"/>
              <w:rPr>
                <w:rFonts w:ascii="Arial" w:hAnsi="Arial" w:cs="Arial"/>
                <w:color w:val="000000"/>
                <w:sz w:val="16"/>
                <w:szCs w:val="16"/>
                <w:lang w:val="en-CA"/>
              </w:rPr>
            </w:pPr>
            <w:r w:rsidRPr="00257237">
              <w:rPr>
                <w:rFonts w:ascii="Arial" w:hAnsi="Arial" w:cs="Arial"/>
                <w:sz w:val="16"/>
                <w:szCs w:val="16"/>
              </w:rPr>
              <w:t xml:space="preserve"> 3,</w:t>
            </w:r>
            <w:r>
              <w:rPr>
                <w:rFonts w:ascii="Arial" w:hAnsi="Arial" w:cs="Arial"/>
                <w:sz w:val="16"/>
                <w:szCs w:val="16"/>
              </w:rPr>
              <w:t>217</w:t>
            </w:r>
            <w:r w:rsidRPr="00257237">
              <w:rPr>
                <w:rFonts w:ascii="Arial" w:hAnsi="Arial" w:cs="Arial"/>
                <w:sz w:val="16"/>
                <w:szCs w:val="16"/>
              </w:rPr>
              <w:t xml:space="preserve"> </w:t>
            </w:r>
          </w:p>
        </w:tc>
      </w:tr>
      <w:tr w:rsidR="009F4923" w:rsidRPr="00C0574C" w14:paraId="70224924" w14:textId="77777777" w:rsidTr="00AB2D66">
        <w:tblPrEx>
          <w:tblLook w:val="01E0" w:firstRow="1" w:lastRow="1" w:firstColumn="1" w:lastColumn="1" w:noHBand="0" w:noVBand="0"/>
        </w:tblPrEx>
        <w:trPr>
          <w:trHeight w:val="278"/>
        </w:trPr>
        <w:tc>
          <w:tcPr>
            <w:tcW w:w="4765" w:type="dxa"/>
            <w:tcBorders>
              <w:top w:val="single" w:sz="4" w:space="0" w:color="auto"/>
              <w:left w:val="single" w:sz="4" w:space="0" w:color="auto"/>
              <w:bottom w:val="single" w:sz="12" w:space="0" w:color="auto"/>
              <w:right w:val="single" w:sz="4" w:space="0" w:color="auto"/>
            </w:tcBorders>
            <w:vAlign w:val="bottom"/>
          </w:tcPr>
          <w:p w14:paraId="52161DB5" w14:textId="77777777" w:rsidR="009F4923" w:rsidRPr="004D30A2" w:rsidRDefault="009F4923" w:rsidP="009F4923">
            <w:pPr>
              <w:rPr>
                <w:rFonts w:ascii="Arial" w:hAnsi="Arial" w:cs="Arial"/>
                <w:sz w:val="16"/>
                <w:szCs w:val="16"/>
                <w:lang w:val="en-CA"/>
              </w:rPr>
            </w:pPr>
            <w:r>
              <w:rPr>
                <w:rFonts w:ascii="Arial" w:hAnsi="Arial" w:cs="Arial"/>
                <w:sz w:val="16"/>
                <w:szCs w:val="16"/>
                <w:lang w:val="en-CA"/>
              </w:rPr>
              <w:t>Total BOE per day</w:t>
            </w:r>
          </w:p>
        </w:tc>
        <w:tc>
          <w:tcPr>
            <w:tcW w:w="1170" w:type="dxa"/>
            <w:tcBorders>
              <w:top w:val="single" w:sz="4" w:space="0" w:color="auto"/>
              <w:left w:val="single" w:sz="4" w:space="0" w:color="auto"/>
              <w:bottom w:val="single" w:sz="12" w:space="0" w:color="auto"/>
              <w:right w:val="single" w:sz="4" w:space="0" w:color="auto"/>
            </w:tcBorders>
            <w:vAlign w:val="center"/>
          </w:tcPr>
          <w:p w14:paraId="357E7987" w14:textId="3701D4CF" w:rsidR="009F4923" w:rsidRPr="00257237" w:rsidRDefault="002971AD" w:rsidP="009F4923">
            <w:pPr>
              <w:pStyle w:val="BodyText2"/>
              <w:widowControl w:val="0"/>
              <w:tabs>
                <w:tab w:val="decimal" w:pos="792"/>
              </w:tabs>
              <w:spacing w:after="0" w:line="240" w:lineRule="atLeast"/>
              <w:ind w:right="162"/>
              <w:jc w:val="right"/>
              <w:rPr>
                <w:rFonts w:ascii="Arial" w:hAnsi="Arial" w:cs="Arial"/>
                <w:color w:val="000000"/>
                <w:sz w:val="16"/>
                <w:szCs w:val="16"/>
                <w:lang w:val="en-CA"/>
              </w:rPr>
            </w:pPr>
            <w:r>
              <w:rPr>
                <w:rFonts w:ascii="Arial" w:hAnsi="Arial" w:cs="Arial"/>
                <w:color w:val="000000"/>
                <w:sz w:val="16"/>
                <w:szCs w:val="16"/>
                <w:lang w:val="en-CA"/>
              </w:rPr>
              <w:t>6,918</w:t>
            </w:r>
          </w:p>
        </w:tc>
        <w:tc>
          <w:tcPr>
            <w:tcW w:w="1080" w:type="dxa"/>
            <w:tcBorders>
              <w:top w:val="single" w:sz="4" w:space="0" w:color="auto"/>
              <w:left w:val="single" w:sz="4" w:space="0" w:color="auto"/>
              <w:bottom w:val="single" w:sz="12" w:space="0" w:color="auto"/>
              <w:right w:val="single" w:sz="4" w:space="0" w:color="auto"/>
            </w:tcBorders>
            <w:vAlign w:val="center"/>
          </w:tcPr>
          <w:p w14:paraId="5009028A" w14:textId="6FDB0092" w:rsidR="009F4923" w:rsidRPr="00257237" w:rsidRDefault="009F4923" w:rsidP="009F4923">
            <w:pPr>
              <w:pStyle w:val="BodyText2"/>
              <w:widowControl w:val="0"/>
              <w:tabs>
                <w:tab w:val="decimal" w:pos="792"/>
              </w:tabs>
              <w:spacing w:after="0" w:line="240" w:lineRule="atLeast"/>
              <w:ind w:right="72"/>
              <w:jc w:val="right"/>
              <w:rPr>
                <w:rFonts w:ascii="Arial" w:hAnsi="Arial" w:cs="Arial"/>
                <w:color w:val="000000"/>
                <w:sz w:val="16"/>
                <w:szCs w:val="16"/>
                <w:lang w:val="en-CA"/>
              </w:rPr>
            </w:pPr>
            <w:r>
              <w:rPr>
                <w:rFonts w:ascii="Arial" w:hAnsi="Arial" w:cs="Arial"/>
                <w:color w:val="000000"/>
                <w:sz w:val="16"/>
                <w:szCs w:val="16"/>
                <w:lang w:val="en-CA"/>
              </w:rPr>
              <w:t>3,335</w:t>
            </w:r>
          </w:p>
        </w:tc>
        <w:tc>
          <w:tcPr>
            <w:tcW w:w="1170" w:type="dxa"/>
            <w:tcBorders>
              <w:top w:val="single" w:sz="4" w:space="0" w:color="auto"/>
              <w:left w:val="single" w:sz="4" w:space="0" w:color="auto"/>
              <w:bottom w:val="single" w:sz="12" w:space="0" w:color="auto"/>
              <w:right w:val="single" w:sz="4" w:space="0" w:color="auto"/>
            </w:tcBorders>
            <w:vAlign w:val="center"/>
          </w:tcPr>
          <w:p w14:paraId="04B34174" w14:textId="68FCD821" w:rsidR="009F4923" w:rsidRPr="00257237" w:rsidRDefault="002971AD" w:rsidP="009F4923">
            <w:pPr>
              <w:pStyle w:val="BodyText2"/>
              <w:widowControl w:val="0"/>
              <w:tabs>
                <w:tab w:val="decimal" w:pos="792"/>
              </w:tabs>
              <w:spacing w:after="0" w:line="240" w:lineRule="atLeast"/>
              <w:ind w:right="162"/>
              <w:jc w:val="right"/>
              <w:rPr>
                <w:rFonts w:ascii="Arial" w:hAnsi="Arial" w:cs="Arial"/>
                <w:color w:val="000000"/>
                <w:sz w:val="16"/>
                <w:szCs w:val="16"/>
                <w:lang w:val="en-CA"/>
              </w:rPr>
            </w:pPr>
            <w:r>
              <w:rPr>
                <w:rFonts w:ascii="Arial" w:hAnsi="Arial" w:cs="Arial"/>
                <w:color w:val="000000"/>
                <w:sz w:val="16"/>
                <w:szCs w:val="16"/>
                <w:lang w:val="en-CA"/>
              </w:rPr>
              <w:t>4,871</w:t>
            </w:r>
          </w:p>
        </w:tc>
        <w:tc>
          <w:tcPr>
            <w:tcW w:w="1170" w:type="dxa"/>
            <w:tcBorders>
              <w:top w:val="single" w:sz="4" w:space="0" w:color="auto"/>
              <w:left w:val="single" w:sz="4" w:space="0" w:color="auto"/>
              <w:bottom w:val="single" w:sz="12" w:space="0" w:color="auto"/>
              <w:right w:val="single" w:sz="4" w:space="0" w:color="auto"/>
            </w:tcBorders>
            <w:vAlign w:val="center"/>
          </w:tcPr>
          <w:p w14:paraId="6BE2A008" w14:textId="3C5A482D" w:rsidR="009F4923" w:rsidRPr="00257237" w:rsidRDefault="009F4923" w:rsidP="009F4923">
            <w:pPr>
              <w:pStyle w:val="BodyText2"/>
              <w:widowControl w:val="0"/>
              <w:tabs>
                <w:tab w:val="left" w:pos="968"/>
              </w:tabs>
              <w:spacing w:after="0" w:line="240" w:lineRule="atLeast"/>
              <w:ind w:right="162"/>
              <w:jc w:val="right"/>
              <w:rPr>
                <w:rFonts w:ascii="Arial" w:hAnsi="Arial" w:cs="Arial"/>
                <w:color w:val="000000"/>
                <w:sz w:val="16"/>
                <w:szCs w:val="16"/>
                <w:lang w:val="en-CA"/>
              </w:rPr>
            </w:pPr>
            <w:r w:rsidRPr="00257237">
              <w:rPr>
                <w:rFonts w:ascii="Arial" w:hAnsi="Arial" w:cs="Arial"/>
                <w:sz w:val="16"/>
                <w:szCs w:val="16"/>
              </w:rPr>
              <w:t xml:space="preserve"> 1,</w:t>
            </w:r>
            <w:r>
              <w:rPr>
                <w:rFonts w:ascii="Arial" w:hAnsi="Arial" w:cs="Arial"/>
                <w:sz w:val="16"/>
                <w:szCs w:val="16"/>
              </w:rPr>
              <w:t>850</w:t>
            </w:r>
            <w:r w:rsidRPr="00257237">
              <w:rPr>
                <w:rFonts w:ascii="Arial" w:hAnsi="Arial" w:cs="Arial"/>
                <w:sz w:val="16"/>
                <w:szCs w:val="16"/>
              </w:rPr>
              <w:t xml:space="preserve"> </w:t>
            </w:r>
          </w:p>
        </w:tc>
      </w:tr>
    </w:tbl>
    <w:p w14:paraId="244429E3" w14:textId="22696E15" w:rsidR="00315F52" w:rsidRPr="00776BE8" w:rsidRDefault="00570F49" w:rsidP="00315F52">
      <w:pPr>
        <w:spacing w:before="240" w:after="120"/>
        <w:rPr>
          <w:rFonts w:ascii="Arial" w:hAnsi="Arial" w:cs="Arial"/>
          <w:bCs/>
          <w:sz w:val="20"/>
          <w:szCs w:val="20"/>
          <w:lang w:val="en-CA"/>
        </w:rPr>
      </w:pPr>
      <w:r w:rsidRPr="00776BE8">
        <w:rPr>
          <w:rFonts w:ascii="Arial" w:hAnsi="Arial" w:cs="Arial"/>
          <w:b/>
          <w:sz w:val="20"/>
          <w:szCs w:val="20"/>
          <w:lang w:val="en-CA"/>
        </w:rPr>
        <w:t xml:space="preserve">Operating Netback </w:t>
      </w:r>
      <w:r w:rsidRPr="00776BE8">
        <w:rPr>
          <w:rFonts w:ascii="Arial" w:hAnsi="Arial" w:cs="Arial"/>
          <w:bCs/>
          <w:sz w:val="20"/>
          <w:szCs w:val="20"/>
          <w:vertAlign w:val="superscript"/>
          <w:lang w:val="en-CA"/>
        </w:rPr>
        <w:t xml:space="preserve">(1) </w:t>
      </w:r>
      <w:r w:rsidRPr="00776BE8">
        <w:rPr>
          <w:rFonts w:ascii="Arial" w:hAnsi="Arial" w:cs="Arial"/>
          <w:bCs/>
          <w:sz w:val="20"/>
          <w:szCs w:val="20"/>
          <w:lang w:val="en-CA"/>
        </w:rPr>
        <w:t xml:space="preserve"> </w:t>
      </w:r>
    </w:p>
    <w:tbl>
      <w:tblPr>
        <w:tblW w:w="10231" w:type="dxa"/>
        <w:tblLayout w:type="fixed"/>
        <w:tblLook w:val="04A0" w:firstRow="1" w:lastRow="0" w:firstColumn="1" w:lastColumn="0" w:noHBand="0" w:noVBand="1"/>
      </w:tblPr>
      <w:tblGrid>
        <w:gridCol w:w="2425"/>
        <w:gridCol w:w="1114"/>
        <w:gridCol w:w="810"/>
        <w:gridCol w:w="1175"/>
        <w:gridCol w:w="904"/>
        <w:gridCol w:w="1080"/>
        <w:gridCol w:w="810"/>
        <w:gridCol w:w="1062"/>
        <w:gridCol w:w="851"/>
      </w:tblGrid>
      <w:tr w:rsidR="00B737B0" w:rsidRPr="00CB2281" w14:paraId="50605712" w14:textId="77777777" w:rsidTr="0053546C">
        <w:tc>
          <w:tcPr>
            <w:tcW w:w="2425" w:type="dxa"/>
            <w:tcBorders>
              <w:top w:val="single" w:sz="12" w:space="0" w:color="auto"/>
              <w:left w:val="single" w:sz="4" w:space="0" w:color="auto"/>
              <w:right w:val="single" w:sz="4" w:space="0" w:color="auto"/>
            </w:tcBorders>
            <w:vAlign w:val="bottom"/>
          </w:tcPr>
          <w:p w14:paraId="3B70499E" w14:textId="77777777" w:rsidR="00B737B0" w:rsidRPr="00CB2281" w:rsidRDefault="00B737B0" w:rsidP="00B737B0">
            <w:pPr>
              <w:rPr>
                <w:rFonts w:ascii="Arial" w:hAnsi="Arial" w:cs="Arial"/>
                <w:b/>
                <w:bCs/>
                <w:sz w:val="16"/>
                <w:szCs w:val="16"/>
                <w:lang w:val="en-CA"/>
              </w:rPr>
            </w:pPr>
          </w:p>
        </w:tc>
        <w:tc>
          <w:tcPr>
            <w:tcW w:w="4003" w:type="dxa"/>
            <w:gridSpan w:val="4"/>
            <w:tcBorders>
              <w:top w:val="single" w:sz="12" w:space="0" w:color="auto"/>
              <w:left w:val="single" w:sz="4" w:space="0" w:color="auto"/>
              <w:right w:val="single" w:sz="4" w:space="0" w:color="auto"/>
            </w:tcBorders>
            <w:vAlign w:val="bottom"/>
          </w:tcPr>
          <w:p w14:paraId="5DC4F828" w14:textId="43B7186B" w:rsidR="00B737B0" w:rsidRPr="00CB2281" w:rsidRDefault="00B737B0" w:rsidP="00B737B0">
            <w:pPr>
              <w:widowControl w:val="0"/>
              <w:spacing w:before="60"/>
              <w:jc w:val="center"/>
              <w:rPr>
                <w:rFonts w:ascii="Arial" w:hAnsi="Arial" w:cs="Arial"/>
                <w:b/>
                <w:bCs/>
                <w:sz w:val="16"/>
                <w:szCs w:val="16"/>
                <w:lang w:val="en-CA"/>
              </w:rPr>
            </w:pPr>
            <w:r w:rsidRPr="00CB2281">
              <w:rPr>
                <w:rFonts w:ascii="Arial" w:hAnsi="Arial" w:cs="Arial"/>
                <w:b/>
                <w:bCs/>
                <w:sz w:val="16"/>
                <w:szCs w:val="16"/>
                <w:lang w:val="en-CA"/>
              </w:rPr>
              <w:t>Three months ended</w:t>
            </w:r>
          </w:p>
        </w:tc>
        <w:tc>
          <w:tcPr>
            <w:tcW w:w="3803" w:type="dxa"/>
            <w:gridSpan w:val="4"/>
            <w:tcBorders>
              <w:top w:val="single" w:sz="12" w:space="0" w:color="auto"/>
              <w:left w:val="single" w:sz="4" w:space="0" w:color="auto"/>
              <w:right w:val="single" w:sz="4" w:space="0" w:color="auto"/>
            </w:tcBorders>
            <w:vAlign w:val="bottom"/>
          </w:tcPr>
          <w:p w14:paraId="6870F47D" w14:textId="77F4FC87" w:rsidR="00B737B0" w:rsidRPr="00CB2281" w:rsidRDefault="00B737B0" w:rsidP="00B737B0">
            <w:pPr>
              <w:widowControl w:val="0"/>
              <w:spacing w:before="60"/>
              <w:jc w:val="center"/>
              <w:rPr>
                <w:rFonts w:ascii="Arial" w:hAnsi="Arial" w:cs="Arial"/>
                <w:b/>
                <w:bCs/>
                <w:sz w:val="16"/>
                <w:szCs w:val="16"/>
                <w:lang w:val="en-CA"/>
              </w:rPr>
            </w:pPr>
            <w:r>
              <w:rPr>
                <w:rFonts w:ascii="Arial" w:hAnsi="Arial" w:cs="Arial"/>
                <w:b/>
                <w:bCs/>
                <w:sz w:val="16"/>
                <w:szCs w:val="16"/>
                <w:lang w:val="en-CA"/>
              </w:rPr>
              <w:t>Year ended</w:t>
            </w:r>
          </w:p>
        </w:tc>
      </w:tr>
      <w:tr w:rsidR="00B737B0" w:rsidRPr="00CB2281" w14:paraId="0BFAA0D0" w14:textId="77777777" w:rsidTr="0053546C">
        <w:tc>
          <w:tcPr>
            <w:tcW w:w="2425" w:type="dxa"/>
            <w:tcBorders>
              <w:left w:val="single" w:sz="4" w:space="0" w:color="auto"/>
              <w:right w:val="single" w:sz="4" w:space="0" w:color="auto"/>
            </w:tcBorders>
            <w:vAlign w:val="bottom"/>
          </w:tcPr>
          <w:p w14:paraId="1AF92A74" w14:textId="77777777" w:rsidR="00B737B0" w:rsidRPr="00CB2281" w:rsidRDefault="00B737B0" w:rsidP="00B737B0">
            <w:pPr>
              <w:rPr>
                <w:rFonts w:ascii="Arial" w:hAnsi="Arial" w:cs="Arial"/>
                <w:bCs/>
                <w:sz w:val="16"/>
                <w:szCs w:val="16"/>
                <w:lang w:val="en-CA"/>
              </w:rPr>
            </w:pPr>
          </w:p>
        </w:tc>
        <w:tc>
          <w:tcPr>
            <w:tcW w:w="4003" w:type="dxa"/>
            <w:gridSpan w:val="4"/>
            <w:tcBorders>
              <w:left w:val="single" w:sz="4" w:space="0" w:color="auto"/>
              <w:bottom w:val="single" w:sz="4" w:space="0" w:color="auto"/>
              <w:right w:val="single" w:sz="4" w:space="0" w:color="auto"/>
            </w:tcBorders>
            <w:vAlign w:val="bottom"/>
          </w:tcPr>
          <w:p w14:paraId="63DE609B" w14:textId="2BACB000" w:rsidR="00B737B0" w:rsidRPr="00CB2281" w:rsidRDefault="00B737B0" w:rsidP="00B737B0">
            <w:pPr>
              <w:widowControl w:val="0"/>
              <w:jc w:val="center"/>
              <w:rPr>
                <w:rFonts w:ascii="Arial" w:hAnsi="Arial" w:cs="Arial"/>
                <w:b/>
                <w:bCs/>
                <w:sz w:val="16"/>
                <w:szCs w:val="16"/>
                <w:lang w:val="en-CA"/>
              </w:rPr>
            </w:pPr>
            <w:r>
              <w:rPr>
                <w:rFonts w:ascii="Arial" w:hAnsi="Arial" w:cs="Arial"/>
                <w:b/>
                <w:bCs/>
                <w:sz w:val="16"/>
                <w:szCs w:val="16"/>
                <w:lang w:val="en-CA"/>
              </w:rPr>
              <w:t>December</w:t>
            </w:r>
            <w:r w:rsidRPr="00CB2281">
              <w:rPr>
                <w:rFonts w:ascii="Arial" w:hAnsi="Arial" w:cs="Arial"/>
                <w:b/>
                <w:bCs/>
                <w:sz w:val="16"/>
                <w:szCs w:val="16"/>
                <w:lang w:val="en-CA"/>
              </w:rPr>
              <w:t xml:space="preserve"> 3</w:t>
            </w:r>
            <w:r>
              <w:rPr>
                <w:rFonts w:ascii="Arial" w:hAnsi="Arial" w:cs="Arial"/>
                <w:b/>
                <w:bCs/>
                <w:sz w:val="16"/>
                <w:szCs w:val="16"/>
                <w:lang w:val="en-CA"/>
              </w:rPr>
              <w:t>1</w:t>
            </w:r>
          </w:p>
        </w:tc>
        <w:tc>
          <w:tcPr>
            <w:tcW w:w="3803" w:type="dxa"/>
            <w:gridSpan w:val="4"/>
            <w:tcBorders>
              <w:left w:val="single" w:sz="4" w:space="0" w:color="auto"/>
              <w:bottom w:val="single" w:sz="4" w:space="0" w:color="auto"/>
              <w:right w:val="single" w:sz="4" w:space="0" w:color="auto"/>
            </w:tcBorders>
            <w:vAlign w:val="bottom"/>
          </w:tcPr>
          <w:p w14:paraId="652D0A8D" w14:textId="754AF953" w:rsidR="00B737B0" w:rsidRPr="00CB2281" w:rsidRDefault="00B737B0" w:rsidP="00B737B0">
            <w:pPr>
              <w:widowControl w:val="0"/>
              <w:jc w:val="center"/>
              <w:rPr>
                <w:rFonts w:ascii="Arial" w:hAnsi="Arial" w:cs="Arial"/>
                <w:b/>
                <w:bCs/>
                <w:sz w:val="16"/>
                <w:szCs w:val="16"/>
                <w:lang w:val="en-CA"/>
              </w:rPr>
            </w:pPr>
            <w:r>
              <w:rPr>
                <w:rFonts w:ascii="Arial" w:hAnsi="Arial" w:cs="Arial"/>
                <w:b/>
                <w:bCs/>
                <w:sz w:val="16"/>
                <w:szCs w:val="16"/>
                <w:lang w:val="en-CA"/>
              </w:rPr>
              <w:t>December 31</w:t>
            </w:r>
          </w:p>
        </w:tc>
      </w:tr>
      <w:tr w:rsidR="00315F52" w:rsidRPr="00CB2281" w14:paraId="5A46E688" w14:textId="77777777" w:rsidTr="0053546C">
        <w:tc>
          <w:tcPr>
            <w:tcW w:w="2425" w:type="dxa"/>
            <w:tcBorders>
              <w:left w:val="single" w:sz="4" w:space="0" w:color="auto"/>
              <w:right w:val="single" w:sz="4" w:space="0" w:color="auto"/>
            </w:tcBorders>
            <w:vAlign w:val="bottom"/>
          </w:tcPr>
          <w:p w14:paraId="28F7FA05" w14:textId="77777777" w:rsidR="00315F52" w:rsidRPr="00CB2281" w:rsidRDefault="00315F52" w:rsidP="00315F52">
            <w:pPr>
              <w:rPr>
                <w:rFonts w:ascii="Arial" w:hAnsi="Arial" w:cs="Arial"/>
                <w:bCs/>
                <w:sz w:val="16"/>
                <w:szCs w:val="16"/>
                <w:lang w:val="en-CA"/>
              </w:rPr>
            </w:pPr>
          </w:p>
        </w:tc>
        <w:tc>
          <w:tcPr>
            <w:tcW w:w="1924" w:type="dxa"/>
            <w:gridSpan w:val="2"/>
            <w:tcBorders>
              <w:top w:val="single" w:sz="4" w:space="0" w:color="auto"/>
              <w:left w:val="single" w:sz="4" w:space="0" w:color="auto"/>
              <w:right w:val="single" w:sz="4" w:space="0" w:color="auto"/>
            </w:tcBorders>
          </w:tcPr>
          <w:p w14:paraId="4C3F5CF8" w14:textId="3693B5AD" w:rsidR="00315F52" w:rsidRPr="00CB2281" w:rsidRDefault="00315F52" w:rsidP="001B1418">
            <w:pPr>
              <w:widowControl w:val="0"/>
              <w:jc w:val="center"/>
              <w:rPr>
                <w:rFonts w:ascii="Arial" w:hAnsi="Arial" w:cs="Arial"/>
                <w:b/>
                <w:bCs/>
                <w:sz w:val="16"/>
                <w:szCs w:val="16"/>
                <w:lang w:val="en-CA"/>
              </w:rPr>
            </w:pPr>
            <w:r w:rsidRPr="00CB2281">
              <w:rPr>
                <w:rFonts w:ascii="Arial" w:hAnsi="Arial" w:cs="Arial"/>
                <w:b/>
                <w:color w:val="000000"/>
                <w:sz w:val="16"/>
                <w:szCs w:val="16"/>
              </w:rPr>
              <w:t>202</w:t>
            </w:r>
            <w:r w:rsidR="002069A0">
              <w:rPr>
                <w:rFonts w:ascii="Arial" w:hAnsi="Arial" w:cs="Arial"/>
                <w:b/>
                <w:color w:val="000000"/>
                <w:sz w:val="16"/>
                <w:szCs w:val="16"/>
              </w:rPr>
              <w:t>5</w:t>
            </w:r>
          </w:p>
        </w:tc>
        <w:tc>
          <w:tcPr>
            <w:tcW w:w="2079" w:type="dxa"/>
            <w:gridSpan w:val="2"/>
            <w:tcBorders>
              <w:top w:val="single" w:sz="4" w:space="0" w:color="auto"/>
              <w:left w:val="single" w:sz="4" w:space="0" w:color="auto"/>
              <w:right w:val="single" w:sz="4" w:space="0" w:color="auto"/>
            </w:tcBorders>
          </w:tcPr>
          <w:p w14:paraId="35DE770D" w14:textId="32D6B44A" w:rsidR="00315F52" w:rsidRPr="00CB2281" w:rsidRDefault="00315F52" w:rsidP="001B1418">
            <w:pPr>
              <w:widowControl w:val="0"/>
              <w:jc w:val="center"/>
              <w:rPr>
                <w:rFonts w:ascii="Arial" w:hAnsi="Arial" w:cs="Arial"/>
                <w:b/>
                <w:bCs/>
                <w:sz w:val="16"/>
                <w:szCs w:val="16"/>
                <w:lang w:val="en-CA"/>
              </w:rPr>
            </w:pPr>
            <w:r w:rsidRPr="00CB2281">
              <w:rPr>
                <w:rFonts w:ascii="Arial" w:hAnsi="Arial" w:cs="Arial"/>
                <w:b/>
                <w:color w:val="000000"/>
                <w:sz w:val="16"/>
                <w:szCs w:val="16"/>
              </w:rPr>
              <w:t>202</w:t>
            </w:r>
            <w:r w:rsidR="002069A0">
              <w:rPr>
                <w:rFonts w:ascii="Arial" w:hAnsi="Arial" w:cs="Arial"/>
                <w:b/>
                <w:color w:val="000000"/>
                <w:sz w:val="16"/>
                <w:szCs w:val="16"/>
              </w:rPr>
              <w:t>4</w:t>
            </w:r>
          </w:p>
        </w:tc>
        <w:tc>
          <w:tcPr>
            <w:tcW w:w="1890" w:type="dxa"/>
            <w:gridSpan w:val="2"/>
            <w:tcBorders>
              <w:top w:val="single" w:sz="4" w:space="0" w:color="auto"/>
              <w:left w:val="single" w:sz="4" w:space="0" w:color="auto"/>
              <w:bottom w:val="single" w:sz="4" w:space="0" w:color="auto"/>
              <w:right w:val="single" w:sz="4" w:space="0" w:color="auto"/>
            </w:tcBorders>
            <w:vAlign w:val="bottom"/>
          </w:tcPr>
          <w:p w14:paraId="3F5A29FF" w14:textId="200C8A7F" w:rsidR="00315F52" w:rsidRDefault="00315F52" w:rsidP="00315F52">
            <w:pPr>
              <w:jc w:val="center"/>
              <w:rPr>
                <w:rFonts w:ascii="Arial" w:hAnsi="Arial" w:cs="Arial"/>
                <w:b/>
                <w:color w:val="000000"/>
                <w:sz w:val="16"/>
                <w:szCs w:val="16"/>
              </w:rPr>
            </w:pPr>
            <w:r w:rsidRPr="00CB2281">
              <w:rPr>
                <w:rFonts w:ascii="Arial" w:hAnsi="Arial" w:cs="Arial"/>
                <w:b/>
                <w:color w:val="000000"/>
                <w:sz w:val="16"/>
                <w:szCs w:val="16"/>
              </w:rPr>
              <w:t>202</w:t>
            </w:r>
            <w:r w:rsidR="002069A0">
              <w:rPr>
                <w:rFonts w:ascii="Arial" w:hAnsi="Arial" w:cs="Arial"/>
                <w:b/>
                <w:color w:val="000000"/>
                <w:sz w:val="16"/>
                <w:szCs w:val="16"/>
              </w:rPr>
              <w:t>5</w:t>
            </w:r>
          </w:p>
          <w:p w14:paraId="328A0936" w14:textId="47B35060" w:rsidR="001B1418" w:rsidRPr="00CB2281" w:rsidRDefault="001B1418" w:rsidP="00315F52">
            <w:pPr>
              <w:jc w:val="center"/>
              <w:rPr>
                <w:rFonts w:ascii="Arial" w:hAnsi="Arial" w:cs="Arial"/>
                <w:b/>
                <w:bCs/>
                <w:sz w:val="16"/>
                <w:szCs w:val="16"/>
                <w:lang w:val="en-CA"/>
              </w:rPr>
            </w:pPr>
            <w:r>
              <w:rPr>
                <w:rFonts w:ascii="Arial" w:hAnsi="Arial" w:cs="Arial"/>
                <w:b/>
                <w:color w:val="000000"/>
                <w:sz w:val="16"/>
                <w:szCs w:val="16"/>
              </w:rPr>
              <w:t>(unaudited)</w:t>
            </w:r>
          </w:p>
        </w:tc>
        <w:tc>
          <w:tcPr>
            <w:tcW w:w="1913" w:type="dxa"/>
            <w:gridSpan w:val="2"/>
            <w:tcBorders>
              <w:top w:val="single" w:sz="4" w:space="0" w:color="auto"/>
              <w:left w:val="single" w:sz="4" w:space="0" w:color="auto"/>
              <w:bottom w:val="single" w:sz="4" w:space="0" w:color="auto"/>
              <w:right w:val="single" w:sz="4" w:space="0" w:color="auto"/>
            </w:tcBorders>
          </w:tcPr>
          <w:p w14:paraId="428CA9B4" w14:textId="1224DB41" w:rsidR="00315F52" w:rsidRDefault="00315F52" w:rsidP="001B1418">
            <w:pPr>
              <w:jc w:val="center"/>
              <w:rPr>
                <w:rFonts w:ascii="Arial" w:hAnsi="Arial" w:cs="Arial"/>
                <w:b/>
                <w:color w:val="000000"/>
                <w:sz w:val="16"/>
                <w:szCs w:val="16"/>
              </w:rPr>
            </w:pPr>
            <w:r w:rsidRPr="00CB2281">
              <w:rPr>
                <w:rFonts w:ascii="Arial" w:hAnsi="Arial" w:cs="Arial"/>
                <w:b/>
                <w:color w:val="000000"/>
                <w:sz w:val="16"/>
                <w:szCs w:val="16"/>
              </w:rPr>
              <w:t>202</w:t>
            </w:r>
            <w:r w:rsidR="002069A0">
              <w:rPr>
                <w:rFonts w:ascii="Arial" w:hAnsi="Arial" w:cs="Arial"/>
                <w:b/>
                <w:color w:val="000000"/>
                <w:sz w:val="16"/>
                <w:szCs w:val="16"/>
              </w:rPr>
              <w:t>4</w:t>
            </w:r>
          </w:p>
          <w:p w14:paraId="74902E23" w14:textId="08670369" w:rsidR="002069A0" w:rsidRPr="00CB2281" w:rsidRDefault="002069A0" w:rsidP="001B1418">
            <w:pPr>
              <w:jc w:val="center"/>
              <w:rPr>
                <w:rFonts w:ascii="Arial" w:hAnsi="Arial" w:cs="Arial"/>
                <w:b/>
                <w:bCs/>
                <w:sz w:val="16"/>
                <w:szCs w:val="16"/>
                <w:lang w:val="en-CA"/>
              </w:rPr>
            </w:pPr>
            <w:r>
              <w:rPr>
                <w:rFonts w:ascii="Arial" w:hAnsi="Arial" w:cs="Arial"/>
                <w:b/>
                <w:color w:val="000000"/>
                <w:sz w:val="16"/>
                <w:szCs w:val="16"/>
              </w:rPr>
              <w:t>(audited)</w:t>
            </w:r>
          </w:p>
        </w:tc>
      </w:tr>
      <w:tr w:rsidR="00315F52" w:rsidRPr="00CB2281" w14:paraId="7A3EF51B" w14:textId="77777777" w:rsidTr="0053546C">
        <w:tblPrEx>
          <w:tblLook w:val="01E0" w:firstRow="1" w:lastRow="1" w:firstColumn="1" w:lastColumn="1" w:noHBand="0" w:noVBand="0"/>
        </w:tblPrEx>
        <w:tc>
          <w:tcPr>
            <w:tcW w:w="2425" w:type="dxa"/>
            <w:tcBorders>
              <w:top w:val="single" w:sz="4" w:space="0" w:color="auto"/>
              <w:left w:val="single" w:sz="4" w:space="0" w:color="auto"/>
              <w:right w:val="single" w:sz="4" w:space="0" w:color="auto"/>
            </w:tcBorders>
            <w:vAlign w:val="bottom"/>
          </w:tcPr>
          <w:p w14:paraId="6D06C5F2" w14:textId="77777777" w:rsidR="00315F52" w:rsidRPr="00CB2281" w:rsidRDefault="00315F52" w:rsidP="00AB2D66">
            <w:pPr>
              <w:rPr>
                <w:rFonts w:ascii="Arial" w:hAnsi="Arial" w:cs="Arial"/>
                <w:sz w:val="16"/>
                <w:szCs w:val="16"/>
                <w:lang w:val="en-CA"/>
              </w:rPr>
            </w:pPr>
          </w:p>
        </w:tc>
        <w:tc>
          <w:tcPr>
            <w:tcW w:w="1114" w:type="dxa"/>
            <w:tcBorders>
              <w:top w:val="single" w:sz="4" w:space="0" w:color="auto"/>
              <w:left w:val="single" w:sz="4" w:space="0" w:color="auto"/>
            </w:tcBorders>
            <w:vAlign w:val="bottom"/>
          </w:tcPr>
          <w:p w14:paraId="37E4CD40" w14:textId="77777777" w:rsidR="00315F52" w:rsidRPr="00CB2281" w:rsidRDefault="00315F52" w:rsidP="00AB2D66">
            <w:pPr>
              <w:ind w:left="-108"/>
              <w:rPr>
                <w:rFonts w:ascii="Arial" w:hAnsi="Arial" w:cs="Arial"/>
                <w:color w:val="000000"/>
                <w:sz w:val="16"/>
                <w:szCs w:val="16"/>
              </w:rPr>
            </w:pPr>
          </w:p>
        </w:tc>
        <w:tc>
          <w:tcPr>
            <w:tcW w:w="810" w:type="dxa"/>
            <w:tcBorders>
              <w:top w:val="single" w:sz="4" w:space="0" w:color="auto"/>
              <w:right w:val="single" w:sz="4" w:space="0" w:color="auto"/>
            </w:tcBorders>
            <w:vAlign w:val="bottom"/>
          </w:tcPr>
          <w:p w14:paraId="5FA2DF4C" w14:textId="77777777" w:rsidR="00315F52" w:rsidRPr="00CB2281" w:rsidRDefault="00315F52" w:rsidP="00AB2D66">
            <w:pPr>
              <w:widowControl w:val="0"/>
              <w:ind w:right="-86"/>
              <w:jc w:val="center"/>
              <w:rPr>
                <w:rFonts w:ascii="Arial" w:hAnsi="Arial" w:cs="Arial"/>
                <w:color w:val="000000"/>
                <w:sz w:val="16"/>
                <w:szCs w:val="16"/>
              </w:rPr>
            </w:pPr>
            <w:r w:rsidRPr="00CB2281">
              <w:rPr>
                <w:rFonts w:ascii="Arial" w:hAnsi="Arial" w:cs="Arial"/>
                <w:color w:val="000000"/>
                <w:sz w:val="16"/>
                <w:szCs w:val="16"/>
              </w:rPr>
              <w:t>Per BOE</w:t>
            </w:r>
          </w:p>
        </w:tc>
        <w:tc>
          <w:tcPr>
            <w:tcW w:w="1175" w:type="dxa"/>
            <w:tcBorders>
              <w:top w:val="single" w:sz="4" w:space="0" w:color="auto"/>
              <w:left w:val="single" w:sz="4" w:space="0" w:color="auto"/>
            </w:tcBorders>
            <w:vAlign w:val="bottom"/>
          </w:tcPr>
          <w:p w14:paraId="065D58A7" w14:textId="77777777" w:rsidR="00315F52" w:rsidRPr="00CB2281" w:rsidRDefault="00315F52" w:rsidP="00AB2D66">
            <w:pPr>
              <w:ind w:left="-108"/>
              <w:jc w:val="center"/>
              <w:rPr>
                <w:rFonts w:ascii="Arial" w:hAnsi="Arial" w:cs="Arial"/>
                <w:color w:val="000000"/>
                <w:sz w:val="16"/>
                <w:szCs w:val="16"/>
              </w:rPr>
            </w:pPr>
          </w:p>
        </w:tc>
        <w:tc>
          <w:tcPr>
            <w:tcW w:w="900" w:type="dxa"/>
            <w:tcBorders>
              <w:top w:val="single" w:sz="4" w:space="0" w:color="auto"/>
              <w:right w:val="single" w:sz="4" w:space="0" w:color="auto"/>
            </w:tcBorders>
            <w:vAlign w:val="bottom"/>
          </w:tcPr>
          <w:p w14:paraId="461EC3AD" w14:textId="77777777" w:rsidR="00315F52" w:rsidRPr="00CB2281" w:rsidRDefault="00315F52" w:rsidP="00AB2D66">
            <w:pPr>
              <w:widowControl w:val="0"/>
              <w:ind w:right="-86"/>
              <w:jc w:val="center"/>
              <w:rPr>
                <w:rFonts w:ascii="Arial" w:hAnsi="Arial" w:cs="Arial"/>
                <w:color w:val="000000"/>
                <w:sz w:val="16"/>
                <w:szCs w:val="16"/>
              </w:rPr>
            </w:pPr>
            <w:r w:rsidRPr="00CB2281">
              <w:rPr>
                <w:rFonts w:ascii="Arial" w:hAnsi="Arial" w:cs="Arial"/>
                <w:color w:val="000000"/>
                <w:sz w:val="16"/>
                <w:szCs w:val="16"/>
              </w:rPr>
              <w:t>Per BOE</w:t>
            </w:r>
          </w:p>
        </w:tc>
        <w:tc>
          <w:tcPr>
            <w:tcW w:w="1080" w:type="dxa"/>
            <w:tcBorders>
              <w:top w:val="single" w:sz="4" w:space="0" w:color="auto"/>
              <w:left w:val="single" w:sz="4" w:space="0" w:color="auto"/>
              <w:bottom w:val="single" w:sz="4" w:space="0" w:color="auto"/>
            </w:tcBorders>
            <w:vAlign w:val="bottom"/>
          </w:tcPr>
          <w:p w14:paraId="2545A8DA" w14:textId="77777777" w:rsidR="00315F52" w:rsidRPr="00CB2281" w:rsidRDefault="00315F52" w:rsidP="00AB2D66">
            <w:pPr>
              <w:ind w:left="-108"/>
              <w:jc w:val="center"/>
              <w:rPr>
                <w:rFonts w:ascii="Arial" w:hAnsi="Arial" w:cs="Arial"/>
                <w:color w:val="000000"/>
                <w:sz w:val="16"/>
                <w:szCs w:val="16"/>
              </w:rPr>
            </w:pPr>
          </w:p>
        </w:tc>
        <w:tc>
          <w:tcPr>
            <w:tcW w:w="810" w:type="dxa"/>
            <w:tcBorders>
              <w:top w:val="single" w:sz="4" w:space="0" w:color="auto"/>
              <w:bottom w:val="single" w:sz="4" w:space="0" w:color="auto"/>
              <w:right w:val="single" w:sz="4" w:space="0" w:color="auto"/>
            </w:tcBorders>
            <w:vAlign w:val="bottom"/>
          </w:tcPr>
          <w:p w14:paraId="7C6B8756" w14:textId="77777777" w:rsidR="00315F52" w:rsidRPr="00CB2281" w:rsidRDefault="00315F52" w:rsidP="00AB2D66">
            <w:pPr>
              <w:widowControl w:val="0"/>
              <w:ind w:right="-86"/>
              <w:jc w:val="center"/>
              <w:rPr>
                <w:rFonts w:ascii="Arial" w:hAnsi="Arial" w:cs="Arial"/>
                <w:color w:val="000000"/>
                <w:sz w:val="16"/>
                <w:szCs w:val="16"/>
              </w:rPr>
            </w:pPr>
            <w:r w:rsidRPr="00CB2281">
              <w:rPr>
                <w:rFonts w:ascii="Arial" w:hAnsi="Arial" w:cs="Arial"/>
                <w:color w:val="000000"/>
                <w:sz w:val="16"/>
                <w:szCs w:val="16"/>
              </w:rPr>
              <w:t>Per BOE</w:t>
            </w:r>
          </w:p>
        </w:tc>
        <w:tc>
          <w:tcPr>
            <w:tcW w:w="1062" w:type="dxa"/>
            <w:tcBorders>
              <w:left w:val="single" w:sz="4" w:space="0" w:color="auto"/>
              <w:bottom w:val="single" w:sz="4" w:space="0" w:color="auto"/>
            </w:tcBorders>
            <w:vAlign w:val="bottom"/>
          </w:tcPr>
          <w:p w14:paraId="4433EDC5" w14:textId="77777777" w:rsidR="00315F52" w:rsidRPr="00CB2281" w:rsidRDefault="00315F52" w:rsidP="00AB2D66">
            <w:pPr>
              <w:ind w:left="-108"/>
              <w:jc w:val="center"/>
              <w:rPr>
                <w:rFonts w:ascii="Arial" w:hAnsi="Arial" w:cs="Arial"/>
                <w:color w:val="000000"/>
                <w:sz w:val="16"/>
                <w:szCs w:val="16"/>
              </w:rPr>
            </w:pPr>
          </w:p>
        </w:tc>
        <w:tc>
          <w:tcPr>
            <w:tcW w:w="851" w:type="dxa"/>
            <w:tcBorders>
              <w:bottom w:val="single" w:sz="4" w:space="0" w:color="auto"/>
              <w:right w:val="single" w:sz="4" w:space="0" w:color="auto"/>
            </w:tcBorders>
            <w:vAlign w:val="bottom"/>
          </w:tcPr>
          <w:p w14:paraId="17357E67" w14:textId="77777777" w:rsidR="00315F52" w:rsidRPr="00CB2281" w:rsidRDefault="00315F52" w:rsidP="00AB2D66">
            <w:pPr>
              <w:widowControl w:val="0"/>
              <w:ind w:right="-86"/>
              <w:jc w:val="center"/>
              <w:rPr>
                <w:rFonts w:ascii="Arial" w:hAnsi="Arial" w:cs="Arial"/>
                <w:color w:val="000000"/>
                <w:sz w:val="16"/>
                <w:szCs w:val="16"/>
              </w:rPr>
            </w:pPr>
            <w:r w:rsidRPr="00CB2281">
              <w:rPr>
                <w:rFonts w:ascii="Arial" w:hAnsi="Arial" w:cs="Arial"/>
                <w:color w:val="000000"/>
                <w:sz w:val="16"/>
                <w:szCs w:val="16"/>
              </w:rPr>
              <w:t>Per BOE</w:t>
            </w:r>
          </w:p>
        </w:tc>
      </w:tr>
      <w:tr w:rsidR="002069A0" w:rsidRPr="00CB2281" w14:paraId="4DCD503F" w14:textId="77777777" w:rsidTr="0053546C">
        <w:tblPrEx>
          <w:tblLook w:val="01E0" w:firstRow="1" w:lastRow="1" w:firstColumn="1" w:lastColumn="1" w:noHBand="0" w:noVBand="0"/>
        </w:tblPrEx>
        <w:trPr>
          <w:trHeight w:val="50"/>
        </w:trPr>
        <w:tc>
          <w:tcPr>
            <w:tcW w:w="2425" w:type="dxa"/>
            <w:tcBorders>
              <w:top w:val="single" w:sz="4" w:space="0" w:color="auto"/>
              <w:left w:val="single" w:sz="4" w:space="0" w:color="auto"/>
              <w:right w:val="single" w:sz="4" w:space="0" w:color="auto"/>
            </w:tcBorders>
            <w:vAlign w:val="bottom"/>
          </w:tcPr>
          <w:p w14:paraId="5C4DF5C8" w14:textId="77777777" w:rsidR="002069A0" w:rsidRPr="00CB2281" w:rsidRDefault="002069A0" w:rsidP="002069A0">
            <w:pPr>
              <w:rPr>
                <w:rFonts w:ascii="Arial" w:hAnsi="Arial" w:cs="Arial"/>
                <w:sz w:val="16"/>
                <w:szCs w:val="16"/>
                <w:lang w:val="en-CA"/>
              </w:rPr>
            </w:pPr>
            <w:r w:rsidRPr="00CB2281">
              <w:rPr>
                <w:rFonts w:ascii="Arial" w:hAnsi="Arial" w:cs="Arial"/>
                <w:sz w:val="16"/>
                <w:szCs w:val="16"/>
                <w:lang w:val="en-CA"/>
              </w:rPr>
              <w:t>Oil and natural gas sales revenue ($)</w:t>
            </w:r>
          </w:p>
        </w:tc>
        <w:tc>
          <w:tcPr>
            <w:tcW w:w="1114" w:type="dxa"/>
            <w:tcBorders>
              <w:top w:val="single" w:sz="4" w:space="0" w:color="auto"/>
              <w:left w:val="single" w:sz="4" w:space="0" w:color="auto"/>
            </w:tcBorders>
            <w:vAlign w:val="bottom"/>
          </w:tcPr>
          <w:p w14:paraId="35DAE5EE" w14:textId="7D52E759" w:rsidR="002069A0" w:rsidRPr="00B737B0" w:rsidRDefault="0053546C" w:rsidP="002069A0">
            <w:pPr>
              <w:tabs>
                <w:tab w:val="decimal" w:pos="702"/>
              </w:tabs>
              <w:ind w:left="-108"/>
              <w:rPr>
                <w:rFonts w:ascii="Arial" w:hAnsi="Arial" w:cs="Arial"/>
                <w:sz w:val="16"/>
                <w:szCs w:val="16"/>
              </w:rPr>
            </w:pPr>
            <w:r>
              <w:rPr>
                <w:rFonts w:ascii="Arial" w:hAnsi="Arial" w:cs="Arial"/>
                <w:sz w:val="16"/>
                <w:szCs w:val="16"/>
              </w:rPr>
              <w:t>34,566,448</w:t>
            </w:r>
          </w:p>
        </w:tc>
        <w:tc>
          <w:tcPr>
            <w:tcW w:w="810" w:type="dxa"/>
            <w:tcBorders>
              <w:top w:val="single" w:sz="4" w:space="0" w:color="000000"/>
            </w:tcBorders>
            <w:vAlign w:val="bottom"/>
          </w:tcPr>
          <w:p w14:paraId="29B3A0FF" w14:textId="17E3541B" w:rsidR="002069A0" w:rsidRPr="00B737B0" w:rsidRDefault="0053546C" w:rsidP="002069A0">
            <w:pPr>
              <w:widowControl w:val="0"/>
              <w:tabs>
                <w:tab w:val="decimal" w:pos="432"/>
              </w:tabs>
              <w:spacing w:line="240" w:lineRule="atLeast"/>
              <w:ind w:right="-86"/>
              <w:jc w:val="center"/>
              <w:rPr>
                <w:rFonts w:ascii="Arial" w:hAnsi="Arial" w:cs="Arial"/>
                <w:sz w:val="16"/>
                <w:szCs w:val="16"/>
              </w:rPr>
            </w:pPr>
            <w:r>
              <w:rPr>
                <w:rFonts w:ascii="Arial" w:hAnsi="Arial" w:cs="Arial"/>
                <w:sz w:val="16"/>
                <w:szCs w:val="16"/>
              </w:rPr>
              <w:t>54.32</w:t>
            </w:r>
          </w:p>
        </w:tc>
        <w:tc>
          <w:tcPr>
            <w:tcW w:w="1175" w:type="dxa"/>
            <w:tcBorders>
              <w:top w:val="single" w:sz="4" w:space="0" w:color="auto"/>
              <w:left w:val="single" w:sz="4" w:space="0" w:color="auto"/>
            </w:tcBorders>
            <w:vAlign w:val="bottom"/>
          </w:tcPr>
          <w:p w14:paraId="6B341FB1" w14:textId="5DB9B23B" w:rsidR="002069A0" w:rsidRPr="00CB2281" w:rsidRDefault="002069A0" w:rsidP="002069A0">
            <w:pPr>
              <w:tabs>
                <w:tab w:val="decimal" w:pos="702"/>
              </w:tabs>
              <w:ind w:left="-108"/>
              <w:rPr>
                <w:rFonts w:ascii="Arial" w:hAnsi="Arial" w:cs="Arial"/>
                <w:color w:val="000000"/>
                <w:sz w:val="16"/>
                <w:szCs w:val="16"/>
              </w:rPr>
            </w:pPr>
            <w:r w:rsidRPr="00B737B0">
              <w:rPr>
                <w:rFonts w:ascii="Arial" w:hAnsi="Arial" w:cs="Arial"/>
                <w:sz w:val="16"/>
                <w:szCs w:val="16"/>
              </w:rPr>
              <w:t>19,580,949</w:t>
            </w:r>
          </w:p>
        </w:tc>
        <w:tc>
          <w:tcPr>
            <w:tcW w:w="900" w:type="dxa"/>
            <w:tcBorders>
              <w:top w:val="single" w:sz="4" w:space="0" w:color="auto"/>
            </w:tcBorders>
            <w:vAlign w:val="bottom"/>
          </w:tcPr>
          <w:p w14:paraId="49B0A6F6" w14:textId="37F76BAF" w:rsidR="002069A0" w:rsidRPr="00CB2281" w:rsidRDefault="002069A0" w:rsidP="002069A0">
            <w:pPr>
              <w:widowControl w:val="0"/>
              <w:tabs>
                <w:tab w:val="decimal" w:pos="432"/>
              </w:tabs>
              <w:spacing w:line="240" w:lineRule="atLeast"/>
              <w:ind w:right="-86"/>
              <w:jc w:val="center"/>
              <w:rPr>
                <w:rFonts w:ascii="Arial" w:hAnsi="Arial" w:cs="Arial"/>
                <w:color w:val="000000"/>
                <w:sz w:val="16"/>
                <w:szCs w:val="16"/>
              </w:rPr>
            </w:pPr>
            <w:r w:rsidRPr="00B737B0">
              <w:rPr>
                <w:rFonts w:ascii="Arial" w:hAnsi="Arial" w:cs="Arial"/>
                <w:sz w:val="16"/>
                <w:szCs w:val="16"/>
              </w:rPr>
              <w:t>63.82</w:t>
            </w:r>
          </w:p>
        </w:tc>
        <w:tc>
          <w:tcPr>
            <w:tcW w:w="1080" w:type="dxa"/>
            <w:tcBorders>
              <w:top w:val="single" w:sz="4" w:space="0" w:color="auto"/>
              <w:left w:val="single" w:sz="4" w:space="0" w:color="auto"/>
            </w:tcBorders>
            <w:vAlign w:val="bottom"/>
          </w:tcPr>
          <w:p w14:paraId="1902074F" w14:textId="5B856783" w:rsidR="002069A0" w:rsidRPr="00B737B0" w:rsidRDefault="0053546C" w:rsidP="002069A0">
            <w:pPr>
              <w:tabs>
                <w:tab w:val="decimal" w:pos="702"/>
              </w:tabs>
              <w:ind w:left="-108"/>
              <w:rPr>
                <w:rFonts w:ascii="Arial" w:hAnsi="Arial" w:cs="Arial"/>
                <w:sz w:val="16"/>
                <w:szCs w:val="16"/>
              </w:rPr>
            </w:pPr>
            <w:r>
              <w:rPr>
                <w:rFonts w:ascii="Arial" w:hAnsi="Arial" w:cs="Arial"/>
                <w:sz w:val="16"/>
                <w:szCs w:val="16"/>
              </w:rPr>
              <w:t>101,987,219</w:t>
            </w:r>
          </w:p>
        </w:tc>
        <w:tc>
          <w:tcPr>
            <w:tcW w:w="810" w:type="dxa"/>
            <w:tcBorders>
              <w:top w:val="single" w:sz="4" w:space="0" w:color="auto"/>
              <w:right w:val="single" w:sz="4" w:space="0" w:color="auto"/>
            </w:tcBorders>
            <w:vAlign w:val="bottom"/>
          </w:tcPr>
          <w:p w14:paraId="7DDF104D" w14:textId="2ACE32EC" w:rsidR="002069A0" w:rsidRPr="00B737B0" w:rsidRDefault="0053546C" w:rsidP="002069A0">
            <w:pPr>
              <w:widowControl w:val="0"/>
              <w:tabs>
                <w:tab w:val="decimal" w:pos="432"/>
              </w:tabs>
              <w:spacing w:line="240" w:lineRule="atLeast"/>
              <w:ind w:right="-86"/>
              <w:jc w:val="center"/>
              <w:rPr>
                <w:rFonts w:ascii="Arial" w:hAnsi="Arial" w:cs="Arial"/>
                <w:sz w:val="16"/>
                <w:szCs w:val="16"/>
              </w:rPr>
            </w:pPr>
            <w:r>
              <w:rPr>
                <w:rFonts w:ascii="Arial" w:hAnsi="Arial" w:cs="Arial"/>
                <w:sz w:val="16"/>
                <w:szCs w:val="16"/>
              </w:rPr>
              <w:t>57.36</w:t>
            </w:r>
          </w:p>
        </w:tc>
        <w:tc>
          <w:tcPr>
            <w:tcW w:w="1062" w:type="dxa"/>
            <w:tcBorders>
              <w:top w:val="single" w:sz="4" w:space="0" w:color="auto"/>
              <w:left w:val="single" w:sz="4" w:space="0" w:color="auto"/>
            </w:tcBorders>
            <w:vAlign w:val="bottom"/>
          </w:tcPr>
          <w:p w14:paraId="7181596C" w14:textId="3F014A6D" w:rsidR="002069A0" w:rsidRPr="00CB2281" w:rsidRDefault="002069A0" w:rsidP="002069A0">
            <w:pPr>
              <w:tabs>
                <w:tab w:val="decimal" w:pos="702"/>
              </w:tabs>
              <w:ind w:left="-108"/>
              <w:rPr>
                <w:rFonts w:ascii="Arial" w:hAnsi="Arial" w:cs="Arial"/>
                <w:color w:val="000000"/>
                <w:sz w:val="16"/>
                <w:szCs w:val="16"/>
              </w:rPr>
            </w:pPr>
            <w:r w:rsidRPr="00B737B0">
              <w:rPr>
                <w:rFonts w:ascii="Arial" w:hAnsi="Arial" w:cs="Arial"/>
                <w:sz w:val="16"/>
                <w:szCs w:val="16"/>
              </w:rPr>
              <w:t>36,827,158</w:t>
            </w:r>
          </w:p>
        </w:tc>
        <w:tc>
          <w:tcPr>
            <w:tcW w:w="851" w:type="dxa"/>
            <w:tcBorders>
              <w:top w:val="single" w:sz="4" w:space="0" w:color="auto"/>
              <w:right w:val="single" w:sz="4" w:space="0" w:color="auto"/>
            </w:tcBorders>
            <w:vAlign w:val="bottom"/>
          </w:tcPr>
          <w:p w14:paraId="0A508364" w14:textId="2F9117A8" w:rsidR="002069A0" w:rsidRPr="00CB2281" w:rsidRDefault="002069A0" w:rsidP="002069A0">
            <w:pPr>
              <w:widowControl w:val="0"/>
              <w:tabs>
                <w:tab w:val="decimal" w:pos="432"/>
              </w:tabs>
              <w:spacing w:line="240" w:lineRule="atLeast"/>
              <w:ind w:right="-86"/>
              <w:jc w:val="center"/>
              <w:rPr>
                <w:rFonts w:ascii="Arial" w:eastAsia="Arial" w:hAnsi="Arial" w:cs="Arial"/>
                <w:color w:val="000000"/>
                <w:sz w:val="16"/>
                <w:szCs w:val="16"/>
              </w:rPr>
            </w:pPr>
            <w:r w:rsidRPr="00B737B0">
              <w:rPr>
                <w:rFonts w:ascii="Arial" w:hAnsi="Arial" w:cs="Arial"/>
                <w:sz w:val="16"/>
                <w:szCs w:val="16"/>
              </w:rPr>
              <w:t>54.40</w:t>
            </w:r>
          </w:p>
        </w:tc>
      </w:tr>
      <w:tr w:rsidR="002069A0" w:rsidRPr="00CB2281" w14:paraId="37A38DF9" w14:textId="77777777" w:rsidTr="0053546C">
        <w:tblPrEx>
          <w:tblLook w:val="01E0" w:firstRow="1" w:lastRow="1" w:firstColumn="1" w:lastColumn="1" w:noHBand="0" w:noVBand="0"/>
        </w:tblPrEx>
        <w:tc>
          <w:tcPr>
            <w:tcW w:w="2425" w:type="dxa"/>
            <w:tcBorders>
              <w:left w:val="single" w:sz="4" w:space="0" w:color="auto"/>
              <w:right w:val="single" w:sz="4" w:space="0" w:color="auto"/>
            </w:tcBorders>
            <w:vAlign w:val="bottom"/>
          </w:tcPr>
          <w:p w14:paraId="588C4E36" w14:textId="77777777" w:rsidR="002069A0" w:rsidRPr="00CB2281" w:rsidRDefault="002069A0" w:rsidP="002069A0">
            <w:pPr>
              <w:rPr>
                <w:rFonts w:ascii="Arial" w:hAnsi="Arial" w:cs="Arial"/>
                <w:sz w:val="16"/>
                <w:szCs w:val="16"/>
                <w:lang w:val="en-CA"/>
              </w:rPr>
            </w:pPr>
            <w:r w:rsidRPr="00CB2281">
              <w:rPr>
                <w:rFonts w:ascii="Arial" w:hAnsi="Arial" w:cs="Arial"/>
                <w:sz w:val="16"/>
                <w:szCs w:val="16"/>
                <w:lang w:val="en-CA"/>
              </w:rPr>
              <w:t>Export tax ($)</w:t>
            </w:r>
          </w:p>
        </w:tc>
        <w:tc>
          <w:tcPr>
            <w:tcW w:w="1114" w:type="dxa"/>
            <w:tcBorders>
              <w:left w:val="single" w:sz="4" w:space="0" w:color="auto"/>
            </w:tcBorders>
            <w:vAlign w:val="center"/>
          </w:tcPr>
          <w:p w14:paraId="19A158D8" w14:textId="273194C8" w:rsidR="002069A0" w:rsidRPr="00B737B0" w:rsidRDefault="0053546C" w:rsidP="002069A0">
            <w:pPr>
              <w:tabs>
                <w:tab w:val="decimal" w:pos="702"/>
              </w:tabs>
              <w:ind w:left="-108"/>
              <w:rPr>
                <w:rFonts w:ascii="Arial" w:hAnsi="Arial" w:cs="Arial"/>
                <w:sz w:val="16"/>
                <w:szCs w:val="16"/>
              </w:rPr>
            </w:pPr>
            <w:r>
              <w:rPr>
                <w:rFonts w:ascii="Arial" w:hAnsi="Arial" w:cs="Arial"/>
                <w:sz w:val="16"/>
                <w:szCs w:val="16"/>
              </w:rPr>
              <w:t>(70,302)</w:t>
            </w:r>
          </w:p>
        </w:tc>
        <w:tc>
          <w:tcPr>
            <w:tcW w:w="810" w:type="dxa"/>
            <w:vAlign w:val="bottom"/>
          </w:tcPr>
          <w:p w14:paraId="5DDA072C" w14:textId="7A702D32" w:rsidR="002069A0" w:rsidRPr="00B737B0" w:rsidRDefault="0053546C" w:rsidP="002069A0">
            <w:pPr>
              <w:widowControl w:val="0"/>
              <w:tabs>
                <w:tab w:val="decimal" w:pos="432"/>
              </w:tabs>
              <w:spacing w:line="240" w:lineRule="atLeast"/>
              <w:ind w:right="-86"/>
              <w:jc w:val="center"/>
              <w:rPr>
                <w:rFonts w:ascii="Arial" w:hAnsi="Arial" w:cs="Arial"/>
                <w:sz w:val="16"/>
                <w:szCs w:val="16"/>
              </w:rPr>
            </w:pPr>
            <w:r>
              <w:rPr>
                <w:rFonts w:ascii="Arial" w:hAnsi="Arial" w:cs="Arial"/>
                <w:sz w:val="16"/>
                <w:szCs w:val="16"/>
              </w:rPr>
              <w:t>(0.11)</w:t>
            </w:r>
          </w:p>
        </w:tc>
        <w:tc>
          <w:tcPr>
            <w:tcW w:w="1175" w:type="dxa"/>
            <w:tcBorders>
              <w:left w:val="single" w:sz="4" w:space="0" w:color="auto"/>
            </w:tcBorders>
            <w:vAlign w:val="center"/>
          </w:tcPr>
          <w:p w14:paraId="1051FF60" w14:textId="29EAE1C8" w:rsidR="002069A0" w:rsidRPr="00CB2281" w:rsidRDefault="002069A0" w:rsidP="002069A0">
            <w:pPr>
              <w:tabs>
                <w:tab w:val="decimal" w:pos="702"/>
              </w:tabs>
              <w:ind w:left="-108"/>
              <w:rPr>
                <w:rFonts w:ascii="Arial" w:hAnsi="Arial" w:cs="Arial"/>
                <w:color w:val="000000"/>
                <w:sz w:val="16"/>
                <w:szCs w:val="16"/>
              </w:rPr>
            </w:pPr>
            <w:r w:rsidRPr="00B737B0">
              <w:rPr>
                <w:rFonts w:ascii="Arial" w:hAnsi="Arial" w:cs="Arial"/>
                <w:sz w:val="16"/>
                <w:szCs w:val="16"/>
              </w:rPr>
              <w:t>(112,047)</w:t>
            </w:r>
          </w:p>
        </w:tc>
        <w:tc>
          <w:tcPr>
            <w:tcW w:w="900" w:type="dxa"/>
            <w:vAlign w:val="bottom"/>
          </w:tcPr>
          <w:p w14:paraId="34BEB7EE" w14:textId="32E47AE4" w:rsidR="002069A0" w:rsidRPr="00CB2281" w:rsidRDefault="002069A0" w:rsidP="002069A0">
            <w:pPr>
              <w:widowControl w:val="0"/>
              <w:tabs>
                <w:tab w:val="decimal" w:pos="432"/>
              </w:tabs>
              <w:spacing w:line="240" w:lineRule="atLeast"/>
              <w:ind w:right="-86"/>
              <w:jc w:val="center"/>
              <w:rPr>
                <w:rFonts w:ascii="Arial" w:hAnsi="Arial" w:cs="Arial"/>
                <w:color w:val="000000"/>
                <w:sz w:val="16"/>
                <w:szCs w:val="16"/>
              </w:rPr>
            </w:pPr>
            <w:r w:rsidRPr="00B737B0">
              <w:rPr>
                <w:rFonts w:ascii="Arial" w:hAnsi="Arial" w:cs="Arial"/>
                <w:sz w:val="16"/>
                <w:szCs w:val="16"/>
              </w:rPr>
              <w:t>(0.37)</w:t>
            </w:r>
          </w:p>
        </w:tc>
        <w:tc>
          <w:tcPr>
            <w:tcW w:w="1080" w:type="dxa"/>
            <w:tcBorders>
              <w:left w:val="single" w:sz="4" w:space="0" w:color="auto"/>
            </w:tcBorders>
            <w:vAlign w:val="center"/>
          </w:tcPr>
          <w:p w14:paraId="13A2E5D4" w14:textId="4E5A6E48" w:rsidR="002069A0" w:rsidRPr="00B737B0" w:rsidRDefault="0053546C" w:rsidP="002069A0">
            <w:pPr>
              <w:tabs>
                <w:tab w:val="decimal" w:pos="702"/>
              </w:tabs>
              <w:ind w:left="-108"/>
              <w:rPr>
                <w:rFonts w:ascii="Arial" w:hAnsi="Arial" w:cs="Arial"/>
                <w:sz w:val="16"/>
                <w:szCs w:val="16"/>
              </w:rPr>
            </w:pPr>
            <w:r>
              <w:rPr>
                <w:rFonts w:ascii="Arial" w:hAnsi="Arial" w:cs="Arial"/>
                <w:sz w:val="16"/>
                <w:szCs w:val="16"/>
              </w:rPr>
              <w:t>(377,159)</w:t>
            </w:r>
          </w:p>
        </w:tc>
        <w:tc>
          <w:tcPr>
            <w:tcW w:w="810" w:type="dxa"/>
            <w:tcBorders>
              <w:right w:val="single" w:sz="4" w:space="0" w:color="auto"/>
            </w:tcBorders>
            <w:vAlign w:val="bottom"/>
          </w:tcPr>
          <w:p w14:paraId="6B57AA9D" w14:textId="63B7C3E6" w:rsidR="0053546C" w:rsidRPr="00B737B0" w:rsidRDefault="0053546C" w:rsidP="0053546C">
            <w:pPr>
              <w:widowControl w:val="0"/>
              <w:tabs>
                <w:tab w:val="decimal" w:pos="432"/>
              </w:tabs>
              <w:spacing w:line="240" w:lineRule="atLeast"/>
              <w:ind w:right="-86"/>
              <w:rPr>
                <w:rFonts w:ascii="Arial" w:hAnsi="Arial" w:cs="Arial"/>
                <w:sz w:val="16"/>
                <w:szCs w:val="16"/>
              </w:rPr>
            </w:pPr>
            <w:r>
              <w:rPr>
                <w:rFonts w:ascii="Arial" w:hAnsi="Arial" w:cs="Arial"/>
                <w:sz w:val="16"/>
                <w:szCs w:val="16"/>
              </w:rPr>
              <w:t>(0.21)</w:t>
            </w:r>
          </w:p>
        </w:tc>
        <w:tc>
          <w:tcPr>
            <w:tcW w:w="1062" w:type="dxa"/>
            <w:tcBorders>
              <w:left w:val="single" w:sz="4" w:space="0" w:color="auto"/>
            </w:tcBorders>
            <w:vAlign w:val="center"/>
          </w:tcPr>
          <w:p w14:paraId="1D393682" w14:textId="6C455C9F" w:rsidR="002069A0" w:rsidRPr="00CB2281" w:rsidRDefault="002069A0" w:rsidP="002069A0">
            <w:pPr>
              <w:tabs>
                <w:tab w:val="decimal" w:pos="702"/>
              </w:tabs>
              <w:ind w:left="-108"/>
              <w:rPr>
                <w:rFonts w:ascii="Arial" w:hAnsi="Arial" w:cs="Arial"/>
                <w:color w:val="000000"/>
                <w:sz w:val="16"/>
                <w:szCs w:val="16"/>
              </w:rPr>
            </w:pPr>
            <w:r w:rsidRPr="00B737B0">
              <w:rPr>
                <w:rFonts w:ascii="Arial" w:hAnsi="Arial" w:cs="Arial"/>
                <w:sz w:val="16"/>
                <w:szCs w:val="16"/>
              </w:rPr>
              <w:t>(421,356)</w:t>
            </w:r>
          </w:p>
        </w:tc>
        <w:tc>
          <w:tcPr>
            <w:tcW w:w="851" w:type="dxa"/>
            <w:tcBorders>
              <w:right w:val="single" w:sz="4" w:space="0" w:color="auto"/>
            </w:tcBorders>
            <w:vAlign w:val="bottom"/>
          </w:tcPr>
          <w:p w14:paraId="36ECDB3D" w14:textId="3BFF42BD" w:rsidR="002069A0" w:rsidRPr="00CB2281" w:rsidRDefault="002069A0" w:rsidP="002069A0">
            <w:pPr>
              <w:widowControl w:val="0"/>
              <w:tabs>
                <w:tab w:val="decimal" w:pos="432"/>
              </w:tabs>
              <w:spacing w:line="240" w:lineRule="atLeast"/>
              <w:ind w:right="-86"/>
              <w:jc w:val="center"/>
              <w:rPr>
                <w:rFonts w:ascii="Arial" w:eastAsia="Arial" w:hAnsi="Arial" w:cs="Arial"/>
                <w:color w:val="000000"/>
                <w:sz w:val="16"/>
                <w:szCs w:val="16"/>
              </w:rPr>
            </w:pPr>
            <w:r w:rsidRPr="00B737B0">
              <w:rPr>
                <w:rFonts w:ascii="Arial" w:hAnsi="Arial" w:cs="Arial"/>
                <w:sz w:val="16"/>
                <w:szCs w:val="16"/>
              </w:rPr>
              <w:t>(0.62)</w:t>
            </w:r>
          </w:p>
        </w:tc>
      </w:tr>
      <w:tr w:rsidR="002069A0" w:rsidRPr="00CB2281" w14:paraId="1809AF37" w14:textId="77777777" w:rsidTr="0053546C">
        <w:tblPrEx>
          <w:tblLook w:val="01E0" w:firstRow="1" w:lastRow="1" w:firstColumn="1" w:lastColumn="1" w:noHBand="0" w:noVBand="0"/>
        </w:tblPrEx>
        <w:tc>
          <w:tcPr>
            <w:tcW w:w="2425" w:type="dxa"/>
            <w:tcBorders>
              <w:left w:val="single" w:sz="4" w:space="0" w:color="auto"/>
              <w:right w:val="single" w:sz="4" w:space="0" w:color="auto"/>
            </w:tcBorders>
            <w:vAlign w:val="bottom"/>
          </w:tcPr>
          <w:p w14:paraId="188A68FE" w14:textId="77777777" w:rsidR="002069A0" w:rsidRPr="00CB2281" w:rsidRDefault="002069A0" w:rsidP="002069A0">
            <w:pPr>
              <w:rPr>
                <w:rFonts w:ascii="Arial" w:hAnsi="Arial" w:cs="Arial"/>
                <w:sz w:val="16"/>
                <w:szCs w:val="16"/>
                <w:lang w:val="en-CA"/>
              </w:rPr>
            </w:pPr>
            <w:r w:rsidRPr="00CB2281">
              <w:rPr>
                <w:rFonts w:ascii="Arial" w:hAnsi="Arial" w:cs="Arial"/>
                <w:sz w:val="16"/>
                <w:szCs w:val="16"/>
                <w:lang w:val="en-CA"/>
              </w:rPr>
              <w:t>Royalties and turnover tax ($)</w:t>
            </w:r>
          </w:p>
        </w:tc>
        <w:tc>
          <w:tcPr>
            <w:tcW w:w="1114" w:type="dxa"/>
            <w:tcBorders>
              <w:left w:val="single" w:sz="4" w:space="0" w:color="auto"/>
            </w:tcBorders>
            <w:vAlign w:val="center"/>
          </w:tcPr>
          <w:p w14:paraId="10EAA275" w14:textId="590ED93C" w:rsidR="002069A0" w:rsidRPr="00B737B0" w:rsidRDefault="0053546C" w:rsidP="002069A0">
            <w:pPr>
              <w:tabs>
                <w:tab w:val="decimal" w:pos="702"/>
              </w:tabs>
              <w:ind w:left="-108"/>
              <w:rPr>
                <w:rFonts w:ascii="Arial" w:hAnsi="Arial" w:cs="Arial"/>
                <w:sz w:val="16"/>
                <w:szCs w:val="16"/>
              </w:rPr>
            </w:pPr>
            <w:r>
              <w:rPr>
                <w:rFonts w:ascii="Arial" w:hAnsi="Arial" w:cs="Arial"/>
                <w:sz w:val="16"/>
                <w:szCs w:val="16"/>
              </w:rPr>
              <w:t>(6,498,250)</w:t>
            </w:r>
          </w:p>
        </w:tc>
        <w:tc>
          <w:tcPr>
            <w:tcW w:w="810" w:type="dxa"/>
            <w:vAlign w:val="bottom"/>
          </w:tcPr>
          <w:p w14:paraId="14670F3D" w14:textId="6E85C7B8" w:rsidR="002069A0" w:rsidRPr="00B737B0" w:rsidRDefault="0053546C" w:rsidP="002069A0">
            <w:pPr>
              <w:widowControl w:val="0"/>
              <w:tabs>
                <w:tab w:val="decimal" w:pos="432"/>
              </w:tabs>
              <w:spacing w:line="240" w:lineRule="atLeast"/>
              <w:ind w:right="-86"/>
              <w:jc w:val="center"/>
              <w:rPr>
                <w:rFonts w:ascii="Arial" w:hAnsi="Arial" w:cs="Arial"/>
                <w:sz w:val="16"/>
                <w:szCs w:val="16"/>
              </w:rPr>
            </w:pPr>
            <w:r>
              <w:rPr>
                <w:rFonts w:ascii="Arial" w:hAnsi="Arial" w:cs="Arial"/>
                <w:sz w:val="16"/>
                <w:szCs w:val="16"/>
              </w:rPr>
              <w:t>(10.21)</w:t>
            </w:r>
          </w:p>
        </w:tc>
        <w:tc>
          <w:tcPr>
            <w:tcW w:w="1175" w:type="dxa"/>
            <w:tcBorders>
              <w:left w:val="single" w:sz="4" w:space="0" w:color="auto"/>
            </w:tcBorders>
            <w:vAlign w:val="center"/>
          </w:tcPr>
          <w:p w14:paraId="50C05B7E" w14:textId="024B5061" w:rsidR="002069A0" w:rsidRPr="00CB2281" w:rsidRDefault="002069A0" w:rsidP="002069A0">
            <w:pPr>
              <w:tabs>
                <w:tab w:val="decimal" w:pos="702"/>
              </w:tabs>
              <w:ind w:left="-108"/>
              <w:rPr>
                <w:rFonts w:ascii="Arial" w:hAnsi="Arial" w:cs="Arial"/>
                <w:color w:val="000000"/>
                <w:sz w:val="16"/>
                <w:szCs w:val="16"/>
              </w:rPr>
            </w:pPr>
            <w:r w:rsidRPr="00B737B0">
              <w:rPr>
                <w:rFonts w:ascii="Arial" w:hAnsi="Arial" w:cs="Arial"/>
                <w:sz w:val="16"/>
                <w:szCs w:val="16"/>
              </w:rPr>
              <w:t>(3,430,729)</w:t>
            </w:r>
          </w:p>
        </w:tc>
        <w:tc>
          <w:tcPr>
            <w:tcW w:w="900" w:type="dxa"/>
            <w:vAlign w:val="bottom"/>
          </w:tcPr>
          <w:p w14:paraId="7E82E3C9" w14:textId="1E573AA9" w:rsidR="002069A0" w:rsidRPr="00CB2281" w:rsidRDefault="002069A0" w:rsidP="002069A0">
            <w:pPr>
              <w:widowControl w:val="0"/>
              <w:tabs>
                <w:tab w:val="decimal" w:pos="432"/>
              </w:tabs>
              <w:spacing w:line="240" w:lineRule="atLeast"/>
              <w:ind w:right="-86"/>
              <w:jc w:val="center"/>
              <w:rPr>
                <w:rFonts w:ascii="Arial" w:hAnsi="Arial" w:cs="Arial"/>
                <w:color w:val="000000"/>
                <w:sz w:val="16"/>
                <w:szCs w:val="16"/>
              </w:rPr>
            </w:pPr>
            <w:r w:rsidRPr="00B737B0">
              <w:rPr>
                <w:rFonts w:ascii="Arial" w:hAnsi="Arial" w:cs="Arial"/>
                <w:sz w:val="16"/>
                <w:szCs w:val="16"/>
              </w:rPr>
              <w:t>(11.18)</w:t>
            </w:r>
          </w:p>
        </w:tc>
        <w:tc>
          <w:tcPr>
            <w:tcW w:w="1080" w:type="dxa"/>
            <w:tcBorders>
              <w:left w:val="single" w:sz="4" w:space="0" w:color="auto"/>
            </w:tcBorders>
            <w:vAlign w:val="center"/>
          </w:tcPr>
          <w:p w14:paraId="7E698F40" w14:textId="585CA50D" w:rsidR="002069A0" w:rsidRPr="00B737B0" w:rsidRDefault="0053546C" w:rsidP="002069A0">
            <w:pPr>
              <w:tabs>
                <w:tab w:val="decimal" w:pos="702"/>
              </w:tabs>
              <w:ind w:left="-108"/>
              <w:rPr>
                <w:rFonts w:ascii="Arial" w:hAnsi="Arial" w:cs="Arial"/>
                <w:sz w:val="16"/>
                <w:szCs w:val="16"/>
              </w:rPr>
            </w:pPr>
            <w:r>
              <w:rPr>
                <w:rFonts w:ascii="Arial" w:hAnsi="Arial" w:cs="Arial"/>
                <w:sz w:val="16"/>
                <w:szCs w:val="16"/>
              </w:rPr>
              <w:t>(18,480,469)</w:t>
            </w:r>
          </w:p>
        </w:tc>
        <w:tc>
          <w:tcPr>
            <w:tcW w:w="810" w:type="dxa"/>
            <w:tcBorders>
              <w:right w:val="single" w:sz="4" w:space="0" w:color="auto"/>
            </w:tcBorders>
            <w:vAlign w:val="bottom"/>
          </w:tcPr>
          <w:p w14:paraId="32A9868F" w14:textId="1B394E66" w:rsidR="002069A0" w:rsidRPr="00B737B0" w:rsidRDefault="0053546C" w:rsidP="002069A0">
            <w:pPr>
              <w:widowControl w:val="0"/>
              <w:tabs>
                <w:tab w:val="decimal" w:pos="432"/>
              </w:tabs>
              <w:spacing w:line="240" w:lineRule="atLeast"/>
              <w:ind w:right="-86"/>
              <w:jc w:val="center"/>
              <w:rPr>
                <w:rFonts w:ascii="Arial" w:hAnsi="Arial" w:cs="Arial"/>
                <w:sz w:val="16"/>
                <w:szCs w:val="16"/>
              </w:rPr>
            </w:pPr>
            <w:r>
              <w:rPr>
                <w:rFonts w:ascii="Arial" w:hAnsi="Arial" w:cs="Arial"/>
                <w:sz w:val="16"/>
                <w:szCs w:val="16"/>
              </w:rPr>
              <w:t>(10.39)</w:t>
            </w:r>
          </w:p>
        </w:tc>
        <w:tc>
          <w:tcPr>
            <w:tcW w:w="1062" w:type="dxa"/>
            <w:tcBorders>
              <w:left w:val="single" w:sz="4" w:space="0" w:color="auto"/>
            </w:tcBorders>
            <w:vAlign w:val="center"/>
          </w:tcPr>
          <w:p w14:paraId="2C9BDC9D" w14:textId="4AB0139E" w:rsidR="002069A0" w:rsidRPr="00CB2281" w:rsidRDefault="002069A0" w:rsidP="002069A0">
            <w:pPr>
              <w:tabs>
                <w:tab w:val="decimal" w:pos="702"/>
              </w:tabs>
              <w:ind w:left="-108"/>
              <w:rPr>
                <w:rFonts w:ascii="Arial" w:hAnsi="Arial" w:cs="Arial"/>
                <w:color w:val="000000"/>
                <w:sz w:val="16"/>
                <w:szCs w:val="16"/>
              </w:rPr>
            </w:pPr>
            <w:r w:rsidRPr="00B737B0">
              <w:rPr>
                <w:rFonts w:ascii="Arial" w:hAnsi="Arial" w:cs="Arial"/>
                <w:sz w:val="16"/>
                <w:szCs w:val="16"/>
              </w:rPr>
              <w:t>(6,475,746)</w:t>
            </w:r>
          </w:p>
        </w:tc>
        <w:tc>
          <w:tcPr>
            <w:tcW w:w="851" w:type="dxa"/>
            <w:tcBorders>
              <w:right w:val="single" w:sz="4" w:space="0" w:color="auto"/>
            </w:tcBorders>
            <w:vAlign w:val="bottom"/>
          </w:tcPr>
          <w:p w14:paraId="726B4381" w14:textId="5FED6EC3" w:rsidR="002069A0" w:rsidRPr="00CB2281" w:rsidRDefault="002069A0" w:rsidP="002069A0">
            <w:pPr>
              <w:widowControl w:val="0"/>
              <w:tabs>
                <w:tab w:val="decimal" w:pos="432"/>
              </w:tabs>
              <w:spacing w:line="240" w:lineRule="atLeast"/>
              <w:ind w:right="-86"/>
              <w:jc w:val="center"/>
              <w:rPr>
                <w:rFonts w:ascii="Arial" w:eastAsia="Arial" w:hAnsi="Arial" w:cs="Arial"/>
                <w:color w:val="000000"/>
                <w:sz w:val="16"/>
                <w:szCs w:val="16"/>
              </w:rPr>
            </w:pPr>
            <w:r w:rsidRPr="00B737B0">
              <w:rPr>
                <w:rFonts w:ascii="Arial" w:hAnsi="Arial" w:cs="Arial"/>
                <w:sz w:val="16"/>
                <w:szCs w:val="16"/>
              </w:rPr>
              <w:t>(9.57)</w:t>
            </w:r>
          </w:p>
        </w:tc>
      </w:tr>
      <w:tr w:rsidR="002069A0" w:rsidRPr="00CB2281" w14:paraId="5B1BED5B" w14:textId="77777777" w:rsidTr="0053546C">
        <w:tblPrEx>
          <w:tblLook w:val="01E0" w:firstRow="1" w:lastRow="1" w:firstColumn="1" w:lastColumn="1" w:noHBand="0" w:noVBand="0"/>
        </w:tblPrEx>
        <w:tc>
          <w:tcPr>
            <w:tcW w:w="2425" w:type="dxa"/>
            <w:tcBorders>
              <w:left w:val="single" w:sz="4" w:space="0" w:color="auto"/>
              <w:bottom w:val="single" w:sz="4" w:space="0" w:color="auto"/>
              <w:right w:val="single" w:sz="4" w:space="0" w:color="auto"/>
            </w:tcBorders>
            <w:vAlign w:val="bottom"/>
          </w:tcPr>
          <w:p w14:paraId="4693947E" w14:textId="77777777" w:rsidR="002069A0" w:rsidRPr="00CB2281" w:rsidRDefault="002069A0" w:rsidP="002069A0">
            <w:pPr>
              <w:rPr>
                <w:rFonts w:ascii="Arial" w:hAnsi="Arial" w:cs="Arial"/>
                <w:sz w:val="16"/>
                <w:szCs w:val="16"/>
                <w:lang w:val="en-CA"/>
              </w:rPr>
            </w:pPr>
            <w:r w:rsidRPr="00CB2281">
              <w:rPr>
                <w:rFonts w:ascii="Arial" w:hAnsi="Arial" w:cs="Arial"/>
                <w:sz w:val="16"/>
                <w:szCs w:val="16"/>
                <w:lang w:val="en-CA"/>
              </w:rPr>
              <w:t>Operating costs ($)</w:t>
            </w:r>
          </w:p>
        </w:tc>
        <w:tc>
          <w:tcPr>
            <w:tcW w:w="1114" w:type="dxa"/>
            <w:tcBorders>
              <w:left w:val="single" w:sz="4" w:space="0" w:color="auto"/>
              <w:bottom w:val="single" w:sz="4" w:space="0" w:color="auto"/>
            </w:tcBorders>
            <w:vAlign w:val="center"/>
          </w:tcPr>
          <w:p w14:paraId="26B47280" w14:textId="16A7EDE7" w:rsidR="002069A0" w:rsidRPr="00B737B0" w:rsidRDefault="0053546C" w:rsidP="002069A0">
            <w:pPr>
              <w:tabs>
                <w:tab w:val="decimal" w:pos="702"/>
              </w:tabs>
              <w:ind w:left="-108"/>
              <w:rPr>
                <w:rFonts w:ascii="Arial" w:hAnsi="Arial" w:cs="Arial"/>
                <w:sz w:val="16"/>
                <w:szCs w:val="16"/>
              </w:rPr>
            </w:pPr>
            <w:r>
              <w:rPr>
                <w:rFonts w:ascii="Arial" w:hAnsi="Arial" w:cs="Arial"/>
                <w:sz w:val="16"/>
                <w:szCs w:val="16"/>
              </w:rPr>
              <w:t>(24,240,452)</w:t>
            </w:r>
          </w:p>
        </w:tc>
        <w:tc>
          <w:tcPr>
            <w:tcW w:w="810" w:type="dxa"/>
            <w:tcBorders>
              <w:bottom w:val="single" w:sz="4" w:space="0" w:color="000000"/>
            </w:tcBorders>
            <w:vAlign w:val="bottom"/>
          </w:tcPr>
          <w:p w14:paraId="73997256" w14:textId="61C8A0D8" w:rsidR="002069A0" w:rsidRPr="00B737B0" w:rsidRDefault="0053546C" w:rsidP="002069A0">
            <w:pPr>
              <w:widowControl w:val="0"/>
              <w:tabs>
                <w:tab w:val="decimal" w:pos="432"/>
              </w:tabs>
              <w:spacing w:line="240" w:lineRule="atLeast"/>
              <w:ind w:right="-86"/>
              <w:jc w:val="center"/>
              <w:rPr>
                <w:rFonts w:ascii="Arial" w:hAnsi="Arial" w:cs="Arial"/>
                <w:sz w:val="16"/>
                <w:szCs w:val="16"/>
              </w:rPr>
            </w:pPr>
            <w:r>
              <w:rPr>
                <w:rFonts w:ascii="Arial" w:hAnsi="Arial" w:cs="Arial"/>
                <w:sz w:val="16"/>
                <w:szCs w:val="16"/>
              </w:rPr>
              <w:t>(38.09)</w:t>
            </w:r>
          </w:p>
        </w:tc>
        <w:tc>
          <w:tcPr>
            <w:tcW w:w="1175" w:type="dxa"/>
            <w:tcBorders>
              <w:left w:val="single" w:sz="4" w:space="0" w:color="auto"/>
              <w:bottom w:val="single" w:sz="4" w:space="0" w:color="auto"/>
            </w:tcBorders>
            <w:vAlign w:val="center"/>
          </w:tcPr>
          <w:p w14:paraId="60C44547" w14:textId="13721953" w:rsidR="002069A0" w:rsidRPr="00CB2281" w:rsidRDefault="002069A0" w:rsidP="002069A0">
            <w:pPr>
              <w:tabs>
                <w:tab w:val="decimal" w:pos="702"/>
              </w:tabs>
              <w:ind w:left="-108"/>
              <w:rPr>
                <w:rFonts w:ascii="Arial" w:hAnsi="Arial" w:cs="Arial"/>
                <w:color w:val="000000"/>
                <w:sz w:val="16"/>
                <w:szCs w:val="16"/>
              </w:rPr>
            </w:pPr>
            <w:r w:rsidRPr="00B737B0">
              <w:rPr>
                <w:rFonts w:ascii="Arial" w:hAnsi="Arial" w:cs="Arial"/>
                <w:sz w:val="16"/>
                <w:szCs w:val="16"/>
              </w:rPr>
              <w:t>(14,822,678)</w:t>
            </w:r>
          </w:p>
        </w:tc>
        <w:tc>
          <w:tcPr>
            <w:tcW w:w="900" w:type="dxa"/>
            <w:tcBorders>
              <w:bottom w:val="single" w:sz="4" w:space="0" w:color="000000"/>
            </w:tcBorders>
            <w:vAlign w:val="bottom"/>
          </w:tcPr>
          <w:p w14:paraId="64A28E55" w14:textId="1B424AEA" w:rsidR="002069A0" w:rsidRPr="00CB2281" w:rsidRDefault="002069A0" w:rsidP="002069A0">
            <w:pPr>
              <w:widowControl w:val="0"/>
              <w:tabs>
                <w:tab w:val="decimal" w:pos="432"/>
              </w:tabs>
              <w:spacing w:line="240" w:lineRule="atLeast"/>
              <w:ind w:right="-86"/>
              <w:jc w:val="center"/>
              <w:rPr>
                <w:rFonts w:ascii="Arial" w:hAnsi="Arial" w:cs="Arial"/>
                <w:color w:val="000000"/>
                <w:sz w:val="16"/>
                <w:szCs w:val="16"/>
              </w:rPr>
            </w:pPr>
            <w:r w:rsidRPr="00B737B0">
              <w:rPr>
                <w:rFonts w:ascii="Arial" w:hAnsi="Arial" w:cs="Arial"/>
                <w:sz w:val="16"/>
                <w:szCs w:val="16"/>
              </w:rPr>
              <w:t>(48.31)</w:t>
            </w:r>
          </w:p>
        </w:tc>
        <w:tc>
          <w:tcPr>
            <w:tcW w:w="1080" w:type="dxa"/>
            <w:tcBorders>
              <w:left w:val="single" w:sz="4" w:space="0" w:color="auto"/>
              <w:bottom w:val="single" w:sz="4" w:space="0" w:color="auto"/>
            </w:tcBorders>
            <w:vAlign w:val="center"/>
          </w:tcPr>
          <w:p w14:paraId="4B3B2F0A" w14:textId="0CF468AC" w:rsidR="002069A0" w:rsidRPr="00B737B0" w:rsidRDefault="0053546C" w:rsidP="002069A0">
            <w:pPr>
              <w:tabs>
                <w:tab w:val="decimal" w:pos="702"/>
              </w:tabs>
              <w:ind w:left="-108"/>
              <w:rPr>
                <w:rFonts w:ascii="Arial" w:hAnsi="Arial" w:cs="Arial"/>
                <w:sz w:val="16"/>
                <w:szCs w:val="16"/>
              </w:rPr>
            </w:pPr>
            <w:r>
              <w:rPr>
                <w:rFonts w:ascii="Arial" w:hAnsi="Arial" w:cs="Arial"/>
                <w:sz w:val="16"/>
                <w:szCs w:val="16"/>
              </w:rPr>
              <w:t>(83,734,576)</w:t>
            </w:r>
          </w:p>
        </w:tc>
        <w:tc>
          <w:tcPr>
            <w:tcW w:w="810" w:type="dxa"/>
            <w:tcBorders>
              <w:bottom w:val="single" w:sz="4" w:space="0" w:color="auto"/>
              <w:right w:val="single" w:sz="4" w:space="0" w:color="auto"/>
            </w:tcBorders>
            <w:vAlign w:val="bottom"/>
          </w:tcPr>
          <w:p w14:paraId="38887C82" w14:textId="3F477CF4" w:rsidR="002069A0" w:rsidRPr="00B737B0" w:rsidRDefault="0053546C" w:rsidP="002069A0">
            <w:pPr>
              <w:widowControl w:val="0"/>
              <w:tabs>
                <w:tab w:val="decimal" w:pos="432"/>
              </w:tabs>
              <w:spacing w:line="240" w:lineRule="atLeast"/>
              <w:ind w:right="-86"/>
              <w:jc w:val="center"/>
              <w:rPr>
                <w:rFonts w:ascii="Arial" w:hAnsi="Arial" w:cs="Arial"/>
                <w:sz w:val="16"/>
                <w:szCs w:val="16"/>
              </w:rPr>
            </w:pPr>
            <w:r>
              <w:rPr>
                <w:rFonts w:ascii="Arial" w:hAnsi="Arial" w:cs="Arial"/>
                <w:sz w:val="16"/>
                <w:szCs w:val="16"/>
              </w:rPr>
              <w:t>(47.10)</w:t>
            </w:r>
          </w:p>
        </w:tc>
        <w:tc>
          <w:tcPr>
            <w:tcW w:w="1062" w:type="dxa"/>
            <w:tcBorders>
              <w:left w:val="single" w:sz="4" w:space="0" w:color="auto"/>
              <w:bottom w:val="single" w:sz="4" w:space="0" w:color="auto"/>
            </w:tcBorders>
            <w:vAlign w:val="center"/>
          </w:tcPr>
          <w:p w14:paraId="671D53F3" w14:textId="32BF0AEE" w:rsidR="002069A0" w:rsidRPr="00CB2281" w:rsidRDefault="002069A0" w:rsidP="002069A0">
            <w:pPr>
              <w:tabs>
                <w:tab w:val="decimal" w:pos="702"/>
              </w:tabs>
              <w:ind w:left="-108"/>
              <w:rPr>
                <w:rFonts w:ascii="Arial" w:hAnsi="Arial" w:cs="Arial"/>
                <w:color w:val="000000"/>
                <w:sz w:val="16"/>
                <w:szCs w:val="16"/>
              </w:rPr>
            </w:pPr>
            <w:r w:rsidRPr="00B737B0">
              <w:rPr>
                <w:rFonts w:ascii="Arial" w:hAnsi="Arial" w:cs="Arial"/>
                <w:sz w:val="16"/>
                <w:szCs w:val="16"/>
              </w:rPr>
              <w:t>(28,941,451)</w:t>
            </w:r>
          </w:p>
        </w:tc>
        <w:tc>
          <w:tcPr>
            <w:tcW w:w="851" w:type="dxa"/>
            <w:tcBorders>
              <w:bottom w:val="single" w:sz="4" w:space="0" w:color="auto"/>
              <w:right w:val="single" w:sz="4" w:space="0" w:color="auto"/>
            </w:tcBorders>
            <w:vAlign w:val="bottom"/>
          </w:tcPr>
          <w:p w14:paraId="6B2A917A" w14:textId="66130900" w:rsidR="002069A0" w:rsidRPr="00CB2281" w:rsidRDefault="002069A0" w:rsidP="002069A0">
            <w:pPr>
              <w:widowControl w:val="0"/>
              <w:tabs>
                <w:tab w:val="decimal" w:pos="432"/>
              </w:tabs>
              <w:spacing w:line="240" w:lineRule="atLeast"/>
              <w:ind w:right="-86"/>
              <w:jc w:val="center"/>
              <w:rPr>
                <w:rFonts w:ascii="Arial" w:eastAsia="Arial" w:hAnsi="Arial" w:cs="Arial"/>
                <w:color w:val="000000"/>
                <w:sz w:val="16"/>
                <w:szCs w:val="16"/>
              </w:rPr>
            </w:pPr>
            <w:r w:rsidRPr="00B737B0">
              <w:rPr>
                <w:rFonts w:ascii="Arial" w:hAnsi="Arial" w:cs="Arial"/>
                <w:sz w:val="16"/>
                <w:szCs w:val="16"/>
              </w:rPr>
              <w:t>(42.75)</w:t>
            </w:r>
          </w:p>
        </w:tc>
      </w:tr>
      <w:tr w:rsidR="002069A0" w:rsidRPr="00CB2281" w14:paraId="7434BB72" w14:textId="77777777" w:rsidTr="0053546C">
        <w:tblPrEx>
          <w:tblLook w:val="01E0" w:firstRow="1" w:lastRow="1" w:firstColumn="1" w:lastColumn="1" w:noHBand="0" w:noVBand="0"/>
        </w:tblPrEx>
        <w:trPr>
          <w:trHeight w:val="287"/>
        </w:trPr>
        <w:tc>
          <w:tcPr>
            <w:tcW w:w="2425" w:type="dxa"/>
            <w:tcBorders>
              <w:top w:val="single" w:sz="4" w:space="0" w:color="auto"/>
              <w:left w:val="single" w:sz="4" w:space="0" w:color="auto"/>
              <w:bottom w:val="single" w:sz="12" w:space="0" w:color="auto"/>
              <w:right w:val="single" w:sz="4" w:space="0" w:color="auto"/>
            </w:tcBorders>
            <w:vAlign w:val="center"/>
          </w:tcPr>
          <w:p w14:paraId="596D9599" w14:textId="77777777" w:rsidR="002069A0" w:rsidRPr="00CB2281" w:rsidRDefault="002069A0" w:rsidP="002069A0">
            <w:pPr>
              <w:rPr>
                <w:rFonts w:ascii="Arial" w:hAnsi="Arial" w:cs="Arial"/>
                <w:sz w:val="16"/>
                <w:szCs w:val="16"/>
                <w:lang w:val="en-CA"/>
              </w:rPr>
            </w:pPr>
            <w:r w:rsidRPr="00CB2281">
              <w:rPr>
                <w:rFonts w:ascii="Arial" w:hAnsi="Arial" w:cs="Arial"/>
                <w:sz w:val="16"/>
                <w:szCs w:val="16"/>
                <w:lang w:val="en-CA"/>
              </w:rPr>
              <w:t xml:space="preserve">Operating netback </w:t>
            </w:r>
            <w:r w:rsidRPr="00CB2281">
              <w:rPr>
                <w:rFonts w:ascii="Arial" w:hAnsi="Arial" w:cs="Arial"/>
                <w:sz w:val="16"/>
                <w:szCs w:val="16"/>
                <w:vertAlign w:val="superscript"/>
                <w:lang w:val="en-CA"/>
              </w:rPr>
              <w:t>(1)</w:t>
            </w:r>
            <w:r w:rsidRPr="00CB2281">
              <w:rPr>
                <w:rFonts w:ascii="Arial" w:hAnsi="Arial" w:cs="Arial"/>
                <w:sz w:val="16"/>
                <w:szCs w:val="16"/>
                <w:lang w:val="en-CA"/>
              </w:rPr>
              <w:t xml:space="preserve"> ($)</w:t>
            </w:r>
          </w:p>
        </w:tc>
        <w:tc>
          <w:tcPr>
            <w:tcW w:w="1114" w:type="dxa"/>
            <w:tcBorders>
              <w:top w:val="single" w:sz="4" w:space="0" w:color="auto"/>
              <w:left w:val="single" w:sz="4" w:space="0" w:color="auto"/>
              <w:bottom w:val="single" w:sz="12" w:space="0" w:color="auto"/>
            </w:tcBorders>
            <w:vAlign w:val="center"/>
          </w:tcPr>
          <w:p w14:paraId="5C10EABE" w14:textId="6F4E6C58" w:rsidR="002069A0" w:rsidRPr="00B737B0" w:rsidRDefault="0053546C" w:rsidP="002069A0">
            <w:pPr>
              <w:tabs>
                <w:tab w:val="decimal" w:pos="702"/>
              </w:tabs>
              <w:ind w:left="-108"/>
              <w:rPr>
                <w:rFonts w:ascii="Arial" w:hAnsi="Arial" w:cs="Arial"/>
                <w:sz w:val="16"/>
                <w:szCs w:val="16"/>
              </w:rPr>
            </w:pPr>
            <w:r>
              <w:rPr>
                <w:rFonts w:ascii="Arial" w:hAnsi="Arial" w:cs="Arial"/>
                <w:sz w:val="16"/>
                <w:szCs w:val="16"/>
              </w:rPr>
              <w:t>3,757,444</w:t>
            </w:r>
          </w:p>
        </w:tc>
        <w:tc>
          <w:tcPr>
            <w:tcW w:w="810" w:type="dxa"/>
            <w:tcBorders>
              <w:top w:val="single" w:sz="4" w:space="0" w:color="000000"/>
              <w:bottom w:val="single" w:sz="12" w:space="0" w:color="000000"/>
            </w:tcBorders>
            <w:vAlign w:val="center"/>
          </w:tcPr>
          <w:p w14:paraId="100A64E6" w14:textId="63F40476" w:rsidR="002069A0" w:rsidRPr="00B737B0" w:rsidRDefault="0053546C" w:rsidP="002069A0">
            <w:pPr>
              <w:widowControl w:val="0"/>
              <w:tabs>
                <w:tab w:val="decimal" w:pos="432"/>
              </w:tabs>
              <w:spacing w:line="240" w:lineRule="atLeast"/>
              <w:ind w:right="-86"/>
              <w:jc w:val="center"/>
              <w:rPr>
                <w:rFonts w:ascii="Arial" w:hAnsi="Arial" w:cs="Arial"/>
                <w:sz w:val="16"/>
                <w:szCs w:val="16"/>
              </w:rPr>
            </w:pPr>
            <w:r>
              <w:rPr>
                <w:rFonts w:ascii="Arial" w:hAnsi="Arial" w:cs="Arial"/>
                <w:sz w:val="16"/>
                <w:szCs w:val="16"/>
              </w:rPr>
              <w:t>5.91</w:t>
            </w:r>
          </w:p>
        </w:tc>
        <w:tc>
          <w:tcPr>
            <w:tcW w:w="1175" w:type="dxa"/>
            <w:tcBorders>
              <w:top w:val="single" w:sz="4" w:space="0" w:color="auto"/>
              <w:left w:val="single" w:sz="4" w:space="0" w:color="auto"/>
              <w:bottom w:val="single" w:sz="12" w:space="0" w:color="auto"/>
            </w:tcBorders>
            <w:vAlign w:val="center"/>
          </w:tcPr>
          <w:p w14:paraId="79CD9847" w14:textId="5940AA9A" w:rsidR="002069A0" w:rsidRPr="00CB2281" w:rsidRDefault="002069A0" w:rsidP="002069A0">
            <w:pPr>
              <w:tabs>
                <w:tab w:val="decimal" w:pos="702"/>
              </w:tabs>
              <w:ind w:left="-108"/>
              <w:rPr>
                <w:rFonts w:ascii="Arial" w:hAnsi="Arial" w:cs="Arial"/>
                <w:color w:val="000000"/>
                <w:sz w:val="16"/>
                <w:szCs w:val="16"/>
              </w:rPr>
            </w:pPr>
            <w:r w:rsidRPr="00B737B0">
              <w:rPr>
                <w:rFonts w:ascii="Arial" w:hAnsi="Arial" w:cs="Arial"/>
                <w:sz w:val="16"/>
                <w:szCs w:val="16"/>
              </w:rPr>
              <w:t>1,215,495</w:t>
            </w:r>
          </w:p>
        </w:tc>
        <w:tc>
          <w:tcPr>
            <w:tcW w:w="900" w:type="dxa"/>
            <w:tcBorders>
              <w:top w:val="single" w:sz="4" w:space="0" w:color="000000"/>
              <w:bottom w:val="single" w:sz="12" w:space="0" w:color="000000"/>
            </w:tcBorders>
            <w:vAlign w:val="center"/>
          </w:tcPr>
          <w:p w14:paraId="5F57DBFE" w14:textId="20DDCD9C" w:rsidR="002069A0" w:rsidRPr="00CB2281" w:rsidRDefault="002069A0" w:rsidP="002069A0">
            <w:pPr>
              <w:widowControl w:val="0"/>
              <w:tabs>
                <w:tab w:val="decimal" w:pos="432"/>
              </w:tabs>
              <w:spacing w:line="240" w:lineRule="atLeast"/>
              <w:ind w:right="-86"/>
              <w:jc w:val="center"/>
              <w:rPr>
                <w:rFonts w:ascii="Arial" w:hAnsi="Arial" w:cs="Arial"/>
                <w:color w:val="000000"/>
                <w:sz w:val="16"/>
                <w:szCs w:val="16"/>
              </w:rPr>
            </w:pPr>
            <w:r w:rsidRPr="00B737B0">
              <w:rPr>
                <w:rFonts w:ascii="Arial" w:hAnsi="Arial" w:cs="Arial"/>
                <w:sz w:val="16"/>
                <w:szCs w:val="16"/>
              </w:rPr>
              <w:t>3.96</w:t>
            </w:r>
          </w:p>
        </w:tc>
        <w:tc>
          <w:tcPr>
            <w:tcW w:w="1080" w:type="dxa"/>
            <w:tcBorders>
              <w:top w:val="single" w:sz="4" w:space="0" w:color="auto"/>
              <w:left w:val="single" w:sz="4" w:space="0" w:color="auto"/>
              <w:bottom w:val="single" w:sz="12" w:space="0" w:color="auto"/>
            </w:tcBorders>
            <w:vAlign w:val="center"/>
          </w:tcPr>
          <w:p w14:paraId="489F9762" w14:textId="306995CA" w:rsidR="002069A0" w:rsidRPr="00B737B0" w:rsidRDefault="0053546C" w:rsidP="002069A0">
            <w:pPr>
              <w:tabs>
                <w:tab w:val="decimal" w:pos="702"/>
              </w:tabs>
              <w:ind w:left="-108"/>
              <w:rPr>
                <w:rFonts w:ascii="Arial" w:hAnsi="Arial" w:cs="Arial"/>
                <w:sz w:val="16"/>
                <w:szCs w:val="16"/>
              </w:rPr>
            </w:pPr>
            <w:r>
              <w:rPr>
                <w:rFonts w:ascii="Arial" w:hAnsi="Arial" w:cs="Arial"/>
                <w:sz w:val="16"/>
                <w:szCs w:val="16"/>
              </w:rPr>
              <w:t>(604,985)</w:t>
            </w:r>
          </w:p>
        </w:tc>
        <w:tc>
          <w:tcPr>
            <w:tcW w:w="810" w:type="dxa"/>
            <w:tcBorders>
              <w:top w:val="single" w:sz="4" w:space="0" w:color="auto"/>
              <w:bottom w:val="single" w:sz="12" w:space="0" w:color="auto"/>
              <w:right w:val="single" w:sz="4" w:space="0" w:color="auto"/>
            </w:tcBorders>
            <w:vAlign w:val="center"/>
          </w:tcPr>
          <w:p w14:paraId="2D7F6AF6" w14:textId="6AE9DBBA" w:rsidR="002069A0" w:rsidRPr="00B737B0" w:rsidRDefault="0053546C" w:rsidP="002069A0">
            <w:pPr>
              <w:widowControl w:val="0"/>
              <w:tabs>
                <w:tab w:val="decimal" w:pos="432"/>
              </w:tabs>
              <w:spacing w:line="240" w:lineRule="atLeast"/>
              <w:ind w:right="-86"/>
              <w:jc w:val="center"/>
              <w:rPr>
                <w:rFonts w:ascii="Arial" w:hAnsi="Arial" w:cs="Arial"/>
                <w:sz w:val="16"/>
                <w:szCs w:val="16"/>
              </w:rPr>
            </w:pPr>
            <w:r>
              <w:rPr>
                <w:rFonts w:ascii="Arial" w:hAnsi="Arial" w:cs="Arial"/>
                <w:sz w:val="16"/>
                <w:szCs w:val="16"/>
              </w:rPr>
              <w:t>(0.34)</w:t>
            </w:r>
          </w:p>
        </w:tc>
        <w:tc>
          <w:tcPr>
            <w:tcW w:w="1062" w:type="dxa"/>
            <w:tcBorders>
              <w:top w:val="single" w:sz="4" w:space="0" w:color="auto"/>
              <w:left w:val="single" w:sz="4" w:space="0" w:color="auto"/>
              <w:bottom w:val="single" w:sz="12" w:space="0" w:color="auto"/>
            </w:tcBorders>
            <w:vAlign w:val="center"/>
          </w:tcPr>
          <w:p w14:paraId="0C37297A" w14:textId="034D3C37" w:rsidR="002069A0" w:rsidRPr="00CB2281" w:rsidRDefault="002069A0" w:rsidP="002069A0">
            <w:pPr>
              <w:tabs>
                <w:tab w:val="decimal" w:pos="702"/>
              </w:tabs>
              <w:ind w:left="-108"/>
              <w:rPr>
                <w:rFonts w:ascii="Arial" w:hAnsi="Arial" w:cs="Arial"/>
                <w:color w:val="000000"/>
                <w:sz w:val="16"/>
                <w:szCs w:val="16"/>
              </w:rPr>
            </w:pPr>
            <w:r w:rsidRPr="00B737B0">
              <w:rPr>
                <w:rFonts w:ascii="Arial" w:hAnsi="Arial" w:cs="Arial"/>
                <w:sz w:val="16"/>
                <w:szCs w:val="16"/>
              </w:rPr>
              <w:t>988,605</w:t>
            </w:r>
          </w:p>
        </w:tc>
        <w:tc>
          <w:tcPr>
            <w:tcW w:w="851" w:type="dxa"/>
            <w:tcBorders>
              <w:top w:val="single" w:sz="4" w:space="0" w:color="auto"/>
              <w:bottom w:val="single" w:sz="12" w:space="0" w:color="auto"/>
              <w:right w:val="single" w:sz="4" w:space="0" w:color="auto"/>
            </w:tcBorders>
            <w:vAlign w:val="center"/>
          </w:tcPr>
          <w:p w14:paraId="3B3ED316" w14:textId="450BBD15" w:rsidR="002069A0" w:rsidRPr="00CB2281" w:rsidRDefault="002069A0" w:rsidP="002069A0">
            <w:pPr>
              <w:widowControl w:val="0"/>
              <w:tabs>
                <w:tab w:val="decimal" w:pos="432"/>
              </w:tabs>
              <w:spacing w:line="240" w:lineRule="atLeast"/>
              <w:ind w:right="-86"/>
              <w:jc w:val="center"/>
              <w:rPr>
                <w:rFonts w:ascii="Arial" w:eastAsia="Arial" w:hAnsi="Arial" w:cs="Arial"/>
                <w:color w:val="000000"/>
                <w:sz w:val="16"/>
                <w:szCs w:val="16"/>
              </w:rPr>
            </w:pPr>
            <w:r w:rsidRPr="00B737B0">
              <w:rPr>
                <w:rFonts w:ascii="Arial" w:hAnsi="Arial" w:cs="Arial"/>
                <w:sz w:val="16"/>
                <w:szCs w:val="16"/>
              </w:rPr>
              <w:t>1.46</w:t>
            </w:r>
          </w:p>
        </w:tc>
      </w:tr>
      <w:tr w:rsidR="002069A0" w:rsidRPr="00CB2281" w14:paraId="33AEEFA6" w14:textId="77777777" w:rsidTr="0053546C">
        <w:tblPrEx>
          <w:tblLook w:val="01E0" w:firstRow="1" w:lastRow="1" w:firstColumn="1" w:lastColumn="1" w:noHBand="0" w:noVBand="0"/>
        </w:tblPrEx>
        <w:trPr>
          <w:trHeight w:val="78"/>
        </w:trPr>
        <w:tc>
          <w:tcPr>
            <w:tcW w:w="2425" w:type="dxa"/>
            <w:tcBorders>
              <w:top w:val="single" w:sz="12" w:space="0" w:color="auto"/>
            </w:tcBorders>
            <w:vAlign w:val="bottom"/>
          </w:tcPr>
          <w:p w14:paraId="2607F70E" w14:textId="77777777" w:rsidR="002069A0" w:rsidRPr="00CB2281" w:rsidRDefault="002069A0" w:rsidP="002069A0">
            <w:pPr>
              <w:rPr>
                <w:rFonts w:ascii="Arial" w:hAnsi="Arial" w:cs="Arial"/>
                <w:sz w:val="16"/>
                <w:szCs w:val="16"/>
                <w:lang w:val="en-CA"/>
              </w:rPr>
            </w:pPr>
          </w:p>
        </w:tc>
        <w:tc>
          <w:tcPr>
            <w:tcW w:w="1114" w:type="dxa"/>
            <w:tcBorders>
              <w:top w:val="single" w:sz="12" w:space="0" w:color="auto"/>
            </w:tcBorders>
            <w:vAlign w:val="bottom"/>
          </w:tcPr>
          <w:p w14:paraId="1A9DAAA1" w14:textId="77777777" w:rsidR="002069A0" w:rsidRPr="00CB2281" w:rsidRDefault="002069A0" w:rsidP="002069A0">
            <w:pPr>
              <w:tabs>
                <w:tab w:val="decimal" w:pos="882"/>
              </w:tabs>
              <w:ind w:left="-108"/>
              <w:rPr>
                <w:rFonts w:ascii="Arial" w:hAnsi="Arial" w:cs="Arial"/>
                <w:color w:val="000000"/>
                <w:sz w:val="16"/>
                <w:szCs w:val="16"/>
              </w:rPr>
            </w:pPr>
          </w:p>
        </w:tc>
        <w:tc>
          <w:tcPr>
            <w:tcW w:w="810" w:type="dxa"/>
            <w:tcBorders>
              <w:top w:val="single" w:sz="12" w:space="0" w:color="auto"/>
            </w:tcBorders>
            <w:vAlign w:val="bottom"/>
          </w:tcPr>
          <w:p w14:paraId="2DA7B476" w14:textId="77777777" w:rsidR="002069A0" w:rsidRPr="00CB2281" w:rsidRDefault="002069A0" w:rsidP="002069A0">
            <w:pPr>
              <w:widowControl w:val="0"/>
              <w:tabs>
                <w:tab w:val="decimal" w:pos="252"/>
              </w:tabs>
              <w:ind w:right="-86"/>
              <w:rPr>
                <w:rFonts w:ascii="Arial" w:hAnsi="Arial" w:cs="Arial"/>
                <w:color w:val="000000"/>
                <w:sz w:val="16"/>
                <w:szCs w:val="16"/>
              </w:rPr>
            </w:pPr>
          </w:p>
        </w:tc>
        <w:tc>
          <w:tcPr>
            <w:tcW w:w="1175" w:type="dxa"/>
            <w:tcBorders>
              <w:top w:val="single" w:sz="12" w:space="0" w:color="auto"/>
            </w:tcBorders>
          </w:tcPr>
          <w:p w14:paraId="15C2E1C5" w14:textId="77777777" w:rsidR="002069A0" w:rsidRPr="00CB2281" w:rsidRDefault="002069A0" w:rsidP="002069A0">
            <w:pPr>
              <w:tabs>
                <w:tab w:val="decimal" w:pos="864"/>
              </w:tabs>
              <w:ind w:left="-108"/>
              <w:rPr>
                <w:rFonts w:ascii="Arial" w:hAnsi="Arial" w:cs="Arial"/>
                <w:color w:val="000000"/>
                <w:sz w:val="16"/>
                <w:szCs w:val="16"/>
              </w:rPr>
            </w:pPr>
          </w:p>
        </w:tc>
        <w:tc>
          <w:tcPr>
            <w:tcW w:w="900" w:type="dxa"/>
            <w:tcBorders>
              <w:top w:val="single" w:sz="12" w:space="0" w:color="auto"/>
            </w:tcBorders>
            <w:vAlign w:val="bottom"/>
          </w:tcPr>
          <w:p w14:paraId="705C004E" w14:textId="77777777" w:rsidR="002069A0" w:rsidRPr="00CB2281" w:rsidRDefault="002069A0" w:rsidP="002069A0">
            <w:pPr>
              <w:widowControl w:val="0"/>
              <w:tabs>
                <w:tab w:val="decimal" w:pos="252"/>
              </w:tabs>
              <w:ind w:right="-86"/>
              <w:rPr>
                <w:rFonts w:ascii="Arial" w:hAnsi="Arial" w:cs="Arial"/>
                <w:color w:val="000000"/>
                <w:sz w:val="16"/>
                <w:szCs w:val="16"/>
              </w:rPr>
            </w:pPr>
          </w:p>
        </w:tc>
        <w:tc>
          <w:tcPr>
            <w:tcW w:w="1080" w:type="dxa"/>
            <w:tcBorders>
              <w:top w:val="single" w:sz="12" w:space="0" w:color="auto"/>
            </w:tcBorders>
          </w:tcPr>
          <w:p w14:paraId="1484A3F4" w14:textId="77777777" w:rsidR="002069A0" w:rsidRPr="00CB2281" w:rsidRDefault="002069A0" w:rsidP="002069A0">
            <w:pPr>
              <w:tabs>
                <w:tab w:val="decimal" w:pos="864"/>
              </w:tabs>
              <w:ind w:left="-108"/>
              <w:rPr>
                <w:rFonts w:ascii="Arial" w:hAnsi="Arial" w:cs="Arial"/>
                <w:color w:val="000000"/>
                <w:sz w:val="16"/>
                <w:szCs w:val="16"/>
              </w:rPr>
            </w:pPr>
          </w:p>
        </w:tc>
        <w:tc>
          <w:tcPr>
            <w:tcW w:w="810" w:type="dxa"/>
            <w:tcBorders>
              <w:top w:val="single" w:sz="12" w:space="0" w:color="auto"/>
            </w:tcBorders>
            <w:vAlign w:val="bottom"/>
          </w:tcPr>
          <w:p w14:paraId="3F92859B" w14:textId="77777777" w:rsidR="002069A0" w:rsidRPr="00CB2281" w:rsidRDefault="002069A0" w:rsidP="002069A0">
            <w:pPr>
              <w:widowControl w:val="0"/>
              <w:tabs>
                <w:tab w:val="decimal" w:pos="252"/>
              </w:tabs>
              <w:ind w:right="-86"/>
              <w:rPr>
                <w:rFonts w:ascii="Arial" w:hAnsi="Arial" w:cs="Arial"/>
                <w:color w:val="000000"/>
                <w:sz w:val="16"/>
                <w:szCs w:val="16"/>
              </w:rPr>
            </w:pPr>
          </w:p>
        </w:tc>
        <w:tc>
          <w:tcPr>
            <w:tcW w:w="1062" w:type="dxa"/>
            <w:tcBorders>
              <w:top w:val="single" w:sz="12" w:space="0" w:color="auto"/>
            </w:tcBorders>
          </w:tcPr>
          <w:p w14:paraId="731C6D76" w14:textId="77777777" w:rsidR="002069A0" w:rsidRPr="00CB2281" w:rsidRDefault="002069A0" w:rsidP="002069A0">
            <w:pPr>
              <w:tabs>
                <w:tab w:val="decimal" w:pos="882"/>
              </w:tabs>
              <w:ind w:left="-108"/>
              <w:rPr>
                <w:rFonts w:ascii="Arial" w:hAnsi="Arial" w:cs="Arial"/>
                <w:color w:val="000000"/>
                <w:sz w:val="16"/>
                <w:szCs w:val="16"/>
              </w:rPr>
            </w:pPr>
          </w:p>
        </w:tc>
        <w:tc>
          <w:tcPr>
            <w:tcW w:w="851" w:type="dxa"/>
            <w:tcBorders>
              <w:top w:val="single" w:sz="12" w:space="0" w:color="auto"/>
            </w:tcBorders>
            <w:vAlign w:val="bottom"/>
          </w:tcPr>
          <w:p w14:paraId="24A04620" w14:textId="77777777" w:rsidR="002069A0" w:rsidRPr="00CB2281" w:rsidRDefault="002069A0" w:rsidP="002069A0">
            <w:pPr>
              <w:widowControl w:val="0"/>
              <w:tabs>
                <w:tab w:val="decimal" w:pos="252"/>
              </w:tabs>
              <w:ind w:right="-86"/>
              <w:rPr>
                <w:rFonts w:ascii="Arial" w:hAnsi="Arial" w:cs="Arial"/>
                <w:color w:val="000000"/>
                <w:sz w:val="16"/>
                <w:szCs w:val="16"/>
              </w:rPr>
            </w:pPr>
          </w:p>
        </w:tc>
      </w:tr>
    </w:tbl>
    <w:p w14:paraId="4196AB7F" w14:textId="075A0128" w:rsidR="00AB3773" w:rsidRDefault="00315F52" w:rsidP="00315F52">
      <w:pPr>
        <w:spacing w:before="240" w:after="120"/>
        <w:rPr>
          <w:rFonts w:ascii="Arial" w:hAnsi="Arial" w:cs="Arial"/>
          <w:sz w:val="16"/>
          <w:szCs w:val="16"/>
          <w:lang w:val="en-CA"/>
        </w:rPr>
      </w:pPr>
      <w:r>
        <w:rPr>
          <w:rFonts w:ascii="Arial" w:hAnsi="Arial" w:cs="Arial"/>
          <w:bCs/>
          <w:sz w:val="18"/>
          <w:szCs w:val="18"/>
          <w:vertAlign w:val="superscript"/>
          <w:lang w:val="en-CA"/>
        </w:rPr>
        <w:t xml:space="preserve"> </w:t>
      </w:r>
      <w:proofErr w:type="gramStart"/>
      <w:r w:rsidR="00570F49">
        <w:rPr>
          <w:rFonts w:ascii="Arial" w:hAnsi="Arial" w:cs="Arial"/>
          <w:bCs/>
          <w:sz w:val="18"/>
          <w:szCs w:val="18"/>
          <w:vertAlign w:val="superscript"/>
          <w:lang w:val="en-CA"/>
        </w:rPr>
        <w:t xml:space="preserve">(1) </w:t>
      </w:r>
      <w:r w:rsidR="00570F49">
        <w:rPr>
          <w:rFonts w:ascii="Arial" w:hAnsi="Arial" w:cs="Arial"/>
          <w:bCs/>
          <w:sz w:val="18"/>
          <w:szCs w:val="18"/>
          <w:lang w:val="en-CA"/>
        </w:rPr>
        <w:t xml:space="preserve"> </w:t>
      </w:r>
      <w:r w:rsidR="003760A5">
        <w:rPr>
          <w:rFonts w:ascii="Arial" w:hAnsi="Arial" w:cs="Arial"/>
          <w:sz w:val="16"/>
          <w:szCs w:val="16"/>
          <w:lang w:val="en-CA"/>
        </w:rPr>
        <w:t>“</w:t>
      </w:r>
      <w:proofErr w:type="gramEnd"/>
      <w:r w:rsidR="00570F49">
        <w:rPr>
          <w:rFonts w:ascii="Arial" w:hAnsi="Arial" w:cs="Arial"/>
          <w:sz w:val="16"/>
          <w:szCs w:val="16"/>
          <w:lang w:val="en-CA"/>
        </w:rPr>
        <w:t>Operating netback</w:t>
      </w:r>
      <w:r w:rsidR="003760A5" w:rsidRPr="003760A5">
        <w:rPr>
          <w:rFonts w:ascii="Arial" w:hAnsi="Arial" w:cs="Arial"/>
          <w:sz w:val="16"/>
          <w:szCs w:val="16"/>
          <w:lang w:val="en-CA"/>
        </w:rPr>
        <w:t>”</w:t>
      </w:r>
      <w:r w:rsidR="00570F49">
        <w:rPr>
          <w:rFonts w:ascii="Arial" w:hAnsi="Arial" w:cs="Arial"/>
          <w:sz w:val="16"/>
          <w:szCs w:val="16"/>
          <w:lang w:val="en-CA"/>
        </w:rPr>
        <w:t xml:space="preserve"> is a non-IFRS measure. “Operating netback per BOE” is a non-IFRS ratio. See </w:t>
      </w:r>
      <w:r w:rsidR="003760A5">
        <w:rPr>
          <w:rFonts w:ascii="Arial" w:hAnsi="Arial" w:cs="Arial"/>
          <w:sz w:val="16"/>
          <w:szCs w:val="16"/>
          <w:lang w:val="en-CA"/>
        </w:rPr>
        <w:t>“</w:t>
      </w:r>
      <w:r w:rsidR="00570F49">
        <w:rPr>
          <w:rFonts w:ascii="Arial" w:hAnsi="Arial" w:cs="Arial"/>
          <w:sz w:val="16"/>
          <w:szCs w:val="16"/>
          <w:lang w:val="en-CA"/>
        </w:rPr>
        <w:t>Non-IFRS and Other Financial Measures</w:t>
      </w:r>
      <w:r w:rsidR="003760A5" w:rsidRPr="00747799">
        <w:rPr>
          <w:rFonts w:ascii="Arial" w:hAnsi="Arial" w:cs="Arial"/>
          <w:sz w:val="16"/>
          <w:szCs w:val="16"/>
          <w:lang w:val="en-CA"/>
        </w:rPr>
        <w:t>”</w:t>
      </w:r>
      <w:r w:rsidR="00570F49">
        <w:rPr>
          <w:rFonts w:ascii="Arial" w:hAnsi="Arial" w:cs="Arial"/>
          <w:sz w:val="16"/>
          <w:szCs w:val="16"/>
          <w:lang w:val="en-CA"/>
        </w:rPr>
        <w:t>.</w:t>
      </w:r>
    </w:p>
    <w:p w14:paraId="7144B5F6" w14:textId="77777777" w:rsidR="00042E43" w:rsidRDefault="00042E43" w:rsidP="00D17181">
      <w:pPr>
        <w:widowControl w:val="0"/>
        <w:rPr>
          <w:rFonts w:ascii="Arial" w:hAnsi="Arial" w:cs="Arial"/>
          <w:sz w:val="20"/>
          <w:szCs w:val="20"/>
        </w:rPr>
      </w:pPr>
    </w:p>
    <w:p w14:paraId="3720B9D4" w14:textId="541A972C" w:rsidR="00F439AE" w:rsidRPr="00253016" w:rsidRDefault="001B1418" w:rsidP="001B1418">
      <w:pPr>
        <w:widowControl w:val="0"/>
        <w:jc w:val="both"/>
        <w:rPr>
          <w:rFonts w:ascii="Arial" w:hAnsi="Arial" w:cs="Arial"/>
          <w:sz w:val="20"/>
          <w:szCs w:val="20"/>
        </w:rPr>
      </w:pPr>
      <w:r w:rsidRPr="00253016">
        <w:rPr>
          <w:rFonts w:ascii="Arial" w:hAnsi="Arial" w:cs="Arial"/>
          <w:sz w:val="20"/>
          <w:szCs w:val="20"/>
        </w:rPr>
        <w:t>The</w:t>
      </w:r>
      <w:r w:rsidR="00F439AE" w:rsidRPr="00253016">
        <w:rPr>
          <w:rFonts w:ascii="Arial" w:hAnsi="Arial" w:cs="Arial"/>
          <w:sz w:val="20"/>
          <w:szCs w:val="20"/>
        </w:rPr>
        <w:t xml:space="preserve"> Company’s audited consolidated </w:t>
      </w:r>
      <w:r w:rsidR="004A129C" w:rsidRPr="00253016">
        <w:rPr>
          <w:rFonts w:ascii="Arial" w:hAnsi="Arial" w:cs="Arial"/>
          <w:sz w:val="20"/>
          <w:szCs w:val="20"/>
        </w:rPr>
        <w:t xml:space="preserve">comparative </w:t>
      </w:r>
      <w:r w:rsidR="00F439AE" w:rsidRPr="00253016">
        <w:rPr>
          <w:rFonts w:ascii="Arial" w:hAnsi="Arial" w:cs="Arial"/>
          <w:sz w:val="20"/>
          <w:szCs w:val="20"/>
        </w:rPr>
        <w:t xml:space="preserve">financial statements </w:t>
      </w:r>
      <w:r w:rsidRPr="00253016">
        <w:rPr>
          <w:rFonts w:ascii="Arial" w:hAnsi="Arial" w:cs="Arial"/>
          <w:sz w:val="20"/>
          <w:szCs w:val="20"/>
        </w:rPr>
        <w:t>for the year ended December 31, 202</w:t>
      </w:r>
      <w:r w:rsidR="002069A0" w:rsidRPr="00253016">
        <w:rPr>
          <w:rFonts w:ascii="Arial" w:hAnsi="Arial" w:cs="Arial"/>
          <w:sz w:val="20"/>
          <w:szCs w:val="20"/>
        </w:rPr>
        <w:t>5</w:t>
      </w:r>
      <w:r w:rsidRPr="00253016">
        <w:rPr>
          <w:rFonts w:ascii="Arial" w:hAnsi="Arial" w:cs="Arial"/>
          <w:sz w:val="20"/>
          <w:szCs w:val="20"/>
        </w:rPr>
        <w:t xml:space="preserve"> </w:t>
      </w:r>
      <w:r w:rsidR="00F439AE" w:rsidRPr="00253016">
        <w:rPr>
          <w:rFonts w:ascii="Arial" w:hAnsi="Arial" w:cs="Arial"/>
          <w:sz w:val="20"/>
          <w:szCs w:val="20"/>
        </w:rPr>
        <w:t xml:space="preserve">and </w:t>
      </w:r>
      <w:r w:rsidRPr="00253016">
        <w:rPr>
          <w:rFonts w:ascii="Arial" w:hAnsi="Arial" w:cs="Arial"/>
          <w:sz w:val="20"/>
          <w:szCs w:val="20"/>
        </w:rPr>
        <w:t xml:space="preserve">related </w:t>
      </w:r>
      <w:r w:rsidR="00F439AE" w:rsidRPr="00253016">
        <w:rPr>
          <w:rFonts w:ascii="Arial" w:hAnsi="Arial" w:cs="Arial"/>
          <w:sz w:val="20"/>
          <w:szCs w:val="20"/>
        </w:rPr>
        <w:t>management’s discussion and analysis (“</w:t>
      </w:r>
      <w:r w:rsidR="00F439AE" w:rsidRPr="00253016">
        <w:rPr>
          <w:rFonts w:ascii="Arial" w:hAnsi="Arial" w:cs="Arial"/>
          <w:b/>
          <w:sz w:val="20"/>
          <w:szCs w:val="20"/>
        </w:rPr>
        <w:t>MD&amp;A</w:t>
      </w:r>
      <w:r w:rsidR="00F439AE" w:rsidRPr="00253016">
        <w:rPr>
          <w:rFonts w:ascii="Arial" w:hAnsi="Arial" w:cs="Arial"/>
          <w:sz w:val="20"/>
          <w:szCs w:val="20"/>
        </w:rPr>
        <w:t xml:space="preserve">”) </w:t>
      </w:r>
      <w:r w:rsidRPr="00253016">
        <w:rPr>
          <w:rFonts w:ascii="Arial" w:hAnsi="Arial" w:cs="Arial"/>
          <w:sz w:val="20"/>
          <w:szCs w:val="20"/>
        </w:rPr>
        <w:t xml:space="preserve">will be </w:t>
      </w:r>
      <w:r w:rsidR="00F439AE" w:rsidRPr="00253016">
        <w:rPr>
          <w:rFonts w:ascii="Arial" w:hAnsi="Arial" w:cs="Arial"/>
          <w:sz w:val="20"/>
          <w:szCs w:val="20"/>
        </w:rPr>
        <w:t xml:space="preserve">filed with Canadian securities regulatory authorities </w:t>
      </w:r>
      <w:r w:rsidRPr="00253016">
        <w:rPr>
          <w:rFonts w:ascii="Arial" w:hAnsi="Arial" w:cs="Arial"/>
          <w:sz w:val="20"/>
          <w:szCs w:val="20"/>
        </w:rPr>
        <w:t xml:space="preserve">in due course </w:t>
      </w:r>
      <w:r w:rsidR="00F439AE" w:rsidRPr="00253016">
        <w:rPr>
          <w:rFonts w:ascii="Arial" w:hAnsi="Arial" w:cs="Arial"/>
          <w:sz w:val="20"/>
          <w:szCs w:val="20"/>
        </w:rPr>
        <w:t xml:space="preserve">and will be made available under the Company’s profile at </w:t>
      </w:r>
      <w:hyperlink r:id="rId12" w:history="1">
        <w:r w:rsidR="00F439AE" w:rsidRPr="00253016">
          <w:rPr>
            <w:rStyle w:val="Hyperlink"/>
            <w:rFonts w:ascii="Arial" w:hAnsi="Arial" w:cs="Arial"/>
            <w:sz w:val="20"/>
            <w:szCs w:val="20"/>
          </w:rPr>
          <w:t>www.sedarplus.ca</w:t>
        </w:r>
      </w:hyperlink>
      <w:r w:rsidR="00F439AE" w:rsidRPr="00253016">
        <w:rPr>
          <w:rFonts w:ascii="Arial" w:hAnsi="Arial" w:cs="Arial"/>
          <w:sz w:val="20"/>
          <w:szCs w:val="20"/>
        </w:rPr>
        <w:t xml:space="preserve"> and on the Company’s website at </w:t>
      </w:r>
      <w:hyperlink r:id="rId13" w:history="1">
        <w:r w:rsidR="00F439AE" w:rsidRPr="00253016">
          <w:rPr>
            <w:rStyle w:val="Hyperlink"/>
            <w:rFonts w:ascii="Arial" w:hAnsi="Arial" w:cs="Arial"/>
            <w:sz w:val="20"/>
            <w:szCs w:val="20"/>
          </w:rPr>
          <w:t>www.crownpointenergy.com</w:t>
        </w:r>
      </w:hyperlink>
      <w:r w:rsidR="00F439AE" w:rsidRPr="00253016">
        <w:rPr>
          <w:rFonts w:ascii="Arial" w:hAnsi="Arial" w:cs="Arial"/>
          <w:sz w:val="20"/>
          <w:szCs w:val="20"/>
        </w:rPr>
        <w:t xml:space="preserve">. </w:t>
      </w:r>
    </w:p>
    <w:p w14:paraId="13A438A5" w14:textId="32CA6BA7" w:rsidR="00F439AE" w:rsidRPr="00253016" w:rsidRDefault="00F439AE" w:rsidP="00D17181">
      <w:pPr>
        <w:widowControl w:val="0"/>
        <w:rPr>
          <w:rFonts w:ascii="Arial" w:hAnsi="Arial" w:cs="Arial"/>
          <w:sz w:val="20"/>
          <w:szCs w:val="20"/>
        </w:rPr>
      </w:pPr>
    </w:p>
    <w:p w14:paraId="7F9BE0CD" w14:textId="0BEF55F0" w:rsidR="00997CEA" w:rsidRDefault="00997CEA" w:rsidP="00D17181">
      <w:pPr>
        <w:widowControl w:val="0"/>
        <w:rPr>
          <w:rFonts w:ascii="Arial" w:hAnsi="Arial" w:cs="Arial"/>
          <w:sz w:val="20"/>
          <w:szCs w:val="20"/>
        </w:rPr>
      </w:pPr>
      <w:r w:rsidRPr="00253016">
        <w:rPr>
          <w:rFonts w:ascii="Arial" w:hAnsi="Arial" w:cs="Arial"/>
          <w:sz w:val="20"/>
          <w:szCs w:val="20"/>
        </w:rPr>
        <w:t>For inquiries please contact:</w:t>
      </w:r>
    </w:p>
    <w:p w14:paraId="422F3ACC" w14:textId="77777777" w:rsidR="005E3798" w:rsidRPr="00253016" w:rsidRDefault="005E3798" w:rsidP="00D17181">
      <w:pPr>
        <w:widowControl w:val="0"/>
        <w:rPr>
          <w:rFonts w:ascii="Arial" w:hAnsi="Arial" w:cs="Arial"/>
          <w:sz w:val="20"/>
          <w:szCs w:val="20"/>
        </w:rPr>
      </w:pPr>
    </w:p>
    <w:p w14:paraId="0705046D" w14:textId="55A10501" w:rsidR="00253016" w:rsidRPr="00253016" w:rsidRDefault="00253016" w:rsidP="00253016">
      <w:pPr>
        <w:outlineLvl w:val="0"/>
        <w:rPr>
          <w:rFonts w:ascii="Arial" w:hAnsi="Arial" w:cs="Arial"/>
          <w:sz w:val="20"/>
          <w:szCs w:val="20"/>
        </w:rPr>
      </w:pPr>
      <w:r w:rsidRPr="00253016">
        <w:rPr>
          <w:rFonts w:ascii="Arial" w:hAnsi="Arial" w:cs="Arial"/>
          <w:sz w:val="20"/>
          <w:szCs w:val="20"/>
        </w:rPr>
        <w:t>Brian Moss</w:t>
      </w:r>
      <w:r w:rsidRPr="00253016">
        <w:rPr>
          <w:rFonts w:ascii="Arial" w:hAnsi="Arial" w:cs="Arial"/>
          <w:sz w:val="20"/>
          <w:szCs w:val="20"/>
        </w:rPr>
        <w:tab/>
      </w:r>
      <w:r w:rsidRPr="00253016">
        <w:rPr>
          <w:rFonts w:ascii="Arial" w:hAnsi="Arial" w:cs="Arial"/>
          <w:sz w:val="20"/>
          <w:szCs w:val="20"/>
        </w:rPr>
        <w:tab/>
        <w:t xml:space="preserve"> </w:t>
      </w:r>
      <w:r w:rsidRPr="00253016">
        <w:rPr>
          <w:rFonts w:ascii="Arial" w:hAnsi="Arial" w:cs="Arial"/>
          <w:sz w:val="20"/>
          <w:szCs w:val="20"/>
        </w:rPr>
        <w:tab/>
      </w:r>
      <w:r w:rsidRPr="00253016">
        <w:rPr>
          <w:rFonts w:ascii="Arial" w:hAnsi="Arial" w:cs="Arial"/>
          <w:sz w:val="20"/>
          <w:szCs w:val="20"/>
        </w:rPr>
        <w:tab/>
      </w:r>
      <w:r w:rsidRPr="00253016">
        <w:rPr>
          <w:rFonts w:ascii="Arial" w:hAnsi="Arial" w:cs="Arial"/>
          <w:sz w:val="20"/>
          <w:szCs w:val="20"/>
        </w:rPr>
        <w:tab/>
      </w:r>
      <w:r w:rsidRPr="00253016">
        <w:rPr>
          <w:rFonts w:ascii="Arial" w:hAnsi="Arial" w:cs="Arial"/>
          <w:sz w:val="20"/>
          <w:szCs w:val="20"/>
        </w:rPr>
        <w:tab/>
        <w:t>Marcos Esteves</w:t>
      </w:r>
    </w:p>
    <w:p w14:paraId="66876E3C" w14:textId="413D03B2" w:rsidR="00253016" w:rsidRPr="00253016" w:rsidRDefault="00253016" w:rsidP="00253016">
      <w:pPr>
        <w:outlineLvl w:val="0"/>
        <w:rPr>
          <w:rFonts w:ascii="Arial" w:hAnsi="Arial" w:cs="Arial"/>
          <w:sz w:val="20"/>
          <w:szCs w:val="20"/>
        </w:rPr>
      </w:pPr>
      <w:r w:rsidRPr="00253016">
        <w:rPr>
          <w:rFonts w:ascii="Arial" w:hAnsi="Arial" w:cs="Arial"/>
          <w:sz w:val="20"/>
          <w:szCs w:val="20"/>
        </w:rPr>
        <w:t>Interim President &amp; CEO</w:t>
      </w:r>
      <w:r w:rsidRPr="00253016">
        <w:rPr>
          <w:rFonts w:ascii="Arial" w:hAnsi="Arial" w:cs="Arial"/>
          <w:sz w:val="20"/>
          <w:szCs w:val="20"/>
        </w:rPr>
        <w:tab/>
      </w:r>
      <w:r w:rsidRPr="00253016">
        <w:rPr>
          <w:rFonts w:ascii="Arial" w:hAnsi="Arial" w:cs="Arial"/>
          <w:sz w:val="20"/>
          <w:szCs w:val="20"/>
        </w:rPr>
        <w:tab/>
      </w:r>
      <w:r w:rsidRPr="00253016">
        <w:rPr>
          <w:rFonts w:ascii="Arial" w:hAnsi="Arial" w:cs="Arial"/>
          <w:sz w:val="20"/>
          <w:szCs w:val="20"/>
        </w:rPr>
        <w:tab/>
      </w:r>
      <w:r w:rsidRPr="00253016">
        <w:rPr>
          <w:rFonts w:ascii="Arial" w:hAnsi="Arial" w:cs="Arial"/>
          <w:sz w:val="20"/>
          <w:szCs w:val="20"/>
        </w:rPr>
        <w:tab/>
        <w:t>Vice-President, Finance &amp; CFO</w:t>
      </w:r>
    </w:p>
    <w:p w14:paraId="749CED2E" w14:textId="32E31576" w:rsidR="00253016" w:rsidRPr="00253016" w:rsidRDefault="00253016" w:rsidP="00253016">
      <w:pPr>
        <w:rPr>
          <w:rFonts w:ascii="Arial" w:hAnsi="Arial" w:cs="Arial"/>
          <w:sz w:val="20"/>
          <w:szCs w:val="20"/>
        </w:rPr>
      </w:pPr>
      <w:r w:rsidRPr="00253016">
        <w:rPr>
          <w:rFonts w:ascii="Arial" w:hAnsi="Arial" w:cs="Arial"/>
          <w:sz w:val="20"/>
          <w:szCs w:val="20"/>
        </w:rPr>
        <w:t>Ph: (403) 232-1150</w:t>
      </w:r>
      <w:r w:rsidRPr="00253016">
        <w:rPr>
          <w:rFonts w:ascii="Arial" w:hAnsi="Arial" w:cs="Arial"/>
          <w:sz w:val="20"/>
          <w:szCs w:val="20"/>
        </w:rPr>
        <w:tab/>
      </w:r>
      <w:r w:rsidRPr="00253016">
        <w:rPr>
          <w:rFonts w:ascii="Arial" w:hAnsi="Arial" w:cs="Arial"/>
          <w:sz w:val="20"/>
          <w:szCs w:val="20"/>
        </w:rPr>
        <w:tab/>
      </w:r>
      <w:r w:rsidRPr="00253016">
        <w:rPr>
          <w:rFonts w:ascii="Arial" w:hAnsi="Arial" w:cs="Arial"/>
          <w:sz w:val="20"/>
          <w:szCs w:val="20"/>
        </w:rPr>
        <w:tab/>
      </w:r>
      <w:r w:rsidRPr="00253016">
        <w:rPr>
          <w:rFonts w:ascii="Arial" w:hAnsi="Arial" w:cs="Arial"/>
          <w:sz w:val="20"/>
          <w:szCs w:val="20"/>
        </w:rPr>
        <w:tab/>
      </w:r>
      <w:r w:rsidRPr="00253016">
        <w:rPr>
          <w:rFonts w:ascii="Arial" w:hAnsi="Arial" w:cs="Arial"/>
          <w:sz w:val="20"/>
          <w:szCs w:val="20"/>
        </w:rPr>
        <w:tab/>
        <w:t>Ph: (403) 232-1150</w:t>
      </w:r>
    </w:p>
    <w:p w14:paraId="4343E171" w14:textId="2849AEE8" w:rsidR="00253016" w:rsidRPr="00253016" w:rsidRDefault="00253016" w:rsidP="00253016">
      <w:pPr>
        <w:rPr>
          <w:rFonts w:ascii="Arial" w:hAnsi="Arial" w:cs="Arial"/>
          <w:sz w:val="20"/>
          <w:szCs w:val="20"/>
        </w:rPr>
      </w:pPr>
      <w:r w:rsidRPr="00253016">
        <w:rPr>
          <w:rFonts w:ascii="Arial" w:hAnsi="Arial" w:cs="Arial"/>
          <w:sz w:val="20"/>
          <w:szCs w:val="20"/>
        </w:rPr>
        <w:t>Crown Point Energy Inc.</w:t>
      </w:r>
      <w:r w:rsidRPr="00253016">
        <w:rPr>
          <w:rFonts w:ascii="Arial" w:hAnsi="Arial" w:cs="Arial"/>
          <w:sz w:val="20"/>
          <w:szCs w:val="20"/>
        </w:rPr>
        <w:tab/>
      </w:r>
      <w:r w:rsidRPr="00253016">
        <w:rPr>
          <w:rFonts w:ascii="Arial" w:hAnsi="Arial" w:cs="Arial"/>
          <w:sz w:val="20"/>
          <w:szCs w:val="20"/>
        </w:rPr>
        <w:tab/>
      </w:r>
      <w:r w:rsidRPr="00253016">
        <w:rPr>
          <w:rFonts w:ascii="Arial" w:hAnsi="Arial" w:cs="Arial"/>
          <w:sz w:val="20"/>
          <w:szCs w:val="20"/>
        </w:rPr>
        <w:tab/>
      </w:r>
      <w:r w:rsidRPr="00253016">
        <w:rPr>
          <w:rFonts w:ascii="Arial" w:hAnsi="Arial" w:cs="Arial"/>
          <w:sz w:val="20"/>
          <w:szCs w:val="20"/>
        </w:rPr>
        <w:tab/>
      </w:r>
      <w:r w:rsidR="005E3798">
        <w:rPr>
          <w:rFonts w:ascii="Arial" w:hAnsi="Arial" w:cs="Arial"/>
          <w:sz w:val="20"/>
          <w:szCs w:val="20"/>
        </w:rPr>
        <w:tab/>
      </w:r>
      <w:r w:rsidRPr="00253016">
        <w:rPr>
          <w:rFonts w:ascii="Arial" w:hAnsi="Arial" w:cs="Arial"/>
          <w:sz w:val="20"/>
          <w:szCs w:val="20"/>
        </w:rPr>
        <w:t>Crown Point Energy Inc.</w:t>
      </w:r>
    </w:p>
    <w:p w14:paraId="589D73E6" w14:textId="463DE209" w:rsidR="00997CEA" w:rsidRPr="00253016" w:rsidRDefault="00253016" w:rsidP="00253016">
      <w:pPr>
        <w:widowControl w:val="0"/>
        <w:rPr>
          <w:rFonts w:ascii="Arial" w:hAnsi="Arial" w:cs="Arial"/>
          <w:sz w:val="20"/>
          <w:szCs w:val="20"/>
        </w:rPr>
      </w:pPr>
      <w:hyperlink r:id="rId14" w:history="1">
        <w:r w:rsidRPr="00253016">
          <w:rPr>
            <w:rStyle w:val="Hyperlink"/>
            <w:rFonts w:ascii="Arial" w:hAnsi="Arial" w:cs="Arial"/>
            <w:sz w:val="20"/>
            <w:szCs w:val="20"/>
          </w:rPr>
          <w:t>bmoss@crownpointenergy.com</w:t>
        </w:r>
      </w:hyperlink>
      <w:r w:rsidRPr="00253016">
        <w:rPr>
          <w:rFonts w:ascii="Arial" w:hAnsi="Arial" w:cs="Arial"/>
          <w:sz w:val="20"/>
          <w:szCs w:val="20"/>
        </w:rPr>
        <w:tab/>
      </w:r>
      <w:r w:rsidRPr="00253016">
        <w:rPr>
          <w:rFonts w:ascii="Arial" w:hAnsi="Arial" w:cs="Arial"/>
          <w:sz w:val="20"/>
          <w:szCs w:val="20"/>
        </w:rPr>
        <w:tab/>
      </w:r>
      <w:r w:rsidRPr="00253016">
        <w:rPr>
          <w:rFonts w:ascii="Arial" w:hAnsi="Arial" w:cs="Arial"/>
          <w:sz w:val="20"/>
          <w:szCs w:val="20"/>
        </w:rPr>
        <w:tab/>
      </w:r>
      <w:r w:rsidR="005E3798">
        <w:rPr>
          <w:rFonts w:ascii="Arial" w:hAnsi="Arial" w:cs="Arial"/>
          <w:sz w:val="20"/>
          <w:szCs w:val="20"/>
        </w:rPr>
        <w:tab/>
      </w:r>
      <w:hyperlink r:id="rId15" w:history="1">
        <w:r w:rsidR="00E22038" w:rsidRPr="00B309DC">
          <w:rPr>
            <w:rStyle w:val="Hyperlink"/>
            <w:rFonts w:ascii="Arial" w:hAnsi="Arial" w:cs="Arial"/>
            <w:sz w:val="20"/>
            <w:szCs w:val="20"/>
          </w:rPr>
          <w:t>mesteves@crownpointenergy.com</w:t>
        </w:r>
      </w:hyperlink>
    </w:p>
    <w:p w14:paraId="2B74219D" w14:textId="77777777" w:rsidR="0042733B" w:rsidRPr="00253016" w:rsidRDefault="0042733B" w:rsidP="00D17181">
      <w:pPr>
        <w:widowControl w:val="0"/>
        <w:rPr>
          <w:rFonts w:ascii="Arial" w:hAnsi="Arial" w:cs="Arial"/>
          <w:b/>
          <w:i/>
          <w:sz w:val="20"/>
          <w:szCs w:val="20"/>
        </w:rPr>
      </w:pPr>
    </w:p>
    <w:p w14:paraId="213A3C75" w14:textId="77777777" w:rsidR="00997CEA" w:rsidRPr="00253016" w:rsidRDefault="00193809" w:rsidP="00D17181">
      <w:pPr>
        <w:widowControl w:val="0"/>
        <w:rPr>
          <w:rFonts w:ascii="Arial" w:hAnsi="Arial" w:cs="Arial"/>
          <w:b/>
          <w:i/>
          <w:sz w:val="20"/>
          <w:szCs w:val="20"/>
        </w:rPr>
      </w:pPr>
      <w:r w:rsidRPr="00253016">
        <w:rPr>
          <w:rFonts w:ascii="Arial" w:hAnsi="Arial" w:cs="Arial"/>
          <w:b/>
          <w:i/>
          <w:sz w:val="20"/>
          <w:szCs w:val="20"/>
        </w:rPr>
        <w:t>About Crown Point</w:t>
      </w:r>
    </w:p>
    <w:p w14:paraId="522E25BA" w14:textId="10ECC6C2" w:rsidR="001757BE" w:rsidRPr="00253016" w:rsidRDefault="00253016" w:rsidP="00F458A0">
      <w:pPr>
        <w:pStyle w:val="MICONHEADER1"/>
        <w:widowControl w:val="0"/>
        <w:spacing w:line="240" w:lineRule="atLeast"/>
        <w:ind w:left="0"/>
        <w:rPr>
          <w:rFonts w:ascii="Arial" w:hAnsi="Arial" w:cs="Arial"/>
          <w:b w:val="0"/>
          <w:bCs/>
          <w:caps w:val="0"/>
          <w:sz w:val="22"/>
          <w:szCs w:val="22"/>
        </w:rPr>
      </w:pPr>
      <w:r w:rsidRPr="00253016">
        <w:rPr>
          <w:rFonts w:ascii="Arial" w:hAnsi="Arial" w:cs="Arial"/>
          <w:b w:val="0"/>
          <w:bCs/>
          <w:caps w:val="0"/>
          <w:sz w:val="20"/>
          <w:szCs w:val="20"/>
        </w:rPr>
        <w:t xml:space="preserve">Crown Point Energy Inc. is an international oil and gas exploration and development company headquartered in Buenos Aires, Argentina, incorporated in Canada, trading on the TSX Venture Exchange and operating in Argentina. </w:t>
      </w:r>
      <w:r w:rsidRPr="00253016">
        <w:rPr>
          <w:rFonts w:ascii="Arial" w:hAnsi="Arial" w:cs="Arial"/>
          <w:b w:val="0"/>
          <w:caps w:val="0"/>
          <w:sz w:val="20"/>
          <w:szCs w:val="20"/>
        </w:rPr>
        <w:t>Crown Point's exploration and development activities are focused in four producing basins in Argentina, the Austral basin in the province of Tierra del Fuego, the San Jorge Basin in the provinces of Santa Cruz and Chubut, and the Neuquén and Cuyo basins in the province of Mendoza.</w:t>
      </w:r>
    </w:p>
    <w:p w14:paraId="4F6A2683" w14:textId="77777777" w:rsidR="00B84B7A" w:rsidRPr="00AA3D64" w:rsidRDefault="00B84B7A" w:rsidP="005D19BE">
      <w:pPr>
        <w:widowControl w:val="0"/>
        <w:jc w:val="both"/>
        <w:rPr>
          <w:rFonts w:ascii="Arial" w:hAnsi="Arial" w:cs="Arial"/>
          <w:b/>
          <w:i/>
          <w:sz w:val="14"/>
          <w:szCs w:val="14"/>
        </w:rPr>
      </w:pPr>
    </w:p>
    <w:p w14:paraId="3654568B" w14:textId="77777777" w:rsidR="001757BE" w:rsidRPr="00B673D6" w:rsidRDefault="00193809" w:rsidP="005D19BE">
      <w:pPr>
        <w:widowControl w:val="0"/>
        <w:jc w:val="both"/>
        <w:rPr>
          <w:rFonts w:ascii="Arial" w:hAnsi="Arial" w:cs="Arial"/>
          <w:b/>
          <w:i/>
          <w:sz w:val="16"/>
          <w:szCs w:val="16"/>
        </w:rPr>
      </w:pPr>
      <w:r w:rsidRPr="00B673D6">
        <w:rPr>
          <w:rFonts w:ascii="Arial" w:hAnsi="Arial" w:cs="Arial"/>
          <w:b/>
          <w:i/>
          <w:sz w:val="16"/>
          <w:szCs w:val="16"/>
        </w:rPr>
        <w:t>Advisory</w:t>
      </w:r>
    </w:p>
    <w:p w14:paraId="4F900E02" w14:textId="12E7226C" w:rsidR="00AA3D64" w:rsidRPr="00B673D6" w:rsidRDefault="00AA3D64" w:rsidP="00AA3D64">
      <w:pPr>
        <w:jc w:val="both"/>
        <w:rPr>
          <w:rFonts w:ascii="Arial" w:eastAsia="Calibri" w:hAnsi="Arial" w:cs="Arial"/>
          <w:i/>
          <w:sz w:val="16"/>
          <w:szCs w:val="16"/>
          <w:u w:val="single"/>
        </w:rPr>
      </w:pPr>
      <w:r w:rsidRPr="00B673D6">
        <w:rPr>
          <w:rFonts w:ascii="Arial" w:hAnsi="Arial" w:cs="Arial"/>
          <w:bCs/>
          <w:i/>
          <w:sz w:val="16"/>
          <w:szCs w:val="16"/>
          <w:u w:val="single"/>
        </w:rPr>
        <w:t xml:space="preserve">Preliminary Financial Information: </w:t>
      </w:r>
      <w:r w:rsidR="002113D9" w:rsidRPr="00B673D6">
        <w:rPr>
          <w:rFonts w:ascii="Arial" w:hAnsi="Arial" w:cs="Arial"/>
          <w:i/>
          <w:sz w:val="16"/>
          <w:szCs w:val="16"/>
        </w:rPr>
        <w:t xml:space="preserve">The Company's expectations for our financial results for the three months and year ended December 31, </w:t>
      </w:r>
      <w:proofErr w:type="gramStart"/>
      <w:r w:rsidR="002113D9" w:rsidRPr="00B673D6">
        <w:rPr>
          <w:rFonts w:ascii="Arial" w:hAnsi="Arial" w:cs="Arial"/>
          <w:i/>
          <w:sz w:val="16"/>
          <w:szCs w:val="16"/>
        </w:rPr>
        <w:t>202</w:t>
      </w:r>
      <w:r w:rsidR="00253016" w:rsidRPr="00B673D6">
        <w:rPr>
          <w:rFonts w:ascii="Arial" w:hAnsi="Arial" w:cs="Arial"/>
          <w:i/>
          <w:sz w:val="16"/>
          <w:szCs w:val="16"/>
        </w:rPr>
        <w:t>5</w:t>
      </w:r>
      <w:proofErr w:type="gramEnd"/>
      <w:r w:rsidR="002113D9" w:rsidRPr="00B673D6">
        <w:rPr>
          <w:rFonts w:ascii="Arial" w:hAnsi="Arial" w:cs="Arial"/>
          <w:i/>
          <w:sz w:val="16"/>
          <w:szCs w:val="16"/>
        </w:rPr>
        <w:t xml:space="preserve"> contained herein are based on, among other things, our anticipated financial results for the year ending December 31, 202</w:t>
      </w:r>
      <w:r w:rsidR="00253016" w:rsidRPr="00B673D6">
        <w:rPr>
          <w:rFonts w:ascii="Arial" w:hAnsi="Arial" w:cs="Arial"/>
          <w:i/>
          <w:sz w:val="16"/>
          <w:szCs w:val="16"/>
        </w:rPr>
        <w:t>5</w:t>
      </w:r>
      <w:r w:rsidR="002113D9" w:rsidRPr="00B673D6">
        <w:rPr>
          <w:rFonts w:ascii="Arial" w:hAnsi="Arial" w:cs="Arial"/>
          <w:i/>
          <w:sz w:val="16"/>
          <w:szCs w:val="16"/>
        </w:rPr>
        <w:t>. The Company's anticipated financial results are unaudited and preliminary estimates that: (</w:t>
      </w:r>
      <w:proofErr w:type="spellStart"/>
      <w:r w:rsidR="002113D9" w:rsidRPr="00B673D6">
        <w:rPr>
          <w:rFonts w:ascii="Arial" w:hAnsi="Arial" w:cs="Arial"/>
          <w:i/>
          <w:sz w:val="16"/>
          <w:szCs w:val="16"/>
        </w:rPr>
        <w:t>i</w:t>
      </w:r>
      <w:proofErr w:type="spellEnd"/>
      <w:r w:rsidR="002113D9" w:rsidRPr="00B673D6">
        <w:rPr>
          <w:rFonts w:ascii="Arial" w:hAnsi="Arial" w:cs="Arial"/>
          <w:i/>
          <w:sz w:val="16"/>
          <w:szCs w:val="16"/>
        </w:rPr>
        <w:t>) represent the most current information available to management as of the date hereof; (ii) are subject to completion of audit and/or review procedures that could result in significant changes to the estimated amounts; and (iii) do not present all information necessary for an understanding of the Company's financial condition as of, and the Company's results of operations for, such periods. The anticipated financial results are subject to the same limitations and risks as discussed under “Forward-Looking Information” below. Accordingly, the Company's anticipated financial results for such periods may change upon the completion and approval of the financial statements for such periods and the changes could be material.</w:t>
      </w:r>
    </w:p>
    <w:p w14:paraId="5C88DC00" w14:textId="21EE5719" w:rsidR="00111AED" w:rsidRPr="00B673D6" w:rsidRDefault="00111AED" w:rsidP="00912885">
      <w:pPr>
        <w:pStyle w:val="BodyText"/>
        <w:widowControl w:val="0"/>
        <w:spacing w:before="60" w:after="0" w:line="240" w:lineRule="auto"/>
        <w:rPr>
          <w:rFonts w:ascii="Arial" w:hAnsi="Arial" w:cs="Arial"/>
          <w:i/>
          <w:sz w:val="16"/>
          <w:szCs w:val="16"/>
        </w:rPr>
      </w:pPr>
      <w:r w:rsidRPr="00B673D6">
        <w:rPr>
          <w:rFonts w:ascii="Arial" w:eastAsia="Calibri" w:hAnsi="Arial" w:cs="Arial"/>
          <w:i/>
          <w:sz w:val="16"/>
          <w:szCs w:val="16"/>
          <w:u w:val="single"/>
        </w:rPr>
        <w:t>Non-IFRS and Other Financial Measures</w:t>
      </w:r>
      <w:r w:rsidRPr="00B673D6">
        <w:rPr>
          <w:rFonts w:ascii="Arial" w:eastAsia="Calibri" w:hAnsi="Arial" w:cs="Arial"/>
          <w:i/>
          <w:sz w:val="16"/>
          <w:szCs w:val="16"/>
        </w:rPr>
        <w:t xml:space="preserve">: </w:t>
      </w:r>
      <w:r w:rsidRPr="00B673D6">
        <w:rPr>
          <w:rFonts w:ascii="Arial" w:hAnsi="Arial" w:cs="Arial"/>
          <w:i/>
          <w:sz w:val="16"/>
          <w:szCs w:val="16"/>
        </w:rPr>
        <w:t xml:space="preserve">Throughout this press release and in other materials disclosed by the Company, we employ certain measures to analyze financial performance, financial position, and cash flow. These non-IFRS and other financial measures do not have any standardized meaning prescribed by IFRS and therefore may not be comparable to similar measures provided by other issuers.  The non-IFRS and other financial measures should not </w:t>
      </w:r>
      <w:proofErr w:type="gramStart"/>
      <w:r w:rsidRPr="00B673D6">
        <w:rPr>
          <w:rFonts w:ascii="Arial" w:hAnsi="Arial" w:cs="Arial"/>
          <w:i/>
          <w:sz w:val="16"/>
          <w:szCs w:val="16"/>
        </w:rPr>
        <w:t>be considered to be</w:t>
      </w:r>
      <w:proofErr w:type="gramEnd"/>
      <w:r w:rsidRPr="00B673D6">
        <w:rPr>
          <w:rFonts w:ascii="Arial" w:hAnsi="Arial" w:cs="Arial"/>
          <w:i/>
          <w:sz w:val="16"/>
          <w:szCs w:val="16"/>
        </w:rPr>
        <w:t xml:space="preserve"> more meaningful than financial measures which are determined in accordance with IFRS, such as net income (loss), oil and natural gas sales revenue and net cash </w:t>
      </w:r>
      <w:r w:rsidR="00473DE7" w:rsidRPr="00B673D6">
        <w:rPr>
          <w:rFonts w:ascii="Arial" w:hAnsi="Arial" w:cs="Arial"/>
          <w:i/>
          <w:sz w:val="16"/>
          <w:szCs w:val="16"/>
        </w:rPr>
        <w:t xml:space="preserve">(used) </w:t>
      </w:r>
      <w:r w:rsidRPr="00B673D6">
        <w:rPr>
          <w:rFonts w:ascii="Arial" w:hAnsi="Arial" w:cs="Arial"/>
          <w:i/>
          <w:sz w:val="16"/>
          <w:szCs w:val="16"/>
        </w:rPr>
        <w:t xml:space="preserve">provided by operating activities as indicators of our performance.  </w:t>
      </w:r>
    </w:p>
    <w:p w14:paraId="096CCD1C" w14:textId="3D9E5909" w:rsidR="001402A6" w:rsidRPr="00B673D6" w:rsidRDefault="003760A5" w:rsidP="001402A6">
      <w:pPr>
        <w:pStyle w:val="BodyText"/>
        <w:widowControl w:val="0"/>
        <w:spacing w:before="60" w:after="0" w:line="240" w:lineRule="auto"/>
        <w:rPr>
          <w:rFonts w:ascii="Arial" w:hAnsi="Arial" w:cs="Arial"/>
          <w:i/>
          <w:sz w:val="16"/>
          <w:szCs w:val="16"/>
        </w:rPr>
      </w:pPr>
      <w:r w:rsidRPr="00B673D6">
        <w:rPr>
          <w:rFonts w:ascii="Arial" w:hAnsi="Arial" w:cs="Arial"/>
          <w:i/>
          <w:sz w:val="16"/>
          <w:szCs w:val="16"/>
        </w:rPr>
        <w:t>“</w:t>
      </w:r>
      <w:r w:rsidR="001402A6" w:rsidRPr="00B673D6">
        <w:rPr>
          <w:rFonts w:ascii="Arial" w:hAnsi="Arial" w:cs="Arial"/>
          <w:i/>
          <w:sz w:val="16"/>
          <w:szCs w:val="16"/>
        </w:rPr>
        <w:t>Funds flow per share – operating activities</w:t>
      </w:r>
      <w:r w:rsidRPr="00B673D6">
        <w:rPr>
          <w:rFonts w:ascii="Arial" w:hAnsi="Arial" w:cs="Arial"/>
          <w:i/>
          <w:sz w:val="16"/>
          <w:szCs w:val="16"/>
        </w:rPr>
        <w:t>”</w:t>
      </w:r>
      <w:r w:rsidR="001402A6" w:rsidRPr="00B673D6">
        <w:rPr>
          <w:rFonts w:ascii="Arial" w:hAnsi="Arial" w:cs="Arial"/>
          <w:i/>
          <w:sz w:val="16"/>
          <w:szCs w:val="16"/>
        </w:rPr>
        <w:t xml:space="preserve"> is a supplemental financial measure.  Funds flow per share – operating activities is comprised of funds flow provided </w:t>
      </w:r>
      <w:r w:rsidR="00DC19F1" w:rsidRPr="00B673D6">
        <w:rPr>
          <w:rFonts w:ascii="Arial" w:hAnsi="Arial" w:cs="Arial"/>
          <w:i/>
          <w:sz w:val="16"/>
          <w:szCs w:val="16"/>
        </w:rPr>
        <w:t xml:space="preserve">(used) </w:t>
      </w:r>
      <w:r w:rsidR="001402A6" w:rsidRPr="00B673D6">
        <w:rPr>
          <w:rFonts w:ascii="Arial" w:hAnsi="Arial" w:cs="Arial"/>
          <w:i/>
          <w:sz w:val="16"/>
          <w:szCs w:val="16"/>
        </w:rPr>
        <w:t xml:space="preserve">by operating activities divided by the basic and diluted weighted average number of common shares outstanding for the period. See “Summary of Financial Information”. </w:t>
      </w:r>
    </w:p>
    <w:p w14:paraId="2E056E3C" w14:textId="3B082984" w:rsidR="001402A6" w:rsidRPr="00B673D6" w:rsidRDefault="003760A5" w:rsidP="001402A6">
      <w:pPr>
        <w:pStyle w:val="BodyText"/>
        <w:widowControl w:val="0"/>
        <w:spacing w:before="60" w:after="0" w:line="240" w:lineRule="auto"/>
        <w:rPr>
          <w:rFonts w:ascii="Arial" w:hAnsi="Arial" w:cs="Arial"/>
          <w:i/>
          <w:sz w:val="16"/>
          <w:szCs w:val="16"/>
        </w:rPr>
      </w:pPr>
      <w:r w:rsidRPr="00B673D6">
        <w:rPr>
          <w:rFonts w:ascii="Arial" w:hAnsi="Arial" w:cs="Arial"/>
          <w:i/>
          <w:sz w:val="16"/>
          <w:szCs w:val="16"/>
        </w:rPr>
        <w:t>“</w:t>
      </w:r>
      <w:r w:rsidR="001402A6" w:rsidRPr="00B673D6">
        <w:rPr>
          <w:rFonts w:ascii="Arial" w:hAnsi="Arial" w:cs="Arial"/>
          <w:i/>
          <w:sz w:val="16"/>
          <w:szCs w:val="16"/>
        </w:rPr>
        <w:t>Net cash per share – operating activities</w:t>
      </w:r>
      <w:r w:rsidRPr="00B673D6">
        <w:rPr>
          <w:rFonts w:ascii="Arial" w:hAnsi="Arial" w:cs="Arial"/>
          <w:i/>
          <w:sz w:val="16"/>
          <w:szCs w:val="16"/>
        </w:rPr>
        <w:t>”</w:t>
      </w:r>
      <w:r w:rsidR="001402A6" w:rsidRPr="00B673D6">
        <w:rPr>
          <w:rFonts w:ascii="Arial" w:hAnsi="Arial" w:cs="Arial"/>
          <w:i/>
          <w:sz w:val="16"/>
          <w:szCs w:val="16"/>
        </w:rPr>
        <w:t xml:space="preserve"> is a supplemental financial measure. Net cash per share – operating activities is comprised of net cash provided </w:t>
      </w:r>
      <w:r w:rsidR="00DC19F1" w:rsidRPr="00B673D6">
        <w:rPr>
          <w:rFonts w:ascii="Arial" w:hAnsi="Arial" w:cs="Arial"/>
          <w:i/>
          <w:sz w:val="16"/>
          <w:szCs w:val="16"/>
        </w:rPr>
        <w:t xml:space="preserve">(used) </w:t>
      </w:r>
      <w:r w:rsidR="001402A6" w:rsidRPr="00B673D6">
        <w:rPr>
          <w:rFonts w:ascii="Arial" w:hAnsi="Arial" w:cs="Arial"/>
          <w:i/>
          <w:sz w:val="16"/>
          <w:szCs w:val="16"/>
        </w:rPr>
        <w:t>by operating activities divided by the basic and diluted weighted average number of common shares outstanding for the period. See “Summary of Financial Information”.</w:t>
      </w:r>
    </w:p>
    <w:p w14:paraId="2162BD14" w14:textId="44E967CC" w:rsidR="0061268E" w:rsidRPr="00B673D6" w:rsidRDefault="003760A5" w:rsidP="001402A6">
      <w:pPr>
        <w:pStyle w:val="BodyText"/>
        <w:widowControl w:val="0"/>
        <w:spacing w:before="60" w:after="0" w:line="240" w:lineRule="auto"/>
        <w:rPr>
          <w:rFonts w:ascii="Arial" w:hAnsi="Arial" w:cs="Arial"/>
          <w:i/>
          <w:sz w:val="16"/>
          <w:szCs w:val="16"/>
        </w:rPr>
      </w:pPr>
      <w:r w:rsidRPr="00B673D6">
        <w:rPr>
          <w:rFonts w:ascii="Arial" w:hAnsi="Arial" w:cs="Arial"/>
          <w:i/>
          <w:sz w:val="16"/>
          <w:szCs w:val="16"/>
        </w:rPr>
        <w:t>“</w:t>
      </w:r>
      <w:r w:rsidR="001402A6" w:rsidRPr="00B673D6">
        <w:rPr>
          <w:rFonts w:ascii="Arial" w:hAnsi="Arial" w:cs="Arial"/>
          <w:i/>
          <w:sz w:val="16"/>
          <w:szCs w:val="16"/>
        </w:rPr>
        <w:t>Non-current financial liabilities</w:t>
      </w:r>
      <w:r w:rsidRPr="00B673D6">
        <w:rPr>
          <w:rFonts w:ascii="Arial" w:hAnsi="Arial" w:cs="Arial"/>
          <w:i/>
          <w:sz w:val="16"/>
          <w:szCs w:val="16"/>
        </w:rPr>
        <w:t>”</w:t>
      </w:r>
      <w:r w:rsidR="001402A6" w:rsidRPr="00B673D6">
        <w:rPr>
          <w:rFonts w:ascii="Arial" w:hAnsi="Arial" w:cs="Arial"/>
          <w:i/>
          <w:sz w:val="16"/>
          <w:szCs w:val="16"/>
        </w:rPr>
        <w:t xml:space="preserve"> is a supplemental financial measure.  Non-current financial liabilities </w:t>
      </w:r>
      <w:proofErr w:type="gramStart"/>
      <w:r w:rsidR="001402A6" w:rsidRPr="00B673D6">
        <w:rPr>
          <w:rFonts w:ascii="Arial" w:hAnsi="Arial" w:cs="Arial"/>
          <w:i/>
          <w:sz w:val="16"/>
          <w:szCs w:val="16"/>
        </w:rPr>
        <w:t>is</w:t>
      </w:r>
      <w:proofErr w:type="gramEnd"/>
      <w:r w:rsidR="001402A6" w:rsidRPr="00B673D6">
        <w:rPr>
          <w:rFonts w:ascii="Arial" w:hAnsi="Arial" w:cs="Arial"/>
          <w:i/>
          <w:sz w:val="16"/>
          <w:szCs w:val="16"/>
        </w:rPr>
        <w:t xml:space="preserve"> comprised of the non-current portions of trade and other payables, notes payable and lease liabilities as presented in the Company’s consolidated statements of financial position.  See “Summary of Financial Information”.</w:t>
      </w:r>
    </w:p>
    <w:p w14:paraId="63FC7477" w14:textId="31093B3E" w:rsidR="003F2A86" w:rsidRPr="00B673D6" w:rsidRDefault="003760A5" w:rsidP="003F2A86">
      <w:pPr>
        <w:pStyle w:val="Ne3"/>
        <w:widowControl w:val="0"/>
        <w:spacing w:before="60" w:line="240" w:lineRule="auto"/>
        <w:ind w:left="0"/>
        <w:rPr>
          <w:rFonts w:cs="Arial"/>
          <w:i/>
          <w:sz w:val="16"/>
          <w:szCs w:val="16"/>
        </w:rPr>
      </w:pPr>
      <w:r w:rsidRPr="00B673D6">
        <w:rPr>
          <w:rFonts w:cs="Arial"/>
          <w:i/>
          <w:sz w:val="16"/>
          <w:szCs w:val="16"/>
        </w:rPr>
        <w:t>“</w:t>
      </w:r>
      <w:r w:rsidR="003F2A86" w:rsidRPr="00B673D6">
        <w:rPr>
          <w:rFonts w:cs="Arial"/>
          <w:i/>
          <w:sz w:val="16"/>
          <w:szCs w:val="16"/>
        </w:rPr>
        <w:t>Operating Netback</w:t>
      </w:r>
      <w:r w:rsidRPr="00B673D6">
        <w:rPr>
          <w:rFonts w:cs="Arial"/>
          <w:i/>
          <w:sz w:val="16"/>
          <w:szCs w:val="16"/>
        </w:rPr>
        <w:t>”</w:t>
      </w:r>
      <w:r w:rsidR="003F2A86" w:rsidRPr="00B673D6">
        <w:rPr>
          <w:rFonts w:cs="Arial"/>
          <w:i/>
          <w:sz w:val="16"/>
          <w:szCs w:val="16"/>
        </w:rPr>
        <w:t xml:space="preserve"> is a non-IFRS measure.  Operating netback is comprised of oil and natural gas sales </w:t>
      </w:r>
      <w:r w:rsidR="00075E49" w:rsidRPr="00B673D6">
        <w:rPr>
          <w:rFonts w:cs="Arial"/>
          <w:i/>
          <w:sz w:val="16"/>
          <w:szCs w:val="16"/>
        </w:rPr>
        <w:t xml:space="preserve">revenue </w:t>
      </w:r>
      <w:r w:rsidR="003F2A86" w:rsidRPr="00B673D6">
        <w:rPr>
          <w:rFonts w:cs="Arial"/>
          <w:i/>
          <w:sz w:val="16"/>
          <w:szCs w:val="16"/>
        </w:rPr>
        <w:t xml:space="preserve">less export tax, royalties and turnover tax and operating costs.  </w:t>
      </w:r>
      <w:r w:rsidR="003F2A86" w:rsidRPr="00B673D6">
        <w:rPr>
          <w:i/>
          <w:sz w:val="16"/>
          <w:szCs w:val="16"/>
        </w:rPr>
        <w:t xml:space="preserve">Management believes this measure is a useful supplemental measure of the Company’s profitability relative to commodity prices.  </w:t>
      </w:r>
      <w:r w:rsidR="003F2A86" w:rsidRPr="00B673D6">
        <w:rPr>
          <w:rFonts w:cs="Arial"/>
          <w:i/>
          <w:sz w:val="16"/>
          <w:szCs w:val="16"/>
        </w:rPr>
        <w:t>See “Operating Netback” for a reconciliation of operating netback to oil and natural gas sales revenue, being our nearest measure prescribed by IFRS.</w:t>
      </w:r>
    </w:p>
    <w:p w14:paraId="670CEF04" w14:textId="11A82452" w:rsidR="001402A6" w:rsidRPr="00B673D6" w:rsidRDefault="003760A5" w:rsidP="001402A6">
      <w:pPr>
        <w:pStyle w:val="BodyText"/>
        <w:widowControl w:val="0"/>
        <w:spacing w:before="60" w:after="0" w:line="240" w:lineRule="auto"/>
        <w:rPr>
          <w:rFonts w:ascii="Arial" w:hAnsi="Arial" w:cs="Arial"/>
          <w:i/>
          <w:sz w:val="16"/>
          <w:szCs w:val="16"/>
        </w:rPr>
      </w:pPr>
      <w:r w:rsidRPr="00B673D6">
        <w:rPr>
          <w:rFonts w:ascii="Arial" w:hAnsi="Arial" w:cs="Arial"/>
          <w:i/>
          <w:sz w:val="16"/>
          <w:szCs w:val="16"/>
        </w:rPr>
        <w:t>“</w:t>
      </w:r>
      <w:r w:rsidR="001402A6" w:rsidRPr="00B673D6">
        <w:rPr>
          <w:rFonts w:ascii="Arial" w:hAnsi="Arial" w:cs="Arial"/>
          <w:i/>
          <w:sz w:val="16"/>
          <w:szCs w:val="16"/>
        </w:rPr>
        <w:t>Operating netback per BOE</w:t>
      </w:r>
      <w:r w:rsidRPr="00B673D6">
        <w:rPr>
          <w:rFonts w:ascii="Arial" w:hAnsi="Arial" w:cs="Arial"/>
          <w:i/>
          <w:sz w:val="16"/>
          <w:szCs w:val="16"/>
        </w:rPr>
        <w:t>”</w:t>
      </w:r>
      <w:r w:rsidR="001402A6" w:rsidRPr="00B673D6">
        <w:rPr>
          <w:rFonts w:ascii="Arial" w:hAnsi="Arial" w:cs="Arial"/>
          <w:i/>
          <w:sz w:val="16"/>
          <w:szCs w:val="16"/>
        </w:rPr>
        <w:t xml:space="preserve"> is a non-IFRS ratio.  Operating netback per BOE is comprised of operating netback divided by total BOE sales volumes in the period.  Management believes this measure is a useful supplemental measure of the Company’s profitability relative to commodity prices.  In addition, management believes that operating netback per BOE is a key industry performance measure of operational efficiency and provide investors with information that is also commonly presented by other crude oil and natural gas producers.  Operating netback is a non-IFRS measure.  See "Operating Netback" for the calculation of operating netback per </w:t>
      </w:r>
      <w:r w:rsidR="001402A6" w:rsidRPr="00B673D6">
        <w:rPr>
          <w:rFonts w:ascii="Arial" w:hAnsi="Arial" w:cs="Arial"/>
          <w:i/>
          <w:sz w:val="16"/>
          <w:szCs w:val="16"/>
        </w:rPr>
        <w:lastRenderedPageBreak/>
        <w:t>BOE.</w:t>
      </w:r>
    </w:p>
    <w:p w14:paraId="763A5AF8" w14:textId="077BCAE9" w:rsidR="001402A6" w:rsidRPr="00B673D6" w:rsidRDefault="003760A5" w:rsidP="001402A6">
      <w:pPr>
        <w:pStyle w:val="BodyText"/>
        <w:widowControl w:val="0"/>
        <w:spacing w:before="60" w:after="0" w:line="240" w:lineRule="auto"/>
        <w:rPr>
          <w:rFonts w:ascii="Arial" w:hAnsi="Arial" w:cs="Arial"/>
          <w:i/>
          <w:sz w:val="16"/>
          <w:szCs w:val="16"/>
        </w:rPr>
      </w:pPr>
      <w:r w:rsidRPr="00B673D6">
        <w:rPr>
          <w:rFonts w:ascii="Arial" w:hAnsi="Arial" w:cs="Arial"/>
          <w:i/>
          <w:sz w:val="16"/>
          <w:szCs w:val="16"/>
        </w:rPr>
        <w:t>“</w:t>
      </w:r>
      <w:r w:rsidR="001402A6" w:rsidRPr="00B673D6">
        <w:rPr>
          <w:rFonts w:ascii="Arial" w:hAnsi="Arial" w:cs="Arial"/>
          <w:i/>
          <w:sz w:val="16"/>
          <w:szCs w:val="16"/>
        </w:rPr>
        <w:t>Working capital</w:t>
      </w:r>
      <w:r w:rsidRPr="00B673D6">
        <w:rPr>
          <w:rFonts w:ascii="Arial" w:hAnsi="Arial" w:cs="Arial"/>
          <w:i/>
          <w:sz w:val="16"/>
          <w:szCs w:val="16"/>
        </w:rPr>
        <w:t>”</w:t>
      </w:r>
      <w:r w:rsidR="001402A6" w:rsidRPr="00B673D6">
        <w:rPr>
          <w:rFonts w:ascii="Arial" w:hAnsi="Arial" w:cs="Arial"/>
          <w:i/>
          <w:sz w:val="16"/>
          <w:szCs w:val="16"/>
        </w:rPr>
        <w:t xml:space="preserve"> is a capital management measure.  Working capital is comprised of current assets </w:t>
      </w:r>
      <w:proofErr w:type="gramStart"/>
      <w:r w:rsidR="001402A6" w:rsidRPr="00B673D6">
        <w:rPr>
          <w:rFonts w:ascii="Arial" w:hAnsi="Arial" w:cs="Arial"/>
          <w:i/>
          <w:sz w:val="16"/>
          <w:szCs w:val="16"/>
        </w:rPr>
        <w:t>less</w:t>
      </w:r>
      <w:proofErr w:type="gramEnd"/>
      <w:r w:rsidR="001402A6" w:rsidRPr="00B673D6">
        <w:rPr>
          <w:rFonts w:ascii="Arial" w:hAnsi="Arial" w:cs="Arial"/>
          <w:i/>
          <w:sz w:val="16"/>
          <w:szCs w:val="16"/>
        </w:rPr>
        <w:t xml:space="preserve"> current liabilities.  Management believes that working capital is a useful measure to assess the Company's capital position and its ability to execute its existing exploration commitments and its share of any development programs.  See “Summary of Financial Information” for a reconciliation of working capital to current assets and current liabilities, being our nearest measures prescribed by IFRS.</w:t>
      </w:r>
    </w:p>
    <w:p w14:paraId="37C0D93A" w14:textId="38D0131E" w:rsidR="00111AED" w:rsidRPr="00B673D6" w:rsidRDefault="00111AED" w:rsidP="00912885">
      <w:pPr>
        <w:widowControl w:val="0"/>
        <w:spacing w:before="60"/>
        <w:jc w:val="both"/>
        <w:rPr>
          <w:rFonts w:ascii="Arial" w:hAnsi="Arial" w:cs="Arial"/>
          <w:i/>
          <w:sz w:val="16"/>
          <w:szCs w:val="16"/>
        </w:rPr>
      </w:pPr>
      <w:r w:rsidRPr="00B673D6">
        <w:rPr>
          <w:rFonts w:ascii="Arial" w:eastAsia="Calibri" w:hAnsi="Arial" w:cs="Arial"/>
          <w:i/>
          <w:sz w:val="16"/>
          <w:szCs w:val="16"/>
          <w:u w:val="single"/>
        </w:rPr>
        <w:t>Abbreviations and BOE Presentation</w:t>
      </w:r>
      <w:r w:rsidRPr="00B673D6">
        <w:rPr>
          <w:rFonts w:ascii="Arial" w:eastAsia="Calibri" w:hAnsi="Arial" w:cs="Arial"/>
          <w:i/>
          <w:sz w:val="16"/>
          <w:szCs w:val="16"/>
        </w:rPr>
        <w:t xml:space="preserve">: </w:t>
      </w:r>
      <w:r w:rsidR="003760A5" w:rsidRPr="00B673D6">
        <w:rPr>
          <w:rFonts w:ascii="Arial" w:hAnsi="Arial" w:cs="Arial"/>
          <w:i/>
          <w:sz w:val="16"/>
          <w:szCs w:val="16"/>
        </w:rPr>
        <w:t>“</w:t>
      </w:r>
      <w:proofErr w:type="spellStart"/>
      <w:r w:rsidRPr="00B673D6">
        <w:rPr>
          <w:rFonts w:ascii="Arial" w:hAnsi="Arial" w:cs="Arial"/>
          <w:i/>
          <w:sz w:val="16"/>
          <w:szCs w:val="16"/>
        </w:rPr>
        <w:t>bbl</w:t>
      </w:r>
      <w:proofErr w:type="spellEnd"/>
      <w:r w:rsidR="003760A5" w:rsidRPr="00B673D6">
        <w:rPr>
          <w:rFonts w:ascii="Arial" w:hAnsi="Arial" w:cs="Arial"/>
          <w:i/>
          <w:sz w:val="16"/>
          <w:szCs w:val="16"/>
        </w:rPr>
        <w:t>”</w:t>
      </w:r>
      <w:r w:rsidRPr="00B673D6">
        <w:rPr>
          <w:rFonts w:ascii="Arial" w:hAnsi="Arial" w:cs="Arial"/>
          <w:i/>
          <w:sz w:val="16"/>
          <w:szCs w:val="16"/>
        </w:rPr>
        <w:t xml:space="preserve"> means barrel;</w:t>
      </w:r>
      <w:r w:rsidRPr="00B673D6">
        <w:rPr>
          <w:rFonts w:ascii="Arial" w:eastAsia="Calibri" w:hAnsi="Arial" w:cs="Arial"/>
          <w:i/>
          <w:sz w:val="16"/>
          <w:szCs w:val="16"/>
        </w:rPr>
        <w:t xml:space="preserve"> </w:t>
      </w:r>
      <w:r w:rsidR="003760A5" w:rsidRPr="00B673D6">
        <w:rPr>
          <w:rFonts w:ascii="Arial" w:hAnsi="Arial" w:cs="Arial"/>
          <w:i/>
          <w:sz w:val="16"/>
          <w:szCs w:val="16"/>
        </w:rPr>
        <w:t>“</w:t>
      </w:r>
      <w:proofErr w:type="spellStart"/>
      <w:r w:rsidRPr="00B673D6">
        <w:rPr>
          <w:rFonts w:ascii="Arial" w:eastAsia="Calibri" w:hAnsi="Arial" w:cs="Arial"/>
          <w:i/>
          <w:sz w:val="16"/>
          <w:szCs w:val="16"/>
        </w:rPr>
        <w:t>bbls</w:t>
      </w:r>
      <w:proofErr w:type="spellEnd"/>
      <w:r w:rsidR="003760A5" w:rsidRPr="00B673D6">
        <w:rPr>
          <w:rFonts w:ascii="Arial" w:hAnsi="Arial" w:cs="Arial"/>
          <w:i/>
          <w:sz w:val="16"/>
          <w:szCs w:val="16"/>
        </w:rPr>
        <w:t>”</w:t>
      </w:r>
      <w:r w:rsidRPr="00B673D6">
        <w:rPr>
          <w:rFonts w:ascii="Arial" w:eastAsia="Calibri" w:hAnsi="Arial"/>
          <w:i/>
          <w:sz w:val="16"/>
          <w:szCs w:val="16"/>
        </w:rPr>
        <w:t xml:space="preserve"> means barrels; </w:t>
      </w:r>
      <w:r w:rsidR="003760A5" w:rsidRPr="00B673D6">
        <w:rPr>
          <w:rFonts w:ascii="Arial" w:hAnsi="Arial" w:cs="Arial"/>
          <w:i/>
          <w:sz w:val="16"/>
          <w:szCs w:val="16"/>
        </w:rPr>
        <w:t>“</w:t>
      </w:r>
      <w:r w:rsidRPr="00B673D6">
        <w:rPr>
          <w:rFonts w:ascii="Arial" w:eastAsia="Calibri" w:hAnsi="Arial" w:cs="Arial"/>
          <w:i/>
          <w:sz w:val="16"/>
          <w:szCs w:val="16"/>
        </w:rPr>
        <w:t>BOE</w:t>
      </w:r>
      <w:r w:rsidR="003760A5" w:rsidRPr="00B673D6">
        <w:rPr>
          <w:rFonts w:ascii="Arial" w:hAnsi="Arial" w:cs="Arial"/>
          <w:i/>
          <w:sz w:val="16"/>
          <w:szCs w:val="16"/>
        </w:rPr>
        <w:t>”</w:t>
      </w:r>
      <w:r w:rsidRPr="00B673D6">
        <w:rPr>
          <w:rFonts w:ascii="Arial" w:eastAsia="Calibri" w:hAnsi="Arial" w:cs="Arial"/>
          <w:i/>
          <w:sz w:val="16"/>
          <w:szCs w:val="16"/>
        </w:rPr>
        <w:t xml:space="preserve"> means barrels of oil equivalent; </w:t>
      </w:r>
      <w:r w:rsidR="003760A5" w:rsidRPr="00B673D6">
        <w:rPr>
          <w:rFonts w:ascii="Arial" w:hAnsi="Arial" w:cs="Arial"/>
          <w:i/>
          <w:sz w:val="16"/>
          <w:szCs w:val="16"/>
        </w:rPr>
        <w:t>“</w:t>
      </w:r>
      <w:r w:rsidRPr="00B673D6">
        <w:rPr>
          <w:rFonts w:ascii="Arial" w:eastAsia="Calibri" w:hAnsi="Arial" w:cs="Arial"/>
          <w:i/>
          <w:sz w:val="16"/>
          <w:szCs w:val="16"/>
        </w:rPr>
        <w:t>mcf” means thousand cubic feet</w:t>
      </w:r>
      <w:r w:rsidR="00487E73" w:rsidRPr="00B673D6">
        <w:rPr>
          <w:rFonts w:ascii="Arial" w:eastAsia="Calibri" w:hAnsi="Arial" w:cs="Arial"/>
          <w:i/>
          <w:sz w:val="16"/>
          <w:szCs w:val="16"/>
        </w:rPr>
        <w:t>;</w:t>
      </w:r>
      <w:r w:rsidRPr="00B673D6">
        <w:rPr>
          <w:rFonts w:ascii="Arial" w:eastAsia="Calibri" w:hAnsi="Arial" w:cs="Arial"/>
          <w:i/>
          <w:sz w:val="16"/>
          <w:szCs w:val="16"/>
        </w:rPr>
        <w:t xml:space="preserve"> </w:t>
      </w:r>
      <w:r w:rsidR="003760A5" w:rsidRPr="00B673D6">
        <w:rPr>
          <w:rFonts w:ascii="Arial" w:hAnsi="Arial" w:cs="Arial"/>
          <w:i/>
          <w:sz w:val="16"/>
          <w:szCs w:val="16"/>
        </w:rPr>
        <w:t>“</w:t>
      </w:r>
      <w:proofErr w:type="spellStart"/>
      <w:r w:rsidRPr="00B673D6">
        <w:rPr>
          <w:rFonts w:ascii="Arial" w:eastAsia="Calibri" w:hAnsi="Arial" w:cs="Arial"/>
          <w:i/>
          <w:sz w:val="16"/>
          <w:szCs w:val="16"/>
        </w:rPr>
        <w:t>mmcf</w:t>
      </w:r>
      <w:proofErr w:type="spellEnd"/>
      <w:r w:rsidR="003760A5" w:rsidRPr="00B673D6">
        <w:rPr>
          <w:rFonts w:ascii="Arial" w:hAnsi="Arial" w:cs="Arial"/>
          <w:i/>
          <w:sz w:val="16"/>
          <w:szCs w:val="16"/>
        </w:rPr>
        <w:t>”</w:t>
      </w:r>
      <w:r w:rsidRPr="00B673D6">
        <w:rPr>
          <w:rFonts w:ascii="Arial" w:eastAsia="Calibri" w:hAnsi="Arial" w:cs="Arial"/>
          <w:i/>
          <w:sz w:val="16"/>
          <w:szCs w:val="16"/>
        </w:rPr>
        <w:t xml:space="preserve"> means million cubic feet, </w:t>
      </w:r>
      <w:r w:rsidR="003760A5" w:rsidRPr="00B673D6">
        <w:rPr>
          <w:rFonts w:ascii="Arial" w:hAnsi="Arial" w:cs="Arial"/>
          <w:i/>
          <w:sz w:val="16"/>
          <w:szCs w:val="16"/>
        </w:rPr>
        <w:t>“</w:t>
      </w:r>
      <w:r w:rsidRPr="00B673D6">
        <w:rPr>
          <w:rFonts w:ascii="Arial" w:eastAsia="Calibri" w:hAnsi="Arial" w:cs="Arial"/>
          <w:i/>
          <w:sz w:val="16"/>
          <w:szCs w:val="16"/>
        </w:rPr>
        <w:t>NGL</w:t>
      </w:r>
      <w:r w:rsidR="003760A5" w:rsidRPr="00B673D6">
        <w:rPr>
          <w:rFonts w:ascii="Arial" w:hAnsi="Arial" w:cs="Arial"/>
          <w:i/>
          <w:sz w:val="16"/>
          <w:szCs w:val="16"/>
        </w:rPr>
        <w:t>”</w:t>
      </w:r>
      <w:r w:rsidRPr="00B673D6">
        <w:rPr>
          <w:rFonts w:ascii="Arial" w:eastAsia="Calibri" w:hAnsi="Arial" w:cs="Arial"/>
          <w:i/>
          <w:sz w:val="16"/>
          <w:szCs w:val="16"/>
        </w:rPr>
        <w:t xml:space="preserve"> means natural gas liquids;</w:t>
      </w:r>
      <w:r w:rsidRPr="00B673D6">
        <w:rPr>
          <w:rFonts w:ascii="Arial" w:eastAsia="Calibri" w:hAnsi="Arial"/>
          <w:i/>
          <w:sz w:val="16"/>
          <w:szCs w:val="16"/>
        </w:rPr>
        <w:t xml:space="preserve"> </w:t>
      </w:r>
      <w:r w:rsidR="003760A5" w:rsidRPr="00B673D6">
        <w:rPr>
          <w:rFonts w:ascii="Arial" w:hAnsi="Arial" w:cs="Arial"/>
          <w:i/>
          <w:sz w:val="16"/>
          <w:szCs w:val="16"/>
        </w:rPr>
        <w:t>“</w:t>
      </w:r>
      <w:r w:rsidRPr="00B673D6">
        <w:rPr>
          <w:rFonts w:ascii="Arial" w:eastAsia="Calibri" w:hAnsi="Arial"/>
          <w:i/>
          <w:sz w:val="16"/>
          <w:szCs w:val="16"/>
        </w:rPr>
        <w:t>UTE</w:t>
      </w:r>
      <w:r w:rsidR="003760A5" w:rsidRPr="00B673D6">
        <w:rPr>
          <w:rFonts w:ascii="Arial" w:hAnsi="Arial" w:cs="Arial"/>
          <w:i/>
          <w:sz w:val="16"/>
          <w:szCs w:val="16"/>
        </w:rPr>
        <w:t>”</w:t>
      </w:r>
      <w:r w:rsidRPr="00B673D6">
        <w:rPr>
          <w:rFonts w:ascii="Arial" w:eastAsia="Calibri" w:hAnsi="Arial"/>
          <w:i/>
          <w:sz w:val="16"/>
          <w:szCs w:val="16"/>
        </w:rPr>
        <w:t xml:space="preserve"> </w:t>
      </w:r>
      <w:r w:rsidRPr="00B673D6">
        <w:rPr>
          <w:rFonts w:ascii="Arial" w:eastAsia="Calibri" w:hAnsi="Arial" w:cs="Arial"/>
          <w:i/>
          <w:sz w:val="16"/>
          <w:szCs w:val="16"/>
        </w:rPr>
        <w:t xml:space="preserve">means </w:t>
      </w:r>
      <w:r w:rsidRPr="00B673D6">
        <w:rPr>
          <w:rFonts w:ascii="Arial" w:hAnsi="Arial" w:cs="Arial"/>
          <w:i/>
          <w:sz w:val="16"/>
          <w:szCs w:val="16"/>
        </w:rPr>
        <w:t xml:space="preserve">Union </w:t>
      </w:r>
      <w:proofErr w:type="spellStart"/>
      <w:r w:rsidRPr="00B673D6">
        <w:rPr>
          <w:rFonts w:ascii="Arial" w:hAnsi="Arial" w:cs="Arial"/>
          <w:i/>
          <w:sz w:val="16"/>
          <w:szCs w:val="16"/>
        </w:rPr>
        <w:t>Transitoria</w:t>
      </w:r>
      <w:proofErr w:type="spellEnd"/>
      <w:r w:rsidRPr="00B673D6">
        <w:rPr>
          <w:rFonts w:ascii="Arial" w:hAnsi="Arial" w:cs="Arial"/>
          <w:i/>
          <w:sz w:val="16"/>
          <w:szCs w:val="16"/>
        </w:rPr>
        <w:t xml:space="preserve"> de Empresas, which is a registered joint venture contract established under the laws of Argentina</w:t>
      </w:r>
      <w:r w:rsidRPr="00B673D6">
        <w:rPr>
          <w:rFonts w:ascii="Arial" w:eastAsia="Calibri" w:hAnsi="Arial" w:cs="Arial"/>
          <w:i/>
          <w:sz w:val="16"/>
          <w:szCs w:val="16"/>
        </w:rPr>
        <w:t xml:space="preserve">; </w:t>
      </w:r>
      <w:r w:rsidR="003760A5" w:rsidRPr="00B673D6">
        <w:rPr>
          <w:rFonts w:ascii="Arial" w:hAnsi="Arial" w:cs="Arial"/>
          <w:i/>
          <w:sz w:val="16"/>
          <w:szCs w:val="16"/>
        </w:rPr>
        <w:t>“</w:t>
      </w:r>
      <w:r w:rsidRPr="00B673D6">
        <w:rPr>
          <w:rFonts w:ascii="Arial" w:eastAsia="Calibri" w:hAnsi="Arial"/>
          <w:i/>
          <w:sz w:val="16"/>
          <w:szCs w:val="16"/>
        </w:rPr>
        <w:t>WI</w:t>
      </w:r>
      <w:r w:rsidR="003760A5" w:rsidRPr="00B673D6">
        <w:rPr>
          <w:rFonts w:ascii="Arial" w:hAnsi="Arial" w:cs="Arial"/>
          <w:i/>
          <w:sz w:val="16"/>
          <w:szCs w:val="16"/>
        </w:rPr>
        <w:t>”</w:t>
      </w:r>
      <w:r w:rsidRPr="00B673D6">
        <w:rPr>
          <w:rFonts w:ascii="Arial" w:eastAsia="Calibri" w:hAnsi="Arial"/>
          <w:i/>
          <w:sz w:val="16"/>
          <w:szCs w:val="16"/>
        </w:rPr>
        <w:t xml:space="preserve"> means working interest</w:t>
      </w:r>
      <w:r w:rsidRPr="00B673D6">
        <w:rPr>
          <w:rFonts w:ascii="Arial" w:hAnsi="Arial" w:cs="Arial"/>
          <w:i/>
          <w:sz w:val="16"/>
          <w:szCs w:val="16"/>
        </w:rPr>
        <w:t>.</w:t>
      </w:r>
      <w:r w:rsidRPr="00B673D6">
        <w:rPr>
          <w:rFonts w:ascii="Arial" w:eastAsia="Calibri" w:hAnsi="Arial" w:cs="Arial"/>
          <w:i/>
          <w:sz w:val="16"/>
          <w:szCs w:val="16"/>
        </w:rPr>
        <w:t xml:space="preserve"> </w:t>
      </w:r>
      <w:r w:rsidRPr="00B673D6">
        <w:rPr>
          <w:rFonts w:ascii="Arial" w:hAnsi="Arial" w:cs="Arial"/>
          <w:i/>
          <w:sz w:val="16"/>
          <w:szCs w:val="16"/>
        </w:rPr>
        <w:t xml:space="preserve">All BOE conversions in this press release are derived by converting natural gas to oil in the ratio of six mcf of gas to one </w:t>
      </w:r>
      <w:proofErr w:type="spellStart"/>
      <w:r w:rsidRPr="00B673D6">
        <w:rPr>
          <w:rFonts w:ascii="Arial" w:hAnsi="Arial" w:cs="Arial"/>
          <w:i/>
          <w:sz w:val="16"/>
          <w:szCs w:val="16"/>
        </w:rPr>
        <w:t>bbl</w:t>
      </w:r>
      <w:proofErr w:type="spellEnd"/>
      <w:r w:rsidRPr="00B673D6">
        <w:rPr>
          <w:rFonts w:ascii="Arial" w:hAnsi="Arial" w:cs="Arial"/>
          <w:i/>
          <w:sz w:val="16"/>
          <w:szCs w:val="16"/>
        </w:rPr>
        <w:t xml:space="preserve"> of oil.  BOE may be misleading, particularly if used in isolation.  A BOE conversion ratio of six mcf of gas to one </w:t>
      </w:r>
      <w:proofErr w:type="spellStart"/>
      <w:r w:rsidRPr="00B673D6">
        <w:rPr>
          <w:rFonts w:ascii="Arial" w:hAnsi="Arial" w:cs="Arial"/>
          <w:i/>
          <w:sz w:val="16"/>
          <w:szCs w:val="16"/>
        </w:rPr>
        <w:t>bbl</w:t>
      </w:r>
      <w:proofErr w:type="spellEnd"/>
      <w:r w:rsidRPr="00B673D6">
        <w:rPr>
          <w:rFonts w:ascii="Arial" w:hAnsi="Arial" w:cs="Arial"/>
          <w:i/>
          <w:sz w:val="16"/>
          <w:szCs w:val="16"/>
        </w:rPr>
        <w:t xml:space="preserve"> of oil (6 mcf: 1 </w:t>
      </w:r>
      <w:proofErr w:type="spellStart"/>
      <w:r w:rsidRPr="00B673D6">
        <w:rPr>
          <w:rFonts w:ascii="Arial" w:hAnsi="Arial" w:cs="Arial"/>
          <w:i/>
          <w:sz w:val="16"/>
          <w:szCs w:val="16"/>
        </w:rPr>
        <w:t>bbl</w:t>
      </w:r>
      <w:proofErr w:type="spellEnd"/>
      <w:r w:rsidRPr="00B673D6">
        <w:rPr>
          <w:rFonts w:ascii="Arial" w:hAnsi="Arial" w:cs="Arial"/>
          <w:i/>
          <w:sz w:val="16"/>
          <w:szCs w:val="16"/>
        </w:rPr>
        <w:t>) is based on an energy equivalency conversion method primarily applicable at the burner tip and does not represent a value equivalency at the wellhead.  Given that the value ratio based on the price of crude oil as compared to natural gas in Argentina from time to time may be different from the energy equivalency conversion ratio of 6:1, utilizing a conversion on a 6:1 basis may be misleading as an indication of value.</w:t>
      </w:r>
    </w:p>
    <w:p w14:paraId="7C5A46BB" w14:textId="44B9D81A" w:rsidR="00111AED" w:rsidRPr="00B673D6" w:rsidRDefault="00665EA7" w:rsidP="00732E00">
      <w:pPr>
        <w:pStyle w:val="Ne3"/>
        <w:widowControl w:val="0"/>
        <w:spacing w:before="60" w:line="240" w:lineRule="auto"/>
        <w:ind w:left="0"/>
        <w:rPr>
          <w:color w:val="FF0000"/>
          <w:sz w:val="16"/>
          <w:szCs w:val="16"/>
        </w:rPr>
      </w:pPr>
      <w:bookmarkStart w:id="2" w:name="_Hlk150355452"/>
      <w:bookmarkStart w:id="3" w:name="_Hlk118884858"/>
      <w:r w:rsidRPr="00B673D6">
        <w:rPr>
          <w:rFonts w:eastAsia="Calibri" w:cs="Arial"/>
          <w:i/>
          <w:sz w:val="16"/>
          <w:szCs w:val="16"/>
          <w:u w:val="single"/>
        </w:rPr>
        <w:t>Forward-looking Information</w:t>
      </w:r>
      <w:r w:rsidRPr="00B673D6">
        <w:rPr>
          <w:rFonts w:eastAsia="Calibri" w:cs="Arial"/>
          <w:i/>
          <w:sz w:val="16"/>
          <w:szCs w:val="16"/>
        </w:rPr>
        <w:t xml:space="preserve">: </w:t>
      </w:r>
      <w:r w:rsidRPr="00B673D6">
        <w:rPr>
          <w:rFonts w:cs="Arial"/>
          <w:i/>
          <w:sz w:val="16"/>
          <w:szCs w:val="16"/>
        </w:rPr>
        <w:t>This document contains forward-looking information.  This information relates to future events and the Company’s future performance.  All information and statements contained herein that are not clearly historical in nature constitute forward-looking information.  Such information represents th</w:t>
      </w:r>
      <w:r w:rsidRPr="00B673D6">
        <w:rPr>
          <w:i/>
          <w:sz w:val="16"/>
          <w:szCs w:val="16"/>
        </w:rPr>
        <w:t>e Company’s internal projections, estimates, expectations, beliefs, plans, objectives, assumptions, intentions or statements about future events or performance.  This information involves known or unknown risks, uncertainties and other factors that may cause actual results or events to differ materially from those anticipated in such forward-looking information.  In addition, this document may contain forward-looking information attributed to third party industry sources.  Crown Point believes that the expectations reflected in this forward-looking information are reasonable; however, undue reliance should not be placed on this forward-looking information, as there can be no assurance that the plans, intentions or expectations upon which they are based will occur. This press release contains forward-looking information concerning, among other things, the following:</w:t>
      </w:r>
      <w:r w:rsidR="001575D5" w:rsidRPr="00B673D6">
        <w:rPr>
          <w:i/>
          <w:sz w:val="16"/>
          <w:szCs w:val="16"/>
        </w:rPr>
        <w:t xml:space="preserve"> </w:t>
      </w:r>
      <w:r w:rsidRPr="00B673D6">
        <w:rPr>
          <w:i/>
          <w:sz w:val="16"/>
          <w:szCs w:val="16"/>
        </w:rPr>
        <w:t xml:space="preserve">our estimated capital expenditure budget for fiscal </w:t>
      </w:r>
      <w:r w:rsidR="00E30C31" w:rsidRPr="00B673D6">
        <w:rPr>
          <w:i/>
          <w:sz w:val="16"/>
          <w:szCs w:val="16"/>
        </w:rPr>
        <w:t>202</w:t>
      </w:r>
      <w:r w:rsidR="00B673D6">
        <w:rPr>
          <w:i/>
          <w:sz w:val="16"/>
          <w:szCs w:val="16"/>
        </w:rPr>
        <w:t>6</w:t>
      </w:r>
      <w:r w:rsidRPr="00B673D6">
        <w:rPr>
          <w:i/>
          <w:sz w:val="16"/>
          <w:szCs w:val="16"/>
        </w:rPr>
        <w:t>, and the capital expenditures that we intend to make in</w:t>
      </w:r>
      <w:r w:rsidR="00E22038">
        <w:rPr>
          <w:i/>
          <w:sz w:val="16"/>
          <w:szCs w:val="16"/>
        </w:rPr>
        <w:t xml:space="preserve"> </w:t>
      </w:r>
      <w:r w:rsidR="009F6FE3">
        <w:rPr>
          <w:i/>
          <w:sz w:val="16"/>
          <w:szCs w:val="16"/>
        </w:rPr>
        <w:t xml:space="preserve">each of </w:t>
      </w:r>
      <w:r w:rsidRPr="00B673D6">
        <w:rPr>
          <w:i/>
          <w:sz w:val="16"/>
          <w:szCs w:val="16"/>
        </w:rPr>
        <w:t xml:space="preserve">our </w:t>
      </w:r>
      <w:r w:rsidR="003C4352" w:rsidRPr="00B673D6">
        <w:rPr>
          <w:i/>
          <w:sz w:val="16"/>
          <w:szCs w:val="16"/>
        </w:rPr>
        <w:t>concessions</w:t>
      </w:r>
      <w:r w:rsidR="00C40AD6" w:rsidRPr="00B673D6">
        <w:rPr>
          <w:i/>
          <w:sz w:val="16"/>
          <w:szCs w:val="16"/>
        </w:rPr>
        <w:t xml:space="preserve"> during </w:t>
      </w:r>
      <w:r w:rsidR="00E14D7F" w:rsidRPr="00B673D6">
        <w:rPr>
          <w:i/>
          <w:sz w:val="16"/>
          <w:szCs w:val="16"/>
        </w:rPr>
        <w:t xml:space="preserve">such </w:t>
      </w:r>
      <w:r w:rsidR="00C40AD6" w:rsidRPr="00B673D6">
        <w:rPr>
          <w:i/>
          <w:sz w:val="16"/>
          <w:szCs w:val="16"/>
        </w:rPr>
        <w:t>period</w:t>
      </w:r>
      <w:r w:rsidRPr="00B673D6">
        <w:rPr>
          <w:i/>
          <w:sz w:val="16"/>
          <w:szCs w:val="16"/>
        </w:rPr>
        <w:t xml:space="preserve">. The reader is cautioned that such information, although considered reasonable by the Company, may prove to be incorrect. Actual results achieved during the forecast period will vary from the information provided in this document </w:t>
      </w:r>
      <w:proofErr w:type="gramStart"/>
      <w:r w:rsidRPr="00B673D6">
        <w:rPr>
          <w:i/>
          <w:sz w:val="16"/>
          <w:szCs w:val="16"/>
        </w:rPr>
        <w:t>as a result of</w:t>
      </w:r>
      <w:proofErr w:type="gramEnd"/>
      <w:r w:rsidRPr="00B673D6">
        <w:rPr>
          <w:i/>
          <w:sz w:val="16"/>
          <w:szCs w:val="16"/>
        </w:rPr>
        <w:t xml:space="preserve"> numerous known and unknown risks and uncertainties and other factors. A number of risks and other factors could cause actual results to differ materially from those expressed in the forward-looking information contained in this document including, but not limited to, the following: </w:t>
      </w:r>
      <w:r w:rsidR="00B673D6" w:rsidRPr="00B673D6">
        <w:rPr>
          <w:rFonts w:eastAsia="Arial" w:cs="Arial"/>
          <w:i/>
          <w:color w:val="000000"/>
          <w:sz w:val="16"/>
          <w:szCs w:val="16"/>
        </w:rPr>
        <w:t>that the tariffs imposed or threatened to be imposed by the U.S. on other countries, and retaliatory tariffs imposed or threatened to be imposed by other countries on the U.S., will trigger a broader global trade war which could have a material adverse effect on global economies, and by extension the Argentine oil and natural gas industry and the Company, including by decreasing demand for (and the price of) oil and natural gas, disrupting supply chains, increasing costs, causing volatility in global financial markets, and limiting access to (and/or increasing the cost of) financing;</w:t>
      </w:r>
      <w:r w:rsidR="00B47815" w:rsidRPr="00B673D6">
        <w:rPr>
          <w:rFonts w:cs="Arial"/>
          <w:i/>
          <w:spacing w:val="5"/>
          <w:sz w:val="16"/>
          <w:szCs w:val="16"/>
        </w:rPr>
        <w:t xml:space="preserve"> </w:t>
      </w:r>
      <w:r w:rsidR="003F01A7" w:rsidRPr="00B673D6">
        <w:rPr>
          <w:rFonts w:cs="Arial"/>
          <w:i/>
          <w:spacing w:val="5"/>
          <w:sz w:val="16"/>
          <w:szCs w:val="16"/>
        </w:rPr>
        <w:t xml:space="preserve">that </w:t>
      </w:r>
      <w:r w:rsidR="003F01A7" w:rsidRPr="00B673D6">
        <w:rPr>
          <w:i/>
          <w:sz w:val="16"/>
          <w:szCs w:val="16"/>
        </w:rPr>
        <w:t xml:space="preserve">the Company is not able to meet its obligations as they become due and continue as a going concern; </w:t>
      </w:r>
      <w:r w:rsidR="00DB35F2" w:rsidRPr="00B673D6">
        <w:rPr>
          <w:i/>
          <w:sz w:val="16"/>
          <w:szCs w:val="16"/>
        </w:rPr>
        <w:t xml:space="preserve">risks associated with the insolvency and/or bankruptcy of our joint venture partners and/or the operators of the concessions in which we have an interest, including the risk that any such insolvency and/or bankruptcy has an adverse effect on one of our UTEs, one of our concessions and/or the Company; </w:t>
      </w:r>
      <w:r w:rsidR="00C40AD6" w:rsidRPr="00B673D6">
        <w:rPr>
          <w:rFonts w:cs="Arial"/>
          <w:i/>
          <w:spacing w:val="5"/>
          <w:sz w:val="16"/>
          <w:szCs w:val="16"/>
        </w:rPr>
        <w:t xml:space="preserve">and </w:t>
      </w:r>
      <w:r w:rsidRPr="00B673D6">
        <w:rPr>
          <w:i/>
          <w:sz w:val="16"/>
          <w:szCs w:val="16"/>
        </w:rPr>
        <w:t>the risks and other factors described under “Business Risks and Uncertainties” in our MD&amp;A and under “Risk Factors” in the Company’s most recently filed Annual Information Form, which is available for viewing on SEDAR</w:t>
      </w:r>
      <w:r w:rsidR="00E30C31" w:rsidRPr="00B673D6">
        <w:rPr>
          <w:i/>
          <w:sz w:val="16"/>
          <w:szCs w:val="16"/>
        </w:rPr>
        <w:t>+</w:t>
      </w:r>
      <w:r w:rsidRPr="00B673D6">
        <w:rPr>
          <w:i/>
          <w:sz w:val="16"/>
          <w:szCs w:val="16"/>
        </w:rPr>
        <w:t xml:space="preserve"> at </w:t>
      </w:r>
      <w:hyperlink r:id="rId16" w:history="1">
        <w:r w:rsidR="00E30C31" w:rsidRPr="00B673D6">
          <w:rPr>
            <w:rStyle w:val="Hyperlink"/>
            <w:i/>
            <w:color w:val="auto"/>
            <w:sz w:val="16"/>
            <w:szCs w:val="16"/>
          </w:rPr>
          <w:t>www.sedarplus.ca</w:t>
        </w:r>
      </w:hyperlink>
      <w:r w:rsidRPr="00B673D6">
        <w:rPr>
          <w:i/>
          <w:sz w:val="16"/>
          <w:szCs w:val="16"/>
        </w:rPr>
        <w:t>.</w:t>
      </w:r>
      <w:r w:rsidR="00D13B29" w:rsidRPr="00B673D6">
        <w:rPr>
          <w:i/>
          <w:sz w:val="16"/>
          <w:szCs w:val="16"/>
        </w:rPr>
        <w:t xml:space="preserve"> </w:t>
      </w:r>
      <w:r w:rsidRPr="00B673D6">
        <w:rPr>
          <w:i/>
          <w:sz w:val="16"/>
          <w:szCs w:val="16"/>
        </w:rPr>
        <w:t xml:space="preserve"> With respect to forward-looking information contained in this document, the Company has made assumptions regarding, among other things:</w:t>
      </w:r>
      <w:r w:rsidR="00D7143A" w:rsidRPr="00B673D6">
        <w:rPr>
          <w:i/>
          <w:sz w:val="16"/>
          <w:szCs w:val="16"/>
        </w:rPr>
        <w:t xml:space="preserve"> </w:t>
      </w:r>
      <w:r w:rsidRPr="00B673D6">
        <w:rPr>
          <w:rFonts w:cs="Arial"/>
          <w:i/>
          <w:sz w:val="16"/>
          <w:szCs w:val="16"/>
        </w:rPr>
        <w:t xml:space="preserve">the ability and willingness of OPEC+ nations and other major producers of crude oil to balance crude oil production levels and thereby sustain higher global crude oil prices; </w:t>
      </w:r>
      <w:r w:rsidR="001365C2" w:rsidRPr="00B673D6">
        <w:rPr>
          <w:rFonts w:cs="Arial"/>
          <w:i/>
          <w:sz w:val="16"/>
          <w:szCs w:val="16"/>
        </w:rPr>
        <w:t xml:space="preserve">that our joint venture partners and the operators of our concessions </w:t>
      </w:r>
      <w:r w:rsidR="00D13B29" w:rsidRPr="00B673D6">
        <w:rPr>
          <w:rFonts w:cs="Arial"/>
          <w:i/>
          <w:sz w:val="16"/>
          <w:szCs w:val="16"/>
        </w:rPr>
        <w:t xml:space="preserve">that we do not operate </w:t>
      </w:r>
      <w:r w:rsidR="001365C2" w:rsidRPr="00B673D6">
        <w:rPr>
          <w:rFonts w:cs="Arial"/>
          <w:i/>
          <w:sz w:val="16"/>
          <w:szCs w:val="16"/>
        </w:rPr>
        <w:t xml:space="preserve">will </w:t>
      </w:r>
      <w:proofErr w:type="spellStart"/>
      <w:r w:rsidR="001365C2" w:rsidRPr="00B673D6">
        <w:rPr>
          <w:rFonts w:cs="Arial"/>
          <w:i/>
          <w:sz w:val="16"/>
          <w:szCs w:val="16"/>
        </w:rPr>
        <w:t>h</w:t>
      </w:r>
      <w:r w:rsidR="00DB35F2" w:rsidRPr="00B673D6">
        <w:rPr>
          <w:rFonts w:cs="Arial"/>
          <w:i/>
          <w:sz w:val="16"/>
          <w:szCs w:val="16"/>
        </w:rPr>
        <w:t>o</w:t>
      </w:r>
      <w:r w:rsidR="001365C2" w:rsidRPr="00B673D6">
        <w:rPr>
          <w:rFonts w:cs="Arial"/>
          <w:i/>
          <w:sz w:val="16"/>
          <w:szCs w:val="16"/>
        </w:rPr>
        <w:t>nour</w:t>
      </w:r>
      <w:proofErr w:type="spellEnd"/>
      <w:r w:rsidR="001365C2" w:rsidRPr="00B673D6">
        <w:rPr>
          <w:rFonts w:cs="Arial"/>
          <w:i/>
          <w:sz w:val="16"/>
          <w:szCs w:val="16"/>
        </w:rPr>
        <w:t xml:space="preserve"> their contractual commitments in a timely fashion and will not become insolvent or bankrupt; </w:t>
      </w:r>
      <w:r w:rsidRPr="00B673D6">
        <w:rPr>
          <w:rFonts w:cs="Arial"/>
          <w:i/>
          <w:sz w:val="16"/>
          <w:szCs w:val="16"/>
        </w:rPr>
        <w:t>the impact of inflation rates in Argentina and the devaluation of the Argentine peso against the USD on the Company; the impact of increasing competition; the general stability of the economic and political environment in which the Company operates, including operating under</w:t>
      </w:r>
      <w:r w:rsidRPr="00B673D6">
        <w:rPr>
          <w:i/>
          <w:sz w:val="16"/>
          <w:szCs w:val="16"/>
        </w:rPr>
        <w:t xml:space="preserve"> a consistent regulatory and legal framework in Argentina; future oil, natural gas and NGL prices (including the effects of governmental incentive programs and government price controls thereon); the timely receipt of any required regulatory approvals; the ability of the Company to obtain qualified staff, equipment and services in a timely and cost efficient manner; drilling results; the costs of obtaining equipment and personnel to complete the Company’s capital expenditure program; the </w:t>
      </w:r>
      <w:r w:rsidR="00DB6495" w:rsidRPr="00B673D6">
        <w:rPr>
          <w:i/>
          <w:sz w:val="16"/>
          <w:szCs w:val="16"/>
        </w:rPr>
        <w:t>ability to operate</w:t>
      </w:r>
      <w:r w:rsidRPr="00B673D6">
        <w:rPr>
          <w:i/>
          <w:sz w:val="16"/>
          <w:szCs w:val="16"/>
        </w:rPr>
        <w:t xml:space="preserve"> the projects </w:t>
      </w:r>
      <w:r w:rsidR="00DB6495" w:rsidRPr="00B673D6">
        <w:rPr>
          <w:i/>
          <w:sz w:val="16"/>
          <w:szCs w:val="16"/>
        </w:rPr>
        <w:t xml:space="preserve">in </w:t>
      </w:r>
      <w:r w:rsidRPr="00B673D6">
        <w:rPr>
          <w:i/>
          <w:sz w:val="16"/>
          <w:szCs w:val="16"/>
        </w:rPr>
        <w:t>which the Company has an interest in a safe, efficient and effective manner; that the Company will not pay dividends for the foreseeable future; the ability of the Company to obtain financing on acceptable terms when and if needed</w:t>
      </w:r>
      <w:r w:rsidR="00A55D2F" w:rsidRPr="00B673D6">
        <w:rPr>
          <w:i/>
          <w:sz w:val="16"/>
          <w:szCs w:val="16"/>
        </w:rPr>
        <w:t xml:space="preserve"> and continue as a going concern</w:t>
      </w:r>
      <w:r w:rsidRPr="00B673D6">
        <w:rPr>
          <w:i/>
          <w:sz w:val="16"/>
          <w:szCs w:val="16"/>
        </w:rPr>
        <w:t xml:space="preserve">; the ability of the Company to service its debt repayments when required; field production rates and decline rates; the ability to replace and expand oil and natural gas reserves through acquisition, development and exploration activities; the timing and costs of pipeline, storage and facility construction and expansion and the ability of the Company to secure adequate product transportation; currency, exchange, inflation and interest rates; the regulatory framework regarding royalties, taxes and environmental matters in Argentina; and the ability of the Company to successfully market its oil and natural gas products.  Management of Crown Point has included the above summary of assumptions and risks related to forward-looking information included in this document </w:t>
      </w:r>
      <w:proofErr w:type="gramStart"/>
      <w:r w:rsidRPr="00B673D6">
        <w:rPr>
          <w:i/>
          <w:sz w:val="16"/>
          <w:szCs w:val="16"/>
        </w:rPr>
        <w:t>in order to</w:t>
      </w:r>
      <w:proofErr w:type="gramEnd"/>
      <w:r w:rsidRPr="00B673D6">
        <w:rPr>
          <w:i/>
          <w:sz w:val="16"/>
          <w:szCs w:val="16"/>
        </w:rPr>
        <w:t xml:space="preserve"> provide investors with a more complete perspective on the Company’s future operations.  Readers are cautioned that this information may not </w:t>
      </w:r>
      <w:r w:rsidRPr="00B673D6">
        <w:rPr>
          <w:rFonts w:cs="Arial"/>
          <w:i/>
          <w:sz w:val="16"/>
          <w:szCs w:val="16"/>
        </w:rPr>
        <w:t xml:space="preserve">be appropriate for other purposes. Readers are cautioned that the foregoing lists of factors are not exhaustive.  The forward-looking information contained in this document are expressly qualified by this cautionary statement. The forward-looking information contained herein is made as of the date of this document and the Company disclaims any intent or obligation to update publicly any such forward-looking information, whether </w:t>
      </w:r>
      <w:proofErr w:type="gramStart"/>
      <w:r w:rsidRPr="00B673D6">
        <w:rPr>
          <w:rFonts w:cs="Arial"/>
          <w:i/>
          <w:sz w:val="16"/>
          <w:szCs w:val="16"/>
        </w:rPr>
        <w:t>as a result of</w:t>
      </w:r>
      <w:proofErr w:type="gramEnd"/>
      <w:r w:rsidRPr="00B673D6">
        <w:rPr>
          <w:rFonts w:cs="Arial"/>
          <w:i/>
          <w:sz w:val="16"/>
          <w:szCs w:val="16"/>
        </w:rPr>
        <w:t xml:space="preserve"> new information, future events or results or otherwise, other than as required by applicable Canadian securities laws.</w:t>
      </w:r>
      <w:bookmarkEnd w:id="2"/>
    </w:p>
    <w:bookmarkEnd w:id="3"/>
    <w:p w14:paraId="2E586AC5" w14:textId="77777777" w:rsidR="00CA24A5" w:rsidRPr="00127416" w:rsidRDefault="00111AED" w:rsidP="00980A99">
      <w:pPr>
        <w:widowControl w:val="0"/>
        <w:spacing w:before="60"/>
        <w:jc w:val="both"/>
        <w:rPr>
          <w:rFonts w:ascii="Arial" w:hAnsi="Arial"/>
          <w:b/>
          <w:i/>
          <w:sz w:val="14"/>
        </w:rPr>
      </w:pPr>
      <w:r w:rsidRPr="00B673D6">
        <w:rPr>
          <w:rFonts w:ascii="Arial" w:hAnsi="Arial"/>
          <w:b/>
          <w:i/>
          <w:sz w:val="16"/>
          <w:szCs w:val="16"/>
        </w:rPr>
        <w:t>Neither TSX Venture Exchange nor its Regulation Services Provider (as that term is defined in the policies of the TSX Venture Exchange) accepts responsibility for the adequacy or accuracy of this news release.</w:t>
      </w:r>
    </w:p>
    <w:sectPr w:rsidR="00CA24A5" w:rsidRPr="00127416" w:rsidSect="00FD2E11">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170" w:left="1440" w:header="360" w:footer="32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B3DB1" w14:textId="77777777" w:rsidR="00BD0D14" w:rsidRDefault="00BD0D14" w:rsidP="00451CF4">
      <w:r>
        <w:separator/>
      </w:r>
    </w:p>
  </w:endnote>
  <w:endnote w:type="continuationSeparator" w:id="0">
    <w:p w14:paraId="3F622311" w14:textId="77777777" w:rsidR="00BD0D14" w:rsidRDefault="00BD0D14" w:rsidP="00451CF4">
      <w:r>
        <w:continuationSeparator/>
      </w:r>
    </w:p>
  </w:endnote>
  <w:endnote w:type="continuationNotice" w:id="1">
    <w:p w14:paraId="0BA2CBAA" w14:textId="77777777" w:rsidR="00BD0D14" w:rsidRDefault="00BD0D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EngravrsRoman BT">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7E98F" w14:textId="77777777" w:rsidR="005955BF" w:rsidRDefault="00595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82F7C" w14:textId="77777777" w:rsidR="00184829" w:rsidRDefault="00184829" w:rsidP="00F768A1">
    <w:pPr>
      <w:pStyle w:val="Footer"/>
      <w:jc w:val="center"/>
      <w:rPr>
        <w:rFonts w:ascii="Arial Narrow" w:hAnsi="Arial Narrow"/>
        <w:color w:val="002060"/>
        <w:sz w:val="20"/>
        <w:szCs w:val="20"/>
        <w:lang w:val="fr-CA"/>
      </w:rPr>
    </w:pPr>
    <w:r>
      <w:rPr>
        <w:rFonts w:ascii="Arial Narrow" w:hAnsi="Arial Narrow"/>
        <w:color w:val="002060"/>
        <w:sz w:val="20"/>
        <w:szCs w:val="20"/>
        <w:lang w:val="fr-CA"/>
      </w:rPr>
      <w:t>PO Box 1562 Station M., Calgary, Alberta, Canada T2P 3B</w:t>
    </w:r>
    <w:proofErr w:type="gramStart"/>
    <w:r>
      <w:rPr>
        <w:rFonts w:ascii="Arial Narrow" w:hAnsi="Arial Narrow"/>
        <w:color w:val="002060"/>
        <w:sz w:val="20"/>
        <w:szCs w:val="20"/>
        <w:lang w:val="fr-CA"/>
      </w:rPr>
      <w:t xml:space="preserve">9  </w:t>
    </w:r>
    <w:r>
      <w:rPr>
        <w:rFonts w:ascii="Arial Narrow" w:hAnsi="Arial Narrow"/>
        <w:b/>
        <w:color w:val="002060"/>
        <w:sz w:val="20"/>
        <w:szCs w:val="20"/>
        <w:lang w:val="fr-CA"/>
      </w:rPr>
      <w:t>T</w:t>
    </w:r>
    <w:proofErr w:type="gramEnd"/>
    <w:r>
      <w:rPr>
        <w:rFonts w:ascii="Arial Narrow" w:hAnsi="Arial Narrow"/>
        <w:color w:val="002060"/>
        <w:sz w:val="20"/>
        <w:szCs w:val="20"/>
        <w:lang w:val="fr-CA"/>
      </w:rPr>
      <w:t xml:space="preserve"> </w:t>
    </w:r>
    <w:proofErr w:type="gramStart"/>
    <w:r>
      <w:rPr>
        <w:rFonts w:ascii="Arial Narrow" w:hAnsi="Arial Narrow"/>
        <w:color w:val="002060"/>
        <w:sz w:val="20"/>
        <w:szCs w:val="20"/>
        <w:lang w:val="fr-CA"/>
      </w:rPr>
      <w:t xml:space="preserve">403.232.1150  </w:t>
    </w:r>
    <w:r>
      <w:rPr>
        <w:rFonts w:ascii="Arial Narrow" w:hAnsi="Arial Narrow"/>
        <w:b/>
        <w:color w:val="002060"/>
        <w:sz w:val="20"/>
        <w:szCs w:val="20"/>
        <w:lang w:val="fr-CA"/>
      </w:rPr>
      <w:t>F</w:t>
    </w:r>
    <w:proofErr w:type="gramEnd"/>
    <w:r>
      <w:rPr>
        <w:rFonts w:ascii="Arial Narrow" w:hAnsi="Arial Narrow"/>
        <w:color w:val="002060"/>
        <w:sz w:val="20"/>
        <w:szCs w:val="20"/>
        <w:lang w:val="fr-CA"/>
      </w:rPr>
      <w:t xml:space="preserve">  403.232.1158</w:t>
    </w:r>
  </w:p>
  <w:p w14:paraId="4D32682F" w14:textId="77777777" w:rsidR="00184829" w:rsidRDefault="00184829" w:rsidP="00F768A1">
    <w:pPr>
      <w:pStyle w:val="Footer"/>
      <w:jc w:val="center"/>
      <w:rPr>
        <w:rFonts w:ascii="Arial Narrow" w:hAnsi="Arial Narrow"/>
        <w:b/>
        <w:color w:val="002060"/>
        <w:sz w:val="20"/>
        <w:szCs w:val="20"/>
        <w:lang w:val="fr-CA"/>
      </w:rPr>
    </w:pPr>
    <w:r>
      <w:rPr>
        <w:rFonts w:ascii="Arial Narrow" w:hAnsi="Arial Narrow"/>
        <w:b/>
        <w:color w:val="002060"/>
        <w:sz w:val="20"/>
        <w:szCs w:val="20"/>
        <w:lang w:val="fr-CA"/>
      </w:rPr>
      <w:t>www.crownpointenergy.com</w:t>
    </w:r>
  </w:p>
  <w:p w14:paraId="21D3BF7F" w14:textId="77777777" w:rsidR="00184829" w:rsidRPr="005E10D3" w:rsidRDefault="00184829" w:rsidP="00FD5D14">
    <w:pPr>
      <w:pStyle w:val="Footer"/>
      <w:spacing w:line="200" w:lineRule="exact"/>
      <w:rPr>
        <w:rFonts w:ascii="Arial Narrow" w:hAnsi="Arial Narrow"/>
        <w:b/>
        <w:color w:val="002060"/>
        <w:sz w:val="20"/>
        <w:szCs w:val="20"/>
        <w:lang w:val="fr-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0A78C" w14:textId="77777777" w:rsidR="005955BF" w:rsidRDefault="00595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A40ED" w14:textId="77777777" w:rsidR="00BD0D14" w:rsidRDefault="00BD0D14" w:rsidP="00451CF4">
      <w:r>
        <w:separator/>
      </w:r>
    </w:p>
  </w:footnote>
  <w:footnote w:type="continuationSeparator" w:id="0">
    <w:p w14:paraId="2CAED3EE" w14:textId="77777777" w:rsidR="00BD0D14" w:rsidRDefault="00BD0D14" w:rsidP="00451CF4">
      <w:r>
        <w:continuationSeparator/>
      </w:r>
    </w:p>
  </w:footnote>
  <w:footnote w:type="continuationNotice" w:id="1">
    <w:p w14:paraId="41ABCE0B" w14:textId="77777777" w:rsidR="00BD0D14" w:rsidRDefault="00BD0D14"/>
  </w:footnote>
  <w:footnote w:id="2">
    <w:p w14:paraId="2519C5DA" w14:textId="5A0D6BDF" w:rsidR="002D3101" w:rsidRPr="006865E7" w:rsidRDefault="002D3101" w:rsidP="002D3101">
      <w:pPr>
        <w:pStyle w:val="FootnoteText"/>
        <w:rPr>
          <w:rFonts w:ascii="Arial" w:hAnsi="Arial" w:cs="Arial"/>
          <w:sz w:val="16"/>
          <w:szCs w:val="16"/>
          <w:lang w:val="en-CA"/>
        </w:rPr>
      </w:pPr>
      <w:r>
        <w:rPr>
          <w:rStyle w:val="FootnoteReference"/>
          <w:rFonts w:ascii="Arial" w:hAnsi="Arial" w:cs="Arial"/>
          <w:sz w:val="16"/>
          <w:szCs w:val="16"/>
        </w:rPr>
        <w:footnoteRef/>
      </w:r>
      <w:r>
        <w:rPr>
          <w:rFonts w:ascii="Arial" w:hAnsi="Arial" w:cs="Arial"/>
          <w:sz w:val="16"/>
          <w:szCs w:val="16"/>
        </w:rPr>
        <w:t xml:space="preserve"> Non-IFRS financial ratio.  See </w:t>
      </w:r>
      <w:r w:rsidR="003760A5" w:rsidRPr="003760A5">
        <w:rPr>
          <w:rFonts w:ascii="Arial" w:hAnsi="Arial" w:cs="Arial"/>
          <w:sz w:val="16"/>
          <w:szCs w:val="16"/>
        </w:rPr>
        <w:t>“</w:t>
      </w:r>
      <w:r>
        <w:rPr>
          <w:rFonts w:ascii="Arial" w:hAnsi="Arial" w:cs="Arial"/>
          <w:sz w:val="16"/>
          <w:szCs w:val="16"/>
        </w:rPr>
        <w:t>Non-IFRS and Other Financial Measures</w:t>
      </w:r>
      <w:r w:rsidR="003760A5" w:rsidRPr="003760A5">
        <w:rPr>
          <w:rFonts w:ascii="Arial" w:hAnsi="Arial" w:cs="Arial"/>
          <w:sz w:val="16"/>
          <w:szCs w:val="16"/>
        </w:rPr>
        <w:t>”</w:t>
      </w:r>
      <w:r>
        <w:rPr>
          <w:rFonts w:ascii="Arial" w:hAnsi="Arial" w:cs="Arial"/>
          <w:sz w:val="16"/>
          <w:szCs w:val="16"/>
        </w:rPr>
        <w:t>.</w:t>
      </w:r>
    </w:p>
  </w:footnote>
  <w:footnote w:id="3">
    <w:p w14:paraId="68C7F7B0" w14:textId="4C4B6078" w:rsidR="002D3101" w:rsidRPr="00666006" w:rsidRDefault="002D3101" w:rsidP="002D3101">
      <w:pPr>
        <w:pStyle w:val="FootnoteText"/>
        <w:rPr>
          <w:rFonts w:ascii="Arial" w:hAnsi="Arial" w:cs="Arial"/>
          <w:sz w:val="14"/>
          <w:szCs w:val="14"/>
          <w:lang w:val="en-CA"/>
        </w:rPr>
      </w:pPr>
      <w:r>
        <w:rPr>
          <w:rStyle w:val="FootnoteReference"/>
          <w:rFonts w:ascii="Arial" w:hAnsi="Arial" w:cs="Arial"/>
          <w:sz w:val="16"/>
          <w:szCs w:val="16"/>
        </w:rPr>
        <w:footnoteRef/>
      </w:r>
      <w:r>
        <w:rPr>
          <w:rFonts w:ascii="Arial" w:hAnsi="Arial" w:cs="Arial"/>
          <w:sz w:val="16"/>
          <w:szCs w:val="16"/>
        </w:rPr>
        <w:t xml:space="preserve"> Capital management measure.  See </w:t>
      </w:r>
      <w:r w:rsidR="003760A5" w:rsidRPr="003760A5">
        <w:rPr>
          <w:rFonts w:ascii="Arial" w:hAnsi="Arial" w:cs="Arial"/>
          <w:sz w:val="16"/>
          <w:szCs w:val="16"/>
        </w:rPr>
        <w:t>“</w:t>
      </w:r>
      <w:r>
        <w:rPr>
          <w:rFonts w:ascii="Arial" w:hAnsi="Arial" w:cs="Arial"/>
          <w:sz w:val="16"/>
          <w:szCs w:val="16"/>
        </w:rPr>
        <w:t>Non-IFRS and Other Financial Measures</w:t>
      </w:r>
      <w:r w:rsidR="003760A5" w:rsidRPr="003760A5">
        <w:rPr>
          <w:rFonts w:ascii="Arial" w:hAnsi="Arial" w:cs="Arial"/>
          <w:sz w:val="16"/>
          <w:szCs w:val="16"/>
        </w:rPr>
        <w:t>”</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286" w14:textId="77777777" w:rsidR="005955BF" w:rsidRDefault="005955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26AE6" w14:textId="77777777" w:rsidR="00184829" w:rsidRDefault="00184829" w:rsidP="00451CF4">
    <w:pPr>
      <w:pStyle w:val="Header"/>
      <w:ind w:left="540" w:hanging="540"/>
      <w:jc w:val="right"/>
    </w:pPr>
    <w:r>
      <w:rPr>
        <w:noProof/>
      </w:rPr>
      <w:drawing>
        <wp:inline distT="0" distB="0" distL="0" distR="0" wp14:anchorId="0D321E76" wp14:editId="56C7433F">
          <wp:extent cx="1697355" cy="1038860"/>
          <wp:effectExtent l="19050" t="0" r="0" b="0"/>
          <wp:docPr id="3" name="Picture 0" descr="CWV_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WV_new logo.jpg"/>
                  <pic:cNvPicPr>
                    <a:picLocks noChangeAspect="1" noChangeArrowheads="1"/>
                  </pic:cNvPicPr>
                </pic:nvPicPr>
                <pic:blipFill>
                  <a:blip r:embed="rId1"/>
                  <a:srcRect t="6818"/>
                  <a:stretch>
                    <a:fillRect/>
                  </a:stretch>
                </pic:blipFill>
                <pic:spPr bwMode="auto">
                  <a:xfrm>
                    <a:off x="0" y="0"/>
                    <a:ext cx="1697355" cy="1038860"/>
                  </a:xfrm>
                  <a:prstGeom prst="rect">
                    <a:avLst/>
                  </a:prstGeom>
                  <a:noFill/>
                  <a:ln w="9525">
                    <a:noFill/>
                    <a:miter lim="800000"/>
                    <a:headEnd/>
                    <a:tailEnd/>
                  </a:ln>
                </pic:spPr>
              </pic:pic>
            </a:graphicData>
          </a:graphic>
        </wp:inline>
      </w:drawing>
    </w:r>
  </w:p>
  <w:p w14:paraId="1CABC8E8" w14:textId="77777777" w:rsidR="00184829" w:rsidRDefault="00184829" w:rsidP="00451CF4">
    <w:pPr>
      <w:pStyle w:val="Header"/>
      <w:ind w:left="540" w:hanging="54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396FE" w14:textId="77777777" w:rsidR="005955BF" w:rsidRDefault="005955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multilevel"/>
    <w:tmpl w:val="416895CE"/>
    <w:name w:val="DocXtoolsCompanion_1"/>
    <w:lvl w:ilvl="0">
      <w:start w:val="1"/>
      <w:numFmt w:val="none"/>
      <w:lvlRestart w:val="0"/>
      <w:suff w:val="nothing"/>
      <w:lvlText w:val=""/>
      <w:lvlJc w:val="left"/>
      <w:pPr>
        <w:tabs>
          <w:tab w:val="num" w:pos="720"/>
        </w:tabs>
      </w:pPr>
      <w:rPr>
        <w:rFonts w:ascii="Times New Roman" w:hAnsi="Times New Roman" w:cs="Times New Roman"/>
        <w:b w:val="0"/>
        <w:i w:val="0"/>
        <w:caps w:val="0"/>
        <w:color w:val="auto"/>
        <w:sz w:val="22"/>
        <w:u w:val="none"/>
      </w:rPr>
    </w:lvl>
    <w:lvl w:ilvl="1">
      <w:start w:val="1"/>
      <w:numFmt w:val="none"/>
      <w:lvlRestart w:val="0"/>
      <w:suff w:val="nothing"/>
      <w:lvlText w:val=""/>
      <w:lvlJc w:val="left"/>
      <w:pPr>
        <w:tabs>
          <w:tab w:val="num" w:pos="720"/>
        </w:tabs>
      </w:pPr>
      <w:rPr>
        <w:rFonts w:ascii="Times New Roman" w:hAnsi="Times New Roman" w:cs="Times New Roman"/>
        <w:b w:val="0"/>
        <w:i w:val="0"/>
        <w:caps w:val="0"/>
        <w:color w:val="auto"/>
        <w:sz w:val="22"/>
        <w:u w:val="none"/>
      </w:rPr>
    </w:lvl>
    <w:lvl w:ilvl="2">
      <w:start w:val="1"/>
      <w:numFmt w:val="none"/>
      <w:lvlRestart w:val="0"/>
      <w:suff w:val="nothing"/>
      <w:lvlText w:val=""/>
      <w:lvlJc w:val="left"/>
      <w:pPr>
        <w:tabs>
          <w:tab w:val="num" w:pos="720"/>
        </w:tabs>
      </w:pPr>
      <w:rPr>
        <w:rFonts w:ascii="Times New Roman" w:hAnsi="Times New Roman" w:cs="Times New Roman"/>
        <w:b w:val="0"/>
        <w:i w:val="0"/>
        <w:caps w:val="0"/>
        <w:color w:val="auto"/>
        <w:sz w:val="22"/>
        <w:u w:val="none"/>
      </w:rPr>
    </w:lvl>
    <w:lvl w:ilvl="3">
      <w:start w:val="1"/>
      <w:numFmt w:val="none"/>
      <w:lvlRestart w:val="0"/>
      <w:suff w:val="nothing"/>
      <w:lvlText w:val=""/>
      <w:lvlJc w:val="left"/>
      <w:pPr>
        <w:tabs>
          <w:tab w:val="num" w:pos="1440"/>
        </w:tabs>
        <w:ind w:left="720"/>
      </w:pPr>
      <w:rPr>
        <w:rFonts w:ascii="Times New Roman" w:hAnsi="Times New Roman" w:cs="Times New Roman"/>
        <w:b w:val="0"/>
        <w:i w:val="0"/>
        <w:caps w:val="0"/>
        <w:color w:val="auto"/>
        <w:sz w:val="22"/>
        <w:u w:val="none"/>
      </w:rPr>
    </w:lvl>
    <w:lvl w:ilvl="4">
      <w:start w:val="1"/>
      <w:numFmt w:val="decimal"/>
      <w:lvlText w:val="%5."/>
      <w:lvlJc w:val="left"/>
      <w:pPr>
        <w:tabs>
          <w:tab w:val="num" w:pos="720"/>
        </w:tabs>
        <w:ind w:left="720" w:hanging="720"/>
      </w:pPr>
      <w:rPr>
        <w:rFonts w:ascii="Times New Roman" w:hAnsi="Times New Roman" w:cs="Times New Roman"/>
        <w:b w:val="0"/>
        <w:i w:val="0"/>
        <w:caps w:val="0"/>
        <w:color w:val="auto"/>
        <w:sz w:val="20"/>
        <w:u w:val="none"/>
      </w:rPr>
    </w:lvl>
    <w:lvl w:ilvl="5">
      <w:start w:val="1"/>
      <w:numFmt w:val="lowerLetter"/>
      <w:lvlText w:val="(%6)"/>
      <w:lvlJc w:val="left"/>
      <w:pPr>
        <w:tabs>
          <w:tab w:val="num" w:pos="1440"/>
        </w:tabs>
        <w:ind w:left="1440" w:hanging="720"/>
      </w:pPr>
      <w:rPr>
        <w:rFonts w:ascii="Times New Roman" w:hAnsi="Times New Roman" w:cs="Times New Roman"/>
        <w:b w:val="0"/>
        <w:i w:val="0"/>
        <w:caps w:val="0"/>
        <w:color w:val="auto"/>
        <w:sz w:val="20"/>
        <w:u w:val="none"/>
      </w:rPr>
    </w:lvl>
    <w:lvl w:ilvl="6">
      <w:start w:val="1"/>
      <w:numFmt w:val="lowerRoman"/>
      <w:lvlText w:val="(%7)"/>
      <w:lvlJc w:val="left"/>
      <w:pPr>
        <w:tabs>
          <w:tab w:val="num" w:pos="2160"/>
        </w:tabs>
        <w:ind w:left="2160" w:hanging="720"/>
      </w:pPr>
      <w:rPr>
        <w:rFonts w:ascii="Times New Roman" w:hAnsi="Times New Roman" w:cs="Times New Roman"/>
        <w:b w:val="0"/>
        <w:i w:val="0"/>
        <w:caps w:val="0"/>
        <w:color w:val="auto"/>
        <w:sz w:val="20"/>
        <w:u w:val="none"/>
      </w:rPr>
    </w:lvl>
    <w:lvl w:ilvl="7">
      <w:start w:val="1"/>
      <w:numFmt w:val="none"/>
      <w:lvlRestart w:val="0"/>
      <w:suff w:val="nothing"/>
      <w:lvlText w:val=""/>
      <w:lvlJc w:val="left"/>
      <w:pPr>
        <w:tabs>
          <w:tab w:val="num" w:pos="720"/>
        </w:tabs>
      </w:pPr>
      <w:rPr>
        <w:rFonts w:ascii="Times New Roman" w:hAnsi="Times New Roman" w:cs="Times New Roman"/>
        <w:b w:val="0"/>
        <w:i w:val="0"/>
        <w:caps w:val="0"/>
        <w:color w:val="auto"/>
        <w:sz w:val="18"/>
        <w:u w:val="none"/>
      </w:rPr>
    </w:lvl>
    <w:lvl w:ilvl="8">
      <w:start w:val="1"/>
      <w:numFmt w:val="decimal"/>
      <w:lvlText w:val="(%9)"/>
      <w:lvlJc w:val="left"/>
      <w:pPr>
        <w:tabs>
          <w:tab w:val="num" w:pos="900"/>
        </w:tabs>
        <w:ind w:left="720" w:hanging="720"/>
      </w:pPr>
      <w:rPr>
        <w:rFonts w:ascii="Times New Roman" w:hAnsi="Times New Roman" w:cs="Times New Roman"/>
        <w:b w:val="0"/>
        <w:i w:val="0"/>
        <w:caps w:val="0"/>
        <w:color w:val="auto"/>
        <w:sz w:val="12"/>
        <w:u w:val="none"/>
      </w:rPr>
    </w:lvl>
  </w:abstractNum>
  <w:abstractNum w:abstractNumId="1" w15:restartNumberingAfterBreak="0">
    <w:nsid w:val="012C29E5"/>
    <w:multiLevelType w:val="hybridMultilevel"/>
    <w:tmpl w:val="D24069C4"/>
    <w:name w:val="DocXtoolsCompanion_2"/>
    <w:lvl w:ilvl="0" w:tplc="04090005">
      <w:start w:val="1"/>
      <w:numFmt w:val="bullet"/>
      <w:lvlText w:val=""/>
      <w:lvlJc w:val="left"/>
      <w:pPr>
        <w:ind w:left="778" w:hanging="360"/>
      </w:pPr>
      <w:rPr>
        <w:rFonts w:ascii="Wingdings" w:hAnsi="Wingdings"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 w15:restartNumberingAfterBreak="0">
    <w:nsid w:val="05067914"/>
    <w:multiLevelType w:val="hybridMultilevel"/>
    <w:tmpl w:val="87764B36"/>
    <w:name w:val="DocXtoolsCompanion_3"/>
    <w:lvl w:ilvl="0" w:tplc="E16C8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E5863"/>
    <w:multiLevelType w:val="hybridMultilevel"/>
    <w:tmpl w:val="11B0CD3E"/>
    <w:name w:val="DocXtoolsCompanion_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BE5D24"/>
    <w:multiLevelType w:val="hybridMultilevel"/>
    <w:tmpl w:val="7E7E14F6"/>
    <w:name w:val="DocXtoolsCompanion_5"/>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B2B3237"/>
    <w:multiLevelType w:val="multilevel"/>
    <w:tmpl w:val="E2B49FE0"/>
    <w:name w:val="zzmpSecurity||Security|2|3|0|0|0|41||0|0|33||0|0|35||0|0|34||1|0|32||1|0|32||1|0|32||0|0|32||1|0|34||"/>
    <w:lvl w:ilvl="0">
      <w:start w:val="1"/>
      <w:numFmt w:val="none"/>
      <w:lvlRestart w:val="0"/>
      <w:pStyle w:val="SecurityL1"/>
      <w:suff w:val="nothing"/>
      <w:lvlText w:val=""/>
      <w:lvlJc w:val="left"/>
      <w:pPr>
        <w:tabs>
          <w:tab w:val="num" w:pos="720"/>
        </w:tabs>
        <w:ind w:left="0" w:firstLine="0"/>
      </w:pPr>
      <w:rPr>
        <w:rFonts w:ascii="Times New Roman" w:hAnsi="Times New Roman" w:cs="Times New Roman"/>
        <w:b w:val="0"/>
        <w:i w:val="0"/>
        <w:caps w:val="0"/>
        <w:color w:val="auto"/>
        <w:sz w:val="22"/>
        <w:u w:val="none"/>
      </w:rPr>
    </w:lvl>
    <w:lvl w:ilvl="1">
      <w:start w:val="1"/>
      <w:numFmt w:val="none"/>
      <w:lvlRestart w:val="0"/>
      <w:pStyle w:val="SecurityL2"/>
      <w:suff w:val="nothing"/>
      <w:lvlText w:val=""/>
      <w:lvlJc w:val="left"/>
      <w:pPr>
        <w:tabs>
          <w:tab w:val="num" w:pos="720"/>
        </w:tabs>
        <w:ind w:left="0" w:firstLine="0"/>
      </w:pPr>
      <w:rPr>
        <w:rFonts w:ascii="Times New Roman" w:hAnsi="Times New Roman" w:cs="Times New Roman"/>
        <w:b w:val="0"/>
        <w:i w:val="0"/>
        <w:caps w:val="0"/>
        <w:color w:val="auto"/>
        <w:sz w:val="22"/>
        <w:u w:val="none"/>
      </w:rPr>
    </w:lvl>
    <w:lvl w:ilvl="2">
      <w:start w:val="1"/>
      <w:numFmt w:val="none"/>
      <w:lvlRestart w:val="0"/>
      <w:pStyle w:val="SecurityL3"/>
      <w:suff w:val="nothing"/>
      <w:lvlText w:val=""/>
      <w:lvlJc w:val="left"/>
      <w:pPr>
        <w:tabs>
          <w:tab w:val="num" w:pos="720"/>
        </w:tabs>
        <w:ind w:left="0" w:firstLine="0"/>
      </w:pPr>
      <w:rPr>
        <w:rFonts w:ascii="Times New Roman" w:hAnsi="Times New Roman" w:cs="Times New Roman"/>
        <w:b w:val="0"/>
        <w:i w:val="0"/>
        <w:caps w:val="0"/>
        <w:color w:val="auto"/>
        <w:sz w:val="22"/>
        <w:u w:val="none"/>
      </w:rPr>
    </w:lvl>
    <w:lvl w:ilvl="3">
      <w:start w:val="1"/>
      <w:numFmt w:val="none"/>
      <w:lvlRestart w:val="0"/>
      <w:pStyle w:val="SecurityL4"/>
      <w:suff w:val="nothing"/>
      <w:lvlText w:val=""/>
      <w:lvlJc w:val="left"/>
      <w:pPr>
        <w:tabs>
          <w:tab w:val="num" w:pos="1440"/>
        </w:tabs>
        <w:ind w:left="720" w:firstLine="0"/>
      </w:pPr>
      <w:rPr>
        <w:rFonts w:ascii="Times New Roman" w:hAnsi="Times New Roman" w:cs="Times New Roman"/>
        <w:b w:val="0"/>
        <w:i w:val="0"/>
        <w:caps w:val="0"/>
        <w:color w:val="auto"/>
        <w:sz w:val="22"/>
        <w:u w:val="none"/>
      </w:rPr>
    </w:lvl>
    <w:lvl w:ilvl="4">
      <w:start w:val="1"/>
      <w:numFmt w:val="decimal"/>
      <w:pStyle w:val="SecurityL5"/>
      <w:lvlText w:val="%5."/>
      <w:lvlJc w:val="left"/>
      <w:pPr>
        <w:tabs>
          <w:tab w:val="num" w:pos="720"/>
        </w:tabs>
        <w:ind w:left="720" w:hanging="720"/>
      </w:pPr>
      <w:rPr>
        <w:rFonts w:ascii="Times New Roman" w:hAnsi="Times New Roman" w:cs="Times New Roman"/>
        <w:b w:val="0"/>
        <w:i w:val="0"/>
        <w:caps w:val="0"/>
        <w:color w:val="auto"/>
        <w:sz w:val="20"/>
        <w:u w:val="none"/>
      </w:rPr>
    </w:lvl>
    <w:lvl w:ilvl="5">
      <w:start w:val="1"/>
      <w:numFmt w:val="lowerLetter"/>
      <w:pStyle w:val="SecurityL6"/>
      <w:lvlText w:val="(%6)"/>
      <w:lvlJc w:val="left"/>
      <w:pPr>
        <w:tabs>
          <w:tab w:val="num" w:pos="1440"/>
        </w:tabs>
        <w:ind w:left="1440" w:hanging="720"/>
      </w:pPr>
      <w:rPr>
        <w:rFonts w:ascii="Times New Roman" w:hAnsi="Times New Roman" w:cs="Times New Roman"/>
        <w:b w:val="0"/>
        <w:i w:val="0"/>
        <w:caps w:val="0"/>
        <w:color w:val="auto"/>
        <w:sz w:val="20"/>
        <w:u w:val="none"/>
      </w:rPr>
    </w:lvl>
    <w:lvl w:ilvl="6">
      <w:start w:val="1"/>
      <w:numFmt w:val="lowerRoman"/>
      <w:pStyle w:val="SecurityL7"/>
      <w:lvlText w:val="(%7)"/>
      <w:lvlJc w:val="left"/>
      <w:pPr>
        <w:tabs>
          <w:tab w:val="num" w:pos="2160"/>
        </w:tabs>
        <w:ind w:left="2160" w:hanging="720"/>
      </w:pPr>
      <w:rPr>
        <w:rFonts w:ascii="Times New Roman" w:hAnsi="Times New Roman" w:cs="Times New Roman"/>
        <w:b w:val="0"/>
        <w:i w:val="0"/>
        <w:caps w:val="0"/>
        <w:color w:val="auto"/>
        <w:sz w:val="20"/>
        <w:u w:val="none"/>
      </w:rPr>
    </w:lvl>
    <w:lvl w:ilvl="7">
      <w:start w:val="1"/>
      <w:numFmt w:val="none"/>
      <w:lvlRestart w:val="0"/>
      <w:pStyle w:val="SecurityL8"/>
      <w:suff w:val="nothing"/>
      <w:lvlText w:val=""/>
      <w:lvlJc w:val="left"/>
      <w:pPr>
        <w:tabs>
          <w:tab w:val="num" w:pos="720"/>
        </w:tabs>
        <w:ind w:left="0" w:firstLine="0"/>
      </w:pPr>
      <w:rPr>
        <w:rFonts w:ascii="Times New Roman" w:hAnsi="Times New Roman" w:cs="Times New Roman"/>
        <w:b w:val="0"/>
        <w:i w:val="0"/>
        <w:caps w:val="0"/>
        <w:color w:val="auto"/>
        <w:sz w:val="18"/>
        <w:u w:val="none"/>
      </w:rPr>
    </w:lvl>
    <w:lvl w:ilvl="8">
      <w:start w:val="1"/>
      <w:numFmt w:val="decimal"/>
      <w:pStyle w:val="SecurityL9"/>
      <w:lvlText w:val="(%9)"/>
      <w:lvlJc w:val="left"/>
      <w:pPr>
        <w:tabs>
          <w:tab w:val="num" w:pos="720"/>
        </w:tabs>
        <w:ind w:left="720" w:hanging="720"/>
      </w:pPr>
      <w:rPr>
        <w:rFonts w:ascii="Times New Roman" w:hAnsi="Times New Roman" w:cs="Times New Roman"/>
        <w:b w:val="0"/>
        <w:i/>
        <w:caps w:val="0"/>
        <w:color w:val="auto"/>
        <w:sz w:val="18"/>
        <w:u w:val="none"/>
      </w:rPr>
    </w:lvl>
  </w:abstractNum>
  <w:abstractNum w:abstractNumId="6" w15:restartNumberingAfterBreak="0">
    <w:nsid w:val="12B556C4"/>
    <w:multiLevelType w:val="hybridMultilevel"/>
    <w:tmpl w:val="B09863D2"/>
    <w:name w:val="DocXtoolsCompanion_7"/>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7" w15:restartNumberingAfterBreak="0">
    <w:nsid w:val="14577A96"/>
    <w:multiLevelType w:val="hybridMultilevel"/>
    <w:tmpl w:val="8D3A53C0"/>
    <w:name w:val="DocXtoolsCompanion_8"/>
    <w:lvl w:ilvl="0" w:tplc="10090001">
      <w:start w:val="1"/>
      <w:numFmt w:val="bullet"/>
      <w:lvlText w:val=""/>
      <w:lvlJc w:val="left"/>
      <w:pPr>
        <w:ind w:left="720" w:hanging="360"/>
      </w:pPr>
      <w:rPr>
        <w:rFonts w:ascii="Symbol" w:hAnsi="Symbol" w:hint="default"/>
      </w:rPr>
    </w:lvl>
    <w:lvl w:ilvl="1" w:tplc="5F8258F0">
      <w:numFmt w:val="bullet"/>
      <w:lvlText w:val="-"/>
      <w:lvlJc w:val="left"/>
      <w:pPr>
        <w:ind w:left="1440" w:hanging="360"/>
      </w:pPr>
      <w:rPr>
        <w:rFonts w:ascii="Arial" w:eastAsia="Times New Roman"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9A46E63"/>
    <w:multiLevelType w:val="hybridMultilevel"/>
    <w:tmpl w:val="10BA31D4"/>
    <w:name w:val="DocXtoolsCompanion_9"/>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1B902948"/>
    <w:multiLevelType w:val="hybridMultilevel"/>
    <w:tmpl w:val="CD7C8C86"/>
    <w:name w:val="DocXtoolsCompanion_10"/>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BD617EC"/>
    <w:multiLevelType w:val="hybridMultilevel"/>
    <w:tmpl w:val="EC2E311E"/>
    <w:name w:val="DocXtoolsCompanion_11"/>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D4B04C5"/>
    <w:multiLevelType w:val="hybridMultilevel"/>
    <w:tmpl w:val="4D7CFA60"/>
    <w:name w:val="DocXtoolsCompanion_12"/>
    <w:lvl w:ilvl="0" w:tplc="3CF054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FE10E4"/>
    <w:multiLevelType w:val="hybridMultilevel"/>
    <w:tmpl w:val="68028830"/>
    <w:name w:val="DocXtoolsCompanion_13"/>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20980EAD"/>
    <w:multiLevelType w:val="hybridMultilevel"/>
    <w:tmpl w:val="84C04322"/>
    <w:name w:val="DocXtoolsCompanion_14"/>
    <w:lvl w:ilvl="0" w:tplc="5F8258F0">
      <w:numFmt w:val="bullet"/>
      <w:lvlText w:val="-"/>
      <w:lvlJc w:val="left"/>
      <w:pPr>
        <w:ind w:left="1004" w:hanging="360"/>
      </w:pPr>
      <w:rPr>
        <w:rFonts w:ascii="Arial" w:eastAsia="Times New Roman" w:hAnsi="Arial" w:cs="Aria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14" w15:restartNumberingAfterBreak="0">
    <w:nsid w:val="21324132"/>
    <w:multiLevelType w:val="multilevel"/>
    <w:tmpl w:val="971CB85A"/>
    <w:name w:val="DocXtoolsCompanion_15"/>
    <w:lvl w:ilvl="0">
      <w:start w:val="4"/>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3510409"/>
    <w:multiLevelType w:val="hybridMultilevel"/>
    <w:tmpl w:val="0BD099FA"/>
    <w:name w:val="DocXtoolsCompanion_16"/>
    <w:lvl w:ilvl="0" w:tplc="10090005">
      <w:start w:val="1"/>
      <w:numFmt w:val="bullet"/>
      <w:lvlText w:val=""/>
      <w:lvlJc w:val="left"/>
      <w:pPr>
        <w:ind w:left="1004" w:hanging="360"/>
      </w:pPr>
      <w:rPr>
        <w:rFonts w:ascii="Wingdings" w:hAnsi="Wingdings"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16" w15:restartNumberingAfterBreak="0">
    <w:nsid w:val="32FE0003"/>
    <w:multiLevelType w:val="hybridMultilevel"/>
    <w:tmpl w:val="59404410"/>
    <w:name w:val="DocXtoolsCompanion_17"/>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D71138"/>
    <w:multiLevelType w:val="hybridMultilevel"/>
    <w:tmpl w:val="7EF2AE4E"/>
    <w:name w:val="DocXtoolsCompanion_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C77F0F"/>
    <w:multiLevelType w:val="hybridMultilevel"/>
    <w:tmpl w:val="8F368B92"/>
    <w:name w:val="DocXtoolsCompanion_19"/>
    <w:lvl w:ilvl="0" w:tplc="10090003">
      <w:start w:val="1"/>
      <w:numFmt w:val="bullet"/>
      <w:lvlText w:val="o"/>
      <w:lvlJc w:val="left"/>
      <w:pPr>
        <w:ind w:left="1004" w:hanging="360"/>
      </w:pPr>
      <w:rPr>
        <w:rFonts w:ascii="Courier New" w:hAnsi="Courier New" w:cs="Courier New"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19" w15:restartNumberingAfterBreak="0">
    <w:nsid w:val="43060989"/>
    <w:multiLevelType w:val="hybridMultilevel"/>
    <w:tmpl w:val="E890588E"/>
    <w:name w:val="DocXtoolsCompanion_20"/>
    <w:lvl w:ilvl="0" w:tplc="0C0A0001">
      <w:start w:val="1"/>
      <w:numFmt w:val="bullet"/>
      <w:lvlText w:val=""/>
      <w:lvlJc w:val="left"/>
      <w:pPr>
        <w:ind w:left="1800" w:hanging="360"/>
      </w:pPr>
      <w:rPr>
        <w:rFonts w:ascii="Symbol" w:hAnsi="Symbol" w:hint="default"/>
      </w:rPr>
    </w:lvl>
    <w:lvl w:ilvl="1" w:tplc="0C0A0003">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0" w15:restartNumberingAfterBreak="0">
    <w:nsid w:val="45CF493B"/>
    <w:multiLevelType w:val="hybridMultilevel"/>
    <w:tmpl w:val="4E3CE43C"/>
    <w:name w:val="DocXtoolsCompanion_21"/>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9A0421F"/>
    <w:multiLevelType w:val="hybridMultilevel"/>
    <w:tmpl w:val="B7F49D6C"/>
    <w:name w:val="DocXtoolsCompanion_2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A9508DC"/>
    <w:multiLevelType w:val="hybridMultilevel"/>
    <w:tmpl w:val="E5A6C3C0"/>
    <w:name w:val="DocXtoolsCompanion_23"/>
    <w:lvl w:ilvl="0" w:tplc="C224835C">
      <w:start w:val="4"/>
      <w:numFmt w:val="bullet"/>
      <w:lvlText w:val=""/>
      <w:lvlJc w:val="left"/>
      <w:pPr>
        <w:ind w:left="720" w:hanging="360"/>
      </w:pPr>
      <w:rPr>
        <w:rFonts w:ascii="Symbol" w:eastAsia="Times New Roma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AA27161"/>
    <w:multiLevelType w:val="hybridMultilevel"/>
    <w:tmpl w:val="CFF8D584"/>
    <w:name w:val="DocXtoolsCompanion_2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E5A0A38"/>
    <w:multiLevelType w:val="hybridMultilevel"/>
    <w:tmpl w:val="4D7CFA60"/>
    <w:name w:val="DocXtoolsCompanion_25"/>
    <w:lvl w:ilvl="0" w:tplc="3CF054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AD73D7"/>
    <w:multiLevelType w:val="hybridMultilevel"/>
    <w:tmpl w:val="AEE87EBA"/>
    <w:name w:val="DocXtoolsCompanion_26"/>
    <w:lvl w:ilvl="0" w:tplc="04090005">
      <w:start w:val="1"/>
      <w:numFmt w:val="bullet"/>
      <w:lvlText w:val=""/>
      <w:lvlJc w:val="left"/>
      <w:pPr>
        <w:ind w:left="720" w:hanging="360"/>
      </w:pPr>
      <w:rPr>
        <w:rFonts w:ascii="Wingdings" w:hAnsi="Wingding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1FC6DD3"/>
    <w:multiLevelType w:val="hybridMultilevel"/>
    <w:tmpl w:val="F4E0B888"/>
    <w:name w:val="DocXtoolsCompanion_27"/>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5624EAB"/>
    <w:multiLevelType w:val="hybridMultilevel"/>
    <w:tmpl w:val="545A7D0E"/>
    <w:name w:val="DocXtoolsCompanion_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6AD6472"/>
    <w:multiLevelType w:val="hybridMultilevel"/>
    <w:tmpl w:val="4FC6D710"/>
    <w:name w:val="DocXtoolsCompanion_29"/>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7C6162F"/>
    <w:multiLevelType w:val="hybridMultilevel"/>
    <w:tmpl w:val="4D7CFA60"/>
    <w:name w:val="DocXtoolsCompanion_30"/>
    <w:lvl w:ilvl="0" w:tplc="3CF054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89E7C79"/>
    <w:multiLevelType w:val="hybridMultilevel"/>
    <w:tmpl w:val="257A3E2C"/>
    <w:name w:val="DocXtoolsCompanion_31"/>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981771C"/>
    <w:multiLevelType w:val="hybridMultilevel"/>
    <w:tmpl w:val="5F443A58"/>
    <w:name w:val="DocXtoolsCompanion_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F4D5A9C"/>
    <w:multiLevelType w:val="hybridMultilevel"/>
    <w:tmpl w:val="9FC61CD0"/>
    <w:name w:val="DocXtoolsCompanion_33"/>
    <w:lvl w:ilvl="0" w:tplc="DB14293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02D5D06"/>
    <w:multiLevelType w:val="hybridMultilevel"/>
    <w:tmpl w:val="E9924584"/>
    <w:name w:val="DocXtoolsCompanion_3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3A87E83"/>
    <w:multiLevelType w:val="hybridMultilevel"/>
    <w:tmpl w:val="70EA4BDA"/>
    <w:name w:val="DocXtoolsCompanion_35"/>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7EA5528"/>
    <w:multiLevelType w:val="hybridMultilevel"/>
    <w:tmpl w:val="D5E2E36A"/>
    <w:name w:val="DocXtoolsCompanion_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B1D7463"/>
    <w:multiLevelType w:val="hybridMultilevel"/>
    <w:tmpl w:val="9E42C9CE"/>
    <w:name w:val="DocXtoolsCompanion_37"/>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BB9618F"/>
    <w:multiLevelType w:val="hybridMultilevel"/>
    <w:tmpl w:val="00528B4A"/>
    <w:name w:val="DocXtoolsCompanion_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C4733F0"/>
    <w:multiLevelType w:val="hybridMultilevel"/>
    <w:tmpl w:val="9C722DB6"/>
    <w:name w:val="DocXtoolsCompanion_39"/>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DAB15B3"/>
    <w:multiLevelType w:val="multilevel"/>
    <w:tmpl w:val="8D80E11A"/>
    <w:name w:val="DocXtoolsCompanion_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6EAD222E"/>
    <w:multiLevelType w:val="hybridMultilevel"/>
    <w:tmpl w:val="148CA5C0"/>
    <w:name w:val="DocXtoolsCompanion_41"/>
    <w:lvl w:ilvl="0" w:tplc="10090003">
      <w:start w:val="1"/>
      <w:numFmt w:val="bullet"/>
      <w:lvlText w:val="o"/>
      <w:lvlJc w:val="left"/>
      <w:pPr>
        <w:ind w:left="360" w:hanging="360"/>
      </w:pPr>
      <w:rPr>
        <w:rFonts w:ascii="Courier New" w:hAnsi="Courier New" w:cs="Courier New"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1" w15:restartNumberingAfterBreak="0">
    <w:nsid w:val="6FF6113A"/>
    <w:multiLevelType w:val="hybridMultilevel"/>
    <w:tmpl w:val="220EEEF2"/>
    <w:name w:val="DocXtoolsCompanion_42"/>
    <w:lvl w:ilvl="0" w:tplc="521A2B4C">
      <w:start w:val="1"/>
      <w:numFmt w:val="lowerLetter"/>
      <w:lvlText w:val="(%1)"/>
      <w:lvlJc w:val="left"/>
      <w:pPr>
        <w:ind w:left="1800" w:hanging="360"/>
      </w:pPr>
      <w:rPr>
        <w:rFonts w:ascii="Arial" w:hAnsi="Arial" w:hint="default"/>
        <w:b w:val="0"/>
        <w:i w:val="0"/>
        <w:caps w:val="0"/>
        <w:sz w:val="20"/>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39E44B9"/>
    <w:multiLevelType w:val="hybridMultilevel"/>
    <w:tmpl w:val="3D4011C4"/>
    <w:name w:val="DocXtoolsCompanion_43"/>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3B819FB"/>
    <w:multiLevelType w:val="hybridMultilevel"/>
    <w:tmpl w:val="BB3A11C2"/>
    <w:name w:val="DocXtoolsCompanion_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A5025C1"/>
    <w:multiLevelType w:val="hybridMultilevel"/>
    <w:tmpl w:val="4F143D8E"/>
    <w:name w:val="DocXtoolsCompanion_45"/>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B1516E1"/>
    <w:multiLevelType w:val="hybridMultilevel"/>
    <w:tmpl w:val="8E16781E"/>
    <w:name w:val="DocXtoolsCompanion_46"/>
    <w:lvl w:ilvl="0" w:tplc="9DF42AF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B4464E"/>
    <w:multiLevelType w:val="hybridMultilevel"/>
    <w:tmpl w:val="9EE2C100"/>
    <w:name w:val="DocXtoolsCompanion_47"/>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7F2D22EE"/>
    <w:multiLevelType w:val="hybridMultilevel"/>
    <w:tmpl w:val="8D80E11A"/>
    <w:name w:val="DocXtoolsCompanion_4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717465269">
    <w:abstractNumId w:val="29"/>
  </w:num>
  <w:num w:numId="2" w16cid:durableId="119734768">
    <w:abstractNumId w:val="37"/>
  </w:num>
  <w:num w:numId="3" w16cid:durableId="1088192081">
    <w:abstractNumId w:val="12"/>
  </w:num>
  <w:num w:numId="4" w16cid:durableId="300426017">
    <w:abstractNumId w:val="7"/>
  </w:num>
  <w:num w:numId="5" w16cid:durableId="274486065">
    <w:abstractNumId w:val="26"/>
  </w:num>
  <w:num w:numId="6" w16cid:durableId="2134132235">
    <w:abstractNumId w:val="44"/>
  </w:num>
  <w:num w:numId="7" w16cid:durableId="24062936">
    <w:abstractNumId w:val="5"/>
  </w:num>
  <w:num w:numId="8" w16cid:durableId="1358799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7995908">
    <w:abstractNumId w:val="19"/>
  </w:num>
  <w:num w:numId="10" w16cid:durableId="469639760">
    <w:abstractNumId w:val="3"/>
  </w:num>
  <w:num w:numId="11" w16cid:durableId="442379061">
    <w:abstractNumId w:val="38"/>
  </w:num>
  <w:num w:numId="12" w16cid:durableId="1274246128">
    <w:abstractNumId w:val="17"/>
  </w:num>
  <w:num w:numId="13" w16cid:durableId="1182473463">
    <w:abstractNumId w:val="2"/>
  </w:num>
  <w:num w:numId="14" w16cid:durableId="323709631">
    <w:abstractNumId w:val="27"/>
  </w:num>
  <w:num w:numId="15" w16cid:durableId="1472594401">
    <w:abstractNumId w:val="21"/>
  </w:num>
  <w:num w:numId="16" w16cid:durableId="2086607273">
    <w:abstractNumId w:val="42"/>
  </w:num>
  <w:num w:numId="17" w16cid:durableId="320545716">
    <w:abstractNumId w:val="4"/>
  </w:num>
  <w:num w:numId="18" w16cid:durableId="1239097069">
    <w:abstractNumId w:val="30"/>
  </w:num>
  <w:num w:numId="19" w16cid:durableId="807360673">
    <w:abstractNumId w:val="8"/>
  </w:num>
  <w:num w:numId="20" w16cid:durableId="165293175">
    <w:abstractNumId w:val="34"/>
  </w:num>
  <w:num w:numId="21" w16cid:durableId="1774131090">
    <w:abstractNumId w:val="6"/>
  </w:num>
  <w:num w:numId="22" w16cid:durableId="1310288920">
    <w:abstractNumId w:val="13"/>
  </w:num>
  <w:num w:numId="23" w16cid:durableId="747464716">
    <w:abstractNumId w:val="15"/>
  </w:num>
  <w:num w:numId="24" w16cid:durableId="1615331642">
    <w:abstractNumId w:val="18"/>
  </w:num>
  <w:num w:numId="25" w16cid:durableId="89087221">
    <w:abstractNumId w:val="31"/>
  </w:num>
  <w:num w:numId="26" w16cid:durableId="510949041">
    <w:abstractNumId w:val="28"/>
  </w:num>
  <w:num w:numId="27" w16cid:durableId="1201894090">
    <w:abstractNumId w:val="9"/>
  </w:num>
  <w:num w:numId="28" w16cid:durableId="2054696500">
    <w:abstractNumId w:val="35"/>
  </w:num>
  <w:num w:numId="29" w16cid:durableId="931545526">
    <w:abstractNumId w:val="20"/>
  </w:num>
  <w:num w:numId="30" w16cid:durableId="1503273477">
    <w:abstractNumId w:val="10"/>
  </w:num>
  <w:num w:numId="31" w16cid:durableId="365914625">
    <w:abstractNumId w:val="46"/>
  </w:num>
  <w:num w:numId="32" w16cid:durableId="707296790">
    <w:abstractNumId w:val="40"/>
  </w:num>
  <w:num w:numId="33" w16cid:durableId="1785153614">
    <w:abstractNumId w:val="47"/>
  </w:num>
  <w:num w:numId="34" w16cid:durableId="1904871969">
    <w:abstractNumId w:val="43"/>
  </w:num>
  <w:num w:numId="35" w16cid:durableId="1638215514">
    <w:abstractNumId w:val="24"/>
  </w:num>
  <w:num w:numId="36" w16cid:durableId="191649194">
    <w:abstractNumId w:val="11"/>
  </w:num>
  <w:num w:numId="37" w16cid:durableId="2076857151">
    <w:abstractNumId w:val="39"/>
  </w:num>
  <w:num w:numId="38" w16cid:durableId="1426800632">
    <w:abstractNumId w:val="33"/>
  </w:num>
  <w:num w:numId="39" w16cid:durableId="113060376">
    <w:abstractNumId w:val="23"/>
  </w:num>
  <w:num w:numId="40" w16cid:durableId="35349284">
    <w:abstractNumId w:val="0"/>
  </w:num>
  <w:num w:numId="41" w16cid:durableId="1715348162">
    <w:abstractNumId w:val="41"/>
  </w:num>
  <w:num w:numId="42" w16cid:durableId="773675874">
    <w:abstractNumId w:val="25"/>
  </w:num>
  <w:num w:numId="43" w16cid:durableId="2144469174">
    <w:abstractNumId w:val="16"/>
  </w:num>
  <w:num w:numId="44" w16cid:durableId="1768579379">
    <w:abstractNumId w:val="1"/>
  </w:num>
  <w:num w:numId="45" w16cid:durableId="394670598">
    <w:abstractNumId w:val="47"/>
  </w:num>
  <w:num w:numId="46" w16cid:durableId="619804886">
    <w:abstractNumId w:val="32"/>
  </w:num>
  <w:num w:numId="47" w16cid:durableId="1698308580">
    <w:abstractNumId w:val="22"/>
  </w:num>
  <w:num w:numId="48" w16cid:durableId="1914076075">
    <w:abstractNumId w:val="36"/>
  </w:num>
  <w:num w:numId="49" w16cid:durableId="566302375">
    <w:abstractNumId w:val="14"/>
  </w:num>
  <w:num w:numId="50" w16cid:durableId="49526488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AR" w:vendorID="64" w:dllVersion="6" w:nlCheck="1" w:checkStyle="0"/>
  <w:activeWritingStyle w:appName="MSWord" w:lang="en-US" w:vendorID="64" w:dllVersion="6" w:nlCheck="1" w:checkStyle="1"/>
  <w:activeWritingStyle w:appName="MSWord" w:lang="en-CA" w:vendorID="64" w:dllVersion="6" w:nlCheck="1" w:checkStyle="1"/>
  <w:activeWritingStyle w:appName="MSWord" w:lang="fr-CA" w:vendorID="64" w:dllVersion="6" w:nlCheck="1" w:checkStyle="0"/>
  <w:activeWritingStyle w:appName="MSWord" w:lang="en-US" w:vendorID="64" w:dllVersion="4096" w:nlCheck="1" w:checkStyle="0"/>
  <w:activeWritingStyle w:appName="MSWord" w:lang="fr-CA" w:vendorID="64" w:dllVersion="4096" w:nlCheck="1" w:checkStyle="0"/>
  <w:activeWritingStyle w:appName="MSWord" w:lang="en-US" w:vendorID="64" w:dllVersion="0" w:nlCheck="1" w:checkStyle="0"/>
  <w:activeWritingStyle w:appName="MSWord" w:lang="es-AR" w:vendorID="64" w:dllVersion="0" w:nlCheck="1" w:checkStyle="0"/>
  <w:activeWritingStyle w:appName="MSWord" w:lang="en-CA" w:vendorID="64" w:dllVersion="0" w:nlCheck="1" w:checkStyle="0"/>
  <w:activeWritingStyle w:appName="MSWord" w:lang="fr-CA" w:vendorID="64" w:dllVersion="0" w:nlCheck="1" w:checkStyle="0"/>
  <w:activeWritingStyle w:appName="MSWord" w:lang="en-CA" w:vendorID="64" w:dllVersion="4096" w:nlCheck="1" w:checkStyle="0"/>
  <w:proofState w:spelling="clean" w:grammar="clean"/>
  <w:doNotTrackFormatting/>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Ón"/>
    <w:docVar w:name="85TrailerDateField" w:val="~}šÓj"/>
    <w:docVar w:name="85TrailerDraft" w:val="~}¡Óc"/>
    <w:docVar w:name="85TrailerTime" w:val="~}›Ói"/>
    <w:docVar w:name="DMS_Work10" w:val="0~ACTIVE||1~15142191||2~2||3~Press release Q4 2025 - March 10 draft - BDP||5~JTO||6~JTO||7~WORDX||8~DOCUMENTS||10~3/10/2026 9:48:14 PM||11~3/10/2026 9:48:14 PM||13~420540||14~False||17~public||18~JTO||19~JTO||21~True||22~True||23~False||25~069295||26~00001||27~317||28~SEC||29~GS||30~ACTIV||60~Crown Point Energy Inc.||61~General Corporate and Securities Matters||62~Oke, Jeffrey T.||63~Securities||64~General Securities||65~Active matter||74~Jeff Oke||75~Jeff Oke||76~WORD 2007||77~Documents||80~Jeff Oke||82~docx||85~3/10/2026 9:48:14 PM||99~1/1/0001 12:00:00 AM||106~C:\Users\jto\AppData\Roaming\iManage\Work\Recent\069295-00001-Crown Point Energy Inc.-General Corporate and Securities Matters\Press release Q4 2025 - March 10 draft - BDP(15142191.2).docx||107~1/1/0001 12:00:00 AM||109~3/10/2026 9:48:15 PM||113~3/10/2026 9:48:13 PM||114~3/10/2026 9:48:13 PM||124~False||"/>
    <w:docVar w:name="DocStamp_1_OptionalControlValues" w:val="~} Ó"/>
    <w:docVar w:name="MPDocID" w:val="~}Óhiknilkjhg"/>
    <w:docVar w:name="MPDocIDTemplate" w:val="~}—Ó"/>
    <w:docVar w:name="MPDocIDTemplateDefault" w:val="~}ŸÓZ¤e]ª"/>
    <w:docVar w:name="NewDocStampType" w:val="~}¢Ói"/>
    <w:docVar w:name="zzmp10NoTrailerPromptID" w:val="ACTIVE.14270020.1"/>
  </w:docVars>
  <w:rsids>
    <w:rsidRoot w:val="00451CF4"/>
    <w:rsid w:val="00002052"/>
    <w:rsid w:val="00002555"/>
    <w:rsid w:val="00002CBC"/>
    <w:rsid w:val="00003873"/>
    <w:rsid w:val="00004044"/>
    <w:rsid w:val="000064D8"/>
    <w:rsid w:val="00010DF6"/>
    <w:rsid w:val="00010F36"/>
    <w:rsid w:val="0001387F"/>
    <w:rsid w:val="00013941"/>
    <w:rsid w:val="000161BE"/>
    <w:rsid w:val="00016F54"/>
    <w:rsid w:val="00017090"/>
    <w:rsid w:val="00020D0D"/>
    <w:rsid w:val="0002124D"/>
    <w:rsid w:val="00021565"/>
    <w:rsid w:val="00023706"/>
    <w:rsid w:val="00023BC5"/>
    <w:rsid w:val="00023DBC"/>
    <w:rsid w:val="00025614"/>
    <w:rsid w:val="00025949"/>
    <w:rsid w:val="0002742B"/>
    <w:rsid w:val="000327A2"/>
    <w:rsid w:val="000328AA"/>
    <w:rsid w:val="00033C41"/>
    <w:rsid w:val="00033EA2"/>
    <w:rsid w:val="000359CC"/>
    <w:rsid w:val="000365C5"/>
    <w:rsid w:val="00036D51"/>
    <w:rsid w:val="00040690"/>
    <w:rsid w:val="00040FBA"/>
    <w:rsid w:val="0004158B"/>
    <w:rsid w:val="00041C80"/>
    <w:rsid w:val="00042203"/>
    <w:rsid w:val="0004284E"/>
    <w:rsid w:val="00042B65"/>
    <w:rsid w:val="00042E43"/>
    <w:rsid w:val="00043229"/>
    <w:rsid w:val="000433F8"/>
    <w:rsid w:val="00043586"/>
    <w:rsid w:val="00043C17"/>
    <w:rsid w:val="00043F8E"/>
    <w:rsid w:val="0004484E"/>
    <w:rsid w:val="0004588D"/>
    <w:rsid w:val="00045A21"/>
    <w:rsid w:val="00045B81"/>
    <w:rsid w:val="0004735E"/>
    <w:rsid w:val="0004747B"/>
    <w:rsid w:val="00047C81"/>
    <w:rsid w:val="000504E8"/>
    <w:rsid w:val="00050555"/>
    <w:rsid w:val="00050A9F"/>
    <w:rsid w:val="00050DBD"/>
    <w:rsid w:val="000523AC"/>
    <w:rsid w:val="0005288F"/>
    <w:rsid w:val="000528F0"/>
    <w:rsid w:val="00057387"/>
    <w:rsid w:val="00061FDB"/>
    <w:rsid w:val="0006263A"/>
    <w:rsid w:val="00064773"/>
    <w:rsid w:val="0006526B"/>
    <w:rsid w:val="0006551B"/>
    <w:rsid w:val="000716D5"/>
    <w:rsid w:val="00071BCD"/>
    <w:rsid w:val="00071DF4"/>
    <w:rsid w:val="00075E49"/>
    <w:rsid w:val="00076B56"/>
    <w:rsid w:val="00076D7D"/>
    <w:rsid w:val="00077A03"/>
    <w:rsid w:val="00077BC1"/>
    <w:rsid w:val="00080951"/>
    <w:rsid w:val="00083073"/>
    <w:rsid w:val="00083E25"/>
    <w:rsid w:val="00084355"/>
    <w:rsid w:val="000853A5"/>
    <w:rsid w:val="00087147"/>
    <w:rsid w:val="00090E72"/>
    <w:rsid w:val="00092E13"/>
    <w:rsid w:val="000932B1"/>
    <w:rsid w:val="00094C33"/>
    <w:rsid w:val="00096FA7"/>
    <w:rsid w:val="00097F5E"/>
    <w:rsid w:val="000A1EF3"/>
    <w:rsid w:val="000A4C86"/>
    <w:rsid w:val="000B0A76"/>
    <w:rsid w:val="000B11A0"/>
    <w:rsid w:val="000B18A4"/>
    <w:rsid w:val="000B2104"/>
    <w:rsid w:val="000B226F"/>
    <w:rsid w:val="000B260D"/>
    <w:rsid w:val="000B2BDD"/>
    <w:rsid w:val="000B42AC"/>
    <w:rsid w:val="000B4702"/>
    <w:rsid w:val="000B5AC7"/>
    <w:rsid w:val="000C124D"/>
    <w:rsid w:val="000C3157"/>
    <w:rsid w:val="000C5953"/>
    <w:rsid w:val="000D001A"/>
    <w:rsid w:val="000D0E50"/>
    <w:rsid w:val="000D1245"/>
    <w:rsid w:val="000D3E93"/>
    <w:rsid w:val="000D45D4"/>
    <w:rsid w:val="000D51F0"/>
    <w:rsid w:val="000D7DDC"/>
    <w:rsid w:val="000E0366"/>
    <w:rsid w:val="000E1461"/>
    <w:rsid w:val="000E1597"/>
    <w:rsid w:val="000E2B52"/>
    <w:rsid w:val="000E3366"/>
    <w:rsid w:val="000E466B"/>
    <w:rsid w:val="000E565B"/>
    <w:rsid w:val="000F076D"/>
    <w:rsid w:val="000F113B"/>
    <w:rsid w:val="000F2EBB"/>
    <w:rsid w:val="000F3E12"/>
    <w:rsid w:val="000F4E28"/>
    <w:rsid w:val="000F4E68"/>
    <w:rsid w:val="000F4F65"/>
    <w:rsid w:val="000F5DC2"/>
    <w:rsid w:val="000F6D34"/>
    <w:rsid w:val="00100490"/>
    <w:rsid w:val="001017C4"/>
    <w:rsid w:val="00103CF5"/>
    <w:rsid w:val="0010536B"/>
    <w:rsid w:val="00105738"/>
    <w:rsid w:val="00105A4A"/>
    <w:rsid w:val="0010668E"/>
    <w:rsid w:val="00106A1F"/>
    <w:rsid w:val="001079BC"/>
    <w:rsid w:val="00107F1A"/>
    <w:rsid w:val="00111924"/>
    <w:rsid w:val="00111AED"/>
    <w:rsid w:val="00111F93"/>
    <w:rsid w:val="00112F0A"/>
    <w:rsid w:val="00113A53"/>
    <w:rsid w:val="00113D00"/>
    <w:rsid w:val="00114048"/>
    <w:rsid w:val="0011602C"/>
    <w:rsid w:val="001221DA"/>
    <w:rsid w:val="00122AB0"/>
    <w:rsid w:val="00124B40"/>
    <w:rsid w:val="00124CC6"/>
    <w:rsid w:val="0012698E"/>
    <w:rsid w:val="00127416"/>
    <w:rsid w:val="00130191"/>
    <w:rsid w:val="00130CE8"/>
    <w:rsid w:val="00133EFB"/>
    <w:rsid w:val="001340CF"/>
    <w:rsid w:val="001350B6"/>
    <w:rsid w:val="001365C2"/>
    <w:rsid w:val="001402A6"/>
    <w:rsid w:val="0014148B"/>
    <w:rsid w:val="00143924"/>
    <w:rsid w:val="001448D4"/>
    <w:rsid w:val="00144954"/>
    <w:rsid w:val="0014699C"/>
    <w:rsid w:val="00147EB6"/>
    <w:rsid w:val="00150304"/>
    <w:rsid w:val="00150AAE"/>
    <w:rsid w:val="00150D8D"/>
    <w:rsid w:val="00151262"/>
    <w:rsid w:val="00152632"/>
    <w:rsid w:val="00153CF2"/>
    <w:rsid w:val="001548FF"/>
    <w:rsid w:val="00155CBC"/>
    <w:rsid w:val="001573D1"/>
    <w:rsid w:val="0015755E"/>
    <w:rsid w:val="001575D5"/>
    <w:rsid w:val="0015763C"/>
    <w:rsid w:val="001578D8"/>
    <w:rsid w:val="0016148F"/>
    <w:rsid w:val="0016286E"/>
    <w:rsid w:val="00163687"/>
    <w:rsid w:val="00163CC7"/>
    <w:rsid w:val="00163F57"/>
    <w:rsid w:val="00165DB6"/>
    <w:rsid w:val="00165FD0"/>
    <w:rsid w:val="00166989"/>
    <w:rsid w:val="00166A46"/>
    <w:rsid w:val="0016764C"/>
    <w:rsid w:val="00171E7C"/>
    <w:rsid w:val="00172E2F"/>
    <w:rsid w:val="001736B6"/>
    <w:rsid w:val="00175025"/>
    <w:rsid w:val="001757BE"/>
    <w:rsid w:val="00175C38"/>
    <w:rsid w:val="00177A20"/>
    <w:rsid w:val="0018034E"/>
    <w:rsid w:val="00180591"/>
    <w:rsid w:val="00180AFC"/>
    <w:rsid w:val="0018209F"/>
    <w:rsid w:val="00183A2D"/>
    <w:rsid w:val="00183A8F"/>
    <w:rsid w:val="00183B25"/>
    <w:rsid w:val="0018409C"/>
    <w:rsid w:val="0018437C"/>
    <w:rsid w:val="00184829"/>
    <w:rsid w:val="00186D93"/>
    <w:rsid w:val="00187100"/>
    <w:rsid w:val="0019019A"/>
    <w:rsid w:val="00191DD8"/>
    <w:rsid w:val="0019349D"/>
    <w:rsid w:val="00193809"/>
    <w:rsid w:val="0019396D"/>
    <w:rsid w:val="00193DB3"/>
    <w:rsid w:val="001959BF"/>
    <w:rsid w:val="00196259"/>
    <w:rsid w:val="001962FB"/>
    <w:rsid w:val="00197745"/>
    <w:rsid w:val="001A0FBE"/>
    <w:rsid w:val="001A18FA"/>
    <w:rsid w:val="001A2143"/>
    <w:rsid w:val="001A2FFF"/>
    <w:rsid w:val="001A4C7E"/>
    <w:rsid w:val="001A4EF4"/>
    <w:rsid w:val="001A5D38"/>
    <w:rsid w:val="001A750D"/>
    <w:rsid w:val="001B1211"/>
    <w:rsid w:val="001B1418"/>
    <w:rsid w:val="001B3527"/>
    <w:rsid w:val="001B3DD2"/>
    <w:rsid w:val="001B40D9"/>
    <w:rsid w:val="001B4784"/>
    <w:rsid w:val="001B4DA9"/>
    <w:rsid w:val="001B5749"/>
    <w:rsid w:val="001B7BBB"/>
    <w:rsid w:val="001C13CF"/>
    <w:rsid w:val="001C23B1"/>
    <w:rsid w:val="001C3A55"/>
    <w:rsid w:val="001C4321"/>
    <w:rsid w:val="001C5240"/>
    <w:rsid w:val="001C57CC"/>
    <w:rsid w:val="001C732D"/>
    <w:rsid w:val="001D1F97"/>
    <w:rsid w:val="001D2046"/>
    <w:rsid w:val="001D3C6E"/>
    <w:rsid w:val="001D4E4B"/>
    <w:rsid w:val="001D50E7"/>
    <w:rsid w:val="001D58C0"/>
    <w:rsid w:val="001D7460"/>
    <w:rsid w:val="001D7957"/>
    <w:rsid w:val="001E04EC"/>
    <w:rsid w:val="001E082A"/>
    <w:rsid w:val="001E2415"/>
    <w:rsid w:val="001E2A4A"/>
    <w:rsid w:val="001E38D5"/>
    <w:rsid w:val="001E3AD7"/>
    <w:rsid w:val="001E5286"/>
    <w:rsid w:val="001E52F0"/>
    <w:rsid w:val="001E720E"/>
    <w:rsid w:val="001E7429"/>
    <w:rsid w:val="001F3710"/>
    <w:rsid w:val="001F4B94"/>
    <w:rsid w:val="001F5DB2"/>
    <w:rsid w:val="001F6291"/>
    <w:rsid w:val="001F70CE"/>
    <w:rsid w:val="001F719A"/>
    <w:rsid w:val="002001A1"/>
    <w:rsid w:val="00201A1C"/>
    <w:rsid w:val="00204799"/>
    <w:rsid w:val="0020498C"/>
    <w:rsid w:val="00204DD7"/>
    <w:rsid w:val="00205E97"/>
    <w:rsid w:val="00206116"/>
    <w:rsid w:val="002069A0"/>
    <w:rsid w:val="0020731E"/>
    <w:rsid w:val="0021022C"/>
    <w:rsid w:val="0021087B"/>
    <w:rsid w:val="0021137C"/>
    <w:rsid w:val="002113D9"/>
    <w:rsid w:val="00214319"/>
    <w:rsid w:val="0021452F"/>
    <w:rsid w:val="002150FE"/>
    <w:rsid w:val="00216E19"/>
    <w:rsid w:val="00221DD0"/>
    <w:rsid w:val="00224562"/>
    <w:rsid w:val="00224564"/>
    <w:rsid w:val="00224989"/>
    <w:rsid w:val="002250FD"/>
    <w:rsid w:val="00226578"/>
    <w:rsid w:val="00226AF8"/>
    <w:rsid w:val="00227D59"/>
    <w:rsid w:val="002300CD"/>
    <w:rsid w:val="002305ED"/>
    <w:rsid w:val="00234FED"/>
    <w:rsid w:val="0023639F"/>
    <w:rsid w:val="0023725A"/>
    <w:rsid w:val="00237B81"/>
    <w:rsid w:val="00237BD0"/>
    <w:rsid w:val="00242114"/>
    <w:rsid w:val="0024282E"/>
    <w:rsid w:val="00242953"/>
    <w:rsid w:val="00243DE1"/>
    <w:rsid w:val="00244EDD"/>
    <w:rsid w:val="002455EC"/>
    <w:rsid w:val="00246DC8"/>
    <w:rsid w:val="00250882"/>
    <w:rsid w:val="00251D5C"/>
    <w:rsid w:val="0025247B"/>
    <w:rsid w:val="00253016"/>
    <w:rsid w:val="00254179"/>
    <w:rsid w:val="00256865"/>
    <w:rsid w:val="00257237"/>
    <w:rsid w:val="002574BB"/>
    <w:rsid w:val="00257531"/>
    <w:rsid w:val="00257631"/>
    <w:rsid w:val="00260431"/>
    <w:rsid w:val="00260E18"/>
    <w:rsid w:val="00260E1F"/>
    <w:rsid w:val="00261490"/>
    <w:rsid w:val="00261E3B"/>
    <w:rsid w:val="00261EFE"/>
    <w:rsid w:val="0026227D"/>
    <w:rsid w:val="002649E7"/>
    <w:rsid w:val="00270E00"/>
    <w:rsid w:val="00271DD1"/>
    <w:rsid w:val="002729B8"/>
    <w:rsid w:val="002755B9"/>
    <w:rsid w:val="00276378"/>
    <w:rsid w:val="00276834"/>
    <w:rsid w:val="00276A89"/>
    <w:rsid w:val="00276D5A"/>
    <w:rsid w:val="00277BA3"/>
    <w:rsid w:val="00282185"/>
    <w:rsid w:val="00282271"/>
    <w:rsid w:val="00282EE9"/>
    <w:rsid w:val="0028761D"/>
    <w:rsid w:val="00290BF2"/>
    <w:rsid w:val="00292BEA"/>
    <w:rsid w:val="002935B9"/>
    <w:rsid w:val="00294150"/>
    <w:rsid w:val="00294A5A"/>
    <w:rsid w:val="002955AA"/>
    <w:rsid w:val="002971AD"/>
    <w:rsid w:val="002A2079"/>
    <w:rsid w:val="002A3E04"/>
    <w:rsid w:val="002A49FB"/>
    <w:rsid w:val="002A5742"/>
    <w:rsid w:val="002A57E2"/>
    <w:rsid w:val="002A671A"/>
    <w:rsid w:val="002A7212"/>
    <w:rsid w:val="002A7277"/>
    <w:rsid w:val="002B08E6"/>
    <w:rsid w:val="002B0AA5"/>
    <w:rsid w:val="002B3F93"/>
    <w:rsid w:val="002B58A2"/>
    <w:rsid w:val="002B58FA"/>
    <w:rsid w:val="002B7C4E"/>
    <w:rsid w:val="002C0819"/>
    <w:rsid w:val="002C1F1B"/>
    <w:rsid w:val="002C2184"/>
    <w:rsid w:val="002C35DF"/>
    <w:rsid w:val="002C476A"/>
    <w:rsid w:val="002C6D34"/>
    <w:rsid w:val="002D12FD"/>
    <w:rsid w:val="002D18EB"/>
    <w:rsid w:val="002D2781"/>
    <w:rsid w:val="002D2B1A"/>
    <w:rsid w:val="002D2CA8"/>
    <w:rsid w:val="002D3101"/>
    <w:rsid w:val="002D3324"/>
    <w:rsid w:val="002D437E"/>
    <w:rsid w:val="002D4926"/>
    <w:rsid w:val="002D5874"/>
    <w:rsid w:val="002D5F29"/>
    <w:rsid w:val="002D5FF2"/>
    <w:rsid w:val="002D728B"/>
    <w:rsid w:val="002D73AA"/>
    <w:rsid w:val="002D77D7"/>
    <w:rsid w:val="002D7E84"/>
    <w:rsid w:val="002E10DF"/>
    <w:rsid w:val="002E1BE1"/>
    <w:rsid w:val="002E2665"/>
    <w:rsid w:val="002E26BE"/>
    <w:rsid w:val="002E2C84"/>
    <w:rsid w:val="002E3BD6"/>
    <w:rsid w:val="002E4CEF"/>
    <w:rsid w:val="002E6351"/>
    <w:rsid w:val="002E696C"/>
    <w:rsid w:val="002E7F0A"/>
    <w:rsid w:val="002F1211"/>
    <w:rsid w:val="002F4AEF"/>
    <w:rsid w:val="002F58C1"/>
    <w:rsid w:val="003003D6"/>
    <w:rsid w:val="00300A6A"/>
    <w:rsid w:val="00302DB2"/>
    <w:rsid w:val="0030594E"/>
    <w:rsid w:val="00306C05"/>
    <w:rsid w:val="00310187"/>
    <w:rsid w:val="00310289"/>
    <w:rsid w:val="00311088"/>
    <w:rsid w:val="003111C0"/>
    <w:rsid w:val="00311525"/>
    <w:rsid w:val="00311748"/>
    <w:rsid w:val="00311755"/>
    <w:rsid w:val="00312941"/>
    <w:rsid w:val="00312E4A"/>
    <w:rsid w:val="0031322E"/>
    <w:rsid w:val="003136C8"/>
    <w:rsid w:val="0031396D"/>
    <w:rsid w:val="00314102"/>
    <w:rsid w:val="00314734"/>
    <w:rsid w:val="00315021"/>
    <w:rsid w:val="00315C11"/>
    <w:rsid w:val="00315F52"/>
    <w:rsid w:val="00317357"/>
    <w:rsid w:val="003176C0"/>
    <w:rsid w:val="00317828"/>
    <w:rsid w:val="00321B34"/>
    <w:rsid w:val="003223CF"/>
    <w:rsid w:val="00322EE8"/>
    <w:rsid w:val="00323E38"/>
    <w:rsid w:val="00326995"/>
    <w:rsid w:val="003300CB"/>
    <w:rsid w:val="00330EAF"/>
    <w:rsid w:val="00331B5F"/>
    <w:rsid w:val="00331FEE"/>
    <w:rsid w:val="00331FFF"/>
    <w:rsid w:val="0033254F"/>
    <w:rsid w:val="00333973"/>
    <w:rsid w:val="00335EAB"/>
    <w:rsid w:val="0033680E"/>
    <w:rsid w:val="00337CD6"/>
    <w:rsid w:val="003409A2"/>
    <w:rsid w:val="0034127D"/>
    <w:rsid w:val="0034165A"/>
    <w:rsid w:val="0034194B"/>
    <w:rsid w:val="00343121"/>
    <w:rsid w:val="00347D43"/>
    <w:rsid w:val="003510F5"/>
    <w:rsid w:val="00351463"/>
    <w:rsid w:val="00351B1F"/>
    <w:rsid w:val="00352472"/>
    <w:rsid w:val="003535B4"/>
    <w:rsid w:val="0035496E"/>
    <w:rsid w:val="00354B81"/>
    <w:rsid w:val="00355890"/>
    <w:rsid w:val="00356261"/>
    <w:rsid w:val="003565FD"/>
    <w:rsid w:val="00360903"/>
    <w:rsid w:val="00360B79"/>
    <w:rsid w:val="00361D69"/>
    <w:rsid w:val="00362AC3"/>
    <w:rsid w:val="00363C9C"/>
    <w:rsid w:val="00363E05"/>
    <w:rsid w:val="00364347"/>
    <w:rsid w:val="003649EF"/>
    <w:rsid w:val="00364E20"/>
    <w:rsid w:val="003651A6"/>
    <w:rsid w:val="0036598D"/>
    <w:rsid w:val="003660A7"/>
    <w:rsid w:val="00366F03"/>
    <w:rsid w:val="00367986"/>
    <w:rsid w:val="00370915"/>
    <w:rsid w:val="003727E8"/>
    <w:rsid w:val="003730CD"/>
    <w:rsid w:val="00373A5A"/>
    <w:rsid w:val="00375815"/>
    <w:rsid w:val="003760A5"/>
    <w:rsid w:val="00376229"/>
    <w:rsid w:val="00376445"/>
    <w:rsid w:val="003768FD"/>
    <w:rsid w:val="00376C23"/>
    <w:rsid w:val="0038056F"/>
    <w:rsid w:val="0038118E"/>
    <w:rsid w:val="0038150D"/>
    <w:rsid w:val="00381F7A"/>
    <w:rsid w:val="003828A1"/>
    <w:rsid w:val="00382FD1"/>
    <w:rsid w:val="00384EE0"/>
    <w:rsid w:val="00385916"/>
    <w:rsid w:val="003871F4"/>
    <w:rsid w:val="00387B39"/>
    <w:rsid w:val="00391063"/>
    <w:rsid w:val="003911F5"/>
    <w:rsid w:val="003918FA"/>
    <w:rsid w:val="00397FCF"/>
    <w:rsid w:val="003A079D"/>
    <w:rsid w:val="003A153C"/>
    <w:rsid w:val="003A2584"/>
    <w:rsid w:val="003A364B"/>
    <w:rsid w:val="003A4861"/>
    <w:rsid w:val="003A4BAA"/>
    <w:rsid w:val="003A4DBE"/>
    <w:rsid w:val="003A5D6C"/>
    <w:rsid w:val="003A6999"/>
    <w:rsid w:val="003A7F98"/>
    <w:rsid w:val="003B034C"/>
    <w:rsid w:val="003B0C94"/>
    <w:rsid w:val="003B10AC"/>
    <w:rsid w:val="003B161A"/>
    <w:rsid w:val="003B1A61"/>
    <w:rsid w:val="003B2E4F"/>
    <w:rsid w:val="003B3C88"/>
    <w:rsid w:val="003B4A4C"/>
    <w:rsid w:val="003B51FA"/>
    <w:rsid w:val="003B6027"/>
    <w:rsid w:val="003B6B71"/>
    <w:rsid w:val="003C1736"/>
    <w:rsid w:val="003C2112"/>
    <w:rsid w:val="003C2512"/>
    <w:rsid w:val="003C3173"/>
    <w:rsid w:val="003C4352"/>
    <w:rsid w:val="003C583F"/>
    <w:rsid w:val="003C5C0A"/>
    <w:rsid w:val="003C74EE"/>
    <w:rsid w:val="003D0414"/>
    <w:rsid w:val="003D056F"/>
    <w:rsid w:val="003D2A18"/>
    <w:rsid w:val="003D2ABA"/>
    <w:rsid w:val="003D3760"/>
    <w:rsid w:val="003D3CB8"/>
    <w:rsid w:val="003D46D7"/>
    <w:rsid w:val="003D5265"/>
    <w:rsid w:val="003D6FD4"/>
    <w:rsid w:val="003E04B2"/>
    <w:rsid w:val="003E1653"/>
    <w:rsid w:val="003E2504"/>
    <w:rsid w:val="003E4CD9"/>
    <w:rsid w:val="003E72F5"/>
    <w:rsid w:val="003E749F"/>
    <w:rsid w:val="003E76DE"/>
    <w:rsid w:val="003E7896"/>
    <w:rsid w:val="003E78A4"/>
    <w:rsid w:val="003F01A7"/>
    <w:rsid w:val="003F11B9"/>
    <w:rsid w:val="003F2314"/>
    <w:rsid w:val="003F2629"/>
    <w:rsid w:val="003F2A86"/>
    <w:rsid w:val="003F2DC9"/>
    <w:rsid w:val="003F390F"/>
    <w:rsid w:val="003F3DB3"/>
    <w:rsid w:val="003F48A8"/>
    <w:rsid w:val="003F6225"/>
    <w:rsid w:val="003F6502"/>
    <w:rsid w:val="004022A2"/>
    <w:rsid w:val="004040D4"/>
    <w:rsid w:val="00404FBC"/>
    <w:rsid w:val="00406C3A"/>
    <w:rsid w:val="00410670"/>
    <w:rsid w:val="00410EAE"/>
    <w:rsid w:val="00411AD2"/>
    <w:rsid w:val="00411ECA"/>
    <w:rsid w:val="00415EE8"/>
    <w:rsid w:val="004162E7"/>
    <w:rsid w:val="0042016C"/>
    <w:rsid w:val="00420A54"/>
    <w:rsid w:val="0042130F"/>
    <w:rsid w:val="0042133D"/>
    <w:rsid w:val="00421439"/>
    <w:rsid w:val="004226A6"/>
    <w:rsid w:val="00422F75"/>
    <w:rsid w:val="004230C2"/>
    <w:rsid w:val="00424546"/>
    <w:rsid w:val="00424A5E"/>
    <w:rsid w:val="00425CF4"/>
    <w:rsid w:val="004272C1"/>
    <w:rsid w:val="0042733B"/>
    <w:rsid w:val="00427A41"/>
    <w:rsid w:val="0043029D"/>
    <w:rsid w:val="00430A92"/>
    <w:rsid w:val="0043147E"/>
    <w:rsid w:val="00431AE5"/>
    <w:rsid w:val="00431F3A"/>
    <w:rsid w:val="00432167"/>
    <w:rsid w:val="00433016"/>
    <w:rsid w:val="00433408"/>
    <w:rsid w:val="0043627D"/>
    <w:rsid w:val="004365FF"/>
    <w:rsid w:val="00440E89"/>
    <w:rsid w:val="00442A8E"/>
    <w:rsid w:val="00443E7F"/>
    <w:rsid w:val="0044467D"/>
    <w:rsid w:val="00444737"/>
    <w:rsid w:val="00444BB3"/>
    <w:rsid w:val="00444BDB"/>
    <w:rsid w:val="00444DAF"/>
    <w:rsid w:val="00445B5D"/>
    <w:rsid w:val="00451504"/>
    <w:rsid w:val="00451C2D"/>
    <w:rsid w:val="00451CF4"/>
    <w:rsid w:val="004524AF"/>
    <w:rsid w:val="00454132"/>
    <w:rsid w:val="004558E2"/>
    <w:rsid w:val="004561FE"/>
    <w:rsid w:val="00456BA5"/>
    <w:rsid w:val="00456BC6"/>
    <w:rsid w:val="004606BC"/>
    <w:rsid w:val="004607BF"/>
    <w:rsid w:val="00460E23"/>
    <w:rsid w:val="0046388A"/>
    <w:rsid w:val="00467343"/>
    <w:rsid w:val="0047043F"/>
    <w:rsid w:val="004710A8"/>
    <w:rsid w:val="00471421"/>
    <w:rsid w:val="00472F63"/>
    <w:rsid w:val="00473983"/>
    <w:rsid w:val="00473BB3"/>
    <w:rsid w:val="00473DE7"/>
    <w:rsid w:val="00476357"/>
    <w:rsid w:val="004765E0"/>
    <w:rsid w:val="00476F8A"/>
    <w:rsid w:val="00477D6C"/>
    <w:rsid w:val="00481185"/>
    <w:rsid w:val="004835F9"/>
    <w:rsid w:val="004837E0"/>
    <w:rsid w:val="0048492B"/>
    <w:rsid w:val="00486ADF"/>
    <w:rsid w:val="00487E73"/>
    <w:rsid w:val="00490BF6"/>
    <w:rsid w:val="004915EA"/>
    <w:rsid w:val="00491C14"/>
    <w:rsid w:val="00492E7A"/>
    <w:rsid w:val="004946E4"/>
    <w:rsid w:val="004951CB"/>
    <w:rsid w:val="004A125B"/>
    <w:rsid w:val="004A129C"/>
    <w:rsid w:val="004A22F6"/>
    <w:rsid w:val="004A56D3"/>
    <w:rsid w:val="004A5E44"/>
    <w:rsid w:val="004A62EF"/>
    <w:rsid w:val="004A72E9"/>
    <w:rsid w:val="004B3239"/>
    <w:rsid w:val="004B3350"/>
    <w:rsid w:val="004B38BC"/>
    <w:rsid w:val="004B5A2F"/>
    <w:rsid w:val="004B7A11"/>
    <w:rsid w:val="004B7CE2"/>
    <w:rsid w:val="004C41BA"/>
    <w:rsid w:val="004C5DAD"/>
    <w:rsid w:val="004C7547"/>
    <w:rsid w:val="004D007F"/>
    <w:rsid w:val="004D1773"/>
    <w:rsid w:val="004D30A2"/>
    <w:rsid w:val="004D43B3"/>
    <w:rsid w:val="004D53DC"/>
    <w:rsid w:val="004D7A0C"/>
    <w:rsid w:val="004E1F41"/>
    <w:rsid w:val="004E275F"/>
    <w:rsid w:val="004E670D"/>
    <w:rsid w:val="004F0CD4"/>
    <w:rsid w:val="004F14A0"/>
    <w:rsid w:val="004F1A2A"/>
    <w:rsid w:val="004F23D3"/>
    <w:rsid w:val="004F33C4"/>
    <w:rsid w:val="004F3AF4"/>
    <w:rsid w:val="004F58B8"/>
    <w:rsid w:val="004F7EFE"/>
    <w:rsid w:val="00500363"/>
    <w:rsid w:val="0050093F"/>
    <w:rsid w:val="005031C4"/>
    <w:rsid w:val="00503790"/>
    <w:rsid w:val="005047CA"/>
    <w:rsid w:val="00504942"/>
    <w:rsid w:val="00504E9C"/>
    <w:rsid w:val="00505674"/>
    <w:rsid w:val="005063E5"/>
    <w:rsid w:val="00507179"/>
    <w:rsid w:val="00507610"/>
    <w:rsid w:val="00510753"/>
    <w:rsid w:val="00511BFC"/>
    <w:rsid w:val="005125B4"/>
    <w:rsid w:val="00512967"/>
    <w:rsid w:val="00516385"/>
    <w:rsid w:val="00517041"/>
    <w:rsid w:val="00521406"/>
    <w:rsid w:val="00521575"/>
    <w:rsid w:val="00525A77"/>
    <w:rsid w:val="00526C37"/>
    <w:rsid w:val="00527E54"/>
    <w:rsid w:val="00530575"/>
    <w:rsid w:val="00532E73"/>
    <w:rsid w:val="00534994"/>
    <w:rsid w:val="0053546C"/>
    <w:rsid w:val="00535FCD"/>
    <w:rsid w:val="00537C71"/>
    <w:rsid w:val="005410CE"/>
    <w:rsid w:val="00543236"/>
    <w:rsid w:val="00544388"/>
    <w:rsid w:val="00545286"/>
    <w:rsid w:val="00545595"/>
    <w:rsid w:val="00545AF7"/>
    <w:rsid w:val="00550248"/>
    <w:rsid w:val="005510D2"/>
    <w:rsid w:val="0055136D"/>
    <w:rsid w:val="005530D5"/>
    <w:rsid w:val="005537C0"/>
    <w:rsid w:val="005538A3"/>
    <w:rsid w:val="005544DD"/>
    <w:rsid w:val="00554BA3"/>
    <w:rsid w:val="00556A17"/>
    <w:rsid w:val="00557B5A"/>
    <w:rsid w:val="00557EF1"/>
    <w:rsid w:val="00560BF7"/>
    <w:rsid w:val="00561698"/>
    <w:rsid w:val="00561DCA"/>
    <w:rsid w:val="0056207A"/>
    <w:rsid w:val="00562B74"/>
    <w:rsid w:val="005635F2"/>
    <w:rsid w:val="005642EA"/>
    <w:rsid w:val="00564F26"/>
    <w:rsid w:val="005650AA"/>
    <w:rsid w:val="005677EF"/>
    <w:rsid w:val="00567DAB"/>
    <w:rsid w:val="00570628"/>
    <w:rsid w:val="00570F49"/>
    <w:rsid w:val="00573E1E"/>
    <w:rsid w:val="00575CCA"/>
    <w:rsid w:val="00576FAF"/>
    <w:rsid w:val="00577316"/>
    <w:rsid w:val="00580163"/>
    <w:rsid w:val="005808F2"/>
    <w:rsid w:val="00580D2A"/>
    <w:rsid w:val="005823F4"/>
    <w:rsid w:val="00582E74"/>
    <w:rsid w:val="005834CF"/>
    <w:rsid w:val="00585291"/>
    <w:rsid w:val="00585A15"/>
    <w:rsid w:val="00585AFD"/>
    <w:rsid w:val="00586159"/>
    <w:rsid w:val="00590381"/>
    <w:rsid w:val="005903FD"/>
    <w:rsid w:val="00590F21"/>
    <w:rsid w:val="00592C42"/>
    <w:rsid w:val="00594FC2"/>
    <w:rsid w:val="005955BF"/>
    <w:rsid w:val="00595CFF"/>
    <w:rsid w:val="005A24E4"/>
    <w:rsid w:val="005A332A"/>
    <w:rsid w:val="005A3BED"/>
    <w:rsid w:val="005A54AE"/>
    <w:rsid w:val="005A76EE"/>
    <w:rsid w:val="005B0CA0"/>
    <w:rsid w:val="005B101B"/>
    <w:rsid w:val="005B2A9F"/>
    <w:rsid w:val="005B3A0F"/>
    <w:rsid w:val="005B3B95"/>
    <w:rsid w:val="005B54CC"/>
    <w:rsid w:val="005B57D3"/>
    <w:rsid w:val="005B5DEC"/>
    <w:rsid w:val="005B66FF"/>
    <w:rsid w:val="005B6E81"/>
    <w:rsid w:val="005B7CF0"/>
    <w:rsid w:val="005C0268"/>
    <w:rsid w:val="005C1A8F"/>
    <w:rsid w:val="005C2CAA"/>
    <w:rsid w:val="005C42FD"/>
    <w:rsid w:val="005C4CA1"/>
    <w:rsid w:val="005C51FA"/>
    <w:rsid w:val="005C5F09"/>
    <w:rsid w:val="005D0665"/>
    <w:rsid w:val="005D19BE"/>
    <w:rsid w:val="005D220E"/>
    <w:rsid w:val="005D2566"/>
    <w:rsid w:val="005D3131"/>
    <w:rsid w:val="005D4AE2"/>
    <w:rsid w:val="005D56F8"/>
    <w:rsid w:val="005D59C7"/>
    <w:rsid w:val="005D5E6B"/>
    <w:rsid w:val="005D6CDC"/>
    <w:rsid w:val="005D7A7F"/>
    <w:rsid w:val="005E037E"/>
    <w:rsid w:val="005E10D3"/>
    <w:rsid w:val="005E150A"/>
    <w:rsid w:val="005E3798"/>
    <w:rsid w:val="005E47B1"/>
    <w:rsid w:val="005E5C39"/>
    <w:rsid w:val="005E6FD2"/>
    <w:rsid w:val="005E7D4B"/>
    <w:rsid w:val="005F2B3F"/>
    <w:rsid w:val="005F3BD4"/>
    <w:rsid w:val="00600AD8"/>
    <w:rsid w:val="00600F10"/>
    <w:rsid w:val="00603465"/>
    <w:rsid w:val="00604A1F"/>
    <w:rsid w:val="00604D4C"/>
    <w:rsid w:val="00610EF6"/>
    <w:rsid w:val="00612407"/>
    <w:rsid w:val="0061268E"/>
    <w:rsid w:val="006129D0"/>
    <w:rsid w:val="00614D39"/>
    <w:rsid w:val="006152F0"/>
    <w:rsid w:val="00615EAB"/>
    <w:rsid w:val="00616468"/>
    <w:rsid w:val="00616CAB"/>
    <w:rsid w:val="00620130"/>
    <w:rsid w:val="006202BD"/>
    <w:rsid w:val="006205E9"/>
    <w:rsid w:val="00621BDE"/>
    <w:rsid w:val="0062427C"/>
    <w:rsid w:val="0062710F"/>
    <w:rsid w:val="00630F44"/>
    <w:rsid w:val="00632DCB"/>
    <w:rsid w:val="00634146"/>
    <w:rsid w:val="00634B14"/>
    <w:rsid w:val="00636042"/>
    <w:rsid w:val="0063710D"/>
    <w:rsid w:val="0063768C"/>
    <w:rsid w:val="00641069"/>
    <w:rsid w:val="006429BF"/>
    <w:rsid w:val="00642CD0"/>
    <w:rsid w:val="00643A42"/>
    <w:rsid w:val="006440C6"/>
    <w:rsid w:val="006441EC"/>
    <w:rsid w:val="006450F3"/>
    <w:rsid w:val="00647903"/>
    <w:rsid w:val="00647A3A"/>
    <w:rsid w:val="0065036C"/>
    <w:rsid w:val="00650B31"/>
    <w:rsid w:val="00651DB8"/>
    <w:rsid w:val="006525BF"/>
    <w:rsid w:val="00652FDE"/>
    <w:rsid w:val="006536A0"/>
    <w:rsid w:val="006537C6"/>
    <w:rsid w:val="00654301"/>
    <w:rsid w:val="00657FED"/>
    <w:rsid w:val="006637E1"/>
    <w:rsid w:val="0066523D"/>
    <w:rsid w:val="00665CD8"/>
    <w:rsid w:val="00665EA7"/>
    <w:rsid w:val="00666006"/>
    <w:rsid w:val="006676F8"/>
    <w:rsid w:val="0067053E"/>
    <w:rsid w:val="00671196"/>
    <w:rsid w:val="00671597"/>
    <w:rsid w:val="006722F1"/>
    <w:rsid w:val="00673696"/>
    <w:rsid w:val="00673AE9"/>
    <w:rsid w:val="00674C25"/>
    <w:rsid w:val="006752C5"/>
    <w:rsid w:val="006761DF"/>
    <w:rsid w:val="006765D3"/>
    <w:rsid w:val="00677721"/>
    <w:rsid w:val="006804F0"/>
    <w:rsid w:val="00680B0F"/>
    <w:rsid w:val="0068141D"/>
    <w:rsid w:val="0068268A"/>
    <w:rsid w:val="00682D56"/>
    <w:rsid w:val="00683D0A"/>
    <w:rsid w:val="006865E7"/>
    <w:rsid w:val="00687575"/>
    <w:rsid w:val="0069094C"/>
    <w:rsid w:val="00691764"/>
    <w:rsid w:val="00692619"/>
    <w:rsid w:val="006927BD"/>
    <w:rsid w:val="00692DCD"/>
    <w:rsid w:val="006A00E1"/>
    <w:rsid w:val="006A05C7"/>
    <w:rsid w:val="006A0FBE"/>
    <w:rsid w:val="006A2353"/>
    <w:rsid w:val="006A288E"/>
    <w:rsid w:val="006A35F2"/>
    <w:rsid w:val="006A49D9"/>
    <w:rsid w:val="006B0B93"/>
    <w:rsid w:val="006B19DD"/>
    <w:rsid w:val="006B1AA5"/>
    <w:rsid w:val="006B42DD"/>
    <w:rsid w:val="006B5970"/>
    <w:rsid w:val="006B76F6"/>
    <w:rsid w:val="006C31C2"/>
    <w:rsid w:val="006C3601"/>
    <w:rsid w:val="006C5430"/>
    <w:rsid w:val="006D10F4"/>
    <w:rsid w:val="006D2324"/>
    <w:rsid w:val="006D58DE"/>
    <w:rsid w:val="006D5B96"/>
    <w:rsid w:val="006D70DD"/>
    <w:rsid w:val="006E01EA"/>
    <w:rsid w:val="006E2A6A"/>
    <w:rsid w:val="006E2E70"/>
    <w:rsid w:val="006E3CA5"/>
    <w:rsid w:val="006E3DAB"/>
    <w:rsid w:val="006E4BCC"/>
    <w:rsid w:val="006E4FDF"/>
    <w:rsid w:val="006F0463"/>
    <w:rsid w:val="006F04C0"/>
    <w:rsid w:val="006F1857"/>
    <w:rsid w:val="006F2E1B"/>
    <w:rsid w:val="006F49B6"/>
    <w:rsid w:val="006F574E"/>
    <w:rsid w:val="006F6422"/>
    <w:rsid w:val="006F79CF"/>
    <w:rsid w:val="007017C7"/>
    <w:rsid w:val="00702424"/>
    <w:rsid w:val="007035D8"/>
    <w:rsid w:val="00704C4B"/>
    <w:rsid w:val="007051B2"/>
    <w:rsid w:val="0070547D"/>
    <w:rsid w:val="00705876"/>
    <w:rsid w:val="007068A8"/>
    <w:rsid w:val="00706B11"/>
    <w:rsid w:val="00710380"/>
    <w:rsid w:val="007107B9"/>
    <w:rsid w:val="00710E87"/>
    <w:rsid w:val="00712DEE"/>
    <w:rsid w:val="00714855"/>
    <w:rsid w:val="00716692"/>
    <w:rsid w:val="00717482"/>
    <w:rsid w:val="007176BE"/>
    <w:rsid w:val="00720776"/>
    <w:rsid w:val="007217F0"/>
    <w:rsid w:val="007225FB"/>
    <w:rsid w:val="00722FAB"/>
    <w:rsid w:val="0072396E"/>
    <w:rsid w:val="00723A6C"/>
    <w:rsid w:val="007250DB"/>
    <w:rsid w:val="0072716B"/>
    <w:rsid w:val="007308DC"/>
    <w:rsid w:val="00731862"/>
    <w:rsid w:val="00731CBB"/>
    <w:rsid w:val="0073215F"/>
    <w:rsid w:val="007322B7"/>
    <w:rsid w:val="007323F4"/>
    <w:rsid w:val="007325EE"/>
    <w:rsid w:val="00732D37"/>
    <w:rsid w:val="00732E00"/>
    <w:rsid w:val="00733B9A"/>
    <w:rsid w:val="007350C5"/>
    <w:rsid w:val="007355CD"/>
    <w:rsid w:val="007357BC"/>
    <w:rsid w:val="007359BD"/>
    <w:rsid w:val="0073723B"/>
    <w:rsid w:val="00737588"/>
    <w:rsid w:val="00740735"/>
    <w:rsid w:val="00741B18"/>
    <w:rsid w:val="00742571"/>
    <w:rsid w:val="0074519E"/>
    <w:rsid w:val="007476F4"/>
    <w:rsid w:val="00747799"/>
    <w:rsid w:val="007513DE"/>
    <w:rsid w:val="007541AF"/>
    <w:rsid w:val="00756921"/>
    <w:rsid w:val="00760643"/>
    <w:rsid w:val="007607DA"/>
    <w:rsid w:val="0076134A"/>
    <w:rsid w:val="007623D2"/>
    <w:rsid w:val="0076362C"/>
    <w:rsid w:val="00764D43"/>
    <w:rsid w:val="00766E26"/>
    <w:rsid w:val="00767960"/>
    <w:rsid w:val="007706BB"/>
    <w:rsid w:val="0077216A"/>
    <w:rsid w:val="00772EDD"/>
    <w:rsid w:val="00774F93"/>
    <w:rsid w:val="007760A9"/>
    <w:rsid w:val="00776BE8"/>
    <w:rsid w:val="00780C91"/>
    <w:rsid w:val="007810D1"/>
    <w:rsid w:val="00782B0E"/>
    <w:rsid w:val="007841B4"/>
    <w:rsid w:val="00784275"/>
    <w:rsid w:val="007902A7"/>
    <w:rsid w:val="0079101C"/>
    <w:rsid w:val="00791696"/>
    <w:rsid w:val="007926D8"/>
    <w:rsid w:val="00792DE7"/>
    <w:rsid w:val="00794110"/>
    <w:rsid w:val="007943B5"/>
    <w:rsid w:val="007965EC"/>
    <w:rsid w:val="00796733"/>
    <w:rsid w:val="007967A2"/>
    <w:rsid w:val="00796FBE"/>
    <w:rsid w:val="007A0BC2"/>
    <w:rsid w:val="007B11AF"/>
    <w:rsid w:val="007B1463"/>
    <w:rsid w:val="007B278E"/>
    <w:rsid w:val="007B2A35"/>
    <w:rsid w:val="007B3383"/>
    <w:rsid w:val="007B3EA0"/>
    <w:rsid w:val="007B41F2"/>
    <w:rsid w:val="007B608F"/>
    <w:rsid w:val="007C0668"/>
    <w:rsid w:val="007C0984"/>
    <w:rsid w:val="007C2985"/>
    <w:rsid w:val="007C5641"/>
    <w:rsid w:val="007C5BC3"/>
    <w:rsid w:val="007C6484"/>
    <w:rsid w:val="007C6491"/>
    <w:rsid w:val="007C6832"/>
    <w:rsid w:val="007D1BFB"/>
    <w:rsid w:val="007D2EC1"/>
    <w:rsid w:val="007D3FA8"/>
    <w:rsid w:val="007D4AFB"/>
    <w:rsid w:val="007D6B05"/>
    <w:rsid w:val="007E009C"/>
    <w:rsid w:val="007E148B"/>
    <w:rsid w:val="007E266C"/>
    <w:rsid w:val="007E4CAF"/>
    <w:rsid w:val="007E51B9"/>
    <w:rsid w:val="007E7C6B"/>
    <w:rsid w:val="007F029A"/>
    <w:rsid w:val="007F1B62"/>
    <w:rsid w:val="007F3D26"/>
    <w:rsid w:val="007F4A31"/>
    <w:rsid w:val="007F59BC"/>
    <w:rsid w:val="007F60DD"/>
    <w:rsid w:val="007F7102"/>
    <w:rsid w:val="007F7668"/>
    <w:rsid w:val="00801187"/>
    <w:rsid w:val="00803BC6"/>
    <w:rsid w:val="00804AC8"/>
    <w:rsid w:val="008077EB"/>
    <w:rsid w:val="008100FA"/>
    <w:rsid w:val="00810E7B"/>
    <w:rsid w:val="008120DC"/>
    <w:rsid w:val="0081326E"/>
    <w:rsid w:val="00813ACB"/>
    <w:rsid w:val="008152FC"/>
    <w:rsid w:val="00815A2C"/>
    <w:rsid w:val="00816866"/>
    <w:rsid w:val="00817879"/>
    <w:rsid w:val="00821524"/>
    <w:rsid w:val="00821E22"/>
    <w:rsid w:val="0082234E"/>
    <w:rsid w:val="00822DDD"/>
    <w:rsid w:val="00824AF3"/>
    <w:rsid w:val="00824B0A"/>
    <w:rsid w:val="00824D0B"/>
    <w:rsid w:val="00825896"/>
    <w:rsid w:val="00826004"/>
    <w:rsid w:val="008262F6"/>
    <w:rsid w:val="008275CC"/>
    <w:rsid w:val="00830029"/>
    <w:rsid w:val="0083289B"/>
    <w:rsid w:val="0083377B"/>
    <w:rsid w:val="00834882"/>
    <w:rsid w:val="0083503B"/>
    <w:rsid w:val="00835906"/>
    <w:rsid w:val="008359E3"/>
    <w:rsid w:val="00836849"/>
    <w:rsid w:val="0083782D"/>
    <w:rsid w:val="00841A1C"/>
    <w:rsid w:val="008424E2"/>
    <w:rsid w:val="008438D6"/>
    <w:rsid w:val="00843B59"/>
    <w:rsid w:val="00844E6E"/>
    <w:rsid w:val="00845B2D"/>
    <w:rsid w:val="008464E0"/>
    <w:rsid w:val="008527B2"/>
    <w:rsid w:val="00855332"/>
    <w:rsid w:val="008562E0"/>
    <w:rsid w:val="00856984"/>
    <w:rsid w:val="008573AF"/>
    <w:rsid w:val="00857C65"/>
    <w:rsid w:val="00857CD0"/>
    <w:rsid w:val="00860011"/>
    <w:rsid w:val="00860260"/>
    <w:rsid w:val="00860FDB"/>
    <w:rsid w:val="00861EBD"/>
    <w:rsid w:val="008624FE"/>
    <w:rsid w:val="00862703"/>
    <w:rsid w:val="00864CCF"/>
    <w:rsid w:val="0086643A"/>
    <w:rsid w:val="00866799"/>
    <w:rsid w:val="008667EA"/>
    <w:rsid w:val="0087035E"/>
    <w:rsid w:val="00870BD2"/>
    <w:rsid w:val="00870C86"/>
    <w:rsid w:val="0087217B"/>
    <w:rsid w:val="00875D8F"/>
    <w:rsid w:val="00876008"/>
    <w:rsid w:val="008805F3"/>
    <w:rsid w:val="008809C0"/>
    <w:rsid w:val="0088103E"/>
    <w:rsid w:val="00882412"/>
    <w:rsid w:val="00882EDA"/>
    <w:rsid w:val="00883EA8"/>
    <w:rsid w:val="008872D7"/>
    <w:rsid w:val="00890F97"/>
    <w:rsid w:val="00893629"/>
    <w:rsid w:val="00895F23"/>
    <w:rsid w:val="008A143F"/>
    <w:rsid w:val="008A4513"/>
    <w:rsid w:val="008A49FA"/>
    <w:rsid w:val="008A56D8"/>
    <w:rsid w:val="008A624E"/>
    <w:rsid w:val="008A75ED"/>
    <w:rsid w:val="008A7A5C"/>
    <w:rsid w:val="008B2B13"/>
    <w:rsid w:val="008B5CC5"/>
    <w:rsid w:val="008B69C7"/>
    <w:rsid w:val="008B78DC"/>
    <w:rsid w:val="008C0223"/>
    <w:rsid w:val="008C0F33"/>
    <w:rsid w:val="008C1019"/>
    <w:rsid w:val="008C1295"/>
    <w:rsid w:val="008C20EC"/>
    <w:rsid w:val="008C3591"/>
    <w:rsid w:val="008C4810"/>
    <w:rsid w:val="008C53A2"/>
    <w:rsid w:val="008D091D"/>
    <w:rsid w:val="008D1042"/>
    <w:rsid w:val="008D19C4"/>
    <w:rsid w:val="008D269F"/>
    <w:rsid w:val="008D292B"/>
    <w:rsid w:val="008D2C84"/>
    <w:rsid w:val="008D3D4A"/>
    <w:rsid w:val="008D41B2"/>
    <w:rsid w:val="008D470D"/>
    <w:rsid w:val="008D4C13"/>
    <w:rsid w:val="008D570A"/>
    <w:rsid w:val="008D650E"/>
    <w:rsid w:val="008D7AFB"/>
    <w:rsid w:val="008E0951"/>
    <w:rsid w:val="008E0F22"/>
    <w:rsid w:val="008E16E3"/>
    <w:rsid w:val="008E1BE6"/>
    <w:rsid w:val="008E2129"/>
    <w:rsid w:val="008E263D"/>
    <w:rsid w:val="008E49CD"/>
    <w:rsid w:val="008E509D"/>
    <w:rsid w:val="008E65F1"/>
    <w:rsid w:val="008E71FD"/>
    <w:rsid w:val="008F120E"/>
    <w:rsid w:val="008F1BFD"/>
    <w:rsid w:val="008F51EB"/>
    <w:rsid w:val="008F70DB"/>
    <w:rsid w:val="008F7A9E"/>
    <w:rsid w:val="00900B13"/>
    <w:rsid w:val="00900F80"/>
    <w:rsid w:val="0090187F"/>
    <w:rsid w:val="00902562"/>
    <w:rsid w:val="00904EA2"/>
    <w:rsid w:val="00907AB0"/>
    <w:rsid w:val="00912885"/>
    <w:rsid w:val="00913B61"/>
    <w:rsid w:val="009146FE"/>
    <w:rsid w:val="00914CAA"/>
    <w:rsid w:val="009202BA"/>
    <w:rsid w:val="009204F7"/>
    <w:rsid w:val="00920EEF"/>
    <w:rsid w:val="009238DC"/>
    <w:rsid w:val="00925A81"/>
    <w:rsid w:val="00925C49"/>
    <w:rsid w:val="00927936"/>
    <w:rsid w:val="00930A9B"/>
    <w:rsid w:val="00930BAD"/>
    <w:rsid w:val="00932E22"/>
    <w:rsid w:val="009334C4"/>
    <w:rsid w:val="00934D3A"/>
    <w:rsid w:val="00937176"/>
    <w:rsid w:val="00937B82"/>
    <w:rsid w:val="00937CED"/>
    <w:rsid w:val="00940DC8"/>
    <w:rsid w:val="00941B64"/>
    <w:rsid w:val="009448CC"/>
    <w:rsid w:val="009464D4"/>
    <w:rsid w:val="00946DA2"/>
    <w:rsid w:val="0095091C"/>
    <w:rsid w:val="00950AA0"/>
    <w:rsid w:val="0095155B"/>
    <w:rsid w:val="009515BD"/>
    <w:rsid w:val="00951EC6"/>
    <w:rsid w:val="00953B3F"/>
    <w:rsid w:val="00955565"/>
    <w:rsid w:val="00957300"/>
    <w:rsid w:val="00957E3D"/>
    <w:rsid w:val="00961051"/>
    <w:rsid w:val="00963AA7"/>
    <w:rsid w:val="00964AD4"/>
    <w:rsid w:val="00964D5E"/>
    <w:rsid w:val="0096680F"/>
    <w:rsid w:val="0096744F"/>
    <w:rsid w:val="00971D7F"/>
    <w:rsid w:val="0097313E"/>
    <w:rsid w:val="009749C3"/>
    <w:rsid w:val="00974DA3"/>
    <w:rsid w:val="00975594"/>
    <w:rsid w:val="00975DCF"/>
    <w:rsid w:val="009766F4"/>
    <w:rsid w:val="00980261"/>
    <w:rsid w:val="00980A99"/>
    <w:rsid w:val="009825E3"/>
    <w:rsid w:val="00982DAA"/>
    <w:rsid w:val="00982DAE"/>
    <w:rsid w:val="00982F0A"/>
    <w:rsid w:val="009839F3"/>
    <w:rsid w:val="0098509E"/>
    <w:rsid w:val="009851ED"/>
    <w:rsid w:val="009857AA"/>
    <w:rsid w:val="00986FC7"/>
    <w:rsid w:val="00987DDD"/>
    <w:rsid w:val="009906BB"/>
    <w:rsid w:val="00990C4D"/>
    <w:rsid w:val="009934F9"/>
    <w:rsid w:val="00995198"/>
    <w:rsid w:val="009963AA"/>
    <w:rsid w:val="00996D4E"/>
    <w:rsid w:val="00997C3F"/>
    <w:rsid w:val="00997CEA"/>
    <w:rsid w:val="00997E77"/>
    <w:rsid w:val="009A0939"/>
    <w:rsid w:val="009A0D1D"/>
    <w:rsid w:val="009A1BB3"/>
    <w:rsid w:val="009A1FA6"/>
    <w:rsid w:val="009A5786"/>
    <w:rsid w:val="009A6AD7"/>
    <w:rsid w:val="009A6CC7"/>
    <w:rsid w:val="009A6E28"/>
    <w:rsid w:val="009A734E"/>
    <w:rsid w:val="009B046E"/>
    <w:rsid w:val="009B0F06"/>
    <w:rsid w:val="009B2468"/>
    <w:rsid w:val="009B2F2C"/>
    <w:rsid w:val="009B438D"/>
    <w:rsid w:val="009B45DF"/>
    <w:rsid w:val="009C2921"/>
    <w:rsid w:val="009C3391"/>
    <w:rsid w:val="009C60DE"/>
    <w:rsid w:val="009C61D9"/>
    <w:rsid w:val="009C6B6E"/>
    <w:rsid w:val="009C7150"/>
    <w:rsid w:val="009D02A2"/>
    <w:rsid w:val="009D04E0"/>
    <w:rsid w:val="009D0669"/>
    <w:rsid w:val="009D0A2C"/>
    <w:rsid w:val="009D1B61"/>
    <w:rsid w:val="009D2A23"/>
    <w:rsid w:val="009D2DAF"/>
    <w:rsid w:val="009D3314"/>
    <w:rsid w:val="009D4F66"/>
    <w:rsid w:val="009D5D36"/>
    <w:rsid w:val="009D5DEE"/>
    <w:rsid w:val="009D7168"/>
    <w:rsid w:val="009E0261"/>
    <w:rsid w:val="009E0282"/>
    <w:rsid w:val="009E04DE"/>
    <w:rsid w:val="009E0594"/>
    <w:rsid w:val="009E250B"/>
    <w:rsid w:val="009E387C"/>
    <w:rsid w:val="009E3C33"/>
    <w:rsid w:val="009E3CE6"/>
    <w:rsid w:val="009E4841"/>
    <w:rsid w:val="009E6871"/>
    <w:rsid w:val="009E6B86"/>
    <w:rsid w:val="009E6C8A"/>
    <w:rsid w:val="009F1003"/>
    <w:rsid w:val="009F126E"/>
    <w:rsid w:val="009F2B34"/>
    <w:rsid w:val="009F2BBE"/>
    <w:rsid w:val="009F2F45"/>
    <w:rsid w:val="009F4905"/>
    <w:rsid w:val="009F4923"/>
    <w:rsid w:val="009F4DF7"/>
    <w:rsid w:val="009F4FC6"/>
    <w:rsid w:val="009F4FE5"/>
    <w:rsid w:val="009F574C"/>
    <w:rsid w:val="009F6FE3"/>
    <w:rsid w:val="009F729A"/>
    <w:rsid w:val="009F7CDA"/>
    <w:rsid w:val="00A0003C"/>
    <w:rsid w:val="00A002C0"/>
    <w:rsid w:val="00A016C1"/>
    <w:rsid w:val="00A0323B"/>
    <w:rsid w:val="00A07A7F"/>
    <w:rsid w:val="00A07EAA"/>
    <w:rsid w:val="00A10A15"/>
    <w:rsid w:val="00A10EE0"/>
    <w:rsid w:val="00A11329"/>
    <w:rsid w:val="00A12654"/>
    <w:rsid w:val="00A12697"/>
    <w:rsid w:val="00A15A97"/>
    <w:rsid w:val="00A15AD8"/>
    <w:rsid w:val="00A15D9F"/>
    <w:rsid w:val="00A1643D"/>
    <w:rsid w:val="00A212BB"/>
    <w:rsid w:val="00A213E0"/>
    <w:rsid w:val="00A21573"/>
    <w:rsid w:val="00A218C5"/>
    <w:rsid w:val="00A21C71"/>
    <w:rsid w:val="00A22450"/>
    <w:rsid w:val="00A24966"/>
    <w:rsid w:val="00A249C0"/>
    <w:rsid w:val="00A2750B"/>
    <w:rsid w:val="00A30DB3"/>
    <w:rsid w:val="00A31745"/>
    <w:rsid w:val="00A31BB0"/>
    <w:rsid w:val="00A32499"/>
    <w:rsid w:val="00A326BF"/>
    <w:rsid w:val="00A3369F"/>
    <w:rsid w:val="00A344A6"/>
    <w:rsid w:val="00A34FD5"/>
    <w:rsid w:val="00A35913"/>
    <w:rsid w:val="00A36152"/>
    <w:rsid w:val="00A363A1"/>
    <w:rsid w:val="00A365D0"/>
    <w:rsid w:val="00A36BB4"/>
    <w:rsid w:val="00A4393E"/>
    <w:rsid w:val="00A44435"/>
    <w:rsid w:val="00A44C95"/>
    <w:rsid w:val="00A45E49"/>
    <w:rsid w:val="00A468F0"/>
    <w:rsid w:val="00A46D20"/>
    <w:rsid w:val="00A47544"/>
    <w:rsid w:val="00A47572"/>
    <w:rsid w:val="00A476CC"/>
    <w:rsid w:val="00A52F91"/>
    <w:rsid w:val="00A53AD2"/>
    <w:rsid w:val="00A546C2"/>
    <w:rsid w:val="00A54FD7"/>
    <w:rsid w:val="00A55D2F"/>
    <w:rsid w:val="00A60795"/>
    <w:rsid w:val="00A61F67"/>
    <w:rsid w:val="00A66D89"/>
    <w:rsid w:val="00A72D81"/>
    <w:rsid w:val="00A73130"/>
    <w:rsid w:val="00A734A8"/>
    <w:rsid w:val="00A741EC"/>
    <w:rsid w:val="00A74753"/>
    <w:rsid w:val="00A75555"/>
    <w:rsid w:val="00A75E12"/>
    <w:rsid w:val="00A762A3"/>
    <w:rsid w:val="00A76D43"/>
    <w:rsid w:val="00A77C94"/>
    <w:rsid w:val="00A80E42"/>
    <w:rsid w:val="00A82B43"/>
    <w:rsid w:val="00A83AEC"/>
    <w:rsid w:val="00A84AA5"/>
    <w:rsid w:val="00A8504D"/>
    <w:rsid w:val="00A85457"/>
    <w:rsid w:val="00A85E85"/>
    <w:rsid w:val="00A87FDE"/>
    <w:rsid w:val="00A90252"/>
    <w:rsid w:val="00A90797"/>
    <w:rsid w:val="00A92D81"/>
    <w:rsid w:val="00A9353F"/>
    <w:rsid w:val="00A93FB5"/>
    <w:rsid w:val="00A9662C"/>
    <w:rsid w:val="00AA2730"/>
    <w:rsid w:val="00AA3D64"/>
    <w:rsid w:val="00AA4346"/>
    <w:rsid w:val="00AA66CD"/>
    <w:rsid w:val="00AA7D73"/>
    <w:rsid w:val="00AB182C"/>
    <w:rsid w:val="00AB3083"/>
    <w:rsid w:val="00AB3773"/>
    <w:rsid w:val="00AB6DBB"/>
    <w:rsid w:val="00AB6FE7"/>
    <w:rsid w:val="00AC0F50"/>
    <w:rsid w:val="00AC201D"/>
    <w:rsid w:val="00AC380C"/>
    <w:rsid w:val="00AC45A0"/>
    <w:rsid w:val="00AC4EEE"/>
    <w:rsid w:val="00AC53DA"/>
    <w:rsid w:val="00AC59F9"/>
    <w:rsid w:val="00AC5CAE"/>
    <w:rsid w:val="00AC710D"/>
    <w:rsid w:val="00AD14A5"/>
    <w:rsid w:val="00AD2147"/>
    <w:rsid w:val="00AD38C1"/>
    <w:rsid w:val="00AD7F91"/>
    <w:rsid w:val="00AE5142"/>
    <w:rsid w:val="00AE5DA5"/>
    <w:rsid w:val="00AF166F"/>
    <w:rsid w:val="00AF1A68"/>
    <w:rsid w:val="00AF23D5"/>
    <w:rsid w:val="00AF42C9"/>
    <w:rsid w:val="00AF4E1D"/>
    <w:rsid w:val="00AF66E4"/>
    <w:rsid w:val="00AF79D3"/>
    <w:rsid w:val="00B0030C"/>
    <w:rsid w:val="00B005C1"/>
    <w:rsid w:val="00B00BA3"/>
    <w:rsid w:val="00B02E3F"/>
    <w:rsid w:val="00B0359B"/>
    <w:rsid w:val="00B03885"/>
    <w:rsid w:val="00B03A0B"/>
    <w:rsid w:val="00B05DB1"/>
    <w:rsid w:val="00B06CFC"/>
    <w:rsid w:val="00B07920"/>
    <w:rsid w:val="00B10187"/>
    <w:rsid w:val="00B10579"/>
    <w:rsid w:val="00B1286D"/>
    <w:rsid w:val="00B129BD"/>
    <w:rsid w:val="00B145D2"/>
    <w:rsid w:val="00B14E53"/>
    <w:rsid w:val="00B15372"/>
    <w:rsid w:val="00B2026E"/>
    <w:rsid w:val="00B208CB"/>
    <w:rsid w:val="00B20A89"/>
    <w:rsid w:val="00B20E9D"/>
    <w:rsid w:val="00B21283"/>
    <w:rsid w:val="00B21FD1"/>
    <w:rsid w:val="00B22415"/>
    <w:rsid w:val="00B24ED2"/>
    <w:rsid w:val="00B3046D"/>
    <w:rsid w:val="00B30EEA"/>
    <w:rsid w:val="00B314E7"/>
    <w:rsid w:val="00B32A34"/>
    <w:rsid w:val="00B37A69"/>
    <w:rsid w:val="00B37CCC"/>
    <w:rsid w:val="00B40961"/>
    <w:rsid w:val="00B41DBE"/>
    <w:rsid w:val="00B43BA6"/>
    <w:rsid w:val="00B44BBA"/>
    <w:rsid w:val="00B46408"/>
    <w:rsid w:val="00B466D5"/>
    <w:rsid w:val="00B46C42"/>
    <w:rsid w:val="00B47767"/>
    <w:rsid w:val="00B47815"/>
    <w:rsid w:val="00B47D8A"/>
    <w:rsid w:val="00B47EA8"/>
    <w:rsid w:val="00B50F3F"/>
    <w:rsid w:val="00B51400"/>
    <w:rsid w:val="00B524E4"/>
    <w:rsid w:val="00B53113"/>
    <w:rsid w:val="00B53F36"/>
    <w:rsid w:val="00B54BBA"/>
    <w:rsid w:val="00B54EFC"/>
    <w:rsid w:val="00B554C9"/>
    <w:rsid w:val="00B557D3"/>
    <w:rsid w:val="00B56401"/>
    <w:rsid w:val="00B56B58"/>
    <w:rsid w:val="00B604C4"/>
    <w:rsid w:val="00B6129D"/>
    <w:rsid w:val="00B6188C"/>
    <w:rsid w:val="00B628D2"/>
    <w:rsid w:val="00B62AB6"/>
    <w:rsid w:val="00B62CEA"/>
    <w:rsid w:val="00B64644"/>
    <w:rsid w:val="00B66255"/>
    <w:rsid w:val="00B673D6"/>
    <w:rsid w:val="00B67EB4"/>
    <w:rsid w:val="00B713C4"/>
    <w:rsid w:val="00B72977"/>
    <w:rsid w:val="00B7311C"/>
    <w:rsid w:val="00B734E0"/>
    <w:rsid w:val="00B737B0"/>
    <w:rsid w:val="00B744E9"/>
    <w:rsid w:val="00B7467A"/>
    <w:rsid w:val="00B7529F"/>
    <w:rsid w:val="00B75759"/>
    <w:rsid w:val="00B75916"/>
    <w:rsid w:val="00B76C56"/>
    <w:rsid w:val="00B77E63"/>
    <w:rsid w:val="00B820F8"/>
    <w:rsid w:val="00B8387B"/>
    <w:rsid w:val="00B8398E"/>
    <w:rsid w:val="00B83F6A"/>
    <w:rsid w:val="00B84147"/>
    <w:rsid w:val="00B843E6"/>
    <w:rsid w:val="00B84B7A"/>
    <w:rsid w:val="00B85175"/>
    <w:rsid w:val="00B85508"/>
    <w:rsid w:val="00B87D06"/>
    <w:rsid w:val="00B90333"/>
    <w:rsid w:val="00B9156C"/>
    <w:rsid w:val="00B91B60"/>
    <w:rsid w:val="00B91D54"/>
    <w:rsid w:val="00B91F97"/>
    <w:rsid w:val="00B9212F"/>
    <w:rsid w:val="00B939F8"/>
    <w:rsid w:val="00B97B6E"/>
    <w:rsid w:val="00BA093B"/>
    <w:rsid w:val="00BA0AC9"/>
    <w:rsid w:val="00BA1356"/>
    <w:rsid w:val="00BA18DD"/>
    <w:rsid w:val="00BA2110"/>
    <w:rsid w:val="00BA2BD6"/>
    <w:rsid w:val="00BA6974"/>
    <w:rsid w:val="00BA6EB7"/>
    <w:rsid w:val="00BA7370"/>
    <w:rsid w:val="00BA74B6"/>
    <w:rsid w:val="00BB0385"/>
    <w:rsid w:val="00BB0B76"/>
    <w:rsid w:val="00BB25C6"/>
    <w:rsid w:val="00BB2EDC"/>
    <w:rsid w:val="00BB411D"/>
    <w:rsid w:val="00BB5EFE"/>
    <w:rsid w:val="00BB6649"/>
    <w:rsid w:val="00BB733D"/>
    <w:rsid w:val="00BB73D8"/>
    <w:rsid w:val="00BC0E3E"/>
    <w:rsid w:val="00BC1A5C"/>
    <w:rsid w:val="00BC1CE6"/>
    <w:rsid w:val="00BC2840"/>
    <w:rsid w:val="00BC482A"/>
    <w:rsid w:val="00BC4C21"/>
    <w:rsid w:val="00BC6A34"/>
    <w:rsid w:val="00BC6D9F"/>
    <w:rsid w:val="00BD0D14"/>
    <w:rsid w:val="00BD1797"/>
    <w:rsid w:val="00BD20B6"/>
    <w:rsid w:val="00BD4608"/>
    <w:rsid w:val="00BD48C2"/>
    <w:rsid w:val="00BD4CB6"/>
    <w:rsid w:val="00BD5A44"/>
    <w:rsid w:val="00BD7BD6"/>
    <w:rsid w:val="00BE1E11"/>
    <w:rsid w:val="00BE2F7C"/>
    <w:rsid w:val="00BE3F49"/>
    <w:rsid w:val="00BE4A40"/>
    <w:rsid w:val="00BE4AA1"/>
    <w:rsid w:val="00BE520E"/>
    <w:rsid w:val="00BE6F17"/>
    <w:rsid w:val="00BE71CE"/>
    <w:rsid w:val="00BE7965"/>
    <w:rsid w:val="00BF16F1"/>
    <w:rsid w:val="00BF3B4C"/>
    <w:rsid w:val="00BF685C"/>
    <w:rsid w:val="00C001D5"/>
    <w:rsid w:val="00C016BA"/>
    <w:rsid w:val="00C024AD"/>
    <w:rsid w:val="00C02DFB"/>
    <w:rsid w:val="00C033B3"/>
    <w:rsid w:val="00C03807"/>
    <w:rsid w:val="00C03A84"/>
    <w:rsid w:val="00C03A8B"/>
    <w:rsid w:val="00C0453E"/>
    <w:rsid w:val="00C05133"/>
    <w:rsid w:val="00C051EA"/>
    <w:rsid w:val="00C0574C"/>
    <w:rsid w:val="00C117F8"/>
    <w:rsid w:val="00C1193D"/>
    <w:rsid w:val="00C125DE"/>
    <w:rsid w:val="00C13894"/>
    <w:rsid w:val="00C1690E"/>
    <w:rsid w:val="00C16FF4"/>
    <w:rsid w:val="00C17119"/>
    <w:rsid w:val="00C218C9"/>
    <w:rsid w:val="00C23FE6"/>
    <w:rsid w:val="00C25EC1"/>
    <w:rsid w:val="00C26D1C"/>
    <w:rsid w:val="00C27448"/>
    <w:rsid w:val="00C27578"/>
    <w:rsid w:val="00C31778"/>
    <w:rsid w:val="00C31CFF"/>
    <w:rsid w:val="00C326FF"/>
    <w:rsid w:val="00C33202"/>
    <w:rsid w:val="00C350CF"/>
    <w:rsid w:val="00C353BD"/>
    <w:rsid w:val="00C35452"/>
    <w:rsid w:val="00C36867"/>
    <w:rsid w:val="00C36EF0"/>
    <w:rsid w:val="00C3730E"/>
    <w:rsid w:val="00C37B50"/>
    <w:rsid w:val="00C40AD6"/>
    <w:rsid w:val="00C4389A"/>
    <w:rsid w:val="00C462DD"/>
    <w:rsid w:val="00C4796D"/>
    <w:rsid w:val="00C47CAE"/>
    <w:rsid w:val="00C51199"/>
    <w:rsid w:val="00C522C0"/>
    <w:rsid w:val="00C5462A"/>
    <w:rsid w:val="00C551D6"/>
    <w:rsid w:val="00C60DD9"/>
    <w:rsid w:val="00C6129A"/>
    <w:rsid w:val="00C6135D"/>
    <w:rsid w:val="00C6173E"/>
    <w:rsid w:val="00C61838"/>
    <w:rsid w:val="00C63C73"/>
    <w:rsid w:val="00C6415E"/>
    <w:rsid w:val="00C643FD"/>
    <w:rsid w:val="00C64F6E"/>
    <w:rsid w:val="00C65BCB"/>
    <w:rsid w:val="00C65F29"/>
    <w:rsid w:val="00C6794D"/>
    <w:rsid w:val="00C67CBE"/>
    <w:rsid w:val="00C67F9C"/>
    <w:rsid w:val="00C70EF5"/>
    <w:rsid w:val="00C71323"/>
    <w:rsid w:val="00C714F9"/>
    <w:rsid w:val="00C7270D"/>
    <w:rsid w:val="00C73804"/>
    <w:rsid w:val="00C744A5"/>
    <w:rsid w:val="00C75AAF"/>
    <w:rsid w:val="00C76DC8"/>
    <w:rsid w:val="00C77492"/>
    <w:rsid w:val="00C84483"/>
    <w:rsid w:val="00C84F9D"/>
    <w:rsid w:val="00C85965"/>
    <w:rsid w:val="00C86E04"/>
    <w:rsid w:val="00C8703F"/>
    <w:rsid w:val="00C871FB"/>
    <w:rsid w:val="00C8794C"/>
    <w:rsid w:val="00C90410"/>
    <w:rsid w:val="00C90D58"/>
    <w:rsid w:val="00C91765"/>
    <w:rsid w:val="00C919C8"/>
    <w:rsid w:val="00C91C19"/>
    <w:rsid w:val="00C931ED"/>
    <w:rsid w:val="00C9330E"/>
    <w:rsid w:val="00C93AFF"/>
    <w:rsid w:val="00C94358"/>
    <w:rsid w:val="00C95348"/>
    <w:rsid w:val="00C95640"/>
    <w:rsid w:val="00C96065"/>
    <w:rsid w:val="00C973CC"/>
    <w:rsid w:val="00C97550"/>
    <w:rsid w:val="00CA0093"/>
    <w:rsid w:val="00CA0BD2"/>
    <w:rsid w:val="00CA15D4"/>
    <w:rsid w:val="00CA243A"/>
    <w:rsid w:val="00CA24A5"/>
    <w:rsid w:val="00CA47A0"/>
    <w:rsid w:val="00CA50E3"/>
    <w:rsid w:val="00CA5506"/>
    <w:rsid w:val="00CA63BD"/>
    <w:rsid w:val="00CA79AF"/>
    <w:rsid w:val="00CB02DF"/>
    <w:rsid w:val="00CB0FB8"/>
    <w:rsid w:val="00CB2281"/>
    <w:rsid w:val="00CB4013"/>
    <w:rsid w:val="00CC163C"/>
    <w:rsid w:val="00CC2CB8"/>
    <w:rsid w:val="00CC304E"/>
    <w:rsid w:val="00CC48C2"/>
    <w:rsid w:val="00CC540D"/>
    <w:rsid w:val="00CC5A37"/>
    <w:rsid w:val="00CC64F1"/>
    <w:rsid w:val="00CC671F"/>
    <w:rsid w:val="00CC6996"/>
    <w:rsid w:val="00CC6AE6"/>
    <w:rsid w:val="00CC7BD0"/>
    <w:rsid w:val="00CD082C"/>
    <w:rsid w:val="00CD148F"/>
    <w:rsid w:val="00CD177E"/>
    <w:rsid w:val="00CD19BB"/>
    <w:rsid w:val="00CD2E31"/>
    <w:rsid w:val="00CD3687"/>
    <w:rsid w:val="00CD5312"/>
    <w:rsid w:val="00CD57B9"/>
    <w:rsid w:val="00CD5EA2"/>
    <w:rsid w:val="00CD751F"/>
    <w:rsid w:val="00CE0655"/>
    <w:rsid w:val="00CE0AEF"/>
    <w:rsid w:val="00CE3060"/>
    <w:rsid w:val="00CE571F"/>
    <w:rsid w:val="00CF2A04"/>
    <w:rsid w:val="00CF3A31"/>
    <w:rsid w:val="00CF4AFF"/>
    <w:rsid w:val="00CF5F3F"/>
    <w:rsid w:val="00CF672F"/>
    <w:rsid w:val="00CF6772"/>
    <w:rsid w:val="00D00130"/>
    <w:rsid w:val="00D0069E"/>
    <w:rsid w:val="00D00DC9"/>
    <w:rsid w:val="00D01F85"/>
    <w:rsid w:val="00D02275"/>
    <w:rsid w:val="00D02E6F"/>
    <w:rsid w:val="00D03E33"/>
    <w:rsid w:val="00D0432A"/>
    <w:rsid w:val="00D04A7A"/>
    <w:rsid w:val="00D050E6"/>
    <w:rsid w:val="00D07811"/>
    <w:rsid w:val="00D078E0"/>
    <w:rsid w:val="00D10386"/>
    <w:rsid w:val="00D10D0B"/>
    <w:rsid w:val="00D10E32"/>
    <w:rsid w:val="00D10FF0"/>
    <w:rsid w:val="00D10FF1"/>
    <w:rsid w:val="00D116BB"/>
    <w:rsid w:val="00D11834"/>
    <w:rsid w:val="00D11851"/>
    <w:rsid w:val="00D127F8"/>
    <w:rsid w:val="00D134FD"/>
    <w:rsid w:val="00D13B29"/>
    <w:rsid w:val="00D15381"/>
    <w:rsid w:val="00D15AC3"/>
    <w:rsid w:val="00D15F09"/>
    <w:rsid w:val="00D15F20"/>
    <w:rsid w:val="00D16D84"/>
    <w:rsid w:val="00D17181"/>
    <w:rsid w:val="00D178B9"/>
    <w:rsid w:val="00D21BFD"/>
    <w:rsid w:val="00D2517E"/>
    <w:rsid w:val="00D25E5A"/>
    <w:rsid w:val="00D271C5"/>
    <w:rsid w:val="00D30079"/>
    <w:rsid w:val="00D33572"/>
    <w:rsid w:val="00D33C6D"/>
    <w:rsid w:val="00D34593"/>
    <w:rsid w:val="00D347E1"/>
    <w:rsid w:val="00D351E9"/>
    <w:rsid w:val="00D3561F"/>
    <w:rsid w:val="00D35861"/>
    <w:rsid w:val="00D40B65"/>
    <w:rsid w:val="00D464B0"/>
    <w:rsid w:val="00D46869"/>
    <w:rsid w:val="00D4741F"/>
    <w:rsid w:val="00D52DA9"/>
    <w:rsid w:val="00D5314B"/>
    <w:rsid w:val="00D534F5"/>
    <w:rsid w:val="00D53534"/>
    <w:rsid w:val="00D53638"/>
    <w:rsid w:val="00D5388A"/>
    <w:rsid w:val="00D54876"/>
    <w:rsid w:val="00D54F6A"/>
    <w:rsid w:val="00D5656C"/>
    <w:rsid w:val="00D57D43"/>
    <w:rsid w:val="00D602DD"/>
    <w:rsid w:val="00D61746"/>
    <w:rsid w:val="00D621C0"/>
    <w:rsid w:val="00D6325B"/>
    <w:rsid w:val="00D63ECF"/>
    <w:rsid w:val="00D6512F"/>
    <w:rsid w:val="00D65626"/>
    <w:rsid w:val="00D67B09"/>
    <w:rsid w:val="00D7143A"/>
    <w:rsid w:val="00D71A86"/>
    <w:rsid w:val="00D72981"/>
    <w:rsid w:val="00D73D44"/>
    <w:rsid w:val="00D747D0"/>
    <w:rsid w:val="00D75DB3"/>
    <w:rsid w:val="00D76676"/>
    <w:rsid w:val="00D80268"/>
    <w:rsid w:val="00D80B98"/>
    <w:rsid w:val="00D815F6"/>
    <w:rsid w:val="00D830B3"/>
    <w:rsid w:val="00D83897"/>
    <w:rsid w:val="00D85098"/>
    <w:rsid w:val="00D86E3B"/>
    <w:rsid w:val="00D86F16"/>
    <w:rsid w:val="00D87A46"/>
    <w:rsid w:val="00D91329"/>
    <w:rsid w:val="00D91DD5"/>
    <w:rsid w:val="00D929FE"/>
    <w:rsid w:val="00D92B91"/>
    <w:rsid w:val="00D92D24"/>
    <w:rsid w:val="00D93084"/>
    <w:rsid w:val="00D93AE6"/>
    <w:rsid w:val="00D93BC1"/>
    <w:rsid w:val="00D94005"/>
    <w:rsid w:val="00D94365"/>
    <w:rsid w:val="00D9493A"/>
    <w:rsid w:val="00D96670"/>
    <w:rsid w:val="00D97909"/>
    <w:rsid w:val="00DA1EA3"/>
    <w:rsid w:val="00DA3A12"/>
    <w:rsid w:val="00DA73C5"/>
    <w:rsid w:val="00DA7925"/>
    <w:rsid w:val="00DA79E0"/>
    <w:rsid w:val="00DB083B"/>
    <w:rsid w:val="00DB0BA4"/>
    <w:rsid w:val="00DB2828"/>
    <w:rsid w:val="00DB282D"/>
    <w:rsid w:val="00DB2CEE"/>
    <w:rsid w:val="00DB35F2"/>
    <w:rsid w:val="00DB48CC"/>
    <w:rsid w:val="00DB491A"/>
    <w:rsid w:val="00DB4AE8"/>
    <w:rsid w:val="00DB4F42"/>
    <w:rsid w:val="00DB5EA5"/>
    <w:rsid w:val="00DB6495"/>
    <w:rsid w:val="00DB66AA"/>
    <w:rsid w:val="00DB6774"/>
    <w:rsid w:val="00DB755B"/>
    <w:rsid w:val="00DC0C04"/>
    <w:rsid w:val="00DC0C3A"/>
    <w:rsid w:val="00DC126D"/>
    <w:rsid w:val="00DC14CF"/>
    <w:rsid w:val="00DC19F1"/>
    <w:rsid w:val="00DC25AF"/>
    <w:rsid w:val="00DC2AB3"/>
    <w:rsid w:val="00DC4A9C"/>
    <w:rsid w:val="00DC5521"/>
    <w:rsid w:val="00DC6A43"/>
    <w:rsid w:val="00DC72CD"/>
    <w:rsid w:val="00DC74AF"/>
    <w:rsid w:val="00DC7778"/>
    <w:rsid w:val="00DC7989"/>
    <w:rsid w:val="00DD076F"/>
    <w:rsid w:val="00DD11D4"/>
    <w:rsid w:val="00DD351A"/>
    <w:rsid w:val="00DD4275"/>
    <w:rsid w:val="00DD4691"/>
    <w:rsid w:val="00DD6711"/>
    <w:rsid w:val="00DD7381"/>
    <w:rsid w:val="00DD7A3A"/>
    <w:rsid w:val="00DE05E3"/>
    <w:rsid w:val="00DE0E96"/>
    <w:rsid w:val="00DE55C1"/>
    <w:rsid w:val="00DE5A84"/>
    <w:rsid w:val="00DE7180"/>
    <w:rsid w:val="00DE7D9E"/>
    <w:rsid w:val="00DF196D"/>
    <w:rsid w:val="00DF22A0"/>
    <w:rsid w:val="00DF27B2"/>
    <w:rsid w:val="00DF4E30"/>
    <w:rsid w:val="00DF5EE5"/>
    <w:rsid w:val="00DF645C"/>
    <w:rsid w:val="00DF6F5C"/>
    <w:rsid w:val="00DF6F95"/>
    <w:rsid w:val="00E01E2D"/>
    <w:rsid w:val="00E0248F"/>
    <w:rsid w:val="00E0378D"/>
    <w:rsid w:val="00E03B91"/>
    <w:rsid w:val="00E0423A"/>
    <w:rsid w:val="00E059D8"/>
    <w:rsid w:val="00E06B73"/>
    <w:rsid w:val="00E1019E"/>
    <w:rsid w:val="00E10FFF"/>
    <w:rsid w:val="00E11BC1"/>
    <w:rsid w:val="00E12977"/>
    <w:rsid w:val="00E12A63"/>
    <w:rsid w:val="00E134B7"/>
    <w:rsid w:val="00E14D7F"/>
    <w:rsid w:val="00E159A8"/>
    <w:rsid w:val="00E15BD1"/>
    <w:rsid w:val="00E16611"/>
    <w:rsid w:val="00E17544"/>
    <w:rsid w:val="00E21B53"/>
    <w:rsid w:val="00E21D60"/>
    <w:rsid w:val="00E22038"/>
    <w:rsid w:val="00E2236E"/>
    <w:rsid w:val="00E2266C"/>
    <w:rsid w:val="00E22B95"/>
    <w:rsid w:val="00E26C31"/>
    <w:rsid w:val="00E30706"/>
    <w:rsid w:val="00E30C31"/>
    <w:rsid w:val="00E31AF3"/>
    <w:rsid w:val="00E32976"/>
    <w:rsid w:val="00E34519"/>
    <w:rsid w:val="00E372D8"/>
    <w:rsid w:val="00E37523"/>
    <w:rsid w:val="00E37CDD"/>
    <w:rsid w:val="00E40952"/>
    <w:rsid w:val="00E4148A"/>
    <w:rsid w:val="00E41A68"/>
    <w:rsid w:val="00E41AA8"/>
    <w:rsid w:val="00E41E6D"/>
    <w:rsid w:val="00E42633"/>
    <w:rsid w:val="00E45203"/>
    <w:rsid w:val="00E46032"/>
    <w:rsid w:val="00E46430"/>
    <w:rsid w:val="00E47784"/>
    <w:rsid w:val="00E479EC"/>
    <w:rsid w:val="00E47E6A"/>
    <w:rsid w:val="00E5147C"/>
    <w:rsid w:val="00E526DE"/>
    <w:rsid w:val="00E53857"/>
    <w:rsid w:val="00E53CE7"/>
    <w:rsid w:val="00E5435D"/>
    <w:rsid w:val="00E544A2"/>
    <w:rsid w:val="00E55168"/>
    <w:rsid w:val="00E55499"/>
    <w:rsid w:val="00E57ACD"/>
    <w:rsid w:val="00E6045B"/>
    <w:rsid w:val="00E60ECE"/>
    <w:rsid w:val="00E63BC0"/>
    <w:rsid w:val="00E64D98"/>
    <w:rsid w:val="00E6532C"/>
    <w:rsid w:val="00E658FA"/>
    <w:rsid w:val="00E65E38"/>
    <w:rsid w:val="00E66412"/>
    <w:rsid w:val="00E664A3"/>
    <w:rsid w:val="00E66532"/>
    <w:rsid w:val="00E66AEF"/>
    <w:rsid w:val="00E66B43"/>
    <w:rsid w:val="00E67961"/>
    <w:rsid w:val="00E70B74"/>
    <w:rsid w:val="00E71D2F"/>
    <w:rsid w:val="00E72AFE"/>
    <w:rsid w:val="00E72D0C"/>
    <w:rsid w:val="00E731C6"/>
    <w:rsid w:val="00E73243"/>
    <w:rsid w:val="00E75784"/>
    <w:rsid w:val="00E81BD7"/>
    <w:rsid w:val="00E81D40"/>
    <w:rsid w:val="00E82897"/>
    <w:rsid w:val="00E82E43"/>
    <w:rsid w:val="00E84A4C"/>
    <w:rsid w:val="00E86052"/>
    <w:rsid w:val="00E870B9"/>
    <w:rsid w:val="00E924C4"/>
    <w:rsid w:val="00E9345B"/>
    <w:rsid w:val="00E94CF9"/>
    <w:rsid w:val="00E95796"/>
    <w:rsid w:val="00E95947"/>
    <w:rsid w:val="00E95D75"/>
    <w:rsid w:val="00E964CB"/>
    <w:rsid w:val="00EA0222"/>
    <w:rsid w:val="00EA460F"/>
    <w:rsid w:val="00EA5ECE"/>
    <w:rsid w:val="00EA7062"/>
    <w:rsid w:val="00EA7716"/>
    <w:rsid w:val="00EA7D4B"/>
    <w:rsid w:val="00EB1650"/>
    <w:rsid w:val="00EB3B30"/>
    <w:rsid w:val="00EB4AAA"/>
    <w:rsid w:val="00EB5093"/>
    <w:rsid w:val="00EB6E8D"/>
    <w:rsid w:val="00EC1D34"/>
    <w:rsid w:val="00EC2F77"/>
    <w:rsid w:val="00EC30B5"/>
    <w:rsid w:val="00EC57AF"/>
    <w:rsid w:val="00EC5899"/>
    <w:rsid w:val="00EC714A"/>
    <w:rsid w:val="00EC76FB"/>
    <w:rsid w:val="00ED0BC2"/>
    <w:rsid w:val="00ED13DE"/>
    <w:rsid w:val="00ED1647"/>
    <w:rsid w:val="00ED3233"/>
    <w:rsid w:val="00ED3AE5"/>
    <w:rsid w:val="00ED44DC"/>
    <w:rsid w:val="00ED5D29"/>
    <w:rsid w:val="00ED60BC"/>
    <w:rsid w:val="00EE1188"/>
    <w:rsid w:val="00EE18BF"/>
    <w:rsid w:val="00EE32F4"/>
    <w:rsid w:val="00EE4B85"/>
    <w:rsid w:val="00EE4E4F"/>
    <w:rsid w:val="00EE5416"/>
    <w:rsid w:val="00EE63BA"/>
    <w:rsid w:val="00EE6439"/>
    <w:rsid w:val="00EE7583"/>
    <w:rsid w:val="00EE7F3B"/>
    <w:rsid w:val="00EF06DB"/>
    <w:rsid w:val="00EF19D3"/>
    <w:rsid w:val="00EF1A5C"/>
    <w:rsid w:val="00EF20A8"/>
    <w:rsid w:val="00EF37E2"/>
    <w:rsid w:val="00EF39FD"/>
    <w:rsid w:val="00EF4DD5"/>
    <w:rsid w:val="00EF74EA"/>
    <w:rsid w:val="00F00375"/>
    <w:rsid w:val="00F0121D"/>
    <w:rsid w:val="00F01240"/>
    <w:rsid w:val="00F017CE"/>
    <w:rsid w:val="00F04DFF"/>
    <w:rsid w:val="00F04F95"/>
    <w:rsid w:val="00F053C5"/>
    <w:rsid w:val="00F05EE7"/>
    <w:rsid w:val="00F05FDE"/>
    <w:rsid w:val="00F067EE"/>
    <w:rsid w:val="00F06D7C"/>
    <w:rsid w:val="00F07203"/>
    <w:rsid w:val="00F07506"/>
    <w:rsid w:val="00F11C6C"/>
    <w:rsid w:val="00F14E87"/>
    <w:rsid w:val="00F1501D"/>
    <w:rsid w:val="00F154FC"/>
    <w:rsid w:val="00F179DD"/>
    <w:rsid w:val="00F17C86"/>
    <w:rsid w:val="00F202EE"/>
    <w:rsid w:val="00F21007"/>
    <w:rsid w:val="00F21838"/>
    <w:rsid w:val="00F223FF"/>
    <w:rsid w:val="00F226E9"/>
    <w:rsid w:val="00F2290B"/>
    <w:rsid w:val="00F24E54"/>
    <w:rsid w:val="00F26419"/>
    <w:rsid w:val="00F26B93"/>
    <w:rsid w:val="00F276B7"/>
    <w:rsid w:val="00F3031F"/>
    <w:rsid w:val="00F322F4"/>
    <w:rsid w:val="00F32F87"/>
    <w:rsid w:val="00F35191"/>
    <w:rsid w:val="00F35240"/>
    <w:rsid w:val="00F36937"/>
    <w:rsid w:val="00F37DE2"/>
    <w:rsid w:val="00F434A0"/>
    <w:rsid w:val="00F439AE"/>
    <w:rsid w:val="00F45898"/>
    <w:rsid w:val="00F458A0"/>
    <w:rsid w:val="00F5214C"/>
    <w:rsid w:val="00F535F0"/>
    <w:rsid w:val="00F53C49"/>
    <w:rsid w:val="00F53D5F"/>
    <w:rsid w:val="00F53F1D"/>
    <w:rsid w:val="00F55596"/>
    <w:rsid w:val="00F56788"/>
    <w:rsid w:val="00F567D2"/>
    <w:rsid w:val="00F57A38"/>
    <w:rsid w:val="00F73237"/>
    <w:rsid w:val="00F734E1"/>
    <w:rsid w:val="00F739B4"/>
    <w:rsid w:val="00F749D0"/>
    <w:rsid w:val="00F768A1"/>
    <w:rsid w:val="00F830DB"/>
    <w:rsid w:val="00F839F3"/>
    <w:rsid w:val="00F856E9"/>
    <w:rsid w:val="00F862ED"/>
    <w:rsid w:val="00F87807"/>
    <w:rsid w:val="00F8798A"/>
    <w:rsid w:val="00F90BCF"/>
    <w:rsid w:val="00F931A9"/>
    <w:rsid w:val="00F9338B"/>
    <w:rsid w:val="00F93BA0"/>
    <w:rsid w:val="00F94B48"/>
    <w:rsid w:val="00F96519"/>
    <w:rsid w:val="00F96B4A"/>
    <w:rsid w:val="00F9711F"/>
    <w:rsid w:val="00F971C6"/>
    <w:rsid w:val="00FA0458"/>
    <w:rsid w:val="00FA4261"/>
    <w:rsid w:val="00FA4BC4"/>
    <w:rsid w:val="00FA5421"/>
    <w:rsid w:val="00FA6F10"/>
    <w:rsid w:val="00FA741E"/>
    <w:rsid w:val="00FA748C"/>
    <w:rsid w:val="00FB09DF"/>
    <w:rsid w:val="00FB1245"/>
    <w:rsid w:val="00FB2509"/>
    <w:rsid w:val="00FB3AC9"/>
    <w:rsid w:val="00FB47F0"/>
    <w:rsid w:val="00FB51AD"/>
    <w:rsid w:val="00FB65E9"/>
    <w:rsid w:val="00FB7038"/>
    <w:rsid w:val="00FB723C"/>
    <w:rsid w:val="00FC1E37"/>
    <w:rsid w:val="00FC3220"/>
    <w:rsid w:val="00FC34EC"/>
    <w:rsid w:val="00FC4555"/>
    <w:rsid w:val="00FC615B"/>
    <w:rsid w:val="00FC772F"/>
    <w:rsid w:val="00FC7D20"/>
    <w:rsid w:val="00FD06B8"/>
    <w:rsid w:val="00FD14C2"/>
    <w:rsid w:val="00FD1D01"/>
    <w:rsid w:val="00FD2E11"/>
    <w:rsid w:val="00FD43DD"/>
    <w:rsid w:val="00FD5180"/>
    <w:rsid w:val="00FD5B0D"/>
    <w:rsid w:val="00FD5D14"/>
    <w:rsid w:val="00FD5F91"/>
    <w:rsid w:val="00FD6757"/>
    <w:rsid w:val="00FD7A1A"/>
    <w:rsid w:val="00FD7B68"/>
    <w:rsid w:val="00FD7E8D"/>
    <w:rsid w:val="00FE125B"/>
    <w:rsid w:val="00FE197F"/>
    <w:rsid w:val="00FE1B8F"/>
    <w:rsid w:val="00FE1E75"/>
    <w:rsid w:val="00FE2AF8"/>
    <w:rsid w:val="00FE2CD4"/>
    <w:rsid w:val="00FE2E48"/>
    <w:rsid w:val="00FE35CA"/>
    <w:rsid w:val="00FE3BCC"/>
    <w:rsid w:val="00FE41AD"/>
    <w:rsid w:val="00FE5DEA"/>
    <w:rsid w:val="00FE6C3B"/>
    <w:rsid w:val="00FE73FC"/>
    <w:rsid w:val="00FE7A9F"/>
    <w:rsid w:val="00FF07E6"/>
    <w:rsid w:val="00FF08CA"/>
    <w:rsid w:val="00FF14CF"/>
    <w:rsid w:val="00FF21A3"/>
    <w:rsid w:val="00FF263A"/>
    <w:rsid w:val="00FF36F5"/>
    <w:rsid w:val="00FF4451"/>
    <w:rsid w:val="00FF5428"/>
    <w:rsid w:val="00FF6E49"/>
    <w:rsid w:val="2604BA06"/>
    <w:rsid w:val="2EDE7CCC"/>
    <w:rsid w:val="4787B810"/>
    <w:rsid w:val="4932A9B6"/>
    <w:rsid w:val="4D22C853"/>
    <w:rsid w:val="51D37E9D"/>
    <w:rsid w:val="7AD53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0C8D6"/>
  <w15:docId w15:val="{3E5A8A7D-DB0F-4808-91C2-1D7965084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631"/>
    <w:rPr>
      <w:rFonts w:ascii="Verdana" w:eastAsia="Times New Roman" w:hAnsi="Verdana"/>
      <w:sz w:val="22"/>
      <w:szCs w:val="24"/>
    </w:rPr>
  </w:style>
  <w:style w:type="paragraph" w:styleId="Heading1">
    <w:name w:val="heading 1"/>
    <w:basedOn w:val="Normal"/>
    <w:next w:val="Normal"/>
    <w:link w:val="Heading1Char"/>
    <w:uiPriority w:val="9"/>
    <w:qFormat/>
    <w:rsid w:val="003760A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8">
    <w:name w:val="heading 8"/>
    <w:basedOn w:val="Normal"/>
    <w:next w:val="Normal"/>
    <w:link w:val="Heading8Char"/>
    <w:qFormat/>
    <w:rsid w:val="004951CB"/>
    <w:pPr>
      <w:keepNext/>
      <w:jc w:val="both"/>
      <w:outlineLvl w:val="7"/>
    </w:pPr>
    <w:rPr>
      <w:rFonts w:ascii="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1CF4"/>
    <w:pPr>
      <w:tabs>
        <w:tab w:val="center" w:pos="4680"/>
        <w:tab w:val="right" w:pos="9360"/>
      </w:tabs>
    </w:pPr>
    <w:rPr>
      <w:rFonts w:ascii="Calibri" w:eastAsia="Calibri" w:hAnsi="Calibri"/>
      <w:szCs w:val="22"/>
    </w:rPr>
  </w:style>
  <w:style w:type="character" w:customStyle="1" w:styleId="HeaderChar">
    <w:name w:val="Header Char"/>
    <w:basedOn w:val="DefaultParagraphFont"/>
    <w:link w:val="Header"/>
    <w:uiPriority w:val="99"/>
    <w:rsid w:val="00451CF4"/>
  </w:style>
  <w:style w:type="paragraph" w:styleId="Footer">
    <w:name w:val="footer"/>
    <w:basedOn w:val="Normal"/>
    <w:link w:val="FooterChar"/>
    <w:uiPriority w:val="99"/>
    <w:unhideWhenUsed/>
    <w:rsid w:val="00451CF4"/>
    <w:pPr>
      <w:tabs>
        <w:tab w:val="center" w:pos="4680"/>
        <w:tab w:val="right" w:pos="9360"/>
      </w:tabs>
    </w:pPr>
    <w:rPr>
      <w:rFonts w:ascii="Calibri" w:eastAsia="Calibri" w:hAnsi="Calibri"/>
      <w:szCs w:val="22"/>
    </w:rPr>
  </w:style>
  <w:style w:type="character" w:customStyle="1" w:styleId="FooterChar">
    <w:name w:val="Footer Char"/>
    <w:basedOn w:val="DefaultParagraphFont"/>
    <w:link w:val="Footer"/>
    <w:uiPriority w:val="99"/>
    <w:rsid w:val="00451CF4"/>
  </w:style>
  <w:style w:type="paragraph" w:styleId="BalloonText">
    <w:name w:val="Balloon Text"/>
    <w:basedOn w:val="Normal"/>
    <w:link w:val="BalloonTextChar"/>
    <w:unhideWhenUsed/>
    <w:rsid w:val="00451CF4"/>
    <w:rPr>
      <w:rFonts w:ascii="Tahoma" w:eastAsia="Calibri" w:hAnsi="Tahoma" w:cs="Tahoma"/>
      <w:sz w:val="16"/>
      <w:szCs w:val="16"/>
    </w:rPr>
  </w:style>
  <w:style w:type="character" w:customStyle="1" w:styleId="BalloonTextChar">
    <w:name w:val="Balloon Text Char"/>
    <w:basedOn w:val="DefaultParagraphFont"/>
    <w:link w:val="BalloonText"/>
    <w:rsid w:val="00451CF4"/>
    <w:rPr>
      <w:rFonts w:ascii="Tahoma" w:hAnsi="Tahoma" w:cs="Tahoma"/>
      <w:sz w:val="16"/>
      <w:szCs w:val="16"/>
    </w:rPr>
  </w:style>
  <w:style w:type="character" w:styleId="Hyperlink">
    <w:name w:val="Hyperlink"/>
    <w:rsid w:val="00997CEA"/>
    <w:rPr>
      <w:color w:val="0000FF"/>
      <w:u w:val="single"/>
    </w:rPr>
  </w:style>
  <w:style w:type="paragraph" w:customStyle="1" w:styleId="MICONHEADER1">
    <w:name w:val="MICON HEADER1"/>
    <w:basedOn w:val="Normal"/>
    <w:rsid w:val="00997CEA"/>
    <w:pPr>
      <w:tabs>
        <w:tab w:val="left" w:pos="720"/>
      </w:tabs>
      <w:ind w:left="1080"/>
      <w:jc w:val="both"/>
    </w:pPr>
    <w:rPr>
      <w:rFonts w:ascii="Times New Roman" w:eastAsia="Calibri" w:hAnsi="Times New Roman"/>
      <w:b/>
      <w:caps/>
      <w:sz w:val="24"/>
    </w:rPr>
  </w:style>
  <w:style w:type="paragraph" w:styleId="ListParagraph">
    <w:name w:val="List Paragraph"/>
    <w:basedOn w:val="Normal"/>
    <w:uiPriority w:val="34"/>
    <w:qFormat/>
    <w:rsid w:val="00997CEA"/>
    <w:pPr>
      <w:ind w:left="720"/>
      <w:contextualSpacing/>
    </w:pPr>
    <w:rPr>
      <w:rFonts w:ascii="Times New Roman" w:hAnsi="Times New Roman"/>
      <w:sz w:val="24"/>
    </w:rPr>
  </w:style>
  <w:style w:type="paragraph" w:styleId="FootnoteText">
    <w:name w:val="footnote text"/>
    <w:basedOn w:val="Normal"/>
    <w:link w:val="FootnoteTextChar"/>
    <w:uiPriority w:val="99"/>
    <w:semiHidden/>
    <w:unhideWhenUsed/>
    <w:rsid w:val="00F567D2"/>
    <w:rPr>
      <w:sz w:val="20"/>
      <w:szCs w:val="20"/>
    </w:rPr>
  </w:style>
  <w:style w:type="paragraph" w:styleId="PlainText">
    <w:name w:val="Plain Text"/>
    <w:basedOn w:val="Normal"/>
    <w:link w:val="PlainTextChar"/>
    <w:uiPriority w:val="99"/>
    <w:unhideWhenUsed/>
    <w:rsid w:val="00431AE5"/>
    <w:rPr>
      <w:rFonts w:ascii="Consolas" w:eastAsia="Calibri" w:hAnsi="Consolas" w:cs="Consolas"/>
      <w:sz w:val="21"/>
      <w:szCs w:val="21"/>
      <w:lang w:val="en-CA"/>
    </w:rPr>
  </w:style>
  <w:style w:type="character" w:customStyle="1" w:styleId="PlainTextChar">
    <w:name w:val="Plain Text Char"/>
    <w:basedOn w:val="DefaultParagraphFont"/>
    <w:link w:val="PlainText"/>
    <w:uiPriority w:val="99"/>
    <w:rsid w:val="00431AE5"/>
    <w:rPr>
      <w:rFonts w:ascii="Consolas" w:hAnsi="Consolas" w:cs="Consolas"/>
      <w:sz w:val="21"/>
      <w:szCs w:val="21"/>
      <w:lang w:val="en-CA"/>
    </w:rPr>
  </w:style>
  <w:style w:type="paragraph" w:customStyle="1" w:styleId="Default">
    <w:name w:val="Default"/>
    <w:rsid w:val="00B62AB6"/>
    <w:pPr>
      <w:widowControl w:val="0"/>
      <w:autoSpaceDE w:val="0"/>
      <w:autoSpaceDN w:val="0"/>
      <w:adjustRightInd w:val="0"/>
      <w:jc w:val="both"/>
    </w:pPr>
    <w:rPr>
      <w:rFonts w:ascii="Arial" w:eastAsia="Times New Roman" w:hAnsi="Arial" w:cs="Arial"/>
      <w:color w:val="000000"/>
      <w:sz w:val="24"/>
      <w:szCs w:val="24"/>
    </w:rPr>
  </w:style>
  <w:style w:type="paragraph" w:customStyle="1" w:styleId="tabletext">
    <w:name w:val="table text"/>
    <w:aliases w:val="tt,Table Text,table tex"/>
    <w:basedOn w:val="Normal"/>
    <w:link w:val="TableTextChar"/>
    <w:qFormat/>
    <w:rsid w:val="00B62AB6"/>
    <w:pPr>
      <w:keepNext/>
      <w:jc w:val="both"/>
    </w:pPr>
    <w:rPr>
      <w:rFonts w:ascii="Times New Roman" w:hAnsi="Times New Roman"/>
      <w:sz w:val="20"/>
      <w:lang w:val="en-CA"/>
    </w:rPr>
  </w:style>
  <w:style w:type="paragraph" w:customStyle="1" w:styleId="SecurityL1">
    <w:name w:val="Security_L1"/>
    <w:basedOn w:val="Normal"/>
    <w:next w:val="Normal"/>
    <w:rsid w:val="00B62AB6"/>
    <w:pPr>
      <w:keepNext/>
      <w:numPr>
        <w:numId w:val="7"/>
      </w:numPr>
      <w:spacing w:after="240"/>
      <w:jc w:val="center"/>
      <w:outlineLvl w:val="0"/>
    </w:pPr>
    <w:rPr>
      <w:rFonts w:ascii="Times New Roman" w:hAnsi="Times New Roman"/>
      <w:b/>
      <w:caps/>
      <w:szCs w:val="20"/>
      <w:lang w:val="en-CA"/>
    </w:rPr>
  </w:style>
  <w:style w:type="paragraph" w:customStyle="1" w:styleId="SecurityL2">
    <w:name w:val="Security_L2"/>
    <w:basedOn w:val="SecurityL1"/>
    <w:next w:val="Normal"/>
    <w:rsid w:val="00B62AB6"/>
    <w:pPr>
      <w:numPr>
        <w:ilvl w:val="1"/>
      </w:numPr>
      <w:tabs>
        <w:tab w:val="left" w:pos="1440"/>
      </w:tabs>
      <w:jc w:val="both"/>
      <w:outlineLvl w:val="1"/>
    </w:pPr>
    <w:rPr>
      <w:caps w:val="0"/>
    </w:rPr>
  </w:style>
  <w:style w:type="paragraph" w:customStyle="1" w:styleId="SecurityL3">
    <w:name w:val="Security_L3"/>
    <w:basedOn w:val="SecurityL2"/>
    <w:next w:val="Normal"/>
    <w:rsid w:val="00B62AB6"/>
    <w:pPr>
      <w:numPr>
        <w:ilvl w:val="2"/>
      </w:numPr>
      <w:outlineLvl w:val="2"/>
    </w:pPr>
    <w:rPr>
      <w:i/>
    </w:rPr>
  </w:style>
  <w:style w:type="paragraph" w:customStyle="1" w:styleId="SecurityL4">
    <w:name w:val="Security_L4"/>
    <w:basedOn w:val="SecurityL3"/>
    <w:next w:val="Normal"/>
    <w:rsid w:val="00B62AB6"/>
    <w:pPr>
      <w:numPr>
        <w:ilvl w:val="3"/>
      </w:numPr>
      <w:outlineLvl w:val="3"/>
    </w:pPr>
    <w:rPr>
      <w:b w:val="0"/>
    </w:rPr>
  </w:style>
  <w:style w:type="paragraph" w:customStyle="1" w:styleId="SecurityL5">
    <w:name w:val="Security_L5"/>
    <w:basedOn w:val="SecurityL4"/>
    <w:rsid w:val="00B62AB6"/>
    <w:pPr>
      <w:keepNext w:val="0"/>
      <w:numPr>
        <w:ilvl w:val="4"/>
      </w:numPr>
      <w:outlineLvl w:val="4"/>
    </w:pPr>
    <w:rPr>
      <w:i w:val="0"/>
      <w:sz w:val="20"/>
    </w:rPr>
  </w:style>
  <w:style w:type="paragraph" w:customStyle="1" w:styleId="SecurityL6">
    <w:name w:val="Security_L6"/>
    <w:basedOn w:val="SecurityL5"/>
    <w:rsid w:val="00B62AB6"/>
    <w:pPr>
      <w:numPr>
        <w:ilvl w:val="5"/>
      </w:numPr>
      <w:outlineLvl w:val="5"/>
    </w:pPr>
  </w:style>
  <w:style w:type="paragraph" w:customStyle="1" w:styleId="SecurityL7">
    <w:name w:val="Security_L7"/>
    <w:basedOn w:val="SecurityL6"/>
    <w:rsid w:val="00B62AB6"/>
    <w:pPr>
      <w:numPr>
        <w:ilvl w:val="6"/>
      </w:numPr>
      <w:outlineLvl w:val="6"/>
    </w:pPr>
  </w:style>
  <w:style w:type="paragraph" w:customStyle="1" w:styleId="SecurityL8">
    <w:name w:val="Security_L8"/>
    <w:basedOn w:val="SecurityL7"/>
    <w:next w:val="Normal"/>
    <w:rsid w:val="00B62AB6"/>
    <w:pPr>
      <w:numPr>
        <w:ilvl w:val="7"/>
      </w:numPr>
      <w:spacing w:before="120" w:after="120"/>
      <w:outlineLvl w:val="7"/>
    </w:pPr>
    <w:rPr>
      <w:sz w:val="18"/>
    </w:rPr>
  </w:style>
  <w:style w:type="paragraph" w:customStyle="1" w:styleId="SecurityL9">
    <w:name w:val="Security_L9"/>
    <w:basedOn w:val="SecurityL8"/>
    <w:rsid w:val="00B62AB6"/>
    <w:pPr>
      <w:numPr>
        <w:ilvl w:val="8"/>
      </w:numPr>
      <w:spacing w:before="0" w:after="60"/>
      <w:outlineLvl w:val="8"/>
    </w:pPr>
    <w:rPr>
      <w:i/>
    </w:rPr>
  </w:style>
  <w:style w:type="paragraph" w:styleId="BodyText">
    <w:name w:val="Body Text"/>
    <w:aliases w:val="bt,b,bullet list"/>
    <w:basedOn w:val="Normal"/>
    <w:link w:val="BodyTextChar"/>
    <w:rsid w:val="00B62AB6"/>
    <w:pPr>
      <w:spacing w:after="240" w:line="240" w:lineRule="atLeast"/>
      <w:jc w:val="both"/>
    </w:pPr>
    <w:rPr>
      <w:rFonts w:ascii="Times New Roman" w:hAnsi="Times New Roman"/>
      <w:lang w:val="en-CA"/>
    </w:rPr>
  </w:style>
  <w:style w:type="character" w:customStyle="1" w:styleId="BodyTextChar">
    <w:name w:val="Body Text Char"/>
    <w:aliases w:val="bt Char,b Char,bullet list Char"/>
    <w:basedOn w:val="DefaultParagraphFont"/>
    <w:link w:val="BodyText"/>
    <w:rsid w:val="00B62AB6"/>
    <w:rPr>
      <w:rFonts w:ascii="Times New Roman" w:eastAsia="Times New Roman" w:hAnsi="Times New Roman" w:cs="Times New Roman"/>
      <w:szCs w:val="24"/>
      <w:lang w:val="en-CA"/>
    </w:rPr>
  </w:style>
  <w:style w:type="character" w:customStyle="1" w:styleId="TableTextChar">
    <w:name w:val="Table Text Char"/>
    <w:aliases w:val="tt Char"/>
    <w:basedOn w:val="DefaultParagraphFont"/>
    <w:link w:val="tabletext"/>
    <w:rsid w:val="00B62AB6"/>
    <w:rPr>
      <w:rFonts w:ascii="Times New Roman" w:eastAsia="Times New Roman" w:hAnsi="Times New Roman" w:cs="Times New Roman"/>
      <w:sz w:val="20"/>
      <w:szCs w:val="24"/>
      <w:lang w:val="en-CA"/>
    </w:rPr>
  </w:style>
  <w:style w:type="character" w:customStyle="1" w:styleId="Heading8Char">
    <w:name w:val="Heading 8 Char"/>
    <w:basedOn w:val="DefaultParagraphFont"/>
    <w:link w:val="Heading8"/>
    <w:rsid w:val="004951CB"/>
    <w:rPr>
      <w:rFonts w:ascii="Arial" w:eastAsia="Times New Roman" w:hAnsi="Arial" w:cs="Times New Roman"/>
      <w:b/>
      <w:bCs/>
      <w:sz w:val="20"/>
      <w:szCs w:val="20"/>
    </w:rPr>
  </w:style>
  <w:style w:type="character" w:styleId="CommentReference">
    <w:name w:val="annotation reference"/>
    <w:unhideWhenUsed/>
    <w:rsid w:val="004951CB"/>
    <w:rPr>
      <w:sz w:val="16"/>
      <w:szCs w:val="16"/>
    </w:rPr>
  </w:style>
  <w:style w:type="paragraph" w:styleId="CommentText">
    <w:name w:val="annotation text"/>
    <w:basedOn w:val="Normal"/>
    <w:link w:val="CommentTextChar"/>
    <w:uiPriority w:val="99"/>
    <w:unhideWhenUsed/>
    <w:rsid w:val="004951CB"/>
    <w:rPr>
      <w:rFonts w:ascii="Arial" w:hAnsi="Arial"/>
      <w:sz w:val="20"/>
      <w:szCs w:val="20"/>
    </w:rPr>
  </w:style>
  <w:style w:type="character" w:customStyle="1" w:styleId="CommentTextChar">
    <w:name w:val="Comment Text Char"/>
    <w:basedOn w:val="DefaultParagraphFont"/>
    <w:link w:val="CommentText"/>
    <w:uiPriority w:val="99"/>
    <w:rsid w:val="004951CB"/>
    <w:rPr>
      <w:rFonts w:ascii="Arial" w:eastAsia="Times New Roman" w:hAnsi="Arial" w:cs="Times New Roman"/>
      <w:sz w:val="20"/>
      <w:szCs w:val="20"/>
    </w:rPr>
  </w:style>
  <w:style w:type="paragraph" w:styleId="BodyText2">
    <w:name w:val="Body Text 2"/>
    <w:basedOn w:val="Normal"/>
    <w:link w:val="BodyText2Char"/>
    <w:unhideWhenUsed/>
    <w:rsid w:val="003E2504"/>
    <w:pPr>
      <w:spacing w:after="120" w:line="480" w:lineRule="auto"/>
    </w:pPr>
  </w:style>
  <w:style w:type="character" w:customStyle="1" w:styleId="BodyText2Char">
    <w:name w:val="Body Text 2 Char"/>
    <w:basedOn w:val="DefaultParagraphFont"/>
    <w:link w:val="BodyText2"/>
    <w:rsid w:val="003E2504"/>
    <w:rPr>
      <w:rFonts w:ascii="Verdana" w:eastAsia="Times New Roman" w:hAnsi="Verdana" w:cs="Times New Roman"/>
      <w:szCs w:val="24"/>
    </w:rPr>
  </w:style>
  <w:style w:type="paragraph" w:styleId="BodyTextIndent">
    <w:name w:val="Body Text Indent"/>
    <w:basedOn w:val="Normal"/>
    <w:link w:val="BodyTextIndentChar"/>
    <w:uiPriority w:val="99"/>
    <w:semiHidden/>
    <w:unhideWhenUsed/>
    <w:rsid w:val="002A7212"/>
    <w:pPr>
      <w:spacing w:after="120"/>
      <w:ind w:left="283"/>
    </w:pPr>
  </w:style>
  <w:style w:type="character" w:customStyle="1" w:styleId="BodyTextIndentChar">
    <w:name w:val="Body Text Indent Char"/>
    <w:basedOn w:val="DefaultParagraphFont"/>
    <w:link w:val="BodyTextIndent"/>
    <w:uiPriority w:val="99"/>
    <w:semiHidden/>
    <w:rsid w:val="002A7212"/>
    <w:rPr>
      <w:rFonts w:ascii="Verdana" w:eastAsia="Times New Roman" w:hAnsi="Verdana"/>
      <w:sz w:val="22"/>
      <w:szCs w:val="24"/>
    </w:rPr>
  </w:style>
  <w:style w:type="paragraph" w:styleId="CommentSubject">
    <w:name w:val="annotation subject"/>
    <w:basedOn w:val="CommentText"/>
    <w:next w:val="CommentText"/>
    <w:link w:val="CommentSubjectChar"/>
    <w:uiPriority w:val="99"/>
    <w:semiHidden/>
    <w:unhideWhenUsed/>
    <w:rsid w:val="008A56D8"/>
    <w:rPr>
      <w:rFonts w:ascii="Verdana" w:hAnsi="Verdana"/>
      <w:b/>
      <w:bCs/>
    </w:rPr>
  </w:style>
  <w:style w:type="character" w:customStyle="1" w:styleId="CommentSubjectChar">
    <w:name w:val="Comment Subject Char"/>
    <w:basedOn w:val="CommentTextChar"/>
    <w:link w:val="CommentSubject"/>
    <w:uiPriority w:val="99"/>
    <w:semiHidden/>
    <w:rsid w:val="008A56D8"/>
    <w:rPr>
      <w:rFonts w:ascii="Verdana" w:eastAsia="Times New Roman" w:hAnsi="Verdana" w:cs="Times New Roman"/>
      <w:b/>
      <w:bCs/>
      <w:sz w:val="20"/>
      <w:szCs w:val="20"/>
    </w:rPr>
  </w:style>
  <w:style w:type="paragraph" w:styleId="Revision">
    <w:name w:val="Revision"/>
    <w:hidden/>
    <w:uiPriority w:val="99"/>
    <w:semiHidden/>
    <w:rsid w:val="008A56D8"/>
    <w:rPr>
      <w:rFonts w:ascii="Verdana" w:eastAsia="Times New Roman" w:hAnsi="Verdana"/>
      <w:sz w:val="22"/>
      <w:szCs w:val="24"/>
    </w:rPr>
  </w:style>
  <w:style w:type="paragraph" w:customStyle="1" w:styleId="AuditBody">
    <w:name w:val="AuditBody"/>
    <w:aliases w:val="ab,Audit Body"/>
    <w:basedOn w:val="Normal"/>
    <w:rsid w:val="002B0AA5"/>
    <w:pPr>
      <w:overflowPunct w:val="0"/>
      <w:autoSpaceDE w:val="0"/>
      <w:autoSpaceDN w:val="0"/>
      <w:adjustRightInd w:val="0"/>
      <w:spacing w:before="120" w:line="280" w:lineRule="atLeast"/>
      <w:jc w:val="both"/>
      <w:textAlignment w:val="baseline"/>
    </w:pPr>
    <w:rPr>
      <w:rFonts w:ascii="Arial" w:hAnsi="Arial"/>
      <w:sz w:val="20"/>
      <w:szCs w:val="20"/>
    </w:rPr>
  </w:style>
  <w:style w:type="paragraph" w:customStyle="1" w:styleId="FS2">
    <w:name w:val="FS2"/>
    <w:basedOn w:val="Normal"/>
    <w:link w:val="FS2Char"/>
    <w:rsid w:val="00810E7B"/>
    <w:pPr>
      <w:tabs>
        <w:tab w:val="decimal" w:pos="7280"/>
        <w:tab w:val="decimal" w:pos="9000"/>
      </w:tabs>
      <w:overflowPunct w:val="0"/>
      <w:autoSpaceDE w:val="0"/>
      <w:autoSpaceDN w:val="0"/>
      <w:adjustRightInd w:val="0"/>
      <w:ind w:left="540" w:hanging="180"/>
      <w:textAlignment w:val="baseline"/>
    </w:pPr>
    <w:rPr>
      <w:rFonts w:ascii="Arial" w:hAnsi="Arial"/>
      <w:sz w:val="20"/>
      <w:szCs w:val="20"/>
    </w:rPr>
  </w:style>
  <w:style w:type="character" w:customStyle="1" w:styleId="FS2Char">
    <w:name w:val="FS2 Char"/>
    <w:link w:val="FS2"/>
    <w:rsid w:val="00810E7B"/>
    <w:rPr>
      <w:rFonts w:ascii="Arial" w:eastAsia="Times New Roman" w:hAnsi="Arial"/>
    </w:rPr>
  </w:style>
  <w:style w:type="paragraph" w:customStyle="1" w:styleId="SecurityCont2">
    <w:name w:val="Security Cont 2"/>
    <w:aliases w:val="s2"/>
    <w:basedOn w:val="Normal"/>
    <w:rsid w:val="00810E7B"/>
    <w:pPr>
      <w:spacing w:after="240"/>
      <w:jc w:val="both"/>
    </w:pPr>
    <w:rPr>
      <w:rFonts w:ascii="Times New Roman" w:hAnsi="Times New Roman"/>
      <w:sz w:val="20"/>
      <w:szCs w:val="20"/>
      <w:lang w:val="en-CA"/>
    </w:rPr>
  </w:style>
  <w:style w:type="paragraph" w:styleId="NormalWeb">
    <w:name w:val="Normal (Web)"/>
    <w:basedOn w:val="Normal"/>
    <w:uiPriority w:val="99"/>
    <w:unhideWhenUsed/>
    <w:rsid w:val="0098509E"/>
    <w:pPr>
      <w:spacing w:before="100" w:beforeAutospacing="1" w:after="100" w:afterAutospacing="1"/>
    </w:pPr>
    <w:rPr>
      <w:rFonts w:ascii="Times New Roman" w:eastAsiaTheme="minorHAnsi" w:hAnsi="Times New Roman"/>
      <w:sz w:val="24"/>
      <w:lang w:val="es-AR" w:eastAsia="es-AR"/>
    </w:rPr>
  </w:style>
  <w:style w:type="paragraph" w:customStyle="1" w:styleId="SecurityCont3">
    <w:name w:val="Security Cont 3"/>
    <w:aliases w:val="s3"/>
    <w:basedOn w:val="SecurityCont2"/>
    <w:link w:val="SecurityCont3Char"/>
    <w:uiPriority w:val="99"/>
    <w:rsid w:val="00427A41"/>
  </w:style>
  <w:style w:type="character" w:customStyle="1" w:styleId="SecurityCont3Char">
    <w:name w:val="Security Cont 3 Char"/>
    <w:aliases w:val="s3 Char"/>
    <w:link w:val="SecurityCont3"/>
    <w:uiPriority w:val="99"/>
    <w:locked/>
    <w:rsid w:val="00427A41"/>
    <w:rPr>
      <w:rFonts w:ascii="Times New Roman" w:eastAsia="Times New Roman" w:hAnsi="Times New Roman"/>
      <w:lang w:val="en-CA"/>
    </w:rPr>
  </w:style>
  <w:style w:type="character" w:styleId="Emphasis">
    <w:name w:val="Emphasis"/>
    <w:uiPriority w:val="20"/>
    <w:qFormat/>
    <w:rsid w:val="003176C0"/>
    <w:rPr>
      <w:i/>
      <w:iCs/>
    </w:rPr>
  </w:style>
  <w:style w:type="paragraph" w:customStyle="1" w:styleId="Ne3">
    <w:name w:val="Ne3"/>
    <w:basedOn w:val="Normal"/>
    <w:link w:val="Ne3Char"/>
    <w:rsid w:val="005D19BE"/>
    <w:pPr>
      <w:overflowPunct w:val="0"/>
      <w:autoSpaceDE w:val="0"/>
      <w:autoSpaceDN w:val="0"/>
      <w:adjustRightInd w:val="0"/>
      <w:spacing w:before="120" w:line="280" w:lineRule="atLeast"/>
      <w:ind w:left="720"/>
      <w:jc w:val="both"/>
      <w:textAlignment w:val="baseline"/>
    </w:pPr>
    <w:rPr>
      <w:rFonts w:ascii="Arial" w:hAnsi="Arial"/>
      <w:sz w:val="20"/>
      <w:szCs w:val="20"/>
    </w:rPr>
  </w:style>
  <w:style w:type="character" w:customStyle="1" w:styleId="Ne3Char">
    <w:name w:val="Ne3 Char"/>
    <w:link w:val="Ne3"/>
    <w:rsid w:val="005D19BE"/>
    <w:rPr>
      <w:rFonts w:ascii="Arial" w:eastAsia="Times New Roman" w:hAnsi="Arial"/>
    </w:rPr>
  </w:style>
  <w:style w:type="paragraph" w:styleId="HTMLPreformatted">
    <w:name w:val="HTML Preformatted"/>
    <w:basedOn w:val="Normal"/>
    <w:link w:val="HTMLPreformattedChar"/>
    <w:uiPriority w:val="99"/>
    <w:rsid w:val="006429BF"/>
    <w:pPr>
      <w:jc w:val="both"/>
    </w:pPr>
    <w:rPr>
      <w:rFonts w:ascii="Courier New" w:hAnsi="Courier New"/>
      <w:sz w:val="20"/>
      <w:lang w:val="en-CA"/>
    </w:rPr>
  </w:style>
  <w:style w:type="character" w:customStyle="1" w:styleId="HTMLPreformattedChar">
    <w:name w:val="HTML Preformatted Char"/>
    <w:basedOn w:val="DefaultParagraphFont"/>
    <w:link w:val="HTMLPreformatted"/>
    <w:uiPriority w:val="99"/>
    <w:rsid w:val="006429BF"/>
    <w:rPr>
      <w:rFonts w:ascii="Courier New" w:eastAsia="Times New Roman" w:hAnsi="Courier New"/>
      <w:szCs w:val="24"/>
      <w:lang w:val="en-CA"/>
    </w:rPr>
  </w:style>
  <w:style w:type="paragraph" w:customStyle="1" w:styleId="Ne4">
    <w:name w:val="Ne4"/>
    <w:basedOn w:val="Normal"/>
    <w:rsid w:val="006B42DD"/>
    <w:pPr>
      <w:overflowPunct w:val="0"/>
      <w:autoSpaceDE w:val="0"/>
      <w:autoSpaceDN w:val="0"/>
      <w:adjustRightInd w:val="0"/>
      <w:spacing w:before="120" w:line="280" w:lineRule="atLeast"/>
      <w:ind w:left="1080"/>
      <w:jc w:val="both"/>
    </w:pPr>
    <w:rPr>
      <w:rFonts w:ascii="Arial" w:hAnsi="Arial"/>
      <w:sz w:val="20"/>
      <w:szCs w:val="20"/>
      <w:lang w:val="en-CA"/>
    </w:rPr>
  </w:style>
  <w:style w:type="paragraph" w:styleId="NoSpacing">
    <w:name w:val="No Spacing"/>
    <w:link w:val="NoSpacingChar"/>
    <w:qFormat/>
    <w:rsid w:val="00043F8E"/>
    <w:pPr>
      <w:jc w:val="both"/>
    </w:pPr>
    <w:rPr>
      <w:rFonts w:ascii="Times New Roman" w:eastAsia="Batang" w:hAnsi="Times New Roman"/>
      <w:sz w:val="22"/>
      <w:szCs w:val="24"/>
      <w:lang w:val="en-CA"/>
    </w:rPr>
  </w:style>
  <w:style w:type="character" w:customStyle="1" w:styleId="NoSpacingChar">
    <w:name w:val="No Spacing Char"/>
    <w:link w:val="NoSpacing"/>
    <w:rsid w:val="00043F8E"/>
    <w:rPr>
      <w:rFonts w:ascii="Times New Roman" w:eastAsia="Batang" w:hAnsi="Times New Roman"/>
      <w:sz w:val="22"/>
      <w:szCs w:val="24"/>
      <w:lang w:val="en-CA"/>
    </w:rPr>
  </w:style>
  <w:style w:type="paragraph" w:customStyle="1" w:styleId="LHFirmName">
    <w:name w:val="LH Firm Name"/>
    <w:basedOn w:val="Normal"/>
    <w:rsid w:val="00EE18BF"/>
    <w:pPr>
      <w:spacing w:after="120"/>
      <w:ind w:left="-720"/>
      <w:jc w:val="both"/>
    </w:pPr>
    <w:rPr>
      <w:rFonts w:ascii="EngravrsRoman BT" w:hAnsi="EngravrsRoman BT"/>
      <w:b/>
      <w:spacing w:val="10"/>
      <w:sz w:val="15"/>
      <w:lang w:val="en-CA"/>
    </w:rPr>
  </w:style>
  <w:style w:type="character" w:customStyle="1" w:styleId="FootnoteTextChar">
    <w:name w:val="Footnote Text Char"/>
    <w:basedOn w:val="DefaultParagraphFont"/>
    <w:link w:val="FootnoteText"/>
    <w:uiPriority w:val="99"/>
    <w:semiHidden/>
    <w:rsid w:val="00F567D2"/>
    <w:rPr>
      <w:rFonts w:ascii="Verdana" w:eastAsia="Times New Roman" w:hAnsi="Verdana"/>
    </w:rPr>
  </w:style>
  <w:style w:type="character" w:styleId="FootnoteReference">
    <w:name w:val="footnote reference"/>
    <w:basedOn w:val="DefaultParagraphFont"/>
    <w:uiPriority w:val="99"/>
    <w:semiHidden/>
    <w:unhideWhenUsed/>
    <w:rsid w:val="00F567D2"/>
    <w:rPr>
      <w:vertAlign w:val="superscript"/>
    </w:rPr>
  </w:style>
  <w:style w:type="character" w:styleId="UnresolvedMention">
    <w:name w:val="Unresolved Mention"/>
    <w:basedOn w:val="DefaultParagraphFont"/>
    <w:uiPriority w:val="99"/>
    <w:semiHidden/>
    <w:unhideWhenUsed/>
    <w:rsid w:val="00150304"/>
    <w:rPr>
      <w:color w:val="605E5C"/>
      <w:shd w:val="clear" w:color="auto" w:fill="E1DFDD"/>
    </w:rPr>
  </w:style>
  <w:style w:type="character" w:customStyle="1" w:styleId="Heading1Char">
    <w:name w:val="Heading 1 Char"/>
    <w:basedOn w:val="DefaultParagraphFont"/>
    <w:link w:val="Heading1"/>
    <w:uiPriority w:val="9"/>
    <w:rsid w:val="003760A5"/>
    <w:rPr>
      <w:rFonts w:asciiTheme="majorHAnsi" w:eastAsiaTheme="majorEastAsia" w:hAnsiTheme="majorHAnsi" w:cstheme="majorBidi"/>
      <w:color w:val="365F91" w:themeColor="accent1" w:themeShade="BF"/>
      <w:sz w:val="32"/>
      <w:szCs w:val="32"/>
    </w:rPr>
  </w:style>
  <w:style w:type="paragraph" w:customStyle="1" w:styleId="BDPDOCID">
    <w:name w:val="BDPDOCID"/>
    <w:basedOn w:val="Normal"/>
    <w:qFormat/>
    <w:rsid w:val="00F0121D"/>
    <w:pPr>
      <w:spacing w:after="240"/>
      <w:jc w:val="both"/>
    </w:pPr>
    <w:rPr>
      <w:rFonts w:ascii="Times New Roman" w:hAnsi="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85962">
      <w:bodyDiv w:val="1"/>
      <w:marLeft w:val="0"/>
      <w:marRight w:val="0"/>
      <w:marTop w:val="0"/>
      <w:marBottom w:val="0"/>
      <w:divBdr>
        <w:top w:val="none" w:sz="0" w:space="0" w:color="auto"/>
        <w:left w:val="none" w:sz="0" w:space="0" w:color="auto"/>
        <w:bottom w:val="none" w:sz="0" w:space="0" w:color="auto"/>
        <w:right w:val="none" w:sz="0" w:space="0" w:color="auto"/>
      </w:divBdr>
    </w:div>
    <w:div w:id="464736846">
      <w:bodyDiv w:val="1"/>
      <w:marLeft w:val="0"/>
      <w:marRight w:val="0"/>
      <w:marTop w:val="0"/>
      <w:marBottom w:val="0"/>
      <w:divBdr>
        <w:top w:val="none" w:sz="0" w:space="0" w:color="auto"/>
        <w:left w:val="none" w:sz="0" w:space="0" w:color="auto"/>
        <w:bottom w:val="none" w:sz="0" w:space="0" w:color="auto"/>
        <w:right w:val="none" w:sz="0" w:space="0" w:color="auto"/>
      </w:divBdr>
    </w:div>
    <w:div w:id="557131380">
      <w:bodyDiv w:val="1"/>
      <w:marLeft w:val="0"/>
      <w:marRight w:val="0"/>
      <w:marTop w:val="0"/>
      <w:marBottom w:val="0"/>
      <w:divBdr>
        <w:top w:val="none" w:sz="0" w:space="0" w:color="auto"/>
        <w:left w:val="none" w:sz="0" w:space="0" w:color="auto"/>
        <w:bottom w:val="none" w:sz="0" w:space="0" w:color="auto"/>
        <w:right w:val="none" w:sz="0" w:space="0" w:color="auto"/>
      </w:divBdr>
    </w:div>
    <w:div w:id="724333277">
      <w:bodyDiv w:val="1"/>
      <w:marLeft w:val="0"/>
      <w:marRight w:val="0"/>
      <w:marTop w:val="0"/>
      <w:marBottom w:val="0"/>
      <w:divBdr>
        <w:top w:val="none" w:sz="0" w:space="0" w:color="auto"/>
        <w:left w:val="none" w:sz="0" w:space="0" w:color="auto"/>
        <w:bottom w:val="none" w:sz="0" w:space="0" w:color="auto"/>
        <w:right w:val="none" w:sz="0" w:space="0" w:color="auto"/>
      </w:divBdr>
    </w:div>
    <w:div w:id="842625594">
      <w:bodyDiv w:val="1"/>
      <w:marLeft w:val="0"/>
      <w:marRight w:val="0"/>
      <w:marTop w:val="0"/>
      <w:marBottom w:val="0"/>
      <w:divBdr>
        <w:top w:val="none" w:sz="0" w:space="0" w:color="auto"/>
        <w:left w:val="none" w:sz="0" w:space="0" w:color="auto"/>
        <w:bottom w:val="none" w:sz="0" w:space="0" w:color="auto"/>
        <w:right w:val="none" w:sz="0" w:space="0" w:color="auto"/>
      </w:divBdr>
    </w:div>
    <w:div w:id="848372547">
      <w:bodyDiv w:val="1"/>
      <w:marLeft w:val="0"/>
      <w:marRight w:val="0"/>
      <w:marTop w:val="0"/>
      <w:marBottom w:val="0"/>
      <w:divBdr>
        <w:top w:val="none" w:sz="0" w:space="0" w:color="auto"/>
        <w:left w:val="none" w:sz="0" w:space="0" w:color="auto"/>
        <w:bottom w:val="none" w:sz="0" w:space="0" w:color="auto"/>
        <w:right w:val="none" w:sz="0" w:space="0" w:color="auto"/>
      </w:divBdr>
    </w:div>
    <w:div w:id="1045252995">
      <w:bodyDiv w:val="1"/>
      <w:marLeft w:val="0"/>
      <w:marRight w:val="0"/>
      <w:marTop w:val="0"/>
      <w:marBottom w:val="0"/>
      <w:divBdr>
        <w:top w:val="none" w:sz="0" w:space="0" w:color="auto"/>
        <w:left w:val="none" w:sz="0" w:space="0" w:color="auto"/>
        <w:bottom w:val="none" w:sz="0" w:space="0" w:color="auto"/>
        <w:right w:val="none" w:sz="0" w:space="0" w:color="auto"/>
      </w:divBdr>
    </w:div>
    <w:div w:id="1073091310">
      <w:bodyDiv w:val="1"/>
      <w:marLeft w:val="0"/>
      <w:marRight w:val="0"/>
      <w:marTop w:val="0"/>
      <w:marBottom w:val="0"/>
      <w:divBdr>
        <w:top w:val="none" w:sz="0" w:space="0" w:color="auto"/>
        <w:left w:val="none" w:sz="0" w:space="0" w:color="auto"/>
        <w:bottom w:val="none" w:sz="0" w:space="0" w:color="auto"/>
        <w:right w:val="none" w:sz="0" w:space="0" w:color="auto"/>
      </w:divBdr>
    </w:div>
    <w:div w:id="1261718492">
      <w:bodyDiv w:val="1"/>
      <w:marLeft w:val="0"/>
      <w:marRight w:val="0"/>
      <w:marTop w:val="0"/>
      <w:marBottom w:val="0"/>
      <w:divBdr>
        <w:top w:val="none" w:sz="0" w:space="0" w:color="auto"/>
        <w:left w:val="none" w:sz="0" w:space="0" w:color="auto"/>
        <w:bottom w:val="none" w:sz="0" w:space="0" w:color="auto"/>
        <w:right w:val="none" w:sz="0" w:space="0" w:color="auto"/>
      </w:divBdr>
    </w:div>
    <w:div w:id="1383479918">
      <w:bodyDiv w:val="1"/>
      <w:marLeft w:val="0"/>
      <w:marRight w:val="0"/>
      <w:marTop w:val="0"/>
      <w:marBottom w:val="0"/>
      <w:divBdr>
        <w:top w:val="none" w:sz="0" w:space="0" w:color="auto"/>
        <w:left w:val="none" w:sz="0" w:space="0" w:color="auto"/>
        <w:bottom w:val="none" w:sz="0" w:space="0" w:color="auto"/>
        <w:right w:val="none" w:sz="0" w:space="0" w:color="auto"/>
      </w:divBdr>
    </w:div>
    <w:div w:id="1463039024">
      <w:bodyDiv w:val="1"/>
      <w:marLeft w:val="0"/>
      <w:marRight w:val="0"/>
      <w:marTop w:val="0"/>
      <w:marBottom w:val="0"/>
      <w:divBdr>
        <w:top w:val="none" w:sz="0" w:space="0" w:color="auto"/>
        <w:left w:val="none" w:sz="0" w:space="0" w:color="auto"/>
        <w:bottom w:val="none" w:sz="0" w:space="0" w:color="auto"/>
        <w:right w:val="none" w:sz="0" w:space="0" w:color="auto"/>
      </w:divBdr>
    </w:div>
    <w:div w:id="1570000882">
      <w:bodyDiv w:val="1"/>
      <w:marLeft w:val="0"/>
      <w:marRight w:val="0"/>
      <w:marTop w:val="0"/>
      <w:marBottom w:val="0"/>
      <w:divBdr>
        <w:top w:val="none" w:sz="0" w:space="0" w:color="auto"/>
        <w:left w:val="none" w:sz="0" w:space="0" w:color="auto"/>
        <w:bottom w:val="none" w:sz="0" w:space="0" w:color="auto"/>
        <w:right w:val="none" w:sz="0" w:space="0" w:color="auto"/>
      </w:divBdr>
    </w:div>
    <w:div w:id="181949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rownpointenergy.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sedarplus.c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edarplus.c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mesteves@crownpointenergy.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moss@crownpointenergy.com"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roperties xmlns="http://www.imanage.com/work/xmlschema">
  <documentid>ACTIVE!15142191.2</documentid>
  <senderid>JTO</senderid>
  <senderemail>JTO@BDPLAW.COM</senderemail>
  <lastmodified>2026-03-10T17:00:00.0000000-06:00</lastmodified>
  <database>ACTIVE</database>
</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86E3C-AE94-49C4-9E40-36360A1A962D}">
  <ds:schemaRefs>
    <ds:schemaRef ds:uri="http://schemas.openxmlformats.org/officeDocument/2006/bibliography"/>
  </ds:schemaRefs>
</ds:datastoreItem>
</file>

<file path=customXml/itemProps2.xml><?xml version="1.0" encoding="utf-8"?>
<ds:datastoreItem xmlns:ds="http://schemas.openxmlformats.org/officeDocument/2006/customXml" ds:itemID="{4DE1DD71-747E-4F14-BDAE-18C08599F400}">
  <ds:schemaRefs>
    <ds:schemaRef ds:uri="http://www.imanage.com/work/xmlschema"/>
  </ds:schemaRefs>
</ds:datastoreItem>
</file>

<file path=customXml/itemProps3.xml><?xml version="1.0" encoding="utf-8"?>
<ds:datastoreItem xmlns:ds="http://schemas.openxmlformats.org/officeDocument/2006/customXml" ds:itemID="{32E02984-CD3B-4968-BDE0-FB6097898376}">
  <ds:schemaRefs>
    <ds:schemaRef ds:uri="http://schemas.openxmlformats.org/officeDocument/2006/bibliography"/>
  </ds:schemaRefs>
</ds:datastoreItem>
</file>

<file path=customXml/itemProps4.xml><?xml version="1.0" encoding="utf-8"?>
<ds:datastoreItem xmlns:ds="http://schemas.openxmlformats.org/officeDocument/2006/customXml" ds:itemID="{7D67E42B-467D-41A5-9BBD-0F1AB85DFDA8}">
  <ds:schemaRefs>
    <ds:schemaRef ds:uri="http://schemas.openxmlformats.org/officeDocument/2006/bibliography"/>
  </ds:schemaRefs>
</ds:datastoreItem>
</file>

<file path=customXml/itemProps5.xml><?xml version="1.0" encoding="utf-8"?>
<ds:datastoreItem xmlns:ds="http://schemas.openxmlformats.org/officeDocument/2006/customXml" ds:itemID="{52B453FF-D60E-4A6C-8163-7D48BD239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3313</Words>
  <Characters>18688</Characters>
  <Application>Microsoft Office Word</Application>
  <DocSecurity>0</DocSecurity>
  <Lines>424</Lines>
  <Paragraphs>289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Company</Company>
  <LinksUpToDate>false</LinksUpToDate>
  <CharactersWithSpaces>21712</CharactersWithSpaces>
  <SharedDoc>false</SharedDoc>
  <HLinks>
    <vt:vector size="48" baseType="variant">
      <vt:variant>
        <vt:i4>4259923</vt:i4>
      </vt:variant>
      <vt:variant>
        <vt:i4>21</vt:i4>
      </vt:variant>
      <vt:variant>
        <vt:i4>0</vt:i4>
      </vt:variant>
      <vt:variant>
        <vt:i4>5</vt:i4>
      </vt:variant>
      <vt:variant>
        <vt:lpwstr>http://www.crownpointenergy.com/</vt:lpwstr>
      </vt:variant>
      <vt:variant>
        <vt:lpwstr/>
      </vt:variant>
      <vt:variant>
        <vt:i4>2949128</vt:i4>
      </vt:variant>
      <vt:variant>
        <vt:i4>18</vt:i4>
      </vt:variant>
      <vt:variant>
        <vt:i4>0</vt:i4>
      </vt:variant>
      <vt:variant>
        <vt:i4>5</vt:i4>
      </vt:variant>
      <vt:variant>
        <vt:lpwstr>mailto:amadden@crownpointenergy.com</vt:lpwstr>
      </vt:variant>
      <vt:variant>
        <vt:lpwstr/>
      </vt:variant>
      <vt:variant>
        <vt:i4>2162777</vt:i4>
      </vt:variant>
      <vt:variant>
        <vt:i4>15</vt:i4>
      </vt:variant>
      <vt:variant>
        <vt:i4>0</vt:i4>
      </vt:variant>
      <vt:variant>
        <vt:i4>5</vt:i4>
      </vt:variant>
      <vt:variant>
        <vt:lpwstr>mailto:m.mccartney@crownpointenergy.com</vt:lpwstr>
      </vt:variant>
      <vt:variant>
        <vt:lpwstr/>
      </vt:variant>
      <vt:variant>
        <vt:i4>4259923</vt:i4>
      </vt:variant>
      <vt:variant>
        <vt:i4>12</vt:i4>
      </vt:variant>
      <vt:variant>
        <vt:i4>0</vt:i4>
      </vt:variant>
      <vt:variant>
        <vt:i4>5</vt:i4>
      </vt:variant>
      <vt:variant>
        <vt:lpwstr>http://www.crownpointenergy.com/</vt:lpwstr>
      </vt:variant>
      <vt:variant>
        <vt:lpwstr/>
      </vt:variant>
      <vt:variant>
        <vt:i4>4194325</vt:i4>
      </vt:variant>
      <vt:variant>
        <vt:i4>9</vt:i4>
      </vt:variant>
      <vt:variant>
        <vt:i4>0</vt:i4>
      </vt:variant>
      <vt:variant>
        <vt:i4>5</vt:i4>
      </vt:variant>
      <vt:variant>
        <vt:lpwstr>http://www.sedar.com/</vt:lpwstr>
      </vt:variant>
      <vt:variant>
        <vt:lpwstr/>
      </vt:variant>
      <vt:variant>
        <vt:i4>4259923</vt:i4>
      </vt:variant>
      <vt:variant>
        <vt:i4>6</vt:i4>
      </vt:variant>
      <vt:variant>
        <vt:i4>0</vt:i4>
      </vt:variant>
      <vt:variant>
        <vt:i4>5</vt:i4>
      </vt:variant>
      <vt:variant>
        <vt:lpwstr>http://www.crownpointenergy.com/</vt:lpwstr>
      </vt:variant>
      <vt:variant>
        <vt:lpwstr/>
      </vt:variant>
      <vt:variant>
        <vt:i4>4194325</vt:i4>
      </vt:variant>
      <vt:variant>
        <vt:i4>3</vt:i4>
      </vt:variant>
      <vt:variant>
        <vt:i4>0</vt:i4>
      </vt:variant>
      <vt:variant>
        <vt:i4>5</vt:i4>
      </vt:variant>
      <vt:variant>
        <vt:lpwstr>http://www.sedar.com/</vt:lpwstr>
      </vt:variant>
      <vt:variant>
        <vt:lpwstr/>
      </vt:variant>
      <vt:variant>
        <vt:i4>4259923</vt:i4>
      </vt:variant>
      <vt:variant>
        <vt:i4>0</vt:i4>
      </vt:variant>
      <vt:variant>
        <vt:i4>0</vt:i4>
      </vt:variant>
      <vt:variant>
        <vt:i4>5</vt:i4>
      </vt:variant>
      <vt:variant>
        <vt:lpwstr>http://www.crownpointenergy.com/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Seifert</dc:creator>
  <cp:keywords/>
  <dc:description/>
  <cp:lastModifiedBy>Yamila Ortiz</cp:lastModifiedBy>
  <cp:revision>2</cp:revision>
  <cp:lastPrinted>2026-03-10T19:41:00Z</cp:lastPrinted>
  <dcterms:created xsi:type="dcterms:W3CDTF">2026-03-20T15:14:00Z</dcterms:created>
  <dcterms:modified xsi:type="dcterms:W3CDTF">2026-03-20T15:14:00Z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15136290.1</vt:lpwstr>
  </property>
  <property fmtid="{D5CDD505-2E9C-101B-9397-08002B2CF9AE}" pid="3" name="DocXFormat">
    <vt:lpwstr>BDP DOCID</vt:lpwstr>
  </property>
  <property fmtid="{D5CDD505-2E9C-101B-9397-08002B2CF9AE}" pid="4" name="DocXLocation">
    <vt:lpwstr>NoDocId</vt:lpwstr>
  </property>
</Properties>
</file>