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43C5" w14:textId="77777777" w:rsidR="00257631" w:rsidRPr="007B6295" w:rsidRDefault="00257631" w:rsidP="00257631">
      <w:pPr>
        <w:autoSpaceDE w:val="0"/>
        <w:autoSpaceDN w:val="0"/>
        <w:adjustRightInd w:val="0"/>
        <w:jc w:val="right"/>
        <w:rPr>
          <w:rFonts w:ascii="Times New Roman" w:hAnsi="Times New Roman"/>
          <w:szCs w:val="22"/>
        </w:rPr>
      </w:pPr>
    </w:p>
    <w:p w14:paraId="1B2AB56F" w14:textId="77777777" w:rsidR="00997CEA" w:rsidRPr="002335EE" w:rsidRDefault="00997CEA" w:rsidP="00997CEA">
      <w:pPr>
        <w:tabs>
          <w:tab w:val="right" w:pos="8640"/>
        </w:tabs>
        <w:jc w:val="both"/>
        <w:rPr>
          <w:sz w:val="20"/>
          <w:szCs w:val="20"/>
        </w:rPr>
      </w:pPr>
      <w:r>
        <w:rPr>
          <w:sz w:val="20"/>
          <w:szCs w:val="20"/>
        </w:rPr>
        <w:t xml:space="preserve">FOR IMMEDIATE RELEASE </w:t>
      </w:r>
      <w:r>
        <w:rPr>
          <w:sz w:val="20"/>
          <w:szCs w:val="20"/>
        </w:rPr>
        <w:tab/>
        <w:t>CWV: TSX.V</w:t>
      </w:r>
    </w:p>
    <w:p w14:paraId="507F2722" w14:textId="77777777" w:rsidR="00997CEA" w:rsidRPr="002335EE" w:rsidRDefault="00BE57BF" w:rsidP="00997CEA">
      <w:pPr>
        <w:rPr>
          <w:sz w:val="20"/>
          <w:szCs w:val="20"/>
        </w:rPr>
      </w:pPr>
      <w:r>
        <w:rPr>
          <w:sz w:val="20"/>
          <w:szCs w:val="20"/>
        </w:rPr>
        <w:t>March •, 2026</w:t>
      </w:r>
    </w:p>
    <w:p w14:paraId="390D2BF4" w14:textId="77777777" w:rsidR="00997CEA" w:rsidRPr="002335EE" w:rsidRDefault="00997CEA" w:rsidP="00997CEA">
      <w:pPr>
        <w:rPr>
          <w:b/>
          <w:sz w:val="20"/>
          <w:szCs w:val="20"/>
        </w:rPr>
      </w:pPr>
    </w:p>
    <w:p w14:paraId="495BF8FF" w14:textId="77777777" w:rsidR="00F26419" w:rsidRPr="002335EE" w:rsidRDefault="00E5435D" w:rsidP="00E5435D">
      <w:pPr>
        <w:ind w:left="720"/>
        <w:jc w:val="center"/>
        <w:outlineLvl w:val="0"/>
        <w:rPr>
          <w:b/>
          <w:sz w:val="20"/>
          <w:szCs w:val="20"/>
        </w:rPr>
      </w:pPr>
      <w:r>
        <w:rPr>
          <w:b/>
          <w:sz w:val="20"/>
          <w:szCs w:val="20"/>
        </w:rPr>
        <w:t xml:space="preserve">Crown Point Announces </w:t>
      </w:r>
    </w:p>
    <w:p w14:paraId="686C21CE" w14:textId="77777777" w:rsidR="00E66412" w:rsidRPr="002335EE" w:rsidRDefault="00F11C6C" w:rsidP="00E5435D">
      <w:pPr>
        <w:ind w:left="720"/>
        <w:jc w:val="center"/>
        <w:outlineLvl w:val="0"/>
        <w:rPr>
          <w:b/>
          <w:sz w:val="20"/>
          <w:szCs w:val="20"/>
        </w:rPr>
      </w:pPr>
      <w:r>
        <w:rPr>
          <w:b/>
          <w:sz w:val="20"/>
          <w:szCs w:val="20"/>
        </w:rPr>
        <w:t>Reserve Information for the Year Ended December 31, 2025</w:t>
      </w:r>
    </w:p>
    <w:p w14:paraId="1759CD81" w14:textId="77777777" w:rsidR="00997CEA" w:rsidRPr="002335EE" w:rsidRDefault="00997CEA" w:rsidP="00997CEA">
      <w:pPr>
        <w:outlineLvl w:val="0"/>
        <w:rPr>
          <w:b/>
          <w:sz w:val="20"/>
          <w:szCs w:val="20"/>
        </w:rPr>
      </w:pPr>
    </w:p>
    <w:p w14:paraId="6B2D9664" w14:textId="77777777" w:rsidR="00335EAB" w:rsidRPr="002335EE" w:rsidRDefault="00997CEA" w:rsidP="00AF42C9">
      <w:pPr>
        <w:tabs>
          <w:tab w:val="left" w:pos="1440"/>
        </w:tabs>
        <w:jc w:val="both"/>
        <w:rPr>
          <w:sz w:val="20"/>
          <w:szCs w:val="20"/>
        </w:rPr>
      </w:pPr>
      <w:r>
        <w:rPr>
          <w:b/>
          <w:sz w:val="20"/>
          <w:szCs w:val="20"/>
        </w:rPr>
        <w:t xml:space="preserve">TSX-V:  CWV: Crown Point Energy Inc. (“Crown Point”, </w:t>
      </w:r>
      <w:r>
        <w:rPr>
          <w:sz w:val="20"/>
          <w:szCs w:val="20"/>
        </w:rPr>
        <w:t>the</w:t>
      </w:r>
      <w:r>
        <w:rPr>
          <w:b/>
          <w:sz w:val="20"/>
          <w:szCs w:val="20"/>
        </w:rPr>
        <w:t xml:space="preserve"> “Company”, </w:t>
      </w:r>
      <w:r>
        <w:rPr>
          <w:sz w:val="20"/>
          <w:szCs w:val="20"/>
        </w:rPr>
        <w:t>"</w:t>
      </w:r>
      <w:r>
        <w:rPr>
          <w:b/>
          <w:sz w:val="20"/>
          <w:szCs w:val="20"/>
        </w:rPr>
        <w:t>we</w:t>
      </w:r>
      <w:r>
        <w:rPr>
          <w:sz w:val="20"/>
          <w:szCs w:val="20"/>
        </w:rPr>
        <w:t>" or "</w:t>
      </w:r>
      <w:r>
        <w:rPr>
          <w:b/>
          <w:sz w:val="20"/>
          <w:szCs w:val="20"/>
        </w:rPr>
        <w:t>our</w:t>
      </w:r>
      <w:r>
        <w:rPr>
          <w:sz w:val="20"/>
          <w:szCs w:val="20"/>
        </w:rPr>
        <w:t>"</w:t>
      </w:r>
      <w:r>
        <w:rPr>
          <w:b/>
          <w:sz w:val="20"/>
          <w:szCs w:val="20"/>
        </w:rPr>
        <w:t>)</w:t>
      </w:r>
      <w:r>
        <w:rPr>
          <w:sz w:val="20"/>
          <w:szCs w:val="20"/>
        </w:rPr>
        <w:t xml:space="preserve"> today announced certain reserve information for the year ended December 31, 2025.  All dollar figures are expressed in United States dollars ("</w:t>
      </w:r>
      <w:r>
        <w:rPr>
          <w:b/>
          <w:sz w:val="20"/>
          <w:szCs w:val="20"/>
        </w:rPr>
        <w:t>USD</w:t>
      </w:r>
      <w:r>
        <w:rPr>
          <w:sz w:val="20"/>
          <w:szCs w:val="20"/>
        </w:rPr>
        <w:t>" or "</w:t>
      </w:r>
      <w:r>
        <w:rPr>
          <w:b/>
          <w:sz w:val="20"/>
          <w:szCs w:val="20"/>
        </w:rPr>
        <w:t>US$</w:t>
      </w:r>
      <w:r>
        <w:rPr>
          <w:sz w:val="20"/>
          <w:szCs w:val="20"/>
        </w:rPr>
        <w:t>") unless otherwise stated, and "</w:t>
      </w:r>
      <w:r>
        <w:rPr>
          <w:b/>
          <w:sz w:val="20"/>
          <w:szCs w:val="20"/>
        </w:rPr>
        <w:t>MMUS$</w:t>
      </w:r>
      <w:r>
        <w:rPr>
          <w:sz w:val="20"/>
          <w:szCs w:val="20"/>
        </w:rPr>
        <w:t xml:space="preserve">" means millions of USD. </w:t>
      </w:r>
    </w:p>
    <w:p w14:paraId="4EEF73F0" w14:textId="77777777" w:rsidR="006E2E70" w:rsidRPr="002335EE" w:rsidRDefault="00093AB9" w:rsidP="00C35452">
      <w:pPr>
        <w:tabs>
          <w:tab w:val="left" w:pos="1440"/>
        </w:tabs>
        <w:spacing w:before="120" w:line="240" w:lineRule="atLeast"/>
        <w:jc w:val="both"/>
        <w:rPr>
          <w:sz w:val="20"/>
          <w:szCs w:val="20"/>
        </w:rPr>
      </w:pPr>
      <w:r>
        <w:rPr>
          <w:sz w:val="20"/>
          <w:szCs w:val="20"/>
        </w:rPr>
        <w:t>Sproule ERCE (“</w:t>
      </w:r>
      <w:r>
        <w:rPr>
          <w:b/>
          <w:sz w:val="20"/>
          <w:szCs w:val="20"/>
        </w:rPr>
        <w:t>Sproule</w:t>
      </w:r>
      <w:r>
        <w:rPr>
          <w:sz w:val="20"/>
          <w:szCs w:val="20"/>
        </w:rPr>
        <w:t xml:space="preserve">”), an independent qualified reserves engineer, evaluated the oil and natural gas reserves attributable to all of Crown Point’s properties as of December 31, </w:t>
      </w:r>
      <w:proofErr w:type="gramStart"/>
      <w:r>
        <w:rPr>
          <w:sz w:val="20"/>
          <w:szCs w:val="20"/>
        </w:rPr>
        <w:t>2025</w:t>
      </w:r>
      <w:proofErr w:type="gramEnd"/>
      <w:r>
        <w:rPr>
          <w:sz w:val="20"/>
          <w:szCs w:val="20"/>
        </w:rPr>
        <w:t xml:space="preserve"> based on forecast prices and costs and in accordance with National Instrument 51-101 ("</w:t>
      </w:r>
      <w:r>
        <w:rPr>
          <w:b/>
          <w:sz w:val="20"/>
          <w:szCs w:val="20"/>
        </w:rPr>
        <w:t>NI 51-101</w:t>
      </w:r>
      <w:r>
        <w:rPr>
          <w:sz w:val="20"/>
          <w:szCs w:val="20"/>
        </w:rPr>
        <w:t>") and the Canadian Oil and Gas Evaluation Handbook (the "</w:t>
      </w:r>
      <w:r>
        <w:rPr>
          <w:b/>
          <w:sz w:val="20"/>
          <w:szCs w:val="20"/>
        </w:rPr>
        <w:t>COGE Handbook</w:t>
      </w:r>
      <w:r>
        <w:rPr>
          <w:sz w:val="20"/>
          <w:szCs w:val="20"/>
        </w:rPr>
        <w:t>"). Sproule’s evaluation report (the "</w:t>
      </w:r>
      <w:r>
        <w:rPr>
          <w:b/>
          <w:sz w:val="20"/>
          <w:szCs w:val="20"/>
        </w:rPr>
        <w:t>Sproule Report</w:t>
      </w:r>
      <w:r>
        <w:rPr>
          <w:sz w:val="20"/>
          <w:szCs w:val="20"/>
        </w:rPr>
        <w:t xml:space="preserve">") also presents the estimated net present value of future net revenue associated with Crown Point's reserves. A summary of Crown Point’s crude oil, natural gas and natural gas liquids reserves, as evaluated by Sproule, and the associated net present value of future net revenue associated therewith as of December 31, </w:t>
      </w:r>
      <w:proofErr w:type="gramStart"/>
      <w:r>
        <w:rPr>
          <w:sz w:val="20"/>
          <w:szCs w:val="20"/>
        </w:rPr>
        <w:t>2025</w:t>
      </w:r>
      <w:proofErr w:type="gramEnd"/>
      <w:r>
        <w:rPr>
          <w:sz w:val="20"/>
          <w:szCs w:val="20"/>
        </w:rPr>
        <w:t xml:space="preserve"> is presented below. </w:t>
      </w:r>
    </w:p>
    <w:p w14:paraId="533F9088" w14:textId="77777777" w:rsidR="00767618" w:rsidRPr="002335EE" w:rsidRDefault="00767618" w:rsidP="00767618">
      <w:pPr>
        <w:keepNext/>
        <w:tabs>
          <w:tab w:val="left" w:pos="1440"/>
        </w:tabs>
        <w:spacing w:before="120" w:line="240" w:lineRule="atLeast"/>
        <w:jc w:val="both"/>
        <w:rPr>
          <w:sz w:val="20"/>
          <w:szCs w:val="20"/>
        </w:rPr>
      </w:pPr>
      <w:r>
        <w:rPr>
          <w:sz w:val="20"/>
          <w:szCs w:val="20"/>
        </w:rPr>
        <w:t xml:space="preserve">The following table presents, in the aggregate, the Company's gross and net proved and probable reserves, estimated using forecast prices and costs, by product type and by barrel of oil equivalent, as of December 31, 2025.  </w:t>
      </w:r>
    </w:p>
    <w:p w14:paraId="4898A326" w14:textId="77777777" w:rsidR="00767618" w:rsidRPr="007B6295" w:rsidRDefault="00767618" w:rsidP="00767618">
      <w:pPr>
        <w:keepNext/>
        <w:jc w:val="center"/>
        <w:rPr>
          <w:rFonts w:ascii="Times New Roman" w:hAnsi="Times New Roman"/>
          <w:b/>
          <w:szCs w:val="22"/>
          <w:lang w:val="en-CA"/>
        </w:rPr>
      </w:pPr>
    </w:p>
    <w:p w14:paraId="22B7B84E" w14:textId="77777777" w:rsidR="00387333" w:rsidRPr="007B6295" w:rsidRDefault="00387333" w:rsidP="00387333">
      <w:pPr>
        <w:keepNext/>
        <w:jc w:val="center"/>
        <w:rPr>
          <w:rFonts w:ascii="Times New Roman" w:hAnsi="Times New Roman"/>
          <w:b/>
          <w:szCs w:val="22"/>
          <w:lang w:val="en-CA"/>
        </w:rPr>
      </w:pPr>
      <w:bookmarkStart w:id="0" w:name="OLE_LINK1"/>
      <w:r>
        <w:rPr>
          <w:rFonts w:ascii="Times New Roman" w:hAnsi="Times New Roman"/>
          <w:b/>
          <w:szCs w:val="22"/>
          <w:lang w:val="en-CA"/>
        </w:rPr>
        <w:t>SUMMARY OF RESERVES AS OF DECEMBER 31, 2025</w:t>
      </w:r>
    </w:p>
    <w:p w14:paraId="7D265775" w14:textId="77777777" w:rsidR="00387333" w:rsidRPr="007B6295" w:rsidRDefault="00387333" w:rsidP="00387333">
      <w:pPr>
        <w:keepNext/>
        <w:spacing w:after="120" w:line="276" w:lineRule="auto"/>
        <w:jc w:val="center"/>
        <w:rPr>
          <w:rFonts w:ascii="Times New Roman" w:eastAsia="Calibri" w:hAnsi="Times New Roman"/>
          <w:sz w:val="20"/>
          <w:szCs w:val="20"/>
        </w:rPr>
      </w:pPr>
      <w:r>
        <w:rPr>
          <w:rFonts w:ascii="Times New Roman" w:hAnsi="Times New Roman"/>
          <w:b/>
          <w:szCs w:val="22"/>
          <w:lang w:val="en-CA"/>
        </w:rPr>
        <w:t>(Forecast Prices &amp; Costs)</w:t>
      </w:r>
      <w:r>
        <w:rPr>
          <w:rFonts w:ascii="Times New Roman" w:hAnsi="Times New Roman"/>
          <w:lang w:val="en-CA"/>
        </w:rPr>
        <w:fldChar w:fldCharType="begin"/>
      </w:r>
      <w:r>
        <w:rPr>
          <w:rFonts w:ascii="Times New Roman" w:hAnsi="Times New Roman"/>
          <w:lang w:val="en-CA"/>
        </w:rPr>
        <w:instrText xml:space="preserve"> LINK Excel.Sheet.12 "C:\\Users\\bmoss\\Dropbox\\Reserve Tables Dec 2019 Mar 20.xlsx" "PR Tables!R8C4:R18C16" \a \f 4 \h  \* MERGEFORMAT </w:instrText>
      </w:r>
      <w:r>
        <w:rPr>
          <w:rFonts w:ascii="Times New Roman" w:hAnsi="Times New Roman"/>
          <w:lang w:val="en-CA"/>
        </w:rPr>
        <w:fldChar w:fldCharType="separate"/>
      </w:r>
    </w:p>
    <w:p w14:paraId="42F61C83" w14:textId="77777777" w:rsidR="00387333" w:rsidRPr="007B6295" w:rsidRDefault="00387333" w:rsidP="00387333">
      <w:pPr>
        <w:tabs>
          <w:tab w:val="left" w:pos="1440"/>
        </w:tabs>
        <w:spacing w:before="120" w:line="240" w:lineRule="atLeast"/>
        <w:jc w:val="both"/>
        <w:rPr>
          <w:rFonts w:ascii="Times New Roman" w:hAnsi="Times New Roman"/>
          <w:szCs w:val="22"/>
          <w:lang w:val="en-CA"/>
        </w:rPr>
      </w:pPr>
      <w:r>
        <w:rPr>
          <w:rFonts w:ascii="Times New Roman" w:hAnsi="Times New Roman"/>
          <w:szCs w:val="22"/>
          <w:lang w:val="en-CA"/>
        </w:rPr>
        <w:fldChar w:fldCharType="end"/>
      </w:r>
    </w:p>
    <w:bookmarkEnd w:id="0"/>
    <w:tbl>
      <w:tblPr>
        <w:tblW w:w="11274" w:type="dxa"/>
        <w:tblInd w:w="-953" w:type="dxa"/>
        <w:tblLayout w:type="fixed"/>
        <w:tblCellMar>
          <w:left w:w="70" w:type="dxa"/>
          <w:right w:w="70" w:type="dxa"/>
        </w:tblCellMar>
        <w:tblLook w:val="04A0" w:firstRow="1" w:lastRow="0" w:firstColumn="1" w:lastColumn="0" w:noHBand="0" w:noVBand="1"/>
      </w:tblPr>
      <w:tblGrid>
        <w:gridCol w:w="2480"/>
        <w:gridCol w:w="883"/>
        <w:gridCol w:w="905"/>
        <w:gridCol w:w="845"/>
        <w:gridCol w:w="845"/>
        <w:gridCol w:w="844"/>
        <w:gridCol w:w="819"/>
        <w:gridCol w:w="814"/>
        <w:gridCol w:w="740"/>
        <w:gridCol w:w="965"/>
        <w:gridCol w:w="1134"/>
      </w:tblGrid>
      <w:tr w:rsidR="00FF553B" w:rsidRPr="00D97578" w14:paraId="0788376F" w14:textId="77777777" w:rsidTr="00FF553B">
        <w:trPr>
          <w:trHeight w:val="645"/>
        </w:trPr>
        <w:tc>
          <w:tcPr>
            <w:tcW w:w="2480" w:type="dxa"/>
            <w:vMerge w:val="restart"/>
            <w:tcBorders>
              <w:top w:val="nil"/>
              <w:left w:val="nil"/>
              <w:bottom w:val="nil"/>
              <w:right w:val="nil"/>
            </w:tcBorders>
            <w:vAlign w:val="center"/>
            <w:hideMark/>
          </w:tcPr>
          <w:p w14:paraId="76B0B4EA" w14:textId="77777777" w:rsidR="00FF553B" w:rsidRPr="00FF553B" w:rsidRDefault="00FF553B" w:rsidP="00FF553B">
            <w:pPr>
              <w:rPr>
                <w:sz w:val="16"/>
                <w:szCs w:val="16"/>
                <w:lang w:val="es-AR" w:eastAsia="es-AR"/>
              </w:rPr>
            </w:pPr>
          </w:p>
        </w:tc>
        <w:tc>
          <w:tcPr>
            <w:tcW w:w="1788" w:type="dxa"/>
            <w:gridSpan w:val="2"/>
            <w:tcBorders>
              <w:top w:val="nil"/>
              <w:left w:val="nil"/>
              <w:bottom w:val="nil"/>
              <w:right w:val="nil"/>
            </w:tcBorders>
            <w:vAlign w:val="center"/>
            <w:hideMark/>
          </w:tcPr>
          <w:p w14:paraId="7419615A" w14:textId="77777777" w:rsidR="00FF553B" w:rsidRPr="00FF553B" w:rsidRDefault="00FF553B" w:rsidP="00FF553B">
            <w:pPr>
              <w:jc w:val="center"/>
              <w:rPr>
                <w:b/>
                <w:bCs/>
                <w:color w:val="000000"/>
                <w:sz w:val="16"/>
                <w:szCs w:val="16"/>
                <w:lang w:eastAsia="es-AR"/>
              </w:rPr>
            </w:pPr>
            <w:r>
              <w:rPr>
                <w:b/>
                <w:bCs/>
                <w:color w:val="000000"/>
                <w:sz w:val="16"/>
                <w:szCs w:val="16"/>
                <w:lang w:eastAsia="es-AR"/>
              </w:rPr>
              <w:t>Light and Medium Crude Oil</w:t>
            </w:r>
          </w:p>
        </w:tc>
        <w:tc>
          <w:tcPr>
            <w:tcW w:w="1690" w:type="dxa"/>
            <w:gridSpan w:val="2"/>
            <w:tcBorders>
              <w:top w:val="nil"/>
              <w:left w:val="nil"/>
              <w:bottom w:val="nil"/>
              <w:right w:val="nil"/>
            </w:tcBorders>
            <w:vAlign w:val="center"/>
          </w:tcPr>
          <w:p w14:paraId="0CB8ACB7"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Heavy Crude</w:t>
            </w:r>
          </w:p>
          <w:p w14:paraId="23C69511"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Oil</w:t>
            </w:r>
          </w:p>
        </w:tc>
        <w:tc>
          <w:tcPr>
            <w:tcW w:w="1663" w:type="dxa"/>
            <w:gridSpan w:val="2"/>
            <w:tcBorders>
              <w:top w:val="nil"/>
              <w:left w:val="nil"/>
              <w:bottom w:val="nil"/>
              <w:right w:val="nil"/>
            </w:tcBorders>
            <w:vAlign w:val="center"/>
            <w:hideMark/>
          </w:tcPr>
          <w:p w14:paraId="14516394"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Conventional</w:t>
            </w:r>
          </w:p>
          <w:p w14:paraId="1165D34D"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Natural Gas</w:t>
            </w:r>
          </w:p>
        </w:tc>
        <w:tc>
          <w:tcPr>
            <w:tcW w:w="1554" w:type="dxa"/>
            <w:gridSpan w:val="2"/>
            <w:tcBorders>
              <w:top w:val="nil"/>
              <w:left w:val="nil"/>
              <w:bottom w:val="nil"/>
              <w:right w:val="nil"/>
            </w:tcBorders>
            <w:vAlign w:val="center"/>
            <w:hideMark/>
          </w:tcPr>
          <w:p w14:paraId="0A67DCBC"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Natural Gas Liquids</w:t>
            </w:r>
          </w:p>
        </w:tc>
        <w:tc>
          <w:tcPr>
            <w:tcW w:w="2099" w:type="dxa"/>
            <w:gridSpan w:val="2"/>
            <w:tcBorders>
              <w:top w:val="nil"/>
              <w:left w:val="nil"/>
              <w:bottom w:val="nil"/>
              <w:right w:val="nil"/>
            </w:tcBorders>
            <w:vAlign w:val="center"/>
            <w:hideMark/>
          </w:tcPr>
          <w:p w14:paraId="4D8BCEC5" w14:textId="77777777" w:rsidR="00FF553B" w:rsidRPr="00FF553B" w:rsidRDefault="00FF553B" w:rsidP="00FF553B">
            <w:pPr>
              <w:jc w:val="center"/>
              <w:rPr>
                <w:b/>
                <w:bCs/>
                <w:color w:val="000000"/>
                <w:sz w:val="16"/>
                <w:szCs w:val="16"/>
                <w:lang w:val="es-AR" w:eastAsia="es-AR"/>
              </w:rPr>
            </w:pPr>
            <w:proofErr w:type="gramStart"/>
            <w:r>
              <w:rPr>
                <w:b/>
                <w:bCs/>
                <w:color w:val="000000"/>
                <w:sz w:val="16"/>
                <w:szCs w:val="16"/>
                <w:lang w:val="es-AR" w:eastAsia="es-AR"/>
              </w:rPr>
              <w:t>Total</w:t>
            </w:r>
            <w:proofErr w:type="gramEnd"/>
            <w:r>
              <w:rPr>
                <w:b/>
                <w:bCs/>
                <w:color w:val="000000"/>
                <w:sz w:val="16"/>
                <w:szCs w:val="16"/>
                <w:lang w:val="es-AR" w:eastAsia="es-AR"/>
              </w:rPr>
              <w:t xml:space="preserve"> Reserves</w:t>
            </w:r>
          </w:p>
        </w:tc>
      </w:tr>
      <w:tr w:rsidR="00FF553B" w:rsidRPr="00D97578" w14:paraId="473EE3DC" w14:textId="77777777" w:rsidTr="00FF553B">
        <w:trPr>
          <w:trHeight w:val="315"/>
        </w:trPr>
        <w:tc>
          <w:tcPr>
            <w:tcW w:w="2480" w:type="dxa"/>
            <w:vMerge/>
            <w:tcBorders>
              <w:top w:val="nil"/>
              <w:left w:val="nil"/>
              <w:bottom w:val="nil"/>
              <w:right w:val="nil"/>
            </w:tcBorders>
            <w:vAlign w:val="center"/>
            <w:hideMark/>
          </w:tcPr>
          <w:p w14:paraId="0FC344F7" w14:textId="77777777" w:rsidR="00FF553B" w:rsidRPr="00FF553B" w:rsidRDefault="00FF553B" w:rsidP="00FF553B">
            <w:pPr>
              <w:rPr>
                <w:sz w:val="16"/>
                <w:szCs w:val="16"/>
                <w:lang w:val="es-AR" w:eastAsia="es-AR"/>
              </w:rPr>
            </w:pPr>
          </w:p>
        </w:tc>
        <w:tc>
          <w:tcPr>
            <w:tcW w:w="1788" w:type="dxa"/>
            <w:gridSpan w:val="2"/>
            <w:tcBorders>
              <w:top w:val="nil"/>
              <w:left w:val="nil"/>
              <w:bottom w:val="single" w:sz="8" w:space="0" w:color="auto"/>
              <w:right w:val="nil"/>
            </w:tcBorders>
            <w:vAlign w:val="center"/>
            <w:hideMark/>
          </w:tcPr>
          <w:p w14:paraId="51396E94"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(Mbbl)</w:t>
            </w:r>
          </w:p>
        </w:tc>
        <w:tc>
          <w:tcPr>
            <w:tcW w:w="1690" w:type="dxa"/>
            <w:gridSpan w:val="2"/>
            <w:tcBorders>
              <w:top w:val="nil"/>
              <w:left w:val="nil"/>
              <w:bottom w:val="single" w:sz="8" w:space="0" w:color="auto"/>
              <w:right w:val="nil"/>
            </w:tcBorders>
          </w:tcPr>
          <w:p w14:paraId="2353FC1C"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(Mbbl)</w:t>
            </w:r>
          </w:p>
        </w:tc>
        <w:tc>
          <w:tcPr>
            <w:tcW w:w="1663" w:type="dxa"/>
            <w:gridSpan w:val="2"/>
            <w:tcBorders>
              <w:top w:val="nil"/>
              <w:left w:val="nil"/>
              <w:bottom w:val="single" w:sz="8" w:space="0" w:color="auto"/>
              <w:right w:val="nil"/>
            </w:tcBorders>
            <w:vAlign w:val="center"/>
            <w:hideMark/>
          </w:tcPr>
          <w:p w14:paraId="67FB7791"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(MMcf)</w:t>
            </w:r>
          </w:p>
        </w:tc>
        <w:tc>
          <w:tcPr>
            <w:tcW w:w="1554" w:type="dxa"/>
            <w:gridSpan w:val="2"/>
            <w:tcBorders>
              <w:top w:val="nil"/>
              <w:left w:val="nil"/>
              <w:bottom w:val="single" w:sz="8" w:space="0" w:color="auto"/>
              <w:right w:val="nil"/>
            </w:tcBorders>
            <w:vAlign w:val="center"/>
            <w:hideMark/>
          </w:tcPr>
          <w:p w14:paraId="3526D4C3"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(Mbbl)</w:t>
            </w:r>
          </w:p>
        </w:tc>
        <w:tc>
          <w:tcPr>
            <w:tcW w:w="2099" w:type="dxa"/>
            <w:gridSpan w:val="2"/>
            <w:tcBorders>
              <w:top w:val="nil"/>
              <w:left w:val="nil"/>
              <w:bottom w:val="single" w:sz="8" w:space="0" w:color="auto"/>
              <w:right w:val="nil"/>
            </w:tcBorders>
            <w:noWrap/>
            <w:vAlign w:val="bottom"/>
            <w:hideMark/>
          </w:tcPr>
          <w:p w14:paraId="2DBD0393"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MBOE</w:t>
            </w:r>
          </w:p>
        </w:tc>
      </w:tr>
      <w:tr w:rsidR="00FF553B" w:rsidRPr="00D97578" w14:paraId="6E68BE10" w14:textId="77777777" w:rsidTr="00FF553B">
        <w:trPr>
          <w:trHeight w:val="300"/>
        </w:trPr>
        <w:tc>
          <w:tcPr>
            <w:tcW w:w="2480" w:type="dxa"/>
            <w:tcBorders>
              <w:top w:val="nil"/>
              <w:left w:val="nil"/>
              <w:bottom w:val="nil"/>
              <w:right w:val="nil"/>
            </w:tcBorders>
            <w:vAlign w:val="center"/>
            <w:hideMark/>
          </w:tcPr>
          <w:p w14:paraId="52B8575F" w14:textId="77777777" w:rsidR="00FF553B" w:rsidRPr="00FF553B" w:rsidRDefault="00FF553B" w:rsidP="00FF553B">
            <w:pPr>
              <w:rPr>
                <w:b/>
                <w:bCs/>
                <w:color w:val="000000"/>
                <w:sz w:val="16"/>
                <w:szCs w:val="16"/>
                <w:vertAlign w:val="superscript"/>
                <w:lang w:val="es-AR" w:eastAsia="es-AR"/>
              </w:rPr>
            </w:pPr>
            <w:r>
              <w:rPr>
                <w:b/>
                <w:bCs/>
                <w:color w:val="000000"/>
                <w:sz w:val="16"/>
                <w:szCs w:val="16"/>
                <w:lang w:val="es-AR" w:eastAsia="es-AR"/>
              </w:rPr>
              <w:t>Reserves Category</w:t>
            </w:r>
            <w:r>
              <w:rPr>
                <w:b/>
                <w:bCs/>
                <w:color w:val="000000"/>
                <w:sz w:val="16"/>
                <w:szCs w:val="16"/>
                <w:vertAlign w:val="superscript"/>
                <w:lang w:val="es-AR" w:eastAsia="es-AR"/>
              </w:rPr>
              <w:t xml:space="preserve"> (2)</w:t>
            </w:r>
          </w:p>
        </w:tc>
        <w:tc>
          <w:tcPr>
            <w:tcW w:w="883" w:type="dxa"/>
            <w:tcBorders>
              <w:top w:val="nil"/>
              <w:left w:val="nil"/>
              <w:bottom w:val="nil"/>
              <w:right w:val="nil"/>
            </w:tcBorders>
            <w:vAlign w:val="center"/>
            <w:hideMark/>
          </w:tcPr>
          <w:p w14:paraId="04FCB94C"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Gross</w:t>
            </w:r>
          </w:p>
        </w:tc>
        <w:tc>
          <w:tcPr>
            <w:tcW w:w="905" w:type="dxa"/>
            <w:tcBorders>
              <w:top w:val="nil"/>
              <w:left w:val="nil"/>
              <w:bottom w:val="nil"/>
              <w:right w:val="nil"/>
            </w:tcBorders>
            <w:vAlign w:val="center"/>
            <w:hideMark/>
          </w:tcPr>
          <w:p w14:paraId="6E5D4DA8"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Net</w:t>
            </w:r>
          </w:p>
        </w:tc>
        <w:tc>
          <w:tcPr>
            <w:tcW w:w="845" w:type="dxa"/>
            <w:tcBorders>
              <w:top w:val="nil"/>
              <w:left w:val="nil"/>
              <w:bottom w:val="nil"/>
              <w:right w:val="nil"/>
            </w:tcBorders>
            <w:vAlign w:val="center"/>
          </w:tcPr>
          <w:p w14:paraId="0C7916F4"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Gross</w:t>
            </w:r>
          </w:p>
        </w:tc>
        <w:tc>
          <w:tcPr>
            <w:tcW w:w="845" w:type="dxa"/>
            <w:tcBorders>
              <w:top w:val="nil"/>
              <w:left w:val="nil"/>
              <w:bottom w:val="nil"/>
              <w:right w:val="nil"/>
            </w:tcBorders>
            <w:vAlign w:val="center"/>
          </w:tcPr>
          <w:p w14:paraId="1C7237EE"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Net</w:t>
            </w:r>
          </w:p>
        </w:tc>
        <w:tc>
          <w:tcPr>
            <w:tcW w:w="844" w:type="dxa"/>
            <w:tcBorders>
              <w:top w:val="nil"/>
              <w:left w:val="nil"/>
              <w:bottom w:val="nil"/>
              <w:right w:val="nil"/>
            </w:tcBorders>
            <w:vAlign w:val="center"/>
            <w:hideMark/>
          </w:tcPr>
          <w:p w14:paraId="64D85C28"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Gross</w:t>
            </w:r>
          </w:p>
        </w:tc>
        <w:tc>
          <w:tcPr>
            <w:tcW w:w="819" w:type="dxa"/>
            <w:tcBorders>
              <w:top w:val="nil"/>
              <w:left w:val="nil"/>
              <w:bottom w:val="nil"/>
              <w:right w:val="nil"/>
            </w:tcBorders>
            <w:vAlign w:val="center"/>
            <w:hideMark/>
          </w:tcPr>
          <w:p w14:paraId="5B545B4C"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Net</w:t>
            </w:r>
          </w:p>
        </w:tc>
        <w:tc>
          <w:tcPr>
            <w:tcW w:w="814" w:type="dxa"/>
            <w:tcBorders>
              <w:top w:val="nil"/>
              <w:left w:val="nil"/>
              <w:bottom w:val="nil"/>
              <w:right w:val="nil"/>
            </w:tcBorders>
            <w:vAlign w:val="center"/>
            <w:hideMark/>
          </w:tcPr>
          <w:p w14:paraId="4E3F5A9C"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Gross</w:t>
            </w:r>
          </w:p>
        </w:tc>
        <w:tc>
          <w:tcPr>
            <w:tcW w:w="740" w:type="dxa"/>
            <w:tcBorders>
              <w:top w:val="nil"/>
              <w:left w:val="nil"/>
              <w:bottom w:val="nil"/>
              <w:right w:val="nil"/>
            </w:tcBorders>
            <w:vAlign w:val="center"/>
            <w:hideMark/>
          </w:tcPr>
          <w:p w14:paraId="6F83F101"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Net</w:t>
            </w:r>
          </w:p>
        </w:tc>
        <w:tc>
          <w:tcPr>
            <w:tcW w:w="965" w:type="dxa"/>
            <w:tcBorders>
              <w:top w:val="nil"/>
              <w:left w:val="nil"/>
              <w:bottom w:val="nil"/>
              <w:right w:val="nil"/>
            </w:tcBorders>
            <w:vAlign w:val="center"/>
            <w:hideMark/>
          </w:tcPr>
          <w:p w14:paraId="33C1A781"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Gross</w:t>
            </w:r>
          </w:p>
        </w:tc>
        <w:tc>
          <w:tcPr>
            <w:tcW w:w="1134" w:type="dxa"/>
            <w:tcBorders>
              <w:top w:val="single" w:sz="8" w:space="0" w:color="auto"/>
              <w:left w:val="nil"/>
              <w:bottom w:val="nil"/>
              <w:right w:val="nil"/>
            </w:tcBorders>
            <w:vAlign w:val="center"/>
            <w:hideMark/>
          </w:tcPr>
          <w:p w14:paraId="2743C852" w14:textId="77777777" w:rsidR="00FF553B" w:rsidRPr="00FF553B" w:rsidRDefault="00FF553B" w:rsidP="00FF553B">
            <w:pPr>
              <w:jc w:val="center"/>
              <w:rPr>
                <w:b/>
                <w:bCs/>
                <w:color w:val="000000"/>
                <w:sz w:val="16"/>
                <w:szCs w:val="16"/>
                <w:lang w:val="es-AR" w:eastAsia="es-AR"/>
              </w:rPr>
            </w:pPr>
            <w:r>
              <w:rPr>
                <w:b/>
                <w:bCs/>
                <w:color w:val="000000"/>
                <w:sz w:val="16"/>
                <w:szCs w:val="16"/>
                <w:lang w:val="es-AR" w:eastAsia="es-AR"/>
              </w:rPr>
              <w:t>Net</w:t>
            </w:r>
          </w:p>
        </w:tc>
      </w:tr>
      <w:tr w:rsidR="00FF553B" w:rsidRPr="00D97578" w14:paraId="5589B857" w14:textId="77777777" w:rsidTr="00FF553B">
        <w:trPr>
          <w:trHeight w:val="300"/>
        </w:trPr>
        <w:tc>
          <w:tcPr>
            <w:tcW w:w="2480" w:type="dxa"/>
            <w:tcBorders>
              <w:top w:val="nil"/>
              <w:left w:val="nil"/>
              <w:bottom w:val="nil"/>
              <w:right w:val="nil"/>
            </w:tcBorders>
            <w:vAlign w:val="center"/>
            <w:hideMark/>
          </w:tcPr>
          <w:p w14:paraId="43506891" w14:textId="77777777" w:rsidR="00FF553B" w:rsidRPr="00FF553B" w:rsidRDefault="00FF553B" w:rsidP="00FF553B">
            <w:pPr>
              <w:rPr>
                <w:color w:val="000000"/>
                <w:sz w:val="16"/>
                <w:szCs w:val="16"/>
                <w:lang w:val="es-AR" w:eastAsia="es-AR"/>
              </w:rPr>
            </w:pPr>
            <w:r>
              <w:rPr>
                <w:color w:val="000000"/>
                <w:sz w:val="16"/>
                <w:szCs w:val="16"/>
                <w:lang w:val="es-AR" w:eastAsia="es-AR"/>
              </w:rPr>
              <w:t>Proved:</w:t>
            </w:r>
          </w:p>
        </w:tc>
        <w:tc>
          <w:tcPr>
            <w:tcW w:w="883" w:type="dxa"/>
            <w:tcBorders>
              <w:top w:val="nil"/>
              <w:left w:val="nil"/>
              <w:bottom w:val="nil"/>
              <w:right w:val="nil"/>
            </w:tcBorders>
            <w:vAlign w:val="center"/>
            <w:hideMark/>
          </w:tcPr>
          <w:p w14:paraId="7EC86D25" w14:textId="77777777" w:rsidR="00FF553B" w:rsidRPr="00FF553B" w:rsidRDefault="00FF553B" w:rsidP="00FF553B">
            <w:pPr>
              <w:rPr>
                <w:color w:val="000000"/>
                <w:sz w:val="16"/>
                <w:szCs w:val="16"/>
                <w:lang w:val="es-AR" w:eastAsia="es-AR"/>
              </w:rPr>
            </w:pPr>
          </w:p>
        </w:tc>
        <w:tc>
          <w:tcPr>
            <w:tcW w:w="905" w:type="dxa"/>
            <w:tcBorders>
              <w:top w:val="nil"/>
              <w:left w:val="nil"/>
              <w:bottom w:val="nil"/>
              <w:right w:val="nil"/>
            </w:tcBorders>
            <w:vAlign w:val="center"/>
            <w:hideMark/>
          </w:tcPr>
          <w:p w14:paraId="6A1028EA" w14:textId="77777777" w:rsidR="00FF553B" w:rsidRPr="00FF553B" w:rsidRDefault="00FF553B" w:rsidP="00FF553B">
            <w:pPr>
              <w:jc w:val="both"/>
              <w:rPr>
                <w:sz w:val="16"/>
                <w:szCs w:val="16"/>
                <w:lang w:val="es-AR" w:eastAsia="es-AR"/>
              </w:rPr>
            </w:pPr>
          </w:p>
        </w:tc>
        <w:tc>
          <w:tcPr>
            <w:tcW w:w="845" w:type="dxa"/>
            <w:tcBorders>
              <w:top w:val="nil"/>
              <w:left w:val="nil"/>
              <w:bottom w:val="nil"/>
              <w:right w:val="nil"/>
            </w:tcBorders>
          </w:tcPr>
          <w:p w14:paraId="08FE783F" w14:textId="77777777" w:rsidR="00FF553B" w:rsidRPr="00FF553B" w:rsidRDefault="00FF553B" w:rsidP="00FF553B">
            <w:pPr>
              <w:jc w:val="both"/>
              <w:rPr>
                <w:sz w:val="16"/>
                <w:szCs w:val="16"/>
                <w:lang w:val="es-AR" w:eastAsia="es-AR"/>
              </w:rPr>
            </w:pPr>
          </w:p>
        </w:tc>
        <w:tc>
          <w:tcPr>
            <w:tcW w:w="845" w:type="dxa"/>
            <w:tcBorders>
              <w:top w:val="nil"/>
              <w:left w:val="nil"/>
              <w:bottom w:val="nil"/>
              <w:right w:val="nil"/>
            </w:tcBorders>
          </w:tcPr>
          <w:p w14:paraId="2557B732" w14:textId="77777777" w:rsidR="00FF553B" w:rsidRPr="00FF553B" w:rsidRDefault="00FF553B" w:rsidP="00FF553B">
            <w:pPr>
              <w:jc w:val="both"/>
              <w:rPr>
                <w:sz w:val="16"/>
                <w:szCs w:val="16"/>
                <w:lang w:val="es-AR" w:eastAsia="es-AR"/>
              </w:rPr>
            </w:pPr>
          </w:p>
        </w:tc>
        <w:tc>
          <w:tcPr>
            <w:tcW w:w="844" w:type="dxa"/>
            <w:tcBorders>
              <w:top w:val="nil"/>
              <w:left w:val="nil"/>
              <w:bottom w:val="nil"/>
              <w:right w:val="nil"/>
            </w:tcBorders>
            <w:vAlign w:val="center"/>
            <w:hideMark/>
          </w:tcPr>
          <w:p w14:paraId="311BB662" w14:textId="77777777" w:rsidR="00FF553B" w:rsidRPr="00FF553B" w:rsidRDefault="00FF553B" w:rsidP="00FF553B">
            <w:pPr>
              <w:jc w:val="both"/>
              <w:rPr>
                <w:sz w:val="16"/>
                <w:szCs w:val="16"/>
                <w:lang w:val="es-AR" w:eastAsia="es-AR"/>
              </w:rPr>
            </w:pPr>
          </w:p>
        </w:tc>
        <w:tc>
          <w:tcPr>
            <w:tcW w:w="819" w:type="dxa"/>
            <w:tcBorders>
              <w:top w:val="nil"/>
              <w:left w:val="nil"/>
              <w:bottom w:val="nil"/>
              <w:right w:val="nil"/>
            </w:tcBorders>
            <w:vAlign w:val="center"/>
            <w:hideMark/>
          </w:tcPr>
          <w:p w14:paraId="0F309071" w14:textId="77777777" w:rsidR="00FF553B" w:rsidRPr="00FF553B" w:rsidRDefault="00FF553B" w:rsidP="00FF553B">
            <w:pPr>
              <w:jc w:val="both"/>
              <w:rPr>
                <w:sz w:val="16"/>
                <w:szCs w:val="16"/>
                <w:lang w:val="es-AR" w:eastAsia="es-AR"/>
              </w:rPr>
            </w:pPr>
          </w:p>
        </w:tc>
        <w:tc>
          <w:tcPr>
            <w:tcW w:w="814" w:type="dxa"/>
            <w:tcBorders>
              <w:top w:val="nil"/>
              <w:left w:val="nil"/>
              <w:bottom w:val="nil"/>
              <w:right w:val="nil"/>
            </w:tcBorders>
            <w:vAlign w:val="center"/>
            <w:hideMark/>
          </w:tcPr>
          <w:p w14:paraId="5521F36D" w14:textId="77777777" w:rsidR="00FF553B" w:rsidRPr="00FF553B" w:rsidRDefault="00FF553B" w:rsidP="00FF553B">
            <w:pPr>
              <w:jc w:val="both"/>
              <w:rPr>
                <w:sz w:val="16"/>
                <w:szCs w:val="16"/>
                <w:lang w:val="es-AR" w:eastAsia="es-AR"/>
              </w:rPr>
            </w:pPr>
          </w:p>
        </w:tc>
        <w:tc>
          <w:tcPr>
            <w:tcW w:w="740" w:type="dxa"/>
            <w:tcBorders>
              <w:top w:val="nil"/>
              <w:left w:val="nil"/>
              <w:bottom w:val="nil"/>
              <w:right w:val="nil"/>
            </w:tcBorders>
            <w:vAlign w:val="center"/>
            <w:hideMark/>
          </w:tcPr>
          <w:p w14:paraId="1284752A" w14:textId="77777777" w:rsidR="00FF553B" w:rsidRPr="00FF553B" w:rsidRDefault="00FF553B" w:rsidP="00FF553B">
            <w:pPr>
              <w:jc w:val="both"/>
              <w:rPr>
                <w:sz w:val="16"/>
                <w:szCs w:val="16"/>
                <w:lang w:val="es-AR" w:eastAsia="es-AR"/>
              </w:rPr>
            </w:pPr>
          </w:p>
        </w:tc>
        <w:tc>
          <w:tcPr>
            <w:tcW w:w="965" w:type="dxa"/>
            <w:tcBorders>
              <w:top w:val="nil"/>
              <w:left w:val="nil"/>
              <w:bottom w:val="nil"/>
              <w:right w:val="nil"/>
            </w:tcBorders>
            <w:noWrap/>
            <w:vAlign w:val="bottom"/>
            <w:hideMark/>
          </w:tcPr>
          <w:p w14:paraId="7E8F9A8E" w14:textId="77777777" w:rsidR="00FF553B" w:rsidRPr="00FF553B" w:rsidRDefault="00FF553B" w:rsidP="00FF553B">
            <w:pPr>
              <w:jc w:val="both"/>
              <w:rPr>
                <w:sz w:val="16"/>
                <w:szCs w:val="16"/>
                <w:lang w:val="es-AR" w:eastAsia="es-AR"/>
              </w:rPr>
            </w:pPr>
          </w:p>
        </w:tc>
        <w:tc>
          <w:tcPr>
            <w:tcW w:w="1134" w:type="dxa"/>
            <w:tcBorders>
              <w:top w:val="nil"/>
              <w:left w:val="nil"/>
              <w:bottom w:val="nil"/>
              <w:right w:val="nil"/>
            </w:tcBorders>
            <w:noWrap/>
            <w:vAlign w:val="bottom"/>
            <w:hideMark/>
          </w:tcPr>
          <w:p w14:paraId="662932AB" w14:textId="77777777" w:rsidR="00FF553B" w:rsidRPr="00FF553B" w:rsidRDefault="00FF553B" w:rsidP="00FF553B">
            <w:pPr>
              <w:rPr>
                <w:sz w:val="16"/>
                <w:szCs w:val="16"/>
                <w:lang w:val="es-AR" w:eastAsia="es-AR"/>
              </w:rPr>
            </w:pPr>
          </w:p>
        </w:tc>
      </w:tr>
      <w:tr w:rsidR="00C00513" w:rsidRPr="00D97578" w14:paraId="5038D6DB" w14:textId="77777777" w:rsidTr="00FF553B">
        <w:trPr>
          <w:trHeight w:val="300"/>
        </w:trPr>
        <w:tc>
          <w:tcPr>
            <w:tcW w:w="2480" w:type="dxa"/>
            <w:tcBorders>
              <w:top w:val="nil"/>
              <w:left w:val="nil"/>
              <w:bottom w:val="nil"/>
              <w:right w:val="nil"/>
            </w:tcBorders>
            <w:vAlign w:val="center"/>
            <w:hideMark/>
          </w:tcPr>
          <w:p w14:paraId="1F71C2DD" w14:textId="77777777" w:rsidR="00C00513" w:rsidRPr="00FF553B" w:rsidRDefault="00C00513" w:rsidP="00C00513">
            <w:pPr>
              <w:rPr>
                <w:b/>
                <w:color w:val="000000"/>
                <w:sz w:val="16"/>
                <w:szCs w:val="16"/>
                <w:lang w:val="es-AR" w:eastAsia="es-AR"/>
              </w:rPr>
            </w:pPr>
            <w:r>
              <w:rPr>
                <w:color w:val="000000"/>
                <w:sz w:val="16"/>
                <w:szCs w:val="16"/>
                <w:lang w:val="es-AR" w:eastAsia="es-AR"/>
              </w:rPr>
              <w:t xml:space="preserve"> </w:t>
            </w:r>
            <w:r>
              <w:rPr>
                <w:b/>
                <w:color w:val="000000"/>
                <w:sz w:val="16"/>
                <w:szCs w:val="16"/>
                <w:lang w:val="es-AR" w:eastAsia="es-AR"/>
              </w:rPr>
              <w:t xml:space="preserve"> Developed Producing</w:t>
            </w:r>
          </w:p>
        </w:tc>
        <w:tc>
          <w:tcPr>
            <w:tcW w:w="883" w:type="dxa"/>
            <w:tcBorders>
              <w:top w:val="nil"/>
              <w:left w:val="nil"/>
              <w:bottom w:val="nil"/>
              <w:right w:val="nil"/>
            </w:tcBorders>
            <w:vAlign w:val="center"/>
            <w:hideMark/>
          </w:tcPr>
          <w:p w14:paraId="6A4D6948" w14:textId="77777777" w:rsidR="00C00513" w:rsidRPr="00FF553B" w:rsidRDefault="00C00513" w:rsidP="00C00513">
            <w:pPr>
              <w:jc w:val="center"/>
              <w:rPr>
                <w:b/>
                <w:bCs/>
                <w:sz w:val="16"/>
                <w:szCs w:val="16"/>
              </w:rPr>
            </w:pPr>
            <w:r>
              <w:rPr>
                <w:b/>
                <w:bCs/>
                <w:sz w:val="16"/>
                <w:szCs w:val="16"/>
              </w:rPr>
              <w:t>12,099</w:t>
            </w:r>
          </w:p>
        </w:tc>
        <w:tc>
          <w:tcPr>
            <w:tcW w:w="905" w:type="dxa"/>
            <w:tcBorders>
              <w:top w:val="nil"/>
              <w:left w:val="nil"/>
              <w:bottom w:val="nil"/>
              <w:right w:val="nil"/>
            </w:tcBorders>
            <w:vAlign w:val="center"/>
            <w:hideMark/>
          </w:tcPr>
          <w:p w14:paraId="36CCD68F" w14:textId="77777777" w:rsidR="00C00513" w:rsidRPr="00FF553B" w:rsidRDefault="00C00513" w:rsidP="00C00513">
            <w:pPr>
              <w:jc w:val="center"/>
              <w:rPr>
                <w:b/>
                <w:bCs/>
                <w:sz w:val="16"/>
                <w:szCs w:val="16"/>
              </w:rPr>
            </w:pPr>
            <w:r>
              <w:rPr>
                <w:b/>
                <w:bCs/>
                <w:sz w:val="16"/>
                <w:szCs w:val="16"/>
              </w:rPr>
              <w:t>10,158</w:t>
            </w:r>
          </w:p>
        </w:tc>
        <w:tc>
          <w:tcPr>
            <w:tcW w:w="845" w:type="dxa"/>
            <w:tcBorders>
              <w:top w:val="nil"/>
              <w:left w:val="nil"/>
              <w:bottom w:val="nil"/>
              <w:right w:val="nil"/>
            </w:tcBorders>
            <w:vAlign w:val="center"/>
          </w:tcPr>
          <w:p w14:paraId="6B4FF8E6" w14:textId="77777777" w:rsidR="00C00513" w:rsidRPr="00FF553B" w:rsidRDefault="00C00513" w:rsidP="00C00513">
            <w:pPr>
              <w:jc w:val="center"/>
              <w:rPr>
                <w:b/>
                <w:bCs/>
                <w:sz w:val="16"/>
                <w:szCs w:val="16"/>
              </w:rPr>
            </w:pPr>
            <w:r>
              <w:rPr>
                <w:b/>
                <w:bCs/>
                <w:sz w:val="16"/>
                <w:szCs w:val="16"/>
              </w:rPr>
              <w:t>7,245</w:t>
            </w:r>
          </w:p>
        </w:tc>
        <w:tc>
          <w:tcPr>
            <w:tcW w:w="845" w:type="dxa"/>
            <w:tcBorders>
              <w:top w:val="nil"/>
              <w:left w:val="nil"/>
              <w:bottom w:val="nil"/>
              <w:right w:val="nil"/>
            </w:tcBorders>
            <w:vAlign w:val="center"/>
          </w:tcPr>
          <w:p w14:paraId="760C7E4C" w14:textId="77777777" w:rsidR="00C00513" w:rsidRPr="00FF553B" w:rsidRDefault="00C00513" w:rsidP="00C00513">
            <w:pPr>
              <w:jc w:val="center"/>
              <w:rPr>
                <w:b/>
                <w:bCs/>
                <w:sz w:val="16"/>
                <w:szCs w:val="16"/>
              </w:rPr>
            </w:pPr>
            <w:r>
              <w:rPr>
                <w:b/>
                <w:bCs/>
                <w:sz w:val="16"/>
                <w:szCs w:val="16"/>
              </w:rPr>
              <w:t>6,233</w:t>
            </w:r>
          </w:p>
        </w:tc>
        <w:tc>
          <w:tcPr>
            <w:tcW w:w="844" w:type="dxa"/>
            <w:tcBorders>
              <w:top w:val="nil"/>
              <w:left w:val="nil"/>
              <w:bottom w:val="nil"/>
              <w:right w:val="nil"/>
            </w:tcBorders>
            <w:vAlign w:val="center"/>
            <w:hideMark/>
          </w:tcPr>
          <w:p w14:paraId="5856156E" w14:textId="77777777" w:rsidR="00C00513" w:rsidRPr="008D0344" w:rsidRDefault="00C00513" w:rsidP="00C00513">
            <w:pPr>
              <w:jc w:val="center"/>
              <w:rPr>
                <w:b/>
                <w:bCs/>
                <w:sz w:val="16"/>
                <w:szCs w:val="16"/>
                <w:highlight w:val="yellow"/>
              </w:rPr>
            </w:pPr>
            <w:r>
              <w:rPr>
                <w:b/>
                <w:bCs/>
                <w:color w:val="000000"/>
                <w:sz w:val="16"/>
                <w:szCs w:val="16"/>
              </w:rPr>
              <w:t>5,528</w:t>
            </w:r>
          </w:p>
        </w:tc>
        <w:tc>
          <w:tcPr>
            <w:tcW w:w="819" w:type="dxa"/>
            <w:tcBorders>
              <w:top w:val="nil"/>
              <w:left w:val="nil"/>
              <w:bottom w:val="nil"/>
              <w:right w:val="nil"/>
            </w:tcBorders>
            <w:vAlign w:val="center"/>
            <w:hideMark/>
          </w:tcPr>
          <w:p w14:paraId="7981057C" w14:textId="77777777" w:rsidR="00C00513" w:rsidRPr="008D0344" w:rsidRDefault="00C00513" w:rsidP="00C00513">
            <w:pPr>
              <w:jc w:val="center"/>
              <w:rPr>
                <w:b/>
                <w:bCs/>
                <w:sz w:val="16"/>
                <w:szCs w:val="16"/>
                <w:highlight w:val="yellow"/>
              </w:rPr>
            </w:pPr>
            <w:r>
              <w:rPr>
                <w:b/>
                <w:bCs/>
                <w:color w:val="000000"/>
                <w:sz w:val="16"/>
                <w:szCs w:val="16"/>
              </w:rPr>
              <w:t>4,608</w:t>
            </w:r>
          </w:p>
        </w:tc>
        <w:tc>
          <w:tcPr>
            <w:tcW w:w="814" w:type="dxa"/>
            <w:tcBorders>
              <w:top w:val="nil"/>
              <w:left w:val="nil"/>
              <w:bottom w:val="nil"/>
              <w:right w:val="nil"/>
            </w:tcBorders>
            <w:vAlign w:val="center"/>
            <w:hideMark/>
          </w:tcPr>
          <w:p w14:paraId="65BC4ECB" w14:textId="77777777" w:rsidR="00C00513" w:rsidRPr="00FF553B" w:rsidRDefault="00C00513" w:rsidP="00C00513">
            <w:pPr>
              <w:jc w:val="center"/>
              <w:rPr>
                <w:b/>
                <w:bCs/>
                <w:sz w:val="16"/>
                <w:szCs w:val="16"/>
              </w:rPr>
            </w:pPr>
            <w:r>
              <w:rPr>
                <w:b/>
                <w:bCs/>
                <w:sz w:val="16"/>
                <w:szCs w:val="16"/>
              </w:rPr>
              <w:t>10</w:t>
            </w:r>
          </w:p>
        </w:tc>
        <w:tc>
          <w:tcPr>
            <w:tcW w:w="740" w:type="dxa"/>
            <w:tcBorders>
              <w:top w:val="nil"/>
              <w:left w:val="nil"/>
              <w:bottom w:val="nil"/>
              <w:right w:val="nil"/>
            </w:tcBorders>
            <w:vAlign w:val="center"/>
            <w:hideMark/>
          </w:tcPr>
          <w:p w14:paraId="0427BF8E" w14:textId="77777777" w:rsidR="00C00513" w:rsidRPr="00FF553B" w:rsidRDefault="00C00513" w:rsidP="00C00513">
            <w:pPr>
              <w:jc w:val="center"/>
              <w:rPr>
                <w:b/>
                <w:bCs/>
                <w:sz w:val="16"/>
                <w:szCs w:val="16"/>
              </w:rPr>
            </w:pPr>
            <w:r>
              <w:rPr>
                <w:b/>
                <w:bCs/>
                <w:sz w:val="16"/>
                <w:szCs w:val="16"/>
              </w:rPr>
              <w:t>8</w:t>
            </w:r>
          </w:p>
        </w:tc>
        <w:tc>
          <w:tcPr>
            <w:tcW w:w="965" w:type="dxa"/>
            <w:tcBorders>
              <w:top w:val="nil"/>
              <w:left w:val="nil"/>
              <w:bottom w:val="nil"/>
              <w:right w:val="nil"/>
            </w:tcBorders>
            <w:noWrap/>
            <w:vAlign w:val="center"/>
            <w:hideMark/>
          </w:tcPr>
          <w:p w14:paraId="03EC5D17" w14:textId="77777777" w:rsidR="00C00513" w:rsidRPr="00FF553B" w:rsidRDefault="00C00513" w:rsidP="00C00513">
            <w:pPr>
              <w:jc w:val="center"/>
              <w:rPr>
                <w:b/>
                <w:bCs/>
                <w:sz w:val="16"/>
                <w:szCs w:val="16"/>
              </w:rPr>
            </w:pPr>
            <w:r>
              <w:rPr>
                <w:b/>
                <w:bCs/>
                <w:color w:val="000000"/>
                <w:sz w:val="16"/>
                <w:szCs w:val="16"/>
              </w:rPr>
              <w:t>20,274</w:t>
            </w:r>
          </w:p>
        </w:tc>
        <w:tc>
          <w:tcPr>
            <w:tcW w:w="1134" w:type="dxa"/>
            <w:tcBorders>
              <w:top w:val="nil"/>
              <w:left w:val="nil"/>
              <w:bottom w:val="nil"/>
              <w:right w:val="nil"/>
            </w:tcBorders>
            <w:noWrap/>
            <w:vAlign w:val="center"/>
            <w:hideMark/>
          </w:tcPr>
          <w:p w14:paraId="1DBBFF2B" w14:textId="77777777" w:rsidR="00C00513" w:rsidRPr="00FF553B" w:rsidRDefault="00C00513" w:rsidP="00C00513">
            <w:pPr>
              <w:jc w:val="center"/>
              <w:rPr>
                <w:b/>
                <w:bCs/>
                <w:sz w:val="16"/>
                <w:szCs w:val="16"/>
              </w:rPr>
            </w:pPr>
            <w:r>
              <w:rPr>
                <w:b/>
                <w:bCs/>
                <w:color w:val="000000"/>
                <w:sz w:val="16"/>
                <w:szCs w:val="16"/>
              </w:rPr>
              <w:t>17,167</w:t>
            </w:r>
          </w:p>
        </w:tc>
      </w:tr>
      <w:tr w:rsidR="00C00513" w:rsidRPr="00D97578" w14:paraId="7B53C1E3" w14:textId="77777777" w:rsidTr="00FF553B">
        <w:trPr>
          <w:trHeight w:val="300"/>
        </w:trPr>
        <w:tc>
          <w:tcPr>
            <w:tcW w:w="2480" w:type="dxa"/>
            <w:tcBorders>
              <w:top w:val="nil"/>
              <w:left w:val="nil"/>
              <w:bottom w:val="nil"/>
              <w:right w:val="nil"/>
            </w:tcBorders>
            <w:vAlign w:val="center"/>
            <w:hideMark/>
          </w:tcPr>
          <w:p w14:paraId="2F977F47" w14:textId="77777777" w:rsidR="00C00513" w:rsidRPr="00FF553B" w:rsidRDefault="00C00513" w:rsidP="00C00513">
            <w:pPr>
              <w:rPr>
                <w:color w:val="000000"/>
                <w:sz w:val="16"/>
                <w:szCs w:val="16"/>
                <w:lang w:val="es-AR" w:eastAsia="es-AR"/>
              </w:rPr>
            </w:pPr>
            <w:r>
              <w:rPr>
                <w:color w:val="000000"/>
                <w:sz w:val="16"/>
                <w:szCs w:val="16"/>
                <w:lang w:val="es-AR" w:eastAsia="es-AR"/>
              </w:rPr>
              <w:t xml:space="preserve">  Developed Non-Producing</w:t>
            </w:r>
          </w:p>
        </w:tc>
        <w:tc>
          <w:tcPr>
            <w:tcW w:w="883" w:type="dxa"/>
            <w:tcBorders>
              <w:top w:val="nil"/>
              <w:left w:val="nil"/>
              <w:bottom w:val="nil"/>
              <w:right w:val="nil"/>
            </w:tcBorders>
            <w:vAlign w:val="center"/>
            <w:hideMark/>
          </w:tcPr>
          <w:p w14:paraId="61FA99F6" w14:textId="77777777" w:rsidR="00C00513" w:rsidRPr="00FF553B" w:rsidRDefault="00C00513" w:rsidP="00C00513">
            <w:pPr>
              <w:jc w:val="center"/>
              <w:rPr>
                <w:sz w:val="16"/>
                <w:szCs w:val="16"/>
              </w:rPr>
            </w:pPr>
            <w:r>
              <w:rPr>
                <w:sz w:val="16"/>
                <w:szCs w:val="16"/>
              </w:rPr>
              <w:t>7,403</w:t>
            </w:r>
          </w:p>
        </w:tc>
        <w:tc>
          <w:tcPr>
            <w:tcW w:w="905" w:type="dxa"/>
            <w:tcBorders>
              <w:top w:val="nil"/>
              <w:left w:val="nil"/>
              <w:bottom w:val="nil"/>
              <w:right w:val="nil"/>
            </w:tcBorders>
            <w:vAlign w:val="center"/>
            <w:hideMark/>
          </w:tcPr>
          <w:p w14:paraId="65F16408" w14:textId="77777777" w:rsidR="00C00513" w:rsidRPr="00FF553B" w:rsidRDefault="00C00513" w:rsidP="00C00513">
            <w:pPr>
              <w:jc w:val="center"/>
              <w:rPr>
                <w:sz w:val="16"/>
                <w:szCs w:val="16"/>
              </w:rPr>
            </w:pPr>
            <w:r>
              <w:rPr>
                <w:sz w:val="16"/>
                <w:szCs w:val="16"/>
              </w:rPr>
              <w:t>6,263</w:t>
            </w:r>
          </w:p>
        </w:tc>
        <w:tc>
          <w:tcPr>
            <w:tcW w:w="845" w:type="dxa"/>
            <w:tcBorders>
              <w:top w:val="nil"/>
              <w:left w:val="nil"/>
              <w:bottom w:val="nil"/>
              <w:right w:val="nil"/>
            </w:tcBorders>
            <w:vAlign w:val="center"/>
          </w:tcPr>
          <w:p w14:paraId="789775CC" w14:textId="77777777" w:rsidR="00C00513" w:rsidRPr="00FF553B" w:rsidRDefault="00C00513" w:rsidP="00C00513">
            <w:pPr>
              <w:jc w:val="center"/>
              <w:rPr>
                <w:sz w:val="16"/>
                <w:szCs w:val="16"/>
              </w:rPr>
            </w:pPr>
            <w:r>
              <w:rPr>
                <w:sz w:val="16"/>
                <w:szCs w:val="16"/>
              </w:rPr>
              <w:t>1,813</w:t>
            </w:r>
          </w:p>
        </w:tc>
        <w:tc>
          <w:tcPr>
            <w:tcW w:w="845" w:type="dxa"/>
            <w:tcBorders>
              <w:top w:val="nil"/>
              <w:left w:val="nil"/>
              <w:bottom w:val="nil"/>
              <w:right w:val="nil"/>
            </w:tcBorders>
            <w:vAlign w:val="center"/>
          </w:tcPr>
          <w:p w14:paraId="658F0CB7" w14:textId="77777777" w:rsidR="00C00513" w:rsidRPr="00FF553B" w:rsidRDefault="00C00513" w:rsidP="00C00513">
            <w:pPr>
              <w:jc w:val="center"/>
              <w:rPr>
                <w:sz w:val="16"/>
                <w:szCs w:val="16"/>
              </w:rPr>
            </w:pPr>
            <w:r>
              <w:rPr>
                <w:sz w:val="16"/>
                <w:szCs w:val="16"/>
              </w:rPr>
              <w:t>1,560</w:t>
            </w:r>
          </w:p>
        </w:tc>
        <w:tc>
          <w:tcPr>
            <w:tcW w:w="844" w:type="dxa"/>
            <w:tcBorders>
              <w:top w:val="nil"/>
              <w:left w:val="nil"/>
              <w:bottom w:val="nil"/>
              <w:right w:val="nil"/>
            </w:tcBorders>
            <w:vAlign w:val="center"/>
            <w:hideMark/>
          </w:tcPr>
          <w:p w14:paraId="3BE7C131" w14:textId="77777777" w:rsidR="00C00513" w:rsidRPr="008D0344" w:rsidRDefault="00C00513" w:rsidP="00C00513">
            <w:pPr>
              <w:jc w:val="center"/>
              <w:rPr>
                <w:sz w:val="16"/>
                <w:szCs w:val="16"/>
                <w:highlight w:val="yellow"/>
              </w:rPr>
            </w:pPr>
            <w:r>
              <w:rPr>
                <w:color w:val="000000"/>
                <w:sz w:val="16"/>
                <w:szCs w:val="16"/>
              </w:rPr>
              <w:t>761</w:t>
            </w:r>
          </w:p>
        </w:tc>
        <w:tc>
          <w:tcPr>
            <w:tcW w:w="819" w:type="dxa"/>
            <w:tcBorders>
              <w:top w:val="nil"/>
              <w:left w:val="nil"/>
              <w:bottom w:val="nil"/>
              <w:right w:val="nil"/>
            </w:tcBorders>
            <w:vAlign w:val="center"/>
            <w:hideMark/>
          </w:tcPr>
          <w:p w14:paraId="44EB402E" w14:textId="77777777" w:rsidR="00C00513" w:rsidRPr="008D0344" w:rsidRDefault="00C00513" w:rsidP="00C00513">
            <w:pPr>
              <w:jc w:val="center"/>
              <w:rPr>
                <w:sz w:val="16"/>
                <w:szCs w:val="16"/>
                <w:highlight w:val="yellow"/>
              </w:rPr>
            </w:pPr>
            <w:r>
              <w:rPr>
                <w:color w:val="000000"/>
                <w:sz w:val="16"/>
                <w:szCs w:val="16"/>
              </w:rPr>
              <w:t>629</w:t>
            </w:r>
          </w:p>
        </w:tc>
        <w:tc>
          <w:tcPr>
            <w:tcW w:w="814" w:type="dxa"/>
            <w:tcBorders>
              <w:top w:val="nil"/>
              <w:left w:val="nil"/>
              <w:bottom w:val="nil"/>
              <w:right w:val="nil"/>
            </w:tcBorders>
            <w:vAlign w:val="center"/>
            <w:hideMark/>
          </w:tcPr>
          <w:p w14:paraId="1009F437" w14:textId="77777777" w:rsidR="00C00513" w:rsidRPr="00FF553B" w:rsidRDefault="00C00513" w:rsidP="00C00513">
            <w:pPr>
              <w:jc w:val="center"/>
              <w:rPr>
                <w:sz w:val="16"/>
                <w:szCs w:val="16"/>
              </w:rPr>
            </w:pPr>
            <w:r>
              <w:rPr>
                <w:sz w:val="16"/>
                <w:szCs w:val="16"/>
              </w:rPr>
              <w:t>-</w:t>
            </w:r>
          </w:p>
        </w:tc>
        <w:tc>
          <w:tcPr>
            <w:tcW w:w="740" w:type="dxa"/>
            <w:tcBorders>
              <w:top w:val="nil"/>
              <w:left w:val="nil"/>
              <w:bottom w:val="nil"/>
              <w:right w:val="nil"/>
            </w:tcBorders>
            <w:vAlign w:val="center"/>
            <w:hideMark/>
          </w:tcPr>
          <w:p w14:paraId="68EA8ABD" w14:textId="77777777" w:rsidR="00C00513" w:rsidRPr="00FF553B" w:rsidRDefault="00C00513" w:rsidP="00C00513">
            <w:pPr>
              <w:jc w:val="center"/>
              <w:rPr>
                <w:sz w:val="16"/>
                <w:szCs w:val="16"/>
              </w:rPr>
            </w:pPr>
            <w:r>
              <w:rPr>
                <w:sz w:val="16"/>
                <w:szCs w:val="16"/>
              </w:rPr>
              <w:t>-</w:t>
            </w:r>
          </w:p>
        </w:tc>
        <w:tc>
          <w:tcPr>
            <w:tcW w:w="965" w:type="dxa"/>
            <w:tcBorders>
              <w:top w:val="nil"/>
              <w:left w:val="nil"/>
              <w:bottom w:val="nil"/>
              <w:right w:val="nil"/>
            </w:tcBorders>
            <w:noWrap/>
            <w:vAlign w:val="center"/>
            <w:hideMark/>
          </w:tcPr>
          <w:p w14:paraId="08D96DAC" w14:textId="77777777" w:rsidR="00C00513" w:rsidRPr="00FF553B" w:rsidRDefault="00C00513" w:rsidP="00C00513">
            <w:pPr>
              <w:jc w:val="center"/>
              <w:rPr>
                <w:sz w:val="16"/>
                <w:szCs w:val="16"/>
              </w:rPr>
            </w:pPr>
            <w:r>
              <w:rPr>
                <w:sz w:val="16"/>
                <w:szCs w:val="16"/>
              </w:rPr>
              <w:t>9,343</w:t>
            </w:r>
          </w:p>
        </w:tc>
        <w:tc>
          <w:tcPr>
            <w:tcW w:w="1134" w:type="dxa"/>
            <w:tcBorders>
              <w:top w:val="nil"/>
              <w:left w:val="nil"/>
              <w:bottom w:val="nil"/>
              <w:right w:val="nil"/>
            </w:tcBorders>
            <w:noWrap/>
            <w:vAlign w:val="center"/>
            <w:hideMark/>
          </w:tcPr>
          <w:p w14:paraId="18512060" w14:textId="77777777" w:rsidR="00C00513" w:rsidRPr="00FF553B" w:rsidRDefault="00C00513" w:rsidP="00C00513">
            <w:pPr>
              <w:jc w:val="center"/>
              <w:rPr>
                <w:sz w:val="16"/>
                <w:szCs w:val="16"/>
              </w:rPr>
            </w:pPr>
            <w:r>
              <w:rPr>
                <w:sz w:val="16"/>
                <w:szCs w:val="16"/>
              </w:rPr>
              <w:t>7,928</w:t>
            </w:r>
          </w:p>
        </w:tc>
      </w:tr>
      <w:tr w:rsidR="00C00513" w:rsidRPr="00D97578" w14:paraId="4EDFE00A" w14:textId="77777777" w:rsidTr="00FF553B">
        <w:trPr>
          <w:trHeight w:val="300"/>
        </w:trPr>
        <w:tc>
          <w:tcPr>
            <w:tcW w:w="2480" w:type="dxa"/>
            <w:tcBorders>
              <w:top w:val="nil"/>
              <w:left w:val="nil"/>
              <w:bottom w:val="nil"/>
              <w:right w:val="nil"/>
            </w:tcBorders>
            <w:vAlign w:val="center"/>
            <w:hideMark/>
          </w:tcPr>
          <w:p w14:paraId="57421873" w14:textId="77777777" w:rsidR="00C00513" w:rsidRPr="00FF553B" w:rsidRDefault="00C00513" w:rsidP="00C00513">
            <w:pPr>
              <w:rPr>
                <w:color w:val="000000"/>
                <w:sz w:val="16"/>
                <w:szCs w:val="16"/>
                <w:lang w:val="es-AR" w:eastAsia="es-AR"/>
              </w:rPr>
            </w:pPr>
            <w:r>
              <w:rPr>
                <w:color w:val="000000"/>
                <w:sz w:val="16"/>
                <w:szCs w:val="16"/>
                <w:lang w:val="es-AR" w:eastAsia="es-AR"/>
              </w:rPr>
              <w:t xml:space="preserve">  Undeveloped</w:t>
            </w:r>
          </w:p>
        </w:tc>
        <w:tc>
          <w:tcPr>
            <w:tcW w:w="883" w:type="dxa"/>
            <w:tcBorders>
              <w:top w:val="nil"/>
              <w:left w:val="nil"/>
              <w:bottom w:val="nil"/>
              <w:right w:val="nil"/>
            </w:tcBorders>
            <w:vAlign w:val="center"/>
            <w:hideMark/>
          </w:tcPr>
          <w:p w14:paraId="1DB0DEB4" w14:textId="77777777" w:rsidR="00C00513" w:rsidRPr="00FF553B" w:rsidRDefault="00C00513" w:rsidP="00C00513">
            <w:pPr>
              <w:jc w:val="center"/>
              <w:rPr>
                <w:sz w:val="16"/>
                <w:szCs w:val="16"/>
              </w:rPr>
            </w:pPr>
            <w:r>
              <w:rPr>
                <w:sz w:val="16"/>
                <w:szCs w:val="16"/>
              </w:rPr>
              <w:t>6,749</w:t>
            </w:r>
          </w:p>
        </w:tc>
        <w:tc>
          <w:tcPr>
            <w:tcW w:w="905" w:type="dxa"/>
            <w:tcBorders>
              <w:top w:val="nil"/>
              <w:left w:val="nil"/>
              <w:bottom w:val="nil"/>
              <w:right w:val="nil"/>
            </w:tcBorders>
            <w:vAlign w:val="center"/>
            <w:hideMark/>
          </w:tcPr>
          <w:p w14:paraId="255C5A96" w14:textId="77777777" w:rsidR="00C00513" w:rsidRPr="00FF553B" w:rsidRDefault="00C00513" w:rsidP="00C00513">
            <w:pPr>
              <w:jc w:val="center"/>
              <w:rPr>
                <w:sz w:val="16"/>
                <w:szCs w:val="16"/>
              </w:rPr>
            </w:pPr>
            <w:r>
              <w:rPr>
                <w:sz w:val="16"/>
                <w:szCs w:val="16"/>
              </w:rPr>
              <w:t>5,738</w:t>
            </w:r>
          </w:p>
        </w:tc>
        <w:tc>
          <w:tcPr>
            <w:tcW w:w="845" w:type="dxa"/>
            <w:tcBorders>
              <w:top w:val="nil"/>
              <w:left w:val="nil"/>
              <w:bottom w:val="nil"/>
              <w:right w:val="nil"/>
            </w:tcBorders>
            <w:vAlign w:val="center"/>
          </w:tcPr>
          <w:p w14:paraId="630BF2FF" w14:textId="77777777" w:rsidR="00C00513" w:rsidRPr="00FF553B" w:rsidRDefault="00C00513" w:rsidP="00C00513">
            <w:pPr>
              <w:jc w:val="center"/>
              <w:rPr>
                <w:sz w:val="16"/>
                <w:szCs w:val="16"/>
              </w:rPr>
            </w:pPr>
            <w:r>
              <w:rPr>
                <w:sz w:val="16"/>
                <w:szCs w:val="16"/>
              </w:rPr>
              <w:t>1,074</w:t>
            </w:r>
          </w:p>
        </w:tc>
        <w:tc>
          <w:tcPr>
            <w:tcW w:w="845" w:type="dxa"/>
            <w:tcBorders>
              <w:top w:val="nil"/>
              <w:left w:val="nil"/>
              <w:bottom w:val="nil"/>
              <w:right w:val="nil"/>
            </w:tcBorders>
            <w:vAlign w:val="center"/>
          </w:tcPr>
          <w:p w14:paraId="5C761DEA" w14:textId="77777777" w:rsidR="00C00513" w:rsidRPr="00FF553B" w:rsidRDefault="00C00513" w:rsidP="00C00513">
            <w:pPr>
              <w:jc w:val="center"/>
              <w:rPr>
                <w:sz w:val="16"/>
                <w:szCs w:val="16"/>
              </w:rPr>
            </w:pPr>
            <w:r>
              <w:rPr>
                <w:sz w:val="16"/>
                <w:szCs w:val="16"/>
              </w:rPr>
              <w:t>924</w:t>
            </w:r>
          </w:p>
        </w:tc>
        <w:tc>
          <w:tcPr>
            <w:tcW w:w="844" w:type="dxa"/>
            <w:tcBorders>
              <w:top w:val="nil"/>
              <w:left w:val="nil"/>
              <w:bottom w:val="nil"/>
              <w:right w:val="nil"/>
            </w:tcBorders>
            <w:vAlign w:val="center"/>
            <w:hideMark/>
          </w:tcPr>
          <w:p w14:paraId="3A668ED2" w14:textId="77777777" w:rsidR="00C00513" w:rsidRPr="008D0344" w:rsidRDefault="00C00513" w:rsidP="00C00513">
            <w:pPr>
              <w:jc w:val="center"/>
              <w:rPr>
                <w:sz w:val="16"/>
                <w:szCs w:val="16"/>
                <w:highlight w:val="yellow"/>
              </w:rPr>
            </w:pPr>
            <w:r>
              <w:rPr>
                <w:color w:val="000000"/>
                <w:sz w:val="16"/>
                <w:szCs w:val="16"/>
              </w:rPr>
              <w:t>666</w:t>
            </w:r>
          </w:p>
        </w:tc>
        <w:tc>
          <w:tcPr>
            <w:tcW w:w="819" w:type="dxa"/>
            <w:tcBorders>
              <w:top w:val="nil"/>
              <w:left w:val="nil"/>
              <w:bottom w:val="nil"/>
              <w:right w:val="nil"/>
            </w:tcBorders>
            <w:vAlign w:val="center"/>
            <w:hideMark/>
          </w:tcPr>
          <w:p w14:paraId="0B81EEF3" w14:textId="77777777" w:rsidR="00C00513" w:rsidRPr="008D0344" w:rsidRDefault="00C00513" w:rsidP="00C00513">
            <w:pPr>
              <w:jc w:val="center"/>
              <w:rPr>
                <w:sz w:val="16"/>
                <w:szCs w:val="16"/>
                <w:highlight w:val="yellow"/>
              </w:rPr>
            </w:pPr>
            <w:r>
              <w:rPr>
                <w:color w:val="000000"/>
                <w:sz w:val="16"/>
                <w:szCs w:val="16"/>
              </w:rPr>
              <w:t>551</w:t>
            </w:r>
          </w:p>
        </w:tc>
        <w:tc>
          <w:tcPr>
            <w:tcW w:w="814" w:type="dxa"/>
            <w:tcBorders>
              <w:top w:val="nil"/>
              <w:left w:val="nil"/>
              <w:bottom w:val="nil"/>
              <w:right w:val="nil"/>
            </w:tcBorders>
            <w:vAlign w:val="center"/>
            <w:hideMark/>
          </w:tcPr>
          <w:p w14:paraId="12B89FE5" w14:textId="77777777" w:rsidR="00C00513" w:rsidRPr="00FF553B" w:rsidRDefault="00C00513" w:rsidP="00C00513">
            <w:pPr>
              <w:jc w:val="center"/>
              <w:rPr>
                <w:sz w:val="16"/>
                <w:szCs w:val="16"/>
              </w:rPr>
            </w:pPr>
            <w:r>
              <w:rPr>
                <w:sz w:val="16"/>
                <w:szCs w:val="16"/>
              </w:rPr>
              <w:t>-</w:t>
            </w:r>
          </w:p>
        </w:tc>
        <w:tc>
          <w:tcPr>
            <w:tcW w:w="740" w:type="dxa"/>
            <w:tcBorders>
              <w:top w:val="nil"/>
              <w:left w:val="nil"/>
              <w:bottom w:val="nil"/>
              <w:right w:val="nil"/>
            </w:tcBorders>
            <w:vAlign w:val="center"/>
            <w:hideMark/>
          </w:tcPr>
          <w:p w14:paraId="4FDACFD5" w14:textId="77777777" w:rsidR="00C00513" w:rsidRPr="00FF553B" w:rsidRDefault="00C00513" w:rsidP="00C00513">
            <w:pPr>
              <w:jc w:val="center"/>
              <w:rPr>
                <w:sz w:val="16"/>
                <w:szCs w:val="16"/>
              </w:rPr>
            </w:pPr>
            <w:r>
              <w:rPr>
                <w:sz w:val="16"/>
                <w:szCs w:val="16"/>
              </w:rPr>
              <w:t>-</w:t>
            </w:r>
          </w:p>
        </w:tc>
        <w:tc>
          <w:tcPr>
            <w:tcW w:w="965" w:type="dxa"/>
            <w:tcBorders>
              <w:top w:val="nil"/>
              <w:left w:val="nil"/>
              <w:bottom w:val="nil"/>
              <w:right w:val="nil"/>
            </w:tcBorders>
            <w:noWrap/>
            <w:vAlign w:val="center"/>
            <w:hideMark/>
          </w:tcPr>
          <w:p w14:paraId="18640EB3" w14:textId="77777777" w:rsidR="00C00513" w:rsidRPr="00FF553B" w:rsidRDefault="00C00513" w:rsidP="00C00513">
            <w:pPr>
              <w:jc w:val="center"/>
              <w:rPr>
                <w:sz w:val="16"/>
                <w:szCs w:val="16"/>
              </w:rPr>
            </w:pPr>
            <w:r>
              <w:rPr>
                <w:sz w:val="16"/>
                <w:szCs w:val="16"/>
              </w:rPr>
              <w:t>7,934</w:t>
            </w:r>
          </w:p>
        </w:tc>
        <w:tc>
          <w:tcPr>
            <w:tcW w:w="1134" w:type="dxa"/>
            <w:tcBorders>
              <w:top w:val="nil"/>
              <w:left w:val="nil"/>
              <w:bottom w:val="nil"/>
              <w:right w:val="nil"/>
            </w:tcBorders>
            <w:noWrap/>
            <w:vAlign w:val="center"/>
            <w:hideMark/>
          </w:tcPr>
          <w:p w14:paraId="5194A738" w14:textId="77777777" w:rsidR="00C00513" w:rsidRPr="00FF553B" w:rsidRDefault="00C00513" w:rsidP="00C00513">
            <w:pPr>
              <w:jc w:val="center"/>
              <w:rPr>
                <w:sz w:val="16"/>
                <w:szCs w:val="16"/>
              </w:rPr>
            </w:pPr>
            <w:r>
              <w:rPr>
                <w:sz w:val="16"/>
                <w:szCs w:val="16"/>
              </w:rPr>
              <w:t>6,754</w:t>
            </w:r>
          </w:p>
        </w:tc>
      </w:tr>
      <w:tr w:rsidR="00C00513" w:rsidRPr="00D97578" w14:paraId="51FD1028" w14:textId="77777777" w:rsidTr="00FF553B">
        <w:trPr>
          <w:trHeight w:val="300"/>
        </w:trPr>
        <w:tc>
          <w:tcPr>
            <w:tcW w:w="2480" w:type="dxa"/>
            <w:tcBorders>
              <w:top w:val="nil"/>
              <w:left w:val="nil"/>
              <w:bottom w:val="nil"/>
              <w:right w:val="nil"/>
            </w:tcBorders>
            <w:vAlign w:val="center"/>
            <w:hideMark/>
          </w:tcPr>
          <w:p w14:paraId="7DA2D185" w14:textId="77777777" w:rsidR="00C00513" w:rsidRPr="00FF553B" w:rsidRDefault="00C00513" w:rsidP="00C00513">
            <w:pPr>
              <w:rPr>
                <w:b/>
                <w:color w:val="000000"/>
                <w:sz w:val="16"/>
                <w:szCs w:val="16"/>
                <w:lang w:val="es-AR" w:eastAsia="es-AR"/>
              </w:rPr>
            </w:pPr>
            <w:proofErr w:type="gramStart"/>
            <w:r>
              <w:rPr>
                <w:b/>
                <w:color w:val="000000"/>
                <w:sz w:val="16"/>
                <w:szCs w:val="16"/>
                <w:lang w:val="es-AR" w:eastAsia="es-AR"/>
              </w:rPr>
              <w:t>Total</w:t>
            </w:r>
            <w:proofErr w:type="gramEnd"/>
            <w:r>
              <w:rPr>
                <w:b/>
                <w:color w:val="000000"/>
                <w:sz w:val="16"/>
                <w:szCs w:val="16"/>
                <w:lang w:val="es-AR" w:eastAsia="es-AR"/>
              </w:rPr>
              <w:t xml:space="preserve"> Proved</w:t>
            </w:r>
          </w:p>
        </w:tc>
        <w:tc>
          <w:tcPr>
            <w:tcW w:w="883" w:type="dxa"/>
            <w:tcBorders>
              <w:top w:val="single" w:sz="4" w:space="0" w:color="auto"/>
              <w:left w:val="nil"/>
              <w:bottom w:val="nil"/>
              <w:right w:val="nil"/>
            </w:tcBorders>
            <w:vAlign w:val="center"/>
            <w:hideMark/>
          </w:tcPr>
          <w:p w14:paraId="6A4CDF1D" w14:textId="77777777" w:rsidR="00C00513" w:rsidRPr="00FF553B" w:rsidRDefault="00C00513" w:rsidP="00C00513">
            <w:pPr>
              <w:jc w:val="center"/>
              <w:rPr>
                <w:b/>
                <w:bCs/>
                <w:sz w:val="16"/>
                <w:szCs w:val="16"/>
              </w:rPr>
            </w:pPr>
            <w:r>
              <w:rPr>
                <w:b/>
                <w:bCs/>
                <w:sz w:val="16"/>
                <w:szCs w:val="16"/>
              </w:rPr>
              <w:t>26,251</w:t>
            </w:r>
          </w:p>
        </w:tc>
        <w:tc>
          <w:tcPr>
            <w:tcW w:w="905" w:type="dxa"/>
            <w:tcBorders>
              <w:top w:val="single" w:sz="4" w:space="0" w:color="auto"/>
              <w:left w:val="nil"/>
              <w:bottom w:val="nil"/>
              <w:right w:val="nil"/>
            </w:tcBorders>
            <w:vAlign w:val="center"/>
            <w:hideMark/>
          </w:tcPr>
          <w:p w14:paraId="221848DC" w14:textId="77777777" w:rsidR="00C00513" w:rsidRPr="00FF553B" w:rsidRDefault="00C00513" w:rsidP="00C00513">
            <w:pPr>
              <w:jc w:val="center"/>
              <w:rPr>
                <w:b/>
                <w:bCs/>
                <w:sz w:val="16"/>
                <w:szCs w:val="16"/>
              </w:rPr>
            </w:pPr>
            <w:r>
              <w:rPr>
                <w:b/>
                <w:bCs/>
                <w:sz w:val="16"/>
                <w:szCs w:val="16"/>
              </w:rPr>
              <w:t>22,159</w:t>
            </w:r>
          </w:p>
        </w:tc>
        <w:tc>
          <w:tcPr>
            <w:tcW w:w="845" w:type="dxa"/>
            <w:tcBorders>
              <w:top w:val="single" w:sz="4" w:space="0" w:color="auto"/>
              <w:left w:val="nil"/>
              <w:bottom w:val="nil"/>
              <w:right w:val="nil"/>
            </w:tcBorders>
            <w:vAlign w:val="center"/>
          </w:tcPr>
          <w:p w14:paraId="18AFD3ED" w14:textId="77777777" w:rsidR="00C00513" w:rsidRPr="00FF553B" w:rsidRDefault="00C00513" w:rsidP="00C00513">
            <w:pPr>
              <w:jc w:val="center"/>
              <w:rPr>
                <w:b/>
                <w:bCs/>
                <w:sz w:val="16"/>
                <w:szCs w:val="16"/>
              </w:rPr>
            </w:pPr>
            <w:r>
              <w:rPr>
                <w:b/>
                <w:bCs/>
                <w:sz w:val="16"/>
                <w:szCs w:val="16"/>
              </w:rPr>
              <w:t>10,131</w:t>
            </w:r>
          </w:p>
        </w:tc>
        <w:tc>
          <w:tcPr>
            <w:tcW w:w="845" w:type="dxa"/>
            <w:tcBorders>
              <w:top w:val="single" w:sz="4" w:space="0" w:color="auto"/>
              <w:left w:val="nil"/>
              <w:bottom w:val="nil"/>
              <w:right w:val="nil"/>
            </w:tcBorders>
            <w:vAlign w:val="center"/>
          </w:tcPr>
          <w:p w14:paraId="2C61E0D3" w14:textId="77777777" w:rsidR="00C00513" w:rsidRPr="00FF553B" w:rsidRDefault="00C00513" w:rsidP="00C00513">
            <w:pPr>
              <w:jc w:val="center"/>
              <w:rPr>
                <w:b/>
                <w:bCs/>
                <w:sz w:val="16"/>
                <w:szCs w:val="16"/>
              </w:rPr>
            </w:pPr>
            <w:r>
              <w:rPr>
                <w:b/>
                <w:bCs/>
                <w:sz w:val="16"/>
                <w:szCs w:val="16"/>
              </w:rPr>
              <w:t>8,717</w:t>
            </w:r>
          </w:p>
        </w:tc>
        <w:tc>
          <w:tcPr>
            <w:tcW w:w="844" w:type="dxa"/>
            <w:tcBorders>
              <w:top w:val="single" w:sz="4" w:space="0" w:color="auto"/>
              <w:left w:val="nil"/>
              <w:bottom w:val="nil"/>
              <w:right w:val="nil"/>
            </w:tcBorders>
            <w:vAlign w:val="center"/>
            <w:hideMark/>
          </w:tcPr>
          <w:p w14:paraId="41FABB32" w14:textId="77777777" w:rsidR="00C00513" w:rsidRPr="008D0344" w:rsidRDefault="00C00513" w:rsidP="00C00513">
            <w:pPr>
              <w:jc w:val="center"/>
              <w:rPr>
                <w:b/>
                <w:bCs/>
                <w:sz w:val="16"/>
                <w:szCs w:val="16"/>
                <w:highlight w:val="yellow"/>
              </w:rPr>
            </w:pPr>
            <w:r>
              <w:rPr>
                <w:b/>
                <w:bCs/>
                <w:color w:val="000000"/>
                <w:sz w:val="16"/>
                <w:szCs w:val="16"/>
              </w:rPr>
              <w:t>6,955</w:t>
            </w:r>
          </w:p>
        </w:tc>
        <w:tc>
          <w:tcPr>
            <w:tcW w:w="819" w:type="dxa"/>
            <w:tcBorders>
              <w:top w:val="single" w:sz="4" w:space="0" w:color="auto"/>
              <w:left w:val="nil"/>
              <w:bottom w:val="nil"/>
              <w:right w:val="nil"/>
            </w:tcBorders>
            <w:vAlign w:val="center"/>
            <w:hideMark/>
          </w:tcPr>
          <w:p w14:paraId="4AEC3E03" w14:textId="77777777" w:rsidR="00C00513" w:rsidRPr="008D0344" w:rsidRDefault="00C00513" w:rsidP="00C00513">
            <w:pPr>
              <w:jc w:val="center"/>
              <w:rPr>
                <w:b/>
                <w:bCs/>
                <w:sz w:val="16"/>
                <w:szCs w:val="16"/>
                <w:highlight w:val="yellow"/>
              </w:rPr>
            </w:pPr>
            <w:r>
              <w:rPr>
                <w:b/>
                <w:bCs/>
                <w:color w:val="000000"/>
                <w:sz w:val="16"/>
                <w:szCs w:val="16"/>
              </w:rPr>
              <w:t>5,788</w:t>
            </w:r>
          </w:p>
        </w:tc>
        <w:tc>
          <w:tcPr>
            <w:tcW w:w="814" w:type="dxa"/>
            <w:tcBorders>
              <w:top w:val="single" w:sz="4" w:space="0" w:color="auto"/>
              <w:left w:val="nil"/>
              <w:bottom w:val="nil"/>
              <w:right w:val="nil"/>
            </w:tcBorders>
            <w:vAlign w:val="center"/>
            <w:hideMark/>
          </w:tcPr>
          <w:p w14:paraId="6413D28D" w14:textId="77777777" w:rsidR="00C00513" w:rsidRPr="00FF553B" w:rsidRDefault="00C00513" w:rsidP="00C00513">
            <w:pPr>
              <w:jc w:val="center"/>
              <w:rPr>
                <w:b/>
                <w:bCs/>
                <w:sz w:val="16"/>
                <w:szCs w:val="16"/>
              </w:rPr>
            </w:pPr>
            <w:r>
              <w:rPr>
                <w:b/>
                <w:bCs/>
                <w:sz w:val="16"/>
                <w:szCs w:val="16"/>
              </w:rPr>
              <w:t>10</w:t>
            </w:r>
          </w:p>
        </w:tc>
        <w:tc>
          <w:tcPr>
            <w:tcW w:w="740" w:type="dxa"/>
            <w:tcBorders>
              <w:top w:val="single" w:sz="4" w:space="0" w:color="auto"/>
              <w:left w:val="nil"/>
              <w:bottom w:val="nil"/>
              <w:right w:val="nil"/>
            </w:tcBorders>
            <w:vAlign w:val="center"/>
            <w:hideMark/>
          </w:tcPr>
          <w:p w14:paraId="678166C7" w14:textId="77777777" w:rsidR="00C00513" w:rsidRPr="00FF553B" w:rsidRDefault="00C00513" w:rsidP="00C00513">
            <w:pPr>
              <w:jc w:val="center"/>
              <w:rPr>
                <w:b/>
                <w:bCs/>
                <w:sz w:val="16"/>
                <w:szCs w:val="16"/>
              </w:rPr>
            </w:pPr>
            <w:r>
              <w:rPr>
                <w:b/>
                <w:bCs/>
                <w:sz w:val="16"/>
                <w:szCs w:val="16"/>
              </w:rPr>
              <w:t>8</w:t>
            </w:r>
          </w:p>
        </w:tc>
        <w:tc>
          <w:tcPr>
            <w:tcW w:w="965" w:type="dxa"/>
            <w:tcBorders>
              <w:top w:val="single" w:sz="4" w:space="0" w:color="auto"/>
              <w:left w:val="nil"/>
              <w:bottom w:val="nil"/>
              <w:right w:val="nil"/>
            </w:tcBorders>
            <w:noWrap/>
            <w:vAlign w:val="center"/>
            <w:hideMark/>
          </w:tcPr>
          <w:p w14:paraId="6A50CE49" w14:textId="77777777" w:rsidR="00C00513" w:rsidRPr="00FF553B" w:rsidRDefault="00C00513" w:rsidP="00C00513">
            <w:pPr>
              <w:jc w:val="center"/>
              <w:rPr>
                <w:b/>
                <w:bCs/>
                <w:sz w:val="16"/>
                <w:szCs w:val="16"/>
              </w:rPr>
            </w:pPr>
            <w:r>
              <w:rPr>
                <w:b/>
                <w:bCs/>
                <w:color w:val="000000"/>
                <w:sz w:val="16"/>
                <w:szCs w:val="16"/>
              </w:rPr>
              <w:t>37,551</w:t>
            </w:r>
          </w:p>
        </w:tc>
        <w:tc>
          <w:tcPr>
            <w:tcW w:w="1134" w:type="dxa"/>
            <w:tcBorders>
              <w:top w:val="single" w:sz="4" w:space="0" w:color="auto"/>
              <w:left w:val="nil"/>
              <w:bottom w:val="nil"/>
              <w:right w:val="nil"/>
            </w:tcBorders>
            <w:noWrap/>
            <w:vAlign w:val="center"/>
            <w:hideMark/>
          </w:tcPr>
          <w:p w14:paraId="3906B93C" w14:textId="77777777" w:rsidR="00C00513" w:rsidRPr="00FF553B" w:rsidRDefault="00C00513" w:rsidP="00C00513">
            <w:pPr>
              <w:jc w:val="center"/>
              <w:rPr>
                <w:b/>
                <w:bCs/>
                <w:sz w:val="16"/>
                <w:szCs w:val="16"/>
              </w:rPr>
            </w:pPr>
            <w:r>
              <w:rPr>
                <w:b/>
                <w:bCs/>
                <w:color w:val="000000"/>
                <w:sz w:val="16"/>
                <w:szCs w:val="16"/>
              </w:rPr>
              <w:t>31,849</w:t>
            </w:r>
          </w:p>
        </w:tc>
      </w:tr>
      <w:tr w:rsidR="00C00513" w:rsidRPr="00D97578" w14:paraId="1A4B80C0" w14:textId="77777777" w:rsidTr="00FF553B">
        <w:trPr>
          <w:trHeight w:val="300"/>
        </w:trPr>
        <w:tc>
          <w:tcPr>
            <w:tcW w:w="2480" w:type="dxa"/>
            <w:tcBorders>
              <w:top w:val="nil"/>
              <w:left w:val="nil"/>
              <w:bottom w:val="nil"/>
              <w:right w:val="nil"/>
            </w:tcBorders>
            <w:vAlign w:val="center"/>
            <w:hideMark/>
          </w:tcPr>
          <w:p w14:paraId="7461B4CE" w14:textId="77777777" w:rsidR="00C00513" w:rsidRPr="00FF553B" w:rsidRDefault="00C00513" w:rsidP="00C00513">
            <w:pPr>
              <w:rPr>
                <w:color w:val="000000"/>
                <w:sz w:val="16"/>
                <w:szCs w:val="16"/>
                <w:lang w:val="es-AR" w:eastAsia="es-AR"/>
              </w:rPr>
            </w:pPr>
            <w:proofErr w:type="gramStart"/>
            <w:r>
              <w:rPr>
                <w:color w:val="000000"/>
                <w:sz w:val="16"/>
                <w:szCs w:val="16"/>
                <w:lang w:val="es-AR" w:eastAsia="es-AR"/>
              </w:rPr>
              <w:t>Total</w:t>
            </w:r>
            <w:proofErr w:type="gramEnd"/>
            <w:r>
              <w:rPr>
                <w:color w:val="000000"/>
                <w:sz w:val="16"/>
                <w:szCs w:val="16"/>
                <w:lang w:val="es-AR" w:eastAsia="es-AR"/>
              </w:rPr>
              <w:t xml:space="preserve"> Probable</w:t>
            </w:r>
          </w:p>
        </w:tc>
        <w:tc>
          <w:tcPr>
            <w:tcW w:w="883" w:type="dxa"/>
            <w:tcBorders>
              <w:top w:val="nil"/>
              <w:left w:val="nil"/>
              <w:bottom w:val="nil"/>
              <w:right w:val="nil"/>
            </w:tcBorders>
            <w:vAlign w:val="center"/>
            <w:hideMark/>
          </w:tcPr>
          <w:p w14:paraId="636240B7" w14:textId="77777777" w:rsidR="00C00513" w:rsidRPr="00FF553B" w:rsidRDefault="00C00513" w:rsidP="00C00513">
            <w:pPr>
              <w:jc w:val="center"/>
              <w:rPr>
                <w:sz w:val="16"/>
                <w:szCs w:val="16"/>
              </w:rPr>
            </w:pPr>
            <w:r>
              <w:rPr>
                <w:sz w:val="16"/>
                <w:szCs w:val="16"/>
              </w:rPr>
              <w:t>21,549</w:t>
            </w:r>
          </w:p>
        </w:tc>
        <w:tc>
          <w:tcPr>
            <w:tcW w:w="905" w:type="dxa"/>
            <w:tcBorders>
              <w:top w:val="nil"/>
              <w:left w:val="nil"/>
              <w:bottom w:val="nil"/>
              <w:right w:val="nil"/>
            </w:tcBorders>
            <w:vAlign w:val="center"/>
            <w:hideMark/>
          </w:tcPr>
          <w:p w14:paraId="4B598C50" w14:textId="77777777" w:rsidR="00C00513" w:rsidRPr="00FF553B" w:rsidRDefault="00C00513" w:rsidP="00C00513">
            <w:pPr>
              <w:jc w:val="center"/>
              <w:rPr>
                <w:sz w:val="16"/>
                <w:szCs w:val="16"/>
              </w:rPr>
            </w:pPr>
            <w:r>
              <w:rPr>
                <w:sz w:val="16"/>
                <w:szCs w:val="16"/>
              </w:rPr>
              <w:t>18,185</w:t>
            </w:r>
          </w:p>
        </w:tc>
        <w:tc>
          <w:tcPr>
            <w:tcW w:w="845" w:type="dxa"/>
            <w:tcBorders>
              <w:top w:val="nil"/>
              <w:left w:val="nil"/>
              <w:bottom w:val="nil"/>
              <w:right w:val="nil"/>
            </w:tcBorders>
            <w:vAlign w:val="center"/>
          </w:tcPr>
          <w:p w14:paraId="4568BF1D" w14:textId="77777777" w:rsidR="00C00513" w:rsidRPr="00FF553B" w:rsidRDefault="00C00513" w:rsidP="00C00513">
            <w:pPr>
              <w:jc w:val="center"/>
              <w:rPr>
                <w:sz w:val="16"/>
                <w:szCs w:val="16"/>
              </w:rPr>
            </w:pPr>
            <w:r>
              <w:rPr>
                <w:sz w:val="16"/>
                <w:szCs w:val="16"/>
              </w:rPr>
              <w:t>10,041</w:t>
            </w:r>
          </w:p>
        </w:tc>
        <w:tc>
          <w:tcPr>
            <w:tcW w:w="845" w:type="dxa"/>
            <w:tcBorders>
              <w:top w:val="nil"/>
              <w:left w:val="nil"/>
              <w:bottom w:val="nil"/>
              <w:right w:val="nil"/>
            </w:tcBorders>
            <w:vAlign w:val="center"/>
          </w:tcPr>
          <w:p w14:paraId="5E78A482" w14:textId="77777777" w:rsidR="00C00513" w:rsidRPr="00FF553B" w:rsidRDefault="00C00513" w:rsidP="00C00513">
            <w:pPr>
              <w:jc w:val="center"/>
              <w:rPr>
                <w:sz w:val="16"/>
                <w:szCs w:val="16"/>
              </w:rPr>
            </w:pPr>
            <w:r>
              <w:rPr>
                <w:sz w:val="16"/>
                <w:szCs w:val="16"/>
              </w:rPr>
              <w:t>8,640</w:t>
            </w:r>
          </w:p>
        </w:tc>
        <w:tc>
          <w:tcPr>
            <w:tcW w:w="844" w:type="dxa"/>
            <w:tcBorders>
              <w:top w:val="nil"/>
              <w:left w:val="nil"/>
              <w:bottom w:val="nil"/>
              <w:right w:val="nil"/>
            </w:tcBorders>
            <w:vAlign w:val="center"/>
            <w:hideMark/>
          </w:tcPr>
          <w:p w14:paraId="554BFB6C" w14:textId="77777777" w:rsidR="00C00513" w:rsidRPr="008D0344" w:rsidRDefault="00C00513" w:rsidP="00C00513">
            <w:pPr>
              <w:jc w:val="center"/>
              <w:rPr>
                <w:sz w:val="16"/>
                <w:szCs w:val="16"/>
                <w:highlight w:val="yellow"/>
              </w:rPr>
            </w:pPr>
            <w:r>
              <w:rPr>
                <w:color w:val="000000"/>
                <w:sz w:val="16"/>
                <w:szCs w:val="16"/>
              </w:rPr>
              <w:t>14,032</w:t>
            </w:r>
          </w:p>
        </w:tc>
        <w:tc>
          <w:tcPr>
            <w:tcW w:w="819" w:type="dxa"/>
            <w:tcBorders>
              <w:top w:val="nil"/>
              <w:left w:val="nil"/>
              <w:bottom w:val="nil"/>
              <w:right w:val="nil"/>
            </w:tcBorders>
            <w:vAlign w:val="center"/>
            <w:hideMark/>
          </w:tcPr>
          <w:p w14:paraId="5EF94329" w14:textId="77777777" w:rsidR="00C00513" w:rsidRPr="008D0344" w:rsidRDefault="00C00513" w:rsidP="00C00513">
            <w:pPr>
              <w:jc w:val="center"/>
              <w:rPr>
                <w:sz w:val="16"/>
                <w:szCs w:val="16"/>
                <w:highlight w:val="yellow"/>
              </w:rPr>
            </w:pPr>
            <w:r>
              <w:rPr>
                <w:color w:val="000000"/>
                <w:sz w:val="16"/>
                <w:szCs w:val="16"/>
              </w:rPr>
              <w:t>11,985</w:t>
            </w:r>
          </w:p>
        </w:tc>
        <w:tc>
          <w:tcPr>
            <w:tcW w:w="814" w:type="dxa"/>
            <w:tcBorders>
              <w:top w:val="nil"/>
              <w:left w:val="nil"/>
              <w:bottom w:val="nil"/>
              <w:right w:val="nil"/>
            </w:tcBorders>
            <w:vAlign w:val="center"/>
            <w:hideMark/>
          </w:tcPr>
          <w:p w14:paraId="1B926F70" w14:textId="77777777" w:rsidR="00C00513" w:rsidRPr="00FF553B" w:rsidRDefault="00C00513" w:rsidP="00C00513">
            <w:pPr>
              <w:jc w:val="center"/>
              <w:rPr>
                <w:sz w:val="16"/>
                <w:szCs w:val="16"/>
              </w:rPr>
            </w:pPr>
            <w:r>
              <w:rPr>
                <w:sz w:val="16"/>
                <w:szCs w:val="16"/>
              </w:rPr>
              <w:t>100</w:t>
            </w:r>
          </w:p>
        </w:tc>
        <w:tc>
          <w:tcPr>
            <w:tcW w:w="740" w:type="dxa"/>
            <w:tcBorders>
              <w:top w:val="nil"/>
              <w:left w:val="nil"/>
              <w:bottom w:val="nil"/>
              <w:right w:val="nil"/>
            </w:tcBorders>
            <w:vAlign w:val="center"/>
            <w:hideMark/>
          </w:tcPr>
          <w:p w14:paraId="5BC9D29C" w14:textId="77777777" w:rsidR="00C00513" w:rsidRPr="00FF553B" w:rsidRDefault="00C00513" w:rsidP="00C00513">
            <w:pPr>
              <w:jc w:val="center"/>
              <w:rPr>
                <w:sz w:val="16"/>
                <w:szCs w:val="16"/>
              </w:rPr>
            </w:pPr>
            <w:r>
              <w:rPr>
                <w:sz w:val="16"/>
                <w:szCs w:val="16"/>
              </w:rPr>
              <w:t>87</w:t>
            </w:r>
          </w:p>
        </w:tc>
        <w:tc>
          <w:tcPr>
            <w:tcW w:w="965" w:type="dxa"/>
            <w:tcBorders>
              <w:top w:val="nil"/>
              <w:left w:val="nil"/>
              <w:bottom w:val="nil"/>
              <w:right w:val="nil"/>
            </w:tcBorders>
            <w:noWrap/>
            <w:vAlign w:val="center"/>
            <w:hideMark/>
          </w:tcPr>
          <w:p w14:paraId="68A189FA" w14:textId="77777777" w:rsidR="00C00513" w:rsidRPr="00FF553B" w:rsidRDefault="00C00513" w:rsidP="00C00513">
            <w:pPr>
              <w:jc w:val="center"/>
              <w:rPr>
                <w:sz w:val="16"/>
                <w:szCs w:val="16"/>
              </w:rPr>
            </w:pPr>
            <w:r>
              <w:rPr>
                <w:color w:val="000000"/>
                <w:sz w:val="16"/>
                <w:szCs w:val="16"/>
              </w:rPr>
              <w:t>34,029</w:t>
            </w:r>
          </w:p>
        </w:tc>
        <w:tc>
          <w:tcPr>
            <w:tcW w:w="1134" w:type="dxa"/>
            <w:tcBorders>
              <w:top w:val="nil"/>
              <w:left w:val="nil"/>
              <w:bottom w:val="nil"/>
              <w:right w:val="nil"/>
            </w:tcBorders>
            <w:noWrap/>
            <w:vAlign w:val="center"/>
            <w:hideMark/>
          </w:tcPr>
          <w:p w14:paraId="18373DD3" w14:textId="77777777" w:rsidR="00C00513" w:rsidRPr="00FF553B" w:rsidRDefault="00C00513" w:rsidP="00C00513">
            <w:pPr>
              <w:jc w:val="center"/>
              <w:rPr>
                <w:sz w:val="16"/>
                <w:szCs w:val="16"/>
              </w:rPr>
            </w:pPr>
            <w:r>
              <w:rPr>
                <w:color w:val="000000"/>
                <w:sz w:val="16"/>
                <w:szCs w:val="16"/>
              </w:rPr>
              <w:t>28,909</w:t>
            </w:r>
          </w:p>
        </w:tc>
      </w:tr>
      <w:tr w:rsidR="00C00513" w:rsidRPr="00D97578" w14:paraId="22C8BE6C" w14:textId="77777777" w:rsidTr="00FF553B">
        <w:trPr>
          <w:trHeight w:val="300"/>
        </w:trPr>
        <w:tc>
          <w:tcPr>
            <w:tcW w:w="2480" w:type="dxa"/>
            <w:tcBorders>
              <w:top w:val="nil"/>
              <w:left w:val="nil"/>
              <w:bottom w:val="nil"/>
              <w:right w:val="nil"/>
            </w:tcBorders>
            <w:vAlign w:val="center"/>
            <w:hideMark/>
          </w:tcPr>
          <w:p w14:paraId="5D9708F6" w14:textId="77777777" w:rsidR="00C00513" w:rsidRPr="00FF553B" w:rsidRDefault="00C00513" w:rsidP="00C00513">
            <w:pPr>
              <w:rPr>
                <w:b/>
                <w:color w:val="000000"/>
                <w:sz w:val="16"/>
                <w:szCs w:val="16"/>
                <w:lang w:val="es-AR" w:eastAsia="es-AR"/>
              </w:rPr>
            </w:pPr>
            <w:proofErr w:type="gramStart"/>
            <w:r>
              <w:rPr>
                <w:b/>
                <w:color w:val="000000"/>
                <w:sz w:val="16"/>
                <w:szCs w:val="16"/>
                <w:lang w:val="es-AR" w:eastAsia="es-AR"/>
              </w:rPr>
              <w:t>Total</w:t>
            </w:r>
            <w:proofErr w:type="gramEnd"/>
            <w:r>
              <w:rPr>
                <w:b/>
                <w:color w:val="000000"/>
                <w:sz w:val="16"/>
                <w:szCs w:val="16"/>
                <w:lang w:val="es-AR" w:eastAsia="es-AR"/>
              </w:rPr>
              <w:t xml:space="preserve"> Proved plus Probable</w:t>
            </w:r>
          </w:p>
        </w:tc>
        <w:tc>
          <w:tcPr>
            <w:tcW w:w="883" w:type="dxa"/>
            <w:tcBorders>
              <w:top w:val="single" w:sz="4" w:space="0" w:color="auto"/>
              <w:left w:val="nil"/>
              <w:bottom w:val="nil"/>
              <w:right w:val="nil"/>
            </w:tcBorders>
            <w:vAlign w:val="center"/>
            <w:hideMark/>
          </w:tcPr>
          <w:p w14:paraId="063F9C96" w14:textId="77777777" w:rsidR="00C00513" w:rsidRPr="00FF553B" w:rsidRDefault="00C00513" w:rsidP="00C00513">
            <w:pPr>
              <w:jc w:val="center"/>
              <w:rPr>
                <w:b/>
                <w:bCs/>
                <w:sz w:val="16"/>
                <w:szCs w:val="16"/>
              </w:rPr>
            </w:pPr>
            <w:r>
              <w:rPr>
                <w:b/>
                <w:bCs/>
                <w:sz w:val="16"/>
                <w:szCs w:val="16"/>
              </w:rPr>
              <w:t>47,800</w:t>
            </w:r>
          </w:p>
        </w:tc>
        <w:tc>
          <w:tcPr>
            <w:tcW w:w="905" w:type="dxa"/>
            <w:tcBorders>
              <w:top w:val="single" w:sz="4" w:space="0" w:color="auto"/>
              <w:left w:val="nil"/>
              <w:bottom w:val="nil"/>
              <w:right w:val="nil"/>
            </w:tcBorders>
            <w:vAlign w:val="center"/>
            <w:hideMark/>
          </w:tcPr>
          <w:p w14:paraId="5166EA74" w14:textId="77777777" w:rsidR="00C00513" w:rsidRPr="00FF553B" w:rsidRDefault="00C00513" w:rsidP="00C00513">
            <w:pPr>
              <w:jc w:val="center"/>
              <w:rPr>
                <w:b/>
                <w:bCs/>
                <w:sz w:val="16"/>
                <w:szCs w:val="16"/>
              </w:rPr>
            </w:pPr>
            <w:r>
              <w:rPr>
                <w:b/>
                <w:bCs/>
                <w:sz w:val="16"/>
                <w:szCs w:val="16"/>
              </w:rPr>
              <w:t>40,344</w:t>
            </w:r>
          </w:p>
        </w:tc>
        <w:tc>
          <w:tcPr>
            <w:tcW w:w="845" w:type="dxa"/>
            <w:tcBorders>
              <w:top w:val="single" w:sz="4" w:space="0" w:color="auto"/>
              <w:left w:val="nil"/>
              <w:bottom w:val="nil"/>
              <w:right w:val="nil"/>
            </w:tcBorders>
            <w:vAlign w:val="center"/>
          </w:tcPr>
          <w:p w14:paraId="743D3450" w14:textId="77777777" w:rsidR="00C00513" w:rsidRPr="00FF553B" w:rsidRDefault="00C00513" w:rsidP="00C00513">
            <w:pPr>
              <w:jc w:val="center"/>
              <w:rPr>
                <w:b/>
                <w:bCs/>
                <w:sz w:val="16"/>
                <w:szCs w:val="16"/>
              </w:rPr>
            </w:pPr>
            <w:r>
              <w:rPr>
                <w:b/>
                <w:bCs/>
                <w:sz w:val="16"/>
                <w:szCs w:val="16"/>
              </w:rPr>
              <w:t>20,172</w:t>
            </w:r>
          </w:p>
        </w:tc>
        <w:tc>
          <w:tcPr>
            <w:tcW w:w="845" w:type="dxa"/>
            <w:tcBorders>
              <w:top w:val="single" w:sz="4" w:space="0" w:color="auto"/>
              <w:left w:val="nil"/>
              <w:bottom w:val="nil"/>
              <w:right w:val="nil"/>
            </w:tcBorders>
            <w:vAlign w:val="center"/>
          </w:tcPr>
          <w:p w14:paraId="6B0CC889" w14:textId="77777777" w:rsidR="00C00513" w:rsidRPr="00FF553B" w:rsidRDefault="00C00513" w:rsidP="00C00513">
            <w:pPr>
              <w:jc w:val="center"/>
              <w:rPr>
                <w:b/>
                <w:bCs/>
                <w:sz w:val="16"/>
                <w:szCs w:val="16"/>
              </w:rPr>
            </w:pPr>
            <w:r>
              <w:rPr>
                <w:b/>
                <w:bCs/>
                <w:sz w:val="16"/>
                <w:szCs w:val="16"/>
              </w:rPr>
              <w:t>17,356</w:t>
            </w:r>
          </w:p>
        </w:tc>
        <w:tc>
          <w:tcPr>
            <w:tcW w:w="844" w:type="dxa"/>
            <w:tcBorders>
              <w:top w:val="single" w:sz="4" w:space="0" w:color="auto"/>
              <w:left w:val="nil"/>
              <w:bottom w:val="nil"/>
              <w:right w:val="nil"/>
            </w:tcBorders>
            <w:vAlign w:val="center"/>
            <w:hideMark/>
          </w:tcPr>
          <w:p w14:paraId="64762A20" w14:textId="77777777" w:rsidR="00C00513" w:rsidRPr="008D0344" w:rsidRDefault="00C00513" w:rsidP="00C00513">
            <w:pPr>
              <w:jc w:val="center"/>
              <w:rPr>
                <w:b/>
                <w:bCs/>
                <w:sz w:val="16"/>
                <w:szCs w:val="16"/>
                <w:highlight w:val="yellow"/>
              </w:rPr>
            </w:pPr>
            <w:r>
              <w:rPr>
                <w:b/>
                <w:bCs/>
                <w:color w:val="000000"/>
                <w:sz w:val="16"/>
                <w:szCs w:val="16"/>
              </w:rPr>
              <w:t>20,988</w:t>
            </w:r>
          </w:p>
        </w:tc>
        <w:tc>
          <w:tcPr>
            <w:tcW w:w="819" w:type="dxa"/>
            <w:tcBorders>
              <w:top w:val="single" w:sz="4" w:space="0" w:color="auto"/>
              <w:left w:val="nil"/>
              <w:bottom w:val="nil"/>
              <w:right w:val="nil"/>
            </w:tcBorders>
            <w:vAlign w:val="center"/>
            <w:hideMark/>
          </w:tcPr>
          <w:p w14:paraId="243AFF4B" w14:textId="77777777" w:rsidR="00C00513" w:rsidRPr="008D0344" w:rsidRDefault="00C00513" w:rsidP="00C00513">
            <w:pPr>
              <w:jc w:val="center"/>
              <w:rPr>
                <w:b/>
                <w:bCs/>
                <w:sz w:val="16"/>
                <w:szCs w:val="16"/>
                <w:highlight w:val="yellow"/>
              </w:rPr>
            </w:pPr>
            <w:r>
              <w:rPr>
                <w:b/>
                <w:bCs/>
                <w:color w:val="000000"/>
                <w:sz w:val="16"/>
                <w:szCs w:val="16"/>
              </w:rPr>
              <w:t>17,774</w:t>
            </w:r>
          </w:p>
        </w:tc>
        <w:tc>
          <w:tcPr>
            <w:tcW w:w="814" w:type="dxa"/>
            <w:tcBorders>
              <w:top w:val="single" w:sz="4" w:space="0" w:color="auto"/>
              <w:left w:val="nil"/>
              <w:bottom w:val="nil"/>
              <w:right w:val="nil"/>
            </w:tcBorders>
            <w:vAlign w:val="center"/>
            <w:hideMark/>
          </w:tcPr>
          <w:p w14:paraId="0660A8C8" w14:textId="77777777" w:rsidR="00C00513" w:rsidRPr="00FF553B" w:rsidRDefault="00C00513" w:rsidP="00C00513">
            <w:pPr>
              <w:jc w:val="center"/>
              <w:rPr>
                <w:b/>
                <w:bCs/>
                <w:sz w:val="16"/>
                <w:szCs w:val="16"/>
              </w:rPr>
            </w:pPr>
            <w:r>
              <w:rPr>
                <w:b/>
                <w:bCs/>
                <w:sz w:val="16"/>
                <w:szCs w:val="16"/>
              </w:rPr>
              <w:t>110</w:t>
            </w:r>
          </w:p>
        </w:tc>
        <w:tc>
          <w:tcPr>
            <w:tcW w:w="740" w:type="dxa"/>
            <w:tcBorders>
              <w:top w:val="single" w:sz="4" w:space="0" w:color="auto"/>
              <w:left w:val="nil"/>
              <w:bottom w:val="nil"/>
              <w:right w:val="nil"/>
            </w:tcBorders>
            <w:vAlign w:val="center"/>
            <w:hideMark/>
          </w:tcPr>
          <w:p w14:paraId="4537AD8A" w14:textId="77777777" w:rsidR="00C00513" w:rsidRPr="00FF553B" w:rsidRDefault="00C00513" w:rsidP="00C00513">
            <w:pPr>
              <w:jc w:val="center"/>
              <w:rPr>
                <w:b/>
                <w:bCs/>
                <w:sz w:val="16"/>
                <w:szCs w:val="16"/>
              </w:rPr>
            </w:pPr>
            <w:r>
              <w:rPr>
                <w:b/>
                <w:bCs/>
                <w:sz w:val="16"/>
                <w:szCs w:val="16"/>
              </w:rPr>
              <w:t>95</w:t>
            </w:r>
          </w:p>
        </w:tc>
        <w:tc>
          <w:tcPr>
            <w:tcW w:w="965" w:type="dxa"/>
            <w:tcBorders>
              <w:top w:val="single" w:sz="4" w:space="0" w:color="auto"/>
              <w:left w:val="nil"/>
              <w:bottom w:val="nil"/>
              <w:right w:val="nil"/>
            </w:tcBorders>
            <w:noWrap/>
            <w:vAlign w:val="center"/>
            <w:hideMark/>
          </w:tcPr>
          <w:p w14:paraId="04095968" w14:textId="77777777" w:rsidR="00C00513" w:rsidRPr="00FF553B" w:rsidRDefault="00C00513" w:rsidP="00C00513">
            <w:pPr>
              <w:jc w:val="center"/>
              <w:rPr>
                <w:b/>
                <w:bCs/>
                <w:sz w:val="16"/>
                <w:szCs w:val="16"/>
              </w:rPr>
            </w:pPr>
            <w:r>
              <w:rPr>
                <w:b/>
                <w:bCs/>
                <w:color w:val="000000"/>
                <w:sz w:val="16"/>
                <w:szCs w:val="16"/>
              </w:rPr>
              <w:t>71,580</w:t>
            </w:r>
          </w:p>
        </w:tc>
        <w:tc>
          <w:tcPr>
            <w:tcW w:w="1134" w:type="dxa"/>
            <w:tcBorders>
              <w:top w:val="single" w:sz="4" w:space="0" w:color="auto"/>
              <w:left w:val="nil"/>
              <w:bottom w:val="nil"/>
              <w:right w:val="nil"/>
            </w:tcBorders>
            <w:noWrap/>
            <w:vAlign w:val="center"/>
            <w:hideMark/>
          </w:tcPr>
          <w:p w14:paraId="75B7AF30" w14:textId="77777777" w:rsidR="00C00513" w:rsidRPr="00FF553B" w:rsidRDefault="00C00513" w:rsidP="00C00513">
            <w:pPr>
              <w:jc w:val="center"/>
              <w:rPr>
                <w:b/>
                <w:bCs/>
                <w:sz w:val="16"/>
                <w:szCs w:val="16"/>
              </w:rPr>
            </w:pPr>
            <w:r>
              <w:rPr>
                <w:b/>
                <w:bCs/>
                <w:color w:val="000000"/>
                <w:sz w:val="16"/>
                <w:szCs w:val="16"/>
              </w:rPr>
              <w:t>60,758</w:t>
            </w:r>
          </w:p>
        </w:tc>
      </w:tr>
    </w:tbl>
    <w:p w14:paraId="0A3E03FD" w14:textId="77777777" w:rsidR="001A6102" w:rsidRPr="00250B90" w:rsidRDefault="001A6102" w:rsidP="0092574E">
      <w:pPr>
        <w:tabs>
          <w:tab w:val="left" w:pos="1440"/>
        </w:tabs>
        <w:spacing w:before="120" w:line="240" w:lineRule="atLeast"/>
        <w:jc w:val="both"/>
        <w:rPr>
          <w:rFonts w:ascii="Times New Roman" w:hAnsi="Times New Roman"/>
          <w:szCs w:val="22"/>
          <w:lang w:val="en-CA"/>
        </w:rPr>
      </w:pPr>
    </w:p>
    <w:p w14:paraId="082BB0B8" w14:textId="77777777" w:rsidR="004E7D42" w:rsidRPr="002335EE" w:rsidRDefault="004E7D42" w:rsidP="00394A3E">
      <w:pPr>
        <w:tabs>
          <w:tab w:val="left" w:pos="1440"/>
        </w:tabs>
        <w:spacing w:before="120" w:line="240" w:lineRule="atLeast"/>
        <w:jc w:val="both"/>
        <w:rPr>
          <w:sz w:val="20"/>
          <w:szCs w:val="20"/>
        </w:rPr>
      </w:pPr>
      <w:r>
        <w:rPr>
          <w:sz w:val="20"/>
          <w:szCs w:val="20"/>
        </w:rPr>
        <w:t>The following table discloses, in the aggregate, the net present value of the Company's future net revenue attributable to the reserves categories in the table above, estimated using forecast prices and costs, before deducting future income tax expenses, and calculated without discount and using discount rates of 5%, 10%, 15% and 20%.</w:t>
      </w:r>
    </w:p>
    <w:p w14:paraId="0F2731FA" w14:textId="77777777" w:rsidR="004A2E5D" w:rsidRPr="002B4E83" w:rsidRDefault="004E7D42" w:rsidP="004A2E5D">
      <w:pPr>
        <w:pStyle w:val="BodyText"/>
        <w:keepNext/>
        <w:keepLines/>
        <w:spacing w:before="240" w:after="120"/>
        <w:ind w:left="1080"/>
        <w:jc w:val="center"/>
        <w:rPr>
          <w:rFonts w:ascii="Verdana" w:hAnsi="Verdana"/>
          <w:b/>
          <w:sz w:val="16"/>
          <w:szCs w:val="16"/>
        </w:rPr>
      </w:pPr>
      <w:r>
        <w:rPr>
          <w:rFonts w:ascii="Verdana" w:hAnsi="Verdana"/>
          <w:b/>
          <w:sz w:val="16"/>
          <w:szCs w:val="16"/>
        </w:rPr>
        <w:lastRenderedPageBreak/>
        <w:t>SUMMARY OF NET PRESENT VALUE OF FUTURE NET REVENUE</w:t>
      </w:r>
      <w:r>
        <w:rPr>
          <w:rFonts w:ascii="Verdana" w:hAnsi="Verdana"/>
          <w:b/>
          <w:sz w:val="16"/>
          <w:szCs w:val="16"/>
        </w:rPr>
        <w:br/>
        <w:t>AS OF DECEMBER 31, 2025</w:t>
      </w:r>
      <w:r>
        <w:rPr>
          <w:rFonts w:ascii="Verdana" w:hAnsi="Verdana"/>
          <w:b/>
          <w:sz w:val="16"/>
          <w:szCs w:val="16"/>
        </w:rPr>
        <w:br/>
        <w:t>(Forecast Prices &amp; Costs)</w:t>
      </w:r>
      <w:r w:rsidR="004A2E5D">
        <w:rPr>
          <w:rFonts w:ascii="Verdana" w:hAnsi="Verdana"/>
          <w:sz w:val="16"/>
          <w:szCs w:val="16"/>
        </w:rPr>
        <w:fldChar w:fldCharType="begin"/>
      </w:r>
      <w:r>
        <w:rPr>
          <w:rFonts w:ascii="Verdana" w:hAnsi="Verdana"/>
          <w:sz w:val="16"/>
          <w:szCs w:val="16"/>
        </w:rPr>
        <w:instrText xml:space="preserve"> LINK Excel.Sheet.12 "C:\\Users\\bmoss\\Dropbox\\Reserve Tables Dec 2019 Mar 20.xlsx" "PR Tables!R36C18:R46C23" \a \f 4 \h  \* MERGEFORMAT </w:instrText>
      </w:r>
      <w:r w:rsidR="004A2E5D">
        <w:rPr>
          <w:rFonts w:ascii="Verdana" w:hAnsi="Verdana"/>
          <w:sz w:val="16"/>
          <w:szCs w:val="16"/>
        </w:rPr>
        <w:fldChar w:fldCharType="separate"/>
      </w:r>
    </w:p>
    <w:tbl>
      <w:tblPr>
        <w:tblW w:w="8234" w:type="dxa"/>
        <w:tblInd w:w="570" w:type="dxa"/>
        <w:tblLayout w:type="fixed"/>
        <w:tblCellMar>
          <w:left w:w="70" w:type="dxa"/>
          <w:right w:w="70" w:type="dxa"/>
        </w:tblCellMar>
        <w:tblLook w:val="04A0" w:firstRow="1" w:lastRow="0" w:firstColumn="1" w:lastColumn="0" w:noHBand="0" w:noVBand="1"/>
      </w:tblPr>
      <w:tblGrid>
        <w:gridCol w:w="2265"/>
        <w:gridCol w:w="1134"/>
        <w:gridCol w:w="1134"/>
        <w:gridCol w:w="1134"/>
        <w:gridCol w:w="1134"/>
        <w:gridCol w:w="1134"/>
        <w:gridCol w:w="299"/>
      </w:tblGrid>
      <w:tr w:rsidR="00CD7480" w:rsidRPr="00FA5AB3" w14:paraId="22AD2F85" w14:textId="77777777" w:rsidTr="00042280">
        <w:trPr>
          <w:trHeight w:val="600"/>
        </w:trPr>
        <w:tc>
          <w:tcPr>
            <w:tcW w:w="2265" w:type="dxa"/>
            <w:vMerge w:val="restart"/>
            <w:tcBorders>
              <w:top w:val="nil"/>
              <w:left w:val="nil"/>
              <w:bottom w:val="nil"/>
              <w:right w:val="nil"/>
            </w:tcBorders>
            <w:shd w:val="clear" w:color="auto" w:fill="FFFFFF" w:themeFill="background1"/>
            <w:vAlign w:val="center"/>
            <w:hideMark/>
          </w:tcPr>
          <w:p w14:paraId="6DB500F6" w14:textId="77777777" w:rsidR="004A2E5D" w:rsidRPr="002B4E83" w:rsidRDefault="004A2E5D" w:rsidP="00FA5AB3">
            <w:pPr>
              <w:jc w:val="center"/>
              <w:rPr>
                <w:sz w:val="16"/>
                <w:szCs w:val="16"/>
                <w:lang w:eastAsia="es-AR"/>
              </w:rPr>
            </w:pPr>
          </w:p>
        </w:tc>
        <w:tc>
          <w:tcPr>
            <w:tcW w:w="5969" w:type="dxa"/>
            <w:gridSpan w:val="6"/>
            <w:tcBorders>
              <w:top w:val="nil"/>
              <w:left w:val="nil"/>
              <w:bottom w:val="nil"/>
              <w:right w:val="nil"/>
            </w:tcBorders>
            <w:shd w:val="clear" w:color="auto" w:fill="FFFFFF" w:themeFill="background1"/>
            <w:vAlign w:val="center"/>
            <w:hideMark/>
          </w:tcPr>
          <w:p w14:paraId="53F2BF99" w14:textId="77777777" w:rsidR="004A2E5D" w:rsidRPr="00FA5AB3" w:rsidRDefault="004A2E5D" w:rsidP="004A2E5D">
            <w:pPr>
              <w:jc w:val="center"/>
              <w:rPr>
                <w:b/>
                <w:bCs/>
                <w:color w:val="000000"/>
                <w:sz w:val="16"/>
                <w:szCs w:val="16"/>
                <w:lang w:eastAsia="es-AR"/>
              </w:rPr>
            </w:pPr>
            <w:r>
              <w:rPr>
                <w:b/>
                <w:bCs/>
                <w:color w:val="000000"/>
                <w:sz w:val="16"/>
                <w:szCs w:val="16"/>
                <w:lang w:eastAsia="es-AR"/>
              </w:rPr>
              <w:t>Net Present Values of Future Net Revenue Before Income Taxes</w:t>
            </w:r>
            <w:r>
              <w:rPr>
                <w:b/>
                <w:bCs/>
                <w:color w:val="000000"/>
                <w:sz w:val="16"/>
                <w:szCs w:val="16"/>
                <w:vertAlign w:val="superscript"/>
                <w:lang w:eastAsia="es-AR"/>
              </w:rPr>
              <w:t xml:space="preserve"> (1)</w:t>
            </w:r>
          </w:p>
        </w:tc>
      </w:tr>
      <w:tr w:rsidR="00CD7480" w:rsidRPr="00FA5AB3" w14:paraId="33FCBD80" w14:textId="77777777" w:rsidTr="00042280">
        <w:trPr>
          <w:trHeight w:val="363"/>
        </w:trPr>
        <w:tc>
          <w:tcPr>
            <w:tcW w:w="2265" w:type="dxa"/>
            <w:vMerge/>
            <w:tcBorders>
              <w:top w:val="nil"/>
              <w:left w:val="nil"/>
              <w:bottom w:val="nil"/>
              <w:right w:val="nil"/>
            </w:tcBorders>
            <w:shd w:val="clear" w:color="auto" w:fill="FFFFFF" w:themeFill="background1"/>
            <w:vAlign w:val="center"/>
            <w:hideMark/>
          </w:tcPr>
          <w:p w14:paraId="6904BA1C" w14:textId="77777777" w:rsidR="004A2E5D" w:rsidRPr="00FA5AB3" w:rsidRDefault="004A2E5D" w:rsidP="004A2E5D">
            <w:pPr>
              <w:rPr>
                <w:sz w:val="16"/>
                <w:szCs w:val="16"/>
                <w:lang w:eastAsia="es-AR"/>
              </w:rPr>
            </w:pPr>
          </w:p>
        </w:tc>
        <w:tc>
          <w:tcPr>
            <w:tcW w:w="5969" w:type="dxa"/>
            <w:gridSpan w:val="6"/>
            <w:tcBorders>
              <w:top w:val="nil"/>
              <w:left w:val="nil"/>
              <w:bottom w:val="nil"/>
              <w:right w:val="nil"/>
            </w:tcBorders>
            <w:shd w:val="clear" w:color="auto" w:fill="FFFFFF" w:themeFill="background1"/>
            <w:vAlign w:val="center"/>
            <w:hideMark/>
          </w:tcPr>
          <w:p w14:paraId="7564B83C" w14:textId="77777777" w:rsidR="004A2E5D" w:rsidRPr="00FA5AB3" w:rsidRDefault="004A2E5D" w:rsidP="004A2E5D">
            <w:pPr>
              <w:jc w:val="center"/>
              <w:rPr>
                <w:b/>
                <w:bCs/>
                <w:color w:val="000000"/>
                <w:sz w:val="16"/>
                <w:szCs w:val="16"/>
                <w:lang w:val="es-AR" w:eastAsia="es-AR"/>
              </w:rPr>
            </w:pPr>
            <w:proofErr w:type="spellStart"/>
            <w:r>
              <w:rPr>
                <w:b/>
                <w:bCs/>
                <w:color w:val="000000"/>
                <w:sz w:val="16"/>
                <w:szCs w:val="16"/>
                <w:lang w:val="es-AR" w:eastAsia="es-AR"/>
              </w:rPr>
              <w:t>Discounted</w:t>
            </w:r>
            <w:proofErr w:type="spellEnd"/>
            <w:r>
              <w:rPr>
                <w:b/>
                <w:bCs/>
                <w:color w:val="000000"/>
                <w:sz w:val="16"/>
                <w:szCs w:val="16"/>
                <w:lang w:val="es-AR" w:eastAsia="es-AR"/>
              </w:rPr>
              <w:t xml:space="preserve"> at (%/</w:t>
            </w:r>
            <w:proofErr w:type="spellStart"/>
            <w:r>
              <w:rPr>
                <w:b/>
                <w:bCs/>
                <w:color w:val="000000"/>
                <w:sz w:val="16"/>
                <w:szCs w:val="16"/>
                <w:lang w:val="es-AR" w:eastAsia="es-AR"/>
              </w:rPr>
              <w:t>year</w:t>
            </w:r>
            <w:proofErr w:type="spellEnd"/>
            <w:r>
              <w:rPr>
                <w:b/>
                <w:bCs/>
                <w:color w:val="000000"/>
                <w:sz w:val="16"/>
                <w:szCs w:val="16"/>
                <w:lang w:val="es-AR" w:eastAsia="es-AR"/>
              </w:rPr>
              <w:t>)</w:t>
            </w:r>
          </w:p>
        </w:tc>
      </w:tr>
      <w:tr w:rsidR="00CD7480" w:rsidRPr="00FA5AB3" w14:paraId="373607CD" w14:textId="77777777" w:rsidTr="00042280">
        <w:trPr>
          <w:gridAfter w:val="1"/>
          <w:wAfter w:w="299" w:type="dxa"/>
          <w:trHeight w:val="527"/>
        </w:trPr>
        <w:tc>
          <w:tcPr>
            <w:tcW w:w="2265" w:type="dxa"/>
            <w:vMerge w:val="restart"/>
            <w:tcBorders>
              <w:top w:val="nil"/>
              <w:left w:val="nil"/>
              <w:bottom w:val="nil"/>
              <w:right w:val="nil"/>
            </w:tcBorders>
            <w:shd w:val="clear" w:color="auto" w:fill="FFFFFF" w:themeFill="background1"/>
            <w:vAlign w:val="center"/>
            <w:hideMark/>
          </w:tcPr>
          <w:p w14:paraId="01FE99F7" w14:textId="77777777" w:rsidR="004A2E5D" w:rsidRPr="00FA5AB3" w:rsidRDefault="004A2E5D" w:rsidP="004A2E5D">
            <w:pPr>
              <w:rPr>
                <w:b/>
                <w:bCs/>
                <w:color w:val="000000"/>
                <w:sz w:val="16"/>
                <w:szCs w:val="16"/>
                <w:lang w:val="es-AR" w:eastAsia="es-AR"/>
              </w:rPr>
            </w:pPr>
            <w:r>
              <w:rPr>
                <w:b/>
                <w:bCs/>
                <w:color w:val="000000"/>
                <w:sz w:val="16"/>
                <w:szCs w:val="16"/>
                <w:lang w:val="es-AR" w:eastAsia="es-AR"/>
              </w:rPr>
              <w:t xml:space="preserve">Reserves </w:t>
            </w:r>
            <w:proofErr w:type="spellStart"/>
            <w:r>
              <w:rPr>
                <w:b/>
                <w:bCs/>
                <w:color w:val="000000"/>
                <w:sz w:val="16"/>
                <w:szCs w:val="16"/>
                <w:lang w:val="es-AR" w:eastAsia="es-AR"/>
              </w:rPr>
              <w:t>Category</w:t>
            </w:r>
            <w:proofErr w:type="spellEnd"/>
            <w:r>
              <w:rPr>
                <w:b/>
                <w:bCs/>
                <w:color w:val="000000"/>
                <w:sz w:val="16"/>
                <w:szCs w:val="16"/>
                <w:vertAlign w:val="superscript"/>
                <w:lang w:val="es-AR" w:eastAsia="es-AR"/>
              </w:rPr>
              <w:t xml:space="preserve"> (2)</w:t>
            </w:r>
          </w:p>
        </w:tc>
        <w:tc>
          <w:tcPr>
            <w:tcW w:w="1134" w:type="dxa"/>
            <w:tcBorders>
              <w:top w:val="nil"/>
              <w:left w:val="nil"/>
              <w:bottom w:val="nil"/>
              <w:right w:val="nil"/>
            </w:tcBorders>
            <w:shd w:val="clear" w:color="auto" w:fill="FFFFFF" w:themeFill="background1"/>
            <w:vAlign w:val="center"/>
            <w:hideMark/>
          </w:tcPr>
          <w:p w14:paraId="1F6550A1"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0%</w:t>
            </w:r>
          </w:p>
        </w:tc>
        <w:tc>
          <w:tcPr>
            <w:tcW w:w="1134" w:type="dxa"/>
            <w:tcBorders>
              <w:top w:val="nil"/>
              <w:left w:val="nil"/>
              <w:bottom w:val="nil"/>
              <w:right w:val="nil"/>
            </w:tcBorders>
            <w:shd w:val="clear" w:color="auto" w:fill="FFFFFF" w:themeFill="background1"/>
            <w:vAlign w:val="center"/>
            <w:hideMark/>
          </w:tcPr>
          <w:p w14:paraId="0CD2F74D"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5%</w:t>
            </w:r>
          </w:p>
        </w:tc>
        <w:tc>
          <w:tcPr>
            <w:tcW w:w="1134" w:type="dxa"/>
            <w:tcBorders>
              <w:top w:val="nil"/>
              <w:left w:val="nil"/>
              <w:bottom w:val="nil"/>
              <w:right w:val="nil"/>
            </w:tcBorders>
            <w:shd w:val="clear" w:color="auto" w:fill="FFFFFF" w:themeFill="background1"/>
            <w:vAlign w:val="center"/>
            <w:hideMark/>
          </w:tcPr>
          <w:p w14:paraId="1466020B"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10%</w:t>
            </w:r>
          </w:p>
        </w:tc>
        <w:tc>
          <w:tcPr>
            <w:tcW w:w="1134" w:type="dxa"/>
            <w:tcBorders>
              <w:top w:val="nil"/>
              <w:left w:val="nil"/>
              <w:bottom w:val="nil"/>
              <w:right w:val="nil"/>
            </w:tcBorders>
            <w:shd w:val="clear" w:color="auto" w:fill="FFFFFF" w:themeFill="background1"/>
            <w:vAlign w:val="center"/>
            <w:hideMark/>
          </w:tcPr>
          <w:p w14:paraId="286914E6"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15%</w:t>
            </w:r>
          </w:p>
        </w:tc>
        <w:tc>
          <w:tcPr>
            <w:tcW w:w="1134" w:type="dxa"/>
            <w:tcBorders>
              <w:top w:val="nil"/>
              <w:left w:val="nil"/>
              <w:bottom w:val="nil"/>
              <w:right w:val="nil"/>
            </w:tcBorders>
            <w:shd w:val="clear" w:color="auto" w:fill="FFFFFF" w:themeFill="background1"/>
            <w:vAlign w:val="center"/>
            <w:hideMark/>
          </w:tcPr>
          <w:p w14:paraId="6253782B"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20%</w:t>
            </w:r>
          </w:p>
        </w:tc>
      </w:tr>
      <w:tr w:rsidR="00CD7480" w:rsidRPr="00FA5AB3" w14:paraId="583FDBCA" w14:textId="77777777" w:rsidTr="00042280">
        <w:trPr>
          <w:gridAfter w:val="1"/>
          <w:wAfter w:w="299" w:type="dxa"/>
          <w:trHeight w:val="381"/>
        </w:trPr>
        <w:tc>
          <w:tcPr>
            <w:tcW w:w="2265" w:type="dxa"/>
            <w:vMerge/>
            <w:tcBorders>
              <w:top w:val="nil"/>
              <w:left w:val="nil"/>
              <w:bottom w:val="nil"/>
              <w:right w:val="nil"/>
            </w:tcBorders>
            <w:shd w:val="clear" w:color="auto" w:fill="FFFFFF" w:themeFill="background1"/>
            <w:vAlign w:val="center"/>
            <w:hideMark/>
          </w:tcPr>
          <w:p w14:paraId="2ED618D1" w14:textId="77777777" w:rsidR="004A2E5D" w:rsidRPr="00FA5AB3" w:rsidRDefault="004A2E5D" w:rsidP="004A2E5D">
            <w:pPr>
              <w:rPr>
                <w:b/>
                <w:bCs/>
                <w:color w:val="000000"/>
                <w:sz w:val="16"/>
                <w:szCs w:val="16"/>
                <w:lang w:val="es-AR" w:eastAsia="es-AR"/>
              </w:rPr>
            </w:pPr>
          </w:p>
        </w:tc>
        <w:tc>
          <w:tcPr>
            <w:tcW w:w="1134" w:type="dxa"/>
            <w:tcBorders>
              <w:top w:val="nil"/>
              <w:left w:val="nil"/>
              <w:bottom w:val="nil"/>
              <w:right w:val="nil"/>
            </w:tcBorders>
            <w:shd w:val="clear" w:color="auto" w:fill="FFFFFF" w:themeFill="background1"/>
            <w:vAlign w:val="center"/>
            <w:hideMark/>
          </w:tcPr>
          <w:p w14:paraId="6682DF7E"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MMUS$</w:t>
            </w:r>
          </w:p>
        </w:tc>
        <w:tc>
          <w:tcPr>
            <w:tcW w:w="1134" w:type="dxa"/>
            <w:tcBorders>
              <w:top w:val="nil"/>
              <w:left w:val="nil"/>
              <w:bottom w:val="nil"/>
              <w:right w:val="nil"/>
            </w:tcBorders>
            <w:shd w:val="clear" w:color="auto" w:fill="FFFFFF" w:themeFill="background1"/>
            <w:vAlign w:val="center"/>
            <w:hideMark/>
          </w:tcPr>
          <w:p w14:paraId="45C4CF3F"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MMUS$</w:t>
            </w:r>
          </w:p>
        </w:tc>
        <w:tc>
          <w:tcPr>
            <w:tcW w:w="1134" w:type="dxa"/>
            <w:tcBorders>
              <w:top w:val="nil"/>
              <w:left w:val="nil"/>
              <w:bottom w:val="nil"/>
              <w:right w:val="nil"/>
            </w:tcBorders>
            <w:shd w:val="clear" w:color="auto" w:fill="FFFFFF" w:themeFill="background1"/>
            <w:vAlign w:val="center"/>
            <w:hideMark/>
          </w:tcPr>
          <w:p w14:paraId="2A4F8200"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MMUS$</w:t>
            </w:r>
          </w:p>
        </w:tc>
        <w:tc>
          <w:tcPr>
            <w:tcW w:w="1134" w:type="dxa"/>
            <w:tcBorders>
              <w:top w:val="nil"/>
              <w:left w:val="nil"/>
              <w:bottom w:val="nil"/>
              <w:right w:val="nil"/>
            </w:tcBorders>
            <w:shd w:val="clear" w:color="auto" w:fill="FFFFFF" w:themeFill="background1"/>
            <w:vAlign w:val="center"/>
            <w:hideMark/>
          </w:tcPr>
          <w:p w14:paraId="473AF2DF"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MMUS$</w:t>
            </w:r>
          </w:p>
        </w:tc>
        <w:tc>
          <w:tcPr>
            <w:tcW w:w="1134" w:type="dxa"/>
            <w:tcBorders>
              <w:top w:val="nil"/>
              <w:left w:val="nil"/>
              <w:bottom w:val="nil"/>
              <w:right w:val="nil"/>
            </w:tcBorders>
            <w:shd w:val="clear" w:color="auto" w:fill="FFFFFF" w:themeFill="background1"/>
            <w:vAlign w:val="center"/>
            <w:hideMark/>
          </w:tcPr>
          <w:p w14:paraId="3B8429AE" w14:textId="77777777" w:rsidR="004A2E5D" w:rsidRPr="00FA5AB3" w:rsidRDefault="004A2E5D" w:rsidP="004A2E5D">
            <w:pPr>
              <w:jc w:val="center"/>
              <w:rPr>
                <w:b/>
                <w:bCs/>
                <w:color w:val="000000"/>
                <w:sz w:val="16"/>
                <w:szCs w:val="16"/>
                <w:lang w:val="es-AR" w:eastAsia="es-AR"/>
              </w:rPr>
            </w:pPr>
            <w:r>
              <w:rPr>
                <w:b/>
                <w:bCs/>
                <w:color w:val="000000"/>
                <w:sz w:val="16"/>
                <w:szCs w:val="16"/>
                <w:lang w:val="es-AR" w:eastAsia="es-AR"/>
              </w:rPr>
              <w:t>MMUS$</w:t>
            </w:r>
          </w:p>
        </w:tc>
      </w:tr>
      <w:tr w:rsidR="00CD7480" w:rsidRPr="00FA5AB3" w14:paraId="02743B7B" w14:textId="77777777" w:rsidTr="00042280">
        <w:trPr>
          <w:gridAfter w:val="1"/>
          <w:wAfter w:w="299" w:type="dxa"/>
          <w:trHeight w:val="363"/>
        </w:trPr>
        <w:tc>
          <w:tcPr>
            <w:tcW w:w="2265" w:type="dxa"/>
            <w:tcBorders>
              <w:top w:val="nil"/>
              <w:left w:val="nil"/>
              <w:bottom w:val="nil"/>
              <w:right w:val="nil"/>
            </w:tcBorders>
            <w:shd w:val="clear" w:color="auto" w:fill="FFFFFF" w:themeFill="background1"/>
            <w:vAlign w:val="center"/>
            <w:hideMark/>
          </w:tcPr>
          <w:p w14:paraId="24DFBD96" w14:textId="77777777" w:rsidR="004A2E5D" w:rsidRPr="00FA5AB3" w:rsidRDefault="004A2E5D" w:rsidP="004A2E5D">
            <w:pPr>
              <w:rPr>
                <w:color w:val="000000"/>
                <w:sz w:val="16"/>
                <w:szCs w:val="16"/>
                <w:lang w:val="es-AR" w:eastAsia="es-AR"/>
              </w:rPr>
            </w:pPr>
            <w:proofErr w:type="spellStart"/>
            <w:r>
              <w:rPr>
                <w:color w:val="000000"/>
                <w:sz w:val="16"/>
                <w:szCs w:val="16"/>
                <w:lang w:val="es-AR" w:eastAsia="es-AR"/>
              </w:rPr>
              <w:t>Proved</w:t>
            </w:r>
            <w:proofErr w:type="spellEnd"/>
            <w:r>
              <w:rPr>
                <w:color w:val="000000"/>
                <w:sz w:val="16"/>
                <w:szCs w:val="16"/>
                <w:lang w:val="es-AR" w:eastAsia="es-AR"/>
              </w:rPr>
              <w:t>:</w:t>
            </w:r>
          </w:p>
        </w:tc>
        <w:tc>
          <w:tcPr>
            <w:tcW w:w="1134" w:type="dxa"/>
            <w:tcBorders>
              <w:top w:val="single" w:sz="4" w:space="0" w:color="auto"/>
              <w:left w:val="nil"/>
              <w:bottom w:val="nil"/>
              <w:right w:val="nil"/>
            </w:tcBorders>
            <w:shd w:val="clear" w:color="auto" w:fill="FFFFFF" w:themeFill="background1"/>
            <w:vAlign w:val="center"/>
            <w:hideMark/>
          </w:tcPr>
          <w:p w14:paraId="3678D7DE" w14:textId="77777777" w:rsidR="004A2E5D" w:rsidRPr="00FA5AB3" w:rsidRDefault="004A2E5D" w:rsidP="004A2E5D">
            <w:pPr>
              <w:jc w:val="both"/>
              <w:rPr>
                <w:color w:val="000000"/>
                <w:sz w:val="16"/>
                <w:szCs w:val="16"/>
                <w:lang w:val="es-AR" w:eastAsia="es-AR"/>
              </w:rPr>
            </w:pPr>
            <w:r>
              <w:rPr>
                <w:color w:val="000000"/>
                <w:sz w:val="16"/>
                <w:szCs w:val="16"/>
                <w:lang w:val="es-AR" w:eastAsia="es-AR"/>
              </w:rPr>
              <w:t> </w:t>
            </w:r>
          </w:p>
        </w:tc>
        <w:tc>
          <w:tcPr>
            <w:tcW w:w="1134" w:type="dxa"/>
            <w:tcBorders>
              <w:top w:val="single" w:sz="4" w:space="0" w:color="auto"/>
              <w:left w:val="nil"/>
              <w:bottom w:val="nil"/>
              <w:right w:val="nil"/>
            </w:tcBorders>
            <w:shd w:val="clear" w:color="auto" w:fill="FFFFFF" w:themeFill="background1"/>
            <w:vAlign w:val="center"/>
            <w:hideMark/>
          </w:tcPr>
          <w:p w14:paraId="54FE3836" w14:textId="77777777" w:rsidR="004A2E5D" w:rsidRPr="00FA5AB3" w:rsidRDefault="004A2E5D" w:rsidP="004A2E5D">
            <w:pPr>
              <w:jc w:val="both"/>
              <w:rPr>
                <w:color w:val="000000"/>
                <w:sz w:val="16"/>
                <w:szCs w:val="16"/>
                <w:lang w:val="es-AR" w:eastAsia="es-AR"/>
              </w:rPr>
            </w:pPr>
            <w:r>
              <w:rPr>
                <w:color w:val="000000"/>
                <w:sz w:val="16"/>
                <w:szCs w:val="16"/>
                <w:lang w:val="es-AR" w:eastAsia="es-AR"/>
              </w:rPr>
              <w:t> </w:t>
            </w:r>
          </w:p>
        </w:tc>
        <w:tc>
          <w:tcPr>
            <w:tcW w:w="1134" w:type="dxa"/>
            <w:tcBorders>
              <w:top w:val="single" w:sz="4" w:space="0" w:color="auto"/>
              <w:left w:val="nil"/>
              <w:bottom w:val="nil"/>
              <w:right w:val="nil"/>
            </w:tcBorders>
            <w:shd w:val="clear" w:color="auto" w:fill="FFFFFF" w:themeFill="background1"/>
            <w:vAlign w:val="center"/>
            <w:hideMark/>
          </w:tcPr>
          <w:p w14:paraId="37BF6448" w14:textId="77777777" w:rsidR="004A2E5D" w:rsidRPr="00FA5AB3" w:rsidRDefault="004A2E5D" w:rsidP="004A2E5D">
            <w:pPr>
              <w:jc w:val="both"/>
              <w:rPr>
                <w:color w:val="000000"/>
                <w:sz w:val="16"/>
                <w:szCs w:val="16"/>
                <w:lang w:val="es-AR" w:eastAsia="es-AR"/>
              </w:rPr>
            </w:pPr>
            <w:r>
              <w:rPr>
                <w:color w:val="000000"/>
                <w:sz w:val="16"/>
                <w:szCs w:val="16"/>
                <w:lang w:val="es-AR" w:eastAsia="es-AR"/>
              </w:rPr>
              <w:t> </w:t>
            </w:r>
          </w:p>
        </w:tc>
        <w:tc>
          <w:tcPr>
            <w:tcW w:w="1134" w:type="dxa"/>
            <w:tcBorders>
              <w:top w:val="single" w:sz="4" w:space="0" w:color="auto"/>
              <w:left w:val="nil"/>
              <w:bottom w:val="nil"/>
              <w:right w:val="nil"/>
            </w:tcBorders>
            <w:shd w:val="clear" w:color="auto" w:fill="FFFFFF" w:themeFill="background1"/>
            <w:vAlign w:val="center"/>
            <w:hideMark/>
          </w:tcPr>
          <w:p w14:paraId="4476F0E1" w14:textId="77777777" w:rsidR="004A2E5D" w:rsidRPr="00FA5AB3" w:rsidRDefault="004A2E5D" w:rsidP="004A2E5D">
            <w:pPr>
              <w:jc w:val="both"/>
              <w:rPr>
                <w:color w:val="000000"/>
                <w:sz w:val="16"/>
                <w:szCs w:val="16"/>
                <w:lang w:val="es-AR" w:eastAsia="es-AR"/>
              </w:rPr>
            </w:pPr>
            <w:r>
              <w:rPr>
                <w:color w:val="000000"/>
                <w:sz w:val="16"/>
                <w:szCs w:val="16"/>
                <w:lang w:val="es-AR" w:eastAsia="es-AR"/>
              </w:rPr>
              <w:t> </w:t>
            </w:r>
          </w:p>
        </w:tc>
        <w:tc>
          <w:tcPr>
            <w:tcW w:w="1134" w:type="dxa"/>
            <w:tcBorders>
              <w:top w:val="single" w:sz="4" w:space="0" w:color="auto"/>
              <w:left w:val="nil"/>
              <w:bottom w:val="nil"/>
              <w:right w:val="nil"/>
            </w:tcBorders>
            <w:shd w:val="clear" w:color="auto" w:fill="FFFFFF" w:themeFill="background1"/>
            <w:vAlign w:val="center"/>
            <w:hideMark/>
          </w:tcPr>
          <w:p w14:paraId="2203AF99" w14:textId="77777777" w:rsidR="004A2E5D" w:rsidRPr="00FA5AB3" w:rsidRDefault="004A2E5D" w:rsidP="004A2E5D">
            <w:pPr>
              <w:jc w:val="both"/>
              <w:rPr>
                <w:color w:val="000000"/>
                <w:sz w:val="16"/>
                <w:szCs w:val="16"/>
                <w:lang w:val="es-AR" w:eastAsia="es-AR"/>
              </w:rPr>
            </w:pPr>
            <w:r>
              <w:rPr>
                <w:color w:val="000000"/>
                <w:sz w:val="16"/>
                <w:szCs w:val="16"/>
                <w:lang w:val="es-AR" w:eastAsia="es-AR"/>
              </w:rPr>
              <w:t> </w:t>
            </w:r>
          </w:p>
        </w:tc>
      </w:tr>
      <w:tr w:rsidR="00FA5AB3" w:rsidRPr="00FA5AB3" w14:paraId="51FB394E" w14:textId="77777777" w:rsidTr="00042280">
        <w:trPr>
          <w:gridAfter w:val="1"/>
          <w:wAfter w:w="299" w:type="dxa"/>
          <w:trHeight w:val="381"/>
        </w:trPr>
        <w:tc>
          <w:tcPr>
            <w:tcW w:w="2265" w:type="dxa"/>
            <w:tcBorders>
              <w:top w:val="nil"/>
              <w:left w:val="nil"/>
              <w:bottom w:val="nil"/>
              <w:right w:val="nil"/>
            </w:tcBorders>
            <w:shd w:val="clear" w:color="auto" w:fill="FFFFFF" w:themeFill="background1"/>
            <w:hideMark/>
          </w:tcPr>
          <w:p w14:paraId="401A8851" w14:textId="77777777" w:rsidR="00FA5AB3" w:rsidRPr="00FA5AB3" w:rsidRDefault="00FA5AB3" w:rsidP="00FA5AB3">
            <w:pPr>
              <w:rPr>
                <w:b/>
                <w:bCs/>
                <w:color w:val="000000"/>
                <w:sz w:val="16"/>
                <w:szCs w:val="16"/>
                <w:lang w:val="es-AR" w:eastAsia="es-AR"/>
              </w:rPr>
            </w:pPr>
            <w:proofErr w:type="spellStart"/>
            <w:r>
              <w:rPr>
                <w:b/>
                <w:bCs/>
                <w:color w:val="000000"/>
                <w:sz w:val="16"/>
                <w:szCs w:val="16"/>
                <w:lang w:val="es-AR" w:eastAsia="es-AR"/>
              </w:rPr>
              <w:t>Developed</w:t>
            </w:r>
            <w:proofErr w:type="spellEnd"/>
            <w:r>
              <w:rPr>
                <w:b/>
                <w:bCs/>
                <w:color w:val="000000"/>
                <w:sz w:val="16"/>
                <w:szCs w:val="16"/>
                <w:lang w:val="es-AR" w:eastAsia="es-AR"/>
              </w:rPr>
              <w:t xml:space="preserve"> </w:t>
            </w:r>
            <w:proofErr w:type="spellStart"/>
            <w:r>
              <w:rPr>
                <w:b/>
                <w:bCs/>
                <w:color w:val="000000"/>
                <w:sz w:val="16"/>
                <w:szCs w:val="16"/>
                <w:lang w:val="es-AR" w:eastAsia="es-AR"/>
              </w:rPr>
              <w:t>Producing</w:t>
            </w:r>
            <w:proofErr w:type="spellEnd"/>
          </w:p>
        </w:tc>
        <w:tc>
          <w:tcPr>
            <w:tcW w:w="1134" w:type="dxa"/>
            <w:tcBorders>
              <w:top w:val="nil"/>
              <w:left w:val="nil"/>
              <w:bottom w:val="nil"/>
              <w:right w:val="nil"/>
            </w:tcBorders>
            <w:shd w:val="clear" w:color="auto" w:fill="FFFFFF" w:themeFill="background1"/>
            <w:vAlign w:val="center"/>
            <w:hideMark/>
          </w:tcPr>
          <w:p w14:paraId="54EC72D4" w14:textId="77777777" w:rsidR="00FA5AB3" w:rsidRPr="00FA5AB3" w:rsidRDefault="00FA5AB3" w:rsidP="00FA5AB3">
            <w:pPr>
              <w:jc w:val="center"/>
              <w:rPr>
                <w:color w:val="000000"/>
                <w:sz w:val="16"/>
                <w:szCs w:val="16"/>
                <w:lang w:val="es-AR" w:eastAsia="es-AR"/>
              </w:rPr>
            </w:pPr>
            <w:r>
              <w:rPr>
                <w:b/>
                <w:bCs/>
                <w:sz w:val="16"/>
                <w:szCs w:val="16"/>
              </w:rPr>
              <w:t>200.6</w:t>
            </w:r>
          </w:p>
        </w:tc>
        <w:tc>
          <w:tcPr>
            <w:tcW w:w="1134" w:type="dxa"/>
            <w:tcBorders>
              <w:top w:val="nil"/>
              <w:left w:val="nil"/>
              <w:bottom w:val="nil"/>
              <w:right w:val="nil"/>
            </w:tcBorders>
            <w:shd w:val="clear" w:color="auto" w:fill="FFFFFF" w:themeFill="background1"/>
            <w:vAlign w:val="center"/>
            <w:hideMark/>
          </w:tcPr>
          <w:p w14:paraId="0DFE12F9" w14:textId="77777777" w:rsidR="00FA5AB3" w:rsidRPr="00FA5AB3" w:rsidRDefault="00FA5AB3" w:rsidP="00FA5AB3">
            <w:pPr>
              <w:jc w:val="center"/>
              <w:rPr>
                <w:color w:val="000000"/>
                <w:sz w:val="16"/>
                <w:szCs w:val="16"/>
                <w:lang w:val="es-AR" w:eastAsia="es-AR"/>
              </w:rPr>
            </w:pPr>
            <w:r>
              <w:rPr>
                <w:b/>
                <w:bCs/>
                <w:sz w:val="16"/>
                <w:szCs w:val="16"/>
              </w:rPr>
              <w:t>158.0</w:t>
            </w:r>
          </w:p>
        </w:tc>
        <w:tc>
          <w:tcPr>
            <w:tcW w:w="1134" w:type="dxa"/>
            <w:tcBorders>
              <w:top w:val="nil"/>
              <w:left w:val="nil"/>
              <w:bottom w:val="nil"/>
              <w:right w:val="nil"/>
            </w:tcBorders>
            <w:shd w:val="clear" w:color="auto" w:fill="FFFFFF" w:themeFill="background1"/>
            <w:vAlign w:val="center"/>
            <w:hideMark/>
          </w:tcPr>
          <w:p w14:paraId="672A99C5" w14:textId="77777777" w:rsidR="00FA5AB3" w:rsidRPr="00FA5AB3" w:rsidRDefault="00FA5AB3" w:rsidP="00FA5AB3">
            <w:pPr>
              <w:jc w:val="center"/>
              <w:rPr>
                <w:color w:val="000000"/>
                <w:sz w:val="16"/>
                <w:szCs w:val="16"/>
                <w:lang w:val="es-AR" w:eastAsia="es-AR"/>
              </w:rPr>
            </w:pPr>
            <w:r>
              <w:rPr>
                <w:b/>
                <w:bCs/>
                <w:sz w:val="16"/>
                <w:szCs w:val="16"/>
              </w:rPr>
              <w:t>128.3</w:t>
            </w:r>
          </w:p>
        </w:tc>
        <w:tc>
          <w:tcPr>
            <w:tcW w:w="1134" w:type="dxa"/>
            <w:tcBorders>
              <w:top w:val="nil"/>
              <w:left w:val="nil"/>
              <w:bottom w:val="nil"/>
              <w:right w:val="nil"/>
            </w:tcBorders>
            <w:shd w:val="clear" w:color="auto" w:fill="FFFFFF" w:themeFill="background1"/>
            <w:vAlign w:val="center"/>
            <w:hideMark/>
          </w:tcPr>
          <w:p w14:paraId="685A070F" w14:textId="77777777" w:rsidR="00FA5AB3" w:rsidRPr="00FA5AB3" w:rsidRDefault="00FA5AB3" w:rsidP="00FA5AB3">
            <w:pPr>
              <w:jc w:val="center"/>
              <w:rPr>
                <w:color w:val="000000"/>
                <w:sz w:val="16"/>
                <w:szCs w:val="16"/>
                <w:lang w:val="es-AR" w:eastAsia="es-AR"/>
              </w:rPr>
            </w:pPr>
            <w:r>
              <w:rPr>
                <w:b/>
                <w:bCs/>
                <w:sz w:val="16"/>
                <w:szCs w:val="16"/>
              </w:rPr>
              <w:t>107.4</w:t>
            </w:r>
          </w:p>
        </w:tc>
        <w:tc>
          <w:tcPr>
            <w:tcW w:w="1134" w:type="dxa"/>
            <w:tcBorders>
              <w:top w:val="nil"/>
              <w:left w:val="nil"/>
              <w:bottom w:val="nil"/>
              <w:right w:val="nil"/>
            </w:tcBorders>
            <w:shd w:val="clear" w:color="auto" w:fill="FFFFFF" w:themeFill="background1"/>
            <w:vAlign w:val="center"/>
            <w:hideMark/>
          </w:tcPr>
          <w:p w14:paraId="60CDCB40" w14:textId="77777777" w:rsidR="00FA5AB3" w:rsidRPr="00FA5AB3" w:rsidRDefault="00FA5AB3" w:rsidP="00FA5AB3">
            <w:pPr>
              <w:jc w:val="center"/>
              <w:rPr>
                <w:color w:val="000000"/>
                <w:sz w:val="16"/>
                <w:szCs w:val="16"/>
                <w:lang w:val="es-AR" w:eastAsia="es-AR"/>
              </w:rPr>
            </w:pPr>
            <w:r>
              <w:rPr>
                <w:b/>
                <w:bCs/>
                <w:sz w:val="16"/>
                <w:szCs w:val="16"/>
              </w:rPr>
              <w:t>92.2</w:t>
            </w:r>
          </w:p>
        </w:tc>
      </w:tr>
      <w:tr w:rsidR="00FA5AB3" w:rsidRPr="00FA5AB3" w14:paraId="53FD07ED" w14:textId="77777777" w:rsidTr="00042280">
        <w:trPr>
          <w:gridAfter w:val="1"/>
          <w:wAfter w:w="299" w:type="dxa"/>
          <w:trHeight w:val="381"/>
        </w:trPr>
        <w:tc>
          <w:tcPr>
            <w:tcW w:w="2265" w:type="dxa"/>
            <w:tcBorders>
              <w:top w:val="nil"/>
              <w:left w:val="nil"/>
              <w:bottom w:val="nil"/>
              <w:right w:val="nil"/>
            </w:tcBorders>
            <w:shd w:val="clear" w:color="auto" w:fill="FFFFFF" w:themeFill="background1"/>
            <w:hideMark/>
          </w:tcPr>
          <w:p w14:paraId="2DD2441F" w14:textId="77777777" w:rsidR="00FA5AB3" w:rsidRPr="00FA5AB3" w:rsidRDefault="00FA5AB3" w:rsidP="00FA5AB3">
            <w:pPr>
              <w:rPr>
                <w:color w:val="000000"/>
                <w:sz w:val="16"/>
                <w:szCs w:val="16"/>
                <w:lang w:val="es-AR" w:eastAsia="es-AR"/>
              </w:rPr>
            </w:pPr>
            <w:proofErr w:type="spellStart"/>
            <w:r>
              <w:rPr>
                <w:color w:val="000000"/>
                <w:sz w:val="16"/>
                <w:szCs w:val="16"/>
                <w:lang w:val="es-AR" w:eastAsia="es-AR"/>
              </w:rPr>
              <w:t>Developed</w:t>
            </w:r>
            <w:proofErr w:type="spellEnd"/>
            <w:r>
              <w:rPr>
                <w:color w:val="000000"/>
                <w:sz w:val="16"/>
                <w:szCs w:val="16"/>
                <w:lang w:val="es-AR" w:eastAsia="es-AR"/>
              </w:rPr>
              <w:t xml:space="preserve"> Non-</w:t>
            </w:r>
            <w:proofErr w:type="spellStart"/>
            <w:r>
              <w:rPr>
                <w:color w:val="000000"/>
                <w:sz w:val="16"/>
                <w:szCs w:val="16"/>
                <w:lang w:val="es-AR" w:eastAsia="es-AR"/>
              </w:rPr>
              <w:t>Producing</w:t>
            </w:r>
            <w:proofErr w:type="spellEnd"/>
          </w:p>
        </w:tc>
        <w:tc>
          <w:tcPr>
            <w:tcW w:w="1134" w:type="dxa"/>
            <w:tcBorders>
              <w:top w:val="nil"/>
              <w:left w:val="nil"/>
              <w:bottom w:val="nil"/>
              <w:right w:val="nil"/>
            </w:tcBorders>
            <w:shd w:val="clear" w:color="auto" w:fill="FFFFFF" w:themeFill="background1"/>
            <w:vAlign w:val="center"/>
            <w:hideMark/>
          </w:tcPr>
          <w:p w14:paraId="768C2A7B" w14:textId="77777777" w:rsidR="00FA5AB3" w:rsidRPr="00FA5AB3" w:rsidRDefault="00FA5AB3" w:rsidP="00FA5AB3">
            <w:pPr>
              <w:jc w:val="center"/>
              <w:rPr>
                <w:color w:val="000000"/>
                <w:sz w:val="16"/>
                <w:szCs w:val="16"/>
                <w:lang w:val="es-AR" w:eastAsia="es-AR"/>
              </w:rPr>
            </w:pPr>
            <w:r>
              <w:rPr>
                <w:color w:val="000000"/>
                <w:sz w:val="16"/>
                <w:szCs w:val="16"/>
              </w:rPr>
              <w:t>161.3</w:t>
            </w:r>
          </w:p>
        </w:tc>
        <w:tc>
          <w:tcPr>
            <w:tcW w:w="1134" w:type="dxa"/>
            <w:tcBorders>
              <w:top w:val="nil"/>
              <w:left w:val="nil"/>
              <w:bottom w:val="nil"/>
              <w:right w:val="nil"/>
            </w:tcBorders>
            <w:shd w:val="clear" w:color="auto" w:fill="FFFFFF" w:themeFill="background1"/>
            <w:vAlign w:val="center"/>
            <w:hideMark/>
          </w:tcPr>
          <w:p w14:paraId="7A46ACFD" w14:textId="77777777" w:rsidR="00FA5AB3" w:rsidRPr="00FA5AB3" w:rsidRDefault="00FA5AB3" w:rsidP="00FA5AB3">
            <w:pPr>
              <w:jc w:val="center"/>
              <w:rPr>
                <w:color w:val="000000"/>
                <w:sz w:val="16"/>
                <w:szCs w:val="16"/>
                <w:lang w:val="es-AR" w:eastAsia="es-AR"/>
              </w:rPr>
            </w:pPr>
            <w:r>
              <w:rPr>
                <w:color w:val="000000"/>
                <w:sz w:val="16"/>
                <w:szCs w:val="16"/>
              </w:rPr>
              <w:t>99.7</w:t>
            </w:r>
          </w:p>
        </w:tc>
        <w:tc>
          <w:tcPr>
            <w:tcW w:w="1134" w:type="dxa"/>
            <w:tcBorders>
              <w:top w:val="nil"/>
              <w:left w:val="nil"/>
              <w:bottom w:val="nil"/>
              <w:right w:val="nil"/>
            </w:tcBorders>
            <w:shd w:val="clear" w:color="auto" w:fill="FFFFFF" w:themeFill="background1"/>
            <w:vAlign w:val="center"/>
            <w:hideMark/>
          </w:tcPr>
          <w:p w14:paraId="04674CF1" w14:textId="77777777" w:rsidR="00FA5AB3" w:rsidRPr="00FA5AB3" w:rsidRDefault="00FA5AB3" w:rsidP="00FA5AB3">
            <w:pPr>
              <w:jc w:val="center"/>
              <w:rPr>
                <w:color w:val="000000"/>
                <w:sz w:val="16"/>
                <w:szCs w:val="16"/>
                <w:lang w:val="es-AR" w:eastAsia="es-AR"/>
              </w:rPr>
            </w:pPr>
            <w:r>
              <w:rPr>
                <w:color w:val="000000"/>
                <w:sz w:val="16"/>
                <w:szCs w:val="16"/>
              </w:rPr>
              <w:t>62.2</w:t>
            </w:r>
          </w:p>
        </w:tc>
        <w:tc>
          <w:tcPr>
            <w:tcW w:w="1134" w:type="dxa"/>
            <w:tcBorders>
              <w:top w:val="nil"/>
              <w:left w:val="nil"/>
              <w:bottom w:val="nil"/>
              <w:right w:val="nil"/>
            </w:tcBorders>
            <w:shd w:val="clear" w:color="auto" w:fill="FFFFFF" w:themeFill="background1"/>
            <w:vAlign w:val="center"/>
            <w:hideMark/>
          </w:tcPr>
          <w:p w14:paraId="09FF63BD" w14:textId="77777777" w:rsidR="00FA5AB3" w:rsidRPr="00FA5AB3" w:rsidRDefault="00FA5AB3" w:rsidP="00FA5AB3">
            <w:pPr>
              <w:jc w:val="center"/>
              <w:rPr>
                <w:color w:val="000000"/>
                <w:sz w:val="16"/>
                <w:szCs w:val="16"/>
                <w:lang w:val="es-AR" w:eastAsia="es-AR"/>
              </w:rPr>
            </w:pPr>
            <w:r>
              <w:rPr>
                <w:color w:val="000000"/>
                <w:sz w:val="16"/>
                <w:szCs w:val="16"/>
              </w:rPr>
              <w:t>38.5</w:t>
            </w:r>
          </w:p>
        </w:tc>
        <w:tc>
          <w:tcPr>
            <w:tcW w:w="1134" w:type="dxa"/>
            <w:tcBorders>
              <w:top w:val="nil"/>
              <w:left w:val="nil"/>
              <w:bottom w:val="nil"/>
              <w:right w:val="nil"/>
            </w:tcBorders>
            <w:shd w:val="clear" w:color="auto" w:fill="FFFFFF" w:themeFill="background1"/>
            <w:vAlign w:val="center"/>
            <w:hideMark/>
          </w:tcPr>
          <w:p w14:paraId="25A20741" w14:textId="77777777" w:rsidR="00FA5AB3" w:rsidRPr="00FA5AB3" w:rsidRDefault="00FA5AB3" w:rsidP="00FA5AB3">
            <w:pPr>
              <w:jc w:val="center"/>
              <w:rPr>
                <w:color w:val="000000"/>
                <w:sz w:val="16"/>
                <w:szCs w:val="16"/>
                <w:lang w:val="es-AR" w:eastAsia="es-AR"/>
              </w:rPr>
            </w:pPr>
            <w:r>
              <w:rPr>
                <w:color w:val="000000"/>
                <w:sz w:val="16"/>
                <w:szCs w:val="16"/>
              </w:rPr>
              <w:t>23.2</w:t>
            </w:r>
          </w:p>
        </w:tc>
      </w:tr>
      <w:tr w:rsidR="00FA5AB3" w:rsidRPr="00FA5AB3" w14:paraId="611B2670" w14:textId="77777777" w:rsidTr="00042280">
        <w:trPr>
          <w:gridAfter w:val="1"/>
          <w:wAfter w:w="299" w:type="dxa"/>
          <w:trHeight w:val="381"/>
        </w:trPr>
        <w:tc>
          <w:tcPr>
            <w:tcW w:w="2265" w:type="dxa"/>
            <w:tcBorders>
              <w:top w:val="nil"/>
              <w:left w:val="nil"/>
              <w:bottom w:val="nil"/>
              <w:right w:val="nil"/>
            </w:tcBorders>
            <w:shd w:val="clear" w:color="auto" w:fill="FFFFFF" w:themeFill="background1"/>
            <w:hideMark/>
          </w:tcPr>
          <w:p w14:paraId="2D25FB98" w14:textId="77777777" w:rsidR="00FA5AB3" w:rsidRPr="00FA5AB3" w:rsidRDefault="00FA5AB3" w:rsidP="00FA5AB3">
            <w:pPr>
              <w:rPr>
                <w:color w:val="000000"/>
                <w:sz w:val="16"/>
                <w:szCs w:val="16"/>
                <w:lang w:val="es-AR" w:eastAsia="es-AR"/>
              </w:rPr>
            </w:pPr>
            <w:proofErr w:type="spellStart"/>
            <w:r>
              <w:rPr>
                <w:color w:val="000000"/>
                <w:sz w:val="16"/>
                <w:szCs w:val="16"/>
                <w:lang w:val="es-AR" w:eastAsia="es-AR"/>
              </w:rPr>
              <w:t>Undeveloped</w:t>
            </w:r>
            <w:proofErr w:type="spellEnd"/>
          </w:p>
        </w:tc>
        <w:tc>
          <w:tcPr>
            <w:tcW w:w="1134" w:type="dxa"/>
            <w:tcBorders>
              <w:top w:val="nil"/>
              <w:left w:val="nil"/>
              <w:bottom w:val="nil"/>
              <w:right w:val="nil"/>
            </w:tcBorders>
            <w:shd w:val="clear" w:color="auto" w:fill="FFFFFF" w:themeFill="background1"/>
            <w:vAlign w:val="center"/>
            <w:hideMark/>
          </w:tcPr>
          <w:p w14:paraId="2531D0A9" w14:textId="77777777" w:rsidR="00FA5AB3" w:rsidRPr="00FA5AB3" w:rsidRDefault="00FA5AB3" w:rsidP="00FA5AB3">
            <w:pPr>
              <w:jc w:val="center"/>
              <w:rPr>
                <w:color w:val="000000"/>
                <w:sz w:val="16"/>
                <w:szCs w:val="16"/>
                <w:lang w:val="es-AR" w:eastAsia="es-AR"/>
              </w:rPr>
            </w:pPr>
            <w:r>
              <w:rPr>
                <w:color w:val="000000"/>
                <w:sz w:val="16"/>
                <w:szCs w:val="16"/>
              </w:rPr>
              <w:t>130.2</w:t>
            </w:r>
          </w:p>
        </w:tc>
        <w:tc>
          <w:tcPr>
            <w:tcW w:w="1134" w:type="dxa"/>
            <w:tcBorders>
              <w:top w:val="nil"/>
              <w:left w:val="nil"/>
              <w:bottom w:val="nil"/>
              <w:right w:val="nil"/>
            </w:tcBorders>
            <w:shd w:val="clear" w:color="auto" w:fill="FFFFFF" w:themeFill="background1"/>
            <w:vAlign w:val="center"/>
            <w:hideMark/>
          </w:tcPr>
          <w:p w14:paraId="031EA017" w14:textId="77777777" w:rsidR="00FA5AB3" w:rsidRPr="00FA5AB3" w:rsidRDefault="00FA5AB3" w:rsidP="00FA5AB3">
            <w:pPr>
              <w:jc w:val="center"/>
              <w:rPr>
                <w:color w:val="000000"/>
                <w:sz w:val="16"/>
                <w:szCs w:val="16"/>
                <w:lang w:val="es-AR" w:eastAsia="es-AR"/>
              </w:rPr>
            </w:pPr>
            <w:r>
              <w:rPr>
                <w:color w:val="000000"/>
                <w:sz w:val="16"/>
                <w:szCs w:val="16"/>
              </w:rPr>
              <w:t>67.6</w:t>
            </w:r>
          </w:p>
        </w:tc>
        <w:tc>
          <w:tcPr>
            <w:tcW w:w="1134" w:type="dxa"/>
            <w:tcBorders>
              <w:top w:val="nil"/>
              <w:left w:val="nil"/>
              <w:bottom w:val="nil"/>
              <w:right w:val="nil"/>
            </w:tcBorders>
            <w:shd w:val="clear" w:color="auto" w:fill="FFFFFF" w:themeFill="background1"/>
            <w:vAlign w:val="center"/>
            <w:hideMark/>
          </w:tcPr>
          <w:p w14:paraId="48F04AC7" w14:textId="77777777" w:rsidR="00FA5AB3" w:rsidRPr="00FA5AB3" w:rsidRDefault="00FA5AB3" w:rsidP="00FA5AB3">
            <w:pPr>
              <w:jc w:val="center"/>
              <w:rPr>
                <w:color w:val="000000"/>
                <w:sz w:val="16"/>
                <w:szCs w:val="16"/>
                <w:lang w:val="es-AR" w:eastAsia="es-AR"/>
              </w:rPr>
            </w:pPr>
            <w:r>
              <w:rPr>
                <w:color w:val="000000"/>
                <w:sz w:val="16"/>
                <w:szCs w:val="16"/>
              </w:rPr>
              <w:t>32.2</w:t>
            </w:r>
          </w:p>
        </w:tc>
        <w:tc>
          <w:tcPr>
            <w:tcW w:w="1134" w:type="dxa"/>
            <w:tcBorders>
              <w:top w:val="nil"/>
              <w:left w:val="nil"/>
              <w:bottom w:val="nil"/>
              <w:right w:val="nil"/>
            </w:tcBorders>
            <w:shd w:val="clear" w:color="auto" w:fill="FFFFFF" w:themeFill="background1"/>
            <w:vAlign w:val="center"/>
            <w:hideMark/>
          </w:tcPr>
          <w:p w14:paraId="45718584" w14:textId="77777777" w:rsidR="00FA5AB3" w:rsidRPr="00FA5AB3" w:rsidRDefault="00FA5AB3" w:rsidP="00FA5AB3">
            <w:pPr>
              <w:jc w:val="center"/>
              <w:rPr>
                <w:color w:val="000000"/>
                <w:sz w:val="16"/>
                <w:szCs w:val="16"/>
                <w:lang w:val="es-AR" w:eastAsia="es-AR"/>
              </w:rPr>
            </w:pPr>
            <w:r>
              <w:rPr>
                <w:color w:val="000000"/>
                <w:sz w:val="16"/>
                <w:szCs w:val="16"/>
              </w:rPr>
              <w:t>11.2</w:t>
            </w:r>
          </w:p>
        </w:tc>
        <w:tc>
          <w:tcPr>
            <w:tcW w:w="1134" w:type="dxa"/>
            <w:tcBorders>
              <w:top w:val="nil"/>
              <w:left w:val="nil"/>
              <w:bottom w:val="nil"/>
              <w:right w:val="nil"/>
            </w:tcBorders>
            <w:shd w:val="clear" w:color="auto" w:fill="FFFFFF" w:themeFill="background1"/>
            <w:vAlign w:val="center"/>
            <w:hideMark/>
          </w:tcPr>
          <w:p w14:paraId="2F1C05E6" w14:textId="77777777" w:rsidR="00FA5AB3" w:rsidRPr="00FA5AB3" w:rsidRDefault="00FA5AB3" w:rsidP="00FA5AB3">
            <w:pPr>
              <w:jc w:val="center"/>
              <w:rPr>
                <w:color w:val="000000"/>
                <w:sz w:val="16"/>
                <w:szCs w:val="16"/>
                <w:lang w:val="es-AR" w:eastAsia="es-AR"/>
              </w:rPr>
            </w:pPr>
            <w:r>
              <w:rPr>
                <w:color w:val="000000"/>
                <w:sz w:val="16"/>
                <w:szCs w:val="16"/>
              </w:rPr>
              <w:t>-1.7</w:t>
            </w:r>
          </w:p>
        </w:tc>
      </w:tr>
      <w:tr w:rsidR="00FA5AB3" w:rsidRPr="00FA5AB3" w14:paraId="2406A120" w14:textId="77777777" w:rsidTr="00042280">
        <w:trPr>
          <w:gridAfter w:val="1"/>
          <w:wAfter w:w="299" w:type="dxa"/>
          <w:trHeight w:val="381"/>
        </w:trPr>
        <w:tc>
          <w:tcPr>
            <w:tcW w:w="2265" w:type="dxa"/>
            <w:tcBorders>
              <w:top w:val="nil"/>
              <w:left w:val="nil"/>
              <w:bottom w:val="nil"/>
              <w:right w:val="nil"/>
            </w:tcBorders>
            <w:shd w:val="clear" w:color="auto" w:fill="FFFFFF" w:themeFill="background1"/>
            <w:hideMark/>
          </w:tcPr>
          <w:p w14:paraId="699E8761" w14:textId="77777777" w:rsidR="00FA5AB3" w:rsidRPr="00FA5AB3" w:rsidRDefault="00FA5AB3" w:rsidP="00FA5AB3">
            <w:pPr>
              <w:rPr>
                <w:b/>
                <w:bCs/>
                <w:color w:val="000000"/>
                <w:sz w:val="16"/>
                <w:szCs w:val="16"/>
                <w:lang w:val="es-AR" w:eastAsia="es-AR"/>
              </w:rPr>
            </w:pPr>
            <w:proofErr w:type="gramStart"/>
            <w:r>
              <w:rPr>
                <w:b/>
                <w:bCs/>
                <w:color w:val="000000"/>
                <w:sz w:val="16"/>
                <w:szCs w:val="16"/>
                <w:lang w:val="es-AR" w:eastAsia="es-AR"/>
              </w:rPr>
              <w:t>Total</w:t>
            </w:r>
            <w:proofErr w:type="gramEnd"/>
            <w:r>
              <w:rPr>
                <w:b/>
                <w:bCs/>
                <w:color w:val="000000"/>
                <w:sz w:val="16"/>
                <w:szCs w:val="16"/>
                <w:lang w:val="es-AR" w:eastAsia="es-AR"/>
              </w:rPr>
              <w:t xml:space="preserve"> </w:t>
            </w:r>
            <w:proofErr w:type="spellStart"/>
            <w:r>
              <w:rPr>
                <w:b/>
                <w:bCs/>
                <w:color w:val="000000"/>
                <w:sz w:val="16"/>
                <w:szCs w:val="16"/>
                <w:lang w:val="es-AR" w:eastAsia="es-AR"/>
              </w:rPr>
              <w:t>Proved</w:t>
            </w:r>
            <w:proofErr w:type="spellEnd"/>
          </w:p>
        </w:tc>
        <w:tc>
          <w:tcPr>
            <w:tcW w:w="1134" w:type="dxa"/>
            <w:tcBorders>
              <w:top w:val="single" w:sz="4" w:space="0" w:color="auto"/>
              <w:left w:val="nil"/>
              <w:bottom w:val="nil"/>
              <w:right w:val="nil"/>
            </w:tcBorders>
            <w:shd w:val="clear" w:color="auto" w:fill="FFFFFF" w:themeFill="background1"/>
            <w:vAlign w:val="center"/>
            <w:hideMark/>
          </w:tcPr>
          <w:p w14:paraId="01BC7546" w14:textId="77777777" w:rsidR="00FA5AB3" w:rsidRPr="00FA5AB3" w:rsidRDefault="00FA5AB3" w:rsidP="00FA5AB3">
            <w:pPr>
              <w:jc w:val="center"/>
              <w:rPr>
                <w:b/>
                <w:bCs/>
                <w:color w:val="000000"/>
                <w:sz w:val="16"/>
                <w:szCs w:val="16"/>
                <w:lang w:val="es-AR" w:eastAsia="es-AR"/>
              </w:rPr>
            </w:pPr>
            <w:r>
              <w:rPr>
                <w:b/>
                <w:bCs/>
                <w:color w:val="000000"/>
                <w:sz w:val="16"/>
                <w:szCs w:val="16"/>
              </w:rPr>
              <w:t>492.0</w:t>
            </w:r>
          </w:p>
        </w:tc>
        <w:tc>
          <w:tcPr>
            <w:tcW w:w="1134" w:type="dxa"/>
            <w:tcBorders>
              <w:top w:val="single" w:sz="4" w:space="0" w:color="auto"/>
              <w:left w:val="nil"/>
              <w:bottom w:val="nil"/>
              <w:right w:val="nil"/>
            </w:tcBorders>
            <w:shd w:val="clear" w:color="auto" w:fill="FFFFFF" w:themeFill="background1"/>
            <w:vAlign w:val="center"/>
            <w:hideMark/>
          </w:tcPr>
          <w:p w14:paraId="35EBBA86" w14:textId="77777777" w:rsidR="00FA5AB3" w:rsidRPr="00FA5AB3" w:rsidRDefault="00FA5AB3" w:rsidP="00FA5AB3">
            <w:pPr>
              <w:jc w:val="center"/>
              <w:rPr>
                <w:b/>
                <w:bCs/>
                <w:color w:val="000000"/>
                <w:sz w:val="16"/>
                <w:szCs w:val="16"/>
                <w:lang w:val="es-AR" w:eastAsia="es-AR"/>
              </w:rPr>
            </w:pPr>
            <w:r>
              <w:rPr>
                <w:b/>
                <w:bCs/>
                <w:color w:val="000000"/>
                <w:sz w:val="16"/>
                <w:szCs w:val="16"/>
              </w:rPr>
              <w:t>325.3</w:t>
            </w:r>
          </w:p>
        </w:tc>
        <w:tc>
          <w:tcPr>
            <w:tcW w:w="1134" w:type="dxa"/>
            <w:tcBorders>
              <w:top w:val="single" w:sz="4" w:space="0" w:color="auto"/>
              <w:left w:val="nil"/>
              <w:bottom w:val="nil"/>
              <w:right w:val="nil"/>
            </w:tcBorders>
            <w:shd w:val="clear" w:color="auto" w:fill="FFFFFF" w:themeFill="background1"/>
            <w:vAlign w:val="center"/>
            <w:hideMark/>
          </w:tcPr>
          <w:p w14:paraId="2F5F7416" w14:textId="77777777" w:rsidR="00FA5AB3" w:rsidRPr="00FA5AB3" w:rsidRDefault="00FA5AB3" w:rsidP="00FA5AB3">
            <w:pPr>
              <w:jc w:val="center"/>
              <w:rPr>
                <w:b/>
                <w:bCs/>
                <w:color w:val="000000"/>
                <w:sz w:val="16"/>
                <w:szCs w:val="16"/>
                <w:lang w:val="es-AR" w:eastAsia="es-AR"/>
              </w:rPr>
            </w:pPr>
            <w:r>
              <w:rPr>
                <w:b/>
                <w:bCs/>
                <w:color w:val="000000"/>
                <w:sz w:val="16"/>
                <w:szCs w:val="16"/>
              </w:rPr>
              <w:t>222.6</w:t>
            </w:r>
          </w:p>
        </w:tc>
        <w:tc>
          <w:tcPr>
            <w:tcW w:w="1134" w:type="dxa"/>
            <w:tcBorders>
              <w:top w:val="single" w:sz="4" w:space="0" w:color="auto"/>
              <w:left w:val="nil"/>
              <w:bottom w:val="nil"/>
              <w:right w:val="nil"/>
            </w:tcBorders>
            <w:shd w:val="clear" w:color="auto" w:fill="FFFFFF" w:themeFill="background1"/>
            <w:vAlign w:val="center"/>
            <w:hideMark/>
          </w:tcPr>
          <w:p w14:paraId="7BF52C75" w14:textId="77777777" w:rsidR="00FA5AB3" w:rsidRPr="00FA5AB3" w:rsidRDefault="00FA5AB3" w:rsidP="00FA5AB3">
            <w:pPr>
              <w:jc w:val="center"/>
              <w:rPr>
                <w:b/>
                <w:bCs/>
                <w:color w:val="000000"/>
                <w:sz w:val="16"/>
                <w:szCs w:val="16"/>
                <w:lang w:val="es-AR" w:eastAsia="es-AR"/>
              </w:rPr>
            </w:pPr>
            <w:r>
              <w:rPr>
                <w:b/>
                <w:bCs/>
                <w:color w:val="000000"/>
                <w:sz w:val="16"/>
                <w:szCs w:val="16"/>
              </w:rPr>
              <w:t>157.1</w:t>
            </w:r>
          </w:p>
        </w:tc>
        <w:tc>
          <w:tcPr>
            <w:tcW w:w="1134" w:type="dxa"/>
            <w:tcBorders>
              <w:top w:val="single" w:sz="4" w:space="0" w:color="auto"/>
              <w:left w:val="nil"/>
              <w:bottom w:val="nil"/>
              <w:right w:val="nil"/>
            </w:tcBorders>
            <w:shd w:val="clear" w:color="auto" w:fill="FFFFFF" w:themeFill="background1"/>
            <w:vAlign w:val="center"/>
            <w:hideMark/>
          </w:tcPr>
          <w:p w14:paraId="07B774C0" w14:textId="77777777" w:rsidR="00FA5AB3" w:rsidRPr="00FA5AB3" w:rsidRDefault="00FA5AB3" w:rsidP="00FA5AB3">
            <w:pPr>
              <w:jc w:val="center"/>
              <w:rPr>
                <w:b/>
                <w:bCs/>
                <w:color w:val="000000"/>
                <w:sz w:val="16"/>
                <w:szCs w:val="16"/>
                <w:lang w:val="es-AR" w:eastAsia="es-AR"/>
              </w:rPr>
            </w:pPr>
            <w:r>
              <w:rPr>
                <w:b/>
                <w:bCs/>
                <w:color w:val="000000"/>
                <w:sz w:val="16"/>
                <w:szCs w:val="16"/>
              </w:rPr>
              <w:t>113.7</w:t>
            </w:r>
          </w:p>
        </w:tc>
      </w:tr>
      <w:tr w:rsidR="00FA5AB3" w:rsidRPr="00FA5AB3" w14:paraId="7F2F1929" w14:textId="77777777" w:rsidTr="00042280">
        <w:trPr>
          <w:gridAfter w:val="1"/>
          <w:wAfter w:w="299" w:type="dxa"/>
          <w:trHeight w:val="363"/>
        </w:trPr>
        <w:tc>
          <w:tcPr>
            <w:tcW w:w="2265" w:type="dxa"/>
            <w:tcBorders>
              <w:top w:val="nil"/>
              <w:left w:val="nil"/>
              <w:bottom w:val="nil"/>
              <w:right w:val="nil"/>
            </w:tcBorders>
            <w:shd w:val="clear" w:color="auto" w:fill="FFFFFF" w:themeFill="background1"/>
            <w:hideMark/>
          </w:tcPr>
          <w:p w14:paraId="2D600505" w14:textId="77777777" w:rsidR="00FA5AB3" w:rsidRPr="00FA5AB3" w:rsidRDefault="00FA5AB3" w:rsidP="00FA5AB3">
            <w:pPr>
              <w:rPr>
                <w:color w:val="000000"/>
                <w:sz w:val="16"/>
                <w:szCs w:val="16"/>
                <w:lang w:val="es-AR" w:eastAsia="es-AR"/>
              </w:rPr>
            </w:pPr>
            <w:proofErr w:type="gramStart"/>
            <w:r>
              <w:rPr>
                <w:color w:val="000000"/>
                <w:sz w:val="16"/>
                <w:szCs w:val="16"/>
                <w:lang w:val="es-AR" w:eastAsia="es-AR"/>
              </w:rPr>
              <w:t>Total</w:t>
            </w:r>
            <w:proofErr w:type="gramEnd"/>
            <w:r>
              <w:rPr>
                <w:color w:val="000000"/>
                <w:sz w:val="16"/>
                <w:szCs w:val="16"/>
                <w:lang w:val="es-AR" w:eastAsia="es-AR"/>
              </w:rPr>
              <w:t xml:space="preserve"> Probable</w:t>
            </w:r>
          </w:p>
        </w:tc>
        <w:tc>
          <w:tcPr>
            <w:tcW w:w="1134" w:type="dxa"/>
            <w:tcBorders>
              <w:top w:val="nil"/>
              <w:left w:val="nil"/>
              <w:bottom w:val="nil"/>
              <w:right w:val="nil"/>
            </w:tcBorders>
            <w:shd w:val="clear" w:color="auto" w:fill="FFFFFF" w:themeFill="background1"/>
            <w:vAlign w:val="center"/>
            <w:hideMark/>
          </w:tcPr>
          <w:p w14:paraId="57AD53BA" w14:textId="77777777" w:rsidR="00FA5AB3" w:rsidRPr="00FA5AB3" w:rsidRDefault="00FA5AB3" w:rsidP="00FA5AB3">
            <w:pPr>
              <w:jc w:val="center"/>
              <w:rPr>
                <w:color w:val="000000"/>
                <w:sz w:val="16"/>
                <w:szCs w:val="16"/>
                <w:lang w:val="es-AR" w:eastAsia="es-AR"/>
              </w:rPr>
            </w:pPr>
            <w:r>
              <w:rPr>
                <w:color w:val="000000"/>
                <w:sz w:val="16"/>
                <w:szCs w:val="16"/>
              </w:rPr>
              <w:t>643.3</w:t>
            </w:r>
          </w:p>
        </w:tc>
        <w:tc>
          <w:tcPr>
            <w:tcW w:w="1134" w:type="dxa"/>
            <w:tcBorders>
              <w:top w:val="nil"/>
              <w:left w:val="nil"/>
              <w:bottom w:val="nil"/>
              <w:right w:val="nil"/>
            </w:tcBorders>
            <w:shd w:val="clear" w:color="auto" w:fill="FFFFFF" w:themeFill="background1"/>
            <w:vAlign w:val="center"/>
            <w:hideMark/>
          </w:tcPr>
          <w:p w14:paraId="2F71E847" w14:textId="77777777" w:rsidR="00FA5AB3" w:rsidRPr="00FA5AB3" w:rsidRDefault="00FA5AB3" w:rsidP="00FA5AB3">
            <w:pPr>
              <w:jc w:val="center"/>
              <w:rPr>
                <w:color w:val="000000"/>
                <w:sz w:val="16"/>
                <w:szCs w:val="16"/>
                <w:lang w:val="es-AR" w:eastAsia="es-AR"/>
              </w:rPr>
            </w:pPr>
            <w:r>
              <w:rPr>
                <w:color w:val="000000"/>
                <w:sz w:val="16"/>
                <w:szCs w:val="16"/>
              </w:rPr>
              <w:t>348.3</w:t>
            </w:r>
          </w:p>
        </w:tc>
        <w:tc>
          <w:tcPr>
            <w:tcW w:w="1134" w:type="dxa"/>
            <w:tcBorders>
              <w:top w:val="nil"/>
              <w:left w:val="nil"/>
              <w:bottom w:val="nil"/>
              <w:right w:val="nil"/>
            </w:tcBorders>
            <w:shd w:val="clear" w:color="auto" w:fill="FFFFFF" w:themeFill="background1"/>
            <w:vAlign w:val="center"/>
            <w:hideMark/>
          </w:tcPr>
          <w:p w14:paraId="3FE8C03D" w14:textId="77777777" w:rsidR="00FA5AB3" w:rsidRPr="00FA5AB3" w:rsidRDefault="00FA5AB3" w:rsidP="00FA5AB3">
            <w:pPr>
              <w:jc w:val="center"/>
              <w:rPr>
                <w:color w:val="000000"/>
                <w:sz w:val="16"/>
                <w:szCs w:val="16"/>
                <w:lang w:val="es-AR" w:eastAsia="es-AR"/>
              </w:rPr>
            </w:pPr>
            <w:r>
              <w:rPr>
                <w:color w:val="000000"/>
                <w:sz w:val="16"/>
                <w:szCs w:val="16"/>
              </w:rPr>
              <w:t>198.2</w:t>
            </w:r>
          </w:p>
        </w:tc>
        <w:tc>
          <w:tcPr>
            <w:tcW w:w="1134" w:type="dxa"/>
            <w:tcBorders>
              <w:top w:val="nil"/>
              <w:left w:val="nil"/>
              <w:bottom w:val="nil"/>
              <w:right w:val="nil"/>
            </w:tcBorders>
            <w:shd w:val="clear" w:color="auto" w:fill="FFFFFF" w:themeFill="background1"/>
            <w:vAlign w:val="center"/>
            <w:hideMark/>
          </w:tcPr>
          <w:p w14:paraId="5F23B2D5" w14:textId="77777777" w:rsidR="00FA5AB3" w:rsidRPr="00FA5AB3" w:rsidRDefault="00FA5AB3" w:rsidP="00FA5AB3">
            <w:pPr>
              <w:jc w:val="center"/>
              <w:rPr>
                <w:color w:val="000000"/>
                <w:sz w:val="16"/>
                <w:szCs w:val="16"/>
                <w:lang w:val="es-AR" w:eastAsia="es-AR"/>
              </w:rPr>
            </w:pPr>
            <w:r>
              <w:rPr>
                <w:color w:val="000000"/>
                <w:sz w:val="16"/>
                <w:szCs w:val="16"/>
              </w:rPr>
              <w:t>117.9</w:t>
            </w:r>
          </w:p>
        </w:tc>
        <w:tc>
          <w:tcPr>
            <w:tcW w:w="1134" w:type="dxa"/>
            <w:tcBorders>
              <w:top w:val="nil"/>
              <w:left w:val="nil"/>
              <w:bottom w:val="nil"/>
              <w:right w:val="nil"/>
            </w:tcBorders>
            <w:shd w:val="clear" w:color="auto" w:fill="FFFFFF" w:themeFill="background1"/>
            <w:vAlign w:val="center"/>
            <w:hideMark/>
          </w:tcPr>
          <w:p w14:paraId="77908AF0" w14:textId="77777777" w:rsidR="00FA5AB3" w:rsidRPr="00FA5AB3" w:rsidRDefault="00FA5AB3" w:rsidP="00FA5AB3">
            <w:pPr>
              <w:jc w:val="center"/>
              <w:rPr>
                <w:color w:val="000000"/>
                <w:sz w:val="16"/>
                <w:szCs w:val="16"/>
                <w:lang w:val="es-AR" w:eastAsia="es-AR"/>
              </w:rPr>
            </w:pPr>
            <w:r>
              <w:rPr>
                <w:color w:val="000000"/>
                <w:sz w:val="16"/>
                <w:szCs w:val="16"/>
              </w:rPr>
              <w:t>73.1</w:t>
            </w:r>
          </w:p>
        </w:tc>
      </w:tr>
      <w:tr w:rsidR="00FA5AB3" w:rsidRPr="002B4E83" w14:paraId="6EDA71BE" w14:textId="77777777" w:rsidTr="00042280">
        <w:trPr>
          <w:gridAfter w:val="1"/>
          <w:wAfter w:w="299" w:type="dxa"/>
          <w:trHeight w:val="381"/>
        </w:trPr>
        <w:tc>
          <w:tcPr>
            <w:tcW w:w="2265" w:type="dxa"/>
            <w:tcBorders>
              <w:top w:val="nil"/>
              <w:left w:val="nil"/>
              <w:bottom w:val="nil"/>
              <w:right w:val="nil"/>
            </w:tcBorders>
            <w:shd w:val="clear" w:color="auto" w:fill="FFFFFF" w:themeFill="background1"/>
            <w:hideMark/>
          </w:tcPr>
          <w:p w14:paraId="4CE54363" w14:textId="77777777" w:rsidR="00FA5AB3" w:rsidRPr="00FA5AB3" w:rsidRDefault="00FA5AB3" w:rsidP="00FA5AB3">
            <w:pPr>
              <w:rPr>
                <w:b/>
                <w:bCs/>
                <w:color w:val="000000"/>
                <w:sz w:val="16"/>
                <w:szCs w:val="16"/>
                <w:lang w:val="es-AR" w:eastAsia="es-AR"/>
              </w:rPr>
            </w:pPr>
            <w:proofErr w:type="gramStart"/>
            <w:r>
              <w:rPr>
                <w:b/>
                <w:bCs/>
                <w:color w:val="000000"/>
                <w:sz w:val="16"/>
                <w:szCs w:val="16"/>
                <w:lang w:val="es-AR" w:eastAsia="es-AR"/>
              </w:rPr>
              <w:t>Total</w:t>
            </w:r>
            <w:proofErr w:type="gramEnd"/>
            <w:r>
              <w:rPr>
                <w:b/>
                <w:bCs/>
                <w:color w:val="000000"/>
                <w:sz w:val="16"/>
                <w:szCs w:val="16"/>
                <w:lang w:val="es-AR" w:eastAsia="es-AR"/>
              </w:rPr>
              <w:t xml:space="preserve"> </w:t>
            </w:r>
            <w:proofErr w:type="spellStart"/>
            <w:r>
              <w:rPr>
                <w:b/>
                <w:bCs/>
                <w:color w:val="000000"/>
                <w:sz w:val="16"/>
                <w:szCs w:val="16"/>
                <w:lang w:val="es-AR" w:eastAsia="es-AR"/>
              </w:rPr>
              <w:t>Proved</w:t>
            </w:r>
            <w:proofErr w:type="spellEnd"/>
            <w:r>
              <w:rPr>
                <w:b/>
                <w:bCs/>
                <w:color w:val="000000"/>
                <w:sz w:val="16"/>
                <w:szCs w:val="16"/>
                <w:lang w:val="es-AR" w:eastAsia="es-AR"/>
              </w:rPr>
              <w:t xml:space="preserve"> plus Probable</w:t>
            </w:r>
          </w:p>
        </w:tc>
        <w:tc>
          <w:tcPr>
            <w:tcW w:w="1134" w:type="dxa"/>
            <w:tcBorders>
              <w:top w:val="single" w:sz="4" w:space="0" w:color="auto"/>
              <w:left w:val="nil"/>
              <w:bottom w:val="nil"/>
              <w:right w:val="nil"/>
            </w:tcBorders>
            <w:shd w:val="clear" w:color="auto" w:fill="FFFFFF" w:themeFill="background1"/>
            <w:vAlign w:val="center"/>
            <w:hideMark/>
          </w:tcPr>
          <w:p w14:paraId="125712CC" w14:textId="77777777" w:rsidR="00FA5AB3" w:rsidRPr="00FA5AB3" w:rsidRDefault="00FA5AB3" w:rsidP="00FA5AB3">
            <w:pPr>
              <w:jc w:val="center"/>
              <w:rPr>
                <w:b/>
                <w:bCs/>
                <w:color w:val="000000"/>
                <w:sz w:val="16"/>
                <w:szCs w:val="16"/>
                <w:lang w:eastAsia="es-AR"/>
              </w:rPr>
            </w:pPr>
            <w:r>
              <w:rPr>
                <w:b/>
                <w:bCs/>
                <w:color w:val="000000"/>
                <w:sz w:val="16"/>
                <w:szCs w:val="16"/>
              </w:rPr>
              <w:t>1,135.4</w:t>
            </w:r>
          </w:p>
        </w:tc>
        <w:tc>
          <w:tcPr>
            <w:tcW w:w="1134" w:type="dxa"/>
            <w:tcBorders>
              <w:top w:val="single" w:sz="4" w:space="0" w:color="auto"/>
              <w:left w:val="nil"/>
              <w:bottom w:val="nil"/>
              <w:right w:val="nil"/>
            </w:tcBorders>
            <w:shd w:val="clear" w:color="auto" w:fill="FFFFFF" w:themeFill="background1"/>
            <w:vAlign w:val="center"/>
            <w:hideMark/>
          </w:tcPr>
          <w:p w14:paraId="3178C9D1" w14:textId="77777777" w:rsidR="00FA5AB3" w:rsidRPr="00FA5AB3" w:rsidRDefault="00FA5AB3" w:rsidP="00FA5AB3">
            <w:pPr>
              <w:jc w:val="center"/>
              <w:rPr>
                <w:b/>
                <w:bCs/>
                <w:color w:val="000000"/>
                <w:sz w:val="16"/>
                <w:szCs w:val="16"/>
                <w:lang w:eastAsia="es-AR"/>
              </w:rPr>
            </w:pPr>
            <w:r>
              <w:rPr>
                <w:b/>
                <w:bCs/>
                <w:color w:val="000000"/>
                <w:sz w:val="16"/>
                <w:szCs w:val="16"/>
              </w:rPr>
              <w:t>673.7</w:t>
            </w:r>
          </w:p>
        </w:tc>
        <w:tc>
          <w:tcPr>
            <w:tcW w:w="1134" w:type="dxa"/>
            <w:tcBorders>
              <w:top w:val="single" w:sz="4" w:space="0" w:color="auto"/>
              <w:left w:val="nil"/>
              <w:bottom w:val="nil"/>
              <w:right w:val="nil"/>
            </w:tcBorders>
            <w:shd w:val="clear" w:color="auto" w:fill="FFFFFF" w:themeFill="background1"/>
            <w:vAlign w:val="center"/>
            <w:hideMark/>
          </w:tcPr>
          <w:p w14:paraId="01E32920" w14:textId="77777777" w:rsidR="00FA5AB3" w:rsidRPr="00FA5AB3" w:rsidRDefault="00FA5AB3" w:rsidP="00FA5AB3">
            <w:pPr>
              <w:jc w:val="center"/>
              <w:rPr>
                <w:b/>
                <w:bCs/>
                <w:color w:val="000000"/>
                <w:sz w:val="16"/>
                <w:szCs w:val="16"/>
                <w:lang w:eastAsia="es-AR"/>
              </w:rPr>
            </w:pPr>
            <w:r>
              <w:rPr>
                <w:b/>
                <w:bCs/>
                <w:color w:val="000000"/>
                <w:sz w:val="16"/>
                <w:szCs w:val="16"/>
              </w:rPr>
              <w:t>420.8</w:t>
            </w:r>
          </w:p>
        </w:tc>
        <w:tc>
          <w:tcPr>
            <w:tcW w:w="1134" w:type="dxa"/>
            <w:tcBorders>
              <w:top w:val="single" w:sz="4" w:space="0" w:color="auto"/>
              <w:left w:val="nil"/>
              <w:bottom w:val="nil"/>
              <w:right w:val="nil"/>
            </w:tcBorders>
            <w:shd w:val="clear" w:color="auto" w:fill="FFFFFF" w:themeFill="background1"/>
            <w:vAlign w:val="center"/>
            <w:hideMark/>
          </w:tcPr>
          <w:p w14:paraId="02AD6E12" w14:textId="77777777" w:rsidR="00FA5AB3" w:rsidRPr="00FA5AB3" w:rsidRDefault="00FA5AB3" w:rsidP="00FA5AB3">
            <w:pPr>
              <w:jc w:val="center"/>
              <w:rPr>
                <w:b/>
                <w:bCs/>
                <w:color w:val="000000"/>
                <w:sz w:val="16"/>
                <w:szCs w:val="16"/>
                <w:lang w:eastAsia="es-AR"/>
              </w:rPr>
            </w:pPr>
            <w:r>
              <w:rPr>
                <w:b/>
                <w:bCs/>
                <w:color w:val="000000"/>
                <w:sz w:val="16"/>
                <w:szCs w:val="16"/>
              </w:rPr>
              <w:t>275.0</w:t>
            </w:r>
          </w:p>
        </w:tc>
        <w:tc>
          <w:tcPr>
            <w:tcW w:w="1134" w:type="dxa"/>
            <w:tcBorders>
              <w:top w:val="single" w:sz="4" w:space="0" w:color="auto"/>
              <w:left w:val="nil"/>
              <w:bottom w:val="nil"/>
              <w:right w:val="nil"/>
            </w:tcBorders>
            <w:shd w:val="clear" w:color="auto" w:fill="FFFFFF" w:themeFill="background1"/>
            <w:vAlign w:val="center"/>
            <w:hideMark/>
          </w:tcPr>
          <w:p w14:paraId="526459EB" w14:textId="77777777" w:rsidR="00FA5AB3" w:rsidRPr="00250B90" w:rsidRDefault="00FA5AB3" w:rsidP="00FA5AB3">
            <w:pPr>
              <w:jc w:val="center"/>
              <w:rPr>
                <w:b/>
                <w:bCs/>
                <w:color w:val="000000"/>
                <w:sz w:val="16"/>
                <w:szCs w:val="16"/>
                <w:lang w:eastAsia="es-AR"/>
              </w:rPr>
            </w:pPr>
            <w:r>
              <w:rPr>
                <w:b/>
                <w:bCs/>
                <w:color w:val="000000"/>
                <w:sz w:val="16"/>
                <w:szCs w:val="16"/>
              </w:rPr>
              <w:t>186.8</w:t>
            </w:r>
          </w:p>
        </w:tc>
      </w:tr>
    </w:tbl>
    <w:p w14:paraId="4D4A755E" w14:textId="77777777" w:rsidR="004A2E5D" w:rsidRPr="002B4E83" w:rsidRDefault="004A2E5D" w:rsidP="004A2E5D">
      <w:pPr>
        <w:numPr>
          <w:ilvl w:val="0"/>
          <w:numId w:val="1"/>
        </w:numPr>
        <w:spacing w:before="60"/>
        <w:ind w:left="425" w:hanging="425"/>
        <w:jc w:val="both"/>
        <w:rPr>
          <w:rFonts w:ascii="Times New Roman" w:hAnsi="Times New Roman"/>
          <w:sz w:val="18"/>
          <w:szCs w:val="16"/>
          <w:lang w:val="en-CA"/>
        </w:rPr>
      </w:pPr>
      <w:r>
        <w:rPr>
          <w:b/>
          <w:sz w:val="16"/>
          <w:szCs w:val="16"/>
        </w:rPr>
        <w:fldChar w:fldCharType="end"/>
      </w:r>
      <w:r>
        <w:rPr>
          <w:rFonts w:ascii="Times New Roman" w:hAnsi="Times New Roman"/>
          <w:sz w:val="18"/>
          <w:szCs w:val="16"/>
          <w:lang w:val="en-CA"/>
        </w:rPr>
        <w:t>The estimated net present values of future net revenues disclosed do not represent fair market value.</w:t>
      </w:r>
    </w:p>
    <w:p w14:paraId="3C856DFE" w14:textId="77777777" w:rsidR="004A2E5D" w:rsidRPr="007B6295" w:rsidRDefault="004A2E5D" w:rsidP="004A2E5D">
      <w:pPr>
        <w:numPr>
          <w:ilvl w:val="0"/>
          <w:numId w:val="1"/>
        </w:numPr>
        <w:spacing w:before="60"/>
        <w:ind w:left="425" w:hanging="425"/>
        <w:jc w:val="both"/>
        <w:rPr>
          <w:rFonts w:ascii="Times New Roman" w:hAnsi="Times New Roman"/>
          <w:sz w:val="18"/>
          <w:szCs w:val="16"/>
          <w:lang w:val="en-CA"/>
        </w:rPr>
      </w:pPr>
      <w:r>
        <w:rPr>
          <w:rFonts w:ascii="Times New Roman" w:hAnsi="Times New Roman"/>
          <w:sz w:val="18"/>
          <w:szCs w:val="16"/>
          <w:lang w:val="en-CA"/>
        </w:rPr>
        <w:t>The definitions of the various categories of reserves are those set out in NI 51-101 and the COGE Handbook.</w:t>
      </w:r>
    </w:p>
    <w:p w14:paraId="65D970C1" w14:textId="77777777" w:rsidR="001A6102" w:rsidRPr="007B6295" w:rsidRDefault="001A6102" w:rsidP="003A2F45">
      <w:pPr>
        <w:tabs>
          <w:tab w:val="left" w:pos="1440"/>
        </w:tabs>
        <w:spacing w:before="120" w:line="240" w:lineRule="atLeast"/>
        <w:jc w:val="both"/>
        <w:rPr>
          <w:rFonts w:ascii="Times New Roman" w:hAnsi="Times New Roman"/>
          <w:szCs w:val="22"/>
        </w:rPr>
      </w:pPr>
    </w:p>
    <w:p w14:paraId="61C780E4" w14:textId="77777777" w:rsidR="00CB1DA8" w:rsidRPr="002D00A1" w:rsidRDefault="00CB1DA8" w:rsidP="00CB1DA8">
      <w:pPr>
        <w:tabs>
          <w:tab w:val="left" w:pos="1440"/>
        </w:tabs>
        <w:spacing w:before="120" w:line="240" w:lineRule="atLeast"/>
        <w:jc w:val="both"/>
        <w:rPr>
          <w:sz w:val="20"/>
          <w:szCs w:val="20"/>
        </w:rPr>
      </w:pPr>
      <w:bookmarkStart w:id="1" w:name="_Hlk128987485"/>
      <w:r>
        <w:rPr>
          <w:sz w:val="20"/>
          <w:szCs w:val="20"/>
        </w:rPr>
        <w:t xml:space="preserve">The Company's proved plus probable ("2P") gross reserves as of December 31, 2025, as evaluated by Sproule, were 71,580 MBOE compared to 50,517 MBOE as evaluated by Sproule in their report of December 31, 2024.  The increase in 2P reserves is attributable to the previously announced acquisition of a 95% working interest in the El Tordillo (“ET”), La Tapera (“LT”) and Puesto Quiroga (“PQ”) concessions which closed in stages on October 1, </w:t>
      </w:r>
      <w:proofErr w:type="gramStart"/>
      <w:r>
        <w:rPr>
          <w:sz w:val="20"/>
          <w:szCs w:val="20"/>
        </w:rPr>
        <w:t>2025</w:t>
      </w:r>
      <w:proofErr w:type="gramEnd"/>
      <w:r>
        <w:rPr>
          <w:sz w:val="20"/>
          <w:szCs w:val="20"/>
        </w:rPr>
        <w:t xml:space="preserve"> and December 1, 2025, partially offset by 2025 corporate production of 3,300 MBOE. </w:t>
      </w:r>
    </w:p>
    <w:p w14:paraId="3DA8906E" w14:textId="77777777" w:rsidR="00CB1DA8" w:rsidRPr="00270D0E" w:rsidRDefault="00CB1DA8" w:rsidP="00CB1DA8">
      <w:pPr>
        <w:tabs>
          <w:tab w:val="left" w:pos="1440"/>
        </w:tabs>
        <w:spacing w:before="120" w:line="240" w:lineRule="atLeast"/>
        <w:jc w:val="both"/>
        <w:rPr>
          <w:sz w:val="20"/>
          <w:szCs w:val="20"/>
        </w:rPr>
      </w:pPr>
      <w:r>
        <w:rPr>
          <w:sz w:val="20"/>
          <w:szCs w:val="20"/>
        </w:rPr>
        <w:t>The estimated before tax net present value of the Company's 2P reserves as of December 31, 2025 (discounted at 10%) was $420.8 million, compared with $358.9 million as of December 31, 2024. The increase in the before tax net present value is attributable to</w:t>
      </w:r>
      <w:r>
        <w:rPr>
          <w:color w:val="FF0000"/>
          <w:sz w:val="20"/>
          <w:szCs w:val="20"/>
        </w:rPr>
        <w:t xml:space="preserve"> </w:t>
      </w:r>
      <w:r>
        <w:rPr>
          <w:sz w:val="20"/>
          <w:szCs w:val="20"/>
        </w:rPr>
        <w:t xml:space="preserve">the </w:t>
      </w:r>
      <w:proofErr w:type="gramStart"/>
      <w:r>
        <w:rPr>
          <w:sz w:val="20"/>
          <w:szCs w:val="20"/>
        </w:rPr>
        <w:t>aforementioned acquisitions</w:t>
      </w:r>
      <w:proofErr w:type="gramEnd"/>
      <w:r>
        <w:rPr>
          <w:sz w:val="20"/>
          <w:szCs w:val="20"/>
        </w:rPr>
        <w:t xml:space="preserve"> partially offset by a decrease in forecast international oil pricing.</w:t>
      </w:r>
    </w:p>
    <w:p w14:paraId="06B9B17E" w14:textId="77777777" w:rsidR="00D57427" w:rsidRPr="002335EE" w:rsidRDefault="00CB1DA8" w:rsidP="004E3226">
      <w:pPr>
        <w:tabs>
          <w:tab w:val="left" w:pos="1440"/>
        </w:tabs>
        <w:spacing w:before="120" w:line="240" w:lineRule="atLeast"/>
        <w:jc w:val="both"/>
        <w:rPr>
          <w:sz w:val="20"/>
          <w:szCs w:val="20"/>
        </w:rPr>
      </w:pPr>
      <w:r>
        <w:rPr>
          <w:sz w:val="20"/>
          <w:szCs w:val="20"/>
        </w:rPr>
        <w:t xml:space="preserve">Approximately 30% of the Company's before tax net present value of 2P reserves (discounted at 10%) is categorized as "proved developed producing" and the before tax net present value of future net revenues associated with the Company's total proved reserves (discounted at 10%) represents approximately 53% of the Company's before tax net present value of future net revenues associated with all the Company's 2P reserves. Crude oil accounts for approximately 95% of the Company's 2P reserves (gross) as of December 31, </w:t>
      </w:r>
      <w:proofErr w:type="gramStart"/>
      <w:r>
        <w:rPr>
          <w:sz w:val="20"/>
          <w:szCs w:val="20"/>
        </w:rPr>
        <w:t>2025</w:t>
      </w:r>
      <w:proofErr w:type="gramEnd"/>
      <w:r>
        <w:rPr>
          <w:sz w:val="20"/>
          <w:szCs w:val="20"/>
        </w:rPr>
        <w:t xml:space="preserve"> compared with approximately 97% as of December 31, 2024, whereas natural gas and natural gas liquids account for the remaining 5% of the Company's 2P gross reserves as of December 31, </w:t>
      </w:r>
      <w:proofErr w:type="gramStart"/>
      <w:r>
        <w:rPr>
          <w:sz w:val="20"/>
          <w:szCs w:val="20"/>
        </w:rPr>
        <w:t>2025</w:t>
      </w:r>
      <w:proofErr w:type="gramEnd"/>
      <w:r>
        <w:rPr>
          <w:sz w:val="20"/>
          <w:szCs w:val="20"/>
        </w:rPr>
        <w:t xml:space="preserve"> compared with 3% as of December 31, 2024.</w:t>
      </w:r>
    </w:p>
    <w:bookmarkEnd w:id="1"/>
    <w:p w14:paraId="1CDAE6F9" w14:textId="77777777" w:rsidR="00CD4697" w:rsidRPr="002335EE" w:rsidRDefault="00CD4697" w:rsidP="00CD4697">
      <w:pPr>
        <w:pStyle w:val="BodyText"/>
        <w:keepNext/>
        <w:keepLines/>
        <w:rPr>
          <w:rFonts w:ascii="Verdana" w:hAnsi="Verdana"/>
          <w:sz w:val="20"/>
          <w:szCs w:val="20"/>
        </w:rPr>
      </w:pPr>
      <w:r>
        <w:rPr>
          <w:rFonts w:ascii="Verdana" w:hAnsi="Verdana"/>
          <w:sz w:val="20"/>
          <w:szCs w:val="20"/>
        </w:rPr>
        <w:lastRenderedPageBreak/>
        <w:t xml:space="preserve">The following table sets forth, for each product type, the pricing assumptions used by Sproule in estimating the reserves data disclosed herein as of December 31, 2025. </w:t>
      </w:r>
    </w:p>
    <w:p w14:paraId="14DB9AC7" w14:textId="77777777" w:rsidR="007E75DC" w:rsidRPr="00B1057A" w:rsidRDefault="007E75DC" w:rsidP="007E75DC">
      <w:pPr>
        <w:pStyle w:val="SecurityCont2"/>
        <w:keepNext/>
        <w:spacing w:after="0"/>
        <w:jc w:val="center"/>
        <w:rPr>
          <w:rFonts w:ascii="Verdana" w:hAnsi="Verdana" w:cs="Arial"/>
          <w:b/>
          <w:sz w:val="18"/>
          <w:szCs w:val="18"/>
        </w:rPr>
      </w:pPr>
      <w:r>
        <w:rPr>
          <w:rFonts w:ascii="Verdana" w:hAnsi="Verdana" w:cs="Arial"/>
          <w:b/>
          <w:sz w:val="18"/>
          <w:szCs w:val="18"/>
        </w:rPr>
        <w:t>SUMMARY OF PRICING AND INFLATION RATE ASSUMPTIONS</w:t>
      </w:r>
    </w:p>
    <w:p w14:paraId="47CD803C" w14:textId="77777777" w:rsidR="007E75DC" w:rsidRPr="00B1057A" w:rsidRDefault="007E75DC" w:rsidP="007E75DC">
      <w:pPr>
        <w:pStyle w:val="SecurityCont2"/>
        <w:keepNext/>
        <w:jc w:val="center"/>
        <w:rPr>
          <w:rFonts w:ascii="Verdana" w:hAnsi="Verdana" w:cs="Arial"/>
          <w:b/>
          <w:sz w:val="18"/>
          <w:szCs w:val="18"/>
        </w:rPr>
      </w:pPr>
      <w:r>
        <w:rPr>
          <w:rFonts w:ascii="Verdana" w:hAnsi="Verdana" w:cs="Arial"/>
          <w:b/>
          <w:sz w:val="18"/>
          <w:szCs w:val="18"/>
        </w:rPr>
        <w:t>AS OF DECEMBER 31, 2025 (Forecast Prices &amp; Costs)</w:t>
      </w:r>
    </w:p>
    <w:tbl>
      <w:tblPr>
        <w:tblW w:w="5149" w:type="pct"/>
        <w:tblLayout w:type="fixed"/>
        <w:tblLook w:val="0000" w:firstRow="0" w:lastRow="0" w:firstColumn="0" w:lastColumn="0" w:noHBand="0" w:noVBand="0"/>
      </w:tblPr>
      <w:tblGrid>
        <w:gridCol w:w="953"/>
        <w:gridCol w:w="951"/>
        <w:gridCol w:w="950"/>
        <w:gridCol w:w="950"/>
        <w:gridCol w:w="950"/>
        <w:gridCol w:w="989"/>
        <w:gridCol w:w="908"/>
        <w:gridCol w:w="1010"/>
        <w:gridCol w:w="995"/>
        <w:gridCol w:w="983"/>
      </w:tblGrid>
      <w:tr w:rsidR="00D677C6" w:rsidRPr="002034F8" w14:paraId="4959DFE9" w14:textId="77777777" w:rsidTr="00120F9C">
        <w:tc>
          <w:tcPr>
            <w:tcW w:w="494" w:type="pct"/>
            <w:tcBorders>
              <w:top w:val="nil"/>
              <w:left w:val="nil"/>
              <w:bottom w:val="nil"/>
              <w:right w:val="nil"/>
            </w:tcBorders>
            <w:vAlign w:val="bottom"/>
          </w:tcPr>
          <w:p w14:paraId="31BD63A0"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Year</w:t>
            </w:r>
          </w:p>
        </w:tc>
        <w:tc>
          <w:tcPr>
            <w:tcW w:w="493" w:type="pct"/>
            <w:tcBorders>
              <w:top w:val="nil"/>
              <w:left w:val="nil"/>
              <w:bottom w:val="nil"/>
              <w:right w:val="nil"/>
            </w:tcBorders>
            <w:vAlign w:val="bottom"/>
          </w:tcPr>
          <w:p w14:paraId="49A3C532"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vertAlign w:val="superscript"/>
              </w:rPr>
            </w:pPr>
            <w:r>
              <w:rPr>
                <w:rFonts w:ascii="Verdana" w:hAnsi="Verdana" w:cstheme="minorHAnsi"/>
                <w:bCs/>
                <w:sz w:val="16"/>
                <w:szCs w:val="16"/>
              </w:rPr>
              <w:t>Brent Crude Oil Price</w:t>
            </w:r>
            <w:r>
              <w:rPr>
                <w:rFonts w:ascii="Verdana" w:hAnsi="Verdana" w:cstheme="minorHAnsi"/>
                <w:bCs/>
                <w:sz w:val="16"/>
                <w:szCs w:val="16"/>
                <w:vertAlign w:val="superscript"/>
              </w:rPr>
              <w:t xml:space="preserve"> (1)</w:t>
            </w:r>
          </w:p>
          <w:p w14:paraId="2AD0E15D"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US$/Bbl</w:t>
            </w:r>
          </w:p>
        </w:tc>
        <w:tc>
          <w:tcPr>
            <w:tcW w:w="493" w:type="pct"/>
            <w:tcBorders>
              <w:top w:val="nil"/>
              <w:left w:val="nil"/>
              <w:bottom w:val="nil"/>
              <w:right w:val="nil"/>
            </w:tcBorders>
            <w:vAlign w:val="bottom"/>
          </w:tcPr>
          <w:p w14:paraId="2A626A3A"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TDF Crude Oil Price</w:t>
            </w:r>
            <w:r>
              <w:rPr>
                <w:rFonts w:ascii="Verdana" w:hAnsi="Verdana" w:cstheme="minorHAnsi"/>
                <w:bCs/>
                <w:sz w:val="16"/>
                <w:szCs w:val="16"/>
                <w:vertAlign w:val="superscript"/>
              </w:rPr>
              <w:t xml:space="preserve"> (2)</w:t>
            </w:r>
          </w:p>
          <w:p w14:paraId="1C920AD0"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US$/Bbl</w:t>
            </w:r>
          </w:p>
        </w:tc>
        <w:tc>
          <w:tcPr>
            <w:tcW w:w="493" w:type="pct"/>
            <w:tcBorders>
              <w:top w:val="nil"/>
              <w:left w:val="nil"/>
              <w:bottom w:val="nil"/>
              <w:right w:val="nil"/>
            </w:tcBorders>
            <w:vAlign w:val="bottom"/>
          </w:tcPr>
          <w:p w14:paraId="29B59BF0"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TDF NGL</w:t>
            </w:r>
          </w:p>
          <w:p w14:paraId="372C1FE1"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vertAlign w:val="superscript"/>
              </w:rPr>
            </w:pPr>
            <w:r>
              <w:rPr>
                <w:rFonts w:ascii="Verdana" w:hAnsi="Verdana" w:cstheme="minorHAnsi"/>
                <w:bCs/>
                <w:sz w:val="16"/>
                <w:szCs w:val="16"/>
              </w:rPr>
              <w:t xml:space="preserve"> Price</w:t>
            </w:r>
            <w:r>
              <w:rPr>
                <w:rFonts w:ascii="Verdana" w:hAnsi="Verdana" w:cstheme="minorHAnsi"/>
                <w:bCs/>
                <w:sz w:val="16"/>
                <w:szCs w:val="16"/>
                <w:vertAlign w:val="superscript"/>
              </w:rPr>
              <w:t xml:space="preserve"> (3)</w:t>
            </w:r>
          </w:p>
          <w:p w14:paraId="32CFBE79"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US$/Bbl</w:t>
            </w:r>
          </w:p>
        </w:tc>
        <w:tc>
          <w:tcPr>
            <w:tcW w:w="493" w:type="pct"/>
            <w:tcBorders>
              <w:top w:val="nil"/>
              <w:left w:val="nil"/>
              <w:bottom w:val="nil"/>
              <w:right w:val="nil"/>
            </w:tcBorders>
            <w:vAlign w:val="bottom"/>
          </w:tcPr>
          <w:p w14:paraId="66CB0996"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TDF</w:t>
            </w:r>
            <w:r>
              <w:rPr>
                <w:rFonts w:ascii="Verdana" w:hAnsi="Verdana" w:cstheme="minorHAnsi"/>
                <w:bCs/>
                <w:sz w:val="16"/>
                <w:szCs w:val="16"/>
                <w:vertAlign w:val="superscript"/>
              </w:rPr>
              <w:t xml:space="preserve"> </w:t>
            </w:r>
            <w:r>
              <w:rPr>
                <w:rFonts w:ascii="Verdana" w:hAnsi="Verdana" w:cstheme="minorHAnsi"/>
                <w:bCs/>
                <w:sz w:val="16"/>
                <w:szCs w:val="16"/>
              </w:rPr>
              <w:t xml:space="preserve">Natural </w:t>
            </w:r>
          </w:p>
          <w:p w14:paraId="163BB356"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vertAlign w:val="superscript"/>
              </w:rPr>
            </w:pPr>
            <w:r>
              <w:rPr>
                <w:rFonts w:ascii="Verdana" w:hAnsi="Verdana" w:cstheme="minorHAnsi"/>
                <w:bCs/>
                <w:sz w:val="16"/>
                <w:szCs w:val="16"/>
              </w:rPr>
              <w:t>Gas Price</w:t>
            </w:r>
            <w:r>
              <w:rPr>
                <w:rFonts w:ascii="Verdana" w:hAnsi="Verdana" w:cstheme="minorHAnsi"/>
                <w:bCs/>
                <w:sz w:val="16"/>
                <w:szCs w:val="16"/>
                <w:vertAlign w:val="superscript"/>
              </w:rPr>
              <w:t xml:space="preserve"> (4)</w:t>
            </w:r>
          </w:p>
          <w:p w14:paraId="0B5B96AE"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US$/Mcf</w:t>
            </w:r>
          </w:p>
        </w:tc>
        <w:tc>
          <w:tcPr>
            <w:tcW w:w="513" w:type="pct"/>
            <w:tcBorders>
              <w:top w:val="nil"/>
              <w:left w:val="nil"/>
              <w:bottom w:val="nil"/>
              <w:right w:val="nil"/>
            </w:tcBorders>
            <w:vAlign w:val="bottom"/>
          </w:tcPr>
          <w:p w14:paraId="53B039AC"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CH/PPCO</w:t>
            </w:r>
          </w:p>
          <w:p w14:paraId="2AA1589F"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vertAlign w:val="superscript"/>
              </w:rPr>
            </w:pPr>
            <w:r>
              <w:rPr>
                <w:rFonts w:ascii="Verdana" w:hAnsi="Verdana" w:cstheme="minorHAnsi"/>
                <w:bCs/>
                <w:sz w:val="16"/>
                <w:szCs w:val="16"/>
              </w:rPr>
              <w:t>Oil Price</w:t>
            </w:r>
            <w:r>
              <w:rPr>
                <w:rFonts w:ascii="Verdana" w:hAnsi="Verdana" w:cstheme="minorHAnsi"/>
                <w:bCs/>
                <w:sz w:val="16"/>
                <w:szCs w:val="16"/>
                <w:vertAlign w:val="superscript"/>
              </w:rPr>
              <w:t xml:space="preserve"> (5)</w:t>
            </w:r>
          </w:p>
          <w:p w14:paraId="0AD19D23"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US$/Bbl</w:t>
            </w:r>
          </w:p>
        </w:tc>
        <w:tc>
          <w:tcPr>
            <w:tcW w:w="471" w:type="pct"/>
            <w:tcBorders>
              <w:top w:val="nil"/>
              <w:left w:val="nil"/>
              <w:bottom w:val="nil"/>
              <w:right w:val="nil"/>
            </w:tcBorders>
            <w:vAlign w:val="bottom"/>
          </w:tcPr>
          <w:p w14:paraId="2686053C"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PC/KK</w:t>
            </w:r>
          </w:p>
          <w:p w14:paraId="7E838724"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vertAlign w:val="superscript"/>
              </w:rPr>
            </w:pPr>
            <w:r>
              <w:rPr>
                <w:rFonts w:ascii="Verdana" w:hAnsi="Verdana" w:cstheme="minorHAnsi"/>
                <w:bCs/>
                <w:sz w:val="16"/>
                <w:szCs w:val="16"/>
              </w:rPr>
              <w:t>Oil Price</w:t>
            </w:r>
            <w:r>
              <w:rPr>
                <w:rFonts w:ascii="Verdana" w:hAnsi="Verdana" w:cstheme="minorHAnsi"/>
                <w:bCs/>
                <w:sz w:val="16"/>
                <w:szCs w:val="16"/>
                <w:vertAlign w:val="superscript"/>
              </w:rPr>
              <w:t xml:space="preserve"> (6)</w:t>
            </w:r>
          </w:p>
          <w:p w14:paraId="16E460B3"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US$/Bbl</w:t>
            </w:r>
          </w:p>
        </w:tc>
        <w:tc>
          <w:tcPr>
            <w:tcW w:w="524" w:type="pct"/>
            <w:tcBorders>
              <w:top w:val="nil"/>
              <w:left w:val="nil"/>
              <w:bottom w:val="nil"/>
              <w:right w:val="nil"/>
            </w:tcBorders>
          </w:tcPr>
          <w:p w14:paraId="525E66CD"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p>
          <w:p w14:paraId="0A9AB405"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p>
          <w:p w14:paraId="6BF8ECB8"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ET/LT/PQ</w:t>
            </w:r>
          </w:p>
          <w:p w14:paraId="479E44EE"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Oil</w:t>
            </w:r>
          </w:p>
          <w:p w14:paraId="1DC7427E" w14:textId="77777777" w:rsidR="00D677C6" w:rsidRPr="00B9571B" w:rsidRDefault="00D677C6">
            <w:pPr>
              <w:pStyle w:val="SecurityCont2"/>
              <w:keepNext/>
              <w:pBdr>
                <w:bottom w:val="single" w:sz="4" w:space="1" w:color="auto"/>
              </w:pBdr>
              <w:spacing w:after="0"/>
              <w:jc w:val="center"/>
              <w:rPr>
                <w:rFonts w:ascii="Verdana" w:hAnsi="Verdana" w:cstheme="minorHAnsi"/>
                <w:bCs/>
                <w:sz w:val="16"/>
                <w:szCs w:val="16"/>
                <w:vertAlign w:val="superscript"/>
              </w:rPr>
            </w:pPr>
            <w:r>
              <w:rPr>
                <w:rFonts w:ascii="Verdana" w:hAnsi="Verdana" w:cstheme="minorHAnsi"/>
                <w:bCs/>
                <w:sz w:val="16"/>
                <w:szCs w:val="16"/>
              </w:rPr>
              <w:t xml:space="preserve">Price </w:t>
            </w:r>
            <w:r>
              <w:rPr>
                <w:rFonts w:ascii="Verdana" w:hAnsi="Verdana" w:cstheme="minorHAnsi"/>
                <w:bCs/>
                <w:sz w:val="16"/>
                <w:szCs w:val="16"/>
                <w:vertAlign w:val="superscript"/>
              </w:rPr>
              <w:t>(7)</w:t>
            </w:r>
          </w:p>
          <w:p w14:paraId="004EA20F" w14:textId="77777777" w:rsidR="00D677C6" w:rsidRPr="00120F9C" w:rsidRDefault="00D677C6" w:rsidP="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US$/Bbl</w:t>
            </w:r>
          </w:p>
        </w:tc>
        <w:tc>
          <w:tcPr>
            <w:tcW w:w="516" w:type="pct"/>
            <w:tcBorders>
              <w:top w:val="nil"/>
              <w:left w:val="nil"/>
              <w:bottom w:val="nil"/>
              <w:right w:val="nil"/>
            </w:tcBorders>
          </w:tcPr>
          <w:p w14:paraId="63ABDB76" w14:textId="77777777" w:rsidR="00120F9C" w:rsidRPr="00120F9C" w:rsidRDefault="00120F9C">
            <w:pPr>
              <w:pStyle w:val="SecurityCont2"/>
              <w:keepNext/>
              <w:pBdr>
                <w:bottom w:val="single" w:sz="4" w:space="1" w:color="auto"/>
              </w:pBdr>
              <w:spacing w:after="0"/>
              <w:jc w:val="center"/>
              <w:rPr>
                <w:rFonts w:ascii="Verdana" w:hAnsi="Verdana" w:cstheme="minorHAnsi"/>
                <w:bCs/>
                <w:sz w:val="16"/>
                <w:szCs w:val="16"/>
              </w:rPr>
            </w:pPr>
          </w:p>
          <w:p w14:paraId="530F18AE" w14:textId="77777777" w:rsidR="00120F9C" w:rsidRPr="00120F9C" w:rsidRDefault="00120F9C">
            <w:pPr>
              <w:pStyle w:val="SecurityCont2"/>
              <w:keepNext/>
              <w:pBdr>
                <w:bottom w:val="single" w:sz="4" w:space="1" w:color="auto"/>
              </w:pBdr>
              <w:spacing w:after="0"/>
              <w:jc w:val="center"/>
              <w:rPr>
                <w:rFonts w:ascii="Verdana" w:hAnsi="Verdana" w:cstheme="minorHAnsi"/>
                <w:bCs/>
                <w:sz w:val="16"/>
                <w:szCs w:val="16"/>
              </w:rPr>
            </w:pPr>
          </w:p>
          <w:p w14:paraId="0532B922" w14:textId="77777777" w:rsidR="00D677C6" w:rsidRPr="00120F9C" w:rsidRDefault="00120F9C">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ET/LT/PQ</w:t>
            </w:r>
          </w:p>
          <w:p w14:paraId="05F512BD" w14:textId="77777777" w:rsidR="00120F9C" w:rsidRPr="00120F9C" w:rsidRDefault="00120F9C">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Gas</w:t>
            </w:r>
          </w:p>
          <w:p w14:paraId="25DC97C8" w14:textId="77777777" w:rsidR="00120F9C" w:rsidRPr="00120F9C" w:rsidRDefault="00120F9C">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 xml:space="preserve">Price </w:t>
            </w:r>
            <w:r>
              <w:rPr>
                <w:rFonts w:ascii="Verdana" w:hAnsi="Verdana" w:cstheme="minorHAnsi"/>
                <w:bCs/>
                <w:sz w:val="16"/>
                <w:szCs w:val="16"/>
                <w:vertAlign w:val="superscript"/>
              </w:rPr>
              <w:t>(8)</w:t>
            </w:r>
          </w:p>
          <w:p w14:paraId="1AB79333" w14:textId="77777777" w:rsidR="00120F9C" w:rsidRPr="00120F9C" w:rsidRDefault="00120F9C">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US$/Mcf</w:t>
            </w:r>
          </w:p>
        </w:tc>
        <w:tc>
          <w:tcPr>
            <w:tcW w:w="510" w:type="pct"/>
            <w:tcBorders>
              <w:top w:val="nil"/>
              <w:left w:val="nil"/>
              <w:bottom w:val="nil"/>
              <w:right w:val="nil"/>
            </w:tcBorders>
            <w:vAlign w:val="bottom"/>
          </w:tcPr>
          <w:p w14:paraId="0F96C035"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Inflation Rate</w:t>
            </w:r>
            <w:r>
              <w:rPr>
                <w:rFonts w:ascii="Verdana" w:hAnsi="Verdana" w:cstheme="minorHAnsi"/>
                <w:bCs/>
                <w:sz w:val="16"/>
                <w:szCs w:val="16"/>
                <w:vertAlign w:val="superscript"/>
              </w:rPr>
              <w:t xml:space="preserve"> (9)</w:t>
            </w:r>
          </w:p>
          <w:p w14:paraId="255858F8" w14:textId="77777777" w:rsidR="00D677C6" w:rsidRPr="00120F9C" w:rsidRDefault="00D677C6">
            <w:pPr>
              <w:pStyle w:val="SecurityCont2"/>
              <w:keepNext/>
              <w:pBdr>
                <w:bottom w:val="single" w:sz="4" w:space="1" w:color="auto"/>
              </w:pBdr>
              <w:spacing w:after="0"/>
              <w:jc w:val="center"/>
              <w:rPr>
                <w:rFonts w:ascii="Verdana" w:hAnsi="Verdana" w:cstheme="minorHAnsi"/>
                <w:bCs/>
                <w:sz w:val="16"/>
                <w:szCs w:val="16"/>
              </w:rPr>
            </w:pPr>
            <w:r>
              <w:rPr>
                <w:rFonts w:ascii="Verdana" w:hAnsi="Verdana" w:cstheme="minorHAnsi"/>
                <w:bCs/>
                <w:sz w:val="16"/>
                <w:szCs w:val="16"/>
              </w:rPr>
              <w:t>%/Year</w:t>
            </w:r>
          </w:p>
        </w:tc>
      </w:tr>
      <w:tr w:rsidR="001D500F" w:rsidRPr="002034F8" w14:paraId="5DD9BC33" w14:textId="77777777" w:rsidTr="007A0D62">
        <w:tc>
          <w:tcPr>
            <w:tcW w:w="494" w:type="pct"/>
            <w:tcBorders>
              <w:top w:val="nil"/>
              <w:left w:val="nil"/>
              <w:bottom w:val="nil"/>
              <w:right w:val="nil"/>
            </w:tcBorders>
          </w:tcPr>
          <w:p w14:paraId="17EFC1DE" w14:textId="77777777" w:rsidR="001D500F" w:rsidRPr="00AB79FC" w:rsidRDefault="001D500F" w:rsidP="001D500F">
            <w:pPr>
              <w:pStyle w:val="SecurityCont2"/>
              <w:keepNext/>
              <w:spacing w:after="0"/>
              <w:jc w:val="center"/>
              <w:rPr>
                <w:rFonts w:ascii="Verdana" w:hAnsi="Verdana" w:cstheme="minorHAnsi"/>
                <w:sz w:val="16"/>
                <w:szCs w:val="16"/>
                <w:vertAlign w:val="superscript"/>
              </w:rPr>
            </w:pPr>
            <w:r>
              <w:rPr>
                <w:rFonts w:ascii="Verdana" w:hAnsi="Verdana" w:cstheme="minorHAnsi"/>
                <w:sz w:val="16"/>
                <w:szCs w:val="16"/>
              </w:rPr>
              <w:t>2026</w:t>
            </w:r>
            <w:r>
              <w:rPr>
                <w:rFonts w:ascii="Verdana" w:hAnsi="Verdana" w:cstheme="minorHAnsi"/>
                <w:sz w:val="16"/>
                <w:szCs w:val="16"/>
                <w:vertAlign w:val="superscript"/>
              </w:rPr>
              <w:t>(10)</w:t>
            </w:r>
          </w:p>
        </w:tc>
        <w:tc>
          <w:tcPr>
            <w:tcW w:w="493" w:type="pct"/>
            <w:tcBorders>
              <w:top w:val="nil"/>
              <w:left w:val="nil"/>
              <w:bottom w:val="nil"/>
              <w:right w:val="nil"/>
            </w:tcBorders>
          </w:tcPr>
          <w:p w14:paraId="63ED1B6B"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63.92</w:t>
            </w:r>
          </w:p>
        </w:tc>
        <w:tc>
          <w:tcPr>
            <w:tcW w:w="493" w:type="pct"/>
            <w:tcBorders>
              <w:top w:val="nil"/>
              <w:left w:val="nil"/>
              <w:bottom w:val="nil"/>
              <w:right w:val="nil"/>
            </w:tcBorders>
            <w:vAlign w:val="center"/>
          </w:tcPr>
          <w:p w14:paraId="1A41B370"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52.17</w:t>
            </w:r>
          </w:p>
        </w:tc>
        <w:tc>
          <w:tcPr>
            <w:tcW w:w="493" w:type="pct"/>
            <w:tcBorders>
              <w:top w:val="nil"/>
              <w:left w:val="nil"/>
              <w:bottom w:val="nil"/>
              <w:right w:val="nil"/>
            </w:tcBorders>
            <w:vAlign w:val="center"/>
          </w:tcPr>
          <w:p w14:paraId="658D81D0"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28.68</w:t>
            </w:r>
          </w:p>
        </w:tc>
        <w:tc>
          <w:tcPr>
            <w:tcW w:w="493" w:type="pct"/>
            <w:tcBorders>
              <w:top w:val="nil"/>
              <w:left w:val="nil"/>
              <w:bottom w:val="nil"/>
              <w:right w:val="nil"/>
            </w:tcBorders>
            <w:vAlign w:val="center"/>
          </w:tcPr>
          <w:p w14:paraId="00B9F643"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3.39</w:t>
            </w:r>
          </w:p>
        </w:tc>
        <w:tc>
          <w:tcPr>
            <w:tcW w:w="513" w:type="pct"/>
            <w:tcBorders>
              <w:top w:val="nil"/>
              <w:left w:val="nil"/>
              <w:bottom w:val="nil"/>
              <w:right w:val="nil"/>
            </w:tcBorders>
            <w:vAlign w:val="bottom"/>
          </w:tcPr>
          <w:p w14:paraId="792918D1"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57.97</w:t>
            </w:r>
          </w:p>
        </w:tc>
        <w:tc>
          <w:tcPr>
            <w:tcW w:w="471" w:type="pct"/>
            <w:tcBorders>
              <w:top w:val="nil"/>
              <w:left w:val="nil"/>
              <w:bottom w:val="nil"/>
              <w:right w:val="nil"/>
            </w:tcBorders>
          </w:tcPr>
          <w:p w14:paraId="38A9F7C6"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61.67</w:t>
            </w:r>
          </w:p>
        </w:tc>
        <w:tc>
          <w:tcPr>
            <w:tcW w:w="524" w:type="pct"/>
            <w:tcBorders>
              <w:top w:val="nil"/>
              <w:left w:val="nil"/>
              <w:bottom w:val="nil"/>
              <w:right w:val="nil"/>
            </w:tcBorders>
          </w:tcPr>
          <w:p w14:paraId="6B9330E2"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62.42</w:t>
            </w:r>
          </w:p>
        </w:tc>
        <w:tc>
          <w:tcPr>
            <w:tcW w:w="516" w:type="pct"/>
            <w:tcBorders>
              <w:top w:val="nil"/>
              <w:left w:val="nil"/>
              <w:bottom w:val="nil"/>
              <w:right w:val="nil"/>
            </w:tcBorders>
            <w:vAlign w:val="center"/>
          </w:tcPr>
          <w:p w14:paraId="08C732A9"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5.14</w:t>
            </w:r>
          </w:p>
        </w:tc>
        <w:tc>
          <w:tcPr>
            <w:tcW w:w="510" w:type="pct"/>
            <w:tcBorders>
              <w:top w:val="nil"/>
              <w:left w:val="nil"/>
              <w:bottom w:val="nil"/>
              <w:right w:val="nil"/>
            </w:tcBorders>
          </w:tcPr>
          <w:p w14:paraId="5CEF27E1"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0.0</w:t>
            </w:r>
          </w:p>
        </w:tc>
      </w:tr>
      <w:tr w:rsidR="001D500F" w:rsidRPr="002034F8" w14:paraId="32C4146E" w14:textId="77777777" w:rsidTr="007A0D62">
        <w:tc>
          <w:tcPr>
            <w:tcW w:w="494" w:type="pct"/>
            <w:tcBorders>
              <w:top w:val="nil"/>
              <w:left w:val="nil"/>
              <w:bottom w:val="nil"/>
              <w:right w:val="nil"/>
            </w:tcBorders>
          </w:tcPr>
          <w:p w14:paraId="0515EC17"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 xml:space="preserve"> 2027</w:t>
            </w:r>
          </w:p>
        </w:tc>
        <w:tc>
          <w:tcPr>
            <w:tcW w:w="493" w:type="pct"/>
            <w:tcBorders>
              <w:top w:val="nil"/>
              <w:left w:val="nil"/>
              <w:bottom w:val="nil"/>
              <w:right w:val="nil"/>
            </w:tcBorders>
          </w:tcPr>
          <w:p w14:paraId="350ECFA0"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69.13</w:t>
            </w:r>
          </w:p>
        </w:tc>
        <w:tc>
          <w:tcPr>
            <w:tcW w:w="493" w:type="pct"/>
            <w:tcBorders>
              <w:top w:val="nil"/>
              <w:left w:val="nil"/>
              <w:bottom w:val="nil"/>
              <w:right w:val="nil"/>
            </w:tcBorders>
            <w:vAlign w:val="center"/>
          </w:tcPr>
          <w:p w14:paraId="143FF97B"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57.38</w:t>
            </w:r>
          </w:p>
        </w:tc>
        <w:tc>
          <w:tcPr>
            <w:tcW w:w="493" w:type="pct"/>
            <w:tcBorders>
              <w:top w:val="nil"/>
              <w:left w:val="nil"/>
              <w:bottom w:val="nil"/>
              <w:right w:val="nil"/>
            </w:tcBorders>
            <w:vAlign w:val="center"/>
          </w:tcPr>
          <w:p w14:paraId="75529AAE"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32.16</w:t>
            </w:r>
          </w:p>
        </w:tc>
        <w:tc>
          <w:tcPr>
            <w:tcW w:w="493" w:type="pct"/>
            <w:tcBorders>
              <w:top w:val="nil"/>
              <w:left w:val="nil"/>
              <w:bottom w:val="nil"/>
              <w:right w:val="nil"/>
            </w:tcBorders>
            <w:vAlign w:val="center"/>
          </w:tcPr>
          <w:p w14:paraId="7D04EB7C"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3.43</w:t>
            </w:r>
          </w:p>
        </w:tc>
        <w:tc>
          <w:tcPr>
            <w:tcW w:w="513" w:type="pct"/>
            <w:tcBorders>
              <w:top w:val="nil"/>
              <w:left w:val="nil"/>
              <w:bottom w:val="nil"/>
              <w:right w:val="nil"/>
            </w:tcBorders>
            <w:vAlign w:val="bottom"/>
          </w:tcPr>
          <w:p w14:paraId="40CAF200"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63.12</w:t>
            </w:r>
          </w:p>
        </w:tc>
        <w:tc>
          <w:tcPr>
            <w:tcW w:w="471" w:type="pct"/>
            <w:tcBorders>
              <w:top w:val="nil"/>
              <w:left w:val="nil"/>
              <w:bottom w:val="nil"/>
              <w:right w:val="nil"/>
            </w:tcBorders>
          </w:tcPr>
          <w:p w14:paraId="44B2D0E0"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66.88</w:t>
            </w:r>
          </w:p>
        </w:tc>
        <w:tc>
          <w:tcPr>
            <w:tcW w:w="524" w:type="pct"/>
            <w:tcBorders>
              <w:top w:val="nil"/>
              <w:left w:val="nil"/>
              <w:bottom w:val="nil"/>
              <w:right w:val="nil"/>
            </w:tcBorders>
          </w:tcPr>
          <w:p w14:paraId="1B040A47"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66.55</w:t>
            </w:r>
          </w:p>
        </w:tc>
        <w:tc>
          <w:tcPr>
            <w:tcW w:w="516" w:type="pct"/>
            <w:tcBorders>
              <w:top w:val="nil"/>
              <w:left w:val="nil"/>
              <w:bottom w:val="nil"/>
              <w:right w:val="nil"/>
            </w:tcBorders>
            <w:vAlign w:val="center"/>
          </w:tcPr>
          <w:p w14:paraId="050B04A9"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5.18</w:t>
            </w:r>
          </w:p>
        </w:tc>
        <w:tc>
          <w:tcPr>
            <w:tcW w:w="510" w:type="pct"/>
            <w:tcBorders>
              <w:top w:val="nil"/>
              <w:left w:val="nil"/>
              <w:bottom w:val="nil"/>
              <w:right w:val="nil"/>
            </w:tcBorders>
          </w:tcPr>
          <w:p w14:paraId="12BE8A15"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r w:rsidR="001D500F" w:rsidRPr="002034F8" w14:paraId="07589641" w14:textId="77777777" w:rsidTr="007A0D62">
        <w:tc>
          <w:tcPr>
            <w:tcW w:w="494" w:type="pct"/>
            <w:tcBorders>
              <w:top w:val="nil"/>
              <w:left w:val="nil"/>
              <w:bottom w:val="nil"/>
              <w:right w:val="nil"/>
            </w:tcBorders>
          </w:tcPr>
          <w:p w14:paraId="2750A0C5"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2028</w:t>
            </w:r>
          </w:p>
        </w:tc>
        <w:tc>
          <w:tcPr>
            <w:tcW w:w="493" w:type="pct"/>
            <w:tcBorders>
              <w:top w:val="nil"/>
              <w:left w:val="nil"/>
              <w:bottom w:val="nil"/>
              <w:right w:val="nil"/>
            </w:tcBorders>
          </w:tcPr>
          <w:p w14:paraId="5B34731E"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74.36</w:t>
            </w:r>
          </w:p>
        </w:tc>
        <w:tc>
          <w:tcPr>
            <w:tcW w:w="493" w:type="pct"/>
            <w:tcBorders>
              <w:top w:val="nil"/>
              <w:left w:val="nil"/>
              <w:bottom w:val="nil"/>
              <w:right w:val="nil"/>
            </w:tcBorders>
            <w:vAlign w:val="center"/>
          </w:tcPr>
          <w:p w14:paraId="06311FAB"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62.61</w:t>
            </w:r>
          </w:p>
        </w:tc>
        <w:tc>
          <w:tcPr>
            <w:tcW w:w="493" w:type="pct"/>
            <w:tcBorders>
              <w:top w:val="nil"/>
              <w:left w:val="nil"/>
              <w:bottom w:val="nil"/>
              <w:right w:val="nil"/>
            </w:tcBorders>
            <w:vAlign w:val="center"/>
          </w:tcPr>
          <w:p w14:paraId="25988777"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34.81</w:t>
            </w:r>
          </w:p>
        </w:tc>
        <w:tc>
          <w:tcPr>
            <w:tcW w:w="493" w:type="pct"/>
            <w:tcBorders>
              <w:top w:val="nil"/>
              <w:left w:val="nil"/>
              <w:bottom w:val="nil"/>
              <w:right w:val="nil"/>
            </w:tcBorders>
            <w:vAlign w:val="center"/>
          </w:tcPr>
          <w:p w14:paraId="67919760"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3.50</w:t>
            </w:r>
          </w:p>
        </w:tc>
        <w:tc>
          <w:tcPr>
            <w:tcW w:w="513" w:type="pct"/>
            <w:tcBorders>
              <w:top w:val="nil"/>
              <w:left w:val="nil"/>
              <w:bottom w:val="nil"/>
              <w:right w:val="nil"/>
            </w:tcBorders>
            <w:vAlign w:val="bottom"/>
          </w:tcPr>
          <w:p w14:paraId="57693216"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68.45</w:t>
            </w:r>
          </w:p>
        </w:tc>
        <w:tc>
          <w:tcPr>
            <w:tcW w:w="471" w:type="pct"/>
            <w:tcBorders>
              <w:top w:val="nil"/>
              <w:left w:val="nil"/>
              <w:bottom w:val="nil"/>
              <w:right w:val="nil"/>
            </w:tcBorders>
          </w:tcPr>
          <w:p w14:paraId="79B36BA0"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72.11</w:t>
            </w:r>
          </w:p>
        </w:tc>
        <w:tc>
          <w:tcPr>
            <w:tcW w:w="524" w:type="pct"/>
            <w:tcBorders>
              <w:top w:val="nil"/>
              <w:left w:val="nil"/>
              <w:bottom w:val="nil"/>
              <w:right w:val="nil"/>
            </w:tcBorders>
          </w:tcPr>
          <w:p w14:paraId="7334E011"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70.24</w:t>
            </w:r>
          </w:p>
        </w:tc>
        <w:tc>
          <w:tcPr>
            <w:tcW w:w="516" w:type="pct"/>
            <w:tcBorders>
              <w:top w:val="nil"/>
              <w:left w:val="nil"/>
              <w:bottom w:val="nil"/>
              <w:right w:val="nil"/>
            </w:tcBorders>
            <w:vAlign w:val="center"/>
          </w:tcPr>
          <w:p w14:paraId="4E84F19F"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5.25</w:t>
            </w:r>
          </w:p>
        </w:tc>
        <w:tc>
          <w:tcPr>
            <w:tcW w:w="510" w:type="pct"/>
            <w:tcBorders>
              <w:top w:val="nil"/>
              <w:left w:val="nil"/>
              <w:bottom w:val="nil"/>
              <w:right w:val="nil"/>
            </w:tcBorders>
          </w:tcPr>
          <w:p w14:paraId="5D364DEE"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r w:rsidR="001D500F" w:rsidRPr="002034F8" w14:paraId="3FC37CA8" w14:textId="77777777" w:rsidTr="007A0D62">
        <w:tc>
          <w:tcPr>
            <w:tcW w:w="494" w:type="pct"/>
            <w:tcBorders>
              <w:top w:val="nil"/>
              <w:left w:val="nil"/>
              <w:bottom w:val="nil"/>
              <w:right w:val="nil"/>
            </w:tcBorders>
          </w:tcPr>
          <w:p w14:paraId="6C88F994"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2029</w:t>
            </w:r>
          </w:p>
        </w:tc>
        <w:tc>
          <w:tcPr>
            <w:tcW w:w="493" w:type="pct"/>
            <w:tcBorders>
              <w:top w:val="nil"/>
              <w:left w:val="nil"/>
              <w:bottom w:val="nil"/>
              <w:right w:val="nil"/>
            </w:tcBorders>
          </w:tcPr>
          <w:p w14:paraId="5DDB84EC"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76.10</w:t>
            </w:r>
          </w:p>
        </w:tc>
        <w:tc>
          <w:tcPr>
            <w:tcW w:w="493" w:type="pct"/>
            <w:tcBorders>
              <w:top w:val="nil"/>
              <w:left w:val="nil"/>
              <w:bottom w:val="nil"/>
              <w:right w:val="nil"/>
            </w:tcBorders>
            <w:vAlign w:val="center"/>
          </w:tcPr>
          <w:p w14:paraId="498729C6"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64.35</w:t>
            </w:r>
          </w:p>
        </w:tc>
        <w:tc>
          <w:tcPr>
            <w:tcW w:w="493" w:type="pct"/>
            <w:tcBorders>
              <w:top w:val="nil"/>
              <w:left w:val="nil"/>
              <w:bottom w:val="nil"/>
              <w:right w:val="nil"/>
            </w:tcBorders>
            <w:vAlign w:val="center"/>
          </w:tcPr>
          <w:p w14:paraId="615A7B2D"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35.85</w:t>
            </w:r>
          </w:p>
        </w:tc>
        <w:tc>
          <w:tcPr>
            <w:tcW w:w="493" w:type="pct"/>
            <w:tcBorders>
              <w:top w:val="nil"/>
              <w:left w:val="nil"/>
              <w:bottom w:val="nil"/>
              <w:right w:val="nil"/>
            </w:tcBorders>
            <w:vAlign w:val="center"/>
          </w:tcPr>
          <w:p w14:paraId="67345CEA"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3.58</w:t>
            </w:r>
          </w:p>
        </w:tc>
        <w:tc>
          <w:tcPr>
            <w:tcW w:w="513" w:type="pct"/>
            <w:tcBorders>
              <w:top w:val="nil"/>
              <w:left w:val="nil"/>
              <w:bottom w:val="nil"/>
              <w:right w:val="nil"/>
            </w:tcBorders>
            <w:vAlign w:val="bottom"/>
          </w:tcPr>
          <w:p w14:paraId="5EDD689A"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70.21</w:t>
            </w:r>
          </w:p>
        </w:tc>
        <w:tc>
          <w:tcPr>
            <w:tcW w:w="471" w:type="pct"/>
            <w:tcBorders>
              <w:top w:val="nil"/>
              <w:left w:val="nil"/>
              <w:bottom w:val="nil"/>
              <w:right w:val="nil"/>
            </w:tcBorders>
          </w:tcPr>
          <w:p w14:paraId="6F02D5DA"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73.85</w:t>
            </w:r>
          </w:p>
        </w:tc>
        <w:tc>
          <w:tcPr>
            <w:tcW w:w="524" w:type="pct"/>
            <w:tcBorders>
              <w:top w:val="nil"/>
              <w:left w:val="nil"/>
              <w:bottom w:val="nil"/>
              <w:right w:val="nil"/>
            </w:tcBorders>
          </w:tcPr>
          <w:p w14:paraId="5AD2FA57"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71.32</w:t>
            </w:r>
          </w:p>
        </w:tc>
        <w:tc>
          <w:tcPr>
            <w:tcW w:w="516" w:type="pct"/>
            <w:tcBorders>
              <w:top w:val="nil"/>
              <w:left w:val="nil"/>
              <w:bottom w:val="nil"/>
              <w:right w:val="nil"/>
            </w:tcBorders>
            <w:vAlign w:val="center"/>
          </w:tcPr>
          <w:p w14:paraId="6ADAB60B"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5.33</w:t>
            </w:r>
          </w:p>
        </w:tc>
        <w:tc>
          <w:tcPr>
            <w:tcW w:w="510" w:type="pct"/>
            <w:tcBorders>
              <w:top w:val="nil"/>
              <w:left w:val="nil"/>
              <w:bottom w:val="nil"/>
              <w:right w:val="nil"/>
            </w:tcBorders>
          </w:tcPr>
          <w:p w14:paraId="6386A70D"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r w:rsidR="001D500F" w:rsidRPr="002034F8" w14:paraId="22702BB2" w14:textId="77777777" w:rsidTr="007A0D62">
        <w:tc>
          <w:tcPr>
            <w:tcW w:w="494" w:type="pct"/>
            <w:tcBorders>
              <w:top w:val="nil"/>
              <w:left w:val="nil"/>
              <w:bottom w:val="nil"/>
              <w:right w:val="nil"/>
            </w:tcBorders>
          </w:tcPr>
          <w:p w14:paraId="49921831"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2030</w:t>
            </w:r>
          </w:p>
        </w:tc>
        <w:tc>
          <w:tcPr>
            <w:tcW w:w="493" w:type="pct"/>
            <w:tcBorders>
              <w:top w:val="nil"/>
              <w:left w:val="nil"/>
              <w:bottom w:val="nil"/>
              <w:right w:val="nil"/>
            </w:tcBorders>
          </w:tcPr>
          <w:p w14:paraId="04B6DD81"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77.62</w:t>
            </w:r>
          </w:p>
        </w:tc>
        <w:tc>
          <w:tcPr>
            <w:tcW w:w="493" w:type="pct"/>
            <w:tcBorders>
              <w:top w:val="nil"/>
              <w:left w:val="nil"/>
              <w:bottom w:val="nil"/>
              <w:right w:val="nil"/>
            </w:tcBorders>
            <w:vAlign w:val="center"/>
          </w:tcPr>
          <w:p w14:paraId="765C5F33"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65.87</w:t>
            </w:r>
          </w:p>
        </w:tc>
        <w:tc>
          <w:tcPr>
            <w:tcW w:w="493" w:type="pct"/>
            <w:tcBorders>
              <w:top w:val="nil"/>
              <w:left w:val="nil"/>
              <w:bottom w:val="nil"/>
              <w:right w:val="nil"/>
            </w:tcBorders>
            <w:vAlign w:val="center"/>
          </w:tcPr>
          <w:p w14:paraId="50BD105A"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36.69</w:t>
            </w:r>
          </w:p>
        </w:tc>
        <w:tc>
          <w:tcPr>
            <w:tcW w:w="493" w:type="pct"/>
            <w:tcBorders>
              <w:top w:val="nil"/>
              <w:left w:val="nil"/>
              <w:bottom w:val="nil"/>
              <w:right w:val="nil"/>
            </w:tcBorders>
            <w:vAlign w:val="center"/>
          </w:tcPr>
          <w:p w14:paraId="00292B09"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3.66</w:t>
            </w:r>
          </w:p>
        </w:tc>
        <w:tc>
          <w:tcPr>
            <w:tcW w:w="513" w:type="pct"/>
            <w:tcBorders>
              <w:top w:val="nil"/>
              <w:left w:val="nil"/>
              <w:bottom w:val="nil"/>
              <w:right w:val="nil"/>
            </w:tcBorders>
            <w:vAlign w:val="bottom"/>
          </w:tcPr>
          <w:p w14:paraId="46649FAF"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71.79</w:t>
            </w:r>
          </w:p>
        </w:tc>
        <w:tc>
          <w:tcPr>
            <w:tcW w:w="471" w:type="pct"/>
            <w:tcBorders>
              <w:top w:val="nil"/>
              <w:left w:val="nil"/>
              <w:bottom w:val="nil"/>
              <w:right w:val="nil"/>
            </w:tcBorders>
          </w:tcPr>
          <w:p w14:paraId="1D4EC4E2"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75.37</w:t>
            </w:r>
          </w:p>
        </w:tc>
        <w:tc>
          <w:tcPr>
            <w:tcW w:w="524" w:type="pct"/>
            <w:tcBorders>
              <w:top w:val="nil"/>
              <w:left w:val="nil"/>
              <w:bottom w:val="nil"/>
              <w:right w:val="nil"/>
            </w:tcBorders>
          </w:tcPr>
          <w:p w14:paraId="71E3DED3"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72.16</w:t>
            </w:r>
          </w:p>
        </w:tc>
        <w:tc>
          <w:tcPr>
            <w:tcW w:w="516" w:type="pct"/>
            <w:tcBorders>
              <w:top w:val="nil"/>
              <w:left w:val="nil"/>
              <w:bottom w:val="nil"/>
              <w:right w:val="nil"/>
            </w:tcBorders>
            <w:vAlign w:val="center"/>
          </w:tcPr>
          <w:p w14:paraId="4DE844DB"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5.41</w:t>
            </w:r>
          </w:p>
        </w:tc>
        <w:tc>
          <w:tcPr>
            <w:tcW w:w="510" w:type="pct"/>
            <w:tcBorders>
              <w:top w:val="nil"/>
              <w:left w:val="nil"/>
              <w:bottom w:val="nil"/>
              <w:right w:val="nil"/>
            </w:tcBorders>
          </w:tcPr>
          <w:p w14:paraId="62A6574E" w14:textId="77777777" w:rsidR="001D500F" w:rsidRPr="00AB79FC"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r w:rsidR="001D500F" w:rsidRPr="009678E6" w14:paraId="16DF9CC5" w14:textId="77777777" w:rsidTr="007A0D62">
        <w:tc>
          <w:tcPr>
            <w:tcW w:w="494" w:type="pct"/>
            <w:tcBorders>
              <w:top w:val="nil"/>
              <w:left w:val="nil"/>
              <w:bottom w:val="nil"/>
              <w:right w:val="nil"/>
            </w:tcBorders>
          </w:tcPr>
          <w:p w14:paraId="444915C5"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2031</w:t>
            </w:r>
          </w:p>
        </w:tc>
        <w:tc>
          <w:tcPr>
            <w:tcW w:w="493" w:type="pct"/>
            <w:tcBorders>
              <w:top w:val="nil"/>
              <w:left w:val="nil"/>
              <w:bottom w:val="nil"/>
              <w:right w:val="nil"/>
            </w:tcBorders>
          </w:tcPr>
          <w:p w14:paraId="42D4F2B2"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79.17</w:t>
            </w:r>
          </w:p>
        </w:tc>
        <w:tc>
          <w:tcPr>
            <w:tcW w:w="493" w:type="pct"/>
            <w:tcBorders>
              <w:top w:val="nil"/>
              <w:left w:val="nil"/>
              <w:bottom w:val="nil"/>
              <w:right w:val="nil"/>
            </w:tcBorders>
            <w:vAlign w:val="center"/>
          </w:tcPr>
          <w:p w14:paraId="7E6F5F1E"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67.42</w:t>
            </w:r>
          </w:p>
        </w:tc>
        <w:tc>
          <w:tcPr>
            <w:tcW w:w="493" w:type="pct"/>
            <w:tcBorders>
              <w:top w:val="nil"/>
              <w:left w:val="nil"/>
              <w:bottom w:val="nil"/>
              <w:right w:val="nil"/>
            </w:tcBorders>
            <w:vAlign w:val="center"/>
          </w:tcPr>
          <w:p w14:paraId="11A0F48B"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37.54</w:t>
            </w:r>
          </w:p>
        </w:tc>
        <w:tc>
          <w:tcPr>
            <w:tcW w:w="493" w:type="pct"/>
            <w:tcBorders>
              <w:top w:val="nil"/>
              <w:left w:val="nil"/>
              <w:bottom w:val="nil"/>
              <w:right w:val="nil"/>
            </w:tcBorders>
            <w:vAlign w:val="center"/>
          </w:tcPr>
          <w:p w14:paraId="66D228AC"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3.74</w:t>
            </w:r>
          </w:p>
        </w:tc>
        <w:tc>
          <w:tcPr>
            <w:tcW w:w="513" w:type="pct"/>
            <w:tcBorders>
              <w:top w:val="nil"/>
              <w:left w:val="nil"/>
              <w:bottom w:val="nil"/>
              <w:right w:val="nil"/>
            </w:tcBorders>
            <w:vAlign w:val="bottom"/>
          </w:tcPr>
          <w:p w14:paraId="276F46D2"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73.41</w:t>
            </w:r>
          </w:p>
        </w:tc>
        <w:tc>
          <w:tcPr>
            <w:tcW w:w="471" w:type="pct"/>
            <w:tcBorders>
              <w:top w:val="nil"/>
              <w:left w:val="nil"/>
              <w:bottom w:val="nil"/>
              <w:right w:val="nil"/>
            </w:tcBorders>
          </w:tcPr>
          <w:p w14:paraId="72FCB530"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76.92</w:t>
            </w:r>
          </w:p>
        </w:tc>
        <w:tc>
          <w:tcPr>
            <w:tcW w:w="524" w:type="pct"/>
            <w:tcBorders>
              <w:top w:val="nil"/>
              <w:left w:val="nil"/>
              <w:bottom w:val="nil"/>
              <w:right w:val="nil"/>
            </w:tcBorders>
          </w:tcPr>
          <w:p w14:paraId="63BFD68A"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73.32</w:t>
            </w:r>
          </w:p>
        </w:tc>
        <w:tc>
          <w:tcPr>
            <w:tcW w:w="516" w:type="pct"/>
            <w:tcBorders>
              <w:top w:val="nil"/>
              <w:left w:val="nil"/>
              <w:bottom w:val="nil"/>
              <w:right w:val="nil"/>
            </w:tcBorders>
            <w:vAlign w:val="center"/>
          </w:tcPr>
          <w:p w14:paraId="51965FBF"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5.49</w:t>
            </w:r>
          </w:p>
        </w:tc>
        <w:tc>
          <w:tcPr>
            <w:tcW w:w="510" w:type="pct"/>
            <w:tcBorders>
              <w:top w:val="nil"/>
              <w:left w:val="nil"/>
              <w:bottom w:val="nil"/>
              <w:right w:val="nil"/>
            </w:tcBorders>
          </w:tcPr>
          <w:p w14:paraId="10E406A5"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r w:rsidR="001D500F" w:rsidRPr="009678E6" w14:paraId="2698C287" w14:textId="77777777" w:rsidTr="007A0D62">
        <w:tc>
          <w:tcPr>
            <w:tcW w:w="494" w:type="pct"/>
            <w:tcBorders>
              <w:top w:val="nil"/>
              <w:left w:val="nil"/>
              <w:bottom w:val="nil"/>
              <w:right w:val="nil"/>
            </w:tcBorders>
          </w:tcPr>
          <w:p w14:paraId="1B8DE738"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2032</w:t>
            </w:r>
          </w:p>
        </w:tc>
        <w:tc>
          <w:tcPr>
            <w:tcW w:w="493" w:type="pct"/>
            <w:tcBorders>
              <w:top w:val="nil"/>
              <w:left w:val="nil"/>
              <w:bottom w:val="nil"/>
              <w:right w:val="nil"/>
            </w:tcBorders>
          </w:tcPr>
          <w:p w14:paraId="2DEC04EB"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80.76</w:t>
            </w:r>
          </w:p>
        </w:tc>
        <w:tc>
          <w:tcPr>
            <w:tcW w:w="493" w:type="pct"/>
            <w:tcBorders>
              <w:top w:val="nil"/>
              <w:left w:val="nil"/>
              <w:bottom w:val="nil"/>
              <w:right w:val="nil"/>
            </w:tcBorders>
            <w:vAlign w:val="center"/>
          </w:tcPr>
          <w:p w14:paraId="52858057"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69.01</w:t>
            </w:r>
          </w:p>
        </w:tc>
        <w:tc>
          <w:tcPr>
            <w:tcW w:w="493" w:type="pct"/>
            <w:tcBorders>
              <w:top w:val="nil"/>
              <w:left w:val="nil"/>
              <w:bottom w:val="nil"/>
              <w:right w:val="nil"/>
            </w:tcBorders>
            <w:vAlign w:val="center"/>
          </w:tcPr>
          <w:p w14:paraId="669962B1"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38.41</w:t>
            </w:r>
          </w:p>
        </w:tc>
        <w:tc>
          <w:tcPr>
            <w:tcW w:w="493" w:type="pct"/>
            <w:tcBorders>
              <w:top w:val="nil"/>
              <w:left w:val="nil"/>
              <w:bottom w:val="nil"/>
              <w:right w:val="nil"/>
            </w:tcBorders>
            <w:vAlign w:val="center"/>
          </w:tcPr>
          <w:p w14:paraId="256C1F62"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3.82</w:t>
            </w:r>
          </w:p>
        </w:tc>
        <w:tc>
          <w:tcPr>
            <w:tcW w:w="513" w:type="pct"/>
            <w:tcBorders>
              <w:top w:val="nil"/>
              <w:left w:val="nil"/>
              <w:bottom w:val="nil"/>
              <w:right w:val="nil"/>
            </w:tcBorders>
            <w:vAlign w:val="bottom"/>
          </w:tcPr>
          <w:p w14:paraId="3FFCA87A"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75.00</w:t>
            </w:r>
          </w:p>
        </w:tc>
        <w:tc>
          <w:tcPr>
            <w:tcW w:w="471" w:type="pct"/>
            <w:tcBorders>
              <w:top w:val="nil"/>
              <w:left w:val="nil"/>
              <w:bottom w:val="nil"/>
              <w:right w:val="nil"/>
            </w:tcBorders>
          </w:tcPr>
          <w:p w14:paraId="5AD81ACC"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78.51</w:t>
            </w:r>
          </w:p>
        </w:tc>
        <w:tc>
          <w:tcPr>
            <w:tcW w:w="524" w:type="pct"/>
            <w:tcBorders>
              <w:top w:val="nil"/>
              <w:left w:val="nil"/>
              <w:bottom w:val="nil"/>
              <w:right w:val="nil"/>
            </w:tcBorders>
          </w:tcPr>
          <w:p w14:paraId="2F88F314"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74.19</w:t>
            </w:r>
          </w:p>
        </w:tc>
        <w:tc>
          <w:tcPr>
            <w:tcW w:w="516" w:type="pct"/>
            <w:tcBorders>
              <w:top w:val="nil"/>
              <w:left w:val="nil"/>
              <w:bottom w:val="nil"/>
              <w:right w:val="nil"/>
            </w:tcBorders>
            <w:vAlign w:val="center"/>
          </w:tcPr>
          <w:p w14:paraId="33E2207B"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5.57</w:t>
            </w:r>
          </w:p>
        </w:tc>
        <w:tc>
          <w:tcPr>
            <w:tcW w:w="510" w:type="pct"/>
            <w:tcBorders>
              <w:top w:val="nil"/>
              <w:left w:val="nil"/>
              <w:bottom w:val="nil"/>
              <w:right w:val="nil"/>
            </w:tcBorders>
          </w:tcPr>
          <w:p w14:paraId="0504DCD6"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r w:rsidR="001D500F" w:rsidRPr="009678E6" w14:paraId="0F0B0C85" w14:textId="77777777" w:rsidTr="007A0D62">
        <w:tc>
          <w:tcPr>
            <w:tcW w:w="494" w:type="pct"/>
            <w:tcBorders>
              <w:top w:val="nil"/>
              <w:left w:val="nil"/>
              <w:bottom w:val="nil"/>
              <w:right w:val="nil"/>
            </w:tcBorders>
          </w:tcPr>
          <w:p w14:paraId="4D6B8524"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2033</w:t>
            </w:r>
          </w:p>
        </w:tc>
        <w:tc>
          <w:tcPr>
            <w:tcW w:w="493" w:type="pct"/>
            <w:tcBorders>
              <w:top w:val="nil"/>
              <w:left w:val="nil"/>
              <w:bottom w:val="nil"/>
              <w:right w:val="nil"/>
            </w:tcBorders>
          </w:tcPr>
          <w:p w14:paraId="30DF9696"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82.37</w:t>
            </w:r>
          </w:p>
        </w:tc>
        <w:tc>
          <w:tcPr>
            <w:tcW w:w="493" w:type="pct"/>
            <w:tcBorders>
              <w:top w:val="nil"/>
              <w:left w:val="nil"/>
              <w:bottom w:val="nil"/>
              <w:right w:val="nil"/>
            </w:tcBorders>
            <w:vAlign w:val="center"/>
          </w:tcPr>
          <w:p w14:paraId="0CA0D089"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70.62</w:t>
            </w:r>
          </w:p>
        </w:tc>
        <w:tc>
          <w:tcPr>
            <w:tcW w:w="493" w:type="pct"/>
            <w:tcBorders>
              <w:top w:val="nil"/>
              <w:left w:val="nil"/>
              <w:bottom w:val="nil"/>
              <w:right w:val="nil"/>
            </w:tcBorders>
            <w:vAlign w:val="center"/>
          </w:tcPr>
          <w:p w14:paraId="106CDBA8"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39.30</w:t>
            </w:r>
          </w:p>
        </w:tc>
        <w:tc>
          <w:tcPr>
            <w:tcW w:w="493" w:type="pct"/>
            <w:tcBorders>
              <w:top w:val="nil"/>
              <w:left w:val="nil"/>
              <w:bottom w:val="nil"/>
              <w:right w:val="nil"/>
            </w:tcBorders>
            <w:vAlign w:val="center"/>
          </w:tcPr>
          <w:p w14:paraId="3B33853D"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3.91</w:t>
            </w:r>
          </w:p>
        </w:tc>
        <w:tc>
          <w:tcPr>
            <w:tcW w:w="513" w:type="pct"/>
            <w:tcBorders>
              <w:top w:val="nil"/>
              <w:left w:val="nil"/>
              <w:bottom w:val="nil"/>
              <w:right w:val="nil"/>
            </w:tcBorders>
            <w:vAlign w:val="bottom"/>
          </w:tcPr>
          <w:p w14:paraId="428B3A65"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76.58</w:t>
            </w:r>
          </w:p>
        </w:tc>
        <w:tc>
          <w:tcPr>
            <w:tcW w:w="471" w:type="pct"/>
            <w:tcBorders>
              <w:top w:val="nil"/>
              <w:left w:val="nil"/>
              <w:bottom w:val="nil"/>
              <w:right w:val="nil"/>
            </w:tcBorders>
          </w:tcPr>
          <w:p w14:paraId="724C083C"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80.12</w:t>
            </w:r>
          </w:p>
        </w:tc>
        <w:tc>
          <w:tcPr>
            <w:tcW w:w="524" w:type="pct"/>
            <w:tcBorders>
              <w:top w:val="nil"/>
              <w:left w:val="nil"/>
              <w:bottom w:val="nil"/>
              <w:right w:val="nil"/>
            </w:tcBorders>
          </w:tcPr>
          <w:p w14:paraId="69E4D3F0"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75.37</w:t>
            </w:r>
          </w:p>
        </w:tc>
        <w:tc>
          <w:tcPr>
            <w:tcW w:w="516" w:type="pct"/>
            <w:tcBorders>
              <w:top w:val="nil"/>
              <w:left w:val="nil"/>
              <w:bottom w:val="nil"/>
              <w:right w:val="nil"/>
            </w:tcBorders>
            <w:vAlign w:val="center"/>
          </w:tcPr>
          <w:p w14:paraId="0AA39EFE"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5.66</w:t>
            </w:r>
          </w:p>
        </w:tc>
        <w:tc>
          <w:tcPr>
            <w:tcW w:w="510" w:type="pct"/>
            <w:tcBorders>
              <w:top w:val="nil"/>
              <w:left w:val="nil"/>
              <w:bottom w:val="nil"/>
              <w:right w:val="nil"/>
            </w:tcBorders>
          </w:tcPr>
          <w:p w14:paraId="421732F7"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r w:rsidR="001D500F" w:rsidRPr="00941751" w14:paraId="313F90B1" w14:textId="77777777" w:rsidTr="007A0D62">
        <w:tc>
          <w:tcPr>
            <w:tcW w:w="494" w:type="pct"/>
            <w:tcBorders>
              <w:top w:val="nil"/>
              <w:left w:val="nil"/>
              <w:bottom w:val="nil"/>
              <w:right w:val="nil"/>
            </w:tcBorders>
          </w:tcPr>
          <w:p w14:paraId="35EBF52D"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2034</w:t>
            </w:r>
          </w:p>
        </w:tc>
        <w:tc>
          <w:tcPr>
            <w:tcW w:w="493" w:type="pct"/>
            <w:tcBorders>
              <w:top w:val="nil"/>
              <w:left w:val="nil"/>
              <w:bottom w:val="nil"/>
              <w:right w:val="nil"/>
            </w:tcBorders>
          </w:tcPr>
          <w:p w14:paraId="3829954B"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84.02</w:t>
            </w:r>
          </w:p>
        </w:tc>
        <w:tc>
          <w:tcPr>
            <w:tcW w:w="493" w:type="pct"/>
            <w:tcBorders>
              <w:top w:val="nil"/>
              <w:left w:val="nil"/>
              <w:bottom w:val="nil"/>
              <w:right w:val="nil"/>
            </w:tcBorders>
            <w:vAlign w:val="center"/>
          </w:tcPr>
          <w:p w14:paraId="2E511ED6"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72.27</w:t>
            </w:r>
          </w:p>
        </w:tc>
        <w:tc>
          <w:tcPr>
            <w:tcW w:w="493" w:type="pct"/>
            <w:tcBorders>
              <w:top w:val="nil"/>
              <w:left w:val="nil"/>
              <w:bottom w:val="nil"/>
              <w:right w:val="nil"/>
            </w:tcBorders>
            <w:vAlign w:val="center"/>
          </w:tcPr>
          <w:p w14:paraId="7918C13E"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40.20</w:t>
            </w:r>
          </w:p>
        </w:tc>
        <w:tc>
          <w:tcPr>
            <w:tcW w:w="493" w:type="pct"/>
            <w:tcBorders>
              <w:top w:val="nil"/>
              <w:left w:val="nil"/>
              <w:bottom w:val="nil"/>
              <w:right w:val="nil"/>
            </w:tcBorders>
            <w:vAlign w:val="center"/>
          </w:tcPr>
          <w:p w14:paraId="45BA6EFE"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3.99</w:t>
            </w:r>
          </w:p>
        </w:tc>
        <w:tc>
          <w:tcPr>
            <w:tcW w:w="513" w:type="pct"/>
            <w:tcBorders>
              <w:top w:val="nil"/>
              <w:left w:val="nil"/>
              <w:bottom w:val="nil"/>
              <w:right w:val="nil"/>
            </w:tcBorders>
            <w:vAlign w:val="bottom"/>
          </w:tcPr>
          <w:p w14:paraId="1C40EFB3"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78.23</w:t>
            </w:r>
          </w:p>
        </w:tc>
        <w:tc>
          <w:tcPr>
            <w:tcW w:w="471" w:type="pct"/>
            <w:tcBorders>
              <w:top w:val="nil"/>
              <w:left w:val="nil"/>
              <w:bottom w:val="nil"/>
              <w:right w:val="nil"/>
            </w:tcBorders>
          </w:tcPr>
          <w:p w14:paraId="02386F50"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81.77</w:t>
            </w:r>
          </w:p>
        </w:tc>
        <w:tc>
          <w:tcPr>
            <w:tcW w:w="524" w:type="pct"/>
            <w:tcBorders>
              <w:top w:val="nil"/>
              <w:left w:val="nil"/>
              <w:bottom w:val="nil"/>
              <w:right w:val="nil"/>
            </w:tcBorders>
          </w:tcPr>
          <w:p w14:paraId="4A12F5E7"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76.25</w:t>
            </w:r>
          </w:p>
        </w:tc>
        <w:tc>
          <w:tcPr>
            <w:tcW w:w="516" w:type="pct"/>
            <w:tcBorders>
              <w:top w:val="nil"/>
              <w:left w:val="nil"/>
              <w:bottom w:val="nil"/>
              <w:right w:val="nil"/>
            </w:tcBorders>
            <w:vAlign w:val="center"/>
          </w:tcPr>
          <w:p w14:paraId="54706E58"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5.74</w:t>
            </w:r>
          </w:p>
        </w:tc>
        <w:tc>
          <w:tcPr>
            <w:tcW w:w="510" w:type="pct"/>
            <w:tcBorders>
              <w:top w:val="nil"/>
              <w:left w:val="nil"/>
              <w:bottom w:val="nil"/>
              <w:right w:val="nil"/>
            </w:tcBorders>
          </w:tcPr>
          <w:p w14:paraId="78460520"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r w:rsidR="001D500F" w:rsidRPr="00941751" w14:paraId="4634ADE1" w14:textId="77777777" w:rsidTr="007A0D62">
        <w:tc>
          <w:tcPr>
            <w:tcW w:w="494" w:type="pct"/>
            <w:tcBorders>
              <w:top w:val="nil"/>
              <w:left w:val="nil"/>
              <w:bottom w:val="nil"/>
              <w:right w:val="nil"/>
            </w:tcBorders>
          </w:tcPr>
          <w:p w14:paraId="6E9E97B6"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2035</w:t>
            </w:r>
          </w:p>
        </w:tc>
        <w:tc>
          <w:tcPr>
            <w:tcW w:w="493" w:type="pct"/>
            <w:tcBorders>
              <w:top w:val="nil"/>
              <w:left w:val="nil"/>
              <w:bottom w:val="nil"/>
              <w:right w:val="nil"/>
            </w:tcBorders>
          </w:tcPr>
          <w:p w14:paraId="552F10E9"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85.70</w:t>
            </w:r>
          </w:p>
        </w:tc>
        <w:tc>
          <w:tcPr>
            <w:tcW w:w="493" w:type="pct"/>
            <w:tcBorders>
              <w:top w:val="nil"/>
              <w:left w:val="nil"/>
              <w:bottom w:val="nil"/>
              <w:right w:val="nil"/>
            </w:tcBorders>
            <w:vAlign w:val="center"/>
          </w:tcPr>
          <w:p w14:paraId="09A894C9"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73.95</w:t>
            </w:r>
          </w:p>
        </w:tc>
        <w:tc>
          <w:tcPr>
            <w:tcW w:w="493" w:type="pct"/>
            <w:tcBorders>
              <w:top w:val="nil"/>
              <w:left w:val="nil"/>
              <w:bottom w:val="nil"/>
              <w:right w:val="nil"/>
            </w:tcBorders>
            <w:vAlign w:val="center"/>
          </w:tcPr>
          <w:p w14:paraId="2360AA34"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41.13</w:t>
            </w:r>
          </w:p>
        </w:tc>
        <w:tc>
          <w:tcPr>
            <w:tcW w:w="493" w:type="pct"/>
            <w:tcBorders>
              <w:top w:val="nil"/>
              <w:left w:val="nil"/>
              <w:bottom w:val="nil"/>
              <w:right w:val="nil"/>
            </w:tcBorders>
            <w:vAlign w:val="center"/>
          </w:tcPr>
          <w:p w14:paraId="4E6E55CC"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4.08</w:t>
            </w:r>
          </w:p>
        </w:tc>
        <w:tc>
          <w:tcPr>
            <w:tcW w:w="513" w:type="pct"/>
            <w:tcBorders>
              <w:top w:val="nil"/>
              <w:left w:val="nil"/>
              <w:bottom w:val="nil"/>
              <w:right w:val="nil"/>
            </w:tcBorders>
            <w:vAlign w:val="bottom"/>
          </w:tcPr>
          <w:p w14:paraId="79DE42D4"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79.91</w:t>
            </w:r>
          </w:p>
        </w:tc>
        <w:tc>
          <w:tcPr>
            <w:tcW w:w="471" w:type="pct"/>
            <w:tcBorders>
              <w:top w:val="nil"/>
              <w:left w:val="nil"/>
              <w:bottom w:val="nil"/>
              <w:right w:val="nil"/>
            </w:tcBorders>
          </w:tcPr>
          <w:p w14:paraId="5EB6C968"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83.45</w:t>
            </w:r>
          </w:p>
        </w:tc>
        <w:tc>
          <w:tcPr>
            <w:tcW w:w="524" w:type="pct"/>
            <w:tcBorders>
              <w:top w:val="nil"/>
              <w:left w:val="nil"/>
              <w:bottom w:val="nil"/>
              <w:right w:val="nil"/>
            </w:tcBorders>
          </w:tcPr>
          <w:p w14:paraId="25598781"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77.46</w:t>
            </w:r>
          </w:p>
        </w:tc>
        <w:tc>
          <w:tcPr>
            <w:tcW w:w="516" w:type="pct"/>
            <w:tcBorders>
              <w:top w:val="nil"/>
              <w:left w:val="nil"/>
              <w:bottom w:val="nil"/>
              <w:right w:val="nil"/>
            </w:tcBorders>
            <w:vAlign w:val="center"/>
          </w:tcPr>
          <w:p w14:paraId="76B028D7"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5.83</w:t>
            </w:r>
          </w:p>
        </w:tc>
        <w:tc>
          <w:tcPr>
            <w:tcW w:w="510" w:type="pct"/>
            <w:tcBorders>
              <w:top w:val="nil"/>
              <w:left w:val="nil"/>
              <w:bottom w:val="nil"/>
              <w:right w:val="nil"/>
            </w:tcBorders>
          </w:tcPr>
          <w:p w14:paraId="5F1BBD29"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r w:rsidR="001D500F" w:rsidRPr="009678E6" w14:paraId="69402469" w14:textId="77777777" w:rsidTr="007A0D62">
        <w:tc>
          <w:tcPr>
            <w:tcW w:w="494" w:type="pct"/>
            <w:tcBorders>
              <w:top w:val="nil"/>
              <w:left w:val="nil"/>
              <w:bottom w:val="nil"/>
              <w:right w:val="nil"/>
            </w:tcBorders>
          </w:tcPr>
          <w:p w14:paraId="6DFF5E5D" w14:textId="77777777" w:rsidR="001D500F" w:rsidRPr="00941751"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Rem</w:t>
            </w:r>
          </w:p>
        </w:tc>
        <w:tc>
          <w:tcPr>
            <w:tcW w:w="493" w:type="pct"/>
            <w:tcBorders>
              <w:top w:val="nil"/>
              <w:left w:val="nil"/>
              <w:bottom w:val="nil"/>
              <w:right w:val="nil"/>
            </w:tcBorders>
          </w:tcPr>
          <w:p w14:paraId="78D3F684" w14:textId="77777777" w:rsidR="001D500F" w:rsidRPr="00941751" w:rsidRDefault="005650E6" w:rsidP="001D500F">
            <w:pPr>
              <w:pStyle w:val="SecurityCont2"/>
              <w:keepNext/>
              <w:spacing w:after="0"/>
              <w:jc w:val="center"/>
              <w:rPr>
                <w:rFonts w:ascii="Verdana" w:hAnsi="Verdana" w:cstheme="minorHAnsi"/>
                <w:sz w:val="16"/>
                <w:szCs w:val="16"/>
              </w:rPr>
            </w:pPr>
            <w:r>
              <w:rPr>
                <w:rFonts w:ascii="Verdana" w:hAnsi="Verdana" w:cstheme="minorHAnsi"/>
                <w:sz w:val="16"/>
                <w:szCs w:val="16"/>
              </w:rPr>
              <w:t>96.70</w:t>
            </w:r>
          </w:p>
        </w:tc>
        <w:tc>
          <w:tcPr>
            <w:tcW w:w="493" w:type="pct"/>
            <w:tcBorders>
              <w:top w:val="nil"/>
              <w:left w:val="nil"/>
              <w:bottom w:val="nil"/>
              <w:right w:val="nil"/>
            </w:tcBorders>
          </w:tcPr>
          <w:p w14:paraId="76A512F9" w14:textId="77777777" w:rsidR="001D500F" w:rsidRPr="00941751" w:rsidRDefault="00941751" w:rsidP="001D500F">
            <w:pPr>
              <w:pStyle w:val="SecurityCont2"/>
              <w:keepNext/>
              <w:spacing w:after="0"/>
              <w:jc w:val="center"/>
              <w:rPr>
                <w:rFonts w:ascii="Verdana" w:hAnsi="Verdana" w:cstheme="minorHAnsi"/>
                <w:sz w:val="16"/>
                <w:szCs w:val="16"/>
              </w:rPr>
            </w:pPr>
            <w:r>
              <w:rPr>
                <w:rFonts w:ascii="Verdana" w:hAnsi="Verdana" w:cstheme="minorHAnsi"/>
                <w:sz w:val="16"/>
                <w:szCs w:val="16"/>
              </w:rPr>
              <w:t>84.95</w:t>
            </w:r>
          </w:p>
        </w:tc>
        <w:tc>
          <w:tcPr>
            <w:tcW w:w="493" w:type="pct"/>
            <w:tcBorders>
              <w:top w:val="nil"/>
              <w:left w:val="nil"/>
              <w:bottom w:val="nil"/>
              <w:right w:val="nil"/>
            </w:tcBorders>
          </w:tcPr>
          <w:p w14:paraId="35D5BF63" w14:textId="77777777" w:rsidR="001D500F" w:rsidRPr="00941751" w:rsidRDefault="00941751" w:rsidP="001D500F">
            <w:pPr>
              <w:pStyle w:val="SecurityCont2"/>
              <w:keepNext/>
              <w:spacing w:after="0"/>
              <w:jc w:val="center"/>
              <w:rPr>
                <w:rFonts w:ascii="Verdana" w:hAnsi="Verdana" w:cstheme="minorHAnsi"/>
                <w:sz w:val="16"/>
                <w:szCs w:val="16"/>
              </w:rPr>
            </w:pPr>
            <w:r>
              <w:rPr>
                <w:rFonts w:ascii="Verdana" w:hAnsi="Verdana" w:cstheme="minorHAnsi"/>
                <w:sz w:val="16"/>
                <w:szCs w:val="16"/>
              </w:rPr>
              <w:t>47.18</w:t>
            </w:r>
          </w:p>
        </w:tc>
        <w:tc>
          <w:tcPr>
            <w:tcW w:w="493" w:type="pct"/>
            <w:tcBorders>
              <w:top w:val="nil"/>
              <w:left w:val="nil"/>
              <w:bottom w:val="nil"/>
              <w:right w:val="nil"/>
            </w:tcBorders>
          </w:tcPr>
          <w:p w14:paraId="641C0637" w14:textId="77777777" w:rsidR="001D500F" w:rsidRPr="00941751" w:rsidRDefault="00941751" w:rsidP="001D500F">
            <w:pPr>
              <w:pStyle w:val="SecurityCont2"/>
              <w:keepNext/>
              <w:numPr>
                <w:ilvl w:val="2"/>
                <w:numId w:val="40"/>
              </w:numPr>
              <w:autoSpaceDE w:val="0"/>
              <w:autoSpaceDN w:val="0"/>
              <w:adjustRightInd w:val="0"/>
              <w:spacing w:after="0"/>
              <w:jc w:val="center"/>
              <w:outlineLvl w:val="2"/>
              <w:rPr>
                <w:rFonts w:ascii="Verdana" w:hAnsi="Verdana" w:cstheme="minorHAnsi"/>
                <w:sz w:val="16"/>
                <w:szCs w:val="16"/>
              </w:rPr>
            </w:pPr>
            <w:r>
              <w:rPr>
                <w:rFonts w:ascii="Verdana" w:hAnsi="Verdana" w:cstheme="minorHAnsi"/>
                <w:sz w:val="16"/>
                <w:szCs w:val="16"/>
              </w:rPr>
              <w:t>4.65</w:t>
            </w:r>
          </w:p>
        </w:tc>
        <w:tc>
          <w:tcPr>
            <w:tcW w:w="513" w:type="pct"/>
            <w:tcBorders>
              <w:top w:val="nil"/>
              <w:left w:val="nil"/>
              <w:bottom w:val="nil"/>
              <w:right w:val="nil"/>
            </w:tcBorders>
            <w:vAlign w:val="bottom"/>
          </w:tcPr>
          <w:p w14:paraId="2227503D" w14:textId="77777777" w:rsidR="001D500F" w:rsidRPr="00941751" w:rsidRDefault="00941751" w:rsidP="001D500F">
            <w:pPr>
              <w:pStyle w:val="SecurityCont2"/>
              <w:keepNext/>
              <w:spacing w:after="0"/>
              <w:jc w:val="center"/>
              <w:rPr>
                <w:rFonts w:ascii="Verdana" w:hAnsi="Verdana" w:cstheme="minorHAnsi"/>
                <w:sz w:val="16"/>
                <w:szCs w:val="16"/>
              </w:rPr>
            </w:pPr>
            <w:r>
              <w:rPr>
                <w:rFonts w:ascii="Verdana" w:hAnsi="Verdana" w:cstheme="minorHAnsi"/>
                <w:sz w:val="16"/>
                <w:szCs w:val="16"/>
              </w:rPr>
              <w:t>90.45</w:t>
            </w:r>
          </w:p>
        </w:tc>
        <w:tc>
          <w:tcPr>
            <w:tcW w:w="471" w:type="pct"/>
            <w:tcBorders>
              <w:top w:val="nil"/>
              <w:left w:val="nil"/>
              <w:bottom w:val="nil"/>
              <w:right w:val="nil"/>
            </w:tcBorders>
          </w:tcPr>
          <w:p w14:paraId="593DE8FC" w14:textId="77777777" w:rsidR="001D500F" w:rsidRPr="00941751" w:rsidRDefault="00912E42" w:rsidP="001D500F">
            <w:pPr>
              <w:pStyle w:val="SecurityCont2"/>
              <w:keepNext/>
              <w:spacing w:after="0"/>
              <w:jc w:val="center"/>
              <w:rPr>
                <w:rFonts w:ascii="Verdana" w:hAnsi="Verdana" w:cstheme="minorHAnsi"/>
                <w:sz w:val="16"/>
                <w:szCs w:val="16"/>
              </w:rPr>
            </w:pPr>
            <w:r>
              <w:rPr>
                <w:rFonts w:ascii="Verdana" w:hAnsi="Verdana" w:cstheme="minorHAnsi"/>
                <w:sz w:val="16"/>
                <w:szCs w:val="16"/>
              </w:rPr>
              <w:t>92.16</w:t>
            </w:r>
          </w:p>
        </w:tc>
        <w:tc>
          <w:tcPr>
            <w:tcW w:w="524" w:type="pct"/>
            <w:tcBorders>
              <w:top w:val="nil"/>
              <w:left w:val="nil"/>
              <w:bottom w:val="nil"/>
              <w:right w:val="nil"/>
            </w:tcBorders>
          </w:tcPr>
          <w:p w14:paraId="371FE78F" w14:textId="77777777" w:rsidR="001D500F" w:rsidRPr="00941751" w:rsidRDefault="00941751" w:rsidP="009678E6">
            <w:pPr>
              <w:jc w:val="center"/>
              <w:rPr>
                <w:rFonts w:cstheme="minorHAnsi"/>
                <w:sz w:val="16"/>
                <w:szCs w:val="16"/>
                <w:lang w:val="en-CA"/>
              </w:rPr>
            </w:pPr>
            <w:r>
              <w:rPr>
                <w:rFonts w:cstheme="minorHAnsi"/>
                <w:sz w:val="16"/>
                <w:szCs w:val="16"/>
                <w:lang w:val="en-CA"/>
              </w:rPr>
              <w:t>87.58</w:t>
            </w:r>
          </w:p>
        </w:tc>
        <w:tc>
          <w:tcPr>
            <w:tcW w:w="516" w:type="pct"/>
            <w:tcBorders>
              <w:top w:val="nil"/>
              <w:left w:val="nil"/>
              <w:bottom w:val="nil"/>
              <w:right w:val="nil"/>
            </w:tcBorders>
          </w:tcPr>
          <w:p w14:paraId="5E0334E2" w14:textId="77777777" w:rsidR="001D500F" w:rsidRPr="00941751" w:rsidRDefault="00912E42" w:rsidP="001D500F">
            <w:pPr>
              <w:pStyle w:val="SecurityCont2"/>
              <w:keepNext/>
              <w:spacing w:after="0"/>
              <w:jc w:val="center"/>
              <w:rPr>
                <w:rFonts w:ascii="Verdana" w:hAnsi="Verdana" w:cstheme="minorHAnsi"/>
                <w:sz w:val="16"/>
                <w:szCs w:val="16"/>
              </w:rPr>
            </w:pPr>
            <w:r>
              <w:rPr>
                <w:rFonts w:ascii="Verdana" w:hAnsi="Verdana" w:cstheme="minorHAnsi"/>
                <w:sz w:val="16"/>
                <w:szCs w:val="16"/>
              </w:rPr>
              <w:t>5.92</w:t>
            </w:r>
          </w:p>
        </w:tc>
        <w:tc>
          <w:tcPr>
            <w:tcW w:w="510" w:type="pct"/>
            <w:tcBorders>
              <w:top w:val="nil"/>
              <w:left w:val="nil"/>
              <w:bottom w:val="nil"/>
              <w:right w:val="nil"/>
            </w:tcBorders>
          </w:tcPr>
          <w:p w14:paraId="3C10BD6F" w14:textId="77777777" w:rsidR="001D500F" w:rsidRPr="009678E6" w:rsidRDefault="001D500F" w:rsidP="001D500F">
            <w:pPr>
              <w:pStyle w:val="SecurityCont2"/>
              <w:keepNext/>
              <w:spacing w:after="0"/>
              <w:jc w:val="center"/>
              <w:rPr>
                <w:rFonts w:ascii="Verdana" w:hAnsi="Verdana" w:cstheme="minorHAnsi"/>
                <w:sz w:val="16"/>
                <w:szCs w:val="16"/>
              </w:rPr>
            </w:pPr>
            <w:r>
              <w:rPr>
                <w:rFonts w:ascii="Verdana" w:hAnsi="Verdana" w:cstheme="minorHAnsi"/>
                <w:sz w:val="16"/>
                <w:szCs w:val="16"/>
              </w:rPr>
              <w:t>2.0</w:t>
            </w:r>
          </w:p>
        </w:tc>
      </w:tr>
    </w:tbl>
    <w:p w14:paraId="5CC1CF39" w14:textId="77777777" w:rsidR="00C84F36" w:rsidRPr="009678E6" w:rsidRDefault="00C84F36" w:rsidP="00934BBA">
      <w:pPr>
        <w:pStyle w:val="BodyText"/>
        <w:keepNext/>
        <w:keepLines/>
        <w:rPr>
          <w:szCs w:val="22"/>
        </w:rPr>
      </w:pPr>
    </w:p>
    <w:p w14:paraId="123799F2" w14:textId="77777777" w:rsidR="00CD4697" w:rsidRPr="009678E6" w:rsidRDefault="00CD4697" w:rsidP="008C4159">
      <w:pPr>
        <w:pStyle w:val="SecurityL8"/>
        <w:keepNext/>
        <w:numPr>
          <w:ilvl w:val="0"/>
          <w:numId w:val="0"/>
        </w:numPr>
        <w:autoSpaceDE w:val="0"/>
        <w:autoSpaceDN w:val="0"/>
        <w:adjustRightInd w:val="0"/>
        <w:spacing w:after="0"/>
        <w:rPr>
          <w:sz w:val="16"/>
          <w:szCs w:val="16"/>
        </w:rPr>
      </w:pPr>
    </w:p>
    <w:p w14:paraId="7A19A364" w14:textId="77777777" w:rsidR="00A2166D" w:rsidRPr="009678E6" w:rsidRDefault="00A2166D" w:rsidP="00A2166D">
      <w:pPr>
        <w:pStyle w:val="SecurityL9"/>
        <w:numPr>
          <w:ilvl w:val="8"/>
          <w:numId w:val="40"/>
        </w:numPr>
        <w:autoSpaceDE w:val="0"/>
        <w:autoSpaceDN w:val="0"/>
        <w:adjustRightInd w:val="0"/>
        <w:spacing w:after="0"/>
        <w:rPr>
          <w:rFonts w:ascii="Verdana" w:hAnsi="Verdana"/>
          <w:i w:val="0"/>
          <w:sz w:val="16"/>
          <w:szCs w:val="16"/>
        </w:rPr>
      </w:pPr>
      <w:bookmarkStart w:id="2" w:name="_Hlk128393278"/>
      <w:bookmarkStart w:id="3" w:name="_Hlk191543661"/>
      <w:r>
        <w:rPr>
          <w:rFonts w:ascii="Verdana" w:hAnsi="Verdana"/>
          <w:i w:val="0"/>
          <w:sz w:val="16"/>
          <w:szCs w:val="16"/>
        </w:rPr>
        <w:t>Brent prices are derived as an average of price forecasts published by Sproule, GLJ Ltd. and McDaniel &amp; Associates Consultants Ltd., effective as of December 31, 2025 (the "</w:t>
      </w:r>
      <w:r>
        <w:rPr>
          <w:rFonts w:ascii="Verdana" w:hAnsi="Verdana"/>
          <w:b/>
          <w:bCs/>
          <w:i w:val="0"/>
          <w:sz w:val="16"/>
          <w:szCs w:val="16"/>
        </w:rPr>
        <w:t>3 Consultant Average Brent Price Deck</w:t>
      </w:r>
      <w:r>
        <w:rPr>
          <w:rFonts w:ascii="Verdana" w:hAnsi="Verdana"/>
          <w:i w:val="0"/>
          <w:sz w:val="16"/>
          <w:szCs w:val="16"/>
        </w:rPr>
        <w:t xml:space="preserve">"). </w:t>
      </w:r>
    </w:p>
    <w:p w14:paraId="449E224C" w14:textId="77777777" w:rsidR="00A2166D" w:rsidRPr="009678E6" w:rsidRDefault="00A2166D" w:rsidP="00A2166D">
      <w:pPr>
        <w:pStyle w:val="SecurityL9"/>
        <w:numPr>
          <w:ilvl w:val="8"/>
          <w:numId w:val="40"/>
        </w:numPr>
        <w:tabs>
          <w:tab w:val="num" w:pos="720"/>
        </w:tabs>
        <w:autoSpaceDE w:val="0"/>
        <w:autoSpaceDN w:val="0"/>
        <w:adjustRightInd w:val="0"/>
        <w:spacing w:after="0"/>
        <w:rPr>
          <w:rFonts w:ascii="Verdana" w:hAnsi="Verdana"/>
          <w:i w:val="0"/>
          <w:iCs/>
          <w:sz w:val="16"/>
          <w:szCs w:val="16"/>
        </w:rPr>
      </w:pPr>
      <w:r>
        <w:rPr>
          <w:rFonts w:ascii="Verdana" w:hAnsi="Verdana"/>
          <w:i w:val="0"/>
          <w:sz w:val="16"/>
          <w:szCs w:val="16"/>
        </w:rPr>
        <w:t>Forecast pricing for Tierra del Fuego ("</w:t>
      </w:r>
      <w:r>
        <w:rPr>
          <w:rFonts w:ascii="Verdana" w:hAnsi="Verdana"/>
          <w:b/>
          <w:i w:val="0"/>
          <w:sz w:val="16"/>
          <w:szCs w:val="16"/>
        </w:rPr>
        <w:t>TDF</w:t>
      </w:r>
      <w:r>
        <w:rPr>
          <w:rFonts w:ascii="Verdana" w:hAnsi="Verdana"/>
          <w:i w:val="0"/>
          <w:sz w:val="16"/>
          <w:szCs w:val="16"/>
        </w:rPr>
        <w:t>") crude oil is based on prices provided by Crown Point adjusted for quality.</w:t>
      </w:r>
    </w:p>
    <w:p w14:paraId="019697E7" w14:textId="77777777" w:rsidR="00A2166D" w:rsidRPr="009678E6" w:rsidRDefault="00A2166D" w:rsidP="00A2166D">
      <w:pPr>
        <w:pStyle w:val="SecurityL9"/>
        <w:numPr>
          <w:ilvl w:val="8"/>
          <w:numId w:val="40"/>
        </w:numPr>
        <w:tabs>
          <w:tab w:val="num" w:pos="720"/>
        </w:tabs>
        <w:autoSpaceDE w:val="0"/>
        <w:autoSpaceDN w:val="0"/>
        <w:adjustRightInd w:val="0"/>
        <w:spacing w:after="0"/>
        <w:rPr>
          <w:rFonts w:ascii="Verdana" w:hAnsi="Verdana"/>
          <w:i w:val="0"/>
          <w:iCs/>
          <w:sz w:val="16"/>
          <w:szCs w:val="16"/>
        </w:rPr>
      </w:pPr>
      <w:bookmarkStart w:id="4" w:name="_Hlk128984762"/>
      <w:r>
        <w:rPr>
          <w:rFonts w:ascii="Verdana" w:hAnsi="Verdana"/>
          <w:i w:val="0"/>
          <w:iCs/>
          <w:sz w:val="16"/>
          <w:szCs w:val="16"/>
        </w:rPr>
        <w:t>The Company provided the 2026 TDF NGL price based on local markets and consumption and then escalated that price at 2% per annum starting in 2027</w:t>
      </w:r>
      <w:r>
        <w:rPr>
          <w:rFonts w:ascii="Verdana" w:hAnsi="Verdana"/>
          <w:i w:val="0"/>
          <w:iCs/>
          <w:color w:val="000000"/>
          <w:sz w:val="16"/>
          <w:szCs w:val="16"/>
        </w:rPr>
        <w:t>.</w:t>
      </w:r>
    </w:p>
    <w:bookmarkEnd w:id="2"/>
    <w:bookmarkEnd w:id="4"/>
    <w:p w14:paraId="094E27AD" w14:textId="77777777" w:rsidR="00A2166D" w:rsidRPr="009678E6" w:rsidRDefault="00A2166D" w:rsidP="00A2166D">
      <w:pPr>
        <w:pStyle w:val="SecurityL9"/>
        <w:numPr>
          <w:ilvl w:val="8"/>
          <w:numId w:val="40"/>
        </w:numPr>
        <w:tabs>
          <w:tab w:val="num" w:pos="720"/>
        </w:tabs>
        <w:autoSpaceDE w:val="0"/>
        <w:autoSpaceDN w:val="0"/>
        <w:adjustRightInd w:val="0"/>
        <w:spacing w:after="0"/>
        <w:rPr>
          <w:rFonts w:ascii="Verdana" w:hAnsi="Verdana"/>
          <w:i w:val="0"/>
          <w:iCs/>
          <w:sz w:val="16"/>
          <w:szCs w:val="16"/>
        </w:rPr>
      </w:pPr>
      <w:r>
        <w:rPr>
          <w:rFonts w:ascii="Verdana" w:hAnsi="Verdana"/>
          <w:i w:val="0"/>
          <w:iCs/>
          <w:color w:val="000000"/>
          <w:sz w:val="16"/>
          <w:szCs w:val="16"/>
        </w:rPr>
        <w:t>Natural gas production from the TDF concessions is sold to consumers in TDF as well as to mainland Argentina, all of which receive different prices as set by sales agreements from time to time. The forecast prices represent a blend of such prices adjusted for a 1,000 Btu/</w:t>
      </w:r>
      <w:proofErr w:type="spellStart"/>
      <w:r>
        <w:rPr>
          <w:rFonts w:ascii="Verdana" w:hAnsi="Verdana"/>
          <w:i w:val="0"/>
          <w:iCs/>
          <w:color w:val="000000"/>
          <w:sz w:val="16"/>
          <w:szCs w:val="16"/>
        </w:rPr>
        <w:t>Scf</w:t>
      </w:r>
      <w:proofErr w:type="spellEnd"/>
      <w:r>
        <w:rPr>
          <w:rFonts w:ascii="Verdana" w:hAnsi="Verdana"/>
          <w:i w:val="0"/>
          <w:iCs/>
          <w:color w:val="000000"/>
          <w:sz w:val="16"/>
          <w:szCs w:val="16"/>
        </w:rPr>
        <w:t xml:space="preserve"> heating factor.</w:t>
      </w:r>
    </w:p>
    <w:p w14:paraId="1654D884" w14:textId="77777777" w:rsidR="00A2166D" w:rsidRPr="009678E6" w:rsidRDefault="00A2166D" w:rsidP="00A2166D">
      <w:pPr>
        <w:pStyle w:val="SecurityL9"/>
        <w:numPr>
          <w:ilvl w:val="8"/>
          <w:numId w:val="40"/>
        </w:numPr>
        <w:autoSpaceDE w:val="0"/>
        <w:autoSpaceDN w:val="0"/>
        <w:adjustRightInd w:val="0"/>
        <w:spacing w:after="0"/>
        <w:rPr>
          <w:rFonts w:ascii="Verdana" w:hAnsi="Verdana"/>
          <w:sz w:val="16"/>
          <w:szCs w:val="16"/>
        </w:rPr>
      </w:pPr>
      <w:r>
        <w:rPr>
          <w:rFonts w:ascii="Verdana" w:hAnsi="Verdana"/>
          <w:i w:val="0"/>
          <w:sz w:val="16"/>
          <w:szCs w:val="16"/>
        </w:rPr>
        <w:t xml:space="preserve">Forecast 2026 pricing for </w:t>
      </w:r>
      <w:proofErr w:type="spellStart"/>
      <w:r>
        <w:rPr>
          <w:rFonts w:ascii="Verdana" w:hAnsi="Verdana"/>
          <w:i w:val="0"/>
          <w:sz w:val="16"/>
          <w:szCs w:val="16"/>
        </w:rPr>
        <w:t>Chañares</w:t>
      </w:r>
      <w:proofErr w:type="spellEnd"/>
      <w:r>
        <w:rPr>
          <w:rFonts w:ascii="Verdana" w:hAnsi="Verdana"/>
          <w:i w:val="0"/>
          <w:sz w:val="16"/>
          <w:szCs w:val="16"/>
        </w:rPr>
        <w:t xml:space="preserve"> </w:t>
      </w:r>
      <w:proofErr w:type="spellStart"/>
      <w:r>
        <w:rPr>
          <w:rFonts w:ascii="Verdana" w:hAnsi="Verdana"/>
          <w:i w:val="0"/>
          <w:sz w:val="16"/>
          <w:szCs w:val="16"/>
        </w:rPr>
        <w:t>Herrados</w:t>
      </w:r>
      <w:proofErr w:type="spellEnd"/>
      <w:r>
        <w:rPr>
          <w:rFonts w:ascii="Verdana" w:hAnsi="Verdana"/>
          <w:i w:val="0"/>
          <w:sz w:val="16"/>
          <w:szCs w:val="16"/>
        </w:rPr>
        <w:t xml:space="preserve"> (“</w:t>
      </w:r>
      <w:r>
        <w:rPr>
          <w:rFonts w:ascii="Verdana" w:hAnsi="Verdana"/>
          <w:b/>
          <w:i w:val="0"/>
          <w:sz w:val="16"/>
          <w:szCs w:val="16"/>
        </w:rPr>
        <w:t>CH</w:t>
      </w:r>
      <w:r>
        <w:rPr>
          <w:rFonts w:ascii="Verdana" w:hAnsi="Verdana"/>
          <w:i w:val="0"/>
          <w:sz w:val="16"/>
          <w:szCs w:val="16"/>
        </w:rPr>
        <w:t>”) and Puesto Pozo Cercado Oriental (“</w:t>
      </w:r>
      <w:r>
        <w:rPr>
          <w:rFonts w:ascii="Verdana" w:hAnsi="Verdana"/>
          <w:b/>
          <w:bCs/>
          <w:i w:val="0"/>
          <w:sz w:val="16"/>
          <w:szCs w:val="16"/>
        </w:rPr>
        <w:t>PPCO</w:t>
      </w:r>
      <w:r>
        <w:rPr>
          <w:rFonts w:ascii="Verdana" w:hAnsi="Verdana"/>
          <w:i w:val="0"/>
          <w:sz w:val="16"/>
          <w:szCs w:val="16"/>
        </w:rPr>
        <w:t xml:space="preserve">”) crude oil is based on the Company's current sales agreements and the operator's 2026 budgets. The price forecast for 2027 onwards is based on the 3 Consultant Average Brent Price Deck less a discount of US$3.00 per </w:t>
      </w:r>
      <w:proofErr w:type="spellStart"/>
      <w:r>
        <w:rPr>
          <w:rFonts w:ascii="Verdana" w:hAnsi="Verdana"/>
          <w:i w:val="0"/>
          <w:sz w:val="16"/>
          <w:szCs w:val="16"/>
        </w:rPr>
        <w:t>bbl</w:t>
      </w:r>
      <w:proofErr w:type="spellEnd"/>
      <w:r>
        <w:rPr>
          <w:rFonts w:ascii="Verdana" w:hAnsi="Verdana"/>
          <w:i w:val="0"/>
          <w:sz w:val="16"/>
          <w:szCs w:val="16"/>
        </w:rPr>
        <w:t xml:space="preserve"> to adjust to local market prices and additional discounts of </w:t>
      </w:r>
      <w:r>
        <w:rPr>
          <w:rFonts w:ascii="Verdana" w:hAnsi="Verdana"/>
          <w:i w:val="0"/>
          <w:iCs/>
          <w:sz w:val="16"/>
          <w:szCs w:val="16"/>
        </w:rPr>
        <w:t>$3.25/</w:t>
      </w:r>
      <w:proofErr w:type="spellStart"/>
      <w:r>
        <w:rPr>
          <w:rFonts w:ascii="Verdana" w:hAnsi="Verdana"/>
          <w:i w:val="0"/>
          <w:iCs/>
          <w:sz w:val="16"/>
          <w:szCs w:val="16"/>
        </w:rPr>
        <w:t>bbl</w:t>
      </w:r>
      <w:proofErr w:type="spellEnd"/>
      <w:r>
        <w:rPr>
          <w:rFonts w:ascii="Verdana" w:hAnsi="Verdana"/>
          <w:i w:val="0"/>
          <w:iCs/>
          <w:sz w:val="16"/>
          <w:szCs w:val="16"/>
        </w:rPr>
        <w:t xml:space="preserve"> and $1.30/</w:t>
      </w:r>
      <w:proofErr w:type="spellStart"/>
      <w:r>
        <w:rPr>
          <w:rFonts w:ascii="Verdana" w:hAnsi="Verdana"/>
          <w:i w:val="0"/>
          <w:iCs/>
          <w:sz w:val="16"/>
          <w:szCs w:val="16"/>
        </w:rPr>
        <w:t>bbl</w:t>
      </w:r>
      <w:proofErr w:type="spellEnd"/>
      <w:r>
        <w:rPr>
          <w:rFonts w:ascii="Verdana" w:hAnsi="Verdana"/>
          <w:i w:val="0"/>
          <w:iCs/>
          <w:sz w:val="16"/>
          <w:szCs w:val="16"/>
        </w:rPr>
        <w:t xml:space="preserve"> for </w:t>
      </w:r>
      <w:r>
        <w:rPr>
          <w:rFonts w:ascii="Verdana" w:hAnsi="Verdana"/>
          <w:bCs/>
          <w:i w:val="0"/>
          <w:sz w:val="16"/>
          <w:szCs w:val="16"/>
        </w:rPr>
        <w:t>CH and PPCO</w:t>
      </w:r>
      <w:r>
        <w:rPr>
          <w:rFonts w:ascii="Verdana" w:hAnsi="Verdana"/>
          <w:i w:val="0"/>
          <w:sz w:val="16"/>
          <w:szCs w:val="16"/>
        </w:rPr>
        <w:t xml:space="preserve"> respectively. </w:t>
      </w:r>
    </w:p>
    <w:p w14:paraId="5002F590" w14:textId="25B8C0F2" w:rsidR="00A2166D" w:rsidRPr="009678E6" w:rsidRDefault="00A2166D" w:rsidP="00A2166D">
      <w:pPr>
        <w:pStyle w:val="SecurityL9"/>
        <w:numPr>
          <w:ilvl w:val="8"/>
          <w:numId w:val="40"/>
        </w:numPr>
        <w:autoSpaceDE w:val="0"/>
        <w:autoSpaceDN w:val="0"/>
        <w:adjustRightInd w:val="0"/>
        <w:spacing w:after="0"/>
        <w:rPr>
          <w:rFonts w:ascii="Verdana" w:hAnsi="Verdana"/>
          <w:i w:val="0"/>
          <w:iCs/>
          <w:sz w:val="16"/>
          <w:szCs w:val="16"/>
        </w:rPr>
      </w:pPr>
      <w:r>
        <w:rPr>
          <w:rFonts w:ascii="Verdana" w:hAnsi="Verdana"/>
          <w:i w:val="0"/>
          <w:iCs/>
          <w:sz w:val="16"/>
          <w:szCs w:val="16"/>
        </w:rPr>
        <w:t xml:space="preserve">Realized price of heavy and medium gravity oil production from Piedra </w:t>
      </w:r>
      <w:proofErr w:type="spellStart"/>
      <w:r>
        <w:rPr>
          <w:rFonts w:ascii="Verdana" w:hAnsi="Verdana"/>
          <w:i w:val="0"/>
          <w:iCs/>
          <w:sz w:val="16"/>
          <w:szCs w:val="16"/>
        </w:rPr>
        <w:t>Clavada</w:t>
      </w:r>
      <w:proofErr w:type="spellEnd"/>
      <w:r>
        <w:rPr>
          <w:rFonts w:ascii="Verdana" w:hAnsi="Verdana"/>
          <w:i w:val="0"/>
          <w:iCs/>
          <w:sz w:val="16"/>
          <w:szCs w:val="16"/>
        </w:rPr>
        <w:t xml:space="preserve"> (“</w:t>
      </w:r>
      <w:r>
        <w:rPr>
          <w:rFonts w:ascii="Verdana" w:hAnsi="Verdana"/>
          <w:b/>
          <w:bCs/>
          <w:i w:val="0"/>
          <w:iCs/>
          <w:sz w:val="16"/>
          <w:szCs w:val="16"/>
        </w:rPr>
        <w:t>PC</w:t>
      </w:r>
      <w:r>
        <w:rPr>
          <w:rFonts w:ascii="Verdana" w:hAnsi="Verdana"/>
          <w:i w:val="0"/>
          <w:iCs/>
          <w:sz w:val="16"/>
          <w:szCs w:val="16"/>
        </w:rPr>
        <w:t xml:space="preserve">”) and </w:t>
      </w:r>
      <w:proofErr w:type="spellStart"/>
      <w:r>
        <w:rPr>
          <w:rFonts w:ascii="Verdana" w:hAnsi="Verdana"/>
          <w:i w:val="0"/>
          <w:iCs/>
          <w:sz w:val="16"/>
          <w:szCs w:val="16"/>
        </w:rPr>
        <w:t>Koluel</w:t>
      </w:r>
      <w:proofErr w:type="spellEnd"/>
      <w:r>
        <w:rPr>
          <w:rFonts w:ascii="Verdana" w:hAnsi="Verdana"/>
          <w:i w:val="0"/>
          <w:iCs/>
          <w:sz w:val="16"/>
          <w:szCs w:val="16"/>
        </w:rPr>
        <w:t xml:space="preserve"> Kaike (“</w:t>
      </w:r>
      <w:r>
        <w:rPr>
          <w:rFonts w:ascii="Verdana" w:hAnsi="Verdana"/>
          <w:b/>
          <w:bCs/>
          <w:i w:val="0"/>
          <w:iCs/>
          <w:sz w:val="16"/>
          <w:szCs w:val="16"/>
        </w:rPr>
        <w:t>KK</w:t>
      </w:r>
      <w:r>
        <w:rPr>
          <w:rFonts w:ascii="Verdana" w:hAnsi="Verdana"/>
          <w:i w:val="0"/>
          <w:iCs/>
          <w:sz w:val="16"/>
          <w:szCs w:val="16"/>
        </w:rPr>
        <w:t xml:space="preserve">”) is based on </w:t>
      </w:r>
      <w:r>
        <w:rPr>
          <w:rFonts w:ascii="Verdana" w:hAnsi="Verdana"/>
          <w:i w:val="0"/>
          <w:sz w:val="16"/>
          <w:szCs w:val="16"/>
        </w:rPr>
        <w:t xml:space="preserve">the 3 Consultant Average Brent Price Deck less a discount of US$3.00 per </w:t>
      </w:r>
      <w:proofErr w:type="spellStart"/>
      <w:r>
        <w:rPr>
          <w:rFonts w:ascii="Verdana" w:hAnsi="Verdana"/>
          <w:i w:val="0"/>
          <w:sz w:val="16"/>
          <w:szCs w:val="16"/>
        </w:rPr>
        <w:t>bbl</w:t>
      </w:r>
      <w:proofErr w:type="spellEnd"/>
      <w:r>
        <w:rPr>
          <w:rFonts w:ascii="Verdana" w:hAnsi="Verdana"/>
          <w:i w:val="0"/>
          <w:sz w:val="16"/>
          <w:szCs w:val="16"/>
        </w:rPr>
        <w:t xml:space="preserve"> to adjust to local market prices and an additional premium of </w:t>
      </w:r>
      <w:r>
        <w:rPr>
          <w:rFonts w:ascii="Verdana" w:hAnsi="Verdana"/>
          <w:i w:val="0"/>
          <w:iCs/>
          <w:sz w:val="16"/>
          <w:szCs w:val="16"/>
        </w:rPr>
        <w:t>$0.75/</w:t>
      </w:r>
      <w:proofErr w:type="spellStart"/>
      <w:r>
        <w:rPr>
          <w:rFonts w:ascii="Verdana" w:hAnsi="Verdana"/>
          <w:i w:val="0"/>
          <w:iCs/>
          <w:sz w:val="16"/>
          <w:szCs w:val="16"/>
        </w:rPr>
        <w:t>bbl</w:t>
      </w:r>
      <w:proofErr w:type="spellEnd"/>
      <w:r>
        <w:rPr>
          <w:rFonts w:ascii="Verdana" w:hAnsi="Verdana"/>
          <w:i w:val="0"/>
          <w:iCs/>
          <w:sz w:val="16"/>
          <w:szCs w:val="16"/>
        </w:rPr>
        <w:t xml:space="preserve"> for both blocks.</w:t>
      </w:r>
    </w:p>
    <w:p w14:paraId="1C9380F3" w14:textId="2382E2F0" w:rsidR="00A2166D" w:rsidRPr="009678E6" w:rsidRDefault="00A2166D" w:rsidP="00A2166D">
      <w:pPr>
        <w:pStyle w:val="SecurityL9"/>
        <w:numPr>
          <w:ilvl w:val="8"/>
          <w:numId w:val="40"/>
        </w:numPr>
        <w:autoSpaceDE w:val="0"/>
        <w:autoSpaceDN w:val="0"/>
        <w:adjustRightInd w:val="0"/>
        <w:spacing w:after="0"/>
        <w:rPr>
          <w:rFonts w:ascii="Verdana" w:hAnsi="Verdana"/>
          <w:i w:val="0"/>
          <w:iCs/>
          <w:sz w:val="16"/>
          <w:szCs w:val="16"/>
        </w:rPr>
      </w:pPr>
      <w:r>
        <w:rPr>
          <w:rFonts w:ascii="Verdana" w:hAnsi="Verdana"/>
          <w:i w:val="0"/>
          <w:iCs/>
          <w:sz w:val="16"/>
          <w:szCs w:val="16"/>
        </w:rPr>
        <w:t xml:space="preserve">ET/LT/PQ oil pricing </w:t>
      </w:r>
      <w:r>
        <w:rPr>
          <w:rFonts w:ascii="Verdana" w:hAnsi="Verdana"/>
          <w:i w:val="0"/>
          <w:sz w:val="16"/>
          <w:szCs w:val="16"/>
        </w:rPr>
        <w:t>is based on the Company's current sales agreements and the 2026 budget. It is calculated as a percentage of the 3 Consultant Average Brent Price Deck, gradually decreasing from 98.4% in 2027 to 92% by 2035, with an additional US$1.50 per barrel discount.</w:t>
      </w:r>
    </w:p>
    <w:p w14:paraId="61C6AE29" w14:textId="6F48E88D" w:rsidR="00A2166D" w:rsidRPr="009678E6" w:rsidRDefault="00A2166D" w:rsidP="00A2166D">
      <w:pPr>
        <w:pStyle w:val="SecurityL9"/>
        <w:numPr>
          <w:ilvl w:val="8"/>
          <w:numId w:val="40"/>
        </w:numPr>
        <w:autoSpaceDE w:val="0"/>
        <w:autoSpaceDN w:val="0"/>
        <w:adjustRightInd w:val="0"/>
        <w:spacing w:after="0"/>
        <w:rPr>
          <w:rFonts w:ascii="Verdana" w:hAnsi="Verdana"/>
          <w:i w:val="0"/>
          <w:iCs/>
          <w:sz w:val="16"/>
          <w:szCs w:val="16"/>
        </w:rPr>
      </w:pPr>
      <w:r>
        <w:rPr>
          <w:rFonts w:ascii="Verdana" w:hAnsi="Verdana"/>
          <w:i w:val="0"/>
          <w:iCs/>
          <w:sz w:val="16"/>
          <w:szCs w:val="16"/>
        </w:rPr>
        <w:t xml:space="preserve">ET/LT/PQ gas pricing </w:t>
      </w:r>
      <w:r>
        <w:rPr>
          <w:rFonts w:ascii="Verdana" w:hAnsi="Verdana"/>
          <w:i w:val="0"/>
          <w:sz w:val="16"/>
          <w:szCs w:val="16"/>
        </w:rPr>
        <w:t>is based on the Company's current sales agreements and the operator's 2026 budgets.</w:t>
      </w:r>
    </w:p>
    <w:p w14:paraId="1E144A77" w14:textId="77777777" w:rsidR="00A2166D" w:rsidRPr="009678E6" w:rsidRDefault="00A2166D" w:rsidP="00A2166D">
      <w:pPr>
        <w:pStyle w:val="SecurityL9"/>
        <w:numPr>
          <w:ilvl w:val="8"/>
          <w:numId w:val="40"/>
        </w:numPr>
        <w:autoSpaceDE w:val="0"/>
        <w:autoSpaceDN w:val="0"/>
        <w:adjustRightInd w:val="0"/>
        <w:spacing w:after="0"/>
        <w:rPr>
          <w:rFonts w:ascii="Verdana" w:hAnsi="Verdana"/>
          <w:i w:val="0"/>
          <w:iCs/>
          <w:sz w:val="16"/>
          <w:szCs w:val="16"/>
        </w:rPr>
      </w:pPr>
      <w:r>
        <w:rPr>
          <w:rFonts w:ascii="Verdana" w:hAnsi="Verdana"/>
          <w:i w:val="0"/>
          <w:iCs/>
          <w:sz w:val="16"/>
          <w:szCs w:val="16"/>
        </w:rPr>
        <w:t>Inflation rates used for forecasting costs reflect anticipated regional inflation in Argentina.</w:t>
      </w:r>
    </w:p>
    <w:p w14:paraId="0B797C78" w14:textId="77777777" w:rsidR="00585434" w:rsidRPr="009678E6" w:rsidRDefault="00A2166D" w:rsidP="00A2166D">
      <w:pPr>
        <w:pStyle w:val="SecurityL9"/>
        <w:numPr>
          <w:ilvl w:val="8"/>
          <w:numId w:val="40"/>
        </w:numPr>
        <w:autoSpaceDE w:val="0"/>
        <w:autoSpaceDN w:val="0"/>
        <w:adjustRightInd w:val="0"/>
        <w:spacing w:after="0"/>
        <w:rPr>
          <w:rFonts w:ascii="Verdana" w:hAnsi="Verdana"/>
          <w:i w:val="0"/>
          <w:iCs/>
          <w:sz w:val="16"/>
          <w:szCs w:val="16"/>
        </w:rPr>
      </w:pPr>
      <w:r>
        <w:rPr>
          <w:rFonts w:ascii="Verdana" w:hAnsi="Verdana"/>
          <w:i w:val="0"/>
          <w:iCs/>
          <w:sz w:val="16"/>
          <w:szCs w:val="16"/>
        </w:rPr>
        <w:t xml:space="preserve">The TDF concessions expire in August 2026 unless extended by agreement with the Province of Tierra del Fuego.  The Company intends to participate with the TDF joint venture in obtaining an extension to the primary term of the TDF concessions.  </w:t>
      </w:r>
    </w:p>
    <w:bookmarkEnd w:id="3"/>
    <w:p w14:paraId="4EA8B4C6" w14:textId="77777777" w:rsidR="00300A6A" w:rsidRPr="00120232" w:rsidRDefault="00300A6A" w:rsidP="00CC5A37">
      <w:pPr>
        <w:widowControl w:val="0"/>
        <w:spacing w:before="240"/>
        <w:jc w:val="both"/>
        <w:rPr>
          <w:sz w:val="20"/>
          <w:szCs w:val="20"/>
        </w:rPr>
      </w:pPr>
      <w:r>
        <w:rPr>
          <w:sz w:val="20"/>
          <w:szCs w:val="20"/>
          <w:lang w:val="en-CA"/>
        </w:rPr>
        <w:t>Further details of the evaluation of the Company’s reserves as of December 31, 2025 will be contained in the Company’s NI 51-101 filings for the year ended December 31, 2025, which will be filed with Canadian securities regulatory authorities in due course and will be made available under the Company’s profile at</w:t>
      </w:r>
      <w:r>
        <w:rPr>
          <w:color w:val="FF0000"/>
          <w:sz w:val="20"/>
          <w:szCs w:val="20"/>
          <w:lang w:val="en-CA"/>
        </w:rPr>
        <w:t xml:space="preserve"> </w:t>
      </w:r>
      <w:hyperlink r:id="rId12" w:history="1">
        <w:r>
          <w:rPr>
            <w:rStyle w:val="Hyperlink"/>
            <w:color w:val="auto"/>
            <w:sz w:val="20"/>
            <w:szCs w:val="20"/>
            <w:u w:val="none"/>
            <w:lang w:val="en-CA"/>
          </w:rPr>
          <w:t>www.sedarplus.ca</w:t>
        </w:r>
      </w:hyperlink>
      <w:r>
        <w:rPr>
          <w:color w:val="FF0000"/>
          <w:sz w:val="20"/>
          <w:szCs w:val="20"/>
          <w:lang w:val="en-CA"/>
        </w:rPr>
        <w:t xml:space="preserve"> </w:t>
      </w:r>
      <w:r>
        <w:rPr>
          <w:sz w:val="20"/>
          <w:szCs w:val="20"/>
          <w:lang w:val="en-CA"/>
        </w:rPr>
        <w:t xml:space="preserve">and on the Company’s website at </w:t>
      </w:r>
      <w:hyperlink r:id="rId13" w:history="1">
        <w:r>
          <w:rPr>
            <w:sz w:val="20"/>
            <w:szCs w:val="20"/>
          </w:rPr>
          <w:t>www.crownpointenergy.com</w:t>
        </w:r>
      </w:hyperlink>
      <w:r>
        <w:rPr>
          <w:sz w:val="20"/>
          <w:szCs w:val="20"/>
        </w:rPr>
        <w:t>.</w:t>
      </w:r>
    </w:p>
    <w:p w14:paraId="392BFE13" w14:textId="77777777" w:rsidR="00300A6A" w:rsidRPr="00120232" w:rsidRDefault="00300A6A" w:rsidP="00C35452">
      <w:pPr>
        <w:tabs>
          <w:tab w:val="left" w:pos="1440"/>
        </w:tabs>
        <w:spacing w:before="120" w:line="240" w:lineRule="atLeast"/>
        <w:jc w:val="both"/>
        <w:rPr>
          <w:sz w:val="20"/>
          <w:szCs w:val="20"/>
        </w:rPr>
      </w:pPr>
    </w:p>
    <w:p w14:paraId="67BEF930" w14:textId="77777777" w:rsidR="00997CEA" w:rsidRPr="00120232" w:rsidRDefault="00997CEA" w:rsidP="00997CEA">
      <w:pPr>
        <w:rPr>
          <w:sz w:val="20"/>
          <w:szCs w:val="20"/>
        </w:rPr>
      </w:pPr>
      <w:r>
        <w:rPr>
          <w:sz w:val="20"/>
          <w:szCs w:val="20"/>
        </w:rPr>
        <w:t>For inquiries please contact:</w:t>
      </w:r>
    </w:p>
    <w:p w14:paraId="246AA1EC" w14:textId="77777777" w:rsidR="00997CEA" w:rsidRPr="00120232" w:rsidRDefault="00997CEA" w:rsidP="00997CEA">
      <w:pPr>
        <w:rPr>
          <w:sz w:val="20"/>
          <w:szCs w:val="20"/>
        </w:rPr>
      </w:pPr>
    </w:p>
    <w:p w14:paraId="29D29B66" w14:textId="77777777" w:rsidR="00997CEA" w:rsidRPr="00120232" w:rsidRDefault="000D4CF8" w:rsidP="00997CEA">
      <w:pPr>
        <w:outlineLvl w:val="0"/>
        <w:rPr>
          <w:sz w:val="20"/>
          <w:szCs w:val="20"/>
        </w:rPr>
      </w:pPr>
      <w:r>
        <w:rPr>
          <w:sz w:val="20"/>
          <w:szCs w:val="20"/>
        </w:rPr>
        <w:lastRenderedPageBreak/>
        <w:t>Brian Moss</w:t>
      </w:r>
      <w:r>
        <w:rPr>
          <w:sz w:val="20"/>
          <w:szCs w:val="20"/>
        </w:rPr>
        <w:tab/>
      </w:r>
      <w:r>
        <w:rPr>
          <w:sz w:val="20"/>
          <w:szCs w:val="20"/>
        </w:rPr>
        <w:tab/>
        <w:t xml:space="preserve"> </w:t>
      </w:r>
      <w:r>
        <w:rPr>
          <w:sz w:val="20"/>
          <w:szCs w:val="20"/>
        </w:rPr>
        <w:tab/>
      </w:r>
      <w:r>
        <w:rPr>
          <w:sz w:val="20"/>
          <w:szCs w:val="20"/>
        </w:rPr>
        <w:tab/>
      </w:r>
      <w:r>
        <w:rPr>
          <w:sz w:val="20"/>
          <w:szCs w:val="20"/>
        </w:rPr>
        <w:tab/>
        <w:t xml:space="preserve"> Marcos Esteves</w:t>
      </w:r>
    </w:p>
    <w:p w14:paraId="0FA06888" w14:textId="77777777" w:rsidR="00997CEA" w:rsidRPr="00120232" w:rsidRDefault="000D4CF8" w:rsidP="00997CEA">
      <w:pPr>
        <w:outlineLvl w:val="0"/>
        <w:rPr>
          <w:sz w:val="20"/>
          <w:szCs w:val="20"/>
        </w:rPr>
      </w:pPr>
      <w:r>
        <w:rPr>
          <w:sz w:val="20"/>
          <w:szCs w:val="20"/>
        </w:rPr>
        <w:t>Interim President &amp; CEO</w:t>
      </w:r>
      <w:r>
        <w:rPr>
          <w:sz w:val="20"/>
          <w:szCs w:val="20"/>
        </w:rPr>
        <w:tab/>
      </w:r>
      <w:r>
        <w:rPr>
          <w:sz w:val="20"/>
          <w:szCs w:val="20"/>
        </w:rPr>
        <w:tab/>
        <w:t xml:space="preserve">           Vice-President, Finance &amp; CFO</w:t>
      </w:r>
    </w:p>
    <w:p w14:paraId="17D6E008" w14:textId="77777777" w:rsidR="00997CEA" w:rsidRPr="00120232" w:rsidRDefault="00997CEA" w:rsidP="00997CEA">
      <w:pPr>
        <w:rPr>
          <w:sz w:val="20"/>
          <w:szCs w:val="20"/>
        </w:rPr>
      </w:pPr>
      <w:r>
        <w:rPr>
          <w:sz w:val="20"/>
          <w:szCs w:val="20"/>
        </w:rPr>
        <w:t>Ph: (403) 232-1150</w:t>
      </w:r>
      <w:r>
        <w:rPr>
          <w:sz w:val="20"/>
          <w:szCs w:val="20"/>
        </w:rPr>
        <w:tab/>
      </w:r>
      <w:r>
        <w:rPr>
          <w:sz w:val="20"/>
          <w:szCs w:val="20"/>
        </w:rPr>
        <w:tab/>
      </w:r>
      <w:r>
        <w:rPr>
          <w:sz w:val="20"/>
          <w:szCs w:val="20"/>
        </w:rPr>
        <w:tab/>
      </w:r>
      <w:r>
        <w:rPr>
          <w:sz w:val="20"/>
          <w:szCs w:val="20"/>
        </w:rPr>
        <w:tab/>
        <w:t xml:space="preserve">          Ph: (403) 232-1150</w:t>
      </w:r>
    </w:p>
    <w:p w14:paraId="295D5658" w14:textId="77777777" w:rsidR="00997CEA" w:rsidRPr="00120232" w:rsidRDefault="00997CEA" w:rsidP="00997CEA">
      <w:pPr>
        <w:rPr>
          <w:sz w:val="20"/>
          <w:szCs w:val="20"/>
        </w:rPr>
      </w:pPr>
      <w:r>
        <w:rPr>
          <w:sz w:val="20"/>
          <w:szCs w:val="20"/>
        </w:rPr>
        <w:t>Crown Point Energy Inc.</w:t>
      </w:r>
      <w:r>
        <w:rPr>
          <w:sz w:val="20"/>
          <w:szCs w:val="20"/>
        </w:rPr>
        <w:tab/>
      </w:r>
      <w:r>
        <w:rPr>
          <w:sz w:val="20"/>
          <w:szCs w:val="20"/>
        </w:rPr>
        <w:tab/>
      </w:r>
      <w:r>
        <w:rPr>
          <w:sz w:val="20"/>
          <w:szCs w:val="20"/>
        </w:rPr>
        <w:tab/>
      </w:r>
      <w:r>
        <w:rPr>
          <w:sz w:val="20"/>
          <w:szCs w:val="20"/>
        </w:rPr>
        <w:tab/>
        <w:t>Crown Point Energy Inc.</w:t>
      </w:r>
    </w:p>
    <w:p w14:paraId="7CC633B9" w14:textId="77777777" w:rsidR="00997CEA" w:rsidRPr="00120232" w:rsidRDefault="000D4CF8" w:rsidP="00997CEA">
      <w:pPr>
        <w:rPr>
          <w:sz w:val="20"/>
          <w:szCs w:val="20"/>
        </w:rPr>
      </w:pPr>
      <w:hyperlink r:id="rId14" w:history="1">
        <w:r>
          <w:rPr>
            <w:rStyle w:val="Hyperlink"/>
            <w:color w:val="auto"/>
            <w:sz w:val="20"/>
            <w:szCs w:val="20"/>
            <w:u w:val="none"/>
          </w:rPr>
          <w:t>bmoss@crownpointenergy.com</w:t>
        </w:r>
      </w:hyperlink>
      <w:r>
        <w:rPr>
          <w:sz w:val="20"/>
          <w:szCs w:val="20"/>
        </w:rPr>
        <w:tab/>
      </w:r>
      <w:r>
        <w:rPr>
          <w:sz w:val="20"/>
          <w:szCs w:val="20"/>
        </w:rPr>
        <w:tab/>
      </w:r>
      <w:r>
        <w:rPr>
          <w:sz w:val="20"/>
          <w:szCs w:val="20"/>
        </w:rPr>
        <w:tab/>
      </w:r>
      <w:hyperlink r:id="rId15" w:history="1">
        <w:r>
          <w:rPr>
            <w:rStyle w:val="Hyperlink"/>
            <w:color w:val="auto"/>
            <w:sz w:val="20"/>
            <w:szCs w:val="20"/>
            <w:u w:val="none"/>
          </w:rPr>
          <w:t>mesteves@crownpointenergy.com</w:t>
        </w:r>
      </w:hyperlink>
      <w:r>
        <w:rPr>
          <w:sz w:val="20"/>
          <w:szCs w:val="20"/>
        </w:rPr>
        <w:t xml:space="preserve"> </w:t>
      </w:r>
    </w:p>
    <w:p w14:paraId="5ABB4487" w14:textId="77777777" w:rsidR="00A36152" w:rsidRPr="007B6295" w:rsidRDefault="00A36152" w:rsidP="00997CEA">
      <w:pPr>
        <w:rPr>
          <w:rFonts w:ascii="Times New Roman" w:hAnsi="Times New Roman"/>
          <w:sz w:val="20"/>
          <w:szCs w:val="20"/>
        </w:rPr>
      </w:pPr>
    </w:p>
    <w:p w14:paraId="5D40E6DA" w14:textId="77777777" w:rsidR="00997CEA" w:rsidRPr="007B6295" w:rsidRDefault="00997CEA" w:rsidP="00997CEA">
      <w:pPr>
        <w:rPr>
          <w:rFonts w:ascii="Times New Roman" w:hAnsi="Times New Roman"/>
          <w:sz w:val="20"/>
          <w:szCs w:val="20"/>
        </w:rPr>
      </w:pPr>
    </w:p>
    <w:p w14:paraId="1DE5240C" w14:textId="77777777" w:rsidR="00997CEA" w:rsidRPr="00120232" w:rsidRDefault="00193809" w:rsidP="00FF4E54">
      <w:pPr>
        <w:keepNext/>
        <w:keepLines/>
        <w:rPr>
          <w:b/>
          <w:i/>
          <w:sz w:val="20"/>
          <w:szCs w:val="20"/>
        </w:rPr>
      </w:pPr>
      <w:r>
        <w:rPr>
          <w:b/>
          <w:i/>
          <w:sz w:val="20"/>
          <w:szCs w:val="20"/>
        </w:rPr>
        <w:t>About Crown Point</w:t>
      </w:r>
    </w:p>
    <w:p w14:paraId="7AA49495" w14:textId="77777777" w:rsidR="001757BE" w:rsidRPr="00120232" w:rsidRDefault="001757BE" w:rsidP="001757BE">
      <w:pPr>
        <w:rPr>
          <w:b/>
          <w:i/>
          <w:sz w:val="20"/>
          <w:szCs w:val="20"/>
        </w:rPr>
      </w:pPr>
    </w:p>
    <w:p w14:paraId="16E50920" w14:textId="3959562B" w:rsidR="00843B59" w:rsidRPr="00120232" w:rsidRDefault="00843B59" w:rsidP="00843B59">
      <w:pPr>
        <w:pStyle w:val="MICONHEADER1"/>
        <w:widowControl w:val="0"/>
        <w:spacing w:line="240" w:lineRule="atLeast"/>
        <w:ind w:left="0"/>
        <w:rPr>
          <w:rFonts w:ascii="Verdana" w:hAnsi="Verdana"/>
          <w:b w:val="0"/>
          <w:bCs/>
          <w:caps w:val="0"/>
          <w:sz w:val="20"/>
          <w:szCs w:val="20"/>
        </w:rPr>
      </w:pPr>
      <w:r>
        <w:rPr>
          <w:rFonts w:ascii="Verdana" w:hAnsi="Verdana"/>
          <w:b w:val="0"/>
          <w:bCs/>
          <w:caps w:val="0"/>
          <w:sz w:val="20"/>
          <w:szCs w:val="20"/>
        </w:rPr>
        <w:t xml:space="preserve">Crown Point Energy Inc. is an international oil and gas exploration and development company headquartered in Buenos Aires, Argentina, incorporated in Canada, trading on the TSX Venture Exchange and operating in Argentina. </w:t>
      </w:r>
      <w:r>
        <w:rPr>
          <w:rFonts w:ascii="Verdana" w:hAnsi="Verdana"/>
          <w:b w:val="0"/>
          <w:caps w:val="0"/>
          <w:sz w:val="20"/>
          <w:szCs w:val="20"/>
        </w:rPr>
        <w:t>Crown Point's exploration and development activities are focused in four producing basins in Argentina, the Austral basin in the province of Tierra del Fuego, the San Jorge Basin in the provinces of Santa Cruz and Chubut, and the Neuquén and Cuyo basins in the province of Mendoza.</w:t>
      </w:r>
    </w:p>
    <w:p w14:paraId="6B9BC0CD" w14:textId="77777777" w:rsidR="001757BE" w:rsidRPr="00120232" w:rsidRDefault="001757BE" w:rsidP="001757BE">
      <w:pPr>
        <w:pStyle w:val="MICONHEADER1"/>
        <w:widowControl w:val="0"/>
        <w:spacing w:line="240" w:lineRule="atLeast"/>
        <w:ind w:left="0"/>
        <w:rPr>
          <w:rFonts w:ascii="Verdana" w:hAnsi="Verdana"/>
          <w:b w:val="0"/>
          <w:bCs/>
          <w:caps w:val="0"/>
          <w:sz w:val="22"/>
          <w:szCs w:val="22"/>
        </w:rPr>
      </w:pPr>
    </w:p>
    <w:p w14:paraId="514070CF" w14:textId="77777777" w:rsidR="001757BE" w:rsidRPr="00120232" w:rsidRDefault="00CD3E93" w:rsidP="00CE1D64">
      <w:pPr>
        <w:keepNext/>
        <w:jc w:val="both"/>
        <w:rPr>
          <w:b/>
          <w:bCs/>
          <w:i/>
          <w:iCs/>
          <w:sz w:val="16"/>
          <w:szCs w:val="16"/>
        </w:rPr>
      </w:pPr>
      <w:r>
        <w:rPr>
          <w:b/>
          <w:bCs/>
          <w:i/>
          <w:iCs/>
          <w:sz w:val="16"/>
          <w:szCs w:val="16"/>
        </w:rPr>
        <w:t>Oil and Gas Advisories</w:t>
      </w:r>
    </w:p>
    <w:p w14:paraId="30348440" w14:textId="77777777" w:rsidR="000601E1" w:rsidRPr="00120232" w:rsidRDefault="000601E1" w:rsidP="00CE1D64">
      <w:pPr>
        <w:keepNext/>
        <w:jc w:val="both"/>
        <w:rPr>
          <w:b/>
          <w:bCs/>
          <w:i/>
          <w:iCs/>
          <w:sz w:val="16"/>
          <w:szCs w:val="16"/>
        </w:rPr>
      </w:pPr>
    </w:p>
    <w:p w14:paraId="69C256ED" w14:textId="77777777" w:rsidR="00A2166D" w:rsidRPr="00DF56ED" w:rsidRDefault="00A2166D" w:rsidP="00A2166D">
      <w:pPr>
        <w:keepNext/>
        <w:widowControl w:val="0"/>
        <w:jc w:val="both"/>
        <w:rPr>
          <w:rFonts w:eastAsia="Calibri"/>
          <w:i/>
          <w:sz w:val="16"/>
          <w:szCs w:val="16"/>
        </w:rPr>
      </w:pPr>
      <w:r>
        <w:rPr>
          <w:rFonts w:eastAsia="Calibri"/>
          <w:i/>
          <w:sz w:val="16"/>
          <w:szCs w:val="16"/>
        </w:rPr>
        <w:t xml:space="preserve">All BOE conversions in this press release are derived by converting natural gas to oil in the ratio of six mcf of gas to one </w:t>
      </w:r>
      <w:proofErr w:type="spellStart"/>
      <w:r>
        <w:rPr>
          <w:rFonts w:eastAsia="Calibri"/>
          <w:i/>
          <w:sz w:val="16"/>
          <w:szCs w:val="16"/>
        </w:rPr>
        <w:t>bbl</w:t>
      </w:r>
      <w:proofErr w:type="spellEnd"/>
      <w:r>
        <w:rPr>
          <w:rFonts w:eastAsia="Calibri"/>
          <w:i/>
          <w:sz w:val="16"/>
          <w:szCs w:val="16"/>
        </w:rPr>
        <w:t xml:space="preserve"> of oil.  Barrels of oil equivalent ("</w:t>
      </w:r>
      <w:r>
        <w:rPr>
          <w:rFonts w:eastAsia="Calibri"/>
          <w:b/>
          <w:i/>
          <w:sz w:val="16"/>
          <w:szCs w:val="16"/>
        </w:rPr>
        <w:t>BOE</w:t>
      </w:r>
      <w:r>
        <w:rPr>
          <w:rFonts w:eastAsia="Calibri"/>
          <w:i/>
          <w:sz w:val="16"/>
          <w:szCs w:val="16"/>
        </w:rPr>
        <w:t xml:space="preserve">") may be misleading, particularly if used in isolation. A BOE conversion ratio of six thousand cubic feet (6 Mcf) to one barrel (1 </w:t>
      </w:r>
      <w:proofErr w:type="spellStart"/>
      <w:r>
        <w:rPr>
          <w:rFonts w:eastAsia="Calibri"/>
          <w:i/>
          <w:sz w:val="16"/>
          <w:szCs w:val="16"/>
        </w:rPr>
        <w:t>bbl</w:t>
      </w:r>
      <w:proofErr w:type="spellEnd"/>
      <w:r>
        <w:rPr>
          <w:rFonts w:eastAsia="Calibri"/>
          <w:i/>
          <w:sz w:val="16"/>
          <w:szCs w:val="16"/>
        </w:rPr>
        <w:t>) is based on an energy equivalency conversion method primarily applicable at the burner tip and does not represent a value equivalency at the wellhead. In addition, given that the value ratio based on the current price of crude oil in Argentina as compared to the current price of natural gas in Argentina is significantly different from the energy equivalency of 6:1, utilizing a conversion on a 6:1 basis may be misleading as an indication of value.</w:t>
      </w:r>
    </w:p>
    <w:p w14:paraId="5F8DAD78" w14:textId="77777777" w:rsidR="00A2166D" w:rsidRPr="00DF56ED" w:rsidRDefault="00A2166D" w:rsidP="00A2166D">
      <w:pPr>
        <w:widowControl w:val="0"/>
        <w:jc w:val="both"/>
        <w:rPr>
          <w:rFonts w:eastAsia="Calibri"/>
          <w:i/>
          <w:sz w:val="16"/>
          <w:szCs w:val="16"/>
        </w:rPr>
      </w:pPr>
    </w:p>
    <w:p w14:paraId="5944B999" w14:textId="77777777" w:rsidR="00A2166D" w:rsidRPr="00DF56ED" w:rsidRDefault="00A2166D" w:rsidP="00A2166D">
      <w:pPr>
        <w:widowControl w:val="0"/>
        <w:jc w:val="both"/>
        <w:rPr>
          <w:rFonts w:eastAsia="Calibri"/>
          <w:i/>
          <w:sz w:val="16"/>
          <w:szCs w:val="16"/>
        </w:rPr>
      </w:pPr>
      <w:r>
        <w:rPr>
          <w:rFonts w:eastAsia="Calibri"/>
          <w:i/>
          <w:sz w:val="16"/>
          <w:szCs w:val="16"/>
        </w:rPr>
        <w:t>"MBOE" means thousands of barrels of oil equivalent.  “Mcf” means thousand cubic feet.  “</w:t>
      </w:r>
      <w:proofErr w:type="spellStart"/>
      <w:r>
        <w:rPr>
          <w:rFonts w:eastAsia="Calibri"/>
          <w:i/>
          <w:sz w:val="16"/>
          <w:szCs w:val="16"/>
        </w:rPr>
        <w:t>MMcf</w:t>
      </w:r>
      <w:proofErr w:type="spellEnd"/>
      <w:r>
        <w:rPr>
          <w:rFonts w:eastAsia="Calibri"/>
          <w:i/>
          <w:sz w:val="16"/>
          <w:szCs w:val="16"/>
        </w:rPr>
        <w:t>” means million cubic feet.  "</w:t>
      </w:r>
      <w:proofErr w:type="spellStart"/>
      <w:r>
        <w:rPr>
          <w:rFonts w:eastAsia="Calibri"/>
          <w:i/>
          <w:sz w:val="16"/>
          <w:szCs w:val="16"/>
        </w:rPr>
        <w:t>bbl</w:t>
      </w:r>
      <w:proofErr w:type="spellEnd"/>
      <w:r>
        <w:rPr>
          <w:rFonts w:eastAsia="Calibri"/>
          <w:i/>
          <w:sz w:val="16"/>
          <w:szCs w:val="16"/>
        </w:rPr>
        <w:t>" means barrel.  "</w:t>
      </w:r>
      <w:proofErr w:type="spellStart"/>
      <w:r>
        <w:rPr>
          <w:rFonts w:eastAsia="Calibri"/>
          <w:i/>
          <w:sz w:val="16"/>
          <w:szCs w:val="16"/>
        </w:rPr>
        <w:t>Mbbl</w:t>
      </w:r>
      <w:proofErr w:type="spellEnd"/>
      <w:r>
        <w:rPr>
          <w:rFonts w:eastAsia="Calibri"/>
          <w:i/>
          <w:sz w:val="16"/>
          <w:szCs w:val="16"/>
        </w:rPr>
        <w:t>" means thousands of barrels.  "NGL" means natural gas liquids.  "</w:t>
      </w:r>
      <w:r>
        <w:rPr>
          <w:sz w:val="16"/>
          <w:szCs w:val="16"/>
        </w:rPr>
        <w:t>Btu/</w:t>
      </w:r>
      <w:proofErr w:type="spellStart"/>
      <w:r>
        <w:rPr>
          <w:sz w:val="16"/>
          <w:szCs w:val="16"/>
        </w:rPr>
        <w:t>Scf</w:t>
      </w:r>
      <w:proofErr w:type="spellEnd"/>
      <w:r>
        <w:rPr>
          <w:sz w:val="16"/>
          <w:szCs w:val="16"/>
        </w:rPr>
        <w:t>" means British thermal unit per standard cubic foot.</w:t>
      </w:r>
    </w:p>
    <w:p w14:paraId="3C90F6BA" w14:textId="77777777" w:rsidR="00A2166D" w:rsidRPr="00DF56ED" w:rsidRDefault="00A2166D" w:rsidP="00A2166D">
      <w:pPr>
        <w:widowControl w:val="0"/>
        <w:jc w:val="both"/>
        <w:rPr>
          <w:rFonts w:eastAsia="Calibri"/>
          <w:i/>
          <w:sz w:val="16"/>
          <w:szCs w:val="16"/>
        </w:rPr>
      </w:pPr>
    </w:p>
    <w:p w14:paraId="205616BD" w14:textId="334B706F" w:rsidR="00A2166D" w:rsidRPr="00DF56ED" w:rsidRDefault="00A2166D" w:rsidP="00A2166D">
      <w:pPr>
        <w:autoSpaceDE w:val="0"/>
        <w:autoSpaceDN w:val="0"/>
        <w:adjustRightInd w:val="0"/>
        <w:jc w:val="both"/>
        <w:rPr>
          <w:rFonts w:eastAsia="Calibri"/>
          <w:i/>
          <w:sz w:val="16"/>
          <w:szCs w:val="16"/>
        </w:rPr>
      </w:pPr>
      <w:r>
        <w:rPr>
          <w:rFonts w:eastAsia="Calibri"/>
          <w:i/>
          <w:sz w:val="16"/>
          <w:szCs w:val="16"/>
        </w:rPr>
        <w:t xml:space="preserve">The reserves </w:t>
      </w:r>
      <w:proofErr w:type="gramStart"/>
      <w:r>
        <w:rPr>
          <w:rFonts w:eastAsia="Calibri"/>
          <w:i/>
          <w:sz w:val="16"/>
          <w:szCs w:val="16"/>
        </w:rPr>
        <w:t>estimates</w:t>
      </w:r>
      <w:proofErr w:type="gramEnd"/>
      <w:r>
        <w:rPr>
          <w:rFonts w:eastAsia="Calibri"/>
          <w:i/>
          <w:sz w:val="16"/>
          <w:szCs w:val="16"/>
        </w:rPr>
        <w:t xml:space="preserve"> contained in this news release represent our gross and net reserves as of December 31, 2025.  Gross reserves are defined under NI 51-101 as our working interest (operating or non-operating) share before deduction of royalties and without including any of our royalty interests.  Net reserves are defined under NI 51-101 as our working interest (operating or non-operating) share after deduction of royalty obligations, plus our royalty interests in reserves.  It should not be assumed that the present worth of estimated future net revenues presented in the tables above represents the fair market value of the reserves. There is no assurance that the forecast price and cost assumptions will be attained and variances could be material. The recovery and reserves </w:t>
      </w:r>
      <w:proofErr w:type="gramStart"/>
      <w:r>
        <w:rPr>
          <w:rFonts w:eastAsia="Calibri"/>
          <w:i/>
          <w:sz w:val="16"/>
          <w:szCs w:val="16"/>
        </w:rPr>
        <w:t>estimates</w:t>
      </w:r>
      <w:proofErr w:type="gramEnd"/>
      <w:r>
        <w:rPr>
          <w:rFonts w:eastAsia="Calibri"/>
          <w:i/>
          <w:sz w:val="16"/>
          <w:szCs w:val="16"/>
        </w:rPr>
        <w:t xml:space="preserve"> of our crude oil, natural gas liquids and natural gas reserves provided herein are estimates only and there is no guarantee that the estimated reserves will be recovered. Actual crude oil, natural gas and natural gas liquids reserves may be greater than or less than the estimates provided herein.</w:t>
      </w:r>
    </w:p>
    <w:p w14:paraId="21B309FC" w14:textId="77777777" w:rsidR="00A2166D" w:rsidRPr="00DC646E" w:rsidRDefault="00A2166D" w:rsidP="00A2166D">
      <w:pPr>
        <w:autoSpaceDE w:val="0"/>
        <w:autoSpaceDN w:val="0"/>
        <w:adjustRightInd w:val="0"/>
        <w:jc w:val="both"/>
        <w:rPr>
          <w:rFonts w:eastAsia="Calibri"/>
          <w:i/>
          <w:sz w:val="16"/>
          <w:szCs w:val="16"/>
          <w:highlight w:val="yellow"/>
        </w:rPr>
      </w:pPr>
    </w:p>
    <w:p w14:paraId="6C92BA4C" w14:textId="77777777" w:rsidR="00A2166D" w:rsidRPr="00BC038A" w:rsidRDefault="00A2166D" w:rsidP="00A2166D">
      <w:pPr>
        <w:autoSpaceDE w:val="0"/>
        <w:autoSpaceDN w:val="0"/>
        <w:adjustRightInd w:val="0"/>
        <w:jc w:val="both"/>
        <w:rPr>
          <w:rFonts w:eastAsia="Calibri"/>
          <w:i/>
          <w:sz w:val="16"/>
          <w:szCs w:val="16"/>
        </w:rPr>
      </w:pPr>
      <w:r>
        <w:rPr>
          <w:rFonts w:eastAsia="Calibri"/>
          <w:i/>
          <w:sz w:val="16"/>
          <w:szCs w:val="16"/>
        </w:rPr>
        <w:t xml:space="preserve">All future net revenues are estimated using forecast prices arising from the anticipated development and production of our reserves, net of the associated royalties, operating costs, development costs, and abandonment and reclamation costs and are stated prior to provision for interest and general and administrative expenses. Future net revenues have been presented on a before tax basis.  </w:t>
      </w:r>
    </w:p>
    <w:p w14:paraId="5401E6D3" w14:textId="77777777" w:rsidR="00A2166D" w:rsidRPr="00DC646E" w:rsidRDefault="00A2166D" w:rsidP="00A2166D">
      <w:pPr>
        <w:autoSpaceDE w:val="0"/>
        <w:autoSpaceDN w:val="0"/>
        <w:adjustRightInd w:val="0"/>
        <w:jc w:val="both"/>
        <w:rPr>
          <w:rFonts w:eastAsia="Calibri"/>
          <w:i/>
          <w:sz w:val="16"/>
          <w:szCs w:val="16"/>
          <w:highlight w:val="yellow"/>
        </w:rPr>
      </w:pPr>
    </w:p>
    <w:p w14:paraId="6801182C" w14:textId="77777777" w:rsidR="00A2166D" w:rsidRPr="00BC038A" w:rsidRDefault="00A2166D" w:rsidP="00A2166D">
      <w:pPr>
        <w:autoSpaceDE w:val="0"/>
        <w:autoSpaceDN w:val="0"/>
        <w:adjustRightInd w:val="0"/>
        <w:jc w:val="both"/>
        <w:rPr>
          <w:rFonts w:eastAsia="Calibri"/>
          <w:i/>
          <w:sz w:val="16"/>
          <w:szCs w:val="16"/>
        </w:rPr>
      </w:pPr>
      <w:r>
        <w:rPr>
          <w:rFonts w:eastAsia="Calibri"/>
          <w:i/>
          <w:sz w:val="16"/>
          <w:szCs w:val="16"/>
        </w:rPr>
        <w:t xml:space="preserve">The estimates of reserves and future net revenue for individual properties may not reflect the same confidence level as estimates of reserves and future net revenue for all properties, </w:t>
      </w:r>
      <w:proofErr w:type="gramStart"/>
      <w:r>
        <w:rPr>
          <w:rFonts w:eastAsia="Calibri"/>
          <w:i/>
          <w:sz w:val="16"/>
          <w:szCs w:val="16"/>
        </w:rPr>
        <w:t>due to the effects</w:t>
      </w:r>
      <w:proofErr w:type="gramEnd"/>
      <w:r>
        <w:rPr>
          <w:rFonts w:eastAsia="Calibri"/>
          <w:i/>
          <w:sz w:val="16"/>
          <w:szCs w:val="16"/>
        </w:rPr>
        <w:t xml:space="preserve"> of aggregation.</w:t>
      </w:r>
    </w:p>
    <w:p w14:paraId="0D0942EE" w14:textId="77777777" w:rsidR="00A2166D" w:rsidRPr="00BC038A" w:rsidRDefault="00A2166D" w:rsidP="00A2166D">
      <w:pPr>
        <w:autoSpaceDE w:val="0"/>
        <w:autoSpaceDN w:val="0"/>
        <w:adjustRightInd w:val="0"/>
        <w:jc w:val="both"/>
        <w:rPr>
          <w:rFonts w:eastAsia="Calibri"/>
          <w:i/>
          <w:sz w:val="16"/>
          <w:szCs w:val="16"/>
        </w:rPr>
      </w:pPr>
    </w:p>
    <w:p w14:paraId="37594A00" w14:textId="77777777" w:rsidR="00A2166D" w:rsidRPr="00BA2647" w:rsidRDefault="00A2166D" w:rsidP="00A2166D">
      <w:pPr>
        <w:widowControl w:val="0"/>
        <w:jc w:val="both"/>
        <w:rPr>
          <w:rFonts w:eastAsia="Calibri"/>
          <w:b/>
          <w:i/>
          <w:sz w:val="16"/>
          <w:szCs w:val="16"/>
        </w:rPr>
      </w:pPr>
      <w:r>
        <w:rPr>
          <w:rFonts w:eastAsia="Calibri"/>
          <w:b/>
          <w:i/>
          <w:sz w:val="16"/>
          <w:szCs w:val="16"/>
        </w:rPr>
        <w:t>Forward Looking Statements</w:t>
      </w:r>
    </w:p>
    <w:p w14:paraId="7778BBE9" w14:textId="77777777" w:rsidR="00A2166D" w:rsidRPr="00BA2647" w:rsidRDefault="00A2166D" w:rsidP="00A2166D">
      <w:pPr>
        <w:widowControl w:val="0"/>
        <w:jc w:val="both"/>
        <w:rPr>
          <w:rFonts w:eastAsia="Calibri"/>
          <w:b/>
          <w:i/>
          <w:sz w:val="16"/>
          <w:szCs w:val="16"/>
        </w:rPr>
      </w:pPr>
    </w:p>
    <w:p w14:paraId="6DCDD8A5" w14:textId="5DCB710A" w:rsidR="00CA24A5" w:rsidRPr="00120232" w:rsidRDefault="00A2166D" w:rsidP="00A2166D">
      <w:pPr>
        <w:widowControl w:val="0"/>
        <w:jc w:val="both"/>
        <w:rPr>
          <w:i/>
          <w:iCs/>
          <w:sz w:val="16"/>
          <w:szCs w:val="16"/>
        </w:rPr>
      </w:pPr>
      <w:r>
        <w:rPr>
          <w:rFonts w:eastAsia="Calibri"/>
          <w:i/>
          <w:sz w:val="16"/>
          <w:szCs w:val="16"/>
        </w:rPr>
        <w:t>Certain information set forth in this document is considered forward-looking information, and necessarily involves risks and uncertainties, certain of which are beyond Crown Point’s control</w:t>
      </w:r>
      <w:r>
        <w:rPr>
          <w:i/>
          <w:iCs/>
          <w:sz w:val="16"/>
          <w:szCs w:val="16"/>
        </w:rPr>
        <w:t>.  Forward-looking information herein includes: the Company's intention to</w:t>
      </w:r>
      <w:r>
        <w:rPr>
          <w:i/>
          <w:sz w:val="16"/>
          <w:szCs w:val="16"/>
        </w:rPr>
        <w:t xml:space="preserve"> participate with the TDF joint venture in obtaining an extension to the primary term (expiring August 2026) of the TDF concessions; and the forecast pricing and inflation rate assumptions set forth herein. </w:t>
      </w:r>
      <w:r>
        <w:rPr>
          <w:i/>
          <w:iCs/>
          <w:sz w:val="16"/>
          <w:szCs w:val="16"/>
        </w:rPr>
        <w:t xml:space="preserve"> </w:t>
      </w:r>
      <w:r>
        <w:rPr>
          <w:rFonts w:eastAsia="Calibri"/>
          <w:i/>
          <w:sz w:val="16"/>
          <w:szCs w:val="16"/>
        </w:rPr>
        <w:t xml:space="preserve">In addition, information relating to our reserves is deemed to be forward-looking information, as it involves the implied assessment, based on certain estimates and assumptions, that the reserves described can be economically produced in the future.  Such risks include but are not limited to: </w:t>
      </w:r>
      <w:r>
        <w:rPr>
          <w:rFonts w:eastAsia="Arial" w:cs="Arial"/>
          <w:i/>
          <w:color w:val="000000"/>
          <w:sz w:val="16"/>
          <w:szCs w:val="16"/>
        </w:rPr>
        <w:t xml:space="preserve">the risk that the tariffs imposed or threatened to be imposed by the U.S. on other countries, and retaliatory tariffs imposed or threatened to be imposed by other countries on the U.S., will trigger a broader global trade war which could have a material adverse effect on global economies, and by extension the Argentine oil and natural gas industry and the Company, including by decreasing demand for (and the price of) oil and natural gas, disrupting supply chains, increasing costs, causing </w:t>
      </w:r>
      <w:r>
        <w:rPr>
          <w:rFonts w:eastAsia="Arial" w:cs="Arial"/>
          <w:i/>
          <w:color w:val="000000"/>
          <w:sz w:val="16"/>
          <w:szCs w:val="16"/>
        </w:rPr>
        <w:lastRenderedPageBreak/>
        <w:t xml:space="preserve">volatility in global financial markets, and limiting access to (and/or increasing the cost of) financing; </w:t>
      </w:r>
      <w:r>
        <w:rPr>
          <w:rFonts w:cs="Arial"/>
          <w:i/>
          <w:spacing w:val="5"/>
          <w:sz w:val="16"/>
          <w:szCs w:val="16"/>
        </w:rPr>
        <w:t xml:space="preserve">that </w:t>
      </w:r>
      <w:r>
        <w:rPr>
          <w:i/>
          <w:sz w:val="16"/>
          <w:szCs w:val="16"/>
        </w:rPr>
        <w:t>the Company is not able to meet its obligations as they become due and continue as a going concern;</w:t>
      </w:r>
      <w:r>
        <w:rPr>
          <w:rFonts w:eastAsia="Calibri"/>
          <w:i/>
          <w:sz w:val="16"/>
          <w:szCs w:val="16"/>
        </w:rPr>
        <w:t xml:space="preserve"> the risk that </w:t>
      </w:r>
      <w:r>
        <w:rPr>
          <w:i/>
          <w:sz w:val="16"/>
          <w:szCs w:val="16"/>
        </w:rPr>
        <w:t xml:space="preserve">the TDF joint venture is not able to obtain an extension to the primary term of the TDF concessions at all or on acceptable terms and/or that the receipt of the extension is delayed; risks associated with the insolvency and/or bankruptcy of our joint venture partners and/or the operators of the concessions in which we have an interest, including the risk that any such insolvency and/or bankruptcy has an adverse effect on one of our UTEs, one of our concessions and/or the Company; </w:t>
      </w:r>
      <w:r>
        <w:rPr>
          <w:rFonts w:eastAsia="Calibri"/>
          <w:i/>
          <w:sz w:val="16"/>
          <w:szCs w:val="16"/>
        </w:rPr>
        <w:t>the risks that pandemics and outbreaks of communicable disease pose to the oil and gas industry generally and our business in particular; risks associated with oil and gas exploration, development, exploitation, production, marketing and transportation, including the risk that the infrastructure on which we rely to produce, transport and sell our products breaks down and requires parts that are not readily available or repairs that cannot be made on a timely basis, and which impair our ability to operate and/or sell our products; risks associated with operating in Argentina, including risks of changing government regulations (including the adoption of, amendments to, or the cancellation of government incentive programs or other laws and regulations relating to commodity prices, taxation, currency controls and export restrictions, in each case that may adversely impact Crown Point), risks that new government initiatives will not have the consequences the Company believes (including the benefits to be derived therefrom), expropriation/nationalization of assets, price controls on commodity prices, inability to enforce contracts in certain circumstances, the potential for a hyperinflationary economic environment, the imposition of currency controls, risks associated with a default on Argentine government debt, and other economic and political risks; volatility of commodity prices; currency fluctuations; imprecision of reserve estimates; environmental risks; competition from other producers; inability to retain drilling services; incorrect assessment of value of acquisitions and failure to realize the benefits therefrom; delays resulting from or inability to obtain required regulatory approvals; the lack of availability</w:t>
      </w:r>
      <w:r>
        <w:rPr>
          <w:i/>
          <w:sz w:val="16"/>
          <w:szCs w:val="16"/>
        </w:rPr>
        <w:t xml:space="preserve"> of qualified personnel or management; stock market volatility; inability to access sufficient capital from internal and external sources; the need to shut-in, flare and/or curtail production as a result of a lack of infrastructure and/or damage to existing infrastructure; and economic or industry condition changes. Actual results, performance or achievements could differ materially from those expressed in, or implied by, the forward-looking information and, accordingly, no assurance can be given that any events anticipated by the forward-looking information will transpire or occur, or if any of them do so, what benefits that Crown Point will derive therefrom. With respect to forward-looking information contained herein, the Company has made assumptions regarding, among other things: the ability of the TDF joint venture to obtain an extension to the primary term of the TDF concessions on acceptable terms and the timing thereof; the impact of increasing competition; the general stability of the economic and political environment in Argentina; the timely receipt of any required regulatory approvals; the ability of the Company to obtain qualified staff, equipment and services in a timely and cost efficient manner; drilling results; the costs of obtaining equipment and personnel to complete the Company’s capital expenditure program; the ability of the operator of the projects which the Company has an interest in to operate the field in a safe, efficient and effective manner; the ability of the Company to obtain financing on acceptable terms when and if needed and continue as a going concern; the ability of the Company to service its debt repayments when required; field production rates and decline rates; the ability to replace and expand oil and natural gas reserves through acquisition, development and exploration activities; the timing and costs of pipeline, storage, transportation and facility repair, construction and expansion and the ability of the Company to secure adequate product transportation; future oil and natural gas prices; costs of operational activities in Argentina; currency, exchange, inflation and interest rates; the regulatory framework regarding royalties, commodity price controls, currency controls, import/export matters, taxes and environmental matters in Argentina; and the ability of the Company to successfully market its oil and natural gas products.  Additional information on these and other factors that could affect Crown Point are included in reports on file with Canadian securities regulatory authorities, including under the heading “Risk Factors” in the Company’s most recently filed annual information form, and may be accessed through the SEDAR+ website (www.sedarplus.ca). Furthermore, the forward-looking information contained in this document are made as of the date of this document, and Crown Point does not undertake any obligation to update publicly or to revise any of the included forward looking information, whether as a result of new information, future events or otherwise, except as may be expressly required by applicable securities law.</w:t>
      </w:r>
    </w:p>
    <w:p w14:paraId="0CFD2DA7" w14:textId="77777777" w:rsidR="00BC282F" w:rsidRPr="00120232" w:rsidRDefault="00BC282F" w:rsidP="00BC282F">
      <w:pPr>
        <w:widowControl w:val="0"/>
        <w:jc w:val="both"/>
        <w:rPr>
          <w:sz w:val="16"/>
          <w:szCs w:val="16"/>
        </w:rPr>
      </w:pPr>
    </w:p>
    <w:p w14:paraId="67CD0EF2" w14:textId="77777777" w:rsidR="00CA24A5" w:rsidRPr="00120232" w:rsidRDefault="00CA24A5" w:rsidP="00BC282F">
      <w:pPr>
        <w:jc w:val="both"/>
        <w:rPr>
          <w:b/>
          <w:bCs/>
          <w:i/>
          <w:iCs/>
          <w:szCs w:val="22"/>
        </w:rPr>
      </w:pPr>
      <w:r>
        <w:rPr>
          <w:b/>
          <w:bCs/>
          <w:i/>
          <w:iCs/>
          <w:sz w:val="16"/>
          <w:szCs w:val="16"/>
        </w:rPr>
        <w:t>Neither TSX Venture Exchange nor its Regulation Services Provider (as that term is defined in the policies of the TSX Venture Exchange) accepts responsibility for the adequacy or accuracy of this news release.</w:t>
      </w:r>
    </w:p>
    <w:p w14:paraId="7D2905C3" w14:textId="77777777" w:rsidR="003F6698" w:rsidRDefault="003F6698">
      <w:pPr>
        <w:rPr>
          <w:sz w:val="24"/>
        </w:rPr>
      </w:pPr>
    </w:p>
    <w:sectPr w:rsidR="003F6698">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9A6E" w14:textId="77777777" w:rsidR="005E0601" w:rsidRDefault="005E0601" w:rsidP="00451CF4">
      <w:r>
        <w:separator/>
      </w:r>
    </w:p>
  </w:endnote>
  <w:endnote w:type="continuationSeparator" w:id="0">
    <w:p w14:paraId="7CA45830" w14:textId="77777777" w:rsidR="005E0601" w:rsidRDefault="005E0601" w:rsidP="0045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D7BD" w14:textId="77777777" w:rsidR="003F6698" w:rsidRDefault="003F669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1B27" w14:textId="77777777" w:rsidR="005E0601" w:rsidRDefault="005E0601" w:rsidP="00451CF4">
      <w:r>
        <w:separator/>
      </w:r>
    </w:p>
  </w:footnote>
  <w:footnote w:type="continuationSeparator" w:id="0">
    <w:p w14:paraId="1F44368B" w14:textId="77777777" w:rsidR="005E0601" w:rsidRDefault="005E0601" w:rsidP="0045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84A8" w14:textId="77777777" w:rsidR="003F6698" w:rsidRDefault="003F669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85686D40"/>
    <w:lvl w:ilvl="0">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1">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2">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3">
      <w:start w:val="1"/>
      <w:numFmt w:val="none"/>
      <w:lvlRestart w:val="0"/>
      <w:suff w:val="nothing"/>
      <w:lvlText w:val=""/>
      <w:lvlJc w:val="left"/>
      <w:pPr>
        <w:tabs>
          <w:tab w:val="num" w:pos="1440"/>
        </w:tabs>
        <w:ind w:left="720"/>
      </w:pPr>
      <w:rPr>
        <w:rFonts w:ascii="Times New Roman" w:hAnsi="Times New Roman" w:cs="Times New Roman"/>
        <w:b w:val="0"/>
        <w:i w:val="0"/>
        <w:caps w:val="0"/>
        <w:color w:val="auto"/>
        <w:sz w:val="22"/>
        <w:u w:val="none"/>
      </w:rPr>
    </w:lvl>
    <w:lvl w:ilvl="4">
      <w:start w:val="1"/>
      <w:numFmt w:val="decimal"/>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suff w:val="nothing"/>
      <w:lvlText w:val=""/>
      <w:lvlJc w:val="left"/>
      <w:pPr>
        <w:tabs>
          <w:tab w:val="num" w:pos="720"/>
        </w:tabs>
      </w:pPr>
      <w:rPr>
        <w:rFonts w:ascii="Times New Roman" w:hAnsi="Times New Roman" w:cs="Times New Roman"/>
        <w:b w:val="0"/>
        <w:i w:val="0"/>
        <w:caps w:val="0"/>
        <w:color w:val="auto"/>
        <w:sz w:val="18"/>
        <w:u w:val="none"/>
      </w:rPr>
    </w:lvl>
    <w:lvl w:ilvl="8">
      <w:start w:val="1"/>
      <w:numFmt w:val="decimal"/>
      <w:lvlText w:val="(%9)"/>
      <w:lvlJc w:val="left"/>
      <w:pPr>
        <w:tabs>
          <w:tab w:val="num" w:pos="900"/>
        </w:tabs>
        <w:ind w:left="720" w:hanging="720"/>
      </w:pPr>
      <w:rPr>
        <w:rFonts w:ascii="Arial" w:eastAsia="Times New Roman" w:hAnsi="Arial" w:cs="Arial"/>
        <w:b w:val="0"/>
        <w:i w:val="0"/>
        <w:caps w:val="0"/>
        <w:color w:val="auto"/>
        <w:sz w:val="16"/>
        <w:szCs w:val="16"/>
        <w:u w:val="none"/>
      </w:rPr>
    </w:lvl>
  </w:abstractNum>
  <w:abstractNum w:abstractNumId="1" w15:restartNumberingAfterBreak="0">
    <w:nsid w:val="05067914"/>
    <w:multiLevelType w:val="hybridMultilevel"/>
    <w:tmpl w:val="87764B36"/>
    <w:lvl w:ilvl="0" w:tplc="E16C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E5863"/>
    <w:multiLevelType w:val="hybridMultilevel"/>
    <w:tmpl w:val="11B0CD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BE5D24"/>
    <w:multiLevelType w:val="hybridMultilevel"/>
    <w:tmpl w:val="7E7E1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2B3237"/>
    <w:multiLevelType w:val="multilevel"/>
    <w:tmpl w:val="E2B49FE0"/>
    <w:name w:val="zzmpSecurity||Security|2|3|0|0|0|41||0|0|33||0|0|35||0|0|34||1|0|32||1|0|32||1|0|32||0|0|32||1|0|34||"/>
    <w:lvl w:ilvl="0">
      <w:start w:val="1"/>
      <w:numFmt w:val="none"/>
      <w:lvlRestart w:val="0"/>
      <w:pStyle w:val="SecurityL1"/>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1">
      <w:start w:val="1"/>
      <w:numFmt w:val="none"/>
      <w:lvlRestart w:val="0"/>
      <w:pStyle w:val="SecurityL2"/>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2">
      <w:start w:val="1"/>
      <w:numFmt w:val="none"/>
      <w:lvlRestart w:val="0"/>
      <w:pStyle w:val="SecurityL3"/>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3">
      <w:start w:val="1"/>
      <w:numFmt w:val="none"/>
      <w:lvlRestart w:val="0"/>
      <w:pStyle w:val="SecurityL4"/>
      <w:suff w:val="nothing"/>
      <w:lvlText w:val=""/>
      <w:lvlJc w:val="left"/>
      <w:pPr>
        <w:tabs>
          <w:tab w:val="num" w:pos="1440"/>
        </w:tabs>
        <w:ind w:left="720" w:firstLine="0"/>
      </w:pPr>
      <w:rPr>
        <w:rFonts w:ascii="Times New Roman" w:hAnsi="Times New Roman" w:cs="Times New Roman"/>
        <w:b w:val="0"/>
        <w:i w:val="0"/>
        <w:caps w:val="0"/>
        <w:color w:val="auto"/>
        <w:sz w:val="22"/>
        <w:u w:val="none"/>
      </w:rPr>
    </w:lvl>
    <w:lvl w:ilvl="4">
      <w:start w:val="1"/>
      <w:numFmt w:val="decimal"/>
      <w:pStyle w:val="SecurityL5"/>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pStyle w:val="SecurityL6"/>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pStyle w:val="SecurityL7"/>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pStyle w:val="SecurityL8"/>
      <w:suff w:val="nothing"/>
      <w:lvlText w:val=""/>
      <w:lvlJc w:val="left"/>
      <w:pPr>
        <w:tabs>
          <w:tab w:val="num" w:pos="720"/>
        </w:tabs>
        <w:ind w:left="0" w:firstLine="0"/>
      </w:pPr>
      <w:rPr>
        <w:rFonts w:ascii="Times New Roman" w:hAnsi="Times New Roman" w:cs="Times New Roman"/>
        <w:b w:val="0"/>
        <w:i w:val="0"/>
        <w:caps w:val="0"/>
        <w:color w:val="auto"/>
        <w:sz w:val="18"/>
        <w:u w:val="none"/>
      </w:rPr>
    </w:lvl>
    <w:lvl w:ilvl="8">
      <w:start w:val="1"/>
      <w:numFmt w:val="decimal"/>
      <w:pStyle w:val="SecurityL9"/>
      <w:lvlText w:val="(%9)"/>
      <w:lvlJc w:val="left"/>
      <w:pPr>
        <w:tabs>
          <w:tab w:val="num" w:pos="720"/>
        </w:tabs>
        <w:ind w:left="720" w:hanging="720"/>
      </w:pPr>
      <w:rPr>
        <w:rFonts w:ascii="Times New Roman" w:hAnsi="Times New Roman" w:cs="Times New Roman"/>
        <w:b w:val="0"/>
        <w:i/>
        <w:caps w:val="0"/>
        <w:color w:val="auto"/>
        <w:sz w:val="18"/>
        <w:u w:val="none"/>
      </w:rPr>
    </w:lvl>
  </w:abstractNum>
  <w:abstractNum w:abstractNumId="5" w15:restartNumberingAfterBreak="0">
    <w:nsid w:val="12B556C4"/>
    <w:multiLevelType w:val="hybridMultilevel"/>
    <w:tmpl w:val="B09863D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6" w15:restartNumberingAfterBreak="0">
    <w:nsid w:val="14577A96"/>
    <w:multiLevelType w:val="hybridMultilevel"/>
    <w:tmpl w:val="8D3A53C0"/>
    <w:lvl w:ilvl="0" w:tplc="10090001">
      <w:start w:val="1"/>
      <w:numFmt w:val="bullet"/>
      <w:lvlText w:val=""/>
      <w:lvlJc w:val="left"/>
      <w:pPr>
        <w:ind w:left="720" w:hanging="360"/>
      </w:pPr>
      <w:rPr>
        <w:rFonts w:ascii="Symbol" w:hAnsi="Symbol" w:hint="default"/>
      </w:rPr>
    </w:lvl>
    <w:lvl w:ilvl="1" w:tplc="5F8258F0">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A46E63"/>
    <w:multiLevelType w:val="hybridMultilevel"/>
    <w:tmpl w:val="10BA31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B902948"/>
    <w:multiLevelType w:val="hybridMultilevel"/>
    <w:tmpl w:val="CD7C8C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D617EC"/>
    <w:multiLevelType w:val="hybridMultilevel"/>
    <w:tmpl w:val="EC2E311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4B04C5"/>
    <w:multiLevelType w:val="hybridMultilevel"/>
    <w:tmpl w:val="4D7CFA60"/>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E10E4"/>
    <w:multiLevelType w:val="hybridMultilevel"/>
    <w:tmpl w:val="680288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0980EAD"/>
    <w:multiLevelType w:val="hybridMultilevel"/>
    <w:tmpl w:val="84C04322"/>
    <w:lvl w:ilvl="0" w:tplc="5F8258F0">
      <w:numFmt w:val="bullet"/>
      <w:lvlText w:val="-"/>
      <w:lvlJc w:val="left"/>
      <w:pPr>
        <w:ind w:left="1004" w:hanging="360"/>
      </w:pPr>
      <w:rPr>
        <w:rFonts w:ascii="Arial" w:eastAsia="Times New Roman" w:hAnsi="Arial" w:cs="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23510409"/>
    <w:multiLevelType w:val="hybridMultilevel"/>
    <w:tmpl w:val="0BD099FA"/>
    <w:lvl w:ilvl="0" w:tplc="10090005">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4" w15:restartNumberingAfterBreak="0">
    <w:nsid w:val="3DD71138"/>
    <w:multiLevelType w:val="hybridMultilevel"/>
    <w:tmpl w:val="7EF2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77F0F"/>
    <w:multiLevelType w:val="hybridMultilevel"/>
    <w:tmpl w:val="8F368B92"/>
    <w:lvl w:ilvl="0" w:tplc="10090003">
      <w:start w:val="1"/>
      <w:numFmt w:val="bullet"/>
      <w:lvlText w:val="o"/>
      <w:lvlJc w:val="left"/>
      <w:pPr>
        <w:ind w:left="1004" w:hanging="360"/>
      </w:pPr>
      <w:rPr>
        <w:rFonts w:ascii="Courier New" w:hAnsi="Courier New" w:cs="Courier New"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43060989"/>
    <w:multiLevelType w:val="hybridMultilevel"/>
    <w:tmpl w:val="E890588E"/>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45CF493B"/>
    <w:multiLevelType w:val="hybridMultilevel"/>
    <w:tmpl w:val="4E3CE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A0421F"/>
    <w:multiLevelType w:val="hybridMultilevel"/>
    <w:tmpl w:val="B7F49D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A27161"/>
    <w:multiLevelType w:val="hybridMultilevel"/>
    <w:tmpl w:val="CFF8D5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5A0A38"/>
    <w:multiLevelType w:val="hybridMultilevel"/>
    <w:tmpl w:val="4D7CFA60"/>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FC6DD3"/>
    <w:multiLevelType w:val="hybridMultilevel"/>
    <w:tmpl w:val="F4E0B88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624EAB"/>
    <w:multiLevelType w:val="hybridMultilevel"/>
    <w:tmpl w:val="545A7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AD6472"/>
    <w:multiLevelType w:val="hybridMultilevel"/>
    <w:tmpl w:val="4FC6D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7C6162F"/>
    <w:multiLevelType w:val="hybridMultilevel"/>
    <w:tmpl w:val="4D7CFA60"/>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9E7C79"/>
    <w:multiLevelType w:val="hybridMultilevel"/>
    <w:tmpl w:val="257A3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81771C"/>
    <w:multiLevelType w:val="hybridMultilevel"/>
    <w:tmpl w:val="5F443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2D5D06"/>
    <w:multiLevelType w:val="hybridMultilevel"/>
    <w:tmpl w:val="E99245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A87E83"/>
    <w:multiLevelType w:val="hybridMultilevel"/>
    <w:tmpl w:val="70EA4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EA5528"/>
    <w:multiLevelType w:val="hybridMultilevel"/>
    <w:tmpl w:val="D5E2E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B9618F"/>
    <w:multiLevelType w:val="hybridMultilevel"/>
    <w:tmpl w:val="00528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C4733F0"/>
    <w:multiLevelType w:val="hybridMultilevel"/>
    <w:tmpl w:val="9C722D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AB15B3"/>
    <w:multiLevelType w:val="multilevel"/>
    <w:tmpl w:val="8D80E1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EAD222E"/>
    <w:multiLevelType w:val="hybridMultilevel"/>
    <w:tmpl w:val="148CA5C0"/>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39E44B9"/>
    <w:multiLevelType w:val="hybridMultilevel"/>
    <w:tmpl w:val="3D4011C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B819FB"/>
    <w:multiLevelType w:val="hybridMultilevel"/>
    <w:tmpl w:val="BB3A1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5025C1"/>
    <w:multiLevelType w:val="hybridMultilevel"/>
    <w:tmpl w:val="4F143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B4464E"/>
    <w:multiLevelType w:val="hybridMultilevel"/>
    <w:tmpl w:val="9EE2C10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F2D22EE"/>
    <w:multiLevelType w:val="hybridMultilevel"/>
    <w:tmpl w:val="8D80E1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63828805">
    <w:abstractNumId w:val="24"/>
  </w:num>
  <w:num w:numId="2" w16cid:durableId="552615176">
    <w:abstractNumId w:val="30"/>
  </w:num>
  <w:num w:numId="3" w16cid:durableId="798188484">
    <w:abstractNumId w:val="11"/>
  </w:num>
  <w:num w:numId="4" w16cid:durableId="931813009">
    <w:abstractNumId w:val="6"/>
  </w:num>
  <w:num w:numId="5" w16cid:durableId="325479280">
    <w:abstractNumId w:val="21"/>
  </w:num>
  <w:num w:numId="6" w16cid:durableId="2014844139">
    <w:abstractNumId w:val="36"/>
  </w:num>
  <w:num w:numId="7" w16cid:durableId="1685328114">
    <w:abstractNumId w:val="4"/>
  </w:num>
  <w:num w:numId="8" w16cid:durableId="641931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8274989">
    <w:abstractNumId w:val="16"/>
  </w:num>
  <w:num w:numId="10" w16cid:durableId="1919512565">
    <w:abstractNumId w:val="2"/>
  </w:num>
  <w:num w:numId="11" w16cid:durableId="1150511887">
    <w:abstractNumId w:val="31"/>
  </w:num>
  <w:num w:numId="12" w16cid:durableId="1477606084">
    <w:abstractNumId w:val="14"/>
  </w:num>
  <w:num w:numId="13" w16cid:durableId="6979144">
    <w:abstractNumId w:val="1"/>
  </w:num>
  <w:num w:numId="14" w16cid:durableId="419176018">
    <w:abstractNumId w:val="22"/>
  </w:num>
  <w:num w:numId="15" w16cid:durableId="526522414">
    <w:abstractNumId w:val="18"/>
  </w:num>
  <w:num w:numId="16" w16cid:durableId="148789328">
    <w:abstractNumId w:val="34"/>
  </w:num>
  <w:num w:numId="17" w16cid:durableId="1181165310">
    <w:abstractNumId w:val="3"/>
  </w:num>
  <w:num w:numId="18" w16cid:durableId="534543845">
    <w:abstractNumId w:val="25"/>
  </w:num>
  <w:num w:numId="19" w16cid:durableId="541400262">
    <w:abstractNumId w:val="7"/>
  </w:num>
  <w:num w:numId="20" w16cid:durableId="124734634">
    <w:abstractNumId w:val="28"/>
  </w:num>
  <w:num w:numId="21" w16cid:durableId="1080712031">
    <w:abstractNumId w:val="5"/>
  </w:num>
  <w:num w:numId="22" w16cid:durableId="592783238">
    <w:abstractNumId w:val="12"/>
  </w:num>
  <w:num w:numId="23" w16cid:durableId="1523739275">
    <w:abstractNumId w:val="13"/>
  </w:num>
  <w:num w:numId="24" w16cid:durableId="1758134977">
    <w:abstractNumId w:val="15"/>
  </w:num>
  <w:num w:numId="25" w16cid:durableId="134953435">
    <w:abstractNumId w:val="26"/>
  </w:num>
  <w:num w:numId="26" w16cid:durableId="357466016">
    <w:abstractNumId w:val="23"/>
  </w:num>
  <w:num w:numId="27" w16cid:durableId="868642183">
    <w:abstractNumId w:val="8"/>
  </w:num>
  <w:num w:numId="28" w16cid:durableId="310445875">
    <w:abstractNumId w:val="29"/>
  </w:num>
  <w:num w:numId="29" w16cid:durableId="828979487">
    <w:abstractNumId w:val="17"/>
  </w:num>
  <w:num w:numId="30" w16cid:durableId="545869730">
    <w:abstractNumId w:val="9"/>
  </w:num>
  <w:num w:numId="31" w16cid:durableId="1526753611">
    <w:abstractNumId w:val="37"/>
  </w:num>
  <w:num w:numId="32" w16cid:durableId="980616821">
    <w:abstractNumId w:val="33"/>
  </w:num>
  <w:num w:numId="33" w16cid:durableId="1190216219">
    <w:abstractNumId w:val="38"/>
  </w:num>
  <w:num w:numId="34" w16cid:durableId="1907062635">
    <w:abstractNumId w:val="35"/>
  </w:num>
  <w:num w:numId="35" w16cid:durableId="74786756">
    <w:abstractNumId w:val="20"/>
  </w:num>
  <w:num w:numId="36" w16cid:durableId="60642058">
    <w:abstractNumId w:val="10"/>
  </w:num>
  <w:num w:numId="37" w16cid:durableId="2123987045">
    <w:abstractNumId w:val="32"/>
  </w:num>
  <w:num w:numId="38" w16cid:durableId="1514416995">
    <w:abstractNumId w:val="27"/>
  </w:num>
  <w:num w:numId="39" w16cid:durableId="1910188169">
    <w:abstractNumId w:val="19"/>
  </w:num>
  <w:num w:numId="40" w16cid:durableId="1039938575">
    <w:abstractNumId w:val="0"/>
  </w:num>
  <w:num w:numId="41" w16cid:durableId="330446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s-AR"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es-AR" w:vendorID="64" w:dllVersion="0" w:nlCheck="1" w:checkStyle="0"/>
  <w:activeWritingStyle w:appName="MSWord" w:lang="en-US" w:vendorID="64" w:dllVersion="0" w:nlCheck="1" w:checkStyle="0"/>
  <w:activeWritingStyle w:appName="MSWord" w:lang="fr-CA" w:vendorID="64" w:dllVersion="0" w:nlCheck="1" w:checkStyle="0"/>
  <w:activeWritingStyle w:appName="MSWord" w:lang="es-MX" w:vendorID="64" w:dllVersion="4096" w:nlCheck="1" w:checkStyle="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Óa"/>
    <w:docVar w:name="85TrailerDateField" w:val="~}œÓh"/>
    <w:docVar w:name="85TrailerDraft" w:val="~}˜Ól"/>
    <w:docVar w:name="85TrailerTime" w:val="~}˜Ól"/>
    <w:docVar w:name="DMS_Work10" w:val="0~ACTIVE||1~15135786||2~2||3~CPE YE 2025 Reserves News Release v6 - BDP Comments||5~JTO||6~JTO||8~DOCUMENTS||10~3/6/2026 9:18:24 PM||11~3/6/2026 9:18:24 PM||13~794125||14~False||17~public||18~JTO||19~JTO||21~True||22~True||25~069295||26~00001||27~317||28~SEC||29~GS||30~ACTIV||60~Crown Point Energy Inc.||61~General Corporate and Securities Matters||62~Oke, Jeffrey T.||63~Securities||64~General Securities||65~Active matter||74~Jeff Oke||75~Jeff Oke||76~WORD 2007||77~Documents||79~Jeff Oke||80~Jeff Oke||82~docx||85~3/6/2026 9:18:23 PM||99~1/1/0001 7:00:00 AM||102~False||106~C:\Users\jto\AppData\Roaming\iManage\Work\Recent\069295-00001-Crown Point Energy Inc.-General Corporate and Securities Matters\CPE YE 2025 Reserves News Release v6 - BDP Comments(15135786.2).docx||107~1/1/0001 7:00:00 AM||109~3/6/2026 9:18:37 PM||112~1/1/0001 12:00:00 AM||113~3/6/2026 9:18:23 PM||114~3/6/2026 9:18:23 PM||117~True||118~False||124~False||"/>
    <w:docVar w:name="DocStamp_1_OptionalControlValues" w:val="~}•Ó"/>
    <w:docVar w:name="MPDocID" w:val="~}—Ónosqumsqnn"/>
    <w:docVar w:name="MPDocIDTemplate" w:val="~}•Ó"/>
    <w:docVar w:name="MPDocIDTemplateDefault" w:val="~}‘Óh²sk¸"/>
    <w:docVar w:name="NewDocStampType" w:val="~}žÓm"/>
    <w:docVar w:name="zzmp10NoTrailerPromptID" w:val="ACTIVE.13745135.6"/>
  </w:docVars>
  <w:rsids>
    <w:rsidRoot w:val="00451CF4"/>
    <w:rsid w:val="00002052"/>
    <w:rsid w:val="000025E2"/>
    <w:rsid w:val="00003873"/>
    <w:rsid w:val="00004044"/>
    <w:rsid w:val="00010F36"/>
    <w:rsid w:val="00013941"/>
    <w:rsid w:val="00016F54"/>
    <w:rsid w:val="00017090"/>
    <w:rsid w:val="00017ACE"/>
    <w:rsid w:val="0002124D"/>
    <w:rsid w:val="00021BB6"/>
    <w:rsid w:val="00021EBB"/>
    <w:rsid w:val="00023706"/>
    <w:rsid w:val="00023BC5"/>
    <w:rsid w:val="00024990"/>
    <w:rsid w:val="00025614"/>
    <w:rsid w:val="00025949"/>
    <w:rsid w:val="0002742B"/>
    <w:rsid w:val="000302AA"/>
    <w:rsid w:val="000328AA"/>
    <w:rsid w:val="00033EA2"/>
    <w:rsid w:val="00034F7D"/>
    <w:rsid w:val="000359CC"/>
    <w:rsid w:val="00036D51"/>
    <w:rsid w:val="00041033"/>
    <w:rsid w:val="0004206D"/>
    <w:rsid w:val="00042280"/>
    <w:rsid w:val="00042B65"/>
    <w:rsid w:val="00043586"/>
    <w:rsid w:val="00043C17"/>
    <w:rsid w:val="0004484E"/>
    <w:rsid w:val="0004588D"/>
    <w:rsid w:val="00050A9F"/>
    <w:rsid w:val="00050DBD"/>
    <w:rsid w:val="0005109A"/>
    <w:rsid w:val="000535A7"/>
    <w:rsid w:val="00057387"/>
    <w:rsid w:val="000601E1"/>
    <w:rsid w:val="00061671"/>
    <w:rsid w:val="00061FDB"/>
    <w:rsid w:val="000627A5"/>
    <w:rsid w:val="00064773"/>
    <w:rsid w:val="00066301"/>
    <w:rsid w:val="000673AF"/>
    <w:rsid w:val="000706AD"/>
    <w:rsid w:val="000716D5"/>
    <w:rsid w:val="0007452A"/>
    <w:rsid w:val="00076237"/>
    <w:rsid w:val="00077A03"/>
    <w:rsid w:val="00080A8A"/>
    <w:rsid w:val="00087241"/>
    <w:rsid w:val="000927E7"/>
    <w:rsid w:val="000932B1"/>
    <w:rsid w:val="00093AB9"/>
    <w:rsid w:val="00097F5E"/>
    <w:rsid w:val="000A1C47"/>
    <w:rsid w:val="000A218D"/>
    <w:rsid w:val="000A677E"/>
    <w:rsid w:val="000A7CE8"/>
    <w:rsid w:val="000B18A4"/>
    <w:rsid w:val="000B2104"/>
    <w:rsid w:val="000B226F"/>
    <w:rsid w:val="000B260D"/>
    <w:rsid w:val="000B4702"/>
    <w:rsid w:val="000B492D"/>
    <w:rsid w:val="000B6726"/>
    <w:rsid w:val="000C124D"/>
    <w:rsid w:val="000C29F0"/>
    <w:rsid w:val="000C3157"/>
    <w:rsid w:val="000C5953"/>
    <w:rsid w:val="000C7807"/>
    <w:rsid w:val="000D0E50"/>
    <w:rsid w:val="000D3E93"/>
    <w:rsid w:val="000D45D4"/>
    <w:rsid w:val="000D4C62"/>
    <w:rsid w:val="000D4CF8"/>
    <w:rsid w:val="000D74F7"/>
    <w:rsid w:val="000D7DDC"/>
    <w:rsid w:val="000E1597"/>
    <w:rsid w:val="000E3366"/>
    <w:rsid w:val="000E565B"/>
    <w:rsid w:val="000F076D"/>
    <w:rsid w:val="000F2EBB"/>
    <w:rsid w:val="000F3D8F"/>
    <w:rsid w:val="000F4F65"/>
    <w:rsid w:val="000F5DC2"/>
    <w:rsid w:val="000F5ECD"/>
    <w:rsid w:val="00100490"/>
    <w:rsid w:val="0010536B"/>
    <w:rsid w:val="00105738"/>
    <w:rsid w:val="00105A4A"/>
    <w:rsid w:val="00106A1F"/>
    <w:rsid w:val="00111510"/>
    <w:rsid w:val="00111924"/>
    <w:rsid w:val="00111F93"/>
    <w:rsid w:val="001133C0"/>
    <w:rsid w:val="00120232"/>
    <w:rsid w:val="00120F9C"/>
    <w:rsid w:val="001221DA"/>
    <w:rsid w:val="00122D06"/>
    <w:rsid w:val="00124B40"/>
    <w:rsid w:val="001257B2"/>
    <w:rsid w:val="0012642E"/>
    <w:rsid w:val="0012698E"/>
    <w:rsid w:val="00130191"/>
    <w:rsid w:val="00130CE8"/>
    <w:rsid w:val="00133EFB"/>
    <w:rsid w:val="001340CF"/>
    <w:rsid w:val="001342B7"/>
    <w:rsid w:val="001350B6"/>
    <w:rsid w:val="001360F8"/>
    <w:rsid w:val="001448D4"/>
    <w:rsid w:val="00144A36"/>
    <w:rsid w:val="00147A88"/>
    <w:rsid w:val="00150D8D"/>
    <w:rsid w:val="001511F9"/>
    <w:rsid w:val="00151262"/>
    <w:rsid w:val="00151537"/>
    <w:rsid w:val="001519B3"/>
    <w:rsid w:val="001520EF"/>
    <w:rsid w:val="00152632"/>
    <w:rsid w:val="001548FF"/>
    <w:rsid w:val="00155A21"/>
    <w:rsid w:val="0015763C"/>
    <w:rsid w:val="0016148F"/>
    <w:rsid w:val="00162128"/>
    <w:rsid w:val="00163CC7"/>
    <w:rsid w:val="00163F57"/>
    <w:rsid w:val="00165DB6"/>
    <w:rsid w:val="00165FD0"/>
    <w:rsid w:val="0016764C"/>
    <w:rsid w:val="001720C2"/>
    <w:rsid w:val="00174365"/>
    <w:rsid w:val="001757BE"/>
    <w:rsid w:val="00177A20"/>
    <w:rsid w:val="00180591"/>
    <w:rsid w:val="0018209F"/>
    <w:rsid w:val="00183B25"/>
    <w:rsid w:val="0018437C"/>
    <w:rsid w:val="0019349D"/>
    <w:rsid w:val="00193809"/>
    <w:rsid w:val="0019396D"/>
    <w:rsid w:val="001959BF"/>
    <w:rsid w:val="001967AF"/>
    <w:rsid w:val="00196924"/>
    <w:rsid w:val="00196F60"/>
    <w:rsid w:val="00197745"/>
    <w:rsid w:val="001A0FBE"/>
    <w:rsid w:val="001A2143"/>
    <w:rsid w:val="001A4EF4"/>
    <w:rsid w:val="001A6102"/>
    <w:rsid w:val="001A750D"/>
    <w:rsid w:val="001B1E7F"/>
    <w:rsid w:val="001B1ED2"/>
    <w:rsid w:val="001B3527"/>
    <w:rsid w:val="001B3DD2"/>
    <w:rsid w:val="001B5749"/>
    <w:rsid w:val="001B7E74"/>
    <w:rsid w:val="001C3302"/>
    <w:rsid w:val="001C5423"/>
    <w:rsid w:val="001C57CC"/>
    <w:rsid w:val="001D2046"/>
    <w:rsid w:val="001D2E9E"/>
    <w:rsid w:val="001D3C6E"/>
    <w:rsid w:val="001D4E4B"/>
    <w:rsid w:val="001D500F"/>
    <w:rsid w:val="001D50E7"/>
    <w:rsid w:val="001D60AF"/>
    <w:rsid w:val="001E04EC"/>
    <w:rsid w:val="001E1829"/>
    <w:rsid w:val="001E2298"/>
    <w:rsid w:val="001E33A6"/>
    <w:rsid w:val="001E4463"/>
    <w:rsid w:val="001E52F0"/>
    <w:rsid w:val="001E7429"/>
    <w:rsid w:val="001F53BB"/>
    <w:rsid w:val="001F70CE"/>
    <w:rsid w:val="001F719A"/>
    <w:rsid w:val="00201A1C"/>
    <w:rsid w:val="0020498C"/>
    <w:rsid w:val="00205E97"/>
    <w:rsid w:val="0021022C"/>
    <w:rsid w:val="0021127D"/>
    <w:rsid w:val="00214319"/>
    <w:rsid w:val="00214E4D"/>
    <w:rsid w:val="002155C3"/>
    <w:rsid w:val="002165B7"/>
    <w:rsid w:val="00216E19"/>
    <w:rsid w:val="00220365"/>
    <w:rsid w:val="00220A43"/>
    <w:rsid w:val="00221084"/>
    <w:rsid w:val="002215DE"/>
    <w:rsid w:val="00221DD0"/>
    <w:rsid w:val="00224562"/>
    <w:rsid w:val="00224989"/>
    <w:rsid w:val="00226AF8"/>
    <w:rsid w:val="00227D59"/>
    <w:rsid w:val="002300CD"/>
    <w:rsid w:val="002335EE"/>
    <w:rsid w:val="00237BD0"/>
    <w:rsid w:val="00237D36"/>
    <w:rsid w:val="0024282E"/>
    <w:rsid w:val="00242953"/>
    <w:rsid w:val="00243DE1"/>
    <w:rsid w:val="00244EDD"/>
    <w:rsid w:val="00245E11"/>
    <w:rsid w:val="00246E99"/>
    <w:rsid w:val="00250B90"/>
    <w:rsid w:val="00251D5C"/>
    <w:rsid w:val="0025538B"/>
    <w:rsid w:val="00255FB2"/>
    <w:rsid w:val="00256865"/>
    <w:rsid w:val="00257531"/>
    <w:rsid w:val="00257631"/>
    <w:rsid w:val="00260D80"/>
    <w:rsid w:val="00261E3B"/>
    <w:rsid w:val="0026227D"/>
    <w:rsid w:val="002646A4"/>
    <w:rsid w:val="002649E7"/>
    <w:rsid w:val="00265833"/>
    <w:rsid w:val="00270D0E"/>
    <w:rsid w:val="00270E00"/>
    <w:rsid w:val="0027130B"/>
    <w:rsid w:val="00271987"/>
    <w:rsid w:val="00271DD1"/>
    <w:rsid w:val="002729B8"/>
    <w:rsid w:val="002755B9"/>
    <w:rsid w:val="002763BB"/>
    <w:rsid w:val="00276834"/>
    <w:rsid w:val="00276D5A"/>
    <w:rsid w:val="00282271"/>
    <w:rsid w:val="00282EE9"/>
    <w:rsid w:val="00286D4C"/>
    <w:rsid w:val="00290BF2"/>
    <w:rsid w:val="00291F01"/>
    <w:rsid w:val="002926E3"/>
    <w:rsid w:val="00292BEA"/>
    <w:rsid w:val="002939E6"/>
    <w:rsid w:val="00294A5A"/>
    <w:rsid w:val="002955AA"/>
    <w:rsid w:val="002A1C6F"/>
    <w:rsid w:val="002A1F7D"/>
    <w:rsid w:val="002A2079"/>
    <w:rsid w:val="002A49FB"/>
    <w:rsid w:val="002A5742"/>
    <w:rsid w:val="002A65CC"/>
    <w:rsid w:val="002A6EF0"/>
    <w:rsid w:val="002A7212"/>
    <w:rsid w:val="002A7277"/>
    <w:rsid w:val="002B0AA5"/>
    <w:rsid w:val="002B3F93"/>
    <w:rsid w:val="002B4E83"/>
    <w:rsid w:val="002C05CC"/>
    <w:rsid w:val="002C35DF"/>
    <w:rsid w:val="002C476A"/>
    <w:rsid w:val="002C5375"/>
    <w:rsid w:val="002D00A1"/>
    <w:rsid w:val="002D12FD"/>
    <w:rsid w:val="002D2464"/>
    <w:rsid w:val="002D2B1A"/>
    <w:rsid w:val="002D2CA8"/>
    <w:rsid w:val="002D437E"/>
    <w:rsid w:val="002D4B6B"/>
    <w:rsid w:val="002D7827"/>
    <w:rsid w:val="002D7E84"/>
    <w:rsid w:val="002E0780"/>
    <w:rsid w:val="002E10DF"/>
    <w:rsid w:val="002E1BE1"/>
    <w:rsid w:val="002E28A9"/>
    <w:rsid w:val="002E3BD6"/>
    <w:rsid w:val="002E696C"/>
    <w:rsid w:val="002F1211"/>
    <w:rsid w:val="002F1371"/>
    <w:rsid w:val="002F1F48"/>
    <w:rsid w:val="002F3F82"/>
    <w:rsid w:val="002F58C1"/>
    <w:rsid w:val="00300A6A"/>
    <w:rsid w:val="00302DB2"/>
    <w:rsid w:val="003064A3"/>
    <w:rsid w:val="00306C05"/>
    <w:rsid w:val="00311088"/>
    <w:rsid w:val="003111C0"/>
    <w:rsid w:val="0031193A"/>
    <w:rsid w:val="0031322E"/>
    <w:rsid w:val="0031396D"/>
    <w:rsid w:val="00314734"/>
    <w:rsid w:val="00315C11"/>
    <w:rsid w:val="00317357"/>
    <w:rsid w:val="003223CF"/>
    <w:rsid w:val="00322D06"/>
    <w:rsid w:val="003300CB"/>
    <w:rsid w:val="00330EAF"/>
    <w:rsid w:val="00331A4F"/>
    <w:rsid w:val="00331B5F"/>
    <w:rsid w:val="00331FEE"/>
    <w:rsid w:val="00331FFF"/>
    <w:rsid w:val="003349FE"/>
    <w:rsid w:val="00335EAB"/>
    <w:rsid w:val="0033680E"/>
    <w:rsid w:val="003409BA"/>
    <w:rsid w:val="0034165A"/>
    <w:rsid w:val="0034194B"/>
    <w:rsid w:val="00344314"/>
    <w:rsid w:val="00347778"/>
    <w:rsid w:val="00347D43"/>
    <w:rsid w:val="00352472"/>
    <w:rsid w:val="003535B4"/>
    <w:rsid w:val="00355AA9"/>
    <w:rsid w:val="00356261"/>
    <w:rsid w:val="00360903"/>
    <w:rsid w:val="00360B79"/>
    <w:rsid w:val="00361D69"/>
    <w:rsid w:val="00362B55"/>
    <w:rsid w:val="003633C5"/>
    <w:rsid w:val="00363E05"/>
    <w:rsid w:val="0036598D"/>
    <w:rsid w:val="00366D65"/>
    <w:rsid w:val="00366F03"/>
    <w:rsid w:val="003713CB"/>
    <w:rsid w:val="0037205E"/>
    <w:rsid w:val="00373612"/>
    <w:rsid w:val="00373A5A"/>
    <w:rsid w:val="00375815"/>
    <w:rsid w:val="00376229"/>
    <w:rsid w:val="0038118E"/>
    <w:rsid w:val="00381F14"/>
    <w:rsid w:val="00381F7A"/>
    <w:rsid w:val="00382199"/>
    <w:rsid w:val="003828A1"/>
    <w:rsid w:val="00382FD1"/>
    <w:rsid w:val="003871F4"/>
    <w:rsid w:val="00387333"/>
    <w:rsid w:val="0039117D"/>
    <w:rsid w:val="003911F5"/>
    <w:rsid w:val="0039484A"/>
    <w:rsid w:val="00394A3E"/>
    <w:rsid w:val="00395319"/>
    <w:rsid w:val="00396201"/>
    <w:rsid w:val="003A153C"/>
    <w:rsid w:val="003A2584"/>
    <w:rsid w:val="003A2F45"/>
    <w:rsid w:val="003A3F09"/>
    <w:rsid w:val="003A53F2"/>
    <w:rsid w:val="003A6999"/>
    <w:rsid w:val="003A6B2A"/>
    <w:rsid w:val="003A7F98"/>
    <w:rsid w:val="003B10AC"/>
    <w:rsid w:val="003B12BC"/>
    <w:rsid w:val="003B161A"/>
    <w:rsid w:val="003B3C41"/>
    <w:rsid w:val="003B3C88"/>
    <w:rsid w:val="003B51FA"/>
    <w:rsid w:val="003B6B71"/>
    <w:rsid w:val="003C03F5"/>
    <w:rsid w:val="003D0414"/>
    <w:rsid w:val="003D3CB8"/>
    <w:rsid w:val="003D46D7"/>
    <w:rsid w:val="003D6FD4"/>
    <w:rsid w:val="003D7C47"/>
    <w:rsid w:val="003E1653"/>
    <w:rsid w:val="003E2504"/>
    <w:rsid w:val="003E749F"/>
    <w:rsid w:val="003E7896"/>
    <w:rsid w:val="003E78A4"/>
    <w:rsid w:val="003E7BB8"/>
    <w:rsid w:val="003F0780"/>
    <w:rsid w:val="003F11B9"/>
    <w:rsid w:val="003F2629"/>
    <w:rsid w:val="003F390F"/>
    <w:rsid w:val="003F6225"/>
    <w:rsid w:val="003F6502"/>
    <w:rsid w:val="003F6698"/>
    <w:rsid w:val="0040122E"/>
    <w:rsid w:val="00401A13"/>
    <w:rsid w:val="00407E0D"/>
    <w:rsid w:val="00410349"/>
    <w:rsid w:val="00411ECA"/>
    <w:rsid w:val="004162E7"/>
    <w:rsid w:val="0042016C"/>
    <w:rsid w:val="0042130F"/>
    <w:rsid w:val="0042133D"/>
    <w:rsid w:val="00421439"/>
    <w:rsid w:val="004226A6"/>
    <w:rsid w:val="00424546"/>
    <w:rsid w:val="00424A22"/>
    <w:rsid w:val="00424A32"/>
    <w:rsid w:val="004251A2"/>
    <w:rsid w:val="004256F9"/>
    <w:rsid w:val="00425CF4"/>
    <w:rsid w:val="00427A41"/>
    <w:rsid w:val="00431AE5"/>
    <w:rsid w:val="0043296F"/>
    <w:rsid w:val="00433136"/>
    <w:rsid w:val="00433408"/>
    <w:rsid w:val="004365FF"/>
    <w:rsid w:val="00440BB5"/>
    <w:rsid w:val="00442A8E"/>
    <w:rsid w:val="0044467D"/>
    <w:rsid w:val="00444BB3"/>
    <w:rsid w:val="00451504"/>
    <w:rsid w:val="00451CF4"/>
    <w:rsid w:val="004524AF"/>
    <w:rsid w:val="00454EB4"/>
    <w:rsid w:val="00455EDA"/>
    <w:rsid w:val="004561FE"/>
    <w:rsid w:val="00456BA5"/>
    <w:rsid w:val="00457AD3"/>
    <w:rsid w:val="004601F2"/>
    <w:rsid w:val="004607BF"/>
    <w:rsid w:val="0046307D"/>
    <w:rsid w:val="004634A6"/>
    <w:rsid w:val="00463BEA"/>
    <w:rsid w:val="004660B5"/>
    <w:rsid w:val="00467343"/>
    <w:rsid w:val="00470729"/>
    <w:rsid w:val="00472F63"/>
    <w:rsid w:val="00473983"/>
    <w:rsid w:val="004765E0"/>
    <w:rsid w:val="0048008B"/>
    <w:rsid w:val="00481185"/>
    <w:rsid w:val="0048294A"/>
    <w:rsid w:val="004835F9"/>
    <w:rsid w:val="004837E0"/>
    <w:rsid w:val="00490DA2"/>
    <w:rsid w:val="00491207"/>
    <w:rsid w:val="004915EA"/>
    <w:rsid w:val="0049181C"/>
    <w:rsid w:val="004940F9"/>
    <w:rsid w:val="004946E4"/>
    <w:rsid w:val="004951CB"/>
    <w:rsid w:val="004A125B"/>
    <w:rsid w:val="004A2E5D"/>
    <w:rsid w:val="004A2E8E"/>
    <w:rsid w:val="004A4911"/>
    <w:rsid w:val="004A56D3"/>
    <w:rsid w:val="004A5E44"/>
    <w:rsid w:val="004A72E9"/>
    <w:rsid w:val="004A74D4"/>
    <w:rsid w:val="004B1C8B"/>
    <w:rsid w:val="004B227C"/>
    <w:rsid w:val="004B2F96"/>
    <w:rsid w:val="004B3239"/>
    <w:rsid w:val="004B3350"/>
    <w:rsid w:val="004C1BB0"/>
    <w:rsid w:val="004C41BA"/>
    <w:rsid w:val="004C4CB0"/>
    <w:rsid w:val="004C6404"/>
    <w:rsid w:val="004C7547"/>
    <w:rsid w:val="004D007F"/>
    <w:rsid w:val="004D0F9D"/>
    <w:rsid w:val="004D1773"/>
    <w:rsid w:val="004D53DC"/>
    <w:rsid w:val="004D5DBD"/>
    <w:rsid w:val="004D6238"/>
    <w:rsid w:val="004E275F"/>
    <w:rsid w:val="004E3226"/>
    <w:rsid w:val="004E7D42"/>
    <w:rsid w:val="004F14A0"/>
    <w:rsid w:val="004F3AF4"/>
    <w:rsid w:val="004F3C63"/>
    <w:rsid w:val="004F5C6B"/>
    <w:rsid w:val="004F5DE7"/>
    <w:rsid w:val="005019C8"/>
    <w:rsid w:val="005020B1"/>
    <w:rsid w:val="00502794"/>
    <w:rsid w:val="005031C4"/>
    <w:rsid w:val="00503790"/>
    <w:rsid w:val="00505026"/>
    <w:rsid w:val="00505674"/>
    <w:rsid w:val="00510753"/>
    <w:rsid w:val="00511BFC"/>
    <w:rsid w:val="005125B4"/>
    <w:rsid w:val="00512967"/>
    <w:rsid w:val="005148FD"/>
    <w:rsid w:val="00521406"/>
    <w:rsid w:val="00525A77"/>
    <w:rsid w:val="00526C37"/>
    <w:rsid w:val="00526DF2"/>
    <w:rsid w:val="00527081"/>
    <w:rsid w:val="00527E54"/>
    <w:rsid w:val="00534994"/>
    <w:rsid w:val="005439AF"/>
    <w:rsid w:val="005439D0"/>
    <w:rsid w:val="00550A1A"/>
    <w:rsid w:val="00554BA3"/>
    <w:rsid w:val="00555BC4"/>
    <w:rsid w:val="00557B5A"/>
    <w:rsid w:val="00557EF1"/>
    <w:rsid w:val="00560BF7"/>
    <w:rsid w:val="0056212D"/>
    <w:rsid w:val="005635F2"/>
    <w:rsid w:val="00564F26"/>
    <w:rsid w:val="00565066"/>
    <w:rsid w:val="005650E6"/>
    <w:rsid w:val="005677EF"/>
    <w:rsid w:val="005702A7"/>
    <w:rsid w:val="00575A34"/>
    <w:rsid w:val="00575CCA"/>
    <w:rsid w:val="00575D1E"/>
    <w:rsid w:val="00576FAF"/>
    <w:rsid w:val="00580163"/>
    <w:rsid w:val="005808F2"/>
    <w:rsid w:val="0058270B"/>
    <w:rsid w:val="00585291"/>
    <w:rsid w:val="00585434"/>
    <w:rsid w:val="00585A15"/>
    <w:rsid w:val="00586159"/>
    <w:rsid w:val="005902F6"/>
    <w:rsid w:val="00590381"/>
    <w:rsid w:val="00592C42"/>
    <w:rsid w:val="0059524E"/>
    <w:rsid w:val="00595CFF"/>
    <w:rsid w:val="00597757"/>
    <w:rsid w:val="005A1B50"/>
    <w:rsid w:val="005A3BED"/>
    <w:rsid w:val="005A60CE"/>
    <w:rsid w:val="005A6A62"/>
    <w:rsid w:val="005B0CA0"/>
    <w:rsid w:val="005B0EFE"/>
    <w:rsid w:val="005B1D42"/>
    <w:rsid w:val="005B3A0F"/>
    <w:rsid w:val="005B3B95"/>
    <w:rsid w:val="005B3FE8"/>
    <w:rsid w:val="005B5DEC"/>
    <w:rsid w:val="005B66FF"/>
    <w:rsid w:val="005B6E81"/>
    <w:rsid w:val="005B6F64"/>
    <w:rsid w:val="005C2CAA"/>
    <w:rsid w:val="005C51FA"/>
    <w:rsid w:val="005C5F09"/>
    <w:rsid w:val="005D0998"/>
    <w:rsid w:val="005D4AE2"/>
    <w:rsid w:val="005D4DC4"/>
    <w:rsid w:val="005D577A"/>
    <w:rsid w:val="005D661B"/>
    <w:rsid w:val="005D6CDC"/>
    <w:rsid w:val="005D7A7F"/>
    <w:rsid w:val="005E0601"/>
    <w:rsid w:val="005E10D3"/>
    <w:rsid w:val="005E150A"/>
    <w:rsid w:val="005E47B1"/>
    <w:rsid w:val="005E5C39"/>
    <w:rsid w:val="005E6FD2"/>
    <w:rsid w:val="005E7AAE"/>
    <w:rsid w:val="005F2B3F"/>
    <w:rsid w:val="005F3BD4"/>
    <w:rsid w:val="005F75A7"/>
    <w:rsid w:val="00600E2C"/>
    <w:rsid w:val="00606739"/>
    <w:rsid w:val="006107E9"/>
    <w:rsid w:val="006142F6"/>
    <w:rsid w:val="00614D39"/>
    <w:rsid w:val="00615ABC"/>
    <w:rsid w:val="00615EEE"/>
    <w:rsid w:val="00620130"/>
    <w:rsid w:val="00620320"/>
    <w:rsid w:val="006205E9"/>
    <w:rsid w:val="00621433"/>
    <w:rsid w:val="00621BDE"/>
    <w:rsid w:val="00621C66"/>
    <w:rsid w:val="006229AC"/>
    <w:rsid w:val="00622E1F"/>
    <w:rsid w:val="0062427C"/>
    <w:rsid w:val="00627052"/>
    <w:rsid w:val="00631EE4"/>
    <w:rsid w:val="0063258B"/>
    <w:rsid w:val="00632BD2"/>
    <w:rsid w:val="00634146"/>
    <w:rsid w:val="00640983"/>
    <w:rsid w:val="00643A42"/>
    <w:rsid w:val="006440C6"/>
    <w:rsid w:val="00650B31"/>
    <w:rsid w:val="00651667"/>
    <w:rsid w:val="00651DB8"/>
    <w:rsid w:val="00652FDE"/>
    <w:rsid w:val="00657FED"/>
    <w:rsid w:val="00661CFF"/>
    <w:rsid w:val="00662E9C"/>
    <w:rsid w:val="00664558"/>
    <w:rsid w:val="00665CD8"/>
    <w:rsid w:val="00667169"/>
    <w:rsid w:val="006674CF"/>
    <w:rsid w:val="00673AE9"/>
    <w:rsid w:val="00674C25"/>
    <w:rsid w:val="006765D3"/>
    <w:rsid w:val="00680B0F"/>
    <w:rsid w:val="0068141D"/>
    <w:rsid w:val="0068268A"/>
    <w:rsid w:val="00687575"/>
    <w:rsid w:val="0069094C"/>
    <w:rsid w:val="00691764"/>
    <w:rsid w:val="00691ED6"/>
    <w:rsid w:val="006969D6"/>
    <w:rsid w:val="006A05AA"/>
    <w:rsid w:val="006A102A"/>
    <w:rsid w:val="006A4BAC"/>
    <w:rsid w:val="006B19DD"/>
    <w:rsid w:val="006B55F6"/>
    <w:rsid w:val="006B76F6"/>
    <w:rsid w:val="006C3195"/>
    <w:rsid w:val="006C31C2"/>
    <w:rsid w:val="006C5430"/>
    <w:rsid w:val="006C5BF7"/>
    <w:rsid w:val="006D2446"/>
    <w:rsid w:val="006D58DE"/>
    <w:rsid w:val="006D7462"/>
    <w:rsid w:val="006E01EA"/>
    <w:rsid w:val="006E2E70"/>
    <w:rsid w:val="006E3DAB"/>
    <w:rsid w:val="006E679E"/>
    <w:rsid w:val="006F02B2"/>
    <w:rsid w:val="006F2D38"/>
    <w:rsid w:val="006F436B"/>
    <w:rsid w:val="006F459E"/>
    <w:rsid w:val="006F49B6"/>
    <w:rsid w:val="006F574E"/>
    <w:rsid w:val="006F7E2B"/>
    <w:rsid w:val="00701018"/>
    <w:rsid w:val="007017C7"/>
    <w:rsid w:val="007035D8"/>
    <w:rsid w:val="00704C4B"/>
    <w:rsid w:val="00705876"/>
    <w:rsid w:val="007068A8"/>
    <w:rsid w:val="00710E87"/>
    <w:rsid w:val="00711BEA"/>
    <w:rsid w:val="00711DB1"/>
    <w:rsid w:val="007139C6"/>
    <w:rsid w:val="00713E06"/>
    <w:rsid w:val="00714855"/>
    <w:rsid w:val="00715152"/>
    <w:rsid w:val="00715B39"/>
    <w:rsid w:val="0071743C"/>
    <w:rsid w:val="007176BE"/>
    <w:rsid w:val="007207C4"/>
    <w:rsid w:val="00723A6C"/>
    <w:rsid w:val="00727F6C"/>
    <w:rsid w:val="00730692"/>
    <w:rsid w:val="00731862"/>
    <w:rsid w:val="0073215F"/>
    <w:rsid w:val="00732BC0"/>
    <w:rsid w:val="00732D37"/>
    <w:rsid w:val="00733B9A"/>
    <w:rsid w:val="007359BD"/>
    <w:rsid w:val="0073723B"/>
    <w:rsid w:val="00737588"/>
    <w:rsid w:val="00742571"/>
    <w:rsid w:val="007442F4"/>
    <w:rsid w:val="00745126"/>
    <w:rsid w:val="0074582F"/>
    <w:rsid w:val="00745E50"/>
    <w:rsid w:val="007476F4"/>
    <w:rsid w:val="00752C93"/>
    <w:rsid w:val="00760643"/>
    <w:rsid w:val="007623D2"/>
    <w:rsid w:val="00762A46"/>
    <w:rsid w:val="00764D43"/>
    <w:rsid w:val="00767618"/>
    <w:rsid w:val="007706BB"/>
    <w:rsid w:val="007718C9"/>
    <w:rsid w:val="00772EDD"/>
    <w:rsid w:val="00774F93"/>
    <w:rsid w:val="00776A3B"/>
    <w:rsid w:val="00780C91"/>
    <w:rsid w:val="00782B0E"/>
    <w:rsid w:val="00784275"/>
    <w:rsid w:val="00786A50"/>
    <w:rsid w:val="00786AD9"/>
    <w:rsid w:val="0079101C"/>
    <w:rsid w:val="00792DE7"/>
    <w:rsid w:val="007943B5"/>
    <w:rsid w:val="00794553"/>
    <w:rsid w:val="00794ABF"/>
    <w:rsid w:val="007959FA"/>
    <w:rsid w:val="007965EC"/>
    <w:rsid w:val="00796733"/>
    <w:rsid w:val="00796FBE"/>
    <w:rsid w:val="0079743B"/>
    <w:rsid w:val="007A0BC2"/>
    <w:rsid w:val="007A0D62"/>
    <w:rsid w:val="007A237B"/>
    <w:rsid w:val="007A2C0E"/>
    <w:rsid w:val="007A4E95"/>
    <w:rsid w:val="007B03B1"/>
    <w:rsid w:val="007B09A8"/>
    <w:rsid w:val="007B1463"/>
    <w:rsid w:val="007B278E"/>
    <w:rsid w:val="007B2A35"/>
    <w:rsid w:val="007B3434"/>
    <w:rsid w:val="007B3EA0"/>
    <w:rsid w:val="007B6295"/>
    <w:rsid w:val="007C0668"/>
    <w:rsid w:val="007C0984"/>
    <w:rsid w:val="007C2985"/>
    <w:rsid w:val="007C5641"/>
    <w:rsid w:val="007C65D3"/>
    <w:rsid w:val="007C77D3"/>
    <w:rsid w:val="007D1F78"/>
    <w:rsid w:val="007D2C63"/>
    <w:rsid w:val="007D3FA8"/>
    <w:rsid w:val="007D4AFB"/>
    <w:rsid w:val="007D4BB5"/>
    <w:rsid w:val="007D50C0"/>
    <w:rsid w:val="007D55DC"/>
    <w:rsid w:val="007D5944"/>
    <w:rsid w:val="007E0FF7"/>
    <w:rsid w:val="007E26A2"/>
    <w:rsid w:val="007E51B9"/>
    <w:rsid w:val="007E627B"/>
    <w:rsid w:val="007E74E0"/>
    <w:rsid w:val="007E75DC"/>
    <w:rsid w:val="007E7C6B"/>
    <w:rsid w:val="007F32C9"/>
    <w:rsid w:val="007F60DD"/>
    <w:rsid w:val="007F7102"/>
    <w:rsid w:val="007F7668"/>
    <w:rsid w:val="008021B5"/>
    <w:rsid w:val="00810613"/>
    <w:rsid w:val="00810B9B"/>
    <w:rsid w:val="00810E7B"/>
    <w:rsid w:val="008120DC"/>
    <w:rsid w:val="0081326E"/>
    <w:rsid w:val="00813ACB"/>
    <w:rsid w:val="008152FC"/>
    <w:rsid w:val="00815A2C"/>
    <w:rsid w:val="00816866"/>
    <w:rsid w:val="008202A6"/>
    <w:rsid w:val="00820C86"/>
    <w:rsid w:val="00821524"/>
    <w:rsid w:val="0082234E"/>
    <w:rsid w:val="00824B0A"/>
    <w:rsid w:val="00825BA2"/>
    <w:rsid w:val="00826004"/>
    <w:rsid w:val="008275CC"/>
    <w:rsid w:val="00833C86"/>
    <w:rsid w:val="00833F6C"/>
    <w:rsid w:val="00834882"/>
    <w:rsid w:val="0083503B"/>
    <w:rsid w:val="00835906"/>
    <w:rsid w:val="00835BF0"/>
    <w:rsid w:val="00836849"/>
    <w:rsid w:val="0083782D"/>
    <w:rsid w:val="008438D6"/>
    <w:rsid w:val="00843B59"/>
    <w:rsid w:val="00846F58"/>
    <w:rsid w:val="008509D7"/>
    <w:rsid w:val="008534A0"/>
    <w:rsid w:val="0085380D"/>
    <w:rsid w:val="008562E0"/>
    <w:rsid w:val="0085729C"/>
    <w:rsid w:val="008573AF"/>
    <w:rsid w:val="00857CD0"/>
    <w:rsid w:val="00860011"/>
    <w:rsid w:val="00860260"/>
    <w:rsid w:val="00861EBD"/>
    <w:rsid w:val="008624FE"/>
    <w:rsid w:val="00862703"/>
    <w:rsid w:val="00875D8F"/>
    <w:rsid w:val="00880816"/>
    <w:rsid w:val="008809C0"/>
    <w:rsid w:val="00880E48"/>
    <w:rsid w:val="00881F96"/>
    <w:rsid w:val="00882412"/>
    <w:rsid w:val="008867EC"/>
    <w:rsid w:val="008872D7"/>
    <w:rsid w:val="00887B03"/>
    <w:rsid w:val="00890D71"/>
    <w:rsid w:val="0089545E"/>
    <w:rsid w:val="00895F23"/>
    <w:rsid w:val="00897AE2"/>
    <w:rsid w:val="00897C4B"/>
    <w:rsid w:val="008A1CC1"/>
    <w:rsid w:val="008A2CA1"/>
    <w:rsid w:val="008A4513"/>
    <w:rsid w:val="008A49FA"/>
    <w:rsid w:val="008A56D8"/>
    <w:rsid w:val="008A624E"/>
    <w:rsid w:val="008A75ED"/>
    <w:rsid w:val="008B69C7"/>
    <w:rsid w:val="008C0F33"/>
    <w:rsid w:val="008C1295"/>
    <w:rsid w:val="008C20EC"/>
    <w:rsid w:val="008C20ED"/>
    <w:rsid w:val="008C25F7"/>
    <w:rsid w:val="008C2B4E"/>
    <w:rsid w:val="008C4159"/>
    <w:rsid w:val="008D0344"/>
    <w:rsid w:val="008D091D"/>
    <w:rsid w:val="008D1042"/>
    <w:rsid w:val="008D2C84"/>
    <w:rsid w:val="008D350A"/>
    <w:rsid w:val="008D4FF8"/>
    <w:rsid w:val="008D78E5"/>
    <w:rsid w:val="008E0951"/>
    <w:rsid w:val="008E16E3"/>
    <w:rsid w:val="008E35B6"/>
    <w:rsid w:val="008E49CD"/>
    <w:rsid w:val="008E5C92"/>
    <w:rsid w:val="008E764C"/>
    <w:rsid w:val="008E7813"/>
    <w:rsid w:val="008F11C4"/>
    <w:rsid w:val="008F120E"/>
    <w:rsid w:val="008F51EB"/>
    <w:rsid w:val="00900F80"/>
    <w:rsid w:val="00902D65"/>
    <w:rsid w:val="00905C1B"/>
    <w:rsid w:val="00911C65"/>
    <w:rsid w:val="00912E42"/>
    <w:rsid w:val="00913021"/>
    <w:rsid w:val="0091593A"/>
    <w:rsid w:val="00916488"/>
    <w:rsid w:val="009202BA"/>
    <w:rsid w:val="00920EEF"/>
    <w:rsid w:val="009238DC"/>
    <w:rsid w:val="0092574E"/>
    <w:rsid w:val="00925A81"/>
    <w:rsid w:val="009272EA"/>
    <w:rsid w:val="00930A9B"/>
    <w:rsid w:val="00930BAD"/>
    <w:rsid w:val="00934BBA"/>
    <w:rsid w:val="00934D3A"/>
    <w:rsid w:val="00937CED"/>
    <w:rsid w:val="00941751"/>
    <w:rsid w:val="00944821"/>
    <w:rsid w:val="00947E38"/>
    <w:rsid w:val="0095091C"/>
    <w:rsid w:val="00950AA0"/>
    <w:rsid w:val="00950B69"/>
    <w:rsid w:val="009512F4"/>
    <w:rsid w:val="00951EC6"/>
    <w:rsid w:val="00953B3F"/>
    <w:rsid w:val="00954D47"/>
    <w:rsid w:val="00955565"/>
    <w:rsid w:val="009570FE"/>
    <w:rsid w:val="00957300"/>
    <w:rsid w:val="00961051"/>
    <w:rsid w:val="00963AA7"/>
    <w:rsid w:val="0096680F"/>
    <w:rsid w:val="0096744F"/>
    <w:rsid w:val="009678E6"/>
    <w:rsid w:val="00970E17"/>
    <w:rsid w:val="0097313E"/>
    <w:rsid w:val="00974DA3"/>
    <w:rsid w:val="00975DCF"/>
    <w:rsid w:val="00975DE5"/>
    <w:rsid w:val="009802D9"/>
    <w:rsid w:val="00980614"/>
    <w:rsid w:val="00982DAA"/>
    <w:rsid w:val="00982DAE"/>
    <w:rsid w:val="009839F3"/>
    <w:rsid w:val="009841FB"/>
    <w:rsid w:val="0098509E"/>
    <w:rsid w:val="009857AA"/>
    <w:rsid w:val="00986B6C"/>
    <w:rsid w:val="00987041"/>
    <w:rsid w:val="00990C4D"/>
    <w:rsid w:val="00995198"/>
    <w:rsid w:val="00995269"/>
    <w:rsid w:val="009963AA"/>
    <w:rsid w:val="00997C3F"/>
    <w:rsid w:val="00997CEA"/>
    <w:rsid w:val="009A1FA6"/>
    <w:rsid w:val="009A6AD7"/>
    <w:rsid w:val="009A6CC7"/>
    <w:rsid w:val="009A6E28"/>
    <w:rsid w:val="009A7A4B"/>
    <w:rsid w:val="009B2468"/>
    <w:rsid w:val="009B2F2C"/>
    <w:rsid w:val="009B438D"/>
    <w:rsid w:val="009B45DF"/>
    <w:rsid w:val="009C0586"/>
    <w:rsid w:val="009C0C7C"/>
    <w:rsid w:val="009C0E26"/>
    <w:rsid w:val="009C3391"/>
    <w:rsid w:val="009C4DB6"/>
    <w:rsid w:val="009C5269"/>
    <w:rsid w:val="009C60DE"/>
    <w:rsid w:val="009C61D9"/>
    <w:rsid w:val="009C7150"/>
    <w:rsid w:val="009D0A2C"/>
    <w:rsid w:val="009D1AC2"/>
    <w:rsid w:val="009D2DAF"/>
    <w:rsid w:val="009D3481"/>
    <w:rsid w:val="009D7168"/>
    <w:rsid w:val="009E0261"/>
    <w:rsid w:val="009E3C33"/>
    <w:rsid w:val="009E3CE6"/>
    <w:rsid w:val="009E4841"/>
    <w:rsid w:val="009E59C4"/>
    <w:rsid w:val="009E6B86"/>
    <w:rsid w:val="009F0147"/>
    <w:rsid w:val="009F2D7A"/>
    <w:rsid w:val="009F2F45"/>
    <w:rsid w:val="009F4905"/>
    <w:rsid w:val="009F4DF7"/>
    <w:rsid w:val="009F4FE5"/>
    <w:rsid w:val="00A00271"/>
    <w:rsid w:val="00A00681"/>
    <w:rsid w:val="00A016C1"/>
    <w:rsid w:val="00A0323B"/>
    <w:rsid w:val="00A046EE"/>
    <w:rsid w:val="00A0701B"/>
    <w:rsid w:val="00A07EAA"/>
    <w:rsid w:val="00A12697"/>
    <w:rsid w:val="00A12C92"/>
    <w:rsid w:val="00A12CF6"/>
    <w:rsid w:val="00A147FA"/>
    <w:rsid w:val="00A212BB"/>
    <w:rsid w:val="00A213E0"/>
    <w:rsid w:val="00A21573"/>
    <w:rsid w:val="00A2166D"/>
    <w:rsid w:val="00A218C5"/>
    <w:rsid w:val="00A21C71"/>
    <w:rsid w:val="00A22450"/>
    <w:rsid w:val="00A240F1"/>
    <w:rsid w:val="00A2445B"/>
    <w:rsid w:val="00A24966"/>
    <w:rsid w:val="00A2750B"/>
    <w:rsid w:val="00A31745"/>
    <w:rsid w:val="00A326BF"/>
    <w:rsid w:val="00A33F5E"/>
    <w:rsid w:val="00A344A6"/>
    <w:rsid w:val="00A36152"/>
    <w:rsid w:val="00A36368"/>
    <w:rsid w:val="00A36397"/>
    <w:rsid w:val="00A4393E"/>
    <w:rsid w:val="00A43EDF"/>
    <w:rsid w:val="00A46D20"/>
    <w:rsid w:val="00A47572"/>
    <w:rsid w:val="00A476CC"/>
    <w:rsid w:val="00A500C5"/>
    <w:rsid w:val="00A50EBE"/>
    <w:rsid w:val="00A52F91"/>
    <w:rsid w:val="00A53AD2"/>
    <w:rsid w:val="00A54154"/>
    <w:rsid w:val="00A5477B"/>
    <w:rsid w:val="00A548E4"/>
    <w:rsid w:val="00A54FD7"/>
    <w:rsid w:val="00A70C35"/>
    <w:rsid w:val="00A72D81"/>
    <w:rsid w:val="00A73130"/>
    <w:rsid w:val="00A734A8"/>
    <w:rsid w:val="00A75E12"/>
    <w:rsid w:val="00A762A3"/>
    <w:rsid w:val="00A775CE"/>
    <w:rsid w:val="00A77C94"/>
    <w:rsid w:val="00A82B43"/>
    <w:rsid w:val="00A84391"/>
    <w:rsid w:val="00A84B57"/>
    <w:rsid w:val="00A8504D"/>
    <w:rsid w:val="00A85457"/>
    <w:rsid w:val="00A86602"/>
    <w:rsid w:val="00A8712A"/>
    <w:rsid w:val="00A90531"/>
    <w:rsid w:val="00A9353F"/>
    <w:rsid w:val="00AA4346"/>
    <w:rsid w:val="00AB2779"/>
    <w:rsid w:val="00AB3CC8"/>
    <w:rsid w:val="00AB40F4"/>
    <w:rsid w:val="00AB42B3"/>
    <w:rsid w:val="00AB6DBB"/>
    <w:rsid w:val="00AB7895"/>
    <w:rsid w:val="00AB79FC"/>
    <w:rsid w:val="00AC0EB7"/>
    <w:rsid w:val="00AC19AE"/>
    <w:rsid w:val="00AC4EEE"/>
    <w:rsid w:val="00AC53DA"/>
    <w:rsid w:val="00AC59F9"/>
    <w:rsid w:val="00AD38C1"/>
    <w:rsid w:val="00AE2331"/>
    <w:rsid w:val="00AE4A57"/>
    <w:rsid w:val="00AE4BF0"/>
    <w:rsid w:val="00AE4FC8"/>
    <w:rsid w:val="00AE5142"/>
    <w:rsid w:val="00AF1090"/>
    <w:rsid w:val="00AF1A68"/>
    <w:rsid w:val="00AF23D5"/>
    <w:rsid w:val="00AF2EE9"/>
    <w:rsid w:val="00AF42C9"/>
    <w:rsid w:val="00AF66E4"/>
    <w:rsid w:val="00B0030C"/>
    <w:rsid w:val="00B00BA3"/>
    <w:rsid w:val="00B02AAA"/>
    <w:rsid w:val="00B02E3F"/>
    <w:rsid w:val="00B03885"/>
    <w:rsid w:val="00B045FB"/>
    <w:rsid w:val="00B10579"/>
    <w:rsid w:val="00B1057A"/>
    <w:rsid w:val="00B122B0"/>
    <w:rsid w:val="00B1286D"/>
    <w:rsid w:val="00B129BD"/>
    <w:rsid w:val="00B145D2"/>
    <w:rsid w:val="00B14E53"/>
    <w:rsid w:val="00B16E50"/>
    <w:rsid w:val="00B2026E"/>
    <w:rsid w:val="00B208CB"/>
    <w:rsid w:val="00B20A89"/>
    <w:rsid w:val="00B20E9D"/>
    <w:rsid w:val="00B21464"/>
    <w:rsid w:val="00B21FD1"/>
    <w:rsid w:val="00B27F82"/>
    <w:rsid w:val="00B30C85"/>
    <w:rsid w:val="00B30EEA"/>
    <w:rsid w:val="00B32A34"/>
    <w:rsid w:val="00B378F2"/>
    <w:rsid w:val="00B37CCC"/>
    <w:rsid w:val="00B42312"/>
    <w:rsid w:val="00B43900"/>
    <w:rsid w:val="00B43C6B"/>
    <w:rsid w:val="00B44F03"/>
    <w:rsid w:val="00B46407"/>
    <w:rsid w:val="00B46621"/>
    <w:rsid w:val="00B47767"/>
    <w:rsid w:val="00B55CC7"/>
    <w:rsid w:val="00B56B58"/>
    <w:rsid w:val="00B604C4"/>
    <w:rsid w:val="00B6188C"/>
    <w:rsid w:val="00B62AB6"/>
    <w:rsid w:val="00B62CEA"/>
    <w:rsid w:val="00B6459F"/>
    <w:rsid w:val="00B65117"/>
    <w:rsid w:val="00B66255"/>
    <w:rsid w:val="00B67EB4"/>
    <w:rsid w:val="00B736F5"/>
    <w:rsid w:val="00B7416F"/>
    <w:rsid w:val="00B744E9"/>
    <w:rsid w:val="00B7529F"/>
    <w:rsid w:val="00B755ED"/>
    <w:rsid w:val="00B75759"/>
    <w:rsid w:val="00B75916"/>
    <w:rsid w:val="00B75A8F"/>
    <w:rsid w:val="00B80100"/>
    <w:rsid w:val="00B809DF"/>
    <w:rsid w:val="00B80FBF"/>
    <w:rsid w:val="00B820F8"/>
    <w:rsid w:val="00B824BC"/>
    <w:rsid w:val="00B83946"/>
    <w:rsid w:val="00B8398E"/>
    <w:rsid w:val="00B83F6A"/>
    <w:rsid w:val="00B84147"/>
    <w:rsid w:val="00B85175"/>
    <w:rsid w:val="00B86D7E"/>
    <w:rsid w:val="00B9156C"/>
    <w:rsid w:val="00B91B60"/>
    <w:rsid w:val="00B928FD"/>
    <w:rsid w:val="00B9316B"/>
    <w:rsid w:val="00B939F8"/>
    <w:rsid w:val="00B9571B"/>
    <w:rsid w:val="00B97AEF"/>
    <w:rsid w:val="00BA13A7"/>
    <w:rsid w:val="00BA2647"/>
    <w:rsid w:val="00BA2BD6"/>
    <w:rsid w:val="00BA6193"/>
    <w:rsid w:val="00BA6974"/>
    <w:rsid w:val="00BA6EB7"/>
    <w:rsid w:val="00BA74B6"/>
    <w:rsid w:val="00BB0385"/>
    <w:rsid w:val="00BB068F"/>
    <w:rsid w:val="00BB18A0"/>
    <w:rsid w:val="00BB2CFE"/>
    <w:rsid w:val="00BB2EDC"/>
    <w:rsid w:val="00BB411D"/>
    <w:rsid w:val="00BB5EFE"/>
    <w:rsid w:val="00BB6649"/>
    <w:rsid w:val="00BB733D"/>
    <w:rsid w:val="00BB73D8"/>
    <w:rsid w:val="00BC038A"/>
    <w:rsid w:val="00BC1CE6"/>
    <w:rsid w:val="00BC2667"/>
    <w:rsid w:val="00BC282F"/>
    <w:rsid w:val="00BC2840"/>
    <w:rsid w:val="00BC368B"/>
    <w:rsid w:val="00BC4A4C"/>
    <w:rsid w:val="00BD48C2"/>
    <w:rsid w:val="00BD6877"/>
    <w:rsid w:val="00BD7B62"/>
    <w:rsid w:val="00BE044F"/>
    <w:rsid w:val="00BE0E62"/>
    <w:rsid w:val="00BE2386"/>
    <w:rsid w:val="00BE2BD1"/>
    <w:rsid w:val="00BE3F49"/>
    <w:rsid w:val="00BE57BF"/>
    <w:rsid w:val="00BF11EB"/>
    <w:rsid w:val="00BF16F1"/>
    <w:rsid w:val="00BF273A"/>
    <w:rsid w:val="00BF301E"/>
    <w:rsid w:val="00BF5175"/>
    <w:rsid w:val="00BF685C"/>
    <w:rsid w:val="00C001D5"/>
    <w:rsid w:val="00C00513"/>
    <w:rsid w:val="00C024AD"/>
    <w:rsid w:val="00C0284D"/>
    <w:rsid w:val="00C03807"/>
    <w:rsid w:val="00C05133"/>
    <w:rsid w:val="00C051EA"/>
    <w:rsid w:val="00C06107"/>
    <w:rsid w:val="00C1193D"/>
    <w:rsid w:val="00C11D3E"/>
    <w:rsid w:val="00C125DE"/>
    <w:rsid w:val="00C15BEC"/>
    <w:rsid w:val="00C1690E"/>
    <w:rsid w:val="00C17CB1"/>
    <w:rsid w:val="00C201FA"/>
    <w:rsid w:val="00C21F05"/>
    <w:rsid w:val="00C23FE6"/>
    <w:rsid w:val="00C2478F"/>
    <w:rsid w:val="00C25EC1"/>
    <w:rsid w:val="00C27448"/>
    <w:rsid w:val="00C31778"/>
    <w:rsid w:val="00C31CFF"/>
    <w:rsid w:val="00C337AE"/>
    <w:rsid w:val="00C35452"/>
    <w:rsid w:val="00C35BEC"/>
    <w:rsid w:val="00C36AC6"/>
    <w:rsid w:val="00C36EF0"/>
    <w:rsid w:val="00C3730E"/>
    <w:rsid w:val="00C40849"/>
    <w:rsid w:val="00C40942"/>
    <w:rsid w:val="00C439FA"/>
    <w:rsid w:val="00C46FF0"/>
    <w:rsid w:val="00C4796D"/>
    <w:rsid w:val="00C508C1"/>
    <w:rsid w:val="00C522C0"/>
    <w:rsid w:val="00C530B1"/>
    <w:rsid w:val="00C551D6"/>
    <w:rsid w:val="00C60DD9"/>
    <w:rsid w:val="00C6135D"/>
    <w:rsid w:val="00C6173E"/>
    <w:rsid w:val="00C61838"/>
    <w:rsid w:val="00C6310B"/>
    <w:rsid w:val="00C63946"/>
    <w:rsid w:val="00C64F6E"/>
    <w:rsid w:val="00C65BCB"/>
    <w:rsid w:val="00C65F29"/>
    <w:rsid w:val="00C67CBE"/>
    <w:rsid w:val="00C70175"/>
    <w:rsid w:val="00C70AC2"/>
    <w:rsid w:val="00C70EF5"/>
    <w:rsid w:val="00C71323"/>
    <w:rsid w:val="00C7270D"/>
    <w:rsid w:val="00C728EF"/>
    <w:rsid w:val="00C73157"/>
    <w:rsid w:val="00C75AAF"/>
    <w:rsid w:val="00C76DC8"/>
    <w:rsid w:val="00C809F7"/>
    <w:rsid w:val="00C81606"/>
    <w:rsid w:val="00C84483"/>
    <w:rsid w:val="00C84F36"/>
    <w:rsid w:val="00C85944"/>
    <w:rsid w:val="00C85965"/>
    <w:rsid w:val="00C86E04"/>
    <w:rsid w:val="00C90410"/>
    <w:rsid w:val="00C90D58"/>
    <w:rsid w:val="00C91C19"/>
    <w:rsid w:val="00C932FF"/>
    <w:rsid w:val="00C9330E"/>
    <w:rsid w:val="00C93607"/>
    <w:rsid w:val="00C93AFF"/>
    <w:rsid w:val="00C94C17"/>
    <w:rsid w:val="00C95348"/>
    <w:rsid w:val="00C95640"/>
    <w:rsid w:val="00C96E92"/>
    <w:rsid w:val="00CA15D4"/>
    <w:rsid w:val="00CA243A"/>
    <w:rsid w:val="00CA24A5"/>
    <w:rsid w:val="00CA3FA0"/>
    <w:rsid w:val="00CA63BD"/>
    <w:rsid w:val="00CA79AF"/>
    <w:rsid w:val="00CB0739"/>
    <w:rsid w:val="00CB0FB8"/>
    <w:rsid w:val="00CB19B4"/>
    <w:rsid w:val="00CB1DA8"/>
    <w:rsid w:val="00CB3577"/>
    <w:rsid w:val="00CB4013"/>
    <w:rsid w:val="00CB635A"/>
    <w:rsid w:val="00CC5A37"/>
    <w:rsid w:val="00CC64F1"/>
    <w:rsid w:val="00CC65A8"/>
    <w:rsid w:val="00CC6AE6"/>
    <w:rsid w:val="00CC6E94"/>
    <w:rsid w:val="00CC7F6D"/>
    <w:rsid w:val="00CD148F"/>
    <w:rsid w:val="00CD177E"/>
    <w:rsid w:val="00CD19BB"/>
    <w:rsid w:val="00CD2E31"/>
    <w:rsid w:val="00CD3E93"/>
    <w:rsid w:val="00CD4697"/>
    <w:rsid w:val="00CD57B9"/>
    <w:rsid w:val="00CD5EA2"/>
    <w:rsid w:val="00CD7480"/>
    <w:rsid w:val="00CE1740"/>
    <w:rsid w:val="00CE1D64"/>
    <w:rsid w:val="00CE1E27"/>
    <w:rsid w:val="00CE510F"/>
    <w:rsid w:val="00CF2A04"/>
    <w:rsid w:val="00CF2DFE"/>
    <w:rsid w:val="00CF672F"/>
    <w:rsid w:val="00CF77EF"/>
    <w:rsid w:val="00CF7DC3"/>
    <w:rsid w:val="00D00130"/>
    <w:rsid w:val="00D01F85"/>
    <w:rsid w:val="00D03CF0"/>
    <w:rsid w:val="00D070DD"/>
    <w:rsid w:val="00D07811"/>
    <w:rsid w:val="00D10D0B"/>
    <w:rsid w:val="00D10FF0"/>
    <w:rsid w:val="00D11851"/>
    <w:rsid w:val="00D15F09"/>
    <w:rsid w:val="00D178B9"/>
    <w:rsid w:val="00D23598"/>
    <w:rsid w:val="00D25E5A"/>
    <w:rsid w:val="00D30079"/>
    <w:rsid w:val="00D33471"/>
    <w:rsid w:val="00D33C6D"/>
    <w:rsid w:val="00D347E1"/>
    <w:rsid w:val="00D3561F"/>
    <w:rsid w:val="00D36880"/>
    <w:rsid w:val="00D40B65"/>
    <w:rsid w:val="00D4741F"/>
    <w:rsid w:val="00D52DA9"/>
    <w:rsid w:val="00D52DCE"/>
    <w:rsid w:val="00D53638"/>
    <w:rsid w:val="00D54876"/>
    <w:rsid w:val="00D54F6A"/>
    <w:rsid w:val="00D555B3"/>
    <w:rsid w:val="00D5656C"/>
    <w:rsid w:val="00D57427"/>
    <w:rsid w:val="00D5769E"/>
    <w:rsid w:val="00D57F52"/>
    <w:rsid w:val="00D602DD"/>
    <w:rsid w:val="00D61017"/>
    <w:rsid w:val="00D645DA"/>
    <w:rsid w:val="00D6512F"/>
    <w:rsid w:val="00D65626"/>
    <w:rsid w:val="00D677C6"/>
    <w:rsid w:val="00D67B09"/>
    <w:rsid w:val="00D734E1"/>
    <w:rsid w:val="00D73D44"/>
    <w:rsid w:val="00D747D0"/>
    <w:rsid w:val="00D74F20"/>
    <w:rsid w:val="00D75DB3"/>
    <w:rsid w:val="00D80268"/>
    <w:rsid w:val="00D806D6"/>
    <w:rsid w:val="00D80B98"/>
    <w:rsid w:val="00D821DD"/>
    <w:rsid w:val="00D83897"/>
    <w:rsid w:val="00D84E60"/>
    <w:rsid w:val="00D858FC"/>
    <w:rsid w:val="00D85F16"/>
    <w:rsid w:val="00D86B45"/>
    <w:rsid w:val="00D86F16"/>
    <w:rsid w:val="00D87A46"/>
    <w:rsid w:val="00D91438"/>
    <w:rsid w:val="00D924DB"/>
    <w:rsid w:val="00D9394E"/>
    <w:rsid w:val="00D93D9F"/>
    <w:rsid w:val="00D94005"/>
    <w:rsid w:val="00D9493A"/>
    <w:rsid w:val="00D96670"/>
    <w:rsid w:val="00D97578"/>
    <w:rsid w:val="00D97909"/>
    <w:rsid w:val="00DA33EE"/>
    <w:rsid w:val="00DA3925"/>
    <w:rsid w:val="00DA5A04"/>
    <w:rsid w:val="00DA73C5"/>
    <w:rsid w:val="00DA7701"/>
    <w:rsid w:val="00DA7925"/>
    <w:rsid w:val="00DA79E0"/>
    <w:rsid w:val="00DB083B"/>
    <w:rsid w:val="00DB0BA4"/>
    <w:rsid w:val="00DB282D"/>
    <w:rsid w:val="00DB2CEE"/>
    <w:rsid w:val="00DB36C0"/>
    <w:rsid w:val="00DB3F3C"/>
    <w:rsid w:val="00DB4F42"/>
    <w:rsid w:val="00DB6774"/>
    <w:rsid w:val="00DB755B"/>
    <w:rsid w:val="00DC14CF"/>
    <w:rsid w:val="00DC2AB3"/>
    <w:rsid w:val="00DC2F69"/>
    <w:rsid w:val="00DC4A9C"/>
    <w:rsid w:val="00DC646E"/>
    <w:rsid w:val="00DC6A43"/>
    <w:rsid w:val="00DC72CD"/>
    <w:rsid w:val="00DC7778"/>
    <w:rsid w:val="00DC7989"/>
    <w:rsid w:val="00DD076F"/>
    <w:rsid w:val="00DD28F7"/>
    <w:rsid w:val="00DD2D22"/>
    <w:rsid w:val="00DD351A"/>
    <w:rsid w:val="00DD4275"/>
    <w:rsid w:val="00DD4691"/>
    <w:rsid w:val="00DD4A67"/>
    <w:rsid w:val="00DD6D6E"/>
    <w:rsid w:val="00DD6EC8"/>
    <w:rsid w:val="00DD7324"/>
    <w:rsid w:val="00DD7381"/>
    <w:rsid w:val="00DD7A06"/>
    <w:rsid w:val="00DE02A2"/>
    <w:rsid w:val="00DE05E3"/>
    <w:rsid w:val="00DE7180"/>
    <w:rsid w:val="00DE7D9E"/>
    <w:rsid w:val="00DF19B0"/>
    <w:rsid w:val="00DF27B2"/>
    <w:rsid w:val="00DF56ED"/>
    <w:rsid w:val="00DF6F5C"/>
    <w:rsid w:val="00E01E2D"/>
    <w:rsid w:val="00E03127"/>
    <w:rsid w:val="00E0378D"/>
    <w:rsid w:val="00E03B91"/>
    <w:rsid w:val="00E03CB6"/>
    <w:rsid w:val="00E057B5"/>
    <w:rsid w:val="00E06B73"/>
    <w:rsid w:val="00E11249"/>
    <w:rsid w:val="00E12977"/>
    <w:rsid w:val="00E137FE"/>
    <w:rsid w:val="00E14BCD"/>
    <w:rsid w:val="00E15BD1"/>
    <w:rsid w:val="00E16611"/>
    <w:rsid w:val="00E1716A"/>
    <w:rsid w:val="00E17544"/>
    <w:rsid w:val="00E21B53"/>
    <w:rsid w:val="00E2266C"/>
    <w:rsid w:val="00E25E23"/>
    <w:rsid w:val="00E26C31"/>
    <w:rsid w:val="00E27E41"/>
    <w:rsid w:val="00E30FD5"/>
    <w:rsid w:val="00E31AF3"/>
    <w:rsid w:val="00E32976"/>
    <w:rsid w:val="00E33750"/>
    <w:rsid w:val="00E35476"/>
    <w:rsid w:val="00E372D8"/>
    <w:rsid w:val="00E40952"/>
    <w:rsid w:val="00E41E6D"/>
    <w:rsid w:val="00E41E79"/>
    <w:rsid w:val="00E42633"/>
    <w:rsid w:val="00E473CA"/>
    <w:rsid w:val="00E47784"/>
    <w:rsid w:val="00E479EC"/>
    <w:rsid w:val="00E53B93"/>
    <w:rsid w:val="00E53CE7"/>
    <w:rsid w:val="00E5435D"/>
    <w:rsid w:val="00E55168"/>
    <w:rsid w:val="00E55499"/>
    <w:rsid w:val="00E56F01"/>
    <w:rsid w:val="00E60ECE"/>
    <w:rsid w:val="00E63BC0"/>
    <w:rsid w:val="00E65E38"/>
    <w:rsid w:val="00E66412"/>
    <w:rsid w:val="00E66532"/>
    <w:rsid w:val="00E66B43"/>
    <w:rsid w:val="00E70C95"/>
    <w:rsid w:val="00E71D2F"/>
    <w:rsid w:val="00E724F0"/>
    <w:rsid w:val="00E72AFE"/>
    <w:rsid w:val="00E777A0"/>
    <w:rsid w:val="00E81BD7"/>
    <w:rsid w:val="00E842E7"/>
    <w:rsid w:val="00E84A4C"/>
    <w:rsid w:val="00E90E87"/>
    <w:rsid w:val="00E91FCF"/>
    <w:rsid w:val="00E92930"/>
    <w:rsid w:val="00E95796"/>
    <w:rsid w:val="00EA0222"/>
    <w:rsid w:val="00EA4883"/>
    <w:rsid w:val="00EA5589"/>
    <w:rsid w:val="00EA7716"/>
    <w:rsid w:val="00EB1650"/>
    <w:rsid w:val="00EB3B30"/>
    <w:rsid w:val="00EB5BB2"/>
    <w:rsid w:val="00EB6E8D"/>
    <w:rsid w:val="00EB72ED"/>
    <w:rsid w:val="00EC1D34"/>
    <w:rsid w:val="00EC2F77"/>
    <w:rsid w:val="00EC3A7F"/>
    <w:rsid w:val="00EC5540"/>
    <w:rsid w:val="00EC57AF"/>
    <w:rsid w:val="00EC5899"/>
    <w:rsid w:val="00EC714A"/>
    <w:rsid w:val="00ED13DE"/>
    <w:rsid w:val="00ED1647"/>
    <w:rsid w:val="00ED1955"/>
    <w:rsid w:val="00ED38C5"/>
    <w:rsid w:val="00ED3AE5"/>
    <w:rsid w:val="00ED5D29"/>
    <w:rsid w:val="00EE4B85"/>
    <w:rsid w:val="00EE4E4F"/>
    <w:rsid w:val="00EE79E4"/>
    <w:rsid w:val="00EE7F3B"/>
    <w:rsid w:val="00EF06DB"/>
    <w:rsid w:val="00EF19D3"/>
    <w:rsid w:val="00EF1A5C"/>
    <w:rsid w:val="00EF2C76"/>
    <w:rsid w:val="00EF35F1"/>
    <w:rsid w:val="00F00375"/>
    <w:rsid w:val="00F01240"/>
    <w:rsid w:val="00F03B69"/>
    <w:rsid w:val="00F04F95"/>
    <w:rsid w:val="00F0556D"/>
    <w:rsid w:val="00F05EE7"/>
    <w:rsid w:val="00F05FDE"/>
    <w:rsid w:val="00F067EE"/>
    <w:rsid w:val="00F1118B"/>
    <w:rsid w:val="00F115E3"/>
    <w:rsid w:val="00F11C6C"/>
    <w:rsid w:val="00F14E87"/>
    <w:rsid w:val="00F1501D"/>
    <w:rsid w:val="00F154FC"/>
    <w:rsid w:val="00F159ED"/>
    <w:rsid w:val="00F21838"/>
    <w:rsid w:val="00F223FF"/>
    <w:rsid w:val="00F22961"/>
    <w:rsid w:val="00F2382F"/>
    <w:rsid w:val="00F26419"/>
    <w:rsid w:val="00F26B93"/>
    <w:rsid w:val="00F276B7"/>
    <w:rsid w:val="00F35EC7"/>
    <w:rsid w:val="00F36937"/>
    <w:rsid w:val="00F402CE"/>
    <w:rsid w:val="00F434A0"/>
    <w:rsid w:val="00F45E89"/>
    <w:rsid w:val="00F45F5D"/>
    <w:rsid w:val="00F47FE6"/>
    <w:rsid w:val="00F5214C"/>
    <w:rsid w:val="00F552F7"/>
    <w:rsid w:val="00F55596"/>
    <w:rsid w:val="00F65D19"/>
    <w:rsid w:val="00F734E1"/>
    <w:rsid w:val="00F7445D"/>
    <w:rsid w:val="00F7624C"/>
    <w:rsid w:val="00F768A1"/>
    <w:rsid w:val="00F77CE9"/>
    <w:rsid w:val="00F82408"/>
    <w:rsid w:val="00F839F3"/>
    <w:rsid w:val="00F840DB"/>
    <w:rsid w:val="00F87807"/>
    <w:rsid w:val="00F90B7A"/>
    <w:rsid w:val="00F9219A"/>
    <w:rsid w:val="00F9338B"/>
    <w:rsid w:val="00F94487"/>
    <w:rsid w:val="00F94B48"/>
    <w:rsid w:val="00F96519"/>
    <w:rsid w:val="00F96B4A"/>
    <w:rsid w:val="00F971C6"/>
    <w:rsid w:val="00FA0458"/>
    <w:rsid w:val="00FA1610"/>
    <w:rsid w:val="00FA3D08"/>
    <w:rsid w:val="00FA5421"/>
    <w:rsid w:val="00FA5AB3"/>
    <w:rsid w:val="00FA6F10"/>
    <w:rsid w:val="00FA741E"/>
    <w:rsid w:val="00FA748C"/>
    <w:rsid w:val="00FA7BFF"/>
    <w:rsid w:val="00FB09DF"/>
    <w:rsid w:val="00FB1218"/>
    <w:rsid w:val="00FB2509"/>
    <w:rsid w:val="00FB3AC9"/>
    <w:rsid w:val="00FB51AD"/>
    <w:rsid w:val="00FB53E6"/>
    <w:rsid w:val="00FB723C"/>
    <w:rsid w:val="00FB7261"/>
    <w:rsid w:val="00FC0E13"/>
    <w:rsid w:val="00FC5597"/>
    <w:rsid w:val="00FD083E"/>
    <w:rsid w:val="00FD14C2"/>
    <w:rsid w:val="00FD1D01"/>
    <w:rsid w:val="00FD3CD5"/>
    <w:rsid w:val="00FD5180"/>
    <w:rsid w:val="00FD58EA"/>
    <w:rsid w:val="00FD5D14"/>
    <w:rsid w:val="00FD5F91"/>
    <w:rsid w:val="00FD7B68"/>
    <w:rsid w:val="00FE125B"/>
    <w:rsid w:val="00FE197F"/>
    <w:rsid w:val="00FE22F3"/>
    <w:rsid w:val="00FE2CD4"/>
    <w:rsid w:val="00FE326A"/>
    <w:rsid w:val="00FE3BCC"/>
    <w:rsid w:val="00FE427C"/>
    <w:rsid w:val="00FE71F6"/>
    <w:rsid w:val="00FE73FC"/>
    <w:rsid w:val="00FF08CA"/>
    <w:rsid w:val="00FF14CF"/>
    <w:rsid w:val="00FF36F5"/>
    <w:rsid w:val="00FF4E54"/>
    <w:rsid w:val="00FF509E"/>
    <w:rsid w:val="00FF5428"/>
    <w:rsid w:val="00FF553B"/>
    <w:rsid w:val="00FF6E49"/>
    <w:rsid w:val="00FF71F5"/>
    <w:rsid w:val="00FF7943"/>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F65F"/>
  <w15:docId w15:val="{B672432B-2ACD-4098-8E35-2C139D24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31"/>
    <w:rPr>
      <w:rFonts w:ascii="Verdana" w:eastAsia="Times New Roman" w:hAnsi="Verdana"/>
      <w:sz w:val="22"/>
      <w:szCs w:val="24"/>
    </w:rPr>
  </w:style>
  <w:style w:type="paragraph" w:styleId="Heading8">
    <w:name w:val="heading 8"/>
    <w:basedOn w:val="Normal"/>
    <w:next w:val="Normal"/>
    <w:link w:val="Heading8Char"/>
    <w:qFormat/>
    <w:rsid w:val="004951CB"/>
    <w:pPr>
      <w:keepNext/>
      <w:jc w:val="both"/>
      <w:outlineLvl w:val="7"/>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urityCont3Char">
    <w:name w:val="Security Cont 3 Char"/>
    <w:aliases w:val="s3 Char"/>
    <w:link w:val="SecurityCont3"/>
    <w:uiPriority w:val="99"/>
    <w:locked/>
    <w:rsid w:val="00427A41"/>
    <w:rPr>
      <w:rFonts w:ascii="Times New Roman" w:eastAsia="Times New Roman" w:hAnsi="Times New Roman"/>
      <w:lang w:val="en-CA"/>
    </w:rPr>
  </w:style>
  <w:style w:type="paragraph" w:styleId="BalloonText">
    <w:name w:val="Balloon Text"/>
    <w:basedOn w:val="Normal"/>
    <w:link w:val="BalloonTextChar"/>
    <w:unhideWhenUsed/>
    <w:rsid w:val="00451CF4"/>
    <w:rPr>
      <w:rFonts w:ascii="Tahoma" w:eastAsia="Calibri" w:hAnsi="Tahoma" w:cs="Tahoma"/>
      <w:sz w:val="16"/>
      <w:szCs w:val="16"/>
    </w:rPr>
  </w:style>
  <w:style w:type="character" w:styleId="Hyperlink">
    <w:name w:val="Hyperlink"/>
    <w:rsid w:val="00997CEA"/>
    <w:rPr>
      <w:color w:val="0000FF"/>
      <w:u w:val="single"/>
    </w:rPr>
  </w:style>
  <w:style w:type="paragraph" w:styleId="Footer">
    <w:name w:val="footer"/>
    <w:basedOn w:val="Normal"/>
    <w:link w:val="FooterChar"/>
    <w:uiPriority w:val="99"/>
    <w:unhideWhenUsed/>
    <w:rsid w:val="00451CF4"/>
    <w:pPr>
      <w:tabs>
        <w:tab w:val="center" w:pos="4680"/>
        <w:tab w:val="right" w:pos="9360"/>
      </w:tabs>
    </w:pPr>
    <w:rPr>
      <w:rFonts w:ascii="Calibri" w:eastAsia="Calibri" w:hAnsi="Calibri"/>
      <w:szCs w:val="22"/>
    </w:rPr>
  </w:style>
  <w:style w:type="paragraph" w:customStyle="1" w:styleId="DecimalAligned">
    <w:name w:val="Decimal Aligned"/>
    <w:basedOn w:val="Normal"/>
    <w:uiPriority w:val="40"/>
    <w:qFormat/>
    <w:rsid w:val="00631EE4"/>
    <w:pPr>
      <w:tabs>
        <w:tab w:val="decimal" w:pos="360"/>
      </w:tabs>
      <w:spacing w:after="200" w:line="276" w:lineRule="auto"/>
    </w:pPr>
    <w:rPr>
      <w:rFonts w:asciiTheme="minorHAnsi" w:eastAsiaTheme="minorEastAsia" w:hAnsiTheme="minorHAnsi"/>
      <w:szCs w:val="22"/>
    </w:rPr>
  </w:style>
  <w:style w:type="character" w:customStyle="1" w:styleId="BodyText2Char">
    <w:name w:val="Body Text 2 Char"/>
    <w:basedOn w:val="DefaultParagraphFont"/>
    <w:link w:val="BodyText2"/>
    <w:rsid w:val="003E2504"/>
    <w:rPr>
      <w:rFonts w:ascii="Verdana" w:eastAsia="Times New Roman" w:hAnsi="Verdana" w:cs="Times New Roman"/>
      <w:szCs w:val="24"/>
    </w:rPr>
  </w:style>
  <w:style w:type="character" w:customStyle="1" w:styleId="HeaderChar">
    <w:name w:val="Header Char"/>
    <w:basedOn w:val="DefaultParagraphFont"/>
    <w:link w:val="Header"/>
    <w:uiPriority w:val="99"/>
    <w:rsid w:val="00451CF4"/>
  </w:style>
  <w:style w:type="character" w:customStyle="1" w:styleId="FS2Char">
    <w:name w:val="FS2 Char"/>
    <w:link w:val="FS2"/>
    <w:rsid w:val="00810E7B"/>
    <w:rPr>
      <w:rFonts w:ascii="Arial" w:eastAsia="Times New Roman" w:hAnsi="Arial"/>
    </w:rPr>
  </w:style>
  <w:style w:type="paragraph" w:styleId="BodyText2">
    <w:name w:val="Body Text 2"/>
    <w:basedOn w:val="Normal"/>
    <w:link w:val="BodyText2Char"/>
    <w:unhideWhenUsed/>
    <w:rsid w:val="003E2504"/>
    <w:pPr>
      <w:spacing w:after="120" w:line="480" w:lineRule="auto"/>
    </w:pPr>
  </w:style>
  <w:style w:type="character" w:customStyle="1" w:styleId="PlainTextChar">
    <w:name w:val="Plain Text Char"/>
    <w:basedOn w:val="DefaultParagraphFont"/>
    <w:link w:val="PlainText"/>
    <w:uiPriority w:val="99"/>
    <w:rsid w:val="00431AE5"/>
    <w:rPr>
      <w:rFonts w:ascii="Consolas" w:hAnsi="Consolas" w:cs="Consolas"/>
      <w:sz w:val="21"/>
      <w:szCs w:val="21"/>
      <w:lang w:val="en-CA"/>
    </w:rPr>
  </w:style>
  <w:style w:type="paragraph" w:styleId="Header">
    <w:name w:val="header"/>
    <w:basedOn w:val="Normal"/>
    <w:link w:val="HeaderChar"/>
    <w:uiPriority w:val="99"/>
    <w:unhideWhenUsed/>
    <w:rsid w:val="00451CF4"/>
    <w:pPr>
      <w:tabs>
        <w:tab w:val="center" w:pos="4680"/>
        <w:tab w:val="right" w:pos="9360"/>
      </w:tabs>
    </w:pPr>
    <w:rPr>
      <w:rFonts w:ascii="Calibri" w:eastAsia="Calibri" w:hAnsi="Calibri"/>
      <w:szCs w:val="22"/>
    </w:rPr>
  </w:style>
  <w:style w:type="character" w:customStyle="1" w:styleId="FooterChar">
    <w:name w:val="Footer Char"/>
    <w:basedOn w:val="DefaultParagraphFont"/>
    <w:link w:val="Footer"/>
    <w:uiPriority w:val="99"/>
    <w:rsid w:val="00451CF4"/>
  </w:style>
  <w:style w:type="character" w:customStyle="1" w:styleId="Heading8Char">
    <w:name w:val="Heading 8 Char"/>
    <w:basedOn w:val="DefaultParagraphFont"/>
    <w:link w:val="Heading8"/>
    <w:rsid w:val="004951CB"/>
    <w:rPr>
      <w:rFonts w:ascii="Arial" w:eastAsia="Times New Roman" w:hAnsi="Arial" w:cs="Times New Roman"/>
      <w:b/>
      <w:bCs/>
      <w:sz w:val="20"/>
      <w:szCs w:val="20"/>
    </w:rPr>
  </w:style>
  <w:style w:type="paragraph" w:customStyle="1" w:styleId="MICONHEADER1">
    <w:name w:val="MICON HEADER1"/>
    <w:basedOn w:val="Normal"/>
    <w:rsid w:val="00997CEA"/>
    <w:pPr>
      <w:tabs>
        <w:tab w:val="left" w:pos="720"/>
      </w:tabs>
      <w:ind w:left="1080"/>
      <w:jc w:val="both"/>
    </w:pPr>
    <w:rPr>
      <w:rFonts w:ascii="Times New Roman" w:eastAsia="Calibri" w:hAnsi="Times New Roman"/>
      <w:b/>
      <w:caps/>
      <w:sz w:val="24"/>
    </w:rPr>
  </w:style>
  <w:style w:type="character" w:customStyle="1" w:styleId="BalloonTextChar">
    <w:name w:val="Balloon Text Char"/>
    <w:basedOn w:val="DefaultParagraphFont"/>
    <w:link w:val="BalloonText"/>
    <w:rsid w:val="00451CF4"/>
    <w:rPr>
      <w:rFonts w:ascii="Tahoma" w:hAnsi="Tahoma" w:cs="Tahoma"/>
      <w:sz w:val="16"/>
      <w:szCs w:val="16"/>
    </w:rPr>
  </w:style>
  <w:style w:type="paragraph" w:styleId="ListParagraph">
    <w:name w:val="List Paragraph"/>
    <w:basedOn w:val="Normal"/>
    <w:qFormat/>
    <w:rsid w:val="00997CEA"/>
    <w:pPr>
      <w:ind w:left="720"/>
      <w:contextualSpacing/>
    </w:pPr>
    <w:rPr>
      <w:rFonts w:ascii="Times New Roman" w:hAnsi="Times New Roman"/>
      <w:sz w:val="24"/>
    </w:rPr>
  </w:style>
  <w:style w:type="paragraph" w:customStyle="1" w:styleId="FS2">
    <w:name w:val="FS2"/>
    <w:basedOn w:val="Normal"/>
    <w:link w:val="FS2Char"/>
    <w:rsid w:val="00810E7B"/>
    <w:pPr>
      <w:tabs>
        <w:tab w:val="decimal" w:pos="7280"/>
        <w:tab w:val="decimal" w:pos="9000"/>
      </w:tabs>
      <w:overflowPunct w:val="0"/>
      <w:autoSpaceDE w:val="0"/>
      <w:autoSpaceDN w:val="0"/>
      <w:adjustRightInd w:val="0"/>
      <w:ind w:left="540" w:hanging="180"/>
      <w:textAlignment w:val="baseline"/>
    </w:pPr>
    <w:rPr>
      <w:rFonts w:ascii="Arial" w:hAnsi="Arial"/>
      <w:sz w:val="20"/>
      <w:szCs w:val="20"/>
    </w:rPr>
  </w:style>
  <w:style w:type="paragraph" w:styleId="PlainText">
    <w:name w:val="Plain Text"/>
    <w:basedOn w:val="Normal"/>
    <w:link w:val="PlainTextChar"/>
    <w:uiPriority w:val="99"/>
    <w:unhideWhenUsed/>
    <w:rsid w:val="00431AE5"/>
    <w:rPr>
      <w:rFonts w:ascii="Consolas" w:eastAsia="Calibri" w:hAnsi="Consolas" w:cs="Consolas"/>
      <w:sz w:val="21"/>
      <w:szCs w:val="21"/>
      <w:lang w:val="en-CA"/>
    </w:rPr>
  </w:style>
  <w:style w:type="paragraph" w:customStyle="1" w:styleId="Default">
    <w:name w:val="Default"/>
    <w:rsid w:val="00B62AB6"/>
    <w:pPr>
      <w:widowControl w:val="0"/>
      <w:autoSpaceDE w:val="0"/>
      <w:autoSpaceDN w:val="0"/>
      <w:adjustRightInd w:val="0"/>
      <w:jc w:val="both"/>
    </w:pPr>
    <w:rPr>
      <w:rFonts w:ascii="Arial" w:eastAsia="Times New Roman" w:hAnsi="Arial" w:cs="Arial"/>
      <w:color w:val="000000"/>
      <w:sz w:val="24"/>
      <w:szCs w:val="24"/>
    </w:rPr>
  </w:style>
  <w:style w:type="paragraph" w:styleId="Revision">
    <w:name w:val="Revision"/>
    <w:hidden/>
    <w:uiPriority w:val="99"/>
    <w:semiHidden/>
    <w:rsid w:val="008A56D8"/>
    <w:rPr>
      <w:rFonts w:ascii="Verdana" w:eastAsia="Times New Roman" w:hAnsi="Verdana"/>
      <w:sz w:val="22"/>
      <w:szCs w:val="24"/>
    </w:rPr>
  </w:style>
  <w:style w:type="paragraph" w:customStyle="1" w:styleId="tabletext">
    <w:name w:val="table text"/>
    <w:aliases w:val="tt,Table Text,table tex"/>
    <w:basedOn w:val="Normal"/>
    <w:link w:val="TableTextChar"/>
    <w:qFormat/>
    <w:rsid w:val="00B62AB6"/>
    <w:pPr>
      <w:keepNext/>
      <w:jc w:val="both"/>
    </w:pPr>
    <w:rPr>
      <w:rFonts w:ascii="Times New Roman" w:hAnsi="Times New Roman"/>
      <w:sz w:val="20"/>
      <w:lang w:val="en-CA"/>
    </w:rPr>
  </w:style>
  <w:style w:type="character" w:customStyle="1" w:styleId="SecurityL9Char">
    <w:name w:val="Security_L9 Char"/>
    <w:basedOn w:val="DefaultParagraphFont"/>
    <w:link w:val="SecurityL9"/>
    <w:rsid w:val="00CD4697"/>
    <w:rPr>
      <w:rFonts w:ascii="Times New Roman" w:eastAsia="Times New Roman" w:hAnsi="Times New Roman"/>
      <w:i/>
      <w:sz w:val="18"/>
      <w:lang w:val="en-CA"/>
    </w:rPr>
  </w:style>
  <w:style w:type="paragraph" w:customStyle="1" w:styleId="SecurityL1">
    <w:name w:val="Security_L1"/>
    <w:basedOn w:val="Normal"/>
    <w:next w:val="Normal"/>
    <w:rsid w:val="00B62AB6"/>
    <w:pPr>
      <w:keepNext/>
      <w:numPr>
        <w:numId w:val="7"/>
      </w:numPr>
      <w:spacing w:after="240"/>
      <w:jc w:val="center"/>
      <w:outlineLvl w:val="0"/>
    </w:pPr>
    <w:rPr>
      <w:rFonts w:ascii="Times New Roman" w:hAnsi="Times New Roman"/>
      <w:b/>
      <w:caps/>
      <w:szCs w:val="20"/>
      <w:lang w:val="en-CA"/>
    </w:rPr>
  </w:style>
  <w:style w:type="character" w:customStyle="1" w:styleId="UnresolvedMention1">
    <w:name w:val="Unresolved Mention1"/>
    <w:basedOn w:val="DefaultParagraphFont"/>
    <w:uiPriority w:val="99"/>
    <w:semiHidden/>
    <w:unhideWhenUsed/>
    <w:rsid w:val="002D4B6B"/>
    <w:rPr>
      <w:color w:val="605E5C"/>
      <w:shd w:val="clear" w:color="auto" w:fill="E1DFDD"/>
    </w:rPr>
  </w:style>
  <w:style w:type="paragraph" w:customStyle="1" w:styleId="SecurityL2">
    <w:name w:val="Security_L2"/>
    <w:basedOn w:val="SecurityL1"/>
    <w:next w:val="Normal"/>
    <w:rsid w:val="00B62AB6"/>
    <w:pPr>
      <w:numPr>
        <w:ilvl w:val="1"/>
      </w:numPr>
      <w:tabs>
        <w:tab w:val="left" w:pos="1440"/>
      </w:tabs>
      <w:jc w:val="both"/>
      <w:outlineLvl w:val="1"/>
    </w:pPr>
    <w:rPr>
      <w:caps w:val="0"/>
    </w:rPr>
  </w:style>
  <w:style w:type="table" w:styleId="PlainTable5">
    <w:name w:val="Plain Table 5"/>
    <w:basedOn w:val="TableNormal"/>
    <w:uiPriority w:val="45"/>
    <w:rsid w:val="00631EE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ecurityL3">
    <w:name w:val="Security_L3"/>
    <w:basedOn w:val="SecurityL2"/>
    <w:next w:val="Normal"/>
    <w:rsid w:val="00B62AB6"/>
    <w:pPr>
      <w:numPr>
        <w:ilvl w:val="2"/>
      </w:numPr>
      <w:outlineLvl w:val="2"/>
    </w:pPr>
    <w:rPr>
      <w:i/>
    </w:rPr>
  </w:style>
  <w:style w:type="paragraph" w:customStyle="1" w:styleId="SecurityL4">
    <w:name w:val="Security_L4"/>
    <w:basedOn w:val="SecurityL3"/>
    <w:next w:val="Normal"/>
    <w:rsid w:val="00B62AB6"/>
    <w:pPr>
      <w:numPr>
        <w:ilvl w:val="3"/>
      </w:numPr>
      <w:outlineLvl w:val="3"/>
    </w:pPr>
    <w:rPr>
      <w:b w:val="0"/>
    </w:rPr>
  </w:style>
  <w:style w:type="character" w:customStyle="1" w:styleId="CommentSubjectChar">
    <w:name w:val="Comment Subject Char"/>
    <w:basedOn w:val="CommentTextChar"/>
    <w:link w:val="CommentSubject"/>
    <w:uiPriority w:val="99"/>
    <w:semiHidden/>
    <w:rsid w:val="008A56D8"/>
    <w:rPr>
      <w:rFonts w:ascii="Verdana" w:eastAsia="Times New Roman" w:hAnsi="Verdana" w:cs="Times New Roman"/>
      <w:b/>
      <w:bCs/>
      <w:sz w:val="20"/>
      <w:szCs w:val="20"/>
    </w:rPr>
  </w:style>
  <w:style w:type="paragraph" w:customStyle="1" w:styleId="SecurityL5">
    <w:name w:val="Security_L5"/>
    <w:basedOn w:val="SecurityL4"/>
    <w:rsid w:val="00B62AB6"/>
    <w:pPr>
      <w:keepNext w:val="0"/>
      <w:numPr>
        <w:ilvl w:val="4"/>
      </w:numPr>
      <w:outlineLvl w:val="4"/>
    </w:pPr>
    <w:rPr>
      <w:i w:val="0"/>
      <w:sz w:val="20"/>
    </w:rPr>
  </w:style>
  <w:style w:type="paragraph" w:customStyle="1" w:styleId="SecurityL6">
    <w:name w:val="Security_L6"/>
    <w:basedOn w:val="SecurityL5"/>
    <w:rsid w:val="00B62AB6"/>
    <w:pPr>
      <w:numPr>
        <w:ilvl w:val="5"/>
      </w:numPr>
      <w:outlineLvl w:val="5"/>
    </w:pPr>
  </w:style>
  <w:style w:type="paragraph" w:customStyle="1" w:styleId="SecurityL7">
    <w:name w:val="Security_L7"/>
    <w:basedOn w:val="SecurityL6"/>
    <w:rsid w:val="00B62AB6"/>
    <w:pPr>
      <w:numPr>
        <w:ilvl w:val="6"/>
      </w:numPr>
      <w:outlineLvl w:val="6"/>
    </w:pPr>
  </w:style>
  <w:style w:type="paragraph" w:customStyle="1" w:styleId="SecurityL8">
    <w:name w:val="Security_L8"/>
    <w:basedOn w:val="SecurityL7"/>
    <w:next w:val="Normal"/>
    <w:link w:val="SecurityL8Char"/>
    <w:rsid w:val="00B62AB6"/>
    <w:pPr>
      <w:numPr>
        <w:ilvl w:val="7"/>
      </w:numPr>
      <w:spacing w:before="120" w:after="120"/>
      <w:outlineLvl w:val="7"/>
    </w:pPr>
    <w:rPr>
      <w:sz w:val="18"/>
    </w:rPr>
  </w:style>
  <w:style w:type="paragraph" w:customStyle="1" w:styleId="BDPDOCID">
    <w:name w:val="BDPDOCID"/>
    <w:basedOn w:val="Normal"/>
    <w:qFormat/>
    <w:rsid w:val="00D74F20"/>
    <w:pPr>
      <w:spacing w:after="240"/>
      <w:jc w:val="both"/>
    </w:pPr>
    <w:rPr>
      <w:rFonts w:ascii="Times New Roman" w:hAnsi="Times New Roman"/>
      <w:sz w:val="16"/>
    </w:rPr>
  </w:style>
  <w:style w:type="paragraph" w:styleId="NormalWeb">
    <w:name w:val="Normal (Web)"/>
    <w:basedOn w:val="Normal"/>
    <w:uiPriority w:val="99"/>
    <w:semiHidden/>
    <w:unhideWhenUsed/>
    <w:rsid w:val="0098509E"/>
    <w:pPr>
      <w:spacing w:before="100" w:beforeAutospacing="1" w:after="100" w:afterAutospacing="1"/>
    </w:pPr>
    <w:rPr>
      <w:rFonts w:ascii="Times New Roman" w:eastAsiaTheme="minorHAnsi" w:hAnsi="Times New Roman"/>
      <w:sz w:val="24"/>
      <w:lang w:val="es-AR" w:eastAsia="es-AR"/>
    </w:rPr>
  </w:style>
  <w:style w:type="paragraph" w:customStyle="1" w:styleId="SecurityL9">
    <w:name w:val="Security_L9"/>
    <w:basedOn w:val="SecurityL8"/>
    <w:link w:val="SecurityL9Char"/>
    <w:rsid w:val="00B62AB6"/>
    <w:pPr>
      <w:numPr>
        <w:ilvl w:val="8"/>
      </w:numPr>
      <w:spacing w:before="0" w:after="60"/>
      <w:outlineLvl w:val="8"/>
    </w:pPr>
    <w:rPr>
      <w:i/>
    </w:rPr>
  </w:style>
  <w:style w:type="paragraph" w:styleId="BodyText">
    <w:name w:val="Body Text"/>
    <w:aliases w:val="bt"/>
    <w:basedOn w:val="Normal"/>
    <w:link w:val="BodyTextChar"/>
    <w:rsid w:val="00B62AB6"/>
    <w:pPr>
      <w:spacing w:after="240" w:line="240" w:lineRule="atLeast"/>
      <w:jc w:val="both"/>
    </w:pPr>
    <w:rPr>
      <w:rFonts w:ascii="Times New Roman" w:hAnsi="Times New Roman"/>
      <w:lang w:val="en-CA"/>
    </w:rPr>
  </w:style>
  <w:style w:type="character" w:customStyle="1" w:styleId="BodyTextChar">
    <w:name w:val="Body Text Char"/>
    <w:aliases w:val="bt Char"/>
    <w:basedOn w:val="DefaultParagraphFont"/>
    <w:link w:val="BodyText"/>
    <w:rsid w:val="00B62AB6"/>
    <w:rPr>
      <w:rFonts w:ascii="Times New Roman" w:eastAsia="Times New Roman" w:hAnsi="Times New Roman" w:cs="Times New Roman"/>
      <w:szCs w:val="24"/>
      <w:lang w:val="en-CA"/>
    </w:rPr>
  </w:style>
  <w:style w:type="character" w:customStyle="1" w:styleId="TableTextChar">
    <w:name w:val="Table Text Char"/>
    <w:aliases w:val="tt Char"/>
    <w:basedOn w:val="DefaultParagraphFont"/>
    <w:link w:val="tabletext"/>
    <w:rsid w:val="00B62AB6"/>
    <w:rPr>
      <w:rFonts w:ascii="Times New Roman" w:eastAsia="Times New Roman" w:hAnsi="Times New Roman" w:cs="Times New Roman"/>
      <w:sz w:val="20"/>
      <w:szCs w:val="24"/>
      <w:lang w:val="en-CA"/>
    </w:rPr>
  </w:style>
  <w:style w:type="character" w:styleId="CommentReference">
    <w:name w:val="annotation reference"/>
    <w:unhideWhenUsed/>
    <w:rsid w:val="004951CB"/>
    <w:rPr>
      <w:sz w:val="16"/>
      <w:szCs w:val="16"/>
    </w:rPr>
  </w:style>
  <w:style w:type="paragraph" w:styleId="CommentText">
    <w:name w:val="annotation text"/>
    <w:basedOn w:val="Normal"/>
    <w:link w:val="CommentTextChar"/>
    <w:uiPriority w:val="99"/>
    <w:unhideWhenUsed/>
    <w:rsid w:val="004951CB"/>
    <w:rPr>
      <w:rFonts w:ascii="Arial" w:hAnsi="Arial"/>
      <w:sz w:val="20"/>
      <w:szCs w:val="20"/>
    </w:rPr>
  </w:style>
  <w:style w:type="character" w:customStyle="1" w:styleId="CommentTextChar">
    <w:name w:val="Comment Text Char"/>
    <w:basedOn w:val="DefaultParagraphFont"/>
    <w:link w:val="CommentText"/>
    <w:uiPriority w:val="99"/>
    <w:rsid w:val="004951CB"/>
    <w:rPr>
      <w:rFonts w:ascii="Arial" w:eastAsia="Times New Roman" w:hAnsi="Arial" w:cs="Times New Roman"/>
      <w:sz w:val="20"/>
      <w:szCs w:val="20"/>
    </w:rPr>
  </w:style>
  <w:style w:type="table" w:styleId="GridTable1Light">
    <w:name w:val="Grid Table 1 Light"/>
    <w:basedOn w:val="TableNormal"/>
    <w:uiPriority w:val="46"/>
    <w:rsid w:val="00631E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Indent">
    <w:name w:val="Body Text Indent"/>
    <w:basedOn w:val="Normal"/>
    <w:link w:val="BodyTextIndentChar"/>
    <w:uiPriority w:val="99"/>
    <w:semiHidden/>
    <w:unhideWhenUsed/>
    <w:rsid w:val="002A7212"/>
    <w:pPr>
      <w:spacing w:after="120"/>
      <w:ind w:left="283"/>
    </w:pPr>
  </w:style>
  <w:style w:type="character" w:customStyle="1" w:styleId="BodyTextIndentChar">
    <w:name w:val="Body Text Indent Char"/>
    <w:basedOn w:val="DefaultParagraphFont"/>
    <w:link w:val="BodyTextIndent"/>
    <w:uiPriority w:val="99"/>
    <w:semiHidden/>
    <w:rsid w:val="002A7212"/>
    <w:rPr>
      <w:rFonts w:ascii="Verdana" w:eastAsia="Times New Roman" w:hAnsi="Verdana"/>
      <w:sz w:val="22"/>
      <w:szCs w:val="24"/>
    </w:rPr>
  </w:style>
  <w:style w:type="paragraph" w:styleId="CommentSubject">
    <w:name w:val="annotation subject"/>
    <w:basedOn w:val="CommentText"/>
    <w:next w:val="CommentText"/>
    <w:link w:val="CommentSubjectChar"/>
    <w:uiPriority w:val="99"/>
    <w:semiHidden/>
    <w:unhideWhenUsed/>
    <w:rsid w:val="008A56D8"/>
    <w:rPr>
      <w:rFonts w:ascii="Verdana" w:hAnsi="Verdana"/>
      <w:b/>
      <w:bCs/>
    </w:rPr>
  </w:style>
  <w:style w:type="paragraph" w:customStyle="1" w:styleId="AuditBody">
    <w:name w:val="AuditBody"/>
    <w:aliases w:val="ab,Audit Body"/>
    <w:basedOn w:val="Normal"/>
    <w:rsid w:val="002B0AA5"/>
    <w:pPr>
      <w:overflowPunct w:val="0"/>
      <w:autoSpaceDE w:val="0"/>
      <w:autoSpaceDN w:val="0"/>
      <w:adjustRightInd w:val="0"/>
      <w:spacing w:before="120" w:line="280" w:lineRule="atLeast"/>
      <w:jc w:val="both"/>
      <w:textAlignment w:val="baseline"/>
    </w:pPr>
    <w:rPr>
      <w:rFonts w:ascii="Arial" w:hAnsi="Arial"/>
      <w:sz w:val="20"/>
      <w:szCs w:val="20"/>
    </w:rPr>
  </w:style>
  <w:style w:type="paragraph" w:customStyle="1" w:styleId="SecurityCont2">
    <w:name w:val="Security Cont 2"/>
    <w:aliases w:val="s2"/>
    <w:basedOn w:val="Normal"/>
    <w:link w:val="SecurityCont2Char"/>
    <w:rsid w:val="00810E7B"/>
    <w:pPr>
      <w:spacing w:after="240"/>
      <w:jc w:val="both"/>
    </w:pPr>
    <w:rPr>
      <w:rFonts w:ascii="Times New Roman" w:hAnsi="Times New Roman"/>
      <w:sz w:val="20"/>
      <w:szCs w:val="20"/>
      <w:lang w:val="en-CA"/>
    </w:rPr>
  </w:style>
  <w:style w:type="paragraph" w:customStyle="1" w:styleId="SecurityCont3">
    <w:name w:val="Security Cont 3"/>
    <w:aliases w:val="s3"/>
    <w:basedOn w:val="SecurityCont2"/>
    <w:link w:val="SecurityCont3Char"/>
    <w:uiPriority w:val="99"/>
    <w:rsid w:val="00427A41"/>
  </w:style>
  <w:style w:type="character" w:customStyle="1" w:styleId="SecurityCont2Char">
    <w:name w:val="Security Cont 2 Char"/>
    <w:aliases w:val="s2 Char"/>
    <w:basedOn w:val="DefaultParagraphFont"/>
    <w:link w:val="SecurityCont2"/>
    <w:rsid w:val="00CD4697"/>
    <w:rPr>
      <w:rFonts w:ascii="Times New Roman" w:eastAsia="Times New Roman" w:hAnsi="Times New Roman"/>
      <w:lang w:val="en-CA"/>
    </w:rPr>
  </w:style>
  <w:style w:type="character" w:customStyle="1" w:styleId="SecurityL8Char">
    <w:name w:val="Security_L8 Char"/>
    <w:basedOn w:val="DefaultParagraphFont"/>
    <w:link w:val="SecurityL8"/>
    <w:rsid w:val="00CD4697"/>
    <w:rPr>
      <w:rFonts w:ascii="Times New Roman" w:eastAsia="Times New Roman" w:hAnsi="Times New Roman"/>
      <w:sz w:val="18"/>
      <w:lang w:val="en-CA"/>
    </w:rPr>
  </w:style>
  <w:style w:type="paragraph" w:styleId="FootnoteText">
    <w:name w:val="footnote text"/>
    <w:basedOn w:val="Normal"/>
    <w:link w:val="FootnoteTextChar"/>
    <w:uiPriority w:val="99"/>
    <w:unhideWhenUsed/>
    <w:rsid w:val="00EE79E4"/>
    <w:rPr>
      <w:sz w:val="20"/>
      <w:szCs w:val="20"/>
    </w:rPr>
  </w:style>
  <w:style w:type="character" w:customStyle="1" w:styleId="FootnoteTextChar">
    <w:name w:val="Footnote Text Char"/>
    <w:basedOn w:val="DefaultParagraphFont"/>
    <w:link w:val="FootnoteText"/>
    <w:uiPriority w:val="99"/>
    <w:rsid w:val="00EE79E4"/>
    <w:rPr>
      <w:rFonts w:ascii="Verdana" w:eastAsia="Times New Roman" w:hAnsi="Verdana"/>
    </w:rPr>
  </w:style>
  <w:style w:type="paragraph" w:customStyle="1" w:styleId="Header1">
    <w:name w:val="Header_1"/>
    <w:uiPriority w:val="99"/>
    <w:unhideWhenUsed/>
    <w:pPr>
      <w:tabs>
        <w:tab w:val="center" w:pos="4680"/>
        <w:tab w:val="right" w:pos="9360"/>
      </w:tabs>
    </w:pPr>
    <w:rPr>
      <w:sz w:val="22"/>
      <w:szCs w:val="22"/>
    </w:rPr>
  </w:style>
  <w:style w:type="character" w:styleId="FootnoteReference">
    <w:name w:val="footnote reference"/>
    <w:basedOn w:val="DefaultParagraphFont"/>
    <w:uiPriority w:val="99"/>
    <w:semiHidden/>
    <w:unhideWhenUsed/>
    <w:rsid w:val="00EE79E4"/>
    <w:rPr>
      <w:vertAlign w:val="superscript"/>
    </w:rPr>
  </w:style>
  <w:style w:type="table" w:styleId="TableGridLight">
    <w:name w:val="Grid Table Light"/>
    <w:basedOn w:val="TableNormal"/>
    <w:uiPriority w:val="40"/>
    <w:rsid w:val="00631E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basedOn w:val="DefaultParagraphFont"/>
    <w:uiPriority w:val="19"/>
    <w:qFormat/>
    <w:rsid w:val="00631EE4"/>
    <w:rPr>
      <w:i/>
      <w:iCs/>
    </w:rPr>
  </w:style>
  <w:style w:type="table" w:styleId="MediumShading2-Accent5">
    <w:name w:val="Medium Shading 2 Accent 5"/>
    <w:basedOn w:val="TableNormal"/>
    <w:uiPriority w:val="64"/>
    <w:rsid w:val="00631EE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480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15">
      <w:bodyDiv w:val="1"/>
      <w:marLeft w:val="0"/>
      <w:marRight w:val="0"/>
      <w:marTop w:val="0"/>
      <w:marBottom w:val="0"/>
      <w:divBdr>
        <w:top w:val="none" w:sz="0" w:space="0" w:color="auto"/>
        <w:left w:val="none" w:sz="0" w:space="0" w:color="auto"/>
        <w:bottom w:val="none" w:sz="0" w:space="0" w:color="auto"/>
        <w:right w:val="none" w:sz="0" w:space="0" w:color="auto"/>
      </w:divBdr>
    </w:div>
    <w:div w:id="470825882">
      <w:bodyDiv w:val="1"/>
      <w:marLeft w:val="0"/>
      <w:marRight w:val="0"/>
      <w:marTop w:val="0"/>
      <w:marBottom w:val="0"/>
      <w:divBdr>
        <w:top w:val="none" w:sz="0" w:space="0" w:color="auto"/>
        <w:left w:val="none" w:sz="0" w:space="0" w:color="auto"/>
        <w:bottom w:val="none" w:sz="0" w:space="0" w:color="auto"/>
        <w:right w:val="none" w:sz="0" w:space="0" w:color="auto"/>
      </w:divBdr>
    </w:div>
    <w:div w:id="506552879">
      <w:bodyDiv w:val="1"/>
      <w:marLeft w:val="0"/>
      <w:marRight w:val="0"/>
      <w:marTop w:val="0"/>
      <w:marBottom w:val="0"/>
      <w:divBdr>
        <w:top w:val="none" w:sz="0" w:space="0" w:color="auto"/>
        <w:left w:val="none" w:sz="0" w:space="0" w:color="auto"/>
        <w:bottom w:val="none" w:sz="0" w:space="0" w:color="auto"/>
        <w:right w:val="none" w:sz="0" w:space="0" w:color="auto"/>
      </w:divBdr>
    </w:div>
    <w:div w:id="693533190">
      <w:bodyDiv w:val="1"/>
      <w:marLeft w:val="0"/>
      <w:marRight w:val="0"/>
      <w:marTop w:val="0"/>
      <w:marBottom w:val="0"/>
      <w:divBdr>
        <w:top w:val="none" w:sz="0" w:space="0" w:color="auto"/>
        <w:left w:val="none" w:sz="0" w:space="0" w:color="auto"/>
        <w:bottom w:val="none" w:sz="0" w:space="0" w:color="auto"/>
        <w:right w:val="none" w:sz="0" w:space="0" w:color="auto"/>
      </w:divBdr>
    </w:div>
    <w:div w:id="830370901">
      <w:bodyDiv w:val="1"/>
      <w:marLeft w:val="0"/>
      <w:marRight w:val="0"/>
      <w:marTop w:val="0"/>
      <w:marBottom w:val="0"/>
      <w:divBdr>
        <w:top w:val="none" w:sz="0" w:space="0" w:color="auto"/>
        <w:left w:val="none" w:sz="0" w:space="0" w:color="auto"/>
        <w:bottom w:val="none" w:sz="0" w:space="0" w:color="auto"/>
        <w:right w:val="none" w:sz="0" w:space="0" w:color="auto"/>
      </w:divBdr>
    </w:div>
    <w:div w:id="842625594">
      <w:bodyDiv w:val="1"/>
      <w:marLeft w:val="0"/>
      <w:marRight w:val="0"/>
      <w:marTop w:val="0"/>
      <w:marBottom w:val="0"/>
      <w:divBdr>
        <w:top w:val="none" w:sz="0" w:space="0" w:color="auto"/>
        <w:left w:val="none" w:sz="0" w:space="0" w:color="auto"/>
        <w:bottom w:val="none" w:sz="0" w:space="0" w:color="auto"/>
        <w:right w:val="none" w:sz="0" w:space="0" w:color="auto"/>
      </w:divBdr>
    </w:div>
    <w:div w:id="848372547">
      <w:bodyDiv w:val="1"/>
      <w:marLeft w:val="0"/>
      <w:marRight w:val="0"/>
      <w:marTop w:val="0"/>
      <w:marBottom w:val="0"/>
      <w:divBdr>
        <w:top w:val="none" w:sz="0" w:space="0" w:color="auto"/>
        <w:left w:val="none" w:sz="0" w:space="0" w:color="auto"/>
        <w:bottom w:val="none" w:sz="0" w:space="0" w:color="auto"/>
        <w:right w:val="none" w:sz="0" w:space="0" w:color="auto"/>
      </w:divBdr>
    </w:div>
    <w:div w:id="944459396">
      <w:bodyDiv w:val="1"/>
      <w:marLeft w:val="0"/>
      <w:marRight w:val="0"/>
      <w:marTop w:val="0"/>
      <w:marBottom w:val="0"/>
      <w:divBdr>
        <w:top w:val="none" w:sz="0" w:space="0" w:color="auto"/>
        <w:left w:val="none" w:sz="0" w:space="0" w:color="auto"/>
        <w:bottom w:val="none" w:sz="0" w:space="0" w:color="auto"/>
        <w:right w:val="none" w:sz="0" w:space="0" w:color="auto"/>
      </w:divBdr>
    </w:div>
    <w:div w:id="1073091310">
      <w:bodyDiv w:val="1"/>
      <w:marLeft w:val="0"/>
      <w:marRight w:val="0"/>
      <w:marTop w:val="0"/>
      <w:marBottom w:val="0"/>
      <w:divBdr>
        <w:top w:val="none" w:sz="0" w:space="0" w:color="auto"/>
        <w:left w:val="none" w:sz="0" w:space="0" w:color="auto"/>
        <w:bottom w:val="none" w:sz="0" w:space="0" w:color="auto"/>
        <w:right w:val="none" w:sz="0" w:space="0" w:color="auto"/>
      </w:divBdr>
    </w:div>
    <w:div w:id="1239635053">
      <w:bodyDiv w:val="1"/>
      <w:marLeft w:val="0"/>
      <w:marRight w:val="0"/>
      <w:marTop w:val="0"/>
      <w:marBottom w:val="0"/>
      <w:divBdr>
        <w:top w:val="none" w:sz="0" w:space="0" w:color="auto"/>
        <w:left w:val="none" w:sz="0" w:space="0" w:color="auto"/>
        <w:bottom w:val="none" w:sz="0" w:space="0" w:color="auto"/>
        <w:right w:val="none" w:sz="0" w:space="0" w:color="auto"/>
      </w:divBdr>
    </w:div>
    <w:div w:id="1378121507">
      <w:bodyDiv w:val="1"/>
      <w:marLeft w:val="0"/>
      <w:marRight w:val="0"/>
      <w:marTop w:val="0"/>
      <w:marBottom w:val="0"/>
      <w:divBdr>
        <w:top w:val="none" w:sz="0" w:space="0" w:color="auto"/>
        <w:left w:val="none" w:sz="0" w:space="0" w:color="auto"/>
        <w:bottom w:val="none" w:sz="0" w:space="0" w:color="auto"/>
        <w:right w:val="none" w:sz="0" w:space="0" w:color="auto"/>
      </w:divBdr>
    </w:div>
    <w:div w:id="1459641473">
      <w:bodyDiv w:val="1"/>
      <w:marLeft w:val="0"/>
      <w:marRight w:val="0"/>
      <w:marTop w:val="0"/>
      <w:marBottom w:val="0"/>
      <w:divBdr>
        <w:top w:val="none" w:sz="0" w:space="0" w:color="auto"/>
        <w:left w:val="none" w:sz="0" w:space="0" w:color="auto"/>
        <w:bottom w:val="none" w:sz="0" w:space="0" w:color="auto"/>
        <w:right w:val="none" w:sz="0" w:space="0" w:color="auto"/>
      </w:divBdr>
    </w:div>
    <w:div w:id="1565018774">
      <w:bodyDiv w:val="1"/>
      <w:marLeft w:val="0"/>
      <w:marRight w:val="0"/>
      <w:marTop w:val="0"/>
      <w:marBottom w:val="0"/>
      <w:divBdr>
        <w:top w:val="none" w:sz="0" w:space="0" w:color="auto"/>
        <w:left w:val="none" w:sz="0" w:space="0" w:color="auto"/>
        <w:bottom w:val="none" w:sz="0" w:space="0" w:color="auto"/>
        <w:right w:val="none" w:sz="0" w:space="0" w:color="auto"/>
      </w:divBdr>
    </w:div>
    <w:div w:id="1577931113">
      <w:bodyDiv w:val="1"/>
      <w:marLeft w:val="0"/>
      <w:marRight w:val="0"/>
      <w:marTop w:val="0"/>
      <w:marBottom w:val="0"/>
      <w:divBdr>
        <w:top w:val="none" w:sz="0" w:space="0" w:color="auto"/>
        <w:left w:val="none" w:sz="0" w:space="0" w:color="auto"/>
        <w:bottom w:val="none" w:sz="0" w:space="0" w:color="auto"/>
        <w:right w:val="none" w:sz="0" w:space="0" w:color="auto"/>
      </w:divBdr>
    </w:div>
    <w:div w:id="1882936674">
      <w:bodyDiv w:val="1"/>
      <w:marLeft w:val="0"/>
      <w:marRight w:val="0"/>
      <w:marTop w:val="0"/>
      <w:marBottom w:val="0"/>
      <w:divBdr>
        <w:top w:val="none" w:sz="0" w:space="0" w:color="auto"/>
        <w:left w:val="none" w:sz="0" w:space="0" w:color="auto"/>
        <w:bottom w:val="none" w:sz="0" w:space="0" w:color="auto"/>
        <w:right w:val="none" w:sz="0" w:space="0" w:color="auto"/>
      </w:divBdr>
    </w:div>
    <w:div w:id="2005009590">
      <w:bodyDiv w:val="1"/>
      <w:marLeft w:val="0"/>
      <w:marRight w:val="0"/>
      <w:marTop w:val="0"/>
      <w:marBottom w:val="0"/>
      <w:divBdr>
        <w:top w:val="none" w:sz="0" w:space="0" w:color="auto"/>
        <w:left w:val="none" w:sz="0" w:space="0" w:color="auto"/>
        <w:bottom w:val="none" w:sz="0" w:space="0" w:color="auto"/>
        <w:right w:val="none" w:sz="0" w:space="0" w:color="auto"/>
      </w:divBdr>
    </w:div>
    <w:div w:id="21363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rownpointenerg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darplus.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madden@crownpointenergy.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moss@crownpoint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ACTIVE!15135786.2</documentid>
  <senderid>JTO</senderid>
  <senderemail>JTO@BDPLAW.COM</senderemail>
  <lastmodified>2026-03-06T14:22:00.0000000-07:00</lastmodified>
  <database>ACTIVE</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42D8-49F0-47BC-959F-3BC45AD594BC}">
  <ds:schemaRefs>
    <ds:schemaRef ds:uri="http://www.imanage.com/work/xmlschema"/>
  </ds:schemaRefs>
</ds:datastoreItem>
</file>

<file path=customXml/itemProps2.xml><?xml version="1.0" encoding="utf-8"?>
<ds:datastoreItem xmlns:ds="http://schemas.openxmlformats.org/officeDocument/2006/customXml" ds:itemID="{87DF92FF-F4BB-42C0-A258-297DD73334FC}">
  <ds:schemaRefs>
    <ds:schemaRef ds:uri="http://schemas.openxmlformats.org/officeDocument/2006/bibliography"/>
  </ds:schemaRefs>
</ds:datastoreItem>
</file>

<file path=customXml/itemProps3.xml><?xml version="1.0" encoding="utf-8"?>
<ds:datastoreItem xmlns:ds="http://schemas.openxmlformats.org/officeDocument/2006/customXml" ds:itemID="{250B9A83-2A70-4BB1-AA3E-FE9AEB341219}">
  <ds:schemaRefs>
    <ds:schemaRef ds:uri="http://schemas.openxmlformats.org/officeDocument/2006/bibliography"/>
  </ds:schemaRefs>
</ds:datastoreItem>
</file>

<file path=customXml/itemProps4.xml><?xml version="1.0" encoding="utf-8"?>
<ds:datastoreItem xmlns:ds="http://schemas.openxmlformats.org/officeDocument/2006/customXml" ds:itemID="{7DE09A3E-1119-4AF3-9302-ADEA0421F121}">
  <ds:schemaRefs>
    <ds:schemaRef ds:uri="http://schemas.openxmlformats.org/officeDocument/2006/bibliography"/>
  </ds:schemaRefs>
</ds:datastoreItem>
</file>

<file path=customXml/itemProps5.xml><?xml version="1.0" encoding="utf-8"?>
<ds:datastoreItem xmlns:ds="http://schemas.openxmlformats.org/officeDocument/2006/customXml" ds:itemID="{CD450D1C-C704-4948-8EAB-134D70BE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3111</Words>
  <Characters>16739</Characters>
  <Application>Microsoft Office Word</Application>
  <DocSecurity>0</DocSecurity>
  <Lines>557</Lines>
  <Paragraphs>389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Company</Company>
  <LinksUpToDate>false</LinksUpToDate>
  <CharactersWithSpaces>19461</CharactersWithSpaces>
  <SharedDoc>false</SharedDoc>
  <HLinks>
    <vt:vector size="48" baseType="variant">
      <vt:variant>
        <vt:i4>4259923</vt:i4>
      </vt:variant>
      <vt:variant>
        <vt:i4>21</vt:i4>
      </vt:variant>
      <vt:variant>
        <vt:i4>0</vt:i4>
      </vt:variant>
      <vt:variant>
        <vt:i4>5</vt:i4>
      </vt:variant>
      <vt:variant>
        <vt:lpwstr>http://www.crownpointenergy.com/</vt:lpwstr>
      </vt:variant>
      <vt:variant>
        <vt:lpwstr/>
      </vt:variant>
      <vt:variant>
        <vt:i4>2949128</vt:i4>
      </vt:variant>
      <vt:variant>
        <vt:i4>18</vt:i4>
      </vt:variant>
      <vt:variant>
        <vt:i4>0</vt:i4>
      </vt:variant>
      <vt:variant>
        <vt:i4>5</vt:i4>
      </vt:variant>
      <vt:variant>
        <vt:lpwstr>mailto:amadden@crownpointenergy.com</vt:lpwstr>
      </vt:variant>
      <vt:variant>
        <vt:lpwstr/>
      </vt:variant>
      <vt:variant>
        <vt:i4>2162777</vt:i4>
      </vt:variant>
      <vt:variant>
        <vt:i4>15</vt:i4>
      </vt:variant>
      <vt:variant>
        <vt:i4>0</vt:i4>
      </vt:variant>
      <vt:variant>
        <vt:i4>5</vt:i4>
      </vt:variant>
      <vt:variant>
        <vt:lpwstr>mailto:m.mccartney@crownpointenergy.com</vt:lpwstr>
      </vt:variant>
      <vt:variant>
        <vt:lpwstr/>
      </vt:variant>
      <vt:variant>
        <vt:i4>4259923</vt:i4>
      </vt:variant>
      <vt:variant>
        <vt:i4>12</vt:i4>
      </vt:variant>
      <vt:variant>
        <vt:i4>0</vt:i4>
      </vt:variant>
      <vt:variant>
        <vt:i4>5</vt:i4>
      </vt:variant>
      <vt:variant>
        <vt:lpwstr>http://www.crownpointenergy.com/</vt:lpwstr>
      </vt:variant>
      <vt:variant>
        <vt:lpwstr/>
      </vt:variant>
      <vt:variant>
        <vt:i4>4194325</vt:i4>
      </vt:variant>
      <vt:variant>
        <vt:i4>9</vt:i4>
      </vt:variant>
      <vt:variant>
        <vt:i4>0</vt:i4>
      </vt:variant>
      <vt:variant>
        <vt:i4>5</vt:i4>
      </vt:variant>
      <vt:variant>
        <vt:lpwstr>http://www.sedar.com/</vt:lpwstr>
      </vt:variant>
      <vt:variant>
        <vt:lpwstr/>
      </vt:variant>
      <vt:variant>
        <vt:i4>4259923</vt:i4>
      </vt:variant>
      <vt:variant>
        <vt:i4>6</vt:i4>
      </vt:variant>
      <vt:variant>
        <vt:i4>0</vt:i4>
      </vt:variant>
      <vt:variant>
        <vt:i4>5</vt:i4>
      </vt:variant>
      <vt:variant>
        <vt:lpwstr>http://www.crownpointenergy.com/</vt:lpwstr>
      </vt:variant>
      <vt:variant>
        <vt:lpwstr/>
      </vt:variant>
      <vt:variant>
        <vt:i4>4194325</vt:i4>
      </vt:variant>
      <vt:variant>
        <vt:i4>3</vt:i4>
      </vt:variant>
      <vt:variant>
        <vt:i4>0</vt:i4>
      </vt:variant>
      <vt:variant>
        <vt:i4>5</vt:i4>
      </vt:variant>
      <vt:variant>
        <vt:lpwstr>http://www.sedar.com/</vt:lpwstr>
      </vt:variant>
      <vt:variant>
        <vt:lpwstr/>
      </vt:variant>
      <vt:variant>
        <vt:i4>4259923</vt:i4>
      </vt:variant>
      <vt:variant>
        <vt:i4>0</vt:i4>
      </vt:variant>
      <vt:variant>
        <vt:i4>0</vt:i4>
      </vt:variant>
      <vt:variant>
        <vt:i4>5</vt:i4>
      </vt:variant>
      <vt:variant>
        <vt:lpwstr>http://www.crownpointenergy.com/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Seifert</dc:creator>
  <cp:keywords/>
  <cp:lastModifiedBy>Yamila Ortiz</cp:lastModifiedBy>
  <cp:revision>2</cp:revision>
  <cp:lastPrinted>2024-03-06T22:41:00Z</cp:lastPrinted>
  <dcterms:created xsi:type="dcterms:W3CDTF">2026-03-20T15:02:00Z</dcterms:created>
  <dcterms:modified xsi:type="dcterms:W3CDTF">2026-03-20T15:02:00Z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15135742.1</vt:lpwstr>
  </property>
  <property fmtid="{D5CDD505-2E9C-101B-9397-08002B2CF9AE}" pid="3" name="DocXFormat">
    <vt:lpwstr>BDP DOCID</vt:lpwstr>
  </property>
  <property fmtid="{D5CDD505-2E9C-101B-9397-08002B2CF9AE}" pid="4" name="DocXLocation">
    <vt:lpwstr>NoDocId</vt:lpwstr>
  </property>
</Properties>
</file>