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D41497" w14:textId="7B060BB0" w:rsidR="00236958" w:rsidRPr="0009573C" w:rsidRDefault="0009573C" w:rsidP="0009573C">
      <w:pPr>
        <w:widowControl w:val="0"/>
        <w:tabs>
          <w:tab w:val="right" w:pos="8640"/>
        </w:tabs>
        <w:jc w:val="both"/>
        <w:rPr>
          <w:rFonts w:ascii="Times New Roman" w:hAnsi="Times New Roman"/>
          <w:szCs w:val="22"/>
          <w:lang w:val="es-AR"/>
        </w:rPr>
      </w:pPr>
      <w:r w:rsidRPr="0009573C">
        <w:rPr>
          <w:rFonts w:ascii="Times New Roman" w:hAnsi="Times New Roman"/>
          <w:szCs w:val="22"/>
          <w:lang w:val="es-AR"/>
        </w:rPr>
        <w:t>PARA PUBLICACIÓN INMEDIATA</w:t>
      </w:r>
      <w:r w:rsidR="00236958" w:rsidRPr="0009573C">
        <w:rPr>
          <w:rFonts w:ascii="Times New Roman" w:hAnsi="Times New Roman"/>
          <w:szCs w:val="22"/>
          <w:lang w:val="es-AR"/>
        </w:rPr>
        <w:t xml:space="preserve"> </w:t>
      </w:r>
      <w:r w:rsidR="00236958" w:rsidRPr="0009573C">
        <w:rPr>
          <w:rFonts w:ascii="Times New Roman" w:hAnsi="Times New Roman"/>
          <w:szCs w:val="22"/>
          <w:lang w:val="es-AR"/>
        </w:rPr>
        <w:tab/>
        <w:t>CWV: TSX.V</w:t>
      </w:r>
    </w:p>
    <w:p w14:paraId="51EB6CDA" w14:textId="77777777" w:rsidR="0009573C" w:rsidRPr="0009573C" w:rsidRDefault="0009573C" w:rsidP="0009573C">
      <w:pPr>
        <w:widowControl w:val="0"/>
        <w:jc w:val="both"/>
        <w:rPr>
          <w:rFonts w:ascii="Times New Roman" w:hAnsi="Times New Roman"/>
          <w:szCs w:val="22"/>
          <w:lang w:val="es-AR"/>
        </w:rPr>
      </w:pPr>
      <w:r w:rsidRPr="0009573C">
        <w:rPr>
          <w:rFonts w:ascii="Times New Roman" w:hAnsi="Times New Roman"/>
          <w:szCs w:val="22"/>
          <w:lang w:val="es-AR"/>
        </w:rPr>
        <w:t>30 de enero de 2026</w:t>
      </w:r>
    </w:p>
    <w:p w14:paraId="70D8994D" w14:textId="77777777" w:rsidR="0009573C" w:rsidRDefault="0009573C" w:rsidP="0009573C">
      <w:pPr>
        <w:widowControl w:val="0"/>
        <w:jc w:val="both"/>
        <w:rPr>
          <w:rFonts w:ascii="Times New Roman" w:hAnsi="Times New Roman"/>
          <w:b/>
          <w:bCs/>
          <w:szCs w:val="22"/>
          <w:lang w:val="es-AR"/>
        </w:rPr>
      </w:pPr>
    </w:p>
    <w:p w14:paraId="4FBBB844" w14:textId="6B27CC61" w:rsidR="0009573C" w:rsidRPr="0009573C" w:rsidRDefault="0009573C" w:rsidP="0009573C">
      <w:pPr>
        <w:widowControl w:val="0"/>
        <w:jc w:val="center"/>
        <w:rPr>
          <w:rFonts w:ascii="Times New Roman" w:hAnsi="Times New Roman"/>
          <w:b/>
          <w:bCs/>
          <w:szCs w:val="22"/>
          <w:lang w:val="es-AR"/>
        </w:rPr>
      </w:pPr>
      <w:r w:rsidRPr="0009573C">
        <w:rPr>
          <w:rFonts w:ascii="Times New Roman" w:hAnsi="Times New Roman"/>
          <w:b/>
          <w:bCs/>
          <w:szCs w:val="22"/>
          <w:lang w:val="es-AR"/>
        </w:rPr>
        <w:t>Crown Point anuncia la colocación de Notas Serie IX por US$ 30,0 millones</w:t>
      </w:r>
    </w:p>
    <w:p w14:paraId="3DD5BD41" w14:textId="77777777" w:rsidR="0009573C" w:rsidRDefault="0009573C" w:rsidP="0009573C">
      <w:pPr>
        <w:widowControl w:val="0"/>
        <w:jc w:val="both"/>
        <w:rPr>
          <w:rFonts w:ascii="Times New Roman" w:hAnsi="Times New Roman"/>
          <w:b/>
          <w:bCs/>
          <w:szCs w:val="22"/>
        </w:rPr>
      </w:pPr>
    </w:p>
    <w:p w14:paraId="6F98F712" w14:textId="407E06C0" w:rsidR="0009573C" w:rsidRPr="0009573C" w:rsidRDefault="0009573C" w:rsidP="0009573C">
      <w:pPr>
        <w:widowControl w:val="0"/>
        <w:jc w:val="both"/>
        <w:rPr>
          <w:rFonts w:ascii="Times New Roman" w:hAnsi="Times New Roman"/>
          <w:szCs w:val="22"/>
          <w:lang w:val="es-AR"/>
        </w:rPr>
      </w:pPr>
      <w:r w:rsidRPr="0009573C">
        <w:rPr>
          <w:rFonts w:ascii="Times New Roman" w:hAnsi="Times New Roman"/>
          <w:b/>
          <w:bCs/>
          <w:szCs w:val="22"/>
        </w:rPr>
        <w:t>TSX-V: CWV:</w:t>
      </w:r>
      <w:r w:rsidRPr="0009573C">
        <w:rPr>
          <w:rFonts w:ascii="Times New Roman" w:hAnsi="Times New Roman"/>
          <w:szCs w:val="22"/>
        </w:rPr>
        <w:t xml:space="preserve"> Crown Point Energy Inc. </w:t>
      </w:r>
      <w:r w:rsidRPr="0009573C">
        <w:rPr>
          <w:rFonts w:ascii="Times New Roman" w:hAnsi="Times New Roman"/>
          <w:szCs w:val="22"/>
          <w:lang w:val="es-AR"/>
        </w:rPr>
        <w:t>(“</w:t>
      </w:r>
      <w:r w:rsidRPr="0009573C">
        <w:rPr>
          <w:rFonts w:ascii="Times New Roman" w:hAnsi="Times New Roman"/>
          <w:b/>
          <w:bCs/>
          <w:szCs w:val="22"/>
          <w:lang w:val="es-AR"/>
        </w:rPr>
        <w:t>Crown Point</w:t>
      </w:r>
      <w:r w:rsidRPr="0009573C">
        <w:rPr>
          <w:rFonts w:ascii="Times New Roman" w:hAnsi="Times New Roman"/>
          <w:szCs w:val="22"/>
          <w:lang w:val="es-AR"/>
        </w:rPr>
        <w:t>”, la “</w:t>
      </w:r>
      <w:r w:rsidRPr="0009573C">
        <w:rPr>
          <w:rFonts w:ascii="Times New Roman" w:hAnsi="Times New Roman"/>
          <w:b/>
          <w:bCs/>
          <w:szCs w:val="22"/>
          <w:lang w:val="es-AR"/>
        </w:rPr>
        <w:t>Compañía</w:t>
      </w:r>
      <w:r w:rsidRPr="0009573C">
        <w:rPr>
          <w:rFonts w:ascii="Times New Roman" w:hAnsi="Times New Roman"/>
          <w:szCs w:val="22"/>
          <w:lang w:val="es-AR"/>
        </w:rPr>
        <w:t>” o “</w:t>
      </w:r>
      <w:r w:rsidRPr="0009573C">
        <w:rPr>
          <w:rFonts w:ascii="Times New Roman" w:hAnsi="Times New Roman"/>
          <w:b/>
          <w:bCs/>
          <w:szCs w:val="22"/>
          <w:lang w:val="es-AR"/>
        </w:rPr>
        <w:t>nosotros</w:t>
      </w:r>
      <w:r w:rsidRPr="0009573C">
        <w:rPr>
          <w:rFonts w:ascii="Times New Roman" w:hAnsi="Times New Roman"/>
          <w:szCs w:val="22"/>
          <w:lang w:val="es-AR"/>
        </w:rPr>
        <w:t>”) se complace en anunciar que su subsidiaria argentina de propiedad total, Crown Point Energía S.A. (“</w:t>
      </w:r>
      <w:r w:rsidRPr="0009573C">
        <w:rPr>
          <w:rFonts w:ascii="Times New Roman" w:hAnsi="Times New Roman"/>
          <w:b/>
          <w:bCs/>
          <w:szCs w:val="22"/>
          <w:lang w:val="es-AR"/>
        </w:rPr>
        <w:t>CPE</w:t>
      </w:r>
      <w:r w:rsidRPr="0009573C">
        <w:rPr>
          <w:rFonts w:ascii="Times New Roman" w:hAnsi="Times New Roman"/>
          <w:szCs w:val="22"/>
          <w:lang w:val="es-AR"/>
        </w:rPr>
        <w:t>”), ha emitido un monto total de capital de US$ 30,0 millones en notas garantizadas a tasa fija Serie IX (las “</w:t>
      </w:r>
      <w:r w:rsidRPr="0009573C">
        <w:rPr>
          <w:rFonts w:ascii="Times New Roman" w:hAnsi="Times New Roman"/>
          <w:b/>
          <w:bCs/>
          <w:szCs w:val="22"/>
          <w:lang w:val="es-AR"/>
        </w:rPr>
        <w:t>Notas Serie IX</w:t>
      </w:r>
      <w:r w:rsidRPr="0009573C">
        <w:rPr>
          <w:rFonts w:ascii="Times New Roman" w:hAnsi="Times New Roman"/>
          <w:szCs w:val="22"/>
          <w:lang w:val="es-AR"/>
        </w:rPr>
        <w:t>”), denominadas en dólares estadounidenses y pagaderas en pesos (la “</w:t>
      </w:r>
      <w:r w:rsidRPr="0009573C">
        <w:rPr>
          <w:rFonts w:ascii="Times New Roman" w:hAnsi="Times New Roman"/>
          <w:b/>
          <w:bCs/>
          <w:szCs w:val="22"/>
          <w:lang w:val="es-AR"/>
        </w:rPr>
        <w:t>Oferta</w:t>
      </w:r>
      <w:r w:rsidRPr="0009573C">
        <w:rPr>
          <w:rFonts w:ascii="Times New Roman" w:hAnsi="Times New Roman"/>
          <w:szCs w:val="22"/>
          <w:lang w:val="es-AR"/>
        </w:rPr>
        <w:t>”).</w:t>
      </w:r>
    </w:p>
    <w:p w14:paraId="2A2E4745" w14:textId="77777777" w:rsidR="0009573C" w:rsidRDefault="0009573C" w:rsidP="0009573C">
      <w:pPr>
        <w:widowControl w:val="0"/>
        <w:jc w:val="both"/>
        <w:rPr>
          <w:rFonts w:ascii="Times New Roman" w:hAnsi="Times New Roman"/>
          <w:szCs w:val="22"/>
          <w:lang w:val="es-AR"/>
        </w:rPr>
      </w:pPr>
    </w:p>
    <w:p w14:paraId="5A4B5CBB" w14:textId="4BCA47B8" w:rsidR="0009573C" w:rsidRDefault="0009573C" w:rsidP="0009573C">
      <w:pPr>
        <w:widowControl w:val="0"/>
        <w:jc w:val="both"/>
        <w:rPr>
          <w:rFonts w:ascii="Times New Roman" w:hAnsi="Times New Roman"/>
          <w:szCs w:val="22"/>
          <w:lang w:val="es-AR"/>
        </w:rPr>
      </w:pPr>
      <w:r w:rsidRPr="0009573C">
        <w:rPr>
          <w:rFonts w:ascii="Times New Roman" w:hAnsi="Times New Roman"/>
          <w:szCs w:val="22"/>
          <w:lang w:val="es-AR"/>
        </w:rPr>
        <w:t>El pago de las Notas Serie IX consistió en lo siguiente:</w:t>
      </w:r>
    </w:p>
    <w:p w14:paraId="23018189" w14:textId="77777777" w:rsidR="0009573C" w:rsidRPr="0009573C" w:rsidRDefault="0009573C" w:rsidP="0009573C">
      <w:pPr>
        <w:widowControl w:val="0"/>
        <w:jc w:val="both"/>
        <w:rPr>
          <w:rFonts w:ascii="Times New Roman" w:hAnsi="Times New Roman"/>
          <w:sz w:val="14"/>
          <w:szCs w:val="14"/>
          <w:lang w:val="es-AR"/>
        </w:rPr>
      </w:pPr>
    </w:p>
    <w:p w14:paraId="1831610E" w14:textId="77777777" w:rsidR="0009573C" w:rsidRDefault="0009573C" w:rsidP="0009573C">
      <w:pPr>
        <w:widowControl w:val="0"/>
        <w:numPr>
          <w:ilvl w:val="0"/>
          <w:numId w:val="2"/>
        </w:numPr>
        <w:jc w:val="both"/>
        <w:rPr>
          <w:rFonts w:ascii="Times New Roman" w:hAnsi="Times New Roman"/>
          <w:szCs w:val="22"/>
          <w:lang w:val="es-AR"/>
        </w:rPr>
      </w:pPr>
      <w:r w:rsidRPr="0009573C">
        <w:rPr>
          <w:rFonts w:ascii="Times New Roman" w:hAnsi="Times New Roman"/>
          <w:szCs w:val="22"/>
          <w:lang w:val="es-AR"/>
        </w:rPr>
        <w:t>Se emitieron Notas Serie IX por un monto de capital de US$ 24.597.000 a cambio de una contraprestación en efectivo, pagadera en pesos.</w:t>
      </w:r>
    </w:p>
    <w:p w14:paraId="1C29BCEA" w14:textId="77777777" w:rsidR="0009573C" w:rsidRPr="0009573C" w:rsidRDefault="0009573C" w:rsidP="0009573C">
      <w:pPr>
        <w:widowControl w:val="0"/>
        <w:ind w:left="720"/>
        <w:jc w:val="both"/>
        <w:rPr>
          <w:rFonts w:ascii="Times New Roman" w:hAnsi="Times New Roman"/>
          <w:sz w:val="14"/>
          <w:szCs w:val="14"/>
          <w:lang w:val="es-AR"/>
        </w:rPr>
      </w:pPr>
    </w:p>
    <w:p w14:paraId="396517E0" w14:textId="77777777" w:rsidR="0009573C" w:rsidRPr="0009573C" w:rsidRDefault="0009573C" w:rsidP="0009573C">
      <w:pPr>
        <w:widowControl w:val="0"/>
        <w:numPr>
          <w:ilvl w:val="0"/>
          <w:numId w:val="2"/>
        </w:numPr>
        <w:jc w:val="both"/>
        <w:rPr>
          <w:rFonts w:ascii="Times New Roman" w:hAnsi="Times New Roman"/>
          <w:szCs w:val="22"/>
          <w:lang w:val="es-AR"/>
        </w:rPr>
      </w:pPr>
      <w:r w:rsidRPr="0009573C">
        <w:rPr>
          <w:rFonts w:ascii="Times New Roman" w:hAnsi="Times New Roman"/>
          <w:szCs w:val="22"/>
          <w:lang w:val="es-AR"/>
        </w:rPr>
        <w:t>Se emitieron Notas Serie IX por un monto de capital de US$ 5.403.000 en canje por la entrega y cancelación de Notas Serie V de la Compañía por un monto de capital de US$ 5.403.000 (las “</w:t>
      </w:r>
      <w:r w:rsidRPr="0009573C">
        <w:rPr>
          <w:rFonts w:ascii="Times New Roman" w:hAnsi="Times New Roman"/>
          <w:b/>
          <w:bCs/>
          <w:szCs w:val="22"/>
          <w:lang w:val="es-AR"/>
        </w:rPr>
        <w:t>Notas Serie V</w:t>
      </w:r>
      <w:r w:rsidRPr="0009573C">
        <w:rPr>
          <w:rFonts w:ascii="Times New Roman" w:hAnsi="Times New Roman"/>
          <w:szCs w:val="22"/>
          <w:lang w:val="es-AR"/>
        </w:rPr>
        <w:t>”), a una relación de canje de US$ 100 de capital en Notas Serie IX por cada US$ 100 de capital en Notas Serie V.</w:t>
      </w:r>
    </w:p>
    <w:p w14:paraId="226703F4" w14:textId="77777777" w:rsidR="0009573C" w:rsidRPr="0009573C" w:rsidRDefault="0009573C" w:rsidP="0009573C">
      <w:pPr>
        <w:widowControl w:val="0"/>
        <w:jc w:val="both"/>
        <w:rPr>
          <w:rFonts w:ascii="Times New Roman" w:hAnsi="Times New Roman"/>
          <w:sz w:val="14"/>
          <w:szCs w:val="14"/>
          <w:lang w:val="es-AR"/>
        </w:rPr>
      </w:pPr>
    </w:p>
    <w:p w14:paraId="7651B248" w14:textId="78B066DC" w:rsidR="0009573C" w:rsidRPr="0009573C" w:rsidRDefault="0009573C" w:rsidP="0009573C">
      <w:pPr>
        <w:widowControl w:val="0"/>
        <w:jc w:val="both"/>
        <w:rPr>
          <w:rFonts w:ascii="Times New Roman" w:hAnsi="Times New Roman"/>
          <w:szCs w:val="22"/>
          <w:lang w:val="es-AR"/>
        </w:rPr>
      </w:pPr>
      <w:r w:rsidRPr="0009573C">
        <w:rPr>
          <w:rFonts w:ascii="Times New Roman" w:hAnsi="Times New Roman"/>
          <w:szCs w:val="22"/>
          <w:lang w:val="es-AR"/>
        </w:rPr>
        <w:t>El monto total de capital de las Notas Serie IX será reembolsado en diez cuotas iguales, a partir del 30 de octubre de 2026, siendo la última cuota pagadera el 30 de enero de 2029. Las Notas Serie IX devengan intereses a una tasa fija del 10,75 % anual, pagaderos trimestralmente por período vencido a partir de la fecha de emisión. Las Notas Serie IX están garantizadas mediante una prenda sobre las cobranzas por ventas de petróleo crudo provenientes de las concesiones El Tordillo, Puesto Quiroga y La Tapera.</w:t>
      </w:r>
    </w:p>
    <w:p w14:paraId="7BE58DEE" w14:textId="77777777" w:rsidR="0009573C" w:rsidRPr="0009573C" w:rsidRDefault="0009573C" w:rsidP="0009573C">
      <w:pPr>
        <w:widowControl w:val="0"/>
        <w:jc w:val="both"/>
        <w:rPr>
          <w:rFonts w:ascii="Times New Roman" w:hAnsi="Times New Roman"/>
          <w:sz w:val="16"/>
          <w:szCs w:val="16"/>
          <w:lang w:val="es-AR"/>
        </w:rPr>
      </w:pPr>
    </w:p>
    <w:p w14:paraId="3731600E" w14:textId="3961E6F1" w:rsidR="0009573C" w:rsidRPr="0009573C" w:rsidRDefault="0009573C" w:rsidP="0009573C">
      <w:pPr>
        <w:widowControl w:val="0"/>
        <w:jc w:val="both"/>
        <w:rPr>
          <w:rFonts w:ascii="Times New Roman" w:hAnsi="Times New Roman"/>
          <w:szCs w:val="22"/>
          <w:lang w:val="es-AR"/>
        </w:rPr>
      </w:pPr>
      <w:r w:rsidRPr="0009573C">
        <w:rPr>
          <w:rFonts w:ascii="Times New Roman" w:hAnsi="Times New Roman"/>
          <w:szCs w:val="22"/>
          <w:lang w:val="es-AR"/>
        </w:rPr>
        <w:t>Los ingresos netos de la Oferta se utilizarán para fines corporativos generales y para realizar inversiones en el desarrollo de activos en Argentina.</w:t>
      </w:r>
    </w:p>
    <w:p w14:paraId="257C43ED" w14:textId="77777777" w:rsidR="0009573C" w:rsidRPr="0009573C" w:rsidRDefault="0009573C" w:rsidP="0009573C">
      <w:pPr>
        <w:widowControl w:val="0"/>
        <w:jc w:val="both"/>
        <w:rPr>
          <w:rFonts w:ascii="Times New Roman" w:hAnsi="Times New Roman"/>
          <w:sz w:val="16"/>
          <w:szCs w:val="16"/>
          <w:lang w:val="es-AR"/>
        </w:rPr>
      </w:pPr>
    </w:p>
    <w:p w14:paraId="7C3EC223" w14:textId="3082D042" w:rsidR="0009573C" w:rsidRDefault="0009573C" w:rsidP="0009573C">
      <w:pPr>
        <w:widowControl w:val="0"/>
        <w:jc w:val="both"/>
        <w:rPr>
          <w:rFonts w:ascii="Times New Roman" w:hAnsi="Times New Roman"/>
          <w:szCs w:val="22"/>
          <w:lang w:val="es-AR"/>
        </w:rPr>
      </w:pPr>
      <w:r w:rsidRPr="0009573C">
        <w:rPr>
          <w:rFonts w:ascii="Times New Roman" w:hAnsi="Times New Roman"/>
          <w:szCs w:val="22"/>
          <w:lang w:val="es-AR"/>
        </w:rPr>
        <w:t>La Oferta se realizó conforme al Programa Global de Emisión de Obligaciones Negociables de CPE por hasta US$ 300 millones (o su equivalente en otras monedas o unidades de valor), establecido mediante el prospecto base de CPE de fecha 18 de junio de 2025, modificado el 4 de noviembre de 2025 y complementado por el suplemento de prospecto de fecha 23 de enero de 2026, cuyas copias se encuentran disponibles en español en la Autopista de la Información Financiera del sitio web de la CNV (</w:t>
      </w:r>
      <w:hyperlink r:id="rId5" w:tgtFrame="_new" w:history="1">
        <w:r w:rsidRPr="0009573C">
          <w:rPr>
            <w:rStyle w:val="Hipervnculo"/>
            <w:rFonts w:ascii="Times New Roman" w:hAnsi="Times New Roman"/>
            <w:color w:val="auto"/>
            <w:szCs w:val="22"/>
            <w:u w:val="none"/>
            <w:lang w:val="es-AR"/>
          </w:rPr>
          <w:t>https://www.argentina.gob.ar/cnv</w:t>
        </w:r>
      </w:hyperlink>
      <w:r w:rsidRPr="0009573C">
        <w:rPr>
          <w:rFonts w:ascii="Times New Roman" w:hAnsi="Times New Roman"/>
          <w:szCs w:val="22"/>
          <w:lang w:val="es-AR"/>
        </w:rPr>
        <w:t>), en el micrositio de colocaciones primarias (MPMAE) de A3 Mercados S.A. (“</w:t>
      </w:r>
      <w:r w:rsidRPr="0009573C">
        <w:rPr>
          <w:rFonts w:ascii="Times New Roman" w:hAnsi="Times New Roman"/>
          <w:b/>
          <w:bCs/>
          <w:szCs w:val="22"/>
          <w:lang w:val="es-AR"/>
        </w:rPr>
        <w:t>A3</w:t>
      </w:r>
      <w:r w:rsidRPr="0009573C">
        <w:rPr>
          <w:rFonts w:ascii="Times New Roman" w:hAnsi="Times New Roman"/>
          <w:szCs w:val="22"/>
          <w:lang w:val="es-AR"/>
        </w:rPr>
        <w:t>”) y en el boletín electrónico diario de Bolsas y Mercados Argentinos S.A. y de A3.</w:t>
      </w:r>
    </w:p>
    <w:p w14:paraId="51815967" w14:textId="77777777" w:rsidR="0009573C" w:rsidRPr="0009573C" w:rsidRDefault="0009573C" w:rsidP="0009573C">
      <w:pPr>
        <w:widowControl w:val="0"/>
        <w:jc w:val="both"/>
        <w:rPr>
          <w:rFonts w:ascii="Times New Roman" w:hAnsi="Times New Roman"/>
          <w:sz w:val="16"/>
          <w:szCs w:val="16"/>
          <w:lang w:val="es-AR"/>
        </w:rPr>
      </w:pPr>
    </w:p>
    <w:p w14:paraId="0EAABCBE" w14:textId="77777777" w:rsidR="0009573C" w:rsidRDefault="0009573C" w:rsidP="0009573C">
      <w:pPr>
        <w:widowControl w:val="0"/>
        <w:jc w:val="both"/>
        <w:rPr>
          <w:rFonts w:ascii="Times New Roman" w:hAnsi="Times New Roman"/>
          <w:szCs w:val="22"/>
          <w:lang w:val="es-AR"/>
        </w:rPr>
      </w:pPr>
      <w:r w:rsidRPr="0009573C">
        <w:rPr>
          <w:rFonts w:ascii="Times New Roman" w:hAnsi="Times New Roman"/>
          <w:szCs w:val="22"/>
          <w:lang w:val="es-AR"/>
        </w:rPr>
        <w:t>Luego del cierre de la Oferta, CPE mantiene en circulación las siguientes notas: Notas Serie V por un monto de capital de US$ 1.780.058; Notas Serie VI por US$ 22.000.000; Notas Serie VII por US$ 25.000.000; y Notas Serie IX por US$ 30.000.000.</w:t>
      </w:r>
    </w:p>
    <w:p w14:paraId="0DCFE09F" w14:textId="77777777" w:rsidR="0009573C" w:rsidRPr="0009573C" w:rsidRDefault="0009573C" w:rsidP="0009573C">
      <w:pPr>
        <w:widowControl w:val="0"/>
        <w:jc w:val="both"/>
        <w:rPr>
          <w:rFonts w:ascii="Times New Roman" w:hAnsi="Times New Roman"/>
          <w:sz w:val="16"/>
          <w:szCs w:val="16"/>
          <w:lang w:val="es-AR"/>
        </w:rPr>
      </w:pPr>
    </w:p>
    <w:p w14:paraId="47177A99" w14:textId="77777777" w:rsidR="0009573C" w:rsidRPr="0009573C" w:rsidRDefault="0009573C" w:rsidP="0009573C">
      <w:pPr>
        <w:widowControl w:val="0"/>
        <w:jc w:val="both"/>
        <w:rPr>
          <w:rFonts w:ascii="Times New Roman" w:hAnsi="Times New Roman"/>
          <w:szCs w:val="22"/>
          <w:lang w:val="es-AR"/>
        </w:rPr>
      </w:pPr>
      <w:r w:rsidRPr="0009573C">
        <w:rPr>
          <w:rFonts w:ascii="Times New Roman" w:hAnsi="Times New Roman"/>
          <w:szCs w:val="22"/>
          <w:lang w:val="es-AR"/>
        </w:rPr>
        <w:t>Las referencias a “US$” corresponden a dólares estadounidenses y las referencias a “pesos” corresponden a pesos argentinos.</w:t>
      </w:r>
    </w:p>
    <w:p w14:paraId="57125D44" w14:textId="77777777" w:rsidR="0009573C" w:rsidRPr="0009573C" w:rsidRDefault="0009573C" w:rsidP="0009573C">
      <w:pPr>
        <w:widowControl w:val="0"/>
        <w:jc w:val="both"/>
        <w:rPr>
          <w:rFonts w:ascii="Times New Roman" w:hAnsi="Times New Roman"/>
          <w:sz w:val="14"/>
          <w:szCs w:val="14"/>
          <w:lang w:val="es-AR"/>
        </w:rPr>
      </w:pPr>
    </w:p>
    <w:p w14:paraId="6AC7148C" w14:textId="7AE8FBD7" w:rsidR="0009573C" w:rsidRDefault="0009573C" w:rsidP="0009573C">
      <w:pPr>
        <w:widowControl w:val="0"/>
        <w:jc w:val="both"/>
        <w:rPr>
          <w:rFonts w:ascii="Times New Roman" w:hAnsi="Times New Roman"/>
          <w:szCs w:val="22"/>
          <w:lang w:val="es-AR"/>
        </w:rPr>
      </w:pPr>
      <w:r w:rsidRPr="0009573C">
        <w:rPr>
          <w:rFonts w:ascii="Times New Roman" w:hAnsi="Times New Roman"/>
          <w:szCs w:val="22"/>
          <w:lang w:val="es-AR"/>
        </w:rPr>
        <w:t>Para consultas, comunicarse con:</w:t>
      </w:r>
    </w:p>
    <w:p w14:paraId="2FA56F6D" w14:textId="77777777" w:rsidR="0009573C" w:rsidRPr="0009573C" w:rsidRDefault="0009573C" w:rsidP="0009573C">
      <w:pPr>
        <w:widowControl w:val="0"/>
        <w:jc w:val="both"/>
        <w:rPr>
          <w:rFonts w:ascii="Times New Roman" w:hAnsi="Times New Roman"/>
          <w:szCs w:val="22"/>
          <w:lang w:val="es-AR"/>
        </w:rPr>
      </w:pPr>
    </w:p>
    <w:p w14:paraId="726C3E4F" w14:textId="45B5106F" w:rsidR="0009573C" w:rsidRPr="0009573C" w:rsidRDefault="0009573C" w:rsidP="0009573C">
      <w:pPr>
        <w:widowControl w:val="0"/>
        <w:rPr>
          <w:rFonts w:ascii="Times New Roman" w:hAnsi="Times New Roman"/>
          <w:szCs w:val="22"/>
          <w:lang w:val="es-AR"/>
        </w:rPr>
      </w:pPr>
      <w:r w:rsidRPr="0009573C">
        <w:rPr>
          <w:rFonts w:ascii="Times New Roman" w:hAnsi="Times New Roman"/>
          <w:szCs w:val="22"/>
          <w:lang w:val="es-AR"/>
        </w:rPr>
        <w:t>Brian Moss</w:t>
      </w:r>
      <w:r w:rsidRPr="0009573C">
        <w:rPr>
          <w:rFonts w:ascii="Times New Roman" w:hAnsi="Times New Roman"/>
          <w:szCs w:val="22"/>
          <w:lang w:val="es-AR"/>
        </w:rPr>
        <w:br/>
        <w:t>Presidente y CEO</w:t>
      </w:r>
      <w:r w:rsidRPr="0009573C">
        <w:rPr>
          <w:rFonts w:ascii="Times New Roman" w:hAnsi="Times New Roman"/>
          <w:szCs w:val="22"/>
          <w:lang w:val="es-AR"/>
        </w:rPr>
        <w:br/>
        <w:t>Tel.: (403) 232-1150</w:t>
      </w:r>
      <w:r w:rsidRPr="0009573C">
        <w:rPr>
          <w:rFonts w:ascii="Times New Roman" w:hAnsi="Times New Roman"/>
          <w:szCs w:val="22"/>
          <w:lang w:val="es-AR"/>
        </w:rPr>
        <w:br/>
        <w:t>Crown Point Energy Inc.</w:t>
      </w:r>
      <w:r w:rsidRPr="0009573C">
        <w:rPr>
          <w:rFonts w:ascii="Times New Roman" w:hAnsi="Times New Roman"/>
          <w:szCs w:val="22"/>
          <w:lang w:val="es-AR"/>
        </w:rPr>
        <w:br/>
      </w:r>
      <w:hyperlink r:id="rId6" w:history="1">
        <w:r w:rsidRPr="0009573C">
          <w:rPr>
            <w:rStyle w:val="Hipervnculo"/>
            <w:rFonts w:ascii="Times New Roman" w:hAnsi="Times New Roman"/>
            <w:szCs w:val="22"/>
            <w:lang w:val="es-AR"/>
          </w:rPr>
          <w:t>bmoss@crownpointenergy.com</w:t>
        </w:r>
      </w:hyperlink>
    </w:p>
    <w:p w14:paraId="3D9F5BDA" w14:textId="77777777" w:rsidR="0009573C" w:rsidRPr="0009573C" w:rsidRDefault="0009573C" w:rsidP="0009573C">
      <w:pPr>
        <w:widowControl w:val="0"/>
        <w:spacing w:after="240"/>
        <w:jc w:val="both"/>
        <w:rPr>
          <w:rFonts w:ascii="Times New Roman" w:hAnsi="Times New Roman"/>
          <w:b/>
          <w:bCs/>
          <w:i/>
          <w:iCs/>
          <w:szCs w:val="22"/>
          <w:lang w:val="es-AR"/>
        </w:rPr>
      </w:pPr>
      <w:r w:rsidRPr="0009573C">
        <w:rPr>
          <w:rFonts w:ascii="Times New Roman" w:hAnsi="Times New Roman"/>
          <w:b/>
          <w:bCs/>
          <w:i/>
          <w:iCs/>
          <w:szCs w:val="22"/>
          <w:lang w:val="es-AR"/>
        </w:rPr>
        <w:lastRenderedPageBreak/>
        <w:t>Acerca de Crown Point</w:t>
      </w:r>
    </w:p>
    <w:p w14:paraId="25939D7A" w14:textId="77777777" w:rsidR="0009573C" w:rsidRDefault="0009573C" w:rsidP="0009573C">
      <w:pPr>
        <w:widowControl w:val="0"/>
        <w:jc w:val="both"/>
        <w:rPr>
          <w:rFonts w:ascii="Times New Roman" w:hAnsi="Times New Roman"/>
          <w:szCs w:val="22"/>
          <w:lang w:val="es-AR"/>
        </w:rPr>
      </w:pPr>
      <w:r w:rsidRPr="0009573C">
        <w:rPr>
          <w:rFonts w:ascii="Times New Roman" w:hAnsi="Times New Roman"/>
          <w:szCs w:val="22"/>
          <w:lang w:val="es-AR"/>
        </w:rPr>
        <w:t>Crown Point es una empresa internacional de exploración y desarrollo de petróleo y gas, con sede en Buenos Aires, Argentina, constituida en Alberta, Canadá, que cotiza en la TSX Venture Exchange y opera en Argentina. Las actividades de exploración y desarrollo de Crown Point se concentran en cuatro cuencas productivas de Argentina: la cuenca del Golfo San Jorge, en las provincias de Santa Cruz y Chubut; la cuenca Austral, en la provincia de Tierra del Fuego; y las cuencas Neuquina y Cuyana, en la provincia de Mendoza.</w:t>
      </w:r>
    </w:p>
    <w:p w14:paraId="673EC632" w14:textId="77777777" w:rsidR="0009573C" w:rsidRPr="0009573C" w:rsidRDefault="0009573C" w:rsidP="0009573C">
      <w:pPr>
        <w:widowControl w:val="0"/>
        <w:jc w:val="both"/>
        <w:rPr>
          <w:rFonts w:ascii="Times New Roman" w:hAnsi="Times New Roman"/>
          <w:sz w:val="14"/>
          <w:szCs w:val="14"/>
          <w:lang w:val="es-AR"/>
        </w:rPr>
      </w:pPr>
    </w:p>
    <w:p w14:paraId="315D8B2A" w14:textId="063E2032" w:rsidR="0009573C" w:rsidRPr="0009573C" w:rsidRDefault="0009573C" w:rsidP="0009573C">
      <w:pPr>
        <w:widowControl w:val="0"/>
        <w:jc w:val="both"/>
        <w:rPr>
          <w:rFonts w:ascii="Times New Roman" w:hAnsi="Times New Roman"/>
          <w:sz w:val="18"/>
          <w:szCs w:val="18"/>
          <w:u w:val="single"/>
          <w:lang w:val="es-AR"/>
        </w:rPr>
      </w:pPr>
      <w:r w:rsidRPr="0009573C">
        <w:rPr>
          <w:rFonts w:ascii="Times New Roman" w:hAnsi="Times New Roman"/>
          <w:szCs w:val="22"/>
          <w:u w:val="single"/>
          <w:lang w:val="es-AR"/>
        </w:rPr>
        <w:t>Información prospectiva</w:t>
      </w:r>
      <w:r>
        <w:rPr>
          <w:rFonts w:ascii="Times New Roman" w:hAnsi="Times New Roman"/>
          <w:szCs w:val="22"/>
          <w:u w:val="single"/>
          <w:lang w:val="es-AR"/>
        </w:rPr>
        <w:t>:</w:t>
      </w:r>
      <w:r w:rsidRPr="0009573C">
        <w:rPr>
          <w:rFonts w:ascii="Times New Roman" w:hAnsi="Times New Roman"/>
          <w:szCs w:val="22"/>
          <w:lang w:val="es-AR"/>
        </w:rPr>
        <w:t xml:space="preserve"> </w:t>
      </w:r>
      <w:r w:rsidRPr="0009573C">
        <w:rPr>
          <w:rFonts w:ascii="Times New Roman" w:hAnsi="Times New Roman"/>
          <w:szCs w:val="22"/>
          <w:lang w:val="es-AR"/>
        </w:rPr>
        <w:t xml:space="preserve">Este documento contiene información prospectiva, la cual se refiere a eventos </w:t>
      </w:r>
      <w:r w:rsidRPr="0009573C">
        <w:rPr>
          <w:rFonts w:ascii="Times New Roman" w:hAnsi="Times New Roman"/>
          <w:sz w:val="18"/>
          <w:szCs w:val="18"/>
          <w:lang w:val="es-AR"/>
        </w:rPr>
        <w:t>futuros y al desempeño futuro de la Compañía. Toda la información y las declaraciones contenidas en el presente que no sean claramente de carácter histórico constituyen información prospectiva. Dicha información representa las proyecciones internas, estimaciones, expectativas, creencias, planes, objetivos, supuestos, intenciones o declaraciones de la Compañía respecto de eventos o desempeños futuros. Esta información implica riesgos conocidos o desconocidos, incertidumbres y otros factores que pueden provocar que los resultados o eventos reales difieran sustancialmente de aquellos previstos en dicha información prospectiva.</w:t>
      </w:r>
    </w:p>
    <w:p w14:paraId="6CB0A152" w14:textId="77777777" w:rsidR="0009573C" w:rsidRPr="0009573C" w:rsidRDefault="0009573C" w:rsidP="0009573C">
      <w:pPr>
        <w:widowControl w:val="0"/>
        <w:jc w:val="both"/>
        <w:rPr>
          <w:rFonts w:ascii="Times New Roman" w:hAnsi="Times New Roman"/>
          <w:sz w:val="18"/>
          <w:szCs w:val="18"/>
          <w:lang w:val="es-AR"/>
        </w:rPr>
      </w:pPr>
      <w:r w:rsidRPr="0009573C">
        <w:rPr>
          <w:rFonts w:ascii="Times New Roman" w:hAnsi="Times New Roman"/>
          <w:sz w:val="18"/>
          <w:szCs w:val="18"/>
          <w:lang w:val="es-AR"/>
        </w:rPr>
        <w:t>Crown Point considera que las expectativas reflejadas en esta información prospectiva son razonables; sin embargo, no debe depositarse una confianza indebida en ella, ya que no puede garantizarse que los planes, intenciones o expectativas en los que se basa efectivamente se concreten. Este comunicado de prensa contiene información prospectiva relacionada, entre otras cuestiones, con el uso previsto de los fondos de la Oferta y con determinados elementos de la estrategia y el enfoque comercial de la Compañía. Se advierte al lector que dicha información, aunque considerada razonable por la Compañía, puede resultar incorrecta.</w:t>
      </w:r>
    </w:p>
    <w:p w14:paraId="11258BA0" w14:textId="128A9063" w:rsidR="0009573C" w:rsidRPr="0009573C" w:rsidRDefault="0009573C" w:rsidP="0009573C">
      <w:pPr>
        <w:widowControl w:val="0"/>
        <w:jc w:val="both"/>
        <w:rPr>
          <w:rFonts w:ascii="Times New Roman" w:hAnsi="Times New Roman"/>
          <w:sz w:val="18"/>
          <w:szCs w:val="18"/>
          <w:lang w:val="es-AR"/>
        </w:rPr>
      </w:pPr>
      <w:r w:rsidRPr="0009573C">
        <w:rPr>
          <w:rFonts w:ascii="Times New Roman" w:hAnsi="Times New Roman"/>
          <w:sz w:val="18"/>
          <w:szCs w:val="18"/>
          <w:lang w:val="es-AR"/>
        </w:rPr>
        <w:t xml:space="preserve">Los resultados reales obtenidos durante el período proyectado variarán respecto de la información proporcionada en este documento como consecuencia de numerosos riesgos conocidos y desconocidos, incertidumbres y otros factores. Una serie de riesgos y otros factores podrían provocar que los resultados reales difieran sustancialmente de aquellos expresados en la información prospectiva contenida en este documento, incluidos, entre otros, el riesgo de que CPE decida utilizar los fondos de la Oferta para fines distintos de los aquí divulgados, así como los riesgos y otros factores descritos bajo los títulos </w:t>
      </w:r>
      <w:r w:rsidRPr="0009573C">
        <w:rPr>
          <w:rFonts w:ascii="Times New Roman" w:hAnsi="Times New Roman"/>
          <w:b/>
          <w:bCs/>
          <w:sz w:val="18"/>
          <w:szCs w:val="18"/>
          <w:lang w:val="es-AR"/>
        </w:rPr>
        <w:t>“</w:t>
      </w:r>
      <w:r w:rsidRPr="0009573C">
        <w:rPr>
          <w:rFonts w:ascii="Times New Roman" w:hAnsi="Times New Roman"/>
          <w:sz w:val="18"/>
          <w:szCs w:val="18"/>
          <w:lang w:val="es-AR"/>
        </w:rPr>
        <w:t xml:space="preserve">Business </w:t>
      </w:r>
      <w:proofErr w:type="spellStart"/>
      <w:r w:rsidRPr="0009573C">
        <w:rPr>
          <w:rFonts w:ascii="Times New Roman" w:hAnsi="Times New Roman"/>
          <w:sz w:val="18"/>
          <w:szCs w:val="18"/>
          <w:lang w:val="es-AR"/>
        </w:rPr>
        <w:t>Risks</w:t>
      </w:r>
      <w:proofErr w:type="spellEnd"/>
      <w:r w:rsidRPr="0009573C">
        <w:rPr>
          <w:rFonts w:ascii="Times New Roman" w:hAnsi="Times New Roman"/>
          <w:sz w:val="18"/>
          <w:szCs w:val="18"/>
          <w:lang w:val="es-AR"/>
        </w:rPr>
        <w:t xml:space="preserve"> and </w:t>
      </w:r>
      <w:proofErr w:type="spellStart"/>
      <w:r w:rsidRPr="0009573C">
        <w:rPr>
          <w:rFonts w:ascii="Times New Roman" w:hAnsi="Times New Roman"/>
          <w:sz w:val="18"/>
          <w:szCs w:val="18"/>
          <w:lang w:val="es-AR"/>
        </w:rPr>
        <w:t>Uncertainties</w:t>
      </w:r>
      <w:proofErr w:type="spellEnd"/>
      <w:r w:rsidRPr="0009573C">
        <w:rPr>
          <w:rFonts w:ascii="Times New Roman" w:hAnsi="Times New Roman"/>
          <w:sz w:val="18"/>
          <w:szCs w:val="18"/>
          <w:lang w:val="es-AR"/>
        </w:rPr>
        <w:t xml:space="preserve">” en el más reciente </w:t>
      </w:r>
      <w:proofErr w:type="spellStart"/>
      <w:r w:rsidRPr="0009573C">
        <w:rPr>
          <w:rFonts w:ascii="Times New Roman" w:hAnsi="Times New Roman"/>
          <w:sz w:val="18"/>
          <w:szCs w:val="18"/>
          <w:lang w:val="es-AR"/>
        </w:rPr>
        <w:t>Management’s</w:t>
      </w:r>
      <w:proofErr w:type="spellEnd"/>
      <w:r w:rsidRPr="0009573C">
        <w:rPr>
          <w:rFonts w:ascii="Times New Roman" w:hAnsi="Times New Roman"/>
          <w:sz w:val="18"/>
          <w:szCs w:val="18"/>
          <w:lang w:val="es-AR"/>
        </w:rPr>
        <w:t xml:space="preserve"> </w:t>
      </w:r>
      <w:proofErr w:type="spellStart"/>
      <w:r w:rsidRPr="0009573C">
        <w:rPr>
          <w:rFonts w:ascii="Times New Roman" w:hAnsi="Times New Roman"/>
          <w:sz w:val="18"/>
          <w:szCs w:val="18"/>
          <w:lang w:val="es-AR"/>
        </w:rPr>
        <w:t>Discussion</w:t>
      </w:r>
      <w:proofErr w:type="spellEnd"/>
      <w:r w:rsidRPr="0009573C">
        <w:rPr>
          <w:rFonts w:ascii="Times New Roman" w:hAnsi="Times New Roman"/>
          <w:sz w:val="18"/>
          <w:szCs w:val="18"/>
          <w:lang w:val="es-AR"/>
        </w:rPr>
        <w:t xml:space="preserve"> and </w:t>
      </w:r>
      <w:proofErr w:type="spellStart"/>
      <w:r w:rsidRPr="0009573C">
        <w:rPr>
          <w:rFonts w:ascii="Times New Roman" w:hAnsi="Times New Roman"/>
          <w:sz w:val="18"/>
          <w:szCs w:val="18"/>
          <w:lang w:val="es-AR"/>
        </w:rPr>
        <w:t>Analysis</w:t>
      </w:r>
      <w:proofErr w:type="spellEnd"/>
      <w:r w:rsidRPr="0009573C">
        <w:rPr>
          <w:rFonts w:ascii="Times New Roman" w:hAnsi="Times New Roman"/>
          <w:sz w:val="18"/>
          <w:szCs w:val="18"/>
          <w:lang w:val="es-AR"/>
        </w:rPr>
        <w:t xml:space="preserve"> de la Compañía y “Risk </w:t>
      </w:r>
      <w:proofErr w:type="spellStart"/>
      <w:r w:rsidRPr="0009573C">
        <w:rPr>
          <w:rFonts w:ascii="Times New Roman" w:hAnsi="Times New Roman"/>
          <w:sz w:val="18"/>
          <w:szCs w:val="18"/>
          <w:lang w:val="es-AR"/>
        </w:rPr>
        <w:t>Factors</w:t>
      </w:r>
      <w:proofErr w:type="spellEnd"/>
      <w:r w:rsidRPr="0009573C">
        <w:rPr>
          <w:rFonts w:ascii="Times New Roman" w:hAnsi="Times New Roman"/>
          <w:sz w:val="18"/>
          <w:szCs w:val="18"/>
          <w:lang w:val="es-AR"/>
        </w:rPr>
        <w:t xml:space="preserve">” en su más reciente </w:t>
      </w:r>
      <w:proofErr w:type="spellStart"/>
      <w:r w:rsidRPr="0009573C">
        <w:rPr>
          <w:rFonts w:ascii="Times New Roman" w:hAnsi="Times New Roman"/>
          <w:sz w:val="18"/>
          <w:szCs w:val="18"/>
          <w:lang w:val="es-AR"/>
        </w:rPr>
        <w:t>Annual</w:t>
      </w:r>
      <w:proofErr w:type="spellEnd"/>
      <w:r w:rsidRPr="0009573C">
        <w:rPr>
          <w:rFonts w:ascii="Times New Roman" w:hAnsi="Times New Roman"/>
          <w:sz w:val="18"/>
          <w:szCs w:val="18"/>
          <w:lang w:val="es-AR"/>
        </w:rPr>
        <w:t xml:space="preserve"> </w:t>
      </w:r>
      <w:proofErr w:type="spellStart"/>
      <w:r w:rsidRPr="0009573C">
        <w:rPr>
          <w:rFonts w:ascii="Times New Roman" w:hAnsi="Times New Roman"/>
          <w:sz w:val="18"/>
          <w:szCs w:val="18"/>
          <w:lang w:val="es-AR"/>
        </w:rPr>
        <w:t>Information</w:t>
      </w:r>
      <w:proofErr w:type="spellEnd"/>
      <w:r w:rsidRPr="0009573C">
        <w:rPr>
          <w:rFonts w:ascii="Times New Roman" w:hAnsi="Times New Roman"/>
          <w:sz w:val="18"/>
          <w:szCs w:val="18"/>
          <w:lang w:val="es-AR"/>
        </w:rPr>
        <w:t xml:space="preserve"> Form, disponibles para consulta en SEDAR+ en </w:t>
      </w:r>
      <w:hyperlink r:id="rId7" w:tgtFrame="_new" w:history="1">
        <w:r w:rsidRPr="0009573C">
          <w:rPr>
            <w:rStyle w:val="Hipervnculo"/>
            <w:rFonts w:ascii="Times New Roman" w:hAnsi="Times New Roman"/>
            <w:sz w:val="18"/>
            <w:szCs w:val="18"/>
            <w:lang w:val="es-AR"/>
          </w:rPr>
          <w:t>www.sedarplus.ca</w:t>
        </w:r>
      </w:hyperlink>
      <w:r w:rsidRPr="0009573C">
        <w:rPr>
          <w:rFonts w:ascii="Times New Roman" w:hAnsi="Times New Roman"/>
          <w:sz w:val="18"/>
          <w:szCs w:val="18"/>
          <w:lang w:val="es-AR"/>
        </w:rPr>
        <w:t>.</w:t>
      </w:r>
      <w:r w:rsidRPr="0009573C">
        <w:rPr>
          <w:rFonts w:ascii="Times New Roman" w:hAnsi="Times New Roman"/>
          <w:sz w:val="18"/>
          <w:szCs w:val="18"/>
          <w:lang w:val="es-AR"/>
        </w:rPr>
        <w:t xml:space="preserve"> </w:t>
      </w:r>
      <w:r w:rsidRPr="0009573C">
        <w:rPr>
          <w:rFonts w:ascii="Times New Roman" w:hAnsi="Times New Roman"/>
          <w:sz w:val="18"/>
          <w:szCs w:val="18"/>
          <w:lang w:val="es-AR"/>
        </w:rPr>
        <w:t>En relación con la información prospectiva contenida en este documento, la Compañía ha formulado supuestos respecto de diversas cuestiones, incluido el modo en que se utilizarán los fondos de la Oferta. La administración de Crown Point ha incluido la información prospectiva en este documento con el fin de brindar a los inversores una perspectiva más completa sobre las operaciones futuras de la Compañía. Se advierte a los lectores que esta información puede no ser adecuada para otros fines. Asimismo, se aclara que las listas de factores precedentes no son exhaustivas.</w:t>
      </w:r>
    </w:p>
    <w:p w14:paraId="686A4074" w14:textId="77777777" w:rsidR="0009573C" w:rsidRPr="0009573C" w:rsidRDefault="0009573C" w:rsidP="0009573C">
      <w:pPr>
        <w:widowControl w:val="0"/>
        <w:jc w:val="both"/>
        <w:rPr>
          <w:rFonts w:ascii="Times New Roman" w:hAnsi="Times New Roman"/>
          <w:sz w:val="18"/>
          <w:szCs w:val="18"/>
          <w:lang w:val="es-AR"/>
        </w:rPr>
      </w:pPr>
      <w:r w:rsidRPr="0009573C">
        <w:rPr>
          <w:rFonts w:ascii="Times New Roman" w:hAnsi="Times New Roman"/>
          <w:sz w:val="18"/>
          <w:szCs w:val="18"/>
          <w:lang w:val="es-AR"/>
        </w:rPr>
        <w:t>La información prospectiva contenida en este documento queda expresamente calificada por la presente advertencia. Dicha información se formula a la fecha de este documento y la Compañía no asume intención ni obligación alguna de actualizarla públicamente como consecuencia de nueva información, eventos futuros o resultados, salvo en la medida en que así lo exijan las leyes canadienses de mercado de valores aplicables.</w:t>
      </w:r>
    </w:p>
    <w:p w14:paraId="55A9748F" w14:textId="77777777" w:rsidR="0009573C" w:rsidRDefault="0009573C" w:rsidP="0009573C">
      <w:pPr>
        <w:widowControl w:val="0"/>
        <w:jc w:val="both"/>
        <w:rPr>
          <w:rFonts w:ascii="Times New Roman" w:hAnsi="Times New Roman"/>
          <w:szCs w:val="22"/>
          <w:lang w:val="es-AR"/>
        </w:rPr>
      </w:pPr>
    </w:p>
    <w:p w14:paraId="4F379F58" w14:textId="68D1DA1D" w:rsidR="0009573C" w:rsidRPr="0009573C" w:rsidRDefault="0009573C" w:rsidP="0009573C">
      <w:pPr>
        <w:widowControl w:val="0"/>
        <w:jc w:val="both"/>
        <w:rPr>
          <w:rFonts w:ascii="Times New Roman" w:hAnsi="Times New Roman"/>
          <w:b/>
          <w:bCs/>
          <w:sz w:val="18"/>
          <w:szCs w:val="18"/>
          <w:lang w:val="es-AR"/>
        </w:rPr>
      </w:pPr>
      <w:r w:rsidRPr="0009573C">
        <w:rPr>
          <w:rFonts w:ascii="Times New Roman" w:hAnsi="Times New Roman"/>
          <w:b/>
          <w:bCs/>
          <w:sz w:val="18"/>
          <w:szCs w:val="18"/>
          <w:lang w:val="es-AR"/>
        </w:rPr>
        <w:t>Ni la TSX Venture Exchange ni su Proveedor de Servicios de Regulación (según se define dicho término en las políticas de la TSX Venture Exchange) aceptan responsabilidad alguna por la adecuación o exactitud del presente comunicado de prensa.</w:t>
      </w:r>
    </w:p>
    <w:p w14:paraId="75F894A1" w14:textId="77777777" w:rsidR="0009573C" w:rsidRPr="0009573C" w:rsidRDefault="0009573C" w:rsidP="0009573C">
      <w:pPr>
        <w:widowControl w:val="0"/>
        <w:jc w:val="both"/>
        <w:rPr>
          <w:rFonts w:ascii="Times New Roman" w:hAnsi="Times New Roman"/>
          <w:szCs w:val="22"/>
          <w:lang w:val="es-AR"/>
        </w:rPr>
      </w:pPr>
    </w:p>
    <w:p w14:paraId="00CF8C46" w14:textId="77777777" w:rsidR="00236958" w:rsidRDefault="00236958" w:rsidP="0009573C">
      <w:pPr>
        <w:widowControl w:val="0"/>
        <w:jc w:val="both"/>
      </w:pPr>
    </w:p>
    <w:sectPr w:rsidR="00236958" w:rsidSect="00236958">
      <w:headerReference w:type="default" r:id="rId8"/>
      <w:footerReference w:type="default" r:id="rId9"/>
      <w:pgSz w:w="12240" w:h="15840"/>
      <w:pgMar w:top="1440" w:right="1440" w:bottom="1260" w:left="1440" w:header="360" w:footer="403"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5C961" w14:textId="77777777" w:rsidR="00236958" w:rsidRDefault="00236958" w:rsidP="00F768A1">
    <w:pPr>
      <w:pStyle w:val="Piedepgina"/>
      <w:jc w:val="center"/>
      <w:rPr>
        <w:rFonts w:ascii="Arial Narrow" w:hAnsi="Arial Narrow"/>
        <w:color w:val="002060"/>
        <w:sz w:val="20"/>
        <w:szCs w:val="20"/>
        <w:lang w:val="fr-CA"/>
      </w:rPr>
    </w:pPr>
    <w:r>
      <w:rPr>
        <w:rFonts w:ascii="Arial Narrow" w:hAnsi="Arial Narrow"/>
        <w:color w:val="002060"/>
        <w:sz w:val="20"/>
        <w:szCs w:val="20"/>
        <w:lang w:val="fr-CA"/>
      </w:rPr>
      <w:t>PO Box 1562 Station M., Calgary, Alberta, Canada T2P 3B</w:t>
    </w:r>
    <w:proofErr w:type="gramStart"/>
    <w:r>
      <w:rPr>
        <w:rFonts w:ascii="Arial Narrow" w:hAnsi="Arial Narrow"/>
        <w:color w:val="002060"/>
        <w:sz w:val="20"/>
        <w:szCs w:val="20"/>
        <w:lang w:val="fr-CA"/>
      </w:rPr>
      <w:t xml:space="preserve">9  </w:t>
    </w:r>
    <w:r>
      <w:rPr>
        <w:rFonts w:ascii="Arial Narrow" w:hAnsi="Arial Narrow"/>
        <w:b/>
        <w:color w:val="002060"/>
        <w:sz w:val="20"/>
        <w:szCs w:val="20"/>
        <w:lang w:val="fr-CA"/>
      </w:rPr>
      <w:t>T</w:t>
    </w:r>
    <w:proofErr w:type="gramEnd"/>
    <w:r>
      <w:rPr>
        <w:rFonts w:ascii="Arial Narrow" w:hAnsi="Arial Narrow"/>
        <w:color w:val="002060"/>
        <w:sz w:val="20"/>
        <w:szCs w:val="20"/>
        <w:lang w:val="fr-CA"/>
      </w:rPr>
      <w:t xml:space="preserve"> </w:t>
    </w:r>
    <w:proofErr w:type="gramStart"/>
    <w:r>
      <w:rPr>
        <w:rFonts w:ascii="Arial Narrow" w:hAnsi="Arial Narrow"/>
        <w:color w:val="002060"/>
        <w:sz w:val="20"/>
        <w:szCs w:val="20"/>
        <w:lang w:val="fr-CA"/>
      </w:rPr>
      <w:t xml:space="preserve">403.232.1150  </w:t>
    </w:r>
    <w:r>
      <w:rPr>
        <w:rFonts w:ascii="Arial Narrow" w:hAnsi="Arial Narrow"/>
        <w:b/>
        <w:color w:val="002060"/>
        <w:sz w:val="20"/>
        <w:szCs w:val="20"/>
        <w:lang w:val="fr-CA"/>
      </w:rPr>
      <w:t>F</w:t>
    </w:r>
    <w:proofErr w:type="gramEnd"/>
    <w:r>
      <w:rPr>
        <w:rFonts w:ascii="Arial Narrow" w:hAnsi="Arial Narrow"/>
        <w:color w:val="002060"/>
        <w:sz w:val="20"/>
        <w:szCs w:val="20"/>
        <w:lang w:val="fr-CA"/>
      </w:rPr>
      <w:t xml:space="preserve">  403.232.1158</w:t>
    </w:r>
  </w:p>
  <w:p w14:paraId="486B68AD" w14:textId="77777777" w:rsidR="00236958" w:rsidRDefault="00236958" w:rsidP="00F768A1">
    <w:pPr>
      <w:pStyle w:val="Piedepgina"/>
      <w:jc w:val="center"/>
      <w:rPr>
        <w:rFonts w:ascii="Arial Narrow" w:hAnsi="Arial Narrow"/>
        <w:b/>
        <w:color w:val="002060"/>
        <w:sz w:val="20"/>
        <w:szCs w:val="20"/>
        <w:lang w:val="fr-CA"/>
      </w:rPr>
    </w:pPr>
    <w:r>
      <w:rPr>
        <w:rFonts w:ascii="Arial Narrow" w:hAnsi="Arial Narrow"/>
        <w:b/>
        <w:color w:val="002060"/>
        <w:sz w:val="20"/>
        <w:szCs w:val="20"/>
        <w:lang w:val="fr-CA"/>
      </w:rPr>
      <w:t>www.crownpointenergy.com</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0B2B8" w14:textId="77777777" w:rsidR="00236958" w:rsidRDefault="00236958" w:rsidP="00451CF4">
    <w:pPr>
      <w:pStyle w:val="Encabezado"/>
      <w:ind w:left="540" w:hanging="540"/>
      <w:jc w:val="right"/>
    </w:pPr>
    <w:r>
      <w:rPr>
        <w:noProof/>
      </w:rPr>
      <w:drawing>
        <wp:inline distT="0" distB="0" distL="0" distR="0" wp14:anchorId="58699741" wp14:editId="65DC7E4A">
          <wp:extent cx="1697355" cy="1038860"/>
          <wp:effectExtent l="19050" t="0" r="0" b="0"/>
          <wp:docPr id="1" name="Picture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WV_new logo.jpg"/>
                  <pic:cNvPicPr>
                    <a:picLocks noChangeAspect="1" noChangeArrowheads="1"/>
                  </pic:cNvPicPr>
                </pic:nvPicPr>
                <pic:blipFill>
                  <a:blip r:embed="rId1"/>
                  <a:srcRect t="6818"/>
                  <a:stretch>
                    <a:fillRect/>
                  </a:stretch>
                </pic:blipFill>
                <pic:spPr bwMode="auto">
                  <a:xfrm>
                    <a:off x="0" y="0"/>
                    <a:ext cx="1697355" cy="1038860"/>
                  </a:xfrm>
                  <a:prstGeom prst="rect">
                    <a:avLst/>
                  </a:prstGeom>
                  <a:noFill/>
                  <a:ln w="9525">
                    <a:noFill/>
                    <a:miter lim="800000"/>
                    <a:headEnd/>
                    <a:tailEnd/>
                  </a:ln>
                </pic:spPr>
              </pic:pic>
            </a:graphicData>
          </a:graphic>
        </wp:inline>
      </w:drawing>
    </w:r>
  </w:p>
  <w:p w14:paraId="64954968" w14:textId="77777777" w:rsidR="00236958" w:rsidRDefault="00236958" w:rsidP="00451CF4">
    <w:pPr>
      <w:pStyle w:val="Encabezado"/>
      <w:ind w:left="540" w:hanging="54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E44633"/>
    <w:multiLevelType w:val="multilevel"/>
    <w:tmpl w:val="A6B01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BA717F5"/>
    <w:multiLevelType w:val="hybridMultilevel"/>
    <w:tmpl w:val="82D809C6"/>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16cid:durableId="964577349">
    <w:abstractNumId w:val="1"/>
  </w:num>
  <w:num w:numId="2" w16cid:durableId="3901557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6958"/>
    <w:rsid w:val="0009573C"/>
    <w:rsid w:val="00236958"/>
    <w:rsid w:val="00C52769"/>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4B8E29"/>
  <w15:chartTrackingRefBased/>
  <w15:docId w15:val="{2B432D94-110E-4124-98CC-68AD87FF4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A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6958"/>
    <w:pPr>
      <w:spacing w:after="0" w:line="240" w:lineRule="auto"/>
    </w:pPr>
    <w:rPr>
      <w:rFonts w:ascii="Verdana" w:eastAsia="Times New Roman" w:hAnsi="Verdana" w:cs="Times New Roman"/>
      <w:kern w:val="0"/>
      <w:sz w:val="22"/>
      <w:lang w:val="en-US"/>
      <w14:ligatures w14:val="none"/>
    </w:rPr>
  </w:style>
  <w:style w:type="paragraph" w:styleId="Ttulo1">
    <w:name w:val="heading 1"/>
    <w:basedOn w:val="Normal"/>
    <w:next w:val="Normal"/>
    <w:link w:val="Ttulo1Car"/>
    <w:uiPriority w:val="9"/>
    <w:qFormat/>
    <w:rsid w:val="0023695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23695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236958"/>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236958"/>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236958"/>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236958"/>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36958"/>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36958"/>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36958"/>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36958"/>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236958"/>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236958"/>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236958"/>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236958"/>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236958"/>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36958"/>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36958"/>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36958"/>
    <w:rPr>
      <w:rFonts w:eastAsiaTheme="majorEastAsia" w:cstheme="majorBidi"/>
      <w:color w:val="272727" w:themeColor="text1" w:themeTint="D8"/>
    </w:rPr>
  </w:style>
  <w:style w:type="paragraph" w:styleId="Ttulo">
    <w:name w:val="Title"/>
    <w:basedOn w:val="Normal"/>
    <w:next w:val="Normal"/>
    <w:link w:val="TtuloCar"/>
    <w:uiPriority w:val="10"/>
    <w:qFormat/>
    <w:rsid w:val="00236958"/>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3695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36958"/>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36958"/>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36958"/>
    <w:pPr>
      <w:spacing w:before="160"/>
      <w:jc w:val="center"/>
    </w:pPr>
    <w:rPr>
      <w:i/>
      <w:iCs/>
      <w:color w:val="404040" w:themeColor="text1" w:themeTint="BF"/>
    </w:rPr>
  </w:style>
  <w:style w:type="character" w:customStyle="1" w:styleId="CitaCar">
    <w:name w:val="Cita Car"/>
    <w:basedOn w:val="Fuentedeprrafopredeter"/>
    <w:link w:val="Cita"/>
    <w:uiPriority w:val="29"/>
    <w:rsid w:val="00236958"/>
    <w:rPr>
      <w:i/>
      <w:iCs/>
      <w:color w:val="404040" w:themeColor="text1" w:themeTint="BF"/>
    </w:rPr>
  </w:style>
  <w:style w:type="paragraph" w:styleId="Prrafodelista">
    <w:name w:val="List Paragraph"/>
    <w:basedOn w:val="Normal"/>
    <w:uiPriority w:val="34"/>
    <w:qFormat/>
    <w:rsid w:val="00236958"/>
    <w:pPr>
      <w:ind w:left="720"/>
      <w:contextualSpacing/>
    </w:pPr>
  </w:style>
  <w:style w:type="character" w:styleId="nfasisintenso">
    <w:name w:val="Intense Emphasis"/>
    <w:basedOn w:val="Fuentedeprrafopredeter"/>
    <w:uiPriority w:val="21"/>
    <w:qFormat/>
    <w:rsid w:val="00236958"/>
    <w:rPr>
      <w:i/>
      <w:iCs/>
      <w:color w:val="0F4761" w:themeColor="accent1" w:themeShade="BF"/>
    </w:rPr>
  </w:style>
  <w:style w:type="paragraph" w:styleId="Citadestacada">
    <w:name w:val="Intense Quote"/>
    <w:basedOn w:val="Normal"/>
    <w:next w:val="Normal"/>
    <w:link w:val="CitadestacadaCar"/>
    <w:uiPriority w:val="30"/>
    <w:qFormat/>
    <w:rsid w:val="0023695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236958"/>
    <w:rPr>
      <w:i/>
      <w:iCs/>
      <w:color w:val="0F4761" w:themeColor="accent1" w:themeShade="BF"/>
    </w:rPr>
  </w:style>
  <w:style w:type="character" w:styleId="Referenciaintensa">
    <w:name w:val="Intense Reference"/>
    <w:basedOn w:val="Fuentedeprrafopredeter"/>
    <w:uiPriority w:val="32"/>
    <w:qFormat/>
    <w:rsid w:val="00236958"/>
    <w:rPr>
      <w:b/>
      <w:bCs/>
      <w:smallCaps/>
      <w:color w:val="0F4761" w:themeColor="accent1" w:themeShade="BF"/>
      <w:spacing w:val="5"/>
    </w:rPr>
  </w:style>
  <w:style w:type="paragraph" w:styleId="Encabezado">
    <w:name w:val="header"/>
    <w:basedOn w:val="Normal"/>
    <w:link w:val="EncabezadoCar"/>
    <w:uiPriority w:val="99"/>
    <w:unhideWhenUsed/>
    <w:rsid w:val="00236958"/>
    <w:pPr>
      <w:tabs>
        <w:tab w:val="center" w:pos="4680"/>
        <w:tab w:val="right" w:pos="9360"/>
      </w:tabs>
    </w:pPr>
    <w:rPr>
      <w:rFonts w:ascii="Calibri" w:eastAsia="Calibri" w:hAnsi="Calibri"/>
      <w:szCs w:val="22"/>
    </w:rPr>
  </w:style>
  <w:style w:type="character" w:customStyle="1" w:styleId="EncabezadoCar">
    <w:name w:val="Encabezado Car"/>
    <w:basedOn w:val="Fuentedeprrafopredeter"/>
    <w:link w:val="Encabezado"/>
    <w:uiPriority w:val="99"/>
    <w:rsid w:val="00236958"/>
    <w:rPr>
      <w:rFonts w:ascii="Calibri" w:eastAsia="Calibri" w:hAnsi="Calibri" w:cs="Times New Roman"/>
      <w:kern w:val="0"/>
      <w:sz w:val="22"/>
      <w:szCs w:val="22"/>
      <w:lang w:val="en-US"/>
      <w14:ligatures w14:val="none"/>
    </w:rPr>
  </w:style>
  <w:style w:type="paragraph" w:styleId="Piedepgina">
    <w:name w:val="footer"/>
    <w:basedOn w:val="Normal"/>
    <w:link w:val="PiedepginaCar"/>
    <w:uiPriority w:val="99"/>
    <w:unhideWhenUsed/>
    <w:rsid w:val="00236958"/>
    <w:pPr>
      <w:tabs>
        <w:tab w:val="center" w:pos="4680"/>
        <w:tab w:val="right" w:pos="9360"/>
      </w:tabs>
    </w:pPr>
    <w:rPr>
      <w:rFonts w:ascii="Calibri" w:eastAsia="Calibri" w:hAnsi="Calibri"/>
      <w:szCs w:val="22"/>
    </w:rPr>
  </w:style>
  <w:style w:type="character" w:customStyle="1" w:styleId="PiedepginaCar">
    <w:name w:val="Pie de página Car"/>
    <w:basedOn w:val="Fuentedeprrafopredeter"/>
    <w:link w:val="Piedepgina"/>
    <w:uiPriority w:val="99"/>
    <w:rsid w:val="00236958"/>
    <w:rPr>
      <w:rFonts w:ascii="Calibri" w:eastAsia="Calibri" w:hAnsi="Calibri" w:cs="Times New Roman"/>
      <w:kern w:val="0"/>
      <w:sz w:val="22"/>
      <w:szCs w:val="22"/>
      <w:lang w:val="en-US"/>
      <w14:ligatures w14:val="none"/>
    </w:rPr>
  </w:style>
  <w:style w:type="character" w:styleId="Hipervnculo">
    <w:name w:val="Hyperlink"/>
    <w:rsid w:val="00236958"/>
    <w:rPr>
      <w:color w:val="0000FF"/>
      <w:u w:val="single"/>
    </w:rPr>
  </w:style>
  <w:style w:type="paragraph" w:customStyle="1" w:styleId="MICONHEADER1">
    <w:name w:val="MICON HEADER1"/>
    <w:basedOn w:val="Normal"/>
    <w:rsid w:val="00236958"/>
    <w:pPr>
      <w:tabs>
        <w:tab w:val="left" w:pos="720"/>
      </w:tabs>
      <w:ind w:left="1080"/>
      <w:jc w:val="both"/>
    </w:pPr>
    <w:rPr>
      <w:rFonts w:ascii="Times New Roman" w:eastAsia="Calibri" w:hAnsi="Times New Roman"/>
      <w:b/>
      <w:caps/>
      <w:sz w:val="24"/>
    </w:rPr>
  </w:style>
  <w:style w:type="paragraph" w:customStyle="1" w:styleId="Ne3">
    <w:name w:val="Ne3"/>
    <w:basedOn w:val="Normal"/>
    <w:link w:val="Ne3Char"/>
    <w:rsid w:val="00236958"/>
    <w:pPr>
      <w:overflowPunct w:val="0"/>
      <w:autoSpaceDE w:val="0"/>
      <w:autoSpaceDN w:val="0"/>
      <w:adjustRightInd w:val="0"/>
      <w:spacing w:before="120" w:line="280" w:lineRule="atLeast"/>
      <w:ind w:left="720"/>
      <w:jc w:val="both"/>
      <w:textAlignment w:val="baseline"/>
    </w:pPr>
    <w:rPr>
      <w:rFonts w:ascii="Arial" w:hAnsi="Arial"/>
      <w:sz w:val="20"/>
      <w:szCs w:val="20"/>
    </w:rPr>
  </w:style>
  <w:style w:type="character" w:customStyle="1" w:styleId="Ne3Char">
    <w:name w:val="Ne3 Char"/>
    <w:link w:val="Ne3"/>
    <w:rsid w:val="00236958"/>
    <w:rPr>
      <w:rFonts w:ascii="Arial" w:eastAsia="Times New Roman" w:hAnsi="Arial" w:cs="Times New Roman"/>
      <w:kern w:val="0"/>
      <w:sz w:val="20"/>
      <w:szCs w:val="20"/>
      <w:lang w:val="en-US"/>
      <w14:ligatures w14:val="none"/>
    </w:rPr>
  </w:style>
  <w:style w:type="character" w:styleId="Mencinsinresolver">
    <w:name w:val="Unresolved Mention"/>
    <w:basedOn w:val="Fuentedeprrafopredeter"/>
    <w:uiPriority w:val="99"/>
    <w:semiHidden/>
    <w:unhideWhenUsed/>
    <w:rsid w:val="000957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sedarplus.c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bmoss@crownpointenergy.com" TargetMode="External"/><Relationship Id="rId11" Type="http://schemas.openxmlformats.org/officeDocument/2006/relationships/theme" Target="theme/theme1.xml"/><Relationship Id="rId5" Type="http://schemas.openxmlformats.org/officeDocument/2006/relationships/hyperlink" Target="https://www.argentina.gob.ar/cnv"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1080</Words>
  <Characters>5943</Characters>
  <Application>Microsoft Office Word</Application>
  <DocSecurity>0</DocSecurity>
  <Lines>49</Lines>
  <Paragraphs>14</Paragraphs>
  <ScaleCrop>false</ScaleCrop>
  <Company/>
  <LinksUpToDate>false</LinksUpToDate>
  <CharactersWithSpaces>7009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Graciela Darritchon</dc:creator>
  <cp:keywords/>
  <dc:description/>
  <cp:lastModifiedBy>Graciela Darritchon</cp:lastModifiedBy>
  <cp:revision>2</cp:revision>
  <dcterms:created xsi:type="dcterms:W3CDTF">2026-02-03T12:53:00Z</dcterms:created>
  <dcterms:modified xsi:type="dcterms:W3CDTF">2026-02-03T13:08:00Z</dcterms:modified>
</cp:coreProperties>
</file>