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EBC1" w14:textId="77777777" w:rsidR="00CC386C" w:rsidRPr="00BF28E5" w:rsidRDefault="00BF28E5" w:rsidP="00BF28E5">
      <w:pPr>
        <w:jc w:val="center"/>
        <w:rPr>
          <w:rFonts w:ascii="Times New Roman" w:hAnsi="Times New Roman" w:cs="Times New Roman"/>
          <w:b/>
          <w:bCs/>
          <w:lang w:val="es-AR"/>
        </w:rPr>
      </w:pPr>
      <w:r w:rsidRPr="00BF28E5">
        <w:rPr>
          <w:rFonts w:ascii="Times New Roman" w:hAnsi="Times New Roman" w:cs="Times New Roman"/>
          <w:lang w:val="es-AR"/>
        </w:rPr>
        <w:br/>
      </w:r>
      <w:r w:rsidRPr="00BF28E5">
        <w:rPr>
          <w:rFonts w:ascii="Times New Roman" w:hAnsi="Times New Roman" w:cs="Times New Roman"/>
          <w:b/>
          <w:bCs/>
          <w:lang w:val="es-AR"/>
        </w:rPr>
        <w:t>Crown Point adquiere participación adicional en las concesiones de explotación de hidrocarburos El Tordillo, La Tapera y Puesto Quiroga en Chubut, Argentina</w:t>
      </w:r>
    </w:p>
    <w:p w14:paraId="2B4C1E36" w14:textId="77777777" w:rsidR="00CC386C" w:rsidRPr="00BF28E5" w:rsidRDefault="00BF28E5" w:rsidP="00BF28E5">
      <w:pPr>
        <w:spacing w:line="240" w:lineRule="auto"/>
        <w:jc w:val="both"/>
        <w:rPr>
          <w:rFonts w:ascii="Times New Roman" w:hAnsi="Times New Roman" w:cs="Times New Roman"/>
          <w:lang w:val="es-AR"/>
        </w:rPr>
      </w:pPr>
      <w:r w:rsidRPr="00BF28E5">
        <w:rPr>
          <w:rFonts w:ascii="Times New Roman" w:hAnsi="Times New Roman" w:cs="Times New Roman"/>
          <w:lang w:val="es-AR"/>
        </w:rPr>
        <w:t>CALGARY, Alberta, 1 de diciembre de 2025 — Crown Point Energy Inc. (TSX‑V: CWV) («</w:t>
      </w:r>
      <w:r w:rsidRPr="00BF28E5">
        <w:rPr>
          <w:rFonts w:ascii="Times New Roman" w:hAnsi="Times New Roman" w:cs="Times New Roman"/>
          <w:b/>
          <w:bCs/>
          <w:lang w:val="es-AR"/>
        </w:rPr>
        <w:t>Crown Point</w:t>
      </w:r>
      <w:r w:rsidRPr="00BF28E5">
        <w:rPr>
          <w:rFonts w:ascii="Times New Roman" w:hAnsi="Times New Roman" w:cs="Times New Roman"/>
          <w:lang w:val="es-AR"/>
        </w:rPr>
        <w:t>» o la «</w:t>
      </w:r>
      <w:r w:rsidRPr="00BF28E5">
        <w:rPr>
          <w:rFonts w:ascii="Times New Roman" w:hAnsi="Times New Roman" w:cs="Times New Roman"/>
          <w:b/>
          <w:bCs/>
          <w:lang w:val="es-AR"/>
        </w:rPr>
        <w:t>Compañía</w:t>
      </w:r>
      <w:r w:rsidRPr="00BF28E5">
        <w:rPr>
          <w:rFonts w:ascii="Times New Roman" w:hAnsi="Times New Roman" w:cs="Times New Roman"/>
          <w:lang w:val="es-AR"/>
        </w:rPr>
        <w:t xml:space="preserve">») se complace en anunciar que su subsidiaria de propiedad total, Crown Point </w:t>
      </w:r>
      <w:proofErr w:type="spellStart"/>
      <w:r w:rsidRPr="00BF28E5">
        <w:rPr>
          <w:rFonts w:ascii="Times New Roman" w:hAnsi="Times New Roman" w:cs="Times New Roman"/>
          <w:lang w:val="es-AR"/>
        </w:rPr>
        <w:t>Energia</w:t>
      </w:r>
      <w:proofErr w:type="spellEnd"/>
      <w:r w:rsidRPr="00BF28E5">
        <w:rPr>
          <w:rFonts w:ascii="Times New Roman" w:hAnsi="Times New Roman" w:cs="Times New Roman"/>
          <w:lang w:val="es-AR"/>
        </w:rPr>
        <w:t xml:space="preserve"> S.A., ha cerrado la adquisición previamente anunciada de una participación del 59,32947 % en las concesiones de explotación de hidrocarburos El Tordillo, La Tapera y Puesto Quiroga (las «</w:t>
      </w:r>
      <w:r w:rsidRPr="00BF28E5">
        <w:rPr>
          <w:rFonts w:ascii="Times New Roman" w:hAnsi="Times New Roman" w:cs="Times New Roman"/>
          <w:b/>
          <w:bCs/>
          <w:lang w:val="es-AR"/>
        </w:rPr>
        <w:t>Concesiones de Chubut</w:t>
      </w:r>
      <w:r w:rsidRPr="00BF28E5">
        <w:rPr>
          <w:rFonts w:ascii="Times New Roman" w:hAnsi="Times New Roman" w:cs="Times New Roman"/>
          <w:lang w:val="es-AR"/>
        </w:rPr>
        <w:t xml:space="preserve">») y determinada infraestructura relacionada, a </w:t>
      </w:r>
      <w:proofErr w:type="spellStart"/>
      <w:r w:rsidRPr="00BF28E5">
        <w:rPr>
          <w:rFonts w:ascii="Times New Roman" w:hAnsi="Times New Roman" w:cs="Times New Roman"/>
          <w:lang w:val="es-AR"/>
        </w:rPr>
        <w:t>Tecpetrol</w:t>
      </w:r>
      <w:proofErr w:type="spellEnd"/>
      <w:r w:rsidRPr="00BF28E5">
        <w:rPr>
          <w:rFonts w:ascii="Times New Roman" w:hAnsi="Times New Roman" w:cs="Times New Roman"/>
          <w:lang w:val="es-AR"/>
        </w:rPr>
        <w:t xml:space="preserve"> S.A. y YPF S.A. Combinada con la adquisición previamente anunciada de una participación del 35,6706 % en las Concesiones de Chubut a Pampa Energía S.A. («</w:t>
      </w:r>
      <w:r w:rsidRPr="00BF28E5">
        <w:rPr>
          <w:rFonts w:ascii="Times New Roman" w:hAnsi="Times New Roman" w:cs="Times New Roman"/>
          <w:b/>
          <w:bCs/>
          <w:lang w:val="es-AR"/>
        </w:rPr>
        <w:t>Pampa</w:t>
      </w:r>
      <w:r w:rsidRPr="00BF28E5">
        <w:rPr>
          <w:rFonts w:ascii="Times New Roman" w:hAnsi="Times New Roman" w:cs="Times New Roman"/>
          <w:lang w:val="es-AR"/>
        </w:rPr>
        <w:t>»), cerrada el 1 de octubre, la Compañía ha adquirido ahora una participación agregada del 95 % en las Concesiones de Chubut (conjuntamente, las «</w:t>
      </w:r>
      <w:r w:rsidRPr="00BF28E5">
        <w:rPr>
          <w:rFonts w:ascii="Times New Roman" w:hAnsi="Times New Roman" w:cs="Times New Roman"/>
          <w:b/>
          <w:bCs/>
          <w:lang w:val="es-AR"/>
        </w:rPr>
        <w:t>Adquisiciones</w:t>
      </w:r>
      <w:r w:rsidRPr="00BF28E5">
        <w:rPr>
          <w:rFonts w:ascii="Times New Roman" w:hAnsi="Times New Roman" w:cs="Times New Roman"/>
          <w:lang w:val="es-AR"/>
        </w:rPr>
        <w:t>»).</w:t>
      </w:r>
    </w:p>
    <w:p w14:paraId="222FC1F4" w14:textId="304F49AA" w:rsidR="00CC386C" w:rsidRPr="00BF28E5" w:rsidRDefault="00BF28E5" w:rsidP="00BF28E5">
      <w:pPr>
        <w:spacing w:line="240" w:lineRule="auto"/>
        <w:jc w:val="both"/>
        <w:rPr>
          <w:rFonts w:ascii="Times New Roman" w:hAnsi="Times New Roman" w:cs="Times New Roman"/>
          <w:lang w:val="es-AR"/>
        </w:rPr>
      </w:pPr>
      <w:r w:rsidRPr="00BF28E5">
        <w:rPr>
          <w:rFonts w:ascii="Times New Roman" w:hAnsi="Times New Roman" w:cs="Times New Roman"/>
          <w:lang w:val="es-AR"/>
        </w:rPr>
        <w:t>Las Concesiones de Chubut se encuentran ubicadas en la Provincia de</w:t>
      </w:r>
      <w:r w:rsidRPr="00BF28E5">
        <w:rPr>
          <w:rFonts w:ascii="Times New Roman" w:hAnsi="Times New Roman" w:cs="Times New Roman"/>
          <w:lang w:val="es-AR"/>
        </w:rPr>
        <w:t xml:space="preserve"> Chubut, República Argentina, en el flanco norte de la cuenca del Golfo San Jorge, aproximadamente a 40 kilómetros al oeste de Comodoro Rivadavia, y comprenden una superficie total de 113.325 acres. Durante el período de nueve meses finalizado el 30 de septiembre de 2025, la participación del 95 % en las Concesiones de Chubut adquirida por la Compañía produjo un promedio aproximado de 5.020 </w:t>
      </w:r>
      <w:proofErr w:type="spellStart"/>
      <w:r w:rsidRPr="00BF28E5">
        <w:rPr>
          <w:rFonts w:ascii="Times New Roman" w:hAnsi="Times New Roman" w:cs="Times New Roman"/>
          <w:lang w:val="es-AR"/>
        </w:rPr>
        <w:t>boe</w:t>
      </w:r>
      <w:proofErr w:type="spellEnd"/>
      <w:r w:rsidRPr="00BF28E5">
        <w:rPr>
          <w:rFonts w:ascii="Times New Roman" w:hAnsi="Times New Roman" w:cs="Times New Roman"/>
          <w:lang w:val="es-AR"/>
        </w:rPr>
        <w:t xml:space="preserve"> por día, compuesto por 4.500 barriles diarios de petróleo crudo liviano y mediano y 3.130 </w:t>
      </w:r>
      <w:proofErr w:type="spellStart"/>
      <w:r w:rsidRPr="00BF28E5">
        <w:rPr>
          <w:rFonts w:ascii="Times New Roman" w:hAnsi="Times New Roman" w:cs="Times New Roman"/>
          <w:lang w:val="es-AR"/>
        </w:rPr>
        <w:t>mcf</w:t>
      </w:r>
      <w:proofErr w:type="spellEnd"/>
      <w:r w:rsidRPr="00BF28E5">
        <w:rPr>
          <w:rFonts w:ascii="Times New Roman" w:hAnsi="Times New Roman" w:cs="Times New Roman"/>
          <w:lang w:val="es-AR"/>
        </w:rPr>
        <w:t xml:space="preserve"> diarios de gas natur</w:t>
      </w:r>
      <w:r w:rsidRPr="00BF28E5">
        <w:rPr>
          <w:rFonts w:ascii="Times New Roman" w:hAnsi="Times New Roman" w:cs="Times New Roman"/>
          <w:lang w:val="es-AR"/>
        </w:rPr>
        <w:t>al comercializado.</w:t>
      </w:r>
    </w:p>
    <w:p w14:paraId="1D307A4B" w14:textId="77777777" w:rsidR="00CC386C" w:rsidRPr="00BF28E5" w:rsidRDefault="00BF28E5" w:rsidP="00BF28E5">
      <w:pPr>
        <w:spacing w:line="240" w:lineRule="auto"/>
        <w:jc w:val="both"/>
        <w:rPr>
          <w:rFonts w:ascii="Times New Roman" w:hAnsi="Times New Roman" w:cs="Times New Roman"/>
          <w:lang w:val="es-AR"/>
        </w:rPr>
      </w:pPr>
      <w:r w:rsidRPr="00BF28E5">
        <w:rPr>
          <w:rFonts w:ascii="Times New Roman" w:hAnsi="Times New Roman" w:cs="Times New Roman"/>
          <w:lang w:val="es-AR"/>
        </w:rPr>
        <w:t>La Compañía pagó una contraprestación total en efectivo de aproximadamente USD 57,9 millones, luego de los ajustes de cierre, para completar las Adquisiciones, las cuales fueron financiadas en parte mediante un préstamo por USD 30,0 millones (el «</w:t>
      </w:r>
      <w:r w:rsidRPr="00BF28E5">
        <w:rPr>
          <w:rFonts w:ascii="Times New Roman" w:hAnsi="Times New Roman" w:cs="Times New Roman"/>
          <w:b/>
          <w:bCs/>
          <w:lang w:val="es-AR"/>
        </w:rPr>
        <w:t>Préstamo</w:t>
      </w:r>
      <w:r w:rsidRPr="00BF28E5">
        <w:rPr>
          <w:rFonts w:ascii="Times New Roman" w:hAnsi="Times New Roman" w:cs="Times New Roman"/>
          <w:lang w:val="es-AR"/>
        </w:rPr>
        <w:t>») otorgado por Liminar Energía S.A., el mayor accionista de la Compañía. Asimismo, una contraprestación contingente de hasta USD 3,5 millones en efectivo será pagadera a Pampa con posterioridad al cierre.</w:t>
      </w:r>
    </w:p>
    <w:p w14:paraId="67D0621D" w14:textId="50AC6834" w:rsidR="00CC386C" w:rsidRPr="00BF28E5" w:rsidRDefault="00BF28E5" w:rsidP="00BF28E5">
      <w:pPr>
        <w:spacing w:line="240" w:lineRule="auto"/>
        <w:jc w:val="both"/>
        <w:rPr>
          <w:rFonts w:ascii="Times New Roman" w:hAnsi="Times New Roman" w:cs="Times New Roman"/>
          <w:lang w:val="es-AR"/>
        </w:rPr>
      </w:pPr>
      <w:r w:rsidRPr="00BF28E5">
        <w:rPr>
          <w:rFonts w:ascii="Times New Roman" w:hAnsi="Times New Roman" w:cs="Times New Roman"/>
          <w:lang w:val="es-AR"/>
        </w:rPr>
        <w:t>Para obtener información adicional sobre las Adquisiciones, las Concesiones de Chubut y el Préstamo, con</w:t>
      </w:r>
      <w:r>
        <w:rPr>
          <w:rFonts w:ascii="Times New Roman" w:hAnsi="Times New Roman" w:cs="Times New Roman"/>
          <w:lang w:val="es-AR"/>
        </w:rPr>
        <w:t>sulte</w:t>
      </w:r>
      <w:r w:rsidRPr="00BF28E5">
        <w:rPr>
          <w:rFonts w:ascii="Times New Roman" w:hAnsi="Times New Roman" w:cs="Times New Roman"/>
          <w:lang w:val="es-AR"/>
        </w:rPr>
        <w:t xml:space="preserve"> los comunicados de prensa de la Compañía emitidos los días 9 de junio, 30 de septiembre, 1 de octubre y 11 de noviembre de 2025.</w:t>
      </w:r>
    </w:p>
    <w:p w14:paraId="4050EEB1" w14:textId="0AD02E25" w:rsidR="00CC386C" w:rsidRPr="00BF28E5" w:rsidRDefault="00BF28E5">
      <w:pPr>
        <w:rPr>
          <w:rFonts w:ascii="Times New Roman" w:hAnsi="Times New Roman" w:cs="Times New Roman"/>
          <w:lang w:val="es-AR"/>
        </w:rPr>
      </w:pPr>
      <w:r w:rsidRPr="00BF28E5">
        <w:rPr>
          <w:rFonts w:ascii="Times New Roman" w:hAnsi="Times New Roman" w:cs="Times New Roman"/>
          <w:lang w:val="es-AR"/>
        </w:rPr>
        <w:t>Para consultas, por favor comunicarse con</w:t>
      </w:r>
      <w:r w:rsidRPr="00BF28E5">
        <w:rPr>
          <w:rFonts w:ascii="Times New Roman" w:hAnsi="Times New Roman" w:cs="Times New Roman"/>
          <w:lang w:val="es-AR"/>
        </w:rPr>
        <w:t>:</w:t>
      </w:r>
    </w:p>
    <w:p w14:paraId="7BE1D550" w14:textId="57507E9C" w:rsidR="00CC386C" w:rsidRPr="00BF28E5" w:rsidRDefault="00BF28E5">
      <w:pPr>
        <w:rPr>
          <w:rFonts w:ascii="Times New Roman" w:hAnsi="Times New Roman" w:cs="Times New Roman"/>
          <w:lang w:val="es-AR"/>
        </w:rPr>
      </w:pPr>
      <w:r w:rsidRPr="00BF28E5">
        <w:rPr>
          <w:rFonts w:ascii="Times New Roman" w:hAnsi="Times New Roman" w:cs="Times New Roman"/>
        </w:rPr>
        <w:t xml:space="preserve">Brian Moss  </w:t>
      </w:r>
      <w:r w:rsidRPr="00BF28E5">
        <w:rPr>
          <w:rFonts w:ascii="Times New Roman" w:hAnsi="Times New Roman" w:cs="Times New Roman"/>
        </w:rPr>
        <w:br/>
        <w:t xml:space="preserve">Director  </w:t>
      </w:r>
      <w:r w:rsidRPr="00BF28E5">
        <w:rPr>
          <w:rFonts w:ascii="Times New Roman" w:hAnsi="Times New Roman" w:cs="Times New Roman"/>
        </w:rPr>
        <w:br/>
        <w:t xml:space="preserve">Tel.: (403) 232‑1150  </w:t>
      </w:r>
      <w:r w:rsidRPr="00BF28E5">
        <w:rPr>
          <w:rFonts w:ascii="Times New Roman" w:hAnsi="Times New Roman" w:cs="Times New Roman"/>
        </w:rPr>
        <w:br/>
        <w:t xml:space="preserve">Crown Point Energy Inc.  </w:t>
      </w:r>
      <w:r w:rsidRPr="00BF28E5">
        <w:rPr>
          <w:rFonts w:ascii="Times New Roman" w:hAnsi="Times New Roman" w:cs="Times New Roman"/>
        </w:rPr>
        <w:br/>
      </w:r>
      <w:hyperlink r:id="rId6" w:history="1">
        <w:r w:rsidRPr="00BF28E5">
          <w:rPr>
            <w:rStyle w:val="Hipervnculo"/>
            <w:rFonts w:ascii="Times New Roman" w:hAnsi="Times New Roman" w:cs="Times New Roman"/>
            <w:lang w:val="es-AR"/>
          </w:rPr>
          <w:t>bmoss@crownpointenergy.com</w:t>
        </w:r>
      </w:hyperlink>
    </w:p>
    <w:p w14:paraId="21C1562D" w14:textId="77777777" w:rsidR="00CC386C" w:rsidRPr="00BF28E5" w:rsidRDefault="00BF28E5" w:rsidP="00BF28E5">
      <w:pPr>
        <w:jc w:val="both"/>
        <w:rPr>
          <w:rFonts w:ascii="Times New Roman" w:hAnsi="Times New Roman" w:cs="Times New Roman"/>
          <w:b/>
          <w:bCs/>
          <w:lang w:val="es-AR"/>
        </w:rPr>
      </w:pPr>
      <w:r w:rsidRPr="00BF28E5">
        <w:rPr>
          <w:rFonts w:ascii="Times New Roman" w:hAnsi="Times New Roman" w:cs="Times New Roman"/>
          <w:b/>
          <w:bCs/>
          <w:lang w:val="es-AR"/>
        </w:rPr>
        <w:t>Acerca de Crown Point</w:t>
      </w:r>
    </w:p>
    <w:p w14:paraId="1113B66C" w14:textId="19B90857" w:rsidR="00CC386C" w:rsidRDefault="00BF28E5" w:rsidP="00BF28E5">
      <w:pPr>
        <w:spacing w:after="0" w:line="240" w:lineRule="auto"/>
        <w:jc w:val="both"/>
        <w:rPr>
          <w:rFonts w:ascii="Times New Roman" w:hAnsi="Times New Roman" w:cs="Times New Roman"/>
          <w:lang w:val="es-AR"/>
        </w:rPr>
      </w:pPr>
      <w:r w:rsidRPr="00BF28E5">
        <w:rPr>
          <w:rFonts w:ascii="Times New Roman" w:hAnsi="Times New Roman" w:cs="Times New Roman"/>
          <w:lang w:val="es-AR"/>
        </w:rPr>
        <w:t>Crown Point es una compañía internacional de exploración y desarrollo de petróleo y gas, con sede en Buenos Aires, Argentina, constituida en Canadá, que cotiza en la TSX Venture Exchange y opera en la Argentina. Las actividades de exploración y desarrollo de Crown Point se</w:t>
      </w:r>
      <w:r>
        <w:rPr>
          <w:rFonts w:ascii="Times New Roman" w:hAnsi="Times New Roman" w:cs="Times New Roman"/>
          <w:lang w:val="es-AR"/>
        </w:rPr>
        <w:t xml:space="preserve"> </w:t>
      </w:r>
      <w:r w:rsidRPr="00BF28E5">
        <w:rPr>
          <w:rFonts w:ascii="Times New Roman" w:hAnsi="Times New Roman" w:cs="Times New Roman"/>
          <w:lang w:val="es-AR"/>
        </w:rPr>
        <w:t>concentran en cuatro cuencas productivas de la Argentina: la cuenca del Golfo San Jorge, en las Provincias de Santa Cruz y Chubut; la cuenca Austral, en la Provincia de Tierra del Fuego; y las cuencas Neuquina y de Cuyo (o Cuyana), en la Provincia de Mendoza.</w:t>
      </w:r>
    </w:p>
    <w:p w14:paraId="287D443F" w14:textId="77777777" w:rsidR="00BF28E5" w:rsidRDefault="00BF28E5" w:rsidP="00BF28E5">
      <w:pPr>
        <w:spacing w:after="0" w:line="240" w:lineRule="auto"/>
        <w:jc w:val="both"/>
        <w:rPr>
          <w:rFonts w:ascii="Times New Roman" w:hAnsi="Times New Roman" w:cs="Times New Roman"/>
          <w:lang w:val="es-AR"/>
        </w:rPr>
      </w:pPr>
    </w:p>
    <w:p w14:paraId="41E60197" w14:textId="77777777" w:rsidR="00BF28E5" w:rsidRPr="00BF28E5" w:rsidRDefault="00BF28E5" w:rsidP="00BF28E5">
      <w:pPr>
        <w:spacing w:after="0" w:line="240" w:lineRule="auto"/>
        <w:jc w:val="both"/>
        <w:rPr>
          <w:rFonts w:ascii="Times New Roman" w:hAnsi="Times New Roman" w:cs="Times New Roman"/>
          <w:lang w:val="es-AR"/>
        </w:rPr>
      </w:pPr>
    </w:p>
    <w:p w14:paraId="3C49F7F2" w14:textId="77777777" w:rsidR="00CC386C" w:rsidRPr="00BF28E5" w:rsidRDefault="00BF28E5">
      <w:pPr>
        <w:rPr>
          <w:rFonts w:ascii="Times New Roman" w:hAnsi="Times New Roman" w:cs="Times New Roman"/>
          <w:b/>
          <w:bCs/>
          <w:sz w:val="18"/>
          <w:szCs w:val="18"/>
          <w:lang w:val="es-AR"/>
        </w:rPr>
      </w:pPr>
      <w:r w:rsidRPr="00BF28E5">
        <w:rPr>
          <w:rFonts w:ascii="Times New Roman" w:hAnsi="Times New Roman" w:cs="Times New Roman"/>
          <w:b/>
          <w:bCs/>
          <w:sz w:val="18"/>
          <w:szCs w:val="18"/>
          <w:lang w:val="es-AR"/>
        </w:rPr>
        <w:lastRenderedPageBreak/>
        <w:t>Presentación de información sobre petróleo y gas</w:t>
      </w:r>
    </w:p>
    <w:p w14:paraId="7CB9C6EB" w14:textId="77777777" w:rsidR="00CC386C" w:rsidRPr="00BF28E5" w:rsidRDefault="00BF28E5" w:rsidP="00BF28E5">
      <w:pPr>
        <w:jc w:val="both"/>
        <w:rPr>
          <w:rFonts w:ascii="Times New Roman" w:hAnsi="Times New Roman" w:cs="Times New Roman"/>
          <w:sz w:val="18"/>
          <w:szCs w:val="18"/>
          <w:lang w:val="es-AR"/>
        </w:rPr>
      </w:pPr>
      <w:r w:rsidRPr="00BF28E5">
        <w:rPr>
          <w:rFonts w:ascii="Times New Roman" w:hAnsi="Times New Roman" w:cs="Times New Roman"/>
          <w:sz w:val="18"/>
          <w:szCs w:val="18"/>
          <w:lang w:val="es-AR"/>
        </w:rPr>
        <w:t>Un barril equivalente de petróleo («</w:t>
      </w:r>
      <w:proofErr w:type="spellStart"/>
      <w:r w:rsidRPr="00BF28E5">
        <w:rPr>
          <w:rFonts w:ascii="Times New Roman" w:hAnsi="Times New Roman" w:cs="Times New Roman"/>
          <w:b/>
          <w:bCs/>
          <w:sz w:val="18"/>
          <w:szCs w:val="18"/>
          <w:lang w:val="es-AR"/>
        </w:rPr>
        <w:t>boe</w:t>
      </w:r>
      <w:proofErr w:type="spellEnd"/>
      <w:r w:rsidRPr="00BF28E5">
        <w:rPr>
          <w:rFonts w:ascii="Times New Roman" w:hAnsi="Times New Roman" w:cs="Times New Roman"/>
          <w:sz w:val="18"/>
          <w:szCs w:val="18"/>
          <w:lang w:val="es-AR"/>
        </w:rPr>
        <w:t>») se determina convirtiendo un volumen de gas natural a barriles utilizando una relación de seis mil pies cúbicos («</w:t>
      </w:r>
      <w:proofErr w:type="spellStart"/>
      <w:r w:rsidRPr="00BF28E5">
        <w:rPr>
          <w:rFonts w:ascii="Times New Roman" w:hAnsi="Times New Roman" w:cs="Times New Roman"/>
          <w:b/>
          <w:bCs/>
          <w:sz w:val="18"/>
          <w:szCs w:val="18"/>
          <w:lang w:val="es-AR"/>
        </w:rPr>
        <w:t>mcf</w:t>
      </w:r>
      <w:proofErr w:type="spellEnd"/>
      <w:r w:rsidRPr="00BF28E5">
        <w:rPr>
          <w:rFonts w:ascii="Times New Roman" w:hAnsi="Times New Roman" w:cs="Times New Roman"/>
          <w:sz w:val="18"/>
          <w:szCs w:val="18"/>
          <w:lang w:val="es-AR"/>
        </w:rPr>
        <w:t xml:space="preserve">») por barril. Los </w:t>
      </w:r>
      <w:proofErr w:type="spellStart"/>
      <w:r w:rsidRPr="00BF28E5">
        <w:rPr>
          <w:rFonts w:ascii="Times New Roman" w:hAnsi="Times New Roman" w:cs="Times New Roman"/>
          <w:sz w:val="18"/>
          <w:szCs w:val="18"/>
          <w:lang w:val="es-AR"/>
        </w:rPr>
        <w:t>boe</w:t>
      </w:r>
      <w:proofErr w:type="spellEnd"/>
      <w:r w:rsidRPr="00BF28E5">
        <w:rPr>
          <w:rFonts w:ascii="Times New Roman" w:hAnsi="Times New Roman" w:cs="Times New Roman"/>
          <w:sz w:val="18"/>
          <w:szCs w:val="18"/>
          <w:lang w:val="es-AR"/>
        </w:rPr>
        <w:t xml:space="preserve"> pueden resultar engañosos, particularmente si se utilizan de manera aislada. La relación de conversión de 6 mcf:1 </w:t>
      </w:r>
      <w:proofErr w:type="spellStart"/>
      <w:r w:rsidRPr="00BF28E5">
        <w:rPr>
          <w:rFonts w:ascii="Times New Roman" w:hAnsi="Times New Roman" w:cs="Times New Roman"/>
          <w:sz w:val="18"/>
          <w:szCs w:val="18"/>
          <w:lang w:val="es-AR"/>
        </w:rPr>
        <w:t>boe</w:t>
      </w:r>
      <w:proofErr w:type="spellEnd"/>
      <w:r w:rsidRPr="00BF28E5">
        <w:rPr>
          <w:rFonts w:ascii="Times New Roman" w:hAnsi="Times New Roman" w:cs="Times New Roman"/>
          <w:sz w:val="18"/>
          <w:szCs w:val="18"/>
          <w:lang w:val="es-AR"/>
        </w:rPr>
        <w:t xml:space="preserve"> se basa en un método de conversión por equivalencia energética aplicable principalmente en el punto de combustión y no representa una equivalencia de valor en boca de pozo. Dado que la relación de valor basada en el precio actual del petróleo en comparación con el del gas natural en la Argentina es significativamente diferente de la equivalencia energética de 6:1, el u</w:t>
      </w:r>
      <w:r w:rsidRPr="00BF28E5">
        <w:rPr>
          <w:rFonts w:ascii="Times New Roman" w:hAnsi="Times New Roman" w:cs="Times New Roman"/>
          <w:sz w:val="18"/>
          <w:szCs w:val="18"/>
          <w:lang w:val="es-AR"/>
        </w:rPr>
        <w:t>so de una conversión sobre la base de 6:1 puede resultar engañoso como indicador de valor.</w:t>
      </w:r>
    </w:p>
    <w:p w14:paraId="7E111490" w14:textId="77777777" w:rsidR="00CC386C" w:rsidRPr="00BF28E5" w:rsidRDefault="00BF28E5" w:rsidP="00BF28E5">
      <w:pPr>
        <w:jc w:val="both"/>
        <w:rPr>
          <w:rFonts w:ascii="Times New Roman" w:hAnsi="Times New Roman" w:cs="Times New Roman"/>
          <w:b/>
          <w:bCs/>
          <w:sz w:val="18"/>
          <w:szCs w:val="18"/>
          <w:lang w:val="es-AR"/>
        </w:rPr>
      </w:pPr>
      <w:r w:rsidRPr="00BF28E5">
        <w:rPr>
          <w:rFonts w:ascii="Times New Roman" w:hAnsi="Times New Roman" w:cs="Times New Roman"/>
          <w:b/>
          <w:bCs/>
          <w:sz w:val="18"/>
          <w:szCs w:val="18"/>
          <w:lang w:val="es-AR"/>
        </w:rPr>
        <w:t>Declaraciones prospectivas</w:t>
      </w:r>
    </w:p>
    <w:p w14:paraId="704EC76E" w14:textId="77777777" w:rsidR="00CC386C" w:rsidRPr="00BF28E5" w:rsidRDefault="00BF28E5" w:rsidP="00BF28E5">
      <w:pPr>
        <w:jc w:val="both"/>
        <w:rPr>
          <w:rFonts w:ascii="Times New Roman" w:hAnsi="Times New Roman" w:cs="Times New Roman"/>
          <w:sz w:val="18"/>
          <w:szCs w:val="18"/>
          <w:lang w:val="es-AR"/>
        </w:rPr>
      </w:pPr>
      <w:r w:rsidRPr="00BF28E5">
        <w:rPr>
          <w:rFonts w:ascii="Times New Roman" w:hAnsi="Times New Roman" w:cs="Times New Roman"/>
          <w:sz w:val="18"/>
          <w:szCs w:val="18"/>
          <w:lang w:val="es-AR"/>
        </w:rPr>
        <w:t>Cierta información contenida en este documento se considera información prospectiva y, necesariamente, implica riesgos e incertidumbres, algunos de los cuales se encuentran fuera del control de Crown Point. La información prospectiva incluida en el presente comprende las expectativas de la Compañía con respecto a la contraprestación contingente pagadera a Pampa en relación con las Adquisiciones. Dichos riesgos incluyen, entre otros, el riesgo de que la contraprestación contingente o los ajustes del precio d</w:t>
      </w:r>
      <w:r w:rsidRPr="00BF28E5">
        <w:rPr>
          <w:rFonts w:ascii="Times New Roman" w:hAnsi="Times New Roman" w:cs="Times New Roman"/>
          <w:sz w:val="18"/>
          <w:szCs w:val="18"/>
          <w:lang w:val="es-AR"/>
        </w:rPr>
        <w:t>e compra posteriores al cierre sean mayores de lo anticipado. Los resultados reales, el desempeño o los logros podrían diferir sustancialmente de los expresados o implícitos en la información prospectiva y, en consecuencia, no puede garantizarse que los acontecimientos previstos por dicha información se produzcan o tengan lugar, ni, de producirse, cuáles serán los beneficios que Crown Point derive de ellos. Con respecto a la información prospectiva contenida en el presente, la Compañía ha efectuado supuesto</w:t>
      </w:r>
      <w:r w:rsidRPr="00BF28E5">
        <w:rPr>
          <w:rFonts w:ascii="Times New Roman" w:hAnsi="Times New Roman" w:cs="Times New Roman"/>
          <w:sz w:val="18"/>
          <w:szCs w:val="18"/>
          <w:lang w:val="es-AR"/>
        </w:rPr>
        <w:t>s en relación con el monto de la contraprestación contingente que será pagadera y la magnitud de los ajustes posteriores al cierre. Información adicional sobre estos y otros factores que podrían afectar a Crown Point se incluye en los informes presentados ante las autoridades reguladoras del mercado de valores de Canadá, incluidos los contenidos bajo el título «Factores de Riesgo» en el formulario de información anual más reciente de la Compañía, los cuales pueden consultarse a través del sitio web SEDAR+ (</w:t>
      </w:r>
      <w:r w:rsidRPr="00BF28E5">
        <w:rPr>
          <w:rFonts w:ascii="Times New Roman" w:hAnsi="Times New Roman" w:cs="Times New Roman"/>
          <w:sz w:val="18"/>
          <w:szCs w:val="18"/>
          <w:lang w:val="es-AR"/>
        </w:rPr>
        <w:t>www.sedarplus.ca). Asimismo, la información prospectiva contenida en este documento se formula a la fecha del presente y Crown Point no asume obligación alguna de actualizarla o revisarla públicamente, ya sea como resultado de nueva información, acontecimientos futuros u otros motivos, salvo en la medida en que así lo exija expresamente la legislación aplicable en materia de valores.</w:t>
      </w:r>
    </w:p>
    <w:p w14:paraId="1945AF30" w14:textId="26BB2419" w:rsidR="00CC386C" w:rsidRPr="00BF28E5" w:rsidRDefault="00BF28E5" w:rsidP="00BF28E5">
      <w:pPr>
        <w:rPr>
          <w:rFonts w:ascii="Times New Roman" w:hAnsi="Times New Roman" w:cs="Times New Roman"/>
          <w:b/>
          <w:bCs/>
          <w:sz w:val="18"/>
          <w:szCs w:val="18"/>
          <w:lang w:val="es-AR"/>
        </w:rPr>
      </w:pPr>
      <w:r w:rsidRPr="00BF28E5">
        <w:rPr>
          <w:rFonts w:ascii="Times New Roman" w:hAnsi="Times New Roman" w:cs="Times New Roman"/>
          <w:b/>
          <w:bCs/>
          <w:sz w:val="18"/>
          <w:szCs w:val="18"/>
          <w:lang w:val="es-AR"/>
        </w:rPr>
        <w:t xml:space="preserve">Ni la TSX Venture Exchange ni su Proveedor de Servicios de Regulación (según </w:t>
      </w:r>
      <w:r w:rsidRPr="00BF28E5">
        <w:rPr>
          <w:rFonts w:ascii="Times New Roman" w:hAnsi="Times New Roman" w:cs="Times New Roman"/>
          <w:b/>
          <w:bCs/>
          <w:sz w:val="18"/>
          <w:szCs w:val="18"/>
          <w:lang w:val="es-AR"/>
        </w:rPr>
        <w:t>define</w:t>
      </w:r>
      <w:r>
        <w:rPr>
          <w:rFonts w:ascii="Times New Roman" w:hAnsi="Times New Roman" w:cs="Times New Roman"/>
          <w:b/>
          <w:bCs/>
          <w:sz w:val="18"/>
          <w:szCs w:val="18"/>
          <w:lang w:val="es-AR"/>
        </w:rPr>
        <w:t xml:space="preserve">n </w:t>
      </w:r>
      <w:r w:rsidRPr="00BF28E5">
        <w:rPr>
          <w:rFonts w:ascii="Times New Roman" w:hAnsi="Times New Roman" w:cs="Times New Roman"/>
          <w:b/>
          <w:bCs/>
          <w:sz w:val="18"/>
          <w:szCs w:val="18"/>
          <w:lang w:val="es-AR"/>
        </w:rPr>
        <w:t>las políticas de la TSX Venture Exchange</w:t>
      </w:r>
      <w:r w:rsidRPr="00BF28E5">
        <w:rPr>
          <w:rFonts w:ascii="Times New Roman" w:hAnsi="Times New Roman" w:cs="Times New Roman"/>
          <w:b/>
          <w:bCs/>
          <w:sz w:val="18"/>
          <w:szCs w:val="18"/>
          <w:lang w:val="es-AR"/>
        </w:rPr>
        <w:t xml:space="preserve"> </w:t>
      </w:r>
      <w:r>
        <w:rPr>
          <w:rFonts w:ascii="Times New Roman" w:hAnsi="Times New Roman" w:cs="Times New Roman"/>
          <w:b/>
          <w:bCs/>
          <w:sz w:val="18"/>
          <w:szCs w:val="18"/>
          <w:lang w:val="es-AR"/>
        </w:rPr>
        <w:t xml:space="preserve">a </w:t>
      </w:r>
      <w:r w:rsidRPr="00BF28E5">
        <w:rPr>
          <w:rFonts w:ascii="Times New Roman" w:hAnsi="Times New Roman" w:cs="Times New Roman"/>
          <w:b/>
          <w:bCs/>
          <w:sz w:val="18"/>
          <w:szCs w:val="18"/>
          <w:lang w:val="es-AR"/>
        </w:rPr>
        <w:t>dicho término</w:t>
      </w:r>
      <w:r>
        <w:rPr>
          <w:rFonts w:ascii="Times New Roman" w:hAnsi="Times New Roman" w:cs="Times New Roman"/>
          <w:b/>
          <w:bCs/>
          <w:sz w:val="18"/>
          <w:szCs w:val="18"/>
          <w:lang w:val="es-AR"/>
        </w:rPr>
        <w:t>)</w:t>
      </w:r>
      <w:r w:rsidRPr="00BF28E5">
        <w:rPr>
          <w:rFonts w:ascii="Times New Roman" w:hAnsi="Times New Roman" w:cs="Times New Roman"/>
          <w:b/>
          <w:bCs/>
          <w:sz w:val="18"/>
          <w:szCs w:val="18"/>
          <w:lang w:val="es-AR"/>
        </w:rPr>
        <w:t xml:space="preserve"> </w:t>
      </w:r>
      <w:r w:rsidRPr="00BF28E5">
        <w:rPr>
          <w:rFonts w:ascii="Times New Roman" w:hAnsi="Times New Roman" w:cs="Times New Roman"/>
          <w:b/>
          <w:bCs/>
          <w:sz w:val="18"/>
          <w:szCs w:val="18"/>
          <w:lang w:val="es-AR"/>
        </w:rPr>
        <w:t>aceptan responsabilidad alguna por la adecuación o exactitud del presente comunicado de prensa.</w:t>
      </w:r>
      <w:r w:rsidRPr="00BF28E5">
        <w:rPr>
          <w:rFonts w:ascii="Times New Roman" w:hAnsi="Times New Roman" w:cs="Times New Roman"/>
          <w:b/>
          <w:bCs/>
          <w:sz w:val="18"/>
          <w:szCs w:val="18"/>
          <w:lang w:val="es-AR"/>
        </w:rPr>
        <w:br/>
      </w:r>
    </w:p>
    <w:sectPr w:rsidR="00CC386C" w:rsidRPr="00BF28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157453899">
    <w:abstractNumId w:val="8"/>
  </w:num>
  <w:num w:numId="2" w16cid:durableId="208107838">
    <w:abstractNumId w:val="6"/>
  </w:num>
  <w:num w:numId="3" w16cid:durableId="130949386">
    <w:abstractNumId w:val="5"/>
  </w:num>
  <w:num w:numId="4" w16cid:durableId="1256593763">
    <w:abstractNumId w:val="4"/>
  </w:num>
  <w:num w:numId="5" w16cid:durableId="1812863891">
    <w:abstractNumId w:val="7"/>
  </w:num>
  <w:num w:numId="6" w16cid:durableId="148643685">
    <w:abstractNumId w:val="3"/>
  </w:num>
  <w:num w:numId="7" w16cid:durableId="142892709">
    <w:abstractNumId w:val="2"/>
  </w:num>
  <w:num w:numId="8" w16cid:durableId="1478301431">
    <w:abstractNumId w:val="1"/>
  </w:num>
  <w:num w:numId="9" w16cid:durableId="109976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F28E5"/>
    <w:rsid w:val="00CB0664"/>
    <w:rsid w:val="00CC386C"/>
    <w:rsid w:val="00FC18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CE81C"/>
  <w14:defaultImageDpi w14:val="300"/>
  <w15:docId w15:val="{52E8763C-33E2-4D0E-A177-B42030E7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BF28E5"/>
    <w:rPr>
      <w:color w:val="0000FF" w:themeColor="hyperlink"/>
      <w:u w:val="single"/>
    </w:rPr>
  </w:style>
  <w:style w:type="character" w:styleId="Mencinsinresolver">
    <w:name w:val="Unresolved Mention"/>
    <w:basedOn w:val="Fuentedeprrafopredeter"/>
    <w:uiPriority w:val="99"/>
    <w:semiHidden/>
    <w:unhideWhenUsed/>
    <w:rsid w:val="00BF2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bmoss@crownpointener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920</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Graciela Darritchon</cp:lastModifiedBy>
  <cp:revision>2</cp:revision>
  <dcterms:created xsi:type="dcterms:W3CDTF">2013-12-23T23:15:00Z</dcterms:created>
  <dcterms:modified xsi:type="dcterms:W3CDTF">2026-01-26T18:50:00Z</dcterms:modified>
  <cp:category/>
</cp:coreProperties>
</file>