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5B7B0" w14:textId="77777777" w:rsidR="00A76D43" w:rsidRDefault="00A76D43" w:rsidP="0070547D">
      <w:pPr>
        <w:widowControl w:val="0"/>
        <w:tabs>
          <w:tab w:val="right" w:pos="9360"/>
        </w:tabs>
        <w:jc w:val="both"/>
        <w:rPr>
          <w:rFonts w:ascii="Arial" w:hAnsi="Arial" w:cs="Arial"/>
          <w:sz w:val="24"/>
        </w:rPr>
      </w:pPr>
    </w:p>
    <w:p w14:paraId="655362D0" w14:textId="63E96C89" w:rsidR="00997CEA" w:rsidRPr="00CB3E68" w:rsidRDefault="00997CEA" w:rsidP="0070547D">
      <w:pPr>
        <w:widowControl w:val="0"/>
        <w:tabs>
          <w:tab w:val="right" w:pos="9360"/>
        </w:tabs>
        <w:jc w:val="both"/>
        <w:rPr>
          <w:rFonts w:ascii="Arial" w:hAnsi="Arial" w:cs="Arial"/>
          <w:sz w:val="24"/>
          <w:lang w:val="es-ES"/>
        </w:rPr>
      </w:pPr>
      <w:r w:rsidRPr="00CB3E68">
        <w:rPr>
          <w:rFonts w:ascii="Arial" w:hAnsi="Arial" w:cs="Arial"/>
          <w:sz w:val="24"/>
          <w:lang w:val="es-ES"/>
        </w:rPr>
        <w:t xml:space="preserve">PARA SU PUBLICACIÓN INMEDIATA </w:t>
      </w:r>
      <w:r w:rsidRPr="00CB3E68">
        <w:rPr>
          <w:rFonts w:ascii="Arial" w:hAnsi="Arial" w:cs="Arial"/>
          <w:sz w:val="24"/>
          <w:lang w:val="es-ES"/>
        </w:rPr>
        <w:tab/>
        <w:t>CWV: TSX.V</w:t>
      </w:r>
    </w:p>
    <w:p w14:paraId="4B02A0D3" w14:textId="7B67AFB6" w:rsidR="00997CEA" w:rsidRPr="00CB3E68" w:rsidRDefault="00CE7722" w:rsidP="00D17181">
      <w:pPr>
        <w:widowControl w:val="0"/>
        <w:rPr>
          <w:rFonts w:ascii="Arial" w:hAnsi="Arial" w:cs="Arial"/>
          <w:sz w:val="24"/>
          <w:lang w:val="es-ES"/>
        </w:rPr>
      </w:pPr>
      <w:r w:rsidRPr="00CB3E68">
        <w:rPr>
          <w:rFonts w:ascii="Arial" w:hAnsi="Arial" w:cs="Arial"/>
          <w:sz w:val="24"/>
          <w:lang w:val="es-ES"/>
        </w:rPr>
        <w:t xml:space="preserve">11 </w:t>
      </w:r>
      <w:r w:rsidR="00E46032" w:rsidRPr="00CB3E68">
        <w:rPr>
          <w:rFonts w:ascii="Arial" w:hAnsi="Arial" w:cs="Arial"/>
          <w:sz w:val="24"/>
          <w:lang w:val="es-ES"/>
        </w:rPr>
        <w:t xml:space="preserve">de </w:t>
      </w:r>
      <w:r w:rsidRPr="00CB3E68">
        <w:rPr>
          <w:rFonts w:ascii="Arial" w:hAnsi="Arial" w:cs="Arial"/>
          <w:sz w:val="24"/>
          <w:lang w:val="es-ES"/>
        </w:rPr>
        <w:t xml:space="preserve">agosto </w:t>
      </w:r>
      <w:r w:rsidR="00E46032" w:rsidRPr="00CB3E68">
        <w:rPr>
          <w:rFonts w:ascii="Arial" w:hAnsi="Arial" w:cs="Arial"/>
          <w:sz w:val="24"/>
          <w:lang w:val="es-ES"/>
        </w:rPr>
        <w:t>de</w:t>
      </w:r>
      <w:r w:rsidR="00131320" w:rsidRPr="00CB3E68">
        <w:rPr>
          <w:rFonts w:ascii="Arial" w:hAnsi="Arial" w:cs="Arial"/>
          <w:sz w:val="24"/>
          <w:lang w:val="es-ES"/>
        </w:rPr>
        <w:t xml:space="preserve"> 2025</w:t>
      </w:r>
    </w:p>
    <w:p w14:paraId="3EE0A1A2" w14:textId="77777777" w:rsidR="00043229" w:rsidRPr="00CB3E68" w:rsidRDefault="00043229" w:rsidP="00D17181">
      <w:pPr>
        <w:widowControl w:val="0"/>
        <w:rPr>
          <w:rFonts w:ascii="Arial" w:hAnsi="Arial" w:cs="Arial"/>
          <w:b/>
          <w:sz w:val="24"/>
          <w:lang w:val="es-ES"/>
        </w:rPr>
      </w:pPr>
    </w:p>
    <w:p w14:paraId="4E6C37C7" w14:textId="0D97C4B8" w:rsidR="00CE7722" w:rsidRPr="00CB3E68" w:rsidRDefault="00CD751F" w:rsidP="00CE7722">
      <w:pPr>
        <w:widowControl w:val="0"/>
        <w:ind w:left="720"/>
        <w:jc w:val="center"/>
        <w:outlineLvl w:val="0"/>
        <w:rPr>
          <w:rFonts w:ascii="Arial" w:hAnsi="Arial" w:cs="Arial"/>
          <w:b/>
          <w:sz w:val="24"/>
          <w:lang w:val="es-ES"/>
        </w:rPr>
      </w:pPr>
      <w:r w:rsidRPr="00CB3E68">
        <w:rPr>
          <w:rFonts w:ascii="Arial" w:hAnsi="Arial" w:cs="Arial"/>
          <w:b/>
          <w:sz w:val="24"/>
          <w:lang w:val="es-ES"/>
        </w:rPr>
        <w:t xml:space="preserve">Crown Point anuncia los resultados operativos y financieros </w:t>
      </w:r>
      <w:r w:rsidR="00CE7722" w:rsidRPr="00CB3E68">
        <w:rPr>
          <w:rFonts w:ascii="Arial" w:hAnsi="Arial" w:cs="Arial"/>
          <w:b/>
          <w:sz w:val="24"/>
          <w:lang w:val="es-ES"/>
        </w:rPr>
        <w:t xml:space="preserve">correspondientes al trimestre y semestre finalizados el 30 de junio de 2025, </w:t>
      </w:r>
      <w:r w:rsidR="00B9519A" w:rsidRPr="00CB3E68">
        <w:rPr>
          <w:rFonts w:ascii="Arial" w:hAnsi="Arial" w:cs="Arial"/>
          <w:b/>
          <w:sz w:val="24"/>
          <w:lang w:val="es-ES"/>
        </w:rPr>
        <w:t>así como el nombramiento de un</w:t>
      </w:r>
      <w:r w:rsidR="00FB40E8" w:rsidRPr="00CB3E68">
        <w:rPr>
          <w:rFonts w:ascii="Arial" w:hAnsi="Arial" w:cs="Arial"/>
          <w:b/>
          <w:sz w:val="24"/>
          <w:lang w:val="es-ES"/>
        </w:rPr>
        <w:t xml:space="preserve"> nuevo </w:t>
      </w:r>
      <w:r w:rsidR="00B9519A" w:rsidRPr="00CB3E68">
        <w:rPr>
          <w:rFonts w:ascii="Arial" w:hAnsi="Arial" w:cs="Arial"/>
          <w:b/>
          <w:sz w:val="24"/>
          <w:lang w:val="es-ES"/>
        </w:rPr>
        <w:t>director</w:t>
      </w:r>
    </w:p>
    <w:p w14:paraId="31EADECD" w14:textId="56543703" w:rsidR="00AF42C9" w:rsidRPr="00CB3E68" w:rsidRDefault="00997CEA" w:rsidP="001C13CF">
      <w:pPr>
        <w:widowControl w:val="0"/>
        <w:tabs>
          <w:tab w:val="left" w:pos="1440"/>
        </w:tabs>
        <w:spacing w:before="120" w:line="240" w:lineRule="atLeast"/>
        <w:jc w:val="both"/>
        <w:rPr>
          <w:rFonts w:ascii="Arial" w:hAnsi="Arial" w:cs="Arial"/>
          <w:sz w:val="20"/>
          <w:szCs w:val="20"/>
          <w:lang w:val="es-ES"/>
        </w:rPr>
      </w:pPr>
      <w:r>
        <w:rPr>
          <w:rFonts w:ascii="Arial" w:hAnsi="Arial" w:cs="Arial"/>
          <w:b/>
          <w:sz w:val="20"/>
          <w:szCs w:val="20"/>
        </w:rPr>
        <w:t xml:space="preserve">TSX-V:  CWV: Crown Point Energy Inc. </w:t>
      </w:r>
      <w:r w:rsidRPr="00CB3E68">
        <w:rPr>
          <w:rFonts w:ascii="Arial" w:hAnsi="Arial" w:cs="Arial"/>
          <w:b/>
          <w:sz w:val="20"/>
          <w:szCs w:val="20"/>
          <w:lang w:val="es-ES"/>
        </w:rPr>
        <w:t xml:space="preserve">(«Crown Point», </w:t>
      </w:r>
      <w:r w:rsidRPr="00CB3E68">
        <w:rPr>
          <w:rFonts w:ascii="Arial" w:hAnsi="Arial" w:cs="Arial"/>
          <w:sz w:val="20"/>
          <w:szCs w:val="20"/>
          <w:lang w:val="es-ES"/>
        </w:rPr>
        <w:t xml:space="preserve">la </w:t>
      </w:r>
      <w:r w:rsidRPr="00CB3E68">
        <w:rPr>
          <w:rFonts w:ascii="Arial" w:hAnsi="Arial" w:cs="Arial"/>
          <w:b/>
          <w:sz w:val="20"/>
          <w:szCs w:val="20"/>
          <w:lang w:val="es-ES"/>
        </w:rPr>
        <w:t xml:space="preserve">«Compañía» </w:t>
      </w:r>
      <w:r w:rsidRPr="00CB3E68">
        <w:rPr>
          <w:rFonts w:ascii="Arial" w:hAnsi="Arial" w:cs="Arial"/>
          <w:sz w:val="20"/>
          <w:szCs w:val="20"/>
          <w:lang w:val="es-ES"/>
        </w:rPr>
        <w:t>o «</w:t>
      </w:r>
      <w:r w:rsidRPr="00CB3E68">
        <w:rPr>
          <w:rFonts w:ascii="Arial" w:hAnsi="Arial" w:cs="Arial"/>
          <w:b/>
          <w:sz w:val="20"/>
          <w:szCs w:val="20"/>
          <w:lang w:val="es-ES"/>
        </w:rPr>
        <w:t>nosotros</w:t>
      </w:r>
      <w:r w:rsidRPr="00CB3E68">
        <w:rPr>
          <w:rFonts w:ascii="Arial" w:hAnsi="Arial" w:cs="Arial"/>
          <w:sz w:val="20"/>
          <w:szCs w:val="20"/>
          <w:lang w:val="es-ES"/>
        </w:rPr>
        <w:t>»</w:t>
      </w:r>
      <w:r w:rsidRPr="00CB3E68">
        <w:rPr>
          <w:rFonts w:ascii="Arial" w:hAnsi="Arial" w:cs="Arial"/>
          <w:b/>
          <w:sz w:val="20"/>
          <w:szCs w:val="20"/>
          <w:lang w:val="es-ES"/>
        </w:rPr>
        <w:t xml:space="preserve">) </w:t>
      </w:r>
      <w:r w:rsidRPr="00CB3E68">
        <w:rPr>
          <w:rFonts w:ascii="Arial" w:hAnsi="Arial" w:cs="Arial"/>
          <w:sz w:val="20"/>
          <w:szCs w:val="20"/>
          <w:lang w:val="es-ES"/>
        </w:rPr>
        <w:t xml:space="preserve">ha anunciado hoy sus resultados financieros </w:t>
      </w:r>
      <w:r w:rsidR="003A4BAA" w:rsidRPr="00CB3E68">
        <w:rPr>
          <w:rFonts w:ascii="Arial" w:hAnsi="Arial" w:cs="Arial"/>
          <w:sz w:val="20"/>
          <w:szCs w:val="20"/>
          <w:lang w:val="es-ES"/>
        </w:rPr>
        <w:t xml:space="preserve">y operativos </w:t>
      </w:r>
      <w:r w:rsidR="00CE7722" w:rsidRPr="00CB3E68">
        <w:rPr>
          <w:rFonts w:ascii="Arial" w:hAnsi="Arial" w:cs="Arial"/>
          <w:sz w:val="20"/>
          <w:szCs w:val="20"/>
          <w:lang w:val="es-ES"/>
        </w:rPr>
        <w:t>correspondientes al trimestre y al semestre finalizados el 30 de junio de 2025</w:t>
      </w:r>
      <w:r w:rsidR="009E0594" w:rsidRPr="00CB3E68">
        <w:rPr>
          <w:rFonts w:ascii="Arial" w:hAnsi="Arial" w:cs="Arial"/>
          <w:sz w:val="20"/>
          <w:szCs w:val="20"/>
          <w:lang w:val="es-ES"/>
        </w:rPr>
        <w:t>.</w:t>
      </w:r>
    </w:p>
    <w:p w14:paraId="65885043" w14:textId="27BAA283" w:rsidR="00CE7722" w:rsidRPr="00CB3E68" w:rsidRDefault="00CE7722" w:rsidP="00CE7722">
      <w:pPr>
        <w:widowControl w:val="0"/>
        <w:tabs>
          <w:tab w:val="left" w:pos="1440"/>
        </w:tabs>
        <w:spacing w:before="120" w:line="240" w:lineRule="atLeast"/>
        <w:jc w:val="both"/>
        <w:rPr>
          <w:rFonts w:ascii="Arial" w:hAnsi="Arial" w:cs="Arial"/>
          <w:b/>
          <w:sz w:val="20"/>
          <w:szCs w:val="20"/>
          <w:lang w:val="es-ES"/>
        </w:rPr>
      </w:pPr>
      <w:r w:rsidRPr="00CB3E68">
        <w:rPr>
          <w:rFonts w:ascii="Arial" w:hAnsi="Arial" w:cs="Arial"/>
          <w:sz w:val="20"/>
          <w:szCs w:val="20"/>
          <w:lang w:val="es-ES"/>
        </w:rPr>
        <w:t>A continuación se resume la información seleccionada, que debe leerse junto con los estados financieros consolidados intermedios condensados no auditados de la Compañía al 30 de junio de 2025 y el informe de gestión (</w:t>
      </w:r>
      <w:r w:rsidRPr="00CB3E68">
        <w:rPr>
          <w:rFonts w:ascii="Arial" w:hAnsi="Arial" w:cs="Arial"/>
          <w:b/>
          <w:sz w:val="20"/>
          <w:szCs w:val="20"/>
          <w:lang w:val="es-ES"/>
        </w:rPr>
        <w:t>«MD&amp;</w:t>
      </w:r>
      <w:r w:rsidRPr="00CB3E68">
        <w:rPr>
          <w:rFonts w:ascii="Arial" w:hAnsi="Arial" w:cs="Arial"/>
          <w:sz w:val="20"/>
          <w:szCs w:val="20"/>
          <w:lang w:val="es-ES"/>
        </w:rPr>
        <w:t xml:space="preserve">A») que se están presentando ante las autoridades reguladoras de valores canadienses y que estarán disponibles en el perfil de la Compañía en </w:t>
      </w:r>
      <w:hyperlink r:id="rId12" w:history="1">
        <w:r w:rsidRPr="00CB3E68">
          <w:rPr>
            <w:rStyle w:val="Hipervnculo"/>
            <w:rFonts w:ascii="Arial" w:hAnsi="Arial" w:cs="Arial"/>
            <w:sz w:val="20"/>
            <w:szCs w:val="20"/>
            <w:lang w:val="es-ES"/>
          </w:rPr>
          <w:t>www.sedarplus.ca</w:t>
        </w:r>
      </w:hyperlink>
      <w:r w:rsidRPr="00CB3E68">
        <w:rPr>
          <w:rFonts w:ascii="Arial" w:hAnsi="Arial" w:cs="Arial"/>
          <w:sz w:val="20"/>
          <w:szCs w:val="20"/>
          <w:lang w:val="es-ES"/>
        </w:rPr>
        <w:t xml:space="preserve"> y en el sitio web de la Compañía en </w:t>
      </w:r>
      <w:hyperlink r:id="rId13" w:history="1">
        <w:r w:rsidRPr="00CB3E68">
          <w:rPr>
            <w:rStyle w:val="Hipervnculo"/>
            <w:rFonts w:ascii="Arial" w:hAnsi="Arial" w:cs="Arial"/>
            <w:sz w:val="20"/>
            <w:szCs w:val="20"/>
            <w:lang w:val="es-ES"/>
          </w:rPr>
          <w:t>www.crownpointenergy.com</w:t>
        </w:r>
      </w:hyperlink>
      <w:r w:rsidRPr="00CB3E68">
        <w:rPr>
          <w:rFonts w:ascii="Arial" w:hAnsi="Arial" w:cs="Arial"/>
          <w:sz w:val="20"/>
          <w:szCs w:val="20"/>
          <w:lang w:val="es-ES"/>
        </w:rPr>
        <w:t xml:space="preserve">. </w:t>
      </w:r>
      <w:r w:rsidRPr="00CB3E68">
        <w:rPr>
          <w:rFonts w:ascii="Arial" w:hAnsi="Arial" w:cs="Arial"/>
          <w:b/>
          <w:sz w:val="20"/>
          <w:szCs w:val="20"/>
          <w:lang w:val="es-ES"/>
        </w:rPr>
        <w:t>Todas las cifras en dólares se expresan en dólares estadounidenses («USD») a menos que se indique lo contrario.</w:t>
      </w:r>
    </w:p>
    <w:p w14:paraId="5B71BBF2" w14:textId="00EB64CA" w:rsidR="00CE7722" w:rsidRPr="00CB3E68" w:rsidRDefault="00CE7722" w:rsidP="00CE7722">
      <w:pPr>
        <w:widowControl w:val="0"/>
        <w:spacing w:before="120"/>
        <w:jc w:val="both"/>
        <w:rPr>
          <w:rFonts w:ascii="Arial" w:hAnsi="Arial" w:cs="Arial"/>
          <w:sz w:val="20"/>
          <w:szCs w:val="20"/>
          <w:lang w:val="es-ES"/>
        </w:rPr>
      </w:pPr>
      <w:r w:rsidRPr="00CB3E68">
        <w:rPr>
          <w:rFonts w:ascii="Arial" w:hAnsi="Arial" w:cs="Arial"/>
          <w:sz w:val="20"/>
          <w:szCs w:val="20"/>
          <w:lang w:val="es-ES"/>
        </w:rPr>
        <w:t>En el siguiente análisis, el trimestre finalizado el 30 de junio de 2025 puede denominarse «2T 2025».  El trimestre comparativo finalizado el 30 de junio de 2024 puede denominarse «2T 2024».</w:t>
      </w:r>
    </w:p>
    <w:p w14:paraId="0FC864BC" w14:textId="7822A6E3" w:rsidR="002D3101" w:rsidRPr="00CB3E68" w:rsidRDefault="002D3101" w:rsidP="002D3101">
      <w:pPr>
        <w:widowControl w:val="0"/>
        <w:spacing w:before="120"/>
        <w:jc w:val="both"/>
        <w:rPr>
          <w:rFonts w:ascii="Arial" w:hAnsi="Arial" w:cs="Arial"/>
          <w:b/>
          <w:bCs/>
          <w:caps/>
          <w:color w:val="000000"/>
          <w:sz w:val="20"/>
          <w:szCs w:val="20"/>
          <w:lang w:val="es-ES"/>
        </w:rPr>
      </w:pPr>
      <w:r w:rsidRPr="00CB3E68">
        <w:rPr>
          <w:rFonts w:ascii="Arial" w:hAnsi="Arial" w:cs="Arial"/>
          <w:b/>
          <w:bCs/>
          <w:caps/>
          <w:color w:val="000000"/>
          <w:sz w:val="20"/>
          <w:szCs w:val="20"/>
          <w:lang w:val="es-ES"/>
        </w:rPr>
        <w:t xml:space="preserve">RESUMEN DEL </w:t>
      </w:r>
      <w:r w:rsidR="00CE7722" w:rsidRPr="00CB3E68">
        <w:rPr>
          <w:rFonts w:ascii="Arial" w:hAnsi="Arial" w:cs="Arial"/>
          <w:b/>
          <w:bCs/>
          <w:caps/>
          <w:color w:val="000000"/>
          <w:sz w:val="20"/>
          <w:szCs w:val="20"/>
          <w:lang w:val="es-ES"/>
        </w:rPr>
        <w:t xml:space="preserve">SEGUNDO TRIMESTRE </w:t>
      </w:r>
      <w:r w:rsidRPr="00CB3E68">
        <w:rPr>
          <w:rFonts w:ascii="Arial" w:hAnsi="Arial" w:cs="Arial"/>
          <w:b/>
          <w:bCs/>
          <w:caps/>
          <w:color w:val="000000"/>
          <w:sz w:val="20"/>
          <w:szCs w:val="20"/>
          <w:lang w:val="es-ES"/>
        </w:rPr>
        <w:t>DE</w:t>
      </w:r>
      <w:r w:rsidR="00131320" w:rsidRPr="00CB3E68">
        <w:rPr>
          <w:rFonts w:ascii="Arial" w:hAnsi="Arial" w:cs="Arial"/>
          <w:b/>
          <w:bCs/>
          <w:caps/>
          <w:color w:val="000000"/>
          <w:sz w:val="20"/>
          <w:szCs w:val="20"/>
          <w:lang w:val="es-ES"/>
        </w:rPr>
        <w:t xml:space="preserve"> 2025</w:t>
      </w:r>
    </w:p>
    <w:p w14:paraId="15CD3FC4" w14:textId="33E94615" w:rsidR="002D3101" w:rsidRPr="00CB3E68" w:rsidRDefault="002D3101" w:rsidP="002D3101">
      <w:pPr>
        <w:widowControl w:val="0"/>
        <w:autoSpaceDE w:val="0"/>
        <w:autoSpaceDN w:val="0"/>
        <w:adjustRightInd w:val="0"/>
        <w:spacing w:before="120" w:line="240" w:lineRule="atLeast"/>
        <w:jc w:val="both"/>
        <w:rPr>
          <w:rFonts w:ascii="Arial" w:hAnsi="Arial" w:cs="Arial"/>
          <w:sz w:val="20"/>
          <w:szCs w:val="20"/>
          <w:lang w:val="es-ES"/>
        </w:rPr>
      </w:pPr>
      <w:r w:rsidRPr="00CB3E68">
        <w:rPr>
          <w:rFonts w:ascii="Arial" w:hAnsi="Arial" w:cs="Arial"/>
          <w:sz w:val="20"/>
          <w:szCs w:val="20"/>
          <w:lang w:val="es-ES"/>
        </w:rPr>
        <w:t xml:space="preserve">Durante </w:t>
      </w:r>
      <w:r w:rsidR="00CE7722" w:rsidRPr="00CB3E68">
        <w:rPr>
          <w:rFonts w:ascii="Arial" w:hAnsi="Arial" w:cs="Arial"/>
          <w:sz w:val="20"/>
          <w:szCs w:val="20"/>
          <w:lang w:val="es-ES"/>
        </w:rPr>
        <w:t xml:space="preserve">el segundo trimestre </w:t>
      </w:r>
      <w:r w:rsidR="00131320" w:rsidRPr="00CB3E68">
        <w:rPr>
          <w:rFonts w:ascii="Arial" w:hAnsi="Arial" w:cs="Arial"/>
          <w:sz w:val="20"/>
          <w:szCs w:val="20"/>
          <w:lang w:val="es-ES"/>
        </w:rPr>
        <w:t>de 2025</w:t>
      </w:r>
      <w:r w:rsidRPr="00CB3E68">
        <w:rPr>
          <w:rFonts w:ascii="Arial" w:hAnsi="Arial" w:cs="Arial"/>
          <w:sz w:val="20"/>
          <w:szCs w:val="20"/>
          <w:lang w:val="es-ES"/>
        </w:rPr>
        <w:t>, la empresa:</w:t>
      </w:r>
    </w:p>
    <w:p w14:paraId="7E13EFE8" w14:textId="3FB3AC5E" w:rsidR="002D3101" w:rsidRPr="00CB3E68" w:rsidRDefault="002D3101" w:rsidP="00614DA0">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t xml:space="preserve">Registró un flujo de caja neto procedente de actividades operativas y un flujo de fondos </w:t>
      </w:r>
      <w:r w:rsidR="00715734" w:rsidRPr="00CB3E68">
        <w:rPr>
          <w:rFonts w:ascii="Arial" w:hAnsi="Arial" w:cs="Arial"/>
          <w:sz w:val="20"/>
          <w:szCs w:val="20"/>
          <w:lang w:val="es-ES"/>
        </w:rPr>
        <w:t xml:space="preserve">utilizado en </w:t>
      </w:r>
      <w:r w:rsidRPr="00CB3E68">
        <w:rPr>
          <w:rFonts w:ascii="Arial" w:hAnsi="Arial" w:cs="Arial"/>
          <w:sz w:val="20"/>
          <w:szCs w:val="20"/>
          <w:lang w:val="es-ES"/>
        </w:rPr>
        <w:t>actividades operativas de</w:t>
      </w:r>
      <w:r w:rsidR="00CE7722" w:rsidRPr="00CB3E68">
        <w:rPr>
          <w:rFonts w:ascii="Arial" w:hAnsi="Arial" w:cs="Arial"/>
          <w:sz w:val="20"/>
          <w:szCs w:val="20"/>
          <w:lang w:val="es-ES"/>
        </w:rPr>
        <w:t xml:space="preserve"> 5,6 </w:t>
      </w:r>
      <w:r w:rsidRPr="00CB3E68">
        <w:rPr>
          <w:rFonts w:ascii="Arial" w:hAnsi="Arial" w:cs="Arial"/>
          <w:sz w:val="20"/>
          <w:szCs w:val="20"/>
          <w:lang w:val="es-ES"/>
        </w:rPr>
        <w:t xml:space="preserve">millones de </w:t>
      </w:r>
      <w:r w:rsidR="00715734" w:rsidRPr="00CB3E68">
        <w:rPr>
          <w:rFonts w:ascii="Arial" w:hAnsi="Arial" w:cs="Arial"/>
          <w:sz w:val="20"/>
          <w:szCs w:val="20"/>
          <w:lang w:val="es-ES"/>
        </w:rPr>
        <w:t>dólares y</w:t>
      </w:r>
      <w:r w:rsidR="00E43C3B" w:rsidRPr="00CB3E68">
        <w:rPr>
          <w:rFonts w:ascii="Arial" w:hAnsi="Arial" w:cs="Arial"/>
          <w:sz w:val="20"/>
          <w:szCs w:val="20"/>
          <w:lang w:val="es-ES"/>
        </w:rPr>
        <w:t xml:space="preserve"> 5,0 </w:t>
      </w:r>
      <w:r w:rsidR="00715734" w:rsidRPr="00CB3E68">
        <w:rPr>
          <w:rFonts w:ascii="Arial" w:hAnsi="Arial" w:cs="Arial"/>
          <w:sz w:val="20"/>
          <w:szCs w:val="20"/>
          <w:lang w:val="es-ES"/>
        </w:rPr>
        <w:t xml:space="preserve">millones de </w:t>
      </w:r>
      <w:r w:rsidR="007664BA" w:rsidRPr="00CB3E68">
        <w:rPr>
          <w:rFonts w:ascii="Arial" w:hAnsi="Arial" w:cs="Arial"/>
          <w:sz w:val="20"/>
          <w:szCs w:val="20"/>
          <w:lang w:val="es-ES"/>
        </w:rPr>
        <w:t>dólares, respectivamente</w:t>
      </w:r>
      <w:r w:rsidR="0038594F" w:rsidRPr="00CB3E68">
        <w:rPr>
          <w:rFonts w:ascii="Arial" w:hAnsi="Arial" w:cs="Arial"/>
          <w:sz w:val="20"/>
          <w:szCs w:val="20"/>
          <w:lang w:val="es-ES"/>
        </w:rPr>
        <w:t xml:space="preserve">, en comparación con </w:t>
      </w:r>
      <w:r w:rsidR="00A415FD" w:rsidRPr="00CB3E68">
        <w:rPr>
          <w:rFonts w:ascii="Arial" w:hAnsi="Arial" w:cs="Arial"/>
          <w:sz w:val="20"/>
          <w:szCs w:val="20"/>
          <w:lang w:val="es-ES"/>
        </w:rPr>
        <w:t xml:space="preserve">el segundo trimestre </w:t>
      </w:r>
      <w:r w:rsidR="0038594F" w:rsidRPr="00CB3E68">
        <w:rPr>
          <w:rFonts w:ascii="Arial" w:hAnsi="Arial" w:cs="Arial"/>
          <w:sz w:val="20"/>
          <w:szCs w:val="20"/>
          <w:lang w:val="es-ES"/>
        </w:rPr>
        <w:t xml:space="preserve">de 2024, cuando la empresa registró </w:t>
      </w:r>
      <w:r w:rsidR="00A415FD" w:rsidRPr="00CB3E68">
        <w:rPr>
          <w:rFonts w:ascii="Arial" w:hAnsi="Arial" w:cs="Arial"/>
          <w:sz w:val="20"/>
          <w:szCs w:val="20"/>
          <w:lang w:val="es-ES"/>
        </w:rPr>
        <w:t xml:space="preserve">un flujo de caja neto </w:t>
      </w:r>
      <w:r w:rsidR="00EA01A4" w:rsidRPr="00CB3E68">
        <w:rPr>
          <w:rFonts w:ascii="Arial" w:hAnsi="Arial" w:cs="Arial"/>
          <w:sz w:val="20"/>
          <w:szCs w:val="20"/>
          <w:lang w:val="es-ES"/>
        </w:rPr>
        <w:t xml:space="preserve">y un flujo de fondos </w:t>
      </w:r>
      <w:r w:rsidR="00A415FD" w:rsidRPr="00CB3E68">
        <w:rPr>
          <w:rFonts w:ascii="Arial" w:hAnsi="Arial" w:cs="Arial"/>
          <w:sz w:val="20"/>
          <w:szCs w:val="20"/>
          <w:lang w:val="es-ES"/>
        </w:rPr>
        <w:t xml:space="preserve">utilizado en actividades operativas de 1,5 millones de dólares </w:t>
      </w:r>
      <w:r w:rsidR="00EA01A4" w:rsidRPr="00CB3E68">
        <w:rPr>
          <w:rFonts w:ascii="Arial" w:hAnsi="Arial" w:cs="Arial"/>
          <w:sz w:val="20"/>
          <w:szCs w:val="20"/>
          <w:lang w:val="es-ES"/>
        </w:rPr>
        <w:t>y</w:t>
      </w:r>
      <w:r w:rsidR="00A415FD" w:rsidRPr="00CB3E68">
        <w:rPr>
          <w:rFonts w:ascii="Arial" w:hAnsi="Arial" w:cs="Arial"/>
          <w:sz w:val="20"/>
          <w:szCs w:val="20"/>
          <w:lang w:val="es-ES"/>
        </w:rPr>
        <w:t xml:space="preserve"> 1,4 millones de dólares</w:t>
      </w:r>
      <w:r w:rsidR="00EA01A4" w:rsidRPr="00CB3E68">
        <w:rPr>
          <w:rFonts w:ascii="Arial" w:hAnsi="Arial" w:cs="Arial"/>
          <w:sz w:val="20"/>
          <w:szCs w:val="20"/>
          <w:lang w:val="es-ES"/>
        </w:rPr>
        <w:t>, respectivamente</w:t>
      </w:r>
      <w:r w:rsidR="0038594F" w:rsidRPr="00CB3E68">
        <w:rPr>
          <w:rFonts w:ascii="Arial" w:hAnsi="Arial" w:cs="Arial"/>
          <w:sz w:val="20"/>
          <w:szCs w:val="20"/>
          <w:lang w:val="es-ES"/>
        </w:rPr>
        <w:t>.</w:t>
      </w:r>
      <w:r w:rsidR="007E4CAF" w:rsidRPr="00CB3E68">
        <w:rPr>
          <w:rFonts w:ascii="Arial" w:hAnsi="Arial" w:cs="Arial"/>
          <w:sz w:val="20"/>
          <w:szCs w:val="20"/>
          <w:lang w:val="es-ES"/>
        </w:rPr>
        <w:tab/>
      </w:r>
    </w:p>
    <w:p w14:paraId="5DE78FD7" w14:textId="0FC727B4" w:rsidR="002D3101" w:rsidRPr="00CB3E68" w:rsidRDefault="002D3101" w:rsidP="00763017">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t>Obtuvo</w:t>
      </w:r>
      <w:r w:rsidR="00A415FD" w:rsidRPr="00CB3E68">
        <w:rPr>
          <w:rFonts w:ascii="Arial" w:hAnsi="Arial" w:cs="Arial"/>
          <w:sz w:val="20"/>
          <w:szCs w:val="20"/>
          <w:lang w:val="es-ES"/>
        </w:rPr>
        <w:t xml:space="preserve"> 22,2 </w:t>
      </w:r>
      <w:r w:rsidRPr="00CB3E68">
        <w:rPr>
          <w:rFonts w:ascii="Arial" w:hAnsi="Arial" w:cs="Arial"/>
          <w:sz w:val="20"/>
          <w:szCs w:val="20"/>
          <w:lang w:val="es-ES"/>
        </w:rPr>
        <w:t>millones de dólares en ingresos por ventas de petróleo y gas natural con un volumen medio diario total de ventas de</w:t>
      </w:r>
      <w:r w:rsidR="00A415FD" w:rsidRPr="00CB3E68">
        <w:rPr>
          <w:rFonts w:ascii="Arial" w:hAnsi="Arial" w:cs="Arial"/>
          <w:sz w:val="20"/>
          <w:szCs w:val="20"/>
          <w:lang w:val="es-ES"/>
        </w:rPr>
        <w:t xml:space="preserve"> 4083 </w:t>
      </w:r>
      <w:r w:rsidRPr="00CB3E68">
        <w:rPr>
          <w:rFonts w:ascii="Arial" w:hAnsi="Arial" w:cs="Arial"/>
          <w:sz w:val="20"/>
          <w:szCs w:val="20"/>
          <w:lang w:val="es-ES"/>
        </w:rPr>
        <w:t>BOE al día</w:t>
      </w:r>
      <w:r w:rsidR="00E43C3B" w:rsidRPr="00CB3E68">
        <w:rPr>
          <w:rFonts w:ascii="Arial" w:hAnsi="Arial" w:cs="Arial"/>
          <w:sz w:val="20"/>
          <w:szCs w:val="20"/>
          <w:lang w:val="es-ES"/>
        </w:rPr>
        <w:t xml:space="preserve">, lo que supuso </w:t>
      </w:r>
      <w:r w:rsidR="0038594F" w:rsidRPr="00CB3E68">
        <w:rPr>
          <w:rFonts w:ascii="Arial" w:hAnsi="Arial" w:cs="Arial"/>
          <w:sz w:val="20"/>
          <w:szCs w:val="20"/>
          <w:lang w:val="es-ES"/>
        </w:rPr>
        <w:t xml:space="preserve">un aumento con respecto a </w:t>
      </w:r>
      <w:r w:rsidR="00E43C3B" w:rsidRPr="00CB3E68">
        <w:rPr>
          <w:rFonts w:ascii="Arial" w:hAnsi="Arial" w:cs="Arial"/>
          <w:sz w:val="20"/>
          <w:szCs w:val="20"/>
          <w:lang w:val="es-ES"/>
        </w:rPr>
        <w:t>los</w:t>
      </w:r>
      <w:r w:rsidR="00A415FD" w:rsidRPr="00CB3E68">
        <w:rPr>
          <w:rFonts w:ascii="Arial" w:hAnsi="Arial" w:cs="Arial"/>
          <w:sz w:val="20"/>
          <w:szCs w:val="20"/>
          <w:lang w:val="es-ES"/>
        </w:rPr>
        <w:t xml:space="preserve"> 5,6 </w:t>
      </w:r>
      <w:r w:rsidR="0038594F" w:rsidRPr="00CB3E68">
        <w:rPr>
          <w:rFonts w:ascii="Arial" w:hAnsi="Arial" w:cs="Arial"/>
          <w:sz w:val="20"/>
          <w:szCs w:val="20"/>
          <w:lang w:val="es-ES"/>
        </w:rPr>
        <w:t xml:space="preserve">millones de dólares en ingresos por ventas de petróleo y gas natural </w:t>
      </w:r>
      <w:r w:rsidR="00E43C3B" w:rsidRPr="00CB3E68">
        <w:rPr>
          <w:rFonts w:ascii="Arial" w:hAnsi="Arial" w:cs="Arial"/>
          <w:sz w:val="20"/>
          <w:szCs w:val="20"/>
          <w:lang w:val="es-ES"/>
        </w:rPr>
        <w:t xml:space="preserve">obtenidos </w:t>
      </w:r>
      <w:r w:rsidR="0038594F" w:rsidRPr="00CB3E68">
        <w:rPr>
          <w:rFonts w:ascii="Arial" w:hAnsi="Arial" w:cs="Arial"/>
          <w:sz w:val="20"/>
          <w:szCs w:val="20"/>
          <w:lang w:val="es-ES"/>
        </w:rPr>
        <w:t>con un volumen medio diario total de ventas de</w:t>
      </w:r>
      <w:r w:rsidR="00A415FD" w:rsidRPr="00CB3E68">
        <w:rPr>
          <w:rFonts w:ascii="Arial" w:hAnsi="Arial" w:cs="Arial"/>
          <w:sz w:val="20"/>
          <w:szCs w:val="20"/>
          <w:lang w:val="es-ES"/>
        </w:rPr>
        <w:t xml:space="preserve"> 1340 </w:t>
      </w:r>
      <w:r w:rsidR="0038594F" w:rsidRPr="00CB3E68">
        <w:rPr>
          <w:rFonts w:ascii="Arial" w:hAnsi="Arial" w:cs="Arial"/>
          <w:sz w:val="20"/>
          <w:szCs w:val="20"/>
          <w:lang w:val="es-ES"/>
        </w:rPr>
        <w:t xml:space="preserve">BOE al día en </w:t>
      </w:r>
      <w:r w:rsidR="00A415FD" w:rsidRPr="00CB3E68">
        <w:rPr>
          <w:rFonts w:ascii="Arial" w:hAnsi="Arial" w:cs="Arial"/>
          <w:sz w:val="20"/>
          <w:szCs w:val="20"/>
          <w:lang w:val="es-ES"/>
        </w:rPr>
        <w:t xml:space="preserve">el segundo trimestre </w:t>
      </w:r>
      <w:r w:rsidR="0038594F" w:rsidRPr="00CB3E68">
        <w:rPr>
          <w:rFonts w:ascii="Arial" w:hAnsi="Arial" w:cs="Arial"/>
          <w:sz w:val="20"/>
          <w:szCs w:val="20"/>
          <w:lang w:val="es-ES"/>
        </w:rPr>
        <w:t>de 2024, debido a las ventas de petróleo de las concesiones de Santa Cruz que se adquirieron el 31 de octubre de 2024.</w:t>
      </w:r>
    </w:p>
    <w:p w14:paraId="17860EFD" w14:textId="4D38CD84" w:rsidR="002D3101" w:rsidRPr="00CB3E68" w:rsidRDefault="002D3101" w:rsidP="00763017">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t>Recibió un promedio de</w:t>
      </w:r>
      <w:r w:rsidR="00A415FD" w:rsidRPr="00CB3E68">
        <w:rPr>
          <w:rFonts w:ascii="Arial" w:hAnsi="Arial" w:cs="Arial"/>
          <w:sz w:val="20"/>
          <w:szCs w:val="20"/>
          <w:lang w:val="es-ES"/>
        </w:rPr>
        <w:t xml:space="preserve"> 3,45 </w:t>
      </w:r>
      <w:r w:rsidRPr="00CB3E68">
        <w:rPr>
          <w:rFonts w:ascii="Arial" w:hAnsi="Arial" w:cs="Arial"/>
          <w:sz w:val="20"/>
          <w:szCs w:val="20"/>
          <w:lang w:val="es-ES"/>
        </w:rPr>
        <w:t xml:space="preserve">dólares por </w:t>
      </w:r>
      <w:proofErr w:type="spellStart"/>
      <w:r w:rsidRPr="00CB3E68">
        <w:rPr>
          <w:rFonts w:ascii="Arial" w:hAnsi="Arial" w:cs="Arial"/>
          <w:sz w:val="20"/>
          <w:szCs w:val="20"/>
          <w:lang w:val="es-ES"/>
        </w:rPr>
        <w:t>mcf</w:t>
      </w:r>
      <w:proofErr w:type="spellEnd"/>
      <w:r w:rsidRPr="00CB3E68">
        <w:rPr>
          <w:rFonts w:ascii="Arial" w:hAnsi="Arial" w:cs="Arial"/>
          <w:sz w:val="20"/>
          <w:szCs w:val="20"/>
          <w:lang w:val="es-ES"/>
        </w:rPr>
        <w:t xml:space="preserve"> por el gas natural y</w:t>
      </w:r>
      <w:r w:rsidR="00A415FD" w:rsidRPr="00CB3E68">
        <w:rPr>
          <w:rFonts w:ascii="Arial" w:hAnsi="Arial" w:cs="Arial"/>
          <w:sz w:val="20"/>
          <w:szCs w:val="20"/>
          <w:lang w:val="es-ES"/>
        </w:rPr>
        <w:t xml:space="preserve"> 67,26 </w:t>
      </w:r>
      <w:r w:rsidRPr="00CB3E68">
        <w:rPr>
          <w:rFonts w:ascii="Arial" w:hAnsi="Arial" w:cs="Arial"/>
          <w:sz w:val="20"/>
          <w:szCs w:val="20"/>
          <w:lang w:val="es-ES"/>
        </w:rPr>
        <w:t>dólares por barril por el petróleo</w:t>
      </w:r>
      <w:r w:rsidR="0038594F" w:rsidRPr="00CB3E68">
        <w:rPr>
          <w:rFonts w:ascii="Arial" w:hAnsi="Arial" w:cs="Arial"/>
          <w:sz w:val="20"/>
          <w:szCs w:val="20"/>
          <w:lang w:val="es-ES"/>
        </w:rPr>
        <w:t xml:space="preserve">, en comparación con </w:t>
      </w:r>
      <w:r w:rsidR="00A415FD" w:rsidRPr="00CB3E68">
        <w:rPr>
          <w:rFonts w:ascii="Arial" w:hAnsi="Arial" w:cs="Arial"/>
          <w:sz w:val="20"/>
          <w:szCs w:val="20"/>
          <w:lang w:val="es-ES"/>
        </w:rPr>
        <w:t xml:space="preserve">los 3,71 dólares </w:t>
      </w:r>
      <w:r w:rsidR="0038594F" w:rsidRPr="00CB3E68">
        <w:rPr>
          <w:rFonts w:ascii="Arial" w:hAnsi="Arial" w:cs="Arial"/>
          <w:sz w:val="20"/>
          <w:szCs w:val="20"/>
          <w:lang w:val="es-ES"/>
        </w:rPr>
        <w:t xml:space="preserve">por </w:t>
      </w:r>
      <w:proofErr w:type="spellStart"/>
      <w:r w:rsidR="0038594F" w:rsidRPr="00CB3E68">
        <w:rPr>
          <w:rFonts w:ascii="Arial" w:hAnsi="Arial" w:cs="Arial"/>
          <w:sz w:val="20"/>
          <w:szCs w:val="20"/>
          <w:lang w:val="es-ES"/>
        </w:rPr>
        <w:t>mcf</w:t>
      </w:r>
      <w:proofErr w:type="spellEnd"/>
      <w:r w:rsidR="0038594F" w:rsidRPr="00CB3E68">
        <w:rPr>
          <w:rFonts w:ascii="Arial" w:hAnsi="Arial" w:cs="Arial"/>
          <w:sz w:val="20"/>
          <w:szCs w:val="20"/>
          <w:lang w:val="es-ES"/>
        </w:rPr>
        <w:t xml:space="preserve"> por el gas natural y </w:t>
      </w:r>
      <w:r w:rsidR="00A415FD" w:rsidRPr="00CB3E68">
        <w:rPr>
          <w:rFonts w:ascii="Arial" w:hAnsi="Arial" w:cs="Arial"/>
          <w:sz w:val="20"/>
          <w:szCs w:val="20"/>
          <w:lang w:val="es-ES"/>
        </w:rPr>
        <w:t xml:space="preserve">los 65,50 dólares </w:t>
      </w:r>
      <w:r w:rsidR="0038594F" w:rsidRPr="00CB3E68">
        <w:rPr>
          <w:rFonts w:ascii="Arial" w:hAnsi="Arial" w:cs="Arial"/>
          <w:sz w:val="20"/>
          <w:szCs w:val="20"/>
          <w:lang w:val="es-ES"/>
        </w:rPr>
        <w:t xml:space="preserve">por barril por el petróleo recibidos en </w:t>
      </w:r>
      <w:r w:rsidR="00A415FD" w:rsidRPr="00CB3E68">
        <w:rPr>
          <w:rFonts w:ascii="Arial" w:hAnsi="Arial" w:cs="Arial"/>
          <w:sz w:val="20"/>
          <w:szCs w:val="20"/>
          <w:lang w:val="es-ES"/>
        </w:rPr>
        <w:t xml:space="preserve">el segundo trimestre </w:t>
      </w:r>
      <w:r w:rsidR="0038594F" w:rsidRPr="00CB3E68">
        <w:rPr>
          <w:rFonts w:ascii="Arial" w:hAnsi="Arial" w:cs="Arial"/>
          <w:sz w:val="20"/>
          <w:szCs w:val="20"/>
          <w:lang w:val="es-ES"/>
        </w:rPr>
        <w:t>de 2024.</w:t>
      </w:r>
    </w:p>
    <w:p w14:paraId="0CF9B842" w14:textId="093F6897" w:rsidR="002D3101" w:rsidRPr="00CB3E68" w:rsidRDefault="002D3101" w:rsidP="00763017">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t xml:space="preserve">Se registró un </w:t>
      </w:r>
      <w:proofErr w:type="spellStart"/>
      <w:r w:rsidRPr="00CB3E68">
        <w:rPr>
          <w:rFonts w:ascii="Arial" w:hAnsi="Arial" w:cs="Arial"/>
          <w:sz w:val="20"/>
          <w:szCs w:val="20"/>
          <w:lang w:val="es-ES"/>
        </w:rPr>
        <w:t>netback</w:t>
      </w:r>
      <w:proofErr w:type="spellEnd"/>
      <w:r w:rsidRPr="00CB3E68">
        <w:rPr>
          <w:rFonts w:ascii="Arial" w:hAnsi="Arial" w:cs="Arial"/>
          <w:sz w:val="20"/>
          <w:szCs w:val="20"/>
          <w:lang w:val="es-ES"/>
        </w:rPr>
        <w:t xml:space="preserve"> operativo de </w:t>
      </w:r>
      <w:r w:rsidR="00A415FD" w:rsidRPr="00CB3E68">
        <w:rPr>
          <w:rFonts w:ascii="Arial" w:hAnsi="Arial" w:cs="Arial"/>
          <w:sz w:val="20"/>
          <w:szCs w:val="20"/>
          <w:lang w:val="es-ES"/>
        </w:rPr>
        <w:t xml:space="preserve">(7,50) </w:t>
      </w:r>
      <w:r w:rsidR="00CB3E68">
        <w:rPr>
          <w:rFonts w:ascii="Arial" w:hAnsi="Arial" w:cs="Arial"/>
          <w:sz w:val="20"/>
          <w:szCs w:val="20"/>
          <w:lang w:val="es-ES"/>
        </w:rPr>
        <w:t>dólares por BOE</w:t>
      </w:r>
      <w:r>
        <w:rPr>
          <w:rStyle w:val="Refdenotaalpie"/>
          <w:rFonts w:ascii="Arial" w:hAnsi="Arial" w:cs="Arial"/>
          <w:sz w:val="20"/>
          <w:szCs w:val="20"/>
        </w:rPr>
        <w:footnoteReference w:id="2"/>
      </w:r>
      <w:r w:rsidR="0038594F" w:rsidRPr="00CB3E68">
        <w:rPr>
          <w:rFonts w:ascii="Arial" w:hAnsi="Arial" w:cs="Arial"/>
          <w:sz w:val="20"/>
          <w:szCs w:val="20"/>
          <w:lang w:val="es-ES"/>
        </w:rPr>
        <w:t xml:space="preserve"> , frente a los </w:t>
      </w:r>
      <w:r w:rsidR="00A415FD" w:rsidRPr="00CB3E68">
        <w:rPr>
          <w:rFonts w:ascii="Arial" w:hAnsi="Arial" w:cs="Arial"/>
          <w:sz w:val="20"/>
          <w:szCs w:val="20"/>
          <w:lang w:val="es-ES"/>
        </w:rPr>
        <w:t xml:space="preserve">(4,22) </w:t>
      </w:r>
      <w:r w:rsidR="0038594F" w:rsidRPr="00CB3E68">
        <w:rPr>
          <w:rFonts w:ascii="Arial" w:hAnsi="Arial" w:cs="Arial"/>
          <w:sz w:val="20"/>
          <w:szCs w:val="20"/>
          <w:lang w:val="es-ES"/>
        </w:rPr>
        <w:t xml:space="preserve">dólares por BOE del </w:t>
      </w:r>
      <w:r w:rsidR="00A415FD" w:rsidRPr="00CB3E68">
        <w:rPr>
          <w:rFonts w:ascii="Arial" w:hAnsi="Arial" w:cs="Arial"/>
          <w:sz w:val="20"/>
          <w:szCs w:val="20"/>
          <w:lang w:val="es-ES"/>
        </w:rPr>
        <w:t xml:space="preserve">segundo trimestre </w:t>
      </w:r>
      <w:r w:rsidR="0038594F" w:rsidRPr="00CB3E68">
        <w:rPr>
          <w:rFonts w:ascii="Arial" w:hAnsi="Arial" w:cs="Arial"/>
          <w:sz w:val="20"/>
          <w:szCs w:val="20"/>
          <w:lang w:val="es-ES"/>
        </w:rPr>
        <w:t>de 2024</w:t>
      </w:r>
      <w:r w:rsidRPr="00CB3E68">
        <w:rPr>
          <w:rFonts w:ascii="Arial" w:hAnsi="Arial" w:cs="Arial"/>
          <w:sz w:val="20"/>
          <w:szCs w:val="20"/>
          <w:lang w:val="es-ES"/>
        </w:rPr>
        <w:t xml:space="preserve">. </w:t>
      </w:r>
    </w:p>
    <w:p w14:paraId="737C1EDC" w14:textId="3AEC0371" w:rsidR="009D02A2" w:rsidRPr="00CB3E68" w:rsidRDefault="002D3101" w:rsidP="00763017">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t>Obtuvo</w:t>
      </w:r>
      <w:r w:rsidR="00A415FD" w:rsidRPr="00CB3E68">
        <w:rPr>
          <w:rFonts w:ascii="Arial" w:hAnsi="Arial" w:cs="Arial"/>
          <w:sz w:val="20"/>
          <w:szCs w:val="20"/>
          <w:lang w:val="es-ES"/>
        </w:rPr>
        <w:t xml:space="preserve"> 13,1 </w:t>
      </w:r>
      <w:r w:rsidRPr="00CB3E68">
        <w:rPr>
          <w:rFonts w:ascii="Arial" w:hAnsi="Arial" w:cs="Arial"/>
          <w:sz w:val="20"/>
          <w:szCs w:val="20"/>
          <w:lang w:val="es-ES"/>
        </w:rPr>
        <w:t>millones de dólares en capital circulante</w:t>
      </w:r>
      <w:r w:rsidR="009D02A2" w:rsidRPr="00CB3E68">
        <w:rPr>
          <w:rFonts w:ascii="Arial" w:hAnsi="Arial" w:cs="Arial"/>
          <w:sz w:val="20"/>
          <w:szCs w:val="20"/>
          <w:lang w:val="es-ES"/>
        </w:rPr>
        <w:t xml:space="preserve"> y </w:t>
      </w:r>
      <w:r w:rsidRPr="00CB3E68">
        <w:rPr>
          <w:rFonts w:ascii="Arial" w:hAnsi="Arial" w:cs="Arial"/>
          <w:sz w:val="20"/>
          <w:szCs w:val="20"/>
          <w:lang w:val="es-ES"/>
        </w:rPr>
        <w:t>préstamos en descubierto</w:t>
      </w:r>
      <w:r w:rsidR="009D02A2" w:rsidRPr="00CB3E68">
        <w:rPr>
          <w:rFonts w:ascii="Arial" w:hAnsi="Arial" w:cs="Arial"/>
          <w:sz w:val="20"/>
          <w:szCs w:val="20"/>
          <w:lang w:val="es-ES"/>
        </w:rPr>
        <w:t xml:space="preserve">, </w:t>
      </w:r>
      <w:r w:rsidR="00545595" w:rsidRPr="00CB3E68">
        <w:rPr>
          <w:rFonts w:ascii="Arial" w:hAnsi="Arial" w:cs="Arial"/>
          <w:sz w:val="20"/>
          <w:szCs w:val="20"/>
          <w:lang w:val="es-ES"/>
        </w:rPr>
        <w:t xml:space="preserve">y </w:t>
      </w:r>
      <w:r w:rsidR="009D02A2" w:rsidRPr="00CB3E68">
        <w:rPr>
          <w:rFonts w:ascii="Arial" w:hAnsi="Arial" w:cs="Arial"/>
          <w:sz w:val="20"/>
          <w:szCs w:val="20"/>
          <w:lang w:val="es-ES"/>
        </w:rPr>
        <w:t>reembolsó</w:t>
      </w:r>
      <w:r w:rsidR="00131320" w:rsidRPr="00CB3E68">
        <w:rPr>
          <w:rFonts w:ascii="Arial" w:hAnsi="Arial" w:cs="Arial"/>
          <w:sz w:val="20"/>
          <w:szCs w:val="20"/>
          <w:lang w:val="es-ES"/>
        </w:rPr>
        <w:t xml:space="preserve"> 5,5 </w:t>
      </w:r>
      <w:r w:rsidR="009D02A2" w:rsidRPr="00CB3E68">
        <w:rPr>
          <w:rFonts w:ascii="Arial" w:hAnsi="Arial" w:cs="Arial"/>
          <w:sz w:val="20"/>
          <w:szCs w:val="20"/>
          <w:lang w:val="es-ES"/>
        </w:rPr>
        <w:t>millones de dólares en pagarés y</w:t>
      </w:r>
      <w:r w:rsidR="00A415FD" w:rsidRPr="00CB3E68">
        <w:rPr>
          <w:rFonts w:ascii="Arial" w:hAnsi="Arial" w:cs="Arial"/>
          <w:sz w:val="20"/>
          <w:szCs w:val="20"/>
          <w:lang w:val="es-ES"/>
        </w:rPr>
        <w:t xml:space="preserve"> 8,8 </w:t>
      </w:r>
      <w:r w:rsidR="009D02A2" w:rsidRPr="00CB3E68">
        <w:rPr>
          <w:rFonts w:ascii="Arial" w:hAnsi="Arial" w:cs="Arial"/>
          <w:sz w:val="20"/>
          <w:szCs w:val="20"/>
          <w:lang w:val="es-ES"/>
        </w:rPr>
        <w:t xml:space="preserve">millones de dólares en capital </w:t>
      </w:r>
      <w:r w:rsidR="00131320" w:rsidRPr="00CB3E68">
        <w:rPr>
          <w:rFonts w:ascii="Arial" w:hAnsi="Arial" w:cs="Arial"/>
          <w:sz w:val="20"/>
          <w:szCs w:val="20"/>
          <w:lang w:val="es-ES"/>
        </w:rPr>
        <w:t>circulante y préstamos en descubierto</w:t>
      </w:r>
      <w:r w:rsidR="00276378" w:rsidRPr="00CB3E68">
        <w:rPr>
          <w:rFonts w:ascii="Arial" w:hAnsi="Arial" w:cs="Arial"/>
          <w:sz w:val="20"/>
          <w:szCs w:val="20"/>
          <w:lang w:val="es-ES"/>
        </w:rPr>
        <w:t>.</w:t>
      </w:r>
    </w:p>
    <w:p w14:paraId="25105F80" w14:textId="4DD5D8C9" w:rsidR="002D3101" w:rsidRPr="00CB3E68" w:rsidRDefault="002D3101" w:rsidP="00763017">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t xml:space="preserve">Registró </w:t>
      </w:r>
      <w:r w:rsidR="00A415FD" w:rsidRPr="00CB3E68">
        <w:rPr>
          <w:rFonts w:ascii="Arial" w:hAnsi="Arial" w:cs="Arial"/>
          <w:sz w:val="20"/>
          <w:szCs w:val="20"/>
          <w:lang w:val="es-ES"/>
        </w:rPr>
        <w:t xml:space="preserve">unas pérdidas </w:t>
      </w:r>
      <w:r w:rsidRPr="00CB3E68">
        <w:rPr>
          <w:rFonts w:ascii="Arial" w:hAnsi="Arial" w:cs="Arial"/>
          <w:sz w:val="20"/>
          <w:szCs w:val="20"/>
          <w:lang w:val="es-ES"/>
        </w:rPr>
        <w:t>antes de impuestos de</w:t>
      </w:r>
      <w:r w:rsidR="00A415FD" w:rsidRPr="00CB3E68">
        <w:rPr>
          <w:rFonts w:ascii="Arial" w:hAnsi="Arial" w:cs="Arial"/>
          <w:sz w:val="20"/>
          <w:szCs w:val="20"/>
          <w:lang w:val="es-ES"/>
        </w:rPr>
        <w:t xml:space="preserve"> 9,1 </w:t>
      </w:r>
      <w:r w:rsidR="009D02A2" w:rsidRPr="00CB3E68">
        <w:rPr>
          <w:rFonts w:ascii="Arial" w:hAnsi="Arial" w:cs="Arial"/>
          <w:sz w:val="20"/>
          <w:szCs w:val="20"/>
          <w:lang w:val="es-ES"/>
        </w:rPr>
        <w:t xml:space="preserve">millones de </w:t>
      </w:r>
      <w:r w:rsidR="002E3117" w:rsidRPr="00CB3E68">
        <w:rPr>
          <w:rFonts w:ascii="Arial" w:hAnsi="Arial" w:cs="Arial"/>
          <w:sz w:val="20"/>
          <w:szCs w:val="20"/>
          <w:lang w:val="es-ES"/>
        </w:rPr>
        <w:t>dólares, una recuperación fiscal de</w:t>
      </w:r>
      <w:r w:rsidR="00EA01A4" w:rsidRPr="00CB3E68">
        <w:rPr>
          <w:rFonts w:ascii="Arial" w:hAnsi="Arial" w:cs="Arial"/>
          <w:sz w:val="20"/>
          <w:szCs w:val="20"/>
          <w:lang w:val="es-ES"/>
        </w:rPr>
        <w:t xml:space="preserve"> 3,4 </w:t>
      </w:r>
      <w:r w:rsidR="002E3117" w:rsidRPr="00CB3E68">
        <w:rPr>
          <w:rFonts w:ascii="Arial" w:hAnsi="Arial" w:cs="Arial"/>
          <w:sz w:val="20"/>
          <w:szCs w:val="20"/>
          <w:lang w:val="es-ES"/>
        </w:rPr>
        <w:t xml:space="preserve">millones de </w:t>
      </w:r>
      <w:r w:rsidRPr="00CB3E68">
        <w:rPr>
          <w:rFonts w:ascii="Arial" w:hAnsi="Arial" w:cs="Arial"/>
          <w:sz w:val="20"/>
          <w:szCs w:val="20"/>
          <w:lang w:val="es-ES"/>
        </w:rPr>
        <w:t xml:space="preserve">dólares y </w:t>
      </w:r>
      <w:r w:rsidR="00A415FD" w:rsidRPr="00CB3E68">
        <w:rPr>
          <w:rFonts w:ascii="Arial" w:hAnsi="Arial" w:cs="Arial"/>
          <w:sz w:val="20"/>
          <w:szCs w:val="20"/>
          <w:lang w:val="es-ES"/>
        </w:rPr>
        <w:t>pérdidas</w:t>
      </w:r>
      <w:r w:rsidRPr="00CB3E68">
        <w:rPr>
          <w:rFonts w:ascii="Arial" w:hAnsi="Arial" w:cs="Arial"/>
          <w:sz w:val="20"/>
          <w:szCs w:val="20"/>
          <w:lang w:val="es-ES"/>
        </w:rPr>
        <w:t xml:space="preserve"> netas de</w:t>
      </w:r>
      <w:r w:rsidR="000F1015" w:rsidRPr="00CB3E68">
        <w:rPr>
          <w:rFonts w:ascii="Arial" w:hAnsi="Arial" w:cs="Arial"/>
          <w:sz w:val="20"/>
          <w:szCs w:val="20"/>
          <w:lang w:val="es-ES"/>
        </w:rPr>
        <w:t xml:space="preserve"> 5,7</w:t>
      </w:r>
      <w:r w:rsidR="00A415FD" w:rsidRPr="00CB3E68">
        <w:rPr>
          <w:rFonts w:ascii="Arial" w:hAnsi="Arial" w:cs="Arial"/>
          <w:sz w:val="20"/>
          <w:szCs w:val="20"/>
          <w:lang w:val="es-ES"/>
        </w:rPr>
        <w:t xml:space="preserve"> </w:t>
      </w:r>
      <w:r w:rsidRPr="00CB3E68">
        <w:rPr>
          <w:rFonts w:ascii="Arial" w:hAnsi="Arial" w:cs="Arial"/>
          <w:sz w:val="20"/>
          <w:szCs w:val="20"/>
          <w:lang w:val="es-ES"/>
        </w:rPr>
        <w:t>millones de dólares</w:t>
      </w:r>
      <w:r w:rsidR="0038594F" w:rsidRPr="00CB3E68">
        <w:rPr>
          <w:rFonts w:ascii="Arial" w:hAnsi="Arial" w:cs="Arial"/>
          <w:sz w:val="20"/>
          <w:szCs w:val="20"/>
          <w:lang w:val="es-ES"/>
        </w:rPr>
        <w:t xml:space="preserve">, en comparación con </w:t>
      </w:r>
      <w:r w:rsidR="00A415FD" w:rsidRPr="00CB3E68">
        <w:rPr>
          <w:rFonts w:ascii="Arial" w:hAnsi="Arial" w:cs="Arial"/>
          <w:sz w:val="20"/>
          <w:szCs w:val="20"/>
          <w:lang w:val="es-ES"/>
        </w:rPr>
        <w:t xml:space="preserve">el segundo trimestre </w:t>
      </w:r>
      <w:r w:rsidR="0038594F" w:rsidRPr="00CB3E68">
        <w:rPr>
          <w:rFonts w:ascii="Arial" w:hAnsi="Arial" w:cs="Arial"/>
          <w:sz w:val="20"/>
          <w:szCs w:val="20"/>
          <w:lang w:val="es-ES"/>
        </w:rPr>
        <w:t xml:space="preserve">de 2024, </w:t>
      </w:r>
      <w:r w:rsidR="00CB3E68">
        <w:rPr>
          <w:rFonts w:ascii="Arial" w:hAnsi="Arial" w:cs="Arial"/>
          <w:sz w:val="20"/>
          <w:szCs w:val="20"/>
          <w:lang w:val="es-ES"/>
        </w:rPr>
        <w:t xml:space="preserve">cuando la empresa registró </w:t>
      </w:r>
      <w:r w:rsidR="0038594F" w:rsidRPr="00CB3E68">
        <w:rPr>
          <w:rFonts w:ascii="Arial" w:hAnsi="Arial" w:cs="Arial"/>
          <w:sz w:val="20"/>
          <w:szCs w:val="20"/>
          <w:lang w:val="es-ES"/>
        </w:rPr>
        <w:t>pérdidas antes de impuestos de</w:t>
      </w:r>
      <w:r w:rsidR="00A415FD" w:rsidRPr="00CB3E68">
        <w:rPr>
          <w:rFonts w:ascii="Arial" w:hAnsi="Arial" w:cs="Arial"/>
          <w:sz w:val="20"/>
          <w:szCs w:val="20"/>
          <w:lang w:val="es-ES"/>
        </w:rPr>
        <w:t xml:space="preserve"> 4,3 </w:t>
      </w:r>
      <w:r w:rsidR="0038594F" w:rsidRPr="00CB3E68">
        <w:rPr>
          <w:rFonts w:ascii="Arial" w:hAnsi="Arial" w:cs="Arial"/>
          <w:sz w:val="20"/>
          <w:szCs w:val="20"/>
          <w:lang w:val="es-ES"/>
        </w:rPr>
        <w:t xml:space="preserve">millones de </w:t>
      </w:r>
      <w:r w:rsidR="002E3117" w:rsidRPr="00CB3E68">
        <w:rPr>
          <w:rFonts w:ascii="Arial" w:hAnsi="Arial" w:cs="Arial"/>
          <w:sz w:val="20"/>
          <w:szCs w:val="20"/>
          <w:lang w:val="es-ES"/>
        </w:rPr>
        <w:t xml:space="preserve">dólares, una recuperación fiscal </w:t>
      </w:r>
      <w:r w:rsidR="000F1015" w:rsidRPr="00CB3E68">
        <w:rPr>
          <w:rFonts w:ascii="Arial" w:hAnsi="Arial" w:cs="Arial"/>
          <w:sz w:val="20"/>
          <w:szCs w:val="20"/>
          <w:lang w:val="es-ES"/>
        </w:rPr>
        <w:t>de</w:t>
      </w:r>
      <w:r w:rsidR="00A415FD" w:rsidRPr="00CB3E68">
        <w:rPr>
          <w:rFonts w:ascii="Arial" w:hAnsi="Arial" w:cs="Arial"/>
          <w:sz w:val="20"/>
          <w:szCs w:val="20"/>
          <w:lang w:val="es-ES"/>
        </w:rPr>
        <w:t xml:space="preserve"> 1,3 </w:t>
      </w:r>
      <w:r w:rsidR="002E3117" w:rsidRPr="00CB3E68">
        <w:rPr>
          <w:rFonts w:ascii="Arial" w:hAnsi="Arial" w:cs="Arial"/>
          <w:sz w:val="20"/>
          <w:szCs w:val="20"/>
          <w:lang w:val="es-ES"/>
        </w:rPr>
        <w:t xml:space="preserve">millones de dólares </w:t>
      </w:r>
      <w:r w:rsidR="00CB3E68">
        <w:rPr>
          <w:rFonts w:ascii="Arial" w:hAnsi="Arial" w:cs="Arial"/>
          <w:sz w:val="20"/>
          <w:szCs w:val="20"/>
          <w:lang w:val="es-ES"/>
        </w:rPr>
        <w:t xml:space="preserve">y </w:t>
      </w:r>
      <w:r w:rsidR="0038594F" w:rsidRPr="00CB3E68">
        <w:rPr>
          <w:rFonts w:ascii="Arial" w:hAnsi="Arial" w:cs="Arial"/>
          <w:sz w:val="20"/>
          <w:szCs w:val="20"/>
          <w:lang w:val="es-ES"/>
        </w:rPr>
        <w:t>pérdidas netas de</w:t>
      </w:r>
      <w:r w:rsidR="00A415FD" w:rsidRPr="00CB3E68">
        <w:rPr>
          <w:rFonts w:ascii="Arial" w:hAnsi="Arial" w:cs="Arial"/>
          <w:sz w:val="20"/>
          <w:szCs w:val="20"/>
          <w:lang w:val="es-ES"/>
        </w:rPr>
        <w:t xml:space="preserve"> 3,1 </w:t>
      </w:r>
      <w:r w:rsidR="0038594F" w:rsidRPr="00CB3E68">
        <w:rPr>
          <w:rFonts w:ascii="Arial" w:hAnsi="Arial" w:cs="Arial"/>
          <w:sz w:val="20"/>
          <w:szCs w:val="20"/>
          <w:lang w:val="es-ES"/>
        </w:rPr>
        <w:t>millones de dólares</w:t>
      </w:r>
      <w:r w:rsidR="002E3117" w:rsidRPr="00CB3E68">
        <w:rPr>
          <w:rFonts w:ascii="Arial" w:hAnsi="Arial" w:cs="Arial"/>
          <w:sz w:val="20"/>
          <w:szCs w:val="20"/>
          <w:lang w:val="es-ES"/>
        </w:rPr>
        <w:t>.</w:t>
      </w:r>
    </w:p>
    <w:p w14:paraId="3E4A0F01" w14:textId="55AE5DAC" w:rsidR="00964D5E" w:rsidRPr="00CB3E68" w:rsidRDefault="002D3101" w:rsidP="00763017">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lang w:val="es-ES"/>
        </w:rPr>
      </w:pPr>
      <w:r w:rsidRPr="00CB3E68">
        <w:rPr>
          <w:rFonts w:ascii="Arial" w:hAnsi="Arial" w:cs="Arial"/>
          <w:sz w:val="20"/>
          <w:szCs w:val="20"/>
          <w:lang w:val="es-ES"/>
        </w:rPr>
        <w:lastRenderedPageBreak/>
        <w:t>Se registró un déficit de capital circulante</w:t>
      </w:r>
      <w:r w:rsidRPr="00F46634">
        <w:rPr>
          <w:rStyle w:val="Refdenotaalpie"/>
          <w:rFonts w:ascii="Arial" w:hAnsi="Arial" w:cs="Arial"/>
          <w:sz w:val="20"/>
          <w:szCs w:val="20"/>
        </w:rPr>
        <w:footnoteReference w:id="3"/>
      </w:r>
      <w:r w:rsidRPr="00CB3E68">
        <w:rPr>
          <w:rFonts w:ascii="Arial" w:hAnsi="Arial" w:cs="Arial"/>
          <w:sz w:val="20"/>
          <w:szCs w:val="20"/>
          <w:lang w:val="es-ES"/>
        </w:rPr>
        <w:t xml:space="preserve"> de</w:t>
      </w:r>
      <w:r w:rsidR="00A415FD" w:rsidRPr="00CB3E68">
        <w:rPr>
          <w:rFonts w:ascii="Arial" w:hAnsi="Arial" w:cs="Arial"/>
          <w:sz w:val="20"/>
          <w:szCs w:val="20"/>
          <w:lang w:val="es-ES"/>
        </w:rPr>
        <w:t xml:space="preserve"> 50,7 </w:t>
      </w:r>
      <w:r w:rsidR="000E7F93" w:rsidRPr="00CB3E68">
        <w:rPr>
          <w:rFonts w:ascii="Arial" w:hAnsi="Arial" w:cs="Arial"/>
          <w:sz w:val="20"/>
          <w:szCs w:val="20"/>
          <w:lang w:val="es-ES"/>
        </w:rPr>
        <w:t xml:space="preserve">millones de dólares </w:t>
      </w:r>
      <w:r w:rsidR="004367CB" w:rsidRPr="00CB3E68">
        <w:rPr>
          <w:rFonts w:ascii="Arial" w:hAnsi="Arial" w:cs="Arial"/>
          <w:sz w:val="20"/>
          <w:szCs w:val="20"/>
          <w:lang w:val="es-ES"/>
        </w:rPr>
        <w:t>y un pasivo corriente de 74,5 millones de dólares.</w:t>
      </w:r>
    </w:p>
    <w:p w14:paraId="53F3F99B" w14:textId="77777777" w:rsidR="00131320" w:rsidRPr="00CB3E68" w:rsidRDefault="00131320" w:rsidP="002D3101">
      <w:pPr>
        <w:rPr>
          <w:rFonts w:ascii="Arial" w:hAnsi="Arial" w:cs="Arial"/>
          <w:b/>
          <w:bCs/>
          <w:caps/>
          <w:color w:val="000000"/>
          <w:sz w:val="20"/>
          <w:szCs w:val="20"/>
          <w:lang w:val="es-ES"/>
        </w:rPr>
      </w:pPr>
    </w:p>
    <w:p w14:paraId="3284B894" w14:textId="0B1E9189" w:rsidR="002D3101" w:rsidRPr="00CB3E68" w:rsidRDefault="002D3101" w:rsidP="002D3101">
      <w:pPr>
        <w:widowControl w:val="0"/>
        <w:rPr>
          <w:rFonts w:ascii="Arial" w:hAnsi="Arial" w:cs="Arial"/>
          <w:b/>
          <w:bCs/>
          <w:caps/>
          <w:color w:val="000000"/>
          <w:sz w:val="20"/>
          <w:szCs w:val="20"/>
          <w:lang w:val="es-ES"/>
        </w:rPr>
      </w:pPr>
      <w:r w:rsidRPr="00CB3E68">
        <w:rPr>
          <w:rFonts w:ascii="Arial" w:hAnsi="Arial" w:cs="Arial"/>
          <w:b/>
          <w:bCs/>
          <w:caps/>
          <w:color w:val="000000"/>
          <w:sz w:val="20"/>
          <w:szCs w:val="20"/>
          <w:lang w:val="es-ES"/>
        </w:rPr>
        <w:t>ACONTECIMIENTOS POSTERIORES</w:t>
      </w:r>
    </w:p>
    <w:p w14:paraId="28A9D557" w14:textId="4208FDDD" w:rsidR="002D3101" w:rsidRPr="00CB3E68" w:rsidRDefault="002D3101" w:rsidP="002D3101">
      <w:pPr>
        <w:widowControl w:val="0"/>
        <w:autoSpaceDE w:val="0"/>
        <w:autoSpaceDN w:val="0"/>
        <w:adjustRightInd w:val="0"/>
        <w:spacing w:before="120" w:line="240" w:lineRule="atLeast"/>
        <w:jc w:val="both"/>
        <w:rPr>
          <w:rFonts w:ascii="Arial" w:hAnsi="Arial" w:cs="Arial"/>
          <w:sz w:val="20"/>
          <w:szCs w:val="20"/>
          <w:lang w:val="es-ES"/>
        </w:rPr>
      </w:pPr>
      <w:r w:rsidRPr="00CB3E68">
        <w:rPr>
          <w:rFonts w:ascii="Arial" w:hAnsi="Arial" w:cs="Arial"/>
          <w:sz w:val="20"/>
          <w:szCs w:val="20"/>
          <w:lang w:val="es-ES"/>
        </w:rPr>
        <w:t>Después del</w:t>
      </w:r>
      <w:r w:rsidR="00A415FD" w:rsidRPr="00CB3E68">
        <w:rPr>
          <w:rFonts w:ascii="Arial" w:hAnsi="Arial" w:cs="Arial"/>
          <w:sz w:val="20"/>
          <w:szCs w:val="20"/>
          <w:lang w:val="es-ES"/>
        </w:rPr>
        <w:t xml:space="preserve"> 30 de junio </w:t>
      </w:r>
      <w:r w:rsidR="00715734" w:rsidRPr="00CB3E68">
        <w:rPr>
          <w:rFonts w:ascii="Arial" w:hAnsi="Arial" w:cs="Arial"/>
          <w:sz w:val="20"/>
          <w:szCs w:val="20"/>
          <w:lang w:val="es-ES"/>
        </w:rPr>
        <w:t>de 2025</w:t>
      </w:r>
      <w:r w:rsidRPr="00CB3E68">
        <w:rPr>
          <w:rFonts w:ascii="Arial" w:hAnsi="Arial" w:cs="Arial"/>
          <w:sz w:val="20"/>
          <w:szCs w:val="20"/>
          <w:lang w:val="es-ES"/>
        </w:rPr>
        <w:t>, la empresa:</w:t>
      </w:r>
    </w:p>
    <w:p w14:paraId="166A40B3" w14:textId="36D22D83" w:rsidR="002D3101" w:rsidRPr="00CB3E68" w:rsidRDefault="00857BE5" w:rsidP="00763017">
      <w:pPr>
        <w:pStyle w:val="Prrafodelista"/>
        <w:widowControl w:val="0"/>
        <w:numPr>
          <w:ilvl w:val="0"/>
          <w:numId w:val="2"/>
        </w:numPr>
        <w:autoSpaceDE w:val="0"/>
        <w:autoSpaceDN w:val="0"/>
        <w:adjustRightInd w:val="0"/>
        <w:spacing w:before="60" w:line="240" w:lineRule="atLeast"/>
        <w:ind w:left="548"/>
        <w:contextualSpacing w:val="0"/>
        <w:jc w:val="both"/>
        <w:rPr>
          <w:rFonts w:ascii="Arial" w:hAnsi="Arial" w:cs="Arial"/>
          <w:sz w:val="20"/>
          <w:szCs w:val="20"/>
          <w:lang w:val="es-ES"/>
        </w:rPr>
      </w:pPr>
      <w:r w:rsidRPr="00CB3E68">
        <w:rPr>
          <w:rFonts w:ascii="Arial" w:hAnsi="Arial" w:cs="Arial"/>
          <w:sz w:val="20"/>
          <w:szCs w:val="20"/>
          <w:lang w:val="es-ES"/>
        </w:rPr>
        <w:t xml:space="preserve">Reembolsó 5,62 </w:t>
      </w:r>
      <w:r w:rsidR="000D51F0" w:rsidRPr="00CB3E68">
        <w:rPr>
          <w:rFonts w:ascii="Arial" w:hAnsi="Arial" w:cs="Arial"/>
          <w:sz w:val="20"/>
          <w:szCs w:val="20"/>
          <w:lang w:val="es-ES"/>
        </w:rPr>
        <w:t xml:space="preserve">millones </w:t>
      </w:r>
      <w:r w:rsidR="002A4928" w:rsidRPr="00CB3E68">
        <w:rPr>
          <w:rFonts w:ascii="Arial" w:hAnsi="Arial" w:cs="Arial"/>
          <w:sz w:val="20"/>
          <w:szCs w:val="20"/>
          <w:lang w:val="es-ES"/>
        </w:rPr>
        <w:t xml:space="preserve">de dólares de </w:t>
      </w:r>
      <w:r w:rsidR="000D51F0" w:rsidRPr="00CB3E68">
        <w:rPr>
          <w:rFonts w:ascii="Arial" w:hAnsi="Arial" w:cs="Arial"/>
          <w:sz w:val="20"/>
          <w:szCs w:val="20"/>
          <w:lang w:val="es-ES"/>
        </w:rPr>
        <w:t xml:space="preserve">préstamos de capital circulante </w:t>
      </w:r>
      <w:r w:rsidRPr="00CB3E68">
        <w:rPr>
          <w:rFonts w:ascii="Arial" w:hAnsi="Arial" w:cs="Arial"/>
          <w:sz w:val="20"/>
          <w:szCs w:val="20"/>
          <w:lang w:val="es-ES"/>
        </w:rPr>
        <w:t>y préstamos en descubierto</w:t>
      </w:r>
      <w:r w:rsidR="000D51F0" w:rsidRPr="00CB3E68">
        <w:rPr>
          <w:rFonts w:ascii="Arial" w:hAnsi="Arial" w:cs="Arial"/>
          <w:sz w:val="20"/>
          <w:szCs w:val="20"/>
          <w:lang w:val="es-ES"/>
        </w:rPr>
        <w:t>.</w:t>
      </w:r>
    </w:p>
    <w:p w14:paraId="72FAD89A" w14:textId="77777777" w:rsidR="000277F1" w:rsidRPr="00CB3E68" w:rsidRDefault="00C50795" w:rsidP="001B40D9">
      <w:pPr>
        <w:pStyle w:val="Prrafodelista"/>
        <w:widowControl w:val="0"/>
        <w:numPr>
          <w:ilvl w:val="0"/>
          <w:numId w:val="2"/>
        </w:numPr>
        <w:autoSpaceDE w:val="0"/>
        <w:autoSpaceDN w:val="0"/>
        <w:adjustRightInd w:val="0"/>
        <w:spacing w:before="60" w:line="240" w:lineRule="atLeast"/>
        <w:ind w:left="548"/>
        <w:contextualSpacing w:val="0"/>
        <w:jc w:val="both"/>
        <w:rPr>
          <w:rFonts w:ascii="Arial" w:hAnsi="Arial" w:cs="Arial"/>
          <w:b/>
          <w:bCs/>
          <w:caps/>
          <w:color w:val="000000"/>
          <w:sz w:val="20"/>
          <w:szCs w:val="20"/>
          <w:lang w:val="es-ES"/>
        </w:rPr>
      </w:pPr>
      <w:r w:rsidRPr="00CB3E68">
        <w:rPr>
          <w:rFonts w:ascii="Arial" w:hAnsi="Arial" w:cs="Arial"/>
          <w:sz w:val="20"/>
          <w:szCs w:val="20"/>
          <w:lang w:val="es-ES"/>
        </w:rPr>
        <w:t>Reembolsó 3,4 millones de dólares del principal de los bonos de la serie IV y 2,1 millones de dólares del principal de los bonos de la serie III</w:t>
      </w:r>
      <w:r w:rsidR="000D51F0" w:rsidRPr="00CB3E68">
        <w:rPr>
          <w:rFonts w:ascii="Arial" w:hAnsi="Arial" w:cs="Arial"/>
          <w:sz w:val="20"/>
          <w:szCs w:val="20"/>
          <w:lang w:val="es-ES"/>
        </w:rPr>
        <w:t>.</w:t>
      </w:r>
    </w:p>
    <w:p w14:paraId="6A222A89" w14:textId="33F03536" w:rsidR="00D75BB8" w:rsidRPr="00CB3E68" w:rsidRDefault="000277F1" w:rsidP="001B40D9">
      <w:pPr>
        <w:pStyle w:val="Prrafodelista"/>
        <w:widowControl w:val="0"/>
        <w:numPr>
          <w:ilvl w:val="0"/>
          <w:numId w:val="2"/>
        </w:numPr>
        <w:autoSpaceDE w:val="0"/>
        <w:autoSpaceDN w:val="0"/>
        <w:adjustRightInd w:val="0"/>
        <w:spacing w:before="60" w:line="240" w:lineRule="atLeast"/>
        <w:ind w:left="548"/>
        <w:contextualSpacing w:val="0"/>
        <w:jc w:val="both"/>
        <w:rPr>
          <w:rFonts w:ascii="Arial" w:hAnsi="Arial" w:cs="Arial"/>
          <w:b/>
          <w:bCs/>
          <w:caps/>
          <w:color w:val="000000"/>
          <w:sz w:val="20"/>
          <w:szCs w:val="20"/>
          <w:lang w:val="es-ES"/>
        </w:rPr>
      </w:pPr>
      <w:r w:rsidRPr="00CB3E68">
        <w:rPr>
          <w:rFonts w:ascii="Arial" w:hAnsi="Arial" w:cs="Arial"/>
          <w:sz w:val="20"/>
          <w:szCs w:val="20"/>
          <w:lang w:val="es-ES"/>
        </w:rPr>
        <w:t xml:space="preserve">Emitió un total de 25 millones de dólares del importe principal de bonos de la Serie VII sin garantía y a tipo fijo, denominados en dólares estadounidenses y pagaderos en pesos argentinos en dos </w:t>
      </w:r>
      <w:r w:rsidR="002A4928" w:rsidRPr="00CB3E68">
        <w:rPr>
          <w:rFonts w:ascii="Arial" w:hAnsi="Arial" w:cs="Arial"/>
          <w:sz w:val="20"/>
          <w:szCs w:val="20"/>
          <w:lang w:val="es-ES"/>
        </w:rPr>
        <w:t xml:space="preserve">plazos iguales </w:t>
      </w:r>
      <w:r w:rsidRPr="00CB3E68">
        <w:rPr>
          <w:rFonts w:ascii="Arial" w:hAnsi="Arial" w:cs="Arial"/>
          <w:sz w:val="20"/>
          <w:szCs w:val="20"/>
          <w:lang w:val="es-ES"/>
        </w:rPr>
        <w:t>el 11 de enero de 2027 y el 11 de julio de 2027. Los bonos de la Serie VII devengan un interés fijo del 13 % anual, pagadero cada seis meses a plazo vencido a partir de la fecha de emisión.</w:t>
      </w:r>
    </w:p>
    <w:p w14:paraId="5F135501" w14:textId="77777777" w:rsidR="00544875" w:rsidRPr="00CB3E68" w:rsidRDefault="00544875" w:rsidP="00544875">
      <w:pPr>
        <w:widowControl w:val="0"/>
        <w:autoSpaceDE w:val="0"/>
        <w:autoSpaceDN w:val="0"/>
        <w:adjustRightInd w:val="0"/>
        <w:spacing w:before="60" w:line="240" w:lineRule="atLeast"/>
        <w:ind w:left="188"/>
        <w:jc w:val="both"/>
        <w:rPr>
          <w:rFonts w:ascii="Arial" w:hAnsi="Arial" w:cs="Arial"/>
          <w:b/>
          <w:bCs/>
          <w:caps/>
          <w:color w:val="000000"/>
          <w:sz w:val="20"/>
          <w:szCs w:val="20"/>
          <w:lang w:val="es-ES"/>
        </w:rPr>
      </w:pPr>
    </w:p>
    <w:p w14:paraId="0310C9B7" w14:textId="0A0C8DF4" w:rsidR="00544875" w:rsidRPr="00CB3E68" w:rsidRDefault="00544875" w:rsidP="00544875">
      <w:pPr>
        <w:widowControl w:val="0"/>
        <w:autoSpaceDE w:val="0"/>
        <w:autoSpaceDN w:val="0"/>
        <w:adjustRightInd w:val="0"/>
        <w:spacing w:before="60" w:line="240" w:lineRule="atLeast"/>
        <w:jc w:val="both"/>
        <w:rPr>
          <w:rFonts w:ascii="Arial" w:hAnsi="Arial" w:cs="Arial"/>
          <w:b/>
          <w:bCs/>
          <w:caps/>
          <w:color w:val="000000"/>
          <w:sz w:val="20"/>
          <w:szCs w:val="20"/>
          <w:lang w:val="es-ES"/>
        </w:rPr>
      </w:pPr>
      <w:r w:rsidRPr="00CB3E68">
        <w:rPr>
          <w:rFonts w:ascii="Arial" w:hAnsi="Arial" w:cs="Arial"/>
          <w:b/>
          <w:bCs/>
          <w:caps/>
          <w:color w:val="000000"/>
          <w:sz w:val="20"/>
          <w:szCs w:val="20"/>
          <w:lang w:val="es-ES"/>
        </w:rPr>
        <w:t>ACTUALIZACIÓN SOBRE LA ADQUISICIÓN DE CHUBUT</w:t>
      </w:r>
    </w:p>
    <w:p w14:paraId="307E8AA8" w14:textId="7E26CE8B" w:rsidR="00DB368E" w:rsidRPr="00CB3E68" w:rsidRDefault="00544875" w:rsidP="0091467A">
      <w:pPr>
        <w:widowControl w:val="0"/>
        <w:tabs>
          <w:tab w:val="left" w:pos="555"/>
        </w:tabs>
        <w:autoSpaceDE w:val="0"/>
        <w:autoSpaceDN w:val="0"/>
        <w:spacing w:before="120" w:line="220" w:lineRule="atLeast"/>
        <w:jc w:val="both"/>
        <w:rPr>
          <w:rFonts w:ascii="Arial" w:hAnsi="Arial" w:cs="Arial"/>
          <w:sz w:val="20"/>
          <w:szCs w:val="20"/>
          <w:lang w:val="es-ES"/>
        </w:rPr>
      </w:pPr>
      <w:r w:rsidRPr="00CB3E68">
        <w:rPr>
          <w:rFonts w:ascii="Arial" w:hAnsi="Arial" w:cs="Arial"/>
          <w:sz w:val="20"/>
          <w:szCs w:val="20"/>
          <w:lang w:val="es-ES"/>
        </w:rPr>
        <w:t xml:space="preserve">En junio de 2025, Crown Point celebró acuerdos con </w:t>
      </w:r>
      <w:proofErr w:type="spellStart"/>
      <w:r w:rsidRPr="00CB3E68">
        <w:rPr>
          <w:rFonts w:ascii="Arial" w:hAnsi="Arial" w:cs="Arial"/>
          <w:sz w:val="20"/>
          <w:szCs w:val="20"/>
          <w:lang w:val="es-ES"/>
        </w:rPr>
        <w:t>Tecpetrol</w:t>
      </w:r>
      <w:proofErr w:type="spellEnd"/>
      <w:r w:rsidRPr="00CB3E68">
        <w:rPr>
          <w:rFonts w:ascii="Arial" w:hAnsi="Arial" w:cs="Arial"/>
          <w:sz w:val="20"/>
          <w:szCs w:val="20"/>
          <w:lang w:val="es-ES"/>
        </w:rPr>
        <w:t xml:space="preserve"> S.A., YPF S.A. y Pampa Energía S.A. (en conjunto, los «</w:t>
      </w:r>
      <w:r w:rsidRPr="00CB3E68">
        <w:rPr>
          <w:rFonts w:ascii="Arial" w:hAnsi="Arial" w:cs="Arial"/>
          <w:b/>
          <w:sz w:val="20"/>
          <w:szCs w:val="20"/>
          <w:lang w:val="es-ES"/>
        </w:rPr>
        <w:t>Vendedores</w:t>
      </w:r>
      <w:r w:rsidRPr="00CB3E68">
        <w:rPr>
          <w:rFonts w:ascii="Arial" w:hAnsi="Arial" w:cs="Arial"/>
          <w:sz w:val="20"/>
          <w:szCs w:val="20"/>
          <w:lang w:val="es-ES"/>
        </w:rPr>
        <w:t>») para adquiri</w:t>
      </w:r>
      <w:r w:rsidR="00CB3E68">
        <w:rPr>
          <w:rFonts w:ascii="Arial" w:hAnsi="Arial" w:cs="Arial"/>
          <w:sz w:val="20"/>
          <w:szCs w:val="20"/>
          <w:lang w:val="es-ES"/>
        </w:rPr>
        <w:t>r la participación total del 95</w:t>
      </w:r>
      <w:r w:rsidRPr="00CB3E68">
        <w:rPr>
          <w:rFonts w:ascii="Arial" w:hAnsi="Arial" w:cs="Arial"/>
          <w:sz w:val="20"/>
          <w:szCs w:val="20"/>
          <w:lang w:val="es-ES"/>
        </w:rPr>
        <w:t xml:space="preserve">% de los Vendedores en las concesiones de explotación de hidrocarburos de El Tordillo, La Tapera y Puesto Quiroga (las </w:t>
      </w:r>
      <w:r w:rsidRPr="00CB3E68">
        <w:rPr>
          <w:rFonts w:ascii="Arial" w:hAnsi="Arial" w:cs="Arial"/>
          <w:b/>
          <w:bCs/>
          <w:sz w:val="20"/>
          <w:szCs w:val="20"/>
          <w:lang w:val="es-ES"/>
        </w:rPr>
        <w:t>«Concesiones de Chubut</w:t>
      </w:r>
      <w:r w:rsidRPr="00CB3E68">
        <w:rPr>
          <w:rFonts w:ascii="Arial" w:hAnsi="Arial" w:cs="Arial"/>
          <w:sz w:val="20"/>
          <w:szCs w:val="20"/>
          <w:lang w:val="es-ES"/>
        </w:rPr>
        <w:t>») y determinadas infraestructuras relacionadas.</w:t>
      </w:r>
    </w:p>
    <w:p w14:paraId="5FD22C09" w14:textId="79DD8C66" w:rsidR="00544875" w:rsidRPr="00CB3E68" w:rsidRDefault="00544875" w:rsidP="0091467A">
      <w:pPr>
        <w:widowControl w:val="0"/>
        <w:tabs>
          <w:tab w:val="left" w:pos="555"/>
        </w:tabs>
        <w:autoSpaceDE w:val="0"/>
        <w:autoSpaceDN w:val="0"/>
        <w:spacing w:before="120" w:line="220" w:lineRule="atLeast"/>
        <w:jc w:val="both"/>
        <w:rPr>
          <w:rFonts w:ascii="Arial" w:hAnsi="Arial" w:cs="Arial"/>
          <w:sz w:val="20"/>
          <w:szCs w:val="20"/>
          <w:lang w:val="es-ES"/>
        </w:rPr>
      </w:pPr>
      <w:r w:rsidRPr="00CB3E68">
        <w:rPr>
          <w:rFonts w:ascii="Arial" w:hAnsi="Arial" w:cs="Arial"/>
          <w:sz w:val="20"/>
          <w:szCs w:val="20"/>
          <w:lang w:val="es-ES"/>
        </w:rPr>
        <w:t>El precio de compra base total que la Compañía debe pagar a los Vendedores es de aproximadamente 57,9 millones de dólares en efectivo, sujeto a los ajustes habituales de cierre, más una contraprestación contingente de hasta 3,5 millones de dólares en efectivo. Durante los seis meses finalizados el 30 de junio de 2025, la Compañía realizó un depósito de adqui</w:t>
      </w:r>
      <w:r w:rsidR="00CB3E68">
        <w:rPr>
          <w:rFonts w:ascii="Arial" w:hAnsi="Arial" w:cs="Arial"/>
          <w:sz w:val="20"/>
          <w:szCs w:val="20"/>
          <w:lang w:val="es-ES"/>
        </w:rPr>
        <w:t>sición de 643.</w:t>
      </w:r>
      <w:r w:rsidRPr="00CB3E68">
        <w:rPr>
          <w:rFonts w:ascii="Arial" w:hAnsi="Arial" w:cs="Arial"/>
          <w:sz w:val="20"/>
          <w:szCs w:val="20"/>
          <w:lang w:val="es-ES"/>
        </w:rPr>
        <w:t>998 dólares relacionado con la participación de Pampa en las Concesiones de Chubut y el impuesto de timbre sobre las transacciones.</w:t>
      </w:r>
      <w:r w:rsidR="0091467A" w:rsidRPr="00CB3E68">
        <w:rPr>
          <w:rFonts w:ascii="Arial" w:hAnsi="Arial" w:cs="Arial"/>
          <w:sz w:val="20"/>
          <w:szCs w:val="20"/>
          <w:lang w:val="es-ES"/>
        </w:rPr>
        <w:t xml:space="preserve">  </w:t>
      </w:r>
      <w:r w:rsidRPr="00CB3E68">
        <w:rPr>
          <w:rFonts w:ascii="Arial" w:hAnsi="Arial" w:cs="Arial"/>
          <w:sz w:val="20"/>
          <w:szCs w:val="20"/>
          <w:lang w:val="es-ES"/>
        </w:rPr>
        <w:t xml:space="preserve">En julio de 2025, la Compañía realizó depósitos de adquisición por valor de 8,06 millones de dólares y 1,3 millones de dólares a </w:t>
      </w:r>
      <w:proofErr w:type="spellStart"/>
      <w:r w:rsidRPr="00CB3E68">
        <w:rPr>
          <w:rFonts w:ascii="Arial" w:hAnsi="Arial" w:cs="Arial"/>
          <w:sz w:val="20"/>
          <w:szCs w:val="20"/>
          <w:lang w:val="es-ES"/>
        </w:rPr>
        <w:t>Tecpetrol</w:t>
      </w:r>
      <w:proofErr w:type="spellEnd"/>
      <w:r w:rsidRPr="00CB3E68">
        <w:rPr>
          <w:rFonts w:ascii="Arial" w:hAnsi="Arial" w:cs="Arial"/>
          <w:sz w:val="20"/>
          <w:szCs w:val="20"/>
          <w:lang w:val="es-ES"/>
        </w:rPr>
        <w:t xml:space="preserve"> e YPF, respectivamente, relacionados con sus participaciones en las concesiones de Chubut. </w:t>
      </w:r>
    </w:p>
    <w:p w14:paraId="4B1E41B5" w14:textId="601C94ED" w:rsidR="00544875" w:rsidRPr="00CB3E68" w:rsidRDefault="00544875" w:rsidP="0091467A">
      <w:pPr>
        <w:tabs>
          <w:tab w:val="left" w:pos="555"/>
        </w:tabs>
        <w:spacing w:before="120" w:line="220" w:lineRule="atLeast"/>
        <w:jc w:val="both"/>
        <w:rPr>
          <w:rFonts w:ascii="Arial" w:hAnsi="Arial" w:cs="Arial"/>
          <w:sz w:val="20"/>
          <w:szCs w:val="20"/>
          <w:lang w:val="es-ES"/>
        </w:rPr>
      </w:pPr>
      <w:r w:rsidRPr="00CB3E68">
        <w:rPr>
          <w:rFonts w:ascii="Arial" w:hAnsi="Arial" w:cs="Arial"/>
          <w:sz w:val="20"/>
          <w:szCs w:val="20"/>
          <w:lang w:val="es-ES"/>
        </w:rPr>
        <w:t>Se espera que la adquisición de la participación de cada vendedor se cierre en el tercer trimestre de 2025. La finalización de las adquisiciones está sujeta, entre otras cosas, a la recepción de todas las aprobaciones reglamentarias y provinciales necesarias, incluida la aprobación de la Bolsa de Valores de Toronto (TSX Venture Exchange), y otras condiciones de cierre habituales.</w:t>
      </w:r>
    </w:p>
    <w:p w14:paraId="181B5536" w14:textId="71CF255F" w:rsidR="00DB368E" w:rsidRPr="00CB3E68" w:rsidRDefault="00DB368E" w:rsidP="0091467A">
      <w:pPr>
        <w:tabs>
          <w:tab w:val="left" w:pos="555"/>
        </w:tabs>
        <w:spacing w:before="120" w:line="220" w:lineRule="atLeast"/>
        <w:jc w:val="both"/>
        <w:rPr>
          <w:rFonts w:ascii="Arial" w:hAnsi="Arial" w:cs="Arial"/>
          <w:sz w:val="20"/>
          <w:szCs w:val="20"/>
          <w:lang w:val="es-ES"/>
        </w:rPr>
      </w:pPr>
      <w:r w:rsidRPr="00CB3E68">
        <w:rPr>
          <w:rFonts w:ascii="Arial" w:hAnsi="Arial" w:cs="Arial"/>
          <w:sz w:val="20"/>
          <w:szCs w:val="20"/>
          <w:lang w:val="es-ES"/>
        </w:rPr>
        <w:t>Para obtener más detalles sobre la adquisición propuesta, consulte el comunicado de prensa de la empresa publicado el 9 de junio de 2025, cuya copia está disponible en www.sedarplus.ca.</w:t>
      </w:r>
    </w:p>
    <w:p w14:paraId="60B9B217" w14:textId="77777777" w:rsidR="00FB40E8" w:rsidRPr="00CB3E68" w:rsidRDefault="00FB40E8" w:rsidP="00544875">
      <w:pPr>
        <w:widowControl w:val="0"/>
        <w:autoSpaceDE w:val="0"/>
        <w:autoSpaceDN w:val="0"/>
        <w:adjustRightInd w:val="0"/>
        <w:spacing w:before="60" w:line="240" w:lineRule="atLeast"/>
        <w:jc w:val="both"/>
        <w:rPr>
          <w:rFonts w:ascii="Arial" w:hAnsi="Arial" w:cs="Arial"/>
          <w:sz w:val="20"/>
          <w:szCs w:val="20"/>
          <w:lang w:val="es-ES"/>
        </w:rPr>
      </w:pPr>
    </w:p>
    <w:p w14:paraId="6518C41C" w14:textId="608C8A36" w:rsidR="000277F1" w:rsidRPr="00CB3E68" w:rsidRDefault="00FB40E8" w:rsidP="000277F1">
      <w:pPr>
        <w:widowControl w:val="0"/>
        <w:autoSpaceDE w:val="0"/>
        <w:autoSpaceDN w:val="0"/>
        <w:adjustRightInd w:val="0"/>
        <w:spacing w:before="60" w:line="240" w:lineRule="atLeast"/>
        <w:jc w:val="both"/>
        <w:rPr>
          <w:rFonts w:ascii="Arial" w:hAnsi="Arial" w:cs="Arial"/>
          <w:b/>
          <w:bCs/>
          <w:caps/>
          <w:color w:val="000000"/>
          <w:sz w:val="20"/>
          <w:szCs w:val="20"/>
          <w:lang w:val="es-ES"/>
        </w:rPr>
      </w:pPr>
      <w:r w:rsidRPr="00CB3E68">
        <w:rPr>
          <w:rFonts w:ascii="Arial" w:hAnsi="Arial" w:cs="Arial"/>
          <w:b/>
          <w:bCs/>
          <w:caps/>
          <w:color w:val="000000"/>
          <w:sz w:val="20"/>
          <w:szCs w:val="20"/>
          <w:lang w:val="es-ES"/>
        </w:rPr>
        <w:t>Nombramiento de un nuevo director</w:t>
      </w:r>
    </w:p>
    <w:p w14:paraId="5A004345" w14:textId="32367813" w:rsidR="001154F1" w:rsidRPr="00CB3E68" w:rsidRDefault="00FB40E8" w:rsidP="000277F1">
      <w:pPr>
        <w:widowControl w:val="0"/>
        <w:autoSpaceDE w:val="0"/>
        <w:autoSpaceDN w:val="0"/>
        <w:adjustRightInd w:val="0"/>
        <w:spacing w:before="60" w:line="240" w:lineRule="atLeast"/>
        <w:jc w:val="both"/>
        <w:rPr>
          <w:rFonts w:ascii="Arial" w:hAnsi="Arial" w:cs="Arial"/>
          <w:color w:val="000000"/>
          <w:sz w:val="20"/>
          <w:szCs w:val="20"/>
          <w:lang w:val="es-ES"/>
        </w:rPr>
      </w:pPr>
      <w:r w:rsidRPr="00CB3E68">
        <w:rPr>
          <w:rFonts w:ascii="Arial" w:hAnsi="Arial" w:cs="Arial"/>
          <w:color w:val="000000"/>
          <w:sz w:val="20"/>
          <w:szCs w:val="20"/>
          <w:lang w:val="es-ES"/>
        </w:rPr>
        <w:t>La empresa se complace en anunciar que</w:t>
      </w:r>
      <w:r w:rsidR="001154F1" w:rsidRPr="00CB3E68">
        <w:rPr>
          <w:rFonts w:ascii="Arial" w:hAnsi="Arial" w:cs="Arial"/>
          <w:color w:val="000000"/>
          <w:sz w:val="20"/>
          <w:szCs w:val="20"/>
          <w:lang w:val="es-ES"/>
        </w:rPr>
        <w:t xml:space="preserve">, con efecto a partir de hoy, </w:t>
      </w:r>
      <w:r w:rsidRPr="00CB3E68">
        <w:rPr>
          <w:rFonts w:ascii="Arial" w:hAnsi="Arial" w:cs="Arial"/>
          <w:color w:val="000000"/>
          <w:sz w:val="20"/>
          <w:szCs w:val="20"/>
          <w:lang w:val="es-ES"/>
        </w:rPr>
        <w:t xml:space="preserve">el Sr. Juan </w:t>
      </w:r>
      <w:proofErr w:type="spellStart"/>
      <w:r w:rsidRPr="00CB3E68">
        <w:rPr>
          <w:rFonts w:ascii="Arial" w:hAnsi="Arial" w:cs="Arial"/>
          <w:color w:val="000000"/>
          <w:sz w:val="20"/>
          <w:szCs w:val="20"/>
          <w:lang w:val="es-ES"/>
        </w:rPr>
        <w:t>Llado</w:t>
      </w:r>
      <w:proofErr w:type="spellEnd"/>
      <w:r w:rsidRPr="00CB3E68">
        <w:rPr>
          <w:rFonts w:ascii="Arial" w:hAnsi="Arial" w:cs="Arial"/>
          <w:color w:val="000000"/>
          <w:sz w:val="20"/>
          <w:szCs w:val="20"/>
          <w:lang w:val="es-ES"/>
        </w:rPr>
        <w:t xml:space="preserve"> </w:t>
      </w:r>
      <w:r w:rsidR="00CB3E68">
        <w:rPr>
          <w:rFonts w:ascii="Arial" w:hAnsi="Arial" w:cs="Arial"/>
          <w:color w:val="000000"/>
          <w:sz w:val="20"/>
          <w:szCs w:val="20"/>
          <w:lang w:val="es-ES"/>
        </w:rPr>
        <w:t>ha sido nombrado D</w:t>
      </w:r>
      <w:r w:rsidR="001154F1" w:rsidRPr="00CB3E68">
        <w:rPr>
          <w:rFonts w:ascii="Arial" w:hAnsi="Arial" w:cs="Arial"/>
          <w:color w:val="000000"/>
          <w:sz w:val="20"/>
          <w:szCs w:val="20"/>
          <w:lang w:val="es-ES"/>
        </w:rPr>
        <w:t xml:space="preserve">irector de la empresa por el </w:t>
      </w:r>
      <w:r w:rsidR="00CB3E68">
        <w:rPr>
          <w:rFonts w:ascii="Arial" w:hAnsi="Arial" w:cs="Arial"/>
          <w:color w:val="000000"/>
          <w:sz w:val="20"/>
          <w:szCs w:val="20"/>
          <w:lang w:val="es-ES"/>
        </w:rPr>
        <w:t>Directorio</w:t>
      </w:r>
      <w:r w:rsidR="001154F1" w:rsidRPr="00CB3E68">
        <w:rPr>
          <w:rFonts w:ascii="Arial" w:hAnsi="Arial" w:cs="Arial"/>
          <w:color w:val="000000"/>
          <w:sz w:val="20"/>
          <w:szCs w:val="20"/>
          <w:lang w:val="es-ES"/>
        </w:rPr>
        <w:t xml:space="preserve"> de Crown Point</w:t>
      </w:r>
      <w:r w:rsidRPr="00CB3E68">
        <w:rPr>
          <w:rFonts w:ascii="Arial" w:hAnsi="Arial" w:cs="Arial"/>
          <w:color w:val="000000"/>
          <w:sz w:val="20"/>
          <w:szCs w:val="20"/>
          <w:lang w:val="es-ES"/>
        </w:rPr>
        <w:t>.</w:t>
      </w:r>
    </w:p>
    <w:p w14:paraId="279AF35C" w14:textId="6C3974CA" w:rsidR="001154F1" w:rsidRPr="00CB3E68" w:rsidRDefault="001154F1" w:rsidP="000277F1">
      <w:pPr>
        <w:widowControl w:val="0"/>
        <w:autoSpaceDE w:val="0"/>
        <w:autoSpaceDN w:val="0"/>
        <w:adjustRightInd w:val="0"/>
        <w:spacing w:before="60" w:line="240" w:lineRule="atLeast"/>
        <w:jc w:val="both"/>
        <w:rPr>
          <w:rFonts w:ascii="Arial" w:hAnsi="Arial" w:cs="Arial"/>
          <w:sz w:val="20"/>
          <w:szCs w:val="20"/>
          <w:lang w:val="es-ES"/>
        </w:rPr>
      </w:pPr>
      <w:r w:rsidRPr="00CB3E68">
        <w:rPr>
          <w:rFonts w:ascii="Arial" w:hAnsi="Arial" w:cs="Arial"/>
          <w:sz w:val="20"/>
          <w:szCs w:val="20"/>
          <w:lang w:val="es-ES"/>
        </w:rPr>
        <w:t xml:space="preserve">Juan es abogado y ha </w:t>
      </w:r>
      <w:r w:rsidR="00CB3E68">
        <w:rPr>
          <w:rFonts w:ascii="Arial" w:hAnsi="Arial" w:cs="Arial"/>
          <w:sz w:val="20"/>
          <w:szCs w:val="20"/>
          <w:lang w:val="es-ES"/>
        </w:rPr>
        <w:t>ocup</w:t>
      </w:r>
      <w:r w:rsidRPr="00CB3E68">
        <w:rPr>
          <w:rFonts w:ascii="Arial" w:hAnsi="Arial" w:cs="Arial"/>
          <w:sz w:val="20"/>
          <w:szCs w:val="20"/>
          <w:lang w:val="es-ES"/>
        </w:rPr>
        <w:t>ado diversos cargos a lo largo de su carrera en los sectores de servicios financieros, seguro</w:t>
      </w:r>
      <w:r w:rsidR="00CB3E68">
        <w:rPr>
          <w:rFonts w:ascii="Arial" w:hAnsi="Arial" w:cs="Arial"/>
          <w:sz w:val="20"/>
          <w:szCs w:val="20"/>
          <w:lang w:val="es-ES"/>
        </w:rPr>
        <w:t>s y energía, entre ellos: D</w:t>
      </w:r>
      <w:r w:rsidRPr="00CB3E68">
        <w:rPr>
          <w:rFonts w:ascii="Arial" w:hAnsi="Arial" w:cs="Arial"/>
          <w:sz w:val="20"/>
          <w:szCs w:val="20"/>
          <w:lang w:val="es-ES"/>
        </w:rPr>
        <w:t xml:space="preserve">irector </w:t>
      </w:r>
      <w:r w:rsidR="00CB3E68">
        <w:rPr>
          <w:rFonts w:ascii="Arial" w:hAnsi="Arial" w:cs="Arial"/>
          <w:sz w:val="20"/>
          <w:szCs w:val="20"/>
          <w:lang w:val="es-ES"/>
        </w:rPr>
        <w:t>ejecutivo</w:t>
      </w:r>
      <w:r w:rsidRPr="00CB3E68">
        <w:rPr>
          <w:rFonts w:ascii="Arial" w:hAnsi="Arial" w:cs="Arial"/>
          <w:sz w:val="20"/>
          <w:szCs w:val="20"/>
          <w:lang w:val="es-ES"/>
        </w:rPr>
        <w:t xml:space="preserve"> de </w:t>
      </w:r>
      <w:proofErr w:type="spellStart"/>
      <w:r w:rsidRPr="00CB3E68">
        <w:rPr>
          <w:rFonts w:ascii="Arial" w:hAnsi="Arial" w:cs="Arial"/>
          <w:sz w:val="20"/>
          <w:szCs w:val="20"/>
          <w:lang w:val="es-ES"/>
        </w:rPr>
        <w:t>Life</w:t>
      </w:r>
      <w:proofErr w:type="spellEnd"/>
      <w:r w:rsidRPr="00CB3E68">
        <w:rPr>
          <w:rFonts w:ascii="Arial" w:hAnsi="Arial" w:cs="Arial"/>
          <w:sz w:val="20"/>
          <w:szCs w:val="20"/>
          <w:lang w:val="es-ES"/>
        </w:rPr>
        <w:t xml:space="preserve"> Seguros de Personas y Patrimoniales S</w:t>
      </w:r>
      <w:r w:rsidR="00CB3E68">
        <w:rPr>
          <w:rFonts w:ascii="Arial" w:hAnsi="Arial" w:cs="Arial"/>
          <w:sz w:val="20"/>
          <w:szCs w:val="20"/>
          <w:lang w:val="es-ES"/>
        </w:rPr>
        <w:t xml:space="preserve">.A. (antes </w:t>
      </w:r>
      <w:proofErr w:type="spellStart"/>
      <w:r w:rsidR="00CB3E68">
        <w:rPr>
          <w:rFonts w:ascii="Arial" w:hAnsi="Arial" w:cs="Arial"/>
          <w:sz w:val="20"/>
          <w:szCs w:val="20"/>
          <w:lang w:val="es-ES"/>
        </w:rPr>
        <w:t>MetLife</w:t>
      </w:r>
      <w:proofErr w:type="spellEnd"/>
      <w:r w:rsidR="00CB3E68">
        <w:rPr>
          <w:rFonts w:ascii="Arial" w:hAnsi="Arial" w:cs="Arial"/>
          <w:sz w:val="20"/>
          <w:szCs w:val="20"/>
          <w:lang w:val="es-ES"/>
        </w:rPr>
        <w:t xml:space="preserve"> Argentina); </w:t>
      </w:r>
      <w:r w:rsidR="00CB3E68">
        <w:rPr>
          <w:rFonts w:ascii="Arial" w:hAnsi="Arial" w:cs="Arial"/>
          <w:sz w:val="20"/>
          <w:szCs w:val="20"/>
          <w:lang w:val="es-ES"/>
        </w:rPr>
        <w:t>D</w:t>
      </w:r>
      <w:r w:rsidR="00CB3E68" w:rsidRPr="00CB3E68">
        <w:rPr>
          <w:rFonts w:ascii="Arial" w:hAnsi="Arial" w:cs="Arial"/>
          <w:sz w:val="20"/>
          <w:szCs w:val="20"/>
          <w:lang w:val="es-ES"/>
        </w:rPr>
        <w:t xml:space="preserve">irector </w:t>
      </w:r>
      <w:r w:rsidR="00CB3E68">
        <w:rPr>
          <w:rFonts w:ascii="Arial" w:hAnsi="Arial" w:cs="Arial"/>
          <w:sz w:val="20"/>
          <w:szCs w:val="20"/>
          <w:lang w:val="es-ES"/>
        </w:rPr>
        <w:t>ejecutivo</w:t>
      </w:r>
      <w:r w:rsidRPr="00CB3E68">
        <w:rPr>
          <w:rFonts w:ascii="Arial" w:hAnsi="Arial" w:cs="Arial"/>
          <w:sz w:val="20"/>
          <w:szCs w:val="20"/>
          <w:lang w:val="es-ES"/>
        </w:rPr>
        <w:t xml:space="preserve"> de </w:t>
      </w:r>
      <w:proofErr w:type="spellStart"/>
      <w:r w:rsidRPr="00CB3E68">
        <w:rPr>
          <w:rFonts w:ascii="Arial" w:hAnsi="Arial" w:cs="Arial"/>
          <w:sz w:val="20"/>
          <w:szCs w:val="20"/>
          <w:lang w:val="es-ES"/>
        </w:rPr>
        <w:t>Life</w:t>
      </w:r>
      <w:proofErr w:type="spellEnd"/>
      <w:r w:rsidRPr="00CB3E68">
        <w:rPr>
          <w:rFonts w:ascii="Arial" w:hAnsi="Arial" w:cs="Arial"/>
          <w:sz w:val="20"/>
          <w:szCs w:val="20"/>
          <w:lang w:val="es-ES"/>
        </w:rPr>
        <w:t xml:space="preserve"> </w:t>
      </w:r>
      <w:proofErr w:type="spellStart"/>
      <w:r w:rsidRPr="00CB3E68">
        <w:rPr>
          <w:rFonts w:ascii="Arial" w:hAnsi="Arial" w:cs="Arial"/>
          <w:sz w:val="20"/>
          <w:szCs w:val="20"/>
          <w:lang w:val="es-ES"/>
        </w:rPr>
        <w:t>Group</w:t>
      </w:r>
      <w:proofErr w:type="spellEnd"/>
      <w:r w:rsidRPr="00CB3E68">
        <w:rPr>
          <w:rFonts w:ascii="Arial" w:hAnsi="Arial" w:cs="Arial"/>
          <w:sz w:val="20"/>
          <w:szCs w:val="20"/>
          <w:lang w:val="es-ES"/>
        </w:rPr>
        <w:t xml:space="preserve"> Seguros S.A. (antes </w:t>
      </w:r>
      <w:proofErr w:type="spellStart"/>
      <w:r w:rsidRPr="00CB3E68">
        <w:rPr>
          <w:rFonts w:ascii="Arial" w:hAnsi="Arial" w:cs="Arial"/>
          <w:sz w:val="20"/>
          <w:szCs w:val="20"/>
          <w:lang w:val="es-ES"/>
        </w:rPr>
        <w:t>Prudential</w:t>
      </w:r>
      <w:proofErr w:type="spellEnd"/>
      <w:r w:rsidRPr="00CB3E68">
        <w:rPr>
          <w:rFonts w:ascii="Arial" w:hAnsi="Arial" w:cs="Arial"/>
          <w:sz w:val="20"/>
          <w:szCs w:val="20"/>
          <w:lang w:val="es-ES"/>
        </w:rPr>
        <w:t xml:space="preserve"> Argentina); </w:t>
      </w:r>
      <w:r w:rsidR="00CB3E68">
        <w:rPr>
          <w:rFonts w:ascii="Arial" w:hAnsi="Arial" w:cs="Arial"/>
          <w:sz w:val="20"/>
          <w:szCs w:val="20"/>
          <w:lang w:val="es-ES"/>
        </w:rPr>
        <w:t>D</w:t>
      </w:r>
      <w:r w:rsidRPr="00CB3E68">
        <w:rPr>
          <w:rFonts w:ascii="Arial" w:hAnsi="Arial" w:cs="Arial"/>
          <w:sz w:val="20"/>
          <w:szCs w:val="20"/>
          <w:lang w:val="es-ES"/>
        </w:rPr>
        <w:t xml:space="preserve">irector jurídico y de cumplimiento normativo de Grupo ST S.A.; Gerente de Asuntos Legales y Gerente de Banca Fiduciaria en Banco de Servicios y Transacciones S.A.; Gerente de Asuntos Legales en Orígenes Seguros; y Gerente de Asuntos Legales en </w:t>
      </w:r>
      <w:proofErr w:type="spellStart"/>
      <w:r w:rsidRPr="00CB3E68">
        <w:rPr>
          <w:rFonts w:ascii="Arial" w:hAnsi="Arial" w:cs="Arial"/>
          <w:sz w:val="20"/>
          <w:szCs w:val="20"/>
          <w:lang w:val="es-ES"/>
        </w:rPr>
        <w:t>Credilogros</w:t>
      </w:r>
      <w:proofErr w:type="spellEnd"/>
      <w:r w:rsidRPr="00CB3E68">
        <w:rPr>
          <w:rFonts w:ascii="Arial" w:hAnsi="Arial" w:cs="Arial"/>
          <w:sz w:val="20"/>
          <w:szCs w:val="20"/>
          <w:lang w:val="es-ES"/>
        </w:rPr>
        <w:t xml:space="preserve"> Compañía Financiera S.A.</w:t>
      </w:r>
    </w:p>
    <w:p w14:paraId="476DB93D" w14:textId="20FD908C" w:rsidR="001154F1" w:rsidRPr="00CB3E68" w:rsidRDefault="001154F1" w:rsidP="000277F1">
      <w:pPr>
        <w:widowControl w:val="0"/>
        <w:autoSpaceDE w:val="0"/>
        <w:autoSpaceDN w:val="0"/>
        <w:adjustRightInd w:val="0"/>
        <w:spacing w:before="60" w:line="240" w:lineRule="atLeast"/>
        <w:jc w:val="both"/>
        <w:rPr>
          <w:rFonts w:ascii="Arial" w:hAnsi="Arial" w:cs="Arial"/>
          <w:sz w:val="20"/>
          <w:szCs w:val="20"/>
          <w:lang w:val="es-ES"/>
        </w:rPr>
      </w:pPr>
      <w:r w:rsidRPr="00CB3E68">
        <w:rPr>
          <w:rFonts w:ascii="Arial" w:hAnsi="Arial" w:cs="Arial"/>
          <w:sz w:val="20"/>
          <w:szCs w:val="20"/>
          <w:lang w:val="es-ES"/>
        </w:rPr>
        <w:t xml:space="preserve">Juan es actualmente miembro del Comité Ejecutivo de Grupo ST S.A. y forma parte del </w:t>
      </w:r>
      <w:r w:rsidR="00CB3E68">
        <w:rPr>
          <w:rFonts w:ascii="Arial" w:hAnsi="Arial" w:cs="Arial"/>
          <w:sz w:val="20"/>
          <w:szCs w:val="20"/>
          <w:lang w:val="es-ES"/>
        </w:rPr>
        <w:t>Directorio</w:t>
      </w:r>
      <w:r w:rsidRPr="00CB3E68">
        <w:rPr>
          <w:rFonts w:ascii="Arial" w:hAnsi="Arial" w:cs="Arial"/>
          <w:sz w:val="20"/>
          <w:szCs w:val="20"/>
          <w:lang w:val="es-ES"/>
        </w:rPr>
        <w:t xml:space="preserve"> de las siguientes empresas: Grupo ST S.A.; Banco de Servicios y Transacciones S.A.; ST </w:t>
      </w:r>
      <w:proofErr w:type="spellStart"/>
      <w:r w:rsidRPr="00CB3E68">
        <w:rPr>
          <w:rFonts w:ascii="Arial" w:hAnsi="Arial" w:cs="Arial"/>
          <w:sz w:val="20"/>
          <w:szCs w:val="20"/>
          <w:lang w:val="es-ES"/>
        </w:rPr>
        <w:t>Securities</w:t>
      </w:r>
      <w:proofErr w:type="spellEnd"/>
      <w:r w:rsidRPr="00CB3E68">
        <w:rPr>
          <w:rFonts w:ascii="Arial" w:hAnsi="Arial" w:cs="Arial"/>
          <w:sz w:val="20"/>
          <w:szCs w:val="20"/>
          <w:lang w:val="es-ES"/>
        </w:rPr>
        <w:t xml:space="preserve"> S.A.; </w:t>
      </w:r>
      <w:proofErr w:type="spellStart"/>
      <w:r w:rsidRPr="00CB3E68">
        <w:rPr>
          <w:rFonts w:ascii="Arial" w:hAnsi="Arial" w:cs="Arial"/>
          <w:sz w:val="20"/>
          <w:szCs w:val="20"/>
          <w:lang w:val="es-ES"/>
        </w:rPr>
        <w:t>Best</w:t>
      </w:r>
      <w:proofErr w:type="spellEnd"/>
      <w:r w:rsidRPr="00CB3E68">
        <w:rPr>
          <w:rFonts w:ascii="Arial" w:hAnsi="Arial" w:cs="Arial"/>
          <w:sz w:val="20"/>
          <w:szCs w:val="20"/>
          <w:lang w:val="es-ES"/>
        </w:rPr>
        <w:t xml:space="preserve"> Leasing S.A.; </w:t>
      </w:r>
      <w:proofErr w:type="spellStart"/>
      <w:r w:rsidRPr="00CB3E68">
        <w:rPr>
          <w:rFonts w:ascii="Arial" w:hAnsi="Arial" w:cs="Arial"/>
          <w:sz w:val="20"/>
          <w:szCs w:val="20"/>
          <w:lang w:val="es-ES"/>
        </w:rPr>
        <w:t>Life</w:t>
      </w:r>
      <w:proofErr w:type="spellEnd"/>
      <w:r w:rsidRPr="00CB3E68">
        <w:rPr>
          <w:rFonts w:ascii="Arial" w:hAnsi="Arial" w:cs="Arial"/>
          <w:sz w:val="20"/>
          <w:szCs w:val="20"/>
          <w:lang w:val="es-ES"/>
        </w:rPr>
        <w:t xml:space="preserve"> Seguros S.A.; Liminar Energía S.A. (accionista mayoritario de la Compañía); y Crown Point Energía S.A. (subsidiaria de propiedad total de la Compañía).</w:t>
      </w:r>
    </w:p>
    <w:p w14:paraId="01F062C7" w14:textId="3312DCD7" w:rsidR="00FB40E8" w:rsidRPr="00CB3E68" w:rsidRDefault="001154F1" w:rsidP="000277F1">
      <w:pPr>
        <w:widowControl w:val="0"/>
        <w:autoSpaceDE w:val="0"/>
        <w:autoSpaceDN w:val="0"/>
        <w:adjustRightInd w:val="0"/>
        <w:spacing w:before="60" w:line="240" w:lineRule="atLeast"/>
        <w:jc w:val="both"/>
        <w:rPr>
          <w:rFonts w:ascii="Arial" w:hAnsi="Arial" w:cs="Arial"/>
          <w:color w:val="000000"/>
          <w:sz w:val="20"/>
          <w:szCs w:val="20"/>
          <w:lang w:val="es-ES"/>
        </w:rPr>
      </w:pPr>
      <w:r w:rsidRPr="00CB3E68">
        <w:rPr>
          <w:rFonts w:ascii="Arial" w:hAnsi="Arial" w:cs="Arial"/>
          <w:sz w:val="20"/>
          <w:szCs w:val="20"/>
          <w:lang w:val="es-ES"/>
        </w:rPr>
        <w:t>Juan es licenciado en Derecho por la Universidad de Buenos Aires y tiene un máster en Finanzas por la Universidad del CEMA.</w:t>
      </w:r>
    </w:p>
    <w:p w14:paraId="700AB6B7" w14:textId="77777777" w:rsidR="00FB40E8" w:rsidRPr="00CB3E68" w:rsidRDefault="00FB40E8" w:rsidP="000277F1">
      <w:pPr>
        <w:widowControl w:val="0"/>
        <w:autoSpaceDE w:val="0"/>
        <w:autoSpaceDN w:val="0"/>
        <w:adjustRightInd w:val="0"/>
        <w:spacing w:before="60" w:line="240" w:lineRule="atLeast"/>
        <w:jc w:val="both"/>
        <w:rPr>
          <w:rFonts w:ascii="Arial" w:hAnsi="Arial" w:cs="Arial"/>
          <w:color w:val="000000"/>
          <w:sz w:val="20"/>
          <w:szCs w:val="20"/>
          <w:lang w:val="es-ES"/>
        </w:rPr>
      </w:pPr>
    </w:p>
    <w:p w14:paraId="25496980" w14:textId="3C2BF5D9" w:rsidR="001B40D9" w:rsidRPr="00CB3E68" w:rsidRDefault="001B40D9" w:rsidP="001B40D9">
      <w:pPr>
        <w:widowControl w:val="0"/>
        <w:rPr>
          <w:rFonts w:ascii="Arial" w:hAnsi="Arial" w:cs="Arial"/>
          <w:b/>
          <w:bCs/>
          <w:caps/>
          <w:color w:val="000000"/>
          <w:sz w:val="20"/>
          <w:szCs w:val="20"/>
          <w:lang w:val="es-ES"/>
        </w:rPr>
      </w:pPr>
      <w:r w:rsidRPr="00CB3E68">
        <w:rPr>
          <w:rFonts w:ascii="Arial" w:hAnsi="Arial" w:cs="Arial"/>
          <w:b/>
          <w:bCs/>
          <w:caps/>
          <w:color w:val="000000"/>
          <w:sz w:val="20"/>
          <w:szCs w:val="20"/>
          <w:lang w:val="es-ES"/>
        </w:rPr>
        <w:t>Actualización operativa</w:t>
      </w:r>
    </w:p>
    <w:p w14:paraId="27D1D0B9" w14:textId="22105311" w:rsidR="00C165D0" w:rsidRPr="001154F1" w:rsidRDefault="00C165D0" w:rsidP="009825E3">
      <w:pPr>
        <w:widowControl w:val="0"/>
        <w:autoSpaceDE w:val="0"/>
        <w:autoSpaceDN w:val="0"/>
        <w:adjustRightInd w:val="0"/>
        <w:spacing w:before="60" w:line="240" w:lineRule="atLeast"/>
        <w:jc w:val="both"/>
        <w:rPr>
          <w:rFonts w:ascii="Arial" w:hAnsi="Arial" w:cs="Arial"/>
          <w:b/>
          <w:sz w:val="20"/>
          <w:szCs w:val="20"/>
          <w:lang w:val="it-IT"/>
        </w:rPr>
      </w:pPr>
      <w:r w:rsidRPr="001154F1">
        <w:rPr>
          <w:rFonts w:ascii="Arial" w:hAnsi="Arial" w:cs="Arial"/>
          <w:b/>
          <w:sz w:val="20"/>
          <w:szCs w:val="20"/>
          <w:lang w:val="it-IT"/>
        </w:rPr>
        <w:t>Concesiones de Santa Cruz</w:t>
      </w:r>
    </w:p>
    <w:p w14:paraId="11D8CB2A" w14:textId="77777777" w:rsidR="00DB7090" w:rsidRPr="00CB3E68" w:rsidRDefault="00DB7090" w:rsidP="00DB7090">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bCs/>
          <w:sz w:val="20"/>
          <w:szCs w:val="20"/>
          <w:lang w:val="es-ES"/>
        </w:rPr>
      </w:pPr>
      <w:r w:rsidRPr="00CB3E68">
        <w:rPr>
          <w:rFonts w:ascii="Arial" w:hAnsi="Arial" w:cs="Arial"/>
          <w:bCs/>
          <w:sz w:val="20"/>
          <w:szCs w:val="20"/>
          <w:lang w:val="es-ES"/>
        </w:rPr>
        <w:t xml:space="preserve">Durante el segundo trimestre de 2025, la producción petrolera de la concesión Piedra Clavada promedió 1902 barriles de petróleo por día y la producción petrolera de la concesión </w:t>
      </w:r>
      <w:proofErr w:type="spellStart"/>
      <w:r w:rsidRPr="00CB3E68">
        <w:rPr>
          <w:rFonts w:ascii="Arial" w:hAnsi="Arial" w:cs="Arial"/>
          <w:bCs/>
          <w:sz w:val="20"/>
          <w:szCs w:val="20"/>
          <w:lang w:val="es-ES"/>
        </w:rPr>
        <w:t>Koluel</w:t>
      </w:r>
      <w:proofErr w:type="spellEnd"/>
      <w:r w:rsidRPr="00CB3E68">
        <w:rPr>
          <w:rFonts w:ascii="Arial" w:hAnsi="Arial" w:cs="Arial"/>
          <w:bCs/>
          <w:sz w:val="20"/>
          <w:szCs w:val="20"/>
          <w:lang w:val="es-ES"/>
        </w:rPr>
        <w:t xml:space="preserve"> </w:t>
      </w:r>
      <w:proofErr w:type="spellStart"/>
      <w:r w:rsidRPr="00CB3E68">
        <w:rPr>
          <w:rFonts w:ascii="Arial" w:hAnsi="Arial" w:cs="Arial"/>
          <w:bCs/>
          <w:sz w:val="20"/>
          <w:szCs w:val="20"/>
          <w:lang w:val="es-ES"/>
        </w:rPr>
        <w:t>Kaike</w:t>
      </w:r>
      <w:proofErr w:type="spellEnd"/>
      <w:r w:rsidRPr="00CB3E68">
        <w:rPr>
          <w:rFonts w:ascii="Arial" w:hAnsi="Arial" w:cs="Arial"/>
          <w:bCs/>
          <w:sz w:val="20"/>
          <w:szCs w:val="20"/>
          <w:lang w:val="es-ES"/>
        </w:rPr>
        <w:t xml:space="preserve"> promedió 1060 barriles de petróleo por día. Durante el segundo trimestre de 2025, la Compañía realizó trabajos de reacondicionamiento en doce pozos productores de petróleo. </w:t>
      </w:r>
    </w:p>
    <w:p w14:paraId="4CB39A9C" w14:textId="77777777" w:rsidR="00DB7090" w:rsidRPr="00CB3E68" w:rsidRDefault="00DB7090" w:rsidP="00C165D0">
      <w:pPr>
        <w:widowControl w:val="0"/>
        <w:autoSpaceDE w:val="0"/>
        <w:autoSpaceDN w:val="0"/>
        <w:adjustRightInd w:val="0"/>
        <w:spacing w:before="60" w:line="240" w:lineRule="atLeast"/>
        <w:jc w:val="both"/>
        <w:rPr>
          <w:rFonts w:ascii="Arial" w:hAnsi="Arial" w:cs="Arial"/>
          <w:bCs/>
          <w:sz w:val="20"/>
          <w:szCs w:val="20"/>
          <w:lang w:val="es-ES"/>
        </w:rPr>
      </w:pPr>
    </w:p>
    <w:p w14:paraId="5A92B1EF" w14:textId="44F6D76F" w:rsidR="009825E3" w:rsidRPr="00DB7090" w:rsidRDefault="009825E3" w:rsidP="00C165D0">
      <w:pPr>
        <w:widowControl w:val="0"/>
        <w:autoSpaceDE w:val="0"/>
        <w:autoSpaceDN w:val="0"/>
        <w:adjustRightInd w:val="0"/>
        <w:spacing w:before="60" w:line="240" w:lineRule="atLeast"/>
        <w:jc w:val="both"/>
        <w:rPr>
          <w:rFonts w:ascii="Arial" w:hAnsi="Arial" w:cs="Arial"/>
          <w:b/>
          <w:sz w:val="20"/>
          <w:szCs w:val="20"/>
          <w:lang w:val="it-IT"/>
        </w:rPr>
      </w:pPr>
      <w:r w:rsidRPr="00DB7090">
        <w:rPr>
          <w:rFonts w:ascii="Arial" w:hAnsi="Arial" w:cs="Arial"/>
          <w:b/>
          <w:sz w:val="20"/>
          <w:szCs w:val="20"/>
          <w:lang w:val="it-IT"/>
        </w:rPr>
        <w:t>Concesión Tierra del Fuego («TDF» o «Concesiones TDF»)</w:t>
      </w:r>
    </w:p>
    <w:p w14:paraId="4BE94117" w14:textId="77777777" w:rsidR="00DB7090" w:rsidRPr="00CB3E68" w:rsidRDefault="00DB7090" w:rsidP="00DB7090">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b/>
          <w:sz w:val="20"/>
          <w:szCs w:val="20"/>
          <w:lang w:val="es-ES"/>
        </w:rPr>
      </w:pPr>
      <w:r w:rsidRPr="00CB3E68">
        <w:rPr>
          <w:rFonts w:ascii="Arial" w:hAnsi="Arial" w:cs="Arial"/>
          <w:bCs/>
          <w:sz w:val="20"/>
          <w:szCs w:val="20"/>
          <w:lang w:val="es-ES"/>
        </w:rPr>
        <w:t xml:space="preserve">Durante el segundo trimestre de 2025, la producción de petróleo de San Martín alcanzó un promedio de 398 barriles (192 netos) por día; la producción de gas natural de la concesión Las Violetas alcanzó un promedio de 8028 </w:t>
      </w:r>
      <w:proofErr w:type="spellStart"/>
      <w:r w:rsidRPr="00CB3E68">
        <w:rPr>
          <w:rFonts w:ascii="Arial" w:hAnsi="Arial" w:cs="Arial"/>
          <w:bCs/>
          <w:sz w:val="20"/>
          <w:szCs w:val="20"/>
          <w:lang w:val="es-ES"/>
        </w:rPr>
        <w:t>mcf</w:t>
      </w:r>
      <w:proofErr w:type="spellEnd"/>
      <w:r w:rsidRPr="00CB3E68">
        <w:rPr>
          <w:rFonts w:ascii="Arial" w:hAnsi="Arial" w:cs="Arial"/>
          <w:bCs/>
          <w:sz w:val="20"/>
          <w:szCs w:val="20"/>
          <w:lang w:val="es-ES"/>
        </w:rPr>
        <w:t xml:space="preserve"> (3880 netos) por día y la producción de petróleo asociada alcanzó un promedio de 198 barriles (96 netos) por día.</w:t>
      </w:r>
    </w:p>
    <w:p w14:paraId="428850CE" w14:textId="77777777" w:rsidR="00DB7090" w:rsidRPr="00CB3E68" w:rsidRDefault="00DB7090" w:rsidP="00DB7090">
      <w:pPr>
        <w:widowControl w:val="0"/>
        <w:autoSpaceDE w:val="0"/>
        <w:autoSpaceDN w:val="0"/>
        <w:adjustRightInd w:val="0"/>
        <w:spacing w:before="60" w:line="240" w:lineRule="atLeast"/>
        <w:jc w:val="both"/>
        <w:rPr>
          <w:rFonts w:ascii="Arial" w:hAnsi="Arial" w:cs="Arial"/>
          <w:b/>
          <w:sz w:val="20"/>
          <w:szCs w:val="20"/>
          <w:lang w:val="es-ES"/>
        </w:rPr>
      </w:pPr>
    </w:p>
    <w:p w14:paraId="494B76EC" w14:textId="13ABD7F3" w:rsidR="009825E3" w:rsidRPr="00CB3E68" w:rsidRDefault="009825E3" w:rsidP="00DB7090">
      <w:pPr>
        <w:widowControl w:val="0"/>
        <w:autoSpaceDE w:val="0"/>
        <w:autoSpaceDN w:val="0"/>
        <w:adjustRightInd w:val="0"/>
        <w:spacing w:before="60" w:line="240" w:lineRule="atLeast"/>
        <w:jc w:val="both"/>
        <w:rPr>
          <w:rFonts w:ascii="Arial" w:hAnsi="Arial" w:cs="Arial"/>
          <w:b/>
          <w:sz w:val="20"/>
          <w:szCs w:val="20"/>
          <w:lang w:val="es-ES"/>
        </w:rPr>
      </w:pPr>
      <w:r w:rsidRPr="00CB3E68">
        <w:rPr>
          <w:rFonts w:ascii="Arial" w:hAnsi="Arial" w:cs="Arial"/>
          <w:b/>
          <w:sz w:val="20"/>
          <w:szCs w:val="20"/>
          <w:lang w:val="es-ES"/>
        </w:rPr>
        <w:t xml:space="preserve">Concesiones de Mendoza («Concesiones de Mendoza») </w:t>
      </w:r>
    </w:p>
    <w:p w14:paraId="5E05B381" w14:textId="41EB947D" w:rsidR="00DB7090" w:rsidRPr="00CB3E68" w:rsidRDefault="00DB7090" w:rsidP="00DB7090">
      <w:pPr>
        <w:pStyle w:val="Prrafodelista"/>
        <w:widowControl w:val="0"/>
        <w:numPr>
          <w:ilvl w:val="0"/>
          <w:numId w:val="2"/>
        </w:numPr>
        <w:autoSpaceDE w:val="0"/>
        <w:autoSpaceDN w:val="0"/>
        <w:adjustRightInd w:val="0"/>
        <w:spacing w:before="60" w:line="240" w:lineRule="atLeast"/>
        <w:ind w:left="548" w:hanging="274"/>
        <w:contextualSpacing w:val="0"/>
        <w:jc w:val="both"/>
        <w:rPr>
          <w:rFonts w:ascii="Arial" w:hAnsi="Arial" w:cs="Arial"/>
          <w:bCs/>
          <w:sz w:val="20"/>
          <w:szCs w:val="20"/>
          <w:lang w:val="es-ES"/>
        </w:rPr>
      </w:pPr>
      <w:r w:rsidRPr="00CB3E68">
        <w:rPr>
          <w:rFonts w:ascii="Arial" w:hAnsi="Arial" w:cs="Arial"/>
          <w:bCs/>
          <w:sz w:val="20"/>
          <w:szCs w:val="20"/>
          <w:lang w:val="es-ES"/>
        </w:rPr>
        <w:t xml:space="preserve">La producción de petróleo durante el segundo trimestre de 2025 alcanzó un promedio de 766 barriles (383 netos) por día en la concesión </w:t>
      </w:r>
      <w:proofErr w:type="spellStart"/>
      <w:r w:rsidR="00396B94" w:rsidRPr="00CB3E68">
        <w:rPr>
          <w:rFonts w:ascii="Arial" w:hAnsi="Arial" w:cs="Arial"/>
          <w:bCs/>
          <w:sz w:val="20"/>
          <w:szCs w:val="20"/>
          <w:lang w:val="es-ES"/>
        </w:rPr>
        <w:t>Chanares</w:t>
      </w:r>
      <w:proofErr w:type="spellEnd"/>
      <w:r w:rsidR="00396B94" w:rsidRPr="00CB3E68">
        <w:rPr>
          <w:rFonts w:ascii="Arial" w:hAnsi="Arial" w:cs="Arial"/>
          <w:bCs/>
          <w:sz w:val="20"/>
          <w:szCs w:val="20"/>
          <w:lang w:val="es-ES"/>
        </w:rPr>
        <w:t xml:space="preserve"> </w:t>
      </w:r>
      <w:r w:rsidR="00396B94" w:rsidRPr="00CB3E68">
        <w:rPr>
          <w:rFonts w:ascii="Arial" w:hAnsi="Arial" w:cs="Arial"/>
          <w:bCs/>
          <w:color w:val="000000" w:themeColor="text1"/>
          <w:sz w:val="20"/>
          <w:szCs w:val="20"/>
          <w:lang w:val="es-ES"/>
        </w:rPr>
        <w:t xml:space="preserve">Herrados </w:t>
      </w:r>
      <w:r w:rsidR="00396B94" w:rsidRPr="00CB3E68">
        <w:rPr>
          <w:rFonts w:ascii="Arial" w:hAnsi="Arial" w:cs="Arial"/>
          <w:bCs/>
          <w:sz w:val="20"/>
          <w:szCs w:val="20"/>
          <w:lang w:val="es-ES"/>
        </w:rPr>
        <w:t>(</w:t>
      </w:r>
      <w:r w:rsidR="00396B94" w:rsidRPr="00CB3E68">
        <w:rPr>
          <w:rFonts w:ascii="Arial" w:hAnsi="Arial" w:cs="Arial"/>
          <w:b/>
          <w:sz w:val="20"/>
          <w:szCs w:val="20"/>
          <w:lang w:val="es-ES"/>
        </w:rPr>
        <w:t xml:space="preserve">«concesión </w:t>
      </w:r>
      <w:r w:rsidR="00396B94" w:rsidRPr="00CB3E68">
        <w:rPr>
          <w:rFonts w:ascii="Arial" w:hAnsi="Arial" w:cs="Arial"/>
          <w:b/>
          <w:bCs/>
          <w:sz w:val="20"/>
          <w:szCs w:val="20"/>
          <w:lang w:val="es-ES"/>
        </w:rPr>
        <w:t>CH</w:t>
      </w:r>
      <w:r w:rsidR="00396B94" w:rsidRPr="00CB3E68">
        <w:rPr>
          <w:rFonts w:ascii="Arial" w:hAnsi="Arial" w:cs="Arial"/>
          <w:bCs/>
          <w:sz w:val="20"/>
          <w:szCs w:val="20"/>
          <w:lang w:val="es-ES"/>
        </w:rPr>
        <w:t xml:space="preserve">») </w:t>
      </w:r>
      <w:r w:rsidRPr="00CB3E68">
        <w:rPr>
          <w:rFonts w:ascii="Arial" w:hAnsi="Arial" w:cs="Arial"/>
          <w:bCs/>
          <w:sz w:val="20"/>
          <w:szCs w:val="20"/>
          <w:lang w:val="es-ES"/>
        </w:rPr>
        <w:t xml:space="preserve">y de 170 barriles (85 netos) por día en la concesión </w:t>
      </w:r>
      <w:r w:rsidR="00396B94" w:rsidRPr="00CB3E68">
        <w:rPr>
          <w:rFonts w:ascii="Arial" w:hAnsi="Arial" w:cs="Arial"/>
          <w:bCs/>
          <w:sz w:val="20"/>
          <w:szCs w:val="20"/>
          <w:lang w:val="es-ES"/>
        </w:rPr>
        <w:t>Puesto Pozo Cercado Oriental</w:t>
      </w:r>
      <w:r w:rsidRPr="00CB3E68">
        <w:rPr>
          <w:rFonts w:ascii="Arial" w:hAnsi="Arial" w:cs="Arial"/>
          <w:bCs/>
          <w:sz w:val="20"/>
          <w:szCs w:val="20"/>
          <w:lang w:val="es-ES"/>
        </w:rPr>
        <w:t>. Durante el segundo trimestre de 2025, la Compañía realizó trabajos de reacondicionamiento en cinco pozos productores de petróleo en la concesión CH.</w:t>
      </w:r>
    </w:p>
    <w:p w14:paraId="6D4BBB4B" w14:textId="07EE5A2A" w:rsidR="009825E3" w:rsidRPr="003D3760" w:rsidRDefault="009825E3" w:rsidP="009825E3">
      <w:pPr>
        <w:pStyle w:val="Ne4"/>
        <w:widowControl w:val="0"/>
        <w:spacing w:before="240" w:line="240" w:lineRule="atLeast"/>
        <w:ind w:left="0"/>
        <w:rPr>
          <w:rFonts w:cs="Arial"/>
        </w:rPr>
      </w:pPr>
      <w:r>
        <w:rPr>
          <w:rFonts w:cs="Arial"/>
          <w:b/>
        </w:rPr>
        <w:t>PERSPECTIVAS</w:t>
      </w:r>
    </w:p>
    <w:p w14:paraId="7C28B336" w14:textId="771C5D76" w:rsidR="009825E3" w:rsidRPr="00CB3E68" w:rsidRDefault="00C165D0" w:rsidP="00180E2F">
      <w:pPr>
        <w:pStyle w:val="Prrafodelista"/>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line="240" w:lineRule="atLeast"/>
        <w:ind w:left="548"/>
        <w:contextualSpacing w:val="0"/>
        <w:jc w:val="both"/>
        <w:rPr>
          <w:rFonts w:ascii="Arial" w:hAnsi="Arial" w:cs="Arial"/>
          <w:bCs/>
          <w:szCs w:val="20"/>
          <w:lang w:val="es-ES"/>
        </w:rPr>
      </w:pPr>
      <w:r w:rsidRPr="00CB3E68">
        <w:rPr>
          <w:rFonts w:ascii="Arial" w:hAnsi="Arial" w:cs="Arial"/>
          <w:sz w:val="20"/>
          <w:szCs w:val="20"/>
          <w:lang w:val="es-ES"/>
        </w:rPr>
        <w:t>El gasto de capital de la Compañía para el ejercicio fiscal 2025 se ha presupuestado en aproximadamente</w:t>
      </w:r>
      <w:r w:rsidR="007A55B2" w:rsidRPr="00CB3E68">
        <w:rPr>
          <w:rFonts w:ascii="Arial" w:hAnsi="Arial" w:cs="Arial"/>
          <w:sz w:val="20"/>
          <w:szCs w:val="20"/>
          <w:lang w:val="es-ES"/>
        </w:rPr>
        <w:t xml:space="preserve"> 12,3 </w:t>
      </w:r>
      <w:r w:rsidRPr="00CB3E68">
        <w:rPr>
          <w:rFonts w:ascii="Arial" w:hAnsi="Arial" w:cs="Arial"/>
          <w:sz w:val="20"/>
          <w:szCs w:val="20"/>
          <w:lang w:val="es-ES"/>
        </w:rPr>
        <w:t>millones de dólares, de los cuales</w:t>
      </w:r>
      <w:r w:rsidR="007A55B2" w:rsidRPr="00CB3E68">
        <w:rPr>
          <w:rFonts w:ascii="Arial" w:hAnsi="Arial" w:cs="Arial"/>
          <w:sz w:val="20"/>
          <w:szCs w:val="20"/>
          <w:lang w:val="es-ES"/>
        </w:rPr>
        <w:t xml:space="preserve"> 10,4 </w:t>
      </w:r>
      <w:r w:rsidRPr="00CB3E68">
        <w:rPr>
          <w:rFonts w:ascii="Arial" w:hAnsi="Arial" w:cs="Arial"/>
          <w:sz w:val="20"/>
          <w:szCs w:val="20"/>
          <w:lang w:val="es-ES"/>
        </w:rPr>
        <w:t>millones se destinan a las concesiones de Santa Cruz para reacondicionamientos de pozos, mejoras de instalaciones y una campaña de perforación que comprende</w:t>
      </w:r>
      <w:r w:rsidR="00030D6B" w:rsidRPr="00CB3E68">
        <w:rPr>
          <w:rFonts w:ascii="Arial" w:hAnsi="Arial" w:cs="Arial"/>
          <w:sz w:val="20"/>
          <w:szCs w:val="20"/>
          <w:lang w:val="es-ES"/>
        </w:rPr>
        <w:t xml:space="preserve"> 2 </w:t>
      </w:r>
      <w:r w:rsidRPr="00CB3E68">
        <w:rPr>
          <w:rFonts w:ascii="Arial" w:hAnsi="Arial" w:cs="Arial"/>
          <w:sz w:val="20"/>
          <w:szCs w:val="20"/>
          <w:lang w:val="es-ES"/>
        </w:rPr>
        <w:t>pozos</w:t>
      </w:r>
      <w:r w:rsidR="00030D6B" w:rsidRPr="00CB3E68">
        <w:rPr>
          <w:rFonts w:ascii="Arial" w:hAnsi="Arial" w:cs="Arial"/>
          <w:sz w:val="20"/>
          <w:szCs w:val="20"/>
          <w:lang w:val="es-ES"/>
        </w:rPr>
        <w:t xml:space="preserve">; </w:t>
      </w:r>
      <w:r w:rsidR="007A55B2" w:rsidRPr="00CB3E68">
        <w:rPr>
          <w:rFonts w:ascii="Arial" w:hAnsi="Arial" w:cs="Arial"/>
          <w:sz w:val="20"/>
          <w:szCs w:val="20"/>
          <w:lang w:val="es-ES"/>
        </w:rPr>
        <w:t>1</w:t>
      </w:r>
      <w:r w:rsidRPr="00CB3E68">
        <w:rPr>
          <w:rFonts w:ascii="Arial" w:hAnsi="Arial" w:cs="Arial"/>
          <w:sz w:val="20"/>
          <w:szCs w:val="20"/>
          <w:lang w:val="es-ES"/>
        </w:rPr>
        <w:t>,</w:t>
      </w:r>
      <w:r w:rsidR="007A55B2" w:rsidRPr="00CB3E68">
        <w:rPr>
          <w:rFonts w:ascii="Arial" w:hAnsi="Arial" w:cs="Arial"/>
          <w:sz w:val="20"/>
          <w:szCs w:val="20"/>
          <w:lang w:val="es-ES"/>
        </w:rPr>
        <w:t xml:space="preserve">1 </w:t>
      </w:r>
      <w:r w:rsidRPr="00CB3E68">
        <w:rPr>
          <w:rFonts w:ascii="Arial" w:hAnsi="Arial" w:cs="Arial"/>
          <w:sz w:val="20"/>
          <w:szCs w:val="20"/>
          <w:lang w:val="es-ES"/>
        </w:rPr>
        <w:t xml:space="preserve">millones de dólares se destinan a reacondicionamientos de pozos, mejoras de instalaciones y optimización en las concesiones de Mendoza, y 0,8 millones de dólares se destinan a pruebas de las capas de arenisca con gas del Grupo Neuquén en </w:t>
      </w:r>
      <w:r w:rsidR="00E50C7D" w:rsidRPr="00CB3E68">
        <w:rPr>
          <w:rFonts w:ascii="Arial" w:hAnsi="Arial" w:cs="Arial"/>
          <w:sz w:val="20"/>
          <w:szCs w:val="20"/>
          <w:lang w:val="es-ES"/>
        </w:rPr>
        <w:t xml:space="preserve">Cerro de Los Leones. </w:t>
      </w:r>
      <w:r w:rsidR="00471D02" w:rsidRPr="00CB3E68">
        <w:rPr>
          <w:rFonts w:ascii="Arial" w:hAnsi="Arial" w:cs="Arial"/>
          <w:sz w:val="20"/>
          <w:szCs w:val="20"/>
          <w:lang w:val="es-ES"/>
        </w:rPr>
        <w:t>Durante el periodo de junio de 2025, la empresa incurrió en 0,9 millones de dólares de gastos de capital en las concesiones de Mendoza y 3,3 millones de dólares de gastos de capital en las concesiones de Santa Cruz.</w:t>
      </w:r>
    </w:p>
    <w:p w14:paraId="3E67012B" w14:textId="77777777" w:rsidR="00E01D56" w:rsidRPr="00CB3E68" w:rsidRDefault="00E01D56" w:rsidP="00D02275">
      <w:pPr>
        <w:rPr>
          <w:rFonts w:ascii="Arial" w:hAnsi="Arial" w:cs="Arial"/>
          <w:b/>
          <w:bCs/>
          <w:caps/>
          <w:color w:val="000000"/>
          <w:sz w:val="20"/>
          <w:szCs w:val="20"/>
          <w:lang w:val="es-ES"/>
        </w:rPr>
      </w:pPr>
    </w:p>
    <w:p w14:paraId="1F149D41" w14:textId="622B9E5B" w:rsidR="007003F5" w:rsidRPr="00CB3E68" w:rsidRDefault="00E01D56" w:rsidP="00D02275">
      <w:pPr>
        <w:rPr>
          <w:rFonts w:ascii="Arial" w:hAnsi="Arial" w:cs="Arial"/>
          <w:b/>
          <w:sz w:val="20"/>
          <w:szCs w:val="20"/>
          <w:lang w:val="es-ES"/>
        </w:rPr>
      </w:pPr>
      <w:r w:rsidRPr="00CB3E68">
        <w:rPr>
          <w:rFonts w:ascii="Arial" w:hAnsi="Arial" w:cs="Arial"/>
          <w:b/>
          <w:bCs/>
          <w:caps/>
          <w:color w:val="000000"/>
          <w:sz w:val="20"/>
          <w:szCs w:val="20"/>
          <w:lang w:val="es-ES"/>
        </w:rPr>
        <w:t>RESULTADOS DE LAS OPERACIONES</w:t>
      </w:r>
    </w:p>
    <w:p w14:paraId="18D99D4A" w14:textId="77777777" w:rsidR="00E01D56" w:rsidRPr="00CB3E68" w:rsidRDefault="00E01D56" w:rsidP="00D02275">
      <w:pPr>
        <w:rPr>
          <w:rFonts w:ascii="Arial" w:hAnsi="Arial" w:cs="Arial"/>
          <w:b/>
          <w:sz w:val="20"/>
          <w:szCs w:val="20"/>
          <w:lang w:val="es-ES"/>
        </w:rPr>
      </w:pPr>
    </w:p>
    <w:p w14:paraId="098B3A89" w14:textId="10A4AEFB" w:rsidR="00570F49" w:rsidRPr="00CB3E68" w:rsidRDefault="00150304" w:rsidP="00D02275">
      <w:pPr>
        <w:rPr>
          <w:rFonts w:ascii="Arial" w:hAnsi="Arial" w:cs="Arial"/>
          <w:b/>
          <w:sz w:val="20"/>
          <w:szCs w:val="20"/>
          <w:lang w:val="es-ES"/>
        </w:rPr>
      </w:pPr>
      <w:r w:rsidRPr="00CB3E68">
        <w:rPr>
          <w:rFonts w:ascii="Arial" w:hAnsi="Arial" w:cs="Arial"/>
          <w:b/>
          <w:sz w:val="20"/>
          <w:szCs w:val="20"/>
          <w:lang w:val="es-ES"/>
        </w:rPr>
        <w:t>Volúmenes de ventas</w:t>
      </w:r>
    </w:p>
    <w:p w14:paraId="7A9FFF7D" w14:textId="1A101FF2" w:rsidR="00030D6B" w:rsidRPr="00CB3E68" w:rsidRDefault="00030D6B" w:rsidP="00D02275">
      <w:pPr>
        <w:rPr>
          <w:rFonts w:ascii="Arial" w:hAnsi="Arial" w:cs="Arial"/>
          <w:bCs/>
          <w:sz w:val="20"/>
          <w:szCs w:val="20"/>
          <w:lang w:val="es-ES"/>
        </w:rPr>
      </w:pPr>
    </w:p>
    <w:tbl>
      <w:tblPr>
        <w:tblW w:w="9355" w:type="dxa"/>
        <w:tblLayout w:type="fixed"/>
        <w:tblLook w:val="04A0" w:firstRow="1" w:lastRow="0" w:firstColumn="1" w:lastColumn="0" w:noHBand="0" w:noVBand="1"/>
      </w:tblPr>
      <w:tblGrid>
        <w:gridCol w:w="4390"/>
        <w:gridCol w:w="1275"/>
        <w:gridCol w:w="1134"/>
        <w:gridCol w:w="1276"/>
        <w:gridCol w:w="1280"/>
      </w:tblGrid>
      <w:tr w:rsidR="00030D6B" w:rsidRPr="00902562" w14:paraId="799D1558" w14:textId="77777777" w:rsidTr="004777D7">
        <w:tc>
          <w:tcPr>
            <w:tcW w:w="4390" w:type="dxa"/>
            <w:tcBorders>
              <w:top w:val="single" w:sz="12" w:space="0" w:color="auto"/>
              <w:left w:val="single" w:sz="4" w:space="0" w:color="auto"/>
              <w:right w:val="single" w:sz="4" w:space="0" w:color="auto"/>
            </w:tcBorders>
          </w:tcPr>
          <w:p w14:paraId="4015CAAE" w14:textId="77777777" w:rsidR="00030D6B" w:rsidRPr="00CB3E68" w:rsidRDefault="00030D6B" w:rsidP="00DD1BB5">
            <w:pPr>
              <w:rPr>
                <w:rFonts w:ascii="Arial" w:hAnsi="Arial" w:cs="Arial"/>
                <w:b/>
                <w:bCs/>
                <w:sz w:val="16"/>
                <w:szCs w:val="16"/>
                <w:lang w:val="es-ES"/>
              </w:rPr>
            </w:pPr>
          </w:p>
        </w:tc>
        <w:tc>
          <w:tcPr>
            <w:tcW w:w="2409" w:type="dxa"/>
            <w:gridSpan w:val="2"/>
            <w:tcBorders>
              <w:top w:val="single" w:sz="12" w:space="0" w:color="auto"/>
              <w:left w:val="single" w:sz="4" w:space="0" w:color="auto"/>
              <w:right w:val="single" w:sz="4" w:space="0" w:color="auto"/>
            </w:tcBorders>
            <w:vAlign w:val="bottom"/>
          </w:tcPr>
          <w:p w14:paraId="1F0D4C21" w14:textId="7E1AE6F1" w:rsidR="00030D6B" w:rsidRPr="00902562" w:rsidRDefault="00030D6B" w:rsidP="004777D7">
            <w:pPr>
              <w:widowControl w:val="0"/>
              <w:spacing w:before="60"/>
              <w:jc w:val="center"/>
              <w:rPr>
                <w:rFonts w:ascii="Arial" w:hAnsi="Arial" w:cs="Arial"/>
                <w:b/>
                <w:bCs/>
                <w:sz w:val="16"/>
                <w:szCs w:val="16"/>
                <w:lang w:val="en-CA"/>
              </w:rPr>
            </w:pPr>
            <w:proofErr w:type="spellStart"/>
            <w:r>
              <w:rPr>
                <w:rFonts w:ascii="Arial" w:hAnsi="Arial" w:cs="Arial"/>
                <w:b/>
                <w:bCs/>
                <w:sz w:val="16"/>
                <w:szCs w:val="16"/>
                <w:lang w:val="en-CA"/>
              </w:rPr>
              <w:t>Tr</w:t>
            </w:r>
            <w:r w:rsidR="004777D7">
              <w:rPr>
                <w:rFonts w:ascii="Arial" w:hAnsi="Arial" w:cs="Arial"/>
                <w:b/>
                <w:bCs/>
                <w:sz w:val="16"/>
                <w:szCs w:val="16"/>
                <w:lang w:val="en-CA"/>
              </w:rPr>
              <w:t>imestre</w:t>
            </w:r>
            <w:proofErr w:type="spellEnd"/>
            <w:r w:rsidR="004777D7">
              <w:rPr>
                <w:rFonts w:ascii="Arial" w:hAnsi="Arial" w:cs="Arial"/>
                <w:b/>
                <w:bCs/>
                <w:sz w:val="16"/>
                <w:szCs w:val="16"/>
                <w:lang w:val="en-CA"/>
              </w:rPr>
              <w:t xml:space="preserve"> </w:t>
            </w:r>
            <w:proofErr w:type="spellStart"/>
            <w:r w:rsidR="004777D7">
              <w:rPr>
                <w:rFonts w:ascii="Arial" w:hAnsi="Arial" w:cs="Arial"/>
                <w:b/>
                <w:bCs/>
                <w:sz w:val="16"/>
                <w:szCs w:val="16"/>
                <w:lang w:val="en-CA"/>
              </w:rPr>
              <w:t>finalizado</w:t>
            </w:r>
            <w:proofErr w:type="spellEnd"/>
          </w:p>
        </w:tc>
        <w:tc>
          <w:tcPr>
            <w:tcW w:w="2556" w:type="dxa"/>
            <w:gridSpan w:val="2"/>
            <w:tcBorders>
              <w:top w:val="single" w:sz="12" w:space="0" w:color="auto"/>
              <w:left w:val="single" w:sz="4" w:space="0" w:color="auto"/>
              <w:right w:val="single" w:sz="4" w:space="0" w:color="auto"/>
            </w:tcBorders>
            <w:vAlign w:val="bottom"/>
          </w:tcPr>
          <w:p w14:paraId="5C2E5C70" w14:textId="6FD30F30" w:rsidR="00030D6B" w:rsidRPr="00902562" w:rsidRDefault="00030D6B" w:rsidP="004777D7">
            <w:pPr>
              <w:widowControl w:val="0"/>
              <w:spacing w:before="60"/>
              <w:jc w:val="center"/>
              <w:rPr>
                <w:rFonts w:ascii="Arial" w:hAnsi="Arial" w:cs="Arial"/>
                <w:b/>
                <w:bCs/>
                <w:sz w:val="16"/>
                <w:szCs w:val="16"/>
                <w:lang w:val="en-CA"/>
              </w:rPr>
            </w:pPr>
            <w:proofErr w:type="spellStart"/>
            <w:r>
              <w:rPr>
                <w:rFonts w:ascii="Arial" w:hAnsi="Arial" w:cs="Arial"/>
                <w:b/>
                <w:bCs/>
                <w:sz w:val="16"/>
                <w:szCs w:val="16"/>
                <w:lang w:val="en-CA"/>
              </w:rPr>
              <w:t>Se</w:t>
            </w:r>
            <w:r w:rsidR="004777D7">
              <w:rPr>
                <w:rFonts w:ascii="Arial" w:hAnsi="Arial" w:cs="Arial"/>
                <w:b/>
                <w:bCs/>
                <w:sz w:val="16"/>
                <w:szCs w:val="16"/>
                <w:lang w:val="en-CA"/>
              </w:rPr>
              <w:t>mestre</w:t>
            </w:r>
            <w:proofErr w:type="spellEnd"/>
            <w:r w:rsidR="004777D7">
              <w:rPr>
                <w:rFonts w:ascii="Arial" w:hAnsi="Arial" w:cs="Arial"/>
                <w:b/>
                <w:bCs/>
                <w:sz w:val="16"/>
                <w:szCs w:val="16"/>
                <w:lang w:val="en-CA"/>
              </w:rPr>
              <w:t xml:space="preserve"> </w:t>
            </w:r>
            <w:proofErr w:type="spellStart"/>
            <w:r w:rsidR="004777D7">
              <w:rPr>
                <w:rFonts w:ascii="Arial" w:hAnsi="Arial" w:cs="Arial"/>
                <w:b/>
                <w:bCs/>
                <w:sz w:val="16"/>
                <w:szCs w:val="16"/>
                <w:lang w:val="en-CA"/>
              </w:rPr>
              <w:t>finalizado</w:t>
            </w:r>
            <w:proofErr w:type="spellEnd"/>
          </w:p>
        </w:tc>
      </w:tr>
      <w:tr w:rsidR="00030D6B" w:rsidRPr="00902562" w14:paraId="20387462" w14:textId="77777777" w:rsidTr="004777D7">
        <w:tc>
          <w:tcPr>
            <w:tcW w:w="4390" w:type="dxa"/>
            <w:tcBorders>
              <w:left w:val="single" w:sz="4" w:space="0" w:color="auto"/>
              <w:right w:val="single" w:sz="4" w:space="0" w:color="auto"/>
            </w:tcBorders>
          </w:tcPr>
          <w:p w14:paraId="1A48B6F3" w14:textId="77777777" w:rsidR="00030D6B" w:rsidRPr="00902562" w:rsidRDefault="00030D6B" w:rsidP="00DD1BB5">
            <w:pPr>
              <w:rPr>
                <w:rFonts w:ascii="Arial" w:hAnsi="Arial" w:cs="Arial"/>
                <w:b/>
                <w:sz w:val="16"/>
                <w:szCs w:val="16"/>
                <w:lang w:val="en-CA"/>
              </w:rPr>
            </w:pPr>
          </w:p>
        </w:tc>
        <w:tc>
          <w:tcPr>
            <w:tcW w:w="2409" w:type="dxa"/>
            <w:gridSpan w:val="2"/>
            <w:tcBorders>
              <w:left w:val="single" w:sz="4" w:space="0" w:color="auto"/>
              <w:bottom w:val="single" w:sz="4" w:space="0" w:color="auto"/>
              <w:right w:val="single" w:sz="4" w:space="0" w:color="auto"/>
            </w:tcBorders>
            <w:vAlign w:val="bottom"/>
          </w:tcPr>
          <w:p w14:paraId="729F43FE" w14:textId="77777777" w:rsidR="00030D6B" w:rsidRPr="00902562"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30 de junio</w:t>
            </w:r>
          </w:p>
        </w:tc>
        <w:tc>
          <w:tcPr>
            <w:tcW w:w="2556" w:type="dxa"/>
            <w:gridSpan w:val="2"/>
            <w:tcBorders>
              <w:left w:val="single" w:sz="4" w:space="0" w:color="auto"/>
              <w:bottom w:val="single" w:sz="4" w:space="0" w:color="auto"/>
              <w:right w:val="single" w:sz="4" w:space="0" w:color="auto"/>
            </w:tcBorders>
            <w:vAlign w:val="bottom"/>
          </w:tcPr>
          <w:p w14:paraId="63005E8F" w14:textId="77777777" w:rsidR="00030D6B" w:rsidRPr="00902562"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30 de junio</w:t>
            </w:r>
          </w:p>
        </w:tc>
      </w:tr>
      <w:tr w:rsidR="00030D6B" w:rsidRPr="00902562" w14:paraId="7B9DEEB6" w14:textId="77777777" w:rsidTr="004777D7">
        <w:tc>
          <w:tcPr>
            <w:tcW w:w="4390" w:type="dxa"/>
            <w:tcBorders>
              <w:left w:val="single" w:sz="4" w:space="0" w:color="auto"/>
              <w:bottom w:val="single" w:sz="4" w:space="0" w:color="auto"/>
              <w:right w:val="single" w:sz="4" w:space="0" w:color="auto"/>
            </w:tcBorders>
          </w:tcPr>
          <w:p w14:paraId="30D5A4AD" w14:textId="77777777" w:rsidR="00030D6B" w:rsidRPr="00902562" w:rsidRDefault="00030D6B" w:rsidP="00030D6B">
            <w:pPr>
              <w:rPr>
                <w:rFonts w:ascii="Arial" w:hAnsi="Arial" w:cs="Arial"/>
                <w:bCs/>
                <w:sz w:val="16"/>
                <w:szCs w:val="16"/>
                <w:lang w:val="en-CA"/>
              </w:rPr>
            </w:pPr>
          </w:p>
        </w:tc>
        <w:tc>
          <w:tcPr>
            <w:tcW w:w="1275" w:type="dxa"/>
            <w:tcBorders>
              <w:top w:val="single" w:sz="4" w:space="0" w:color="auto"/>
              <w:left w:val="single" w:sz="4" w:space="0" w:color="auto"/>
              <w:bottom w:val="single" w:sz="4" w:space="0" w:color="auto"/>
              <w:right w:val="single" w:sz="4" w:space="0" w:color="auto"/>
            </w:tcBorders>
            <w:vAlign w:val="bottom"/>
          </w:tcPr>
          <w:p w14:paraId="0F1B48DB" w14:textId="6FD2D546" w:rsidR="00030D6B" w:rsidRPr="00902562" w:rsidRDefault="00030D6B" w:rsidP="00030D6B">
            <w:pPr>
              <w:widowControl w:val="0"/>
              <w:ind w:right="162"/>
              <w:jc w:val="center"/>
              <w:rPr>
                <w:rFonts w:ascii="Arial" w:hAnsi="Arial" w:cs="Arial"/>
                <w:b/>
                <w:bCs/>
                <w:sz w:val="16"/>
                <w:szCs w:val="16"/>
                <w:lang w:val="en-CA"/>
              </w:rPr>
            </w:pPr>
            <w:r>
              <w:rPr>
                <w:rFonts w:ascii="Arial" w:hAnsi="Arial" w:cs="Arial"/>
                <w:b/>
                <w:color w:val="000000"/>
                <w:sz w:val="16"/>
                <w:szCs w:val="16"/>
              </w:rPr>
              <w:t>2025</w:t>
            </w:r>
          </w:p>
        </w:tc>
        <w:tc>
          <w:tcPr>
            <w:tcW w:w="1134" w:type="dxa"/>
            <w:tcBorders>
              <w:top w:val="single" w:sz="4" w:space="0" w:color="auto"/>
              <w:left w:val="single" w:sz="4" w:space="0" w:color="auto"/>
              <w:bottom w:val="single" w:sz="4" w:space="0" w:color="auto"/>
              <w:right w:val="single" w:sz="4" w:space="0" w:color="auto"/>
            </w:tcBorders>
            <w:vAlign w:val="bottom"/>
          </w:tcPr>
          <w:p w14:paraId="24C6C264" w14:textId="104070FB" w:rsidR="00030D6B" w:rsidRPr="00902562" w:rsidRDefault="00030D6B" w:rsidP="00030D6B">
            <w:pPr>
              <w:widowControl w:val="0"/>
              <w:ind w:right="72"/>
              <w:jc w:val="center"/>
              <w:rPr>
                <w:rFonts w:ascii="Arial" w:hAnsi="Arial" w:cs="Arial"/>
                <w:b/>
                <w:bCs/>
                <w:sz w:val="16"/>
                <w:szCs w:val="16"/>
                <w:lang w:val="en-CA"/>
              </w:rPr>
            </w:pPr>
            <w:r>
              <w:rPr>
                <w:rFonts w:ascii="Arial" w:hAnsi="Arial" w:cs="Arial"/>
                <w:b/>
                <w:color w:val="000000"/>
                <w:sz w:val="16"/>
                <w:szCs w:val="16"/>
              </w:rPr>
              <w:t>2024</w:t>
            </w:r>
          </w:p>
        </w:tc>
        <w:tc>
          <w:tcPr>
            <w:tcW w:w="1276" w:type="dxa"/>
            <w:tcBorders>
              <w:top w:val="single" w:sz="4" w:space="0" w:color="auto"/>
              <w:left w:val="single" w:sz="4" w:space="0" w:color="auto"/>
              <w:bottom w:val="single" w:sz="4" w:space="0" w:color="auto"/>
              <w:right w:val="single" w:sz="4" w:space="0" w:color="auto"/>
            </w:tcBorders>
            <w:vAlign w:val="bottom"/>
          </w:tcPr>
          <w:p w14:paraId="781C3F15" w14:textId="3A39EA2B" w:rsidR="00030D6B" w:rsidRPr="00902562" w:rsidRDefault="00030D6B" w:rsidP="00030D6B">
            <w:pPr>
              <w:widowControl w:val="0"/>
              <w:ind w:right="162"/>
              <w:jc w:val="center"/>
              <w:rPr>
                <w:rFonts w:ascii="Arial" w:hAnsi="Arial" w:cs="Arial"/>
                <w:b/>
                <w:bCs/>
                <w:sz w:val="16"/>
                <w:szCs w:val="16"/>
                <w:lang w:val="en-CA"/>
              </w:rPr>
            </w:pPr>
            <w:r>
              <w:rPr>
                <w:rFonts w:ascii="Arial" w:hAnsi="Arial" w:cs="Arial"/>
                <w:b/>
                <w:color w:val="000000"/>
                <w:sz w:val="16"/>
                <w:szCs w:val="16"/>
              </w:rPr>
              <w:t>2025</w:t>
            </w:r>
          </w:p>
        </w:tc>
        <w:tc>
          <w:tcPr>
            <w:tcW w:w="1280" w:type="dxa"/>
            <w:tcBorders>
              <w:top w:val="single" w:sz="4" w:space="0" w:color="auto"/>
              <w:left w:val="single" w:sz="4" w:space="0" w:color="auto"/>
              <w:bottom w:val="single" w:sz="4" w:space="0" w:color="auto"/>
              <w:right w:val="single" w:sz="4" w:space="0" w:color="auto"/>
            </w:tcBorders>
            <w:vAlign w:val="bottom"/>
          </w:tcPr>
          <w:p w14:paraId="6EACF0C7" w14:textId="19E605AE" w:rsidR="00030D6B" w:rsidRPr="00902562" w:rsidRDefault="00030D6B" w:rsidP="00030D6B">
            <w:pPr>
              <w:widowControl w:val="0"/>
              <w:ind w:right="162"/>
              <w:jc w:val="center"/>
              <w:rPr>
                <w:rFonts w:ascii="Arial" w:hAnsi="Arial" w:cs="Arial"/>
                <w:b/>
                <w:bCs/>
                <w:sz w:val="16"/>
                <w:szCs w:val="16"/>
                <w:lang w:val="en-CA"/>
              </w:rPr>
            </w:pPr>
            <w:r>
              <w:rPr>
                <w:rFonts w:ascii="Arial" w:hAnsi="Arial" w:cs="Arial"/>
                <w:b/>
                <w:color w:val="000000"/>
                <w:sz w:val="16"/>
                <w:szCs w:val="16"/>
              </w:rPr>
              <w:t>2024</w:t>
            </w:r>
          </w:p>
        </w:tc>
      </w:tr>
      <w:tr w:rsidR="007D5010" w:rsidRPr="00C0574C" w14:paraId="0530B85A" w14:textId="77777777" w:rsidTr="004777D7">
        <w:tblPrEx>
          <w:tblLook w:val="01E0" w:firstRow="1" w:lastRow="1" w:firstColumn="1" w:lastColumn="1" w:noHBand="0" w:noVBand="0"/>
        </w:tblPrEx>
        <w:tc>
          <w:tcPr>
            <w:tcW w:w="4390" w:type="dxa"/>
            <w:tcBorders>
              <w:top w:val="single" w:sz="4" w:space="0" w:color="auto"/>
              <w:left w:val="single" w:sz="4" w:space="0" w:color="auto"/>
              <w:bottom w:val="single" w:sz="12" w:space="0" w:color="auto"/>
              <w:right w:val="single" w:sz="4" w:space="0" w:color="auto"/>
            </w:tcBorders>
            <w:vAlign w:val="bottom"/>
          </w:tcPr>
          <w:p w14:paraId="74DBB606" w14:textId="77777777" w:rsidR="007D5010" w:rsidRPr="00CB3E68" w:rsidRDefault="007D5010" w:rsidP="007D5010">
            <w:pPr>
              <w:spacing w:before="60" w:line="240" w:lineRule="atLeast"/>
              <w:rPr>
                <w:rFonts w:ascii="Arial" w:hAnsi="Arial" w:cs="Arial"/>
                <w:sz w:val="16"/>
                <w:szCs w:val="16"/>
                <w:lang w:val="es-ES"/>
              </w:rPr>
            </w:pPr>
            <w:r w:rsidRPr="00CB3E68">
              <w:rPr>
                <w:rFonts w:ascii="Arial" w:hAnsi="Arial" w:cs="Arial"/>
                <w:sz w:val="16"/>
                <w:szCs w:val="16"/>
                <w:lang w:val="es-ES"/>
              </w:rPr>
              <w:t>Volúmenes totales de ventas (BOE)</w:t>
            </w:r>
          </w:p>
        </w:tc>
        <w:tc>
          <w:tcPr>
            <w:tcW w:w="1275" w:type="dxa"/>
            <w:tcBorders>
              <w:top w:val="single" w:sz="4" w:space="0" w:color="auto"/>
              <w:left w:val="single" w:sz="4" w:space="0" w:color="auto"/>
              <w:bottom w:val="single" w:sz="12" w:space="0" w:color="auto"/>
              <w:right w:val="single" w:sz="4" w:space="0" w:color="auto"/>
            </w:tcBorders>
            <w:vAlign w:val="bottom"/>
          </w:tcPr>
          <w:p w14:paraId="2BE2F267" w14:textId="530A774F" w:rsidR="007D5010" w:rsidRPr="005C528B" w:rsidRDefault="004777D7" w:rsidP="007D5010">
            <w:pPr>
              <w:pStyle w:val="Textoindependiente2"/>
              <w:widowControl w:val="0"/>
              <w:tabs>
                <w:tab w:val="decimal" w:pos="792"/>
              </w:tabs>
              <w:spacing w:before="60" w:after="0" w:line="240" w:lineRule="atLeast"/>
              <w:ind w:right="162"/>
              <w:jc w:val="right"/>
              <w:rPr>
                <w:rFonts w:ascii="Arial" w:hAnsi="Arial" w:cs="Arial"/>
                <w:color w:val="000000"/>
                <w:sz w:val="16"/>
                <w:szCs w:val="16"/>
                <w:lang w:val="en-CA"/>
              </w:rPr>
            </w:pPr>
            <w:r>
              <w:rPr>
                <w:rFonts w:ascii="Arial" w:hAnsi="Arial" w:cs="Arial"/>
                <w:sz w:val="16"/>
                <w:szCs w:val="16"/>
              </w:rPr>
              <w:t>371.484</w:t>
            </w:r>
          </w:p>
        </w:tc>
        <w:tc>
          <w:tcPr>
            <w:tcW w:w="1134" w:type="dxa"/>
            <w:tcBorders>
              <w:top w:val="single" w:sz="4" w:space="0" w:color="auto"/>
              <w:left w:val="single" w:sz="4" w:space="0" w:color="auto"/>
              <w:bottom w:val="single" w:sz="12" w:space="0" w:color="auto"/>
              <w:right w:val="single" w:sz="4" w:space="0" w:color="auto"/>
            </w:tcBorders>
            <w:vAlign w:val="center"/>
          </w:tcPr>
          <w:p w14:paraId="3C7A1463" w14:textId="53900251" w:rsidR="007D5010" w:rsidRPr="009464D4" w:rsidRDefault="004777D7" w:rsidP="007D5010">
            <w:pPr>
              <w:pStyle w:val="Textoindependiente2"/>
              <w:widowControl w:val="0"/>
              <w:tabs>
                <w:tab w:val="decimal" w:pos="792"/>
              </w:tabs>
              <w:spacing w:before="60" w:after="0" w:line="240" w:lineRule="atLeast"/>
              <w:ind w:right="72"/>
              <w:jc w:val="right"/>
              <w:rPr>
                <w:rFonts w:ascii="Arial" w:hAnsi="Arial" w:cs="Arial"/>
                <w:color w:val="000000"/>
                <w:sz w:val="16"/>
                <w:szCs w:val="16"/>
                <w:lang w:val="en-CA"/>
              </w:rPr>
            </w:pPr>
            <w:r>
              <w:rPr>
                <w:rFonts w:ascii="Arial" w:hAnsi="Arial" w:cs="Arial"/>
                <w:color w:val="000000"/>
                <w:sz w:val="16"/>
                <w:szCs w:val="16"/>
              </w:rPr>
              <w:t>121.897</w:t>
            </w:r>
          </w:p>
        </w:tc>
        <w:tc>
          <w:tcPr>
            <w:tcW w:w="1276" w:type="dxa"/>
            <w:tcBorders>
              <w:top w:val="single" w:sz="4" w:space="0" w:color="auto"/>
              <w:left w:val="single" w:sz="4" w:space="0" w:color="auto"/>
              <w:bottom w:val="single" w:sz="12" w:space="0" w:color="auto"/>
              <w:right w:val="single" w:sz="4" w:space="0" w:color="auto"/>
            </w:tcBorders>
            <w:vAlign w:val="bottom"/>
          </w:tcPr>
          <w:p w14:paraId="326CF1EF" w14:textId="56B5B77D" w:rsidR="007D5010" w:rsidRPr="005C528B" w:rsidRDefault="004777D7" w:rsidP="007D5010">
            <w:pPr>
              <w:pStyle w:val="Textoindependiente2"/>
              <w:widowControl w:val="0"/>
              <w:tabs>
                <w:tab w:val="decimal" w:pos="792"/>
              </w:tabs>
              <w:spacing w:before="60" w:after="0" w:line="240" w:lineRule="atLeast"/>
              <w:ind w:right="162"/>
              <w:jc w:val="right"/>
              <w:rPr>
                <w:rFonts w:ascii="Arial" w:hAnsi="Arial" w:cs="Arial"/>
                <w:color w:val="000000"/>
                <w:sz w:val="16"/>
                <w:szCs w:val="16"/>
                <w:lang w:val="en-CA"/>
              </w:rPr>
            </w:pPr>
            <w:r>
              <w:rPr>
                <w:rFonts w:ascii="Arial" w:hAnsi="Arial" w:cs="Arial"/>
                <w:sz w:val="16"/>
                <w:szCs w:val="16"/>
              </w:rPr>
              <w:t>756.738</w:t>
            </w:r>
          </w:p>
        </w:tc>
        <w:tc>
          <w:tcPr>
            <w:tcW w:w="1280" w:type="dxa"/>
            <w:tcBorders>
              <w:top w:val="single" w:sz="4" w:space="0" w:color="auto"/>
              <w:left w:val="single" w:sz="4" w:space="0" w:color="auto"/>
              <w:bottom w:val="single" w:sz="12" w:space="0" w:color="auto"/>
              <w:right w:val="single" w:sz="4" w:space="0" w:color="auto"/>
            </w:tcBorders>
            <w:vAlign w:val="center"/>
          </w:tcPr>
          <w:p w14:paraId="188A1ABE" w14:textId="144D1CFD" w:rsidR="007D5010" w:rsidRPr="004777D7" w:rsidRDefault="004777D7" w:rsidP="007D5010">
            <w:pPr>
              <w:pStyle w:val="Textoindependiente2"/>
              <w:widowControl w:val="0"/>
              <w:tabs>
                <w:tab w:val="decimal" w:pos="972"/>
              </w:tabs>
              <w:spacing w:before="60" w:after="0" w:line="240" w:lineRule="atLeast"/>
              <w:ind w:right="162"/>
              <w:jc w:val="right"/>
              <w:rPr>
                <w:rFonts w:ascii="Arial" w:hAnsi="Arial" w:cs="Arial"/>
                <w:color w:val="000000"/>
                <w:sz w:val="16"/>
                <w:szCs w:val="16"/>
                <w:lang w:val="en-CA"/>
              </w:rPr>
            </w:pPr>
            <w:r w:rsidRPr="004777D7">
              <w:rPr>
                <w:rFonts w:ascii="Arial" w:hAnsi="Arial" w:cs="Arial"/>
                <w:color w:val="000000"/>
                <w:sz w:val="16"/>
                <w:szCs w:val="16"/>
              </w:rPr>
              <w:t>240</w:t>
            </w:r>
            <w:r>
              <w:rPr>
                <w:rFonts w:ascii="Arial" w:hAnsi="Arial" w:cs="Arial"/>
                <w:color w:val="000000"/>
                <w:sz w:val="16"/>
                <w:szCs w:val="16"/>
              </w:rPr>
              <w:t>.</w:t>
            </w:r>
            <w:r w:rsidRPr="004777D7">
              <w:rPr>
                <w:rFonts w:ascii="Arial" w:hAnsi="Arial" w:cs="Arial"/>
                <w:color w:val="000000"/>
                <w:sz w:val="16"/>
                <w:szCs w:val="16"/>
              </w:rPr>
              <w:t>377</w:t>
            </w:r>
          </w:p>
        </w:tc>
      </w:tr>
      <w:tr w:rsidR="005C528B" w:rsidRPr="00C0574C" w14:paraId="65D183A5" w14:textId="77777777" w:rsidTr="004777D7">
        <w:tblPrEx>
          <w:tblLook w:val="01E0" w:firstRow="1" w:lastRow="1" w:firstColumn="1" w:lastColumn="1" w:noHBand="0" w:noVBand="0"/>
        </w:tblPrEx>
        <w:trPr>
          <w:trHeight w:val="50"/>
        </w:trPr>
        <w:tc>
          <w:tcPr>
            <w:tcW w:w="4390" w:type="dxa"/>
            <w:tcBorders>
              <w:top w:val="single" w:sz="12" w:space="0" w:color="auto"/>
              <w:left w:val="single" w:sz="4" w:space="0" w:color="auto"/>
              <w:right w:val="single" w:sz="4" w:space="0" w:color="auto"/>
            </w:tcBorders>
            <w:vAlign w:val="bottom"/>
          </w:tcPr>
          <w:p w14:paraId="391D198E" w14:textId="6FA53407" w:rsidR="005C528B" w:rsidRPr="00CB3E68" w:rsidRDefault="005C528B" w:rsidP="005C528B">
            <w:pPr>
              <w:spacing w:before="60"/>
              <w:rPr>
                <w:rFonts w:ascii="Arial" w:hAnsi="Arial" w:cs="Arial"/>
                <w:sz w:val="16"/>
                <w:szCs w:val="16"/>
                <w:lang w:val="es-ES"/>
              </w:rPr>
            </w:pPr>
            <w:r w:rsidRPr="00CB3E68">
              <w:rPr>
                <w:rFonts w:ascii="Arial" w:hAnsi="Arial" w:cs="Arial"/>
                <w:sz w:val="16"/>
                <w:szCs w:val="16"/>
                <w:lang w:val="es-ES"/>
              </w:rPr>
              <w:t xml:space="preserve">Barril </w:t>
            </w:r>
            <w:r w:rsidR="007003F5" w:rsidRPr="00CB3E68">
              <w:rPr>
                <w:rFonts w:ascii="Arial" w:hAnsi="Arial" w:cs="Arial"/>
                <w:sz w:val="16"/>
                <w:szCs w:val="16"/>
                <w:lang w:val="es-ES"/>
              </w:rPr>
              <w:t xml:space="preserve">de petróleo </w:t>
            </w:r>
            <w:r w:rsidRPr="00CB3E68">
              <w:rPr>
                <w:rFonts w:ascii="Arial" w:hAnsi="Arial" w:cs="Arial"/>
                <w:sz w:val="16"/>
                <w:szCs w:val="16"/>
                <w:lang w:val="es-ES"/>
              </w:rPr>
              <w:t xml:space="preserve">al día </w:t>
            </w:r>
          </w:p>
        </w:tc>
        <w:tc>
          <w:tcPr>
            <w:tcW w:w="1275" w:type="dxa"/>
            <w:tcBorders>
              <w:top w:val="single" w:sz="12" w:space="0" w:color="auto"/>
              <w:left w:val="single" w:sz="4" w:space="0" w:color="auto"/>
              <w:right w:val="single" w:sz="4" w:space="0" w:color="auto"/>
            </w:tcBorders>
          </w:tcPr>
          <w:p w14:paraId="2C6A33A7" w14:textId="6B1E8210" w:rsidR="005C528B" w:rsidRPr="005C528B" w:rsidRDefault="005C528B" w:rsidP="005C528B">
            <w:pPr>
              <w:pStyle w:val="Textoindependiente2"/>
              <w:widowControl w:val="0"/>
              <w:tabs>
                <w:tab w:val="decimal" w:pos="792"/>
              </w:tabs>
              <w:spacing w:before="60" w:after="0" w:line="240" w:lineRule="atLeast"/>
              <w:ind w:right="162"/>
              <w:jc w:val="right"/>
              <w:rPr>
                <w:rFonts w:ascii="Arial" w:hAnsi="Arial" w:cs="Arial"/>
                <w:color w:val="000000"/>
                <w:sz w:val="16"/>
                <w:szCs w:val="16"/>
                <w:lang w:val="en-CA"/>
              </w:rPr>
            </w:pPr>
            <w:r w:rsidRPr="00CB3E68">
              <w:rPr>
                <w:rFonts w:ascii="Arial" w:hAnsi="Arial" w:cs="Arial"/>
                <w:color w:val="000000"/>
                <w:sz w:val="16"/>
                <w:szCs w:val="16"/>
                <w:lang w:val="es-ES"/>
              </w:rPr>
              <w:t xml:space="preserve"> </w:t>
            </w:r>
            <w:r w:rsidRPr="005C528B">
              <w:rPr>
                <w:rFonts w:ascii="Arial" w:hAnsi="Arial" w:cs="Arial"/>
                <w:color w:val="000000"/>
                <w:sz w:val="16"/>
                <w:szCs w:val="16"/>
              </w:rPr>
              <w:t xml:space="preserve">3.422 </w:t>
            </w:r>
          </w:p>
        </w:tc>
        <w:tc>
          <w:tcPr>
            <w:tcW w:w="1134" w:type="dxa"/>
            <w:tcBorders>
              <w:top w:val="single" w:sz="12" w:space="0" w:color="auto"/>
              <w:left w:val="single" w:sz="4" w:space="0" w:color="auto"/>
              <w:right w:val="single" w:sz="4" w:space="0" w:color="auto"/>
            </w:tcBorders>
            <w:vAlign w:val="bottom"/>
          </w:tcPr>
          <w:p w14:paraId="014C6A0F" w14:textId="67BEA0D6" w:rsidR="005C528B" w:rsidRPr="009464D4" w:rsidRDefault="005C528B" w:rsidP="005C528B">
            <w:pPr>
              <w:pStyle w:val="Textoindependiente2"/>
              <w:widowControl w:val="0"/>
              <w:tabs>
                <w:tab w:val="decimal" w:pos="792"/>
              </w:tabs>
              <w:spacing w:before="60"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727</w:t>
            </w:r>
          </w:p>
        </w:tc>
        <w:tc>
          <w:tcPr>
            <w:tcW w:w="1276" w:type="dxa"/>
            <w:tcBorders>
              <w:top w:val="single" w:sz="12" w:space="0" w:color="auto"/>
              <w:left w:val="single" w:sz="4" w:space="0" w:color="auto"/>
              <w:right w:val="single" w:sz="4" w:space="0" w:color="auto"/>
            </w:tcBorders>
          </w:tcPr>
          <w:p w14:paraId="6B8D7380" w14:textId="5A2F589F" w:rsidR="005C528B" w:rsidRPr="005C528B" w:rsidRDefault="005C528B" w:rsidP="005C528B">
            <w:pPr>
              <w:pStyle w:val="Textoindependiente2"/>
              <w:widowControl w:val="0"/>
              <w:tabs>
                <w:tab w:val="decimal" w:pos="792"/>
              </w:tabs>
              <w:spacing w:before="60"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3.511 </w:t>
            </w:r>
          </w:p>
        </w:tc>
        <w:tc>
          <w:tcPr>
            <w:tcW w:w="1280" w:type="dxa"/>
            <w:tcBorders>
              <w:top w:val="single" w:sz="12" w:space="0" w:color="auto"/>
              <w:left w:val="single" w:sz="4" w:space="0" w:color="auto"/>
              <w:right w:val="single" w:sz="4" w:space="0" w:color="auto"/>
            </w:tcBorders>
            <w:vAlign w:val="bottom"/>
          </w:tcPr>
          <w:p w14:paraId="2C94DC3B" w14:textId="26A554DC" w:rsidR="005C528B" w:rsidRPr="009464D4" w:rsidRDefault="005C528B" w:rsidP="005C528B">
            <w:pPr>
              <w:pStyle w:val="Textoindependiente2"/>
              <w:widowControl w:val="0"/>
              <w:tabs>
                <w:tab w:val="left" w:pos="968"/>
              </w:tabs>
              <w:spacing w:before="60"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813</w:t>
            </w:r>
          </w:p>
        </w:tc>
      </w:tr>
      <w:tr w:rsidR="005C528B" w:rsidRPr="00C0574C" w14:paraId="5946630A" w14:textId="77777777" w:rsidTr="004777D7">
        <w:tblPrEx>
          <w:tblLook w:val="01E0" w:firstRow="1" w:lastRow="1" w:firstColumn="1" w:lastColumn="1" w:noHBand="0" w:noVBand="0"/>
        </w:tblPrEx>
        <w:tc>
          <w:tcPr>
            <w:tcW w:w="4390" w:type="dxa"/>
            <w:tcBorders>
              <w:left w:val="single" w:sz="4" w:space="0" w:color="auto"/>
              <w:right w:val="single" w:sz="4" w:space="0" w:color="auto"/>
            </w:tcBorders>
            <w:vAlign w:val="bottom"/>
          </w:tcPr>
          <w:p w14:paraId="31B44455" w14:textId="77777777" w:rsidR="005C528B" w:rsidRPr="00CB3E68" w:rsidRDefault="005C528B" w:rsidP="005C528B">
            <w:pPr>
              <w:rPr>
                <w:rFonts w:ascii="Arial" w:hAnsi="Arial" w:cs="Arial"/>
                <w:sz w:val="16"/>
                <w:szCs w:val="16"/>
                <w:lang w:val="es-ES"/>
              </w:rPr>
            </w:pPr>
            <w:r w:rsidRPr="00CB3E68">
              <w:rPr>
                <w:rFonts w:ascii="Arial" w:hAnsi="Arial" w:cs="Arial"/>
                <w:sz w:val="16"/>
                <w:szCs w:val="16"/>
                <w:lang w:val="es-ES"/>
              </w:rPr>
              <w:t xml:space="preserve">Barriletes de NGL al día </w:t>
            </w:r>
          </w:p>
        </w:tc>
        <w:tc>
          <w:tcPr>
            <w:tcW w:w="1275" w:type="dxa"/>
            <w:tcBorders>
              <w:left w:val="single" w:sz="4" w:space="0" w:color="auto"/>
              <w:right w:val="single" w:sz="4" w:space="0" w:color="auto"/>
            </w:tcBorders>
          </w:tcPr>
          <w:p w14:paraId="6BAE403A" w14:textId="65AE5230" w:rsidR="005C528B" w:rsidRPr="005C528B" w:rsidRDefault="005C528B" w:rsidP="005C528B">
            <w:pPr>
              <w:pStyle w:val="Textoindependiente2"/>
              <w:widowControl w:val="0"/>
              <w:tabs>
                <w:tab w:val="decimal" w:pos="792"/>
              </w:tabs>
              <w:spacing w:after="0" w:line="240" w:lineRule="atLeast"/>
              <w:ind w:right="162"/>
              <w:jc w:val="right"/>
              <w:rPr>
                <w:rFonts w:ascii="Arial" w:hAnsi="Arial" w:cs="Arial"/>
                <w:color w:val="000000"/>
                <w:sz w:val="16"/>
                <w:szCs w:val="16"/>
                <w:lang w:val="en-CA"/>
              </w:rPr>
            </w:pPr>
            <w:r w:rsidRPr="00CB3E68">
              <w:rPr>
                <w:rFonts w:ascii="Arial" w:hAnsi="Arial" w:cs="Arial"/>
                <w:color w:val="000000"/>
                <w:sz w:val="16"/>
                <w:szCs w:val="16"/>
                <w:lang w:val="es-ES"/>
              </w:rPr>
              <w:t xml:space="preserve"> </w:t>
            </w:r>
            <w:r w:rsidRPr="005C528B">
              <w:rPr>
                <w:rFonts w:ascii="Arial" w:hAnsi="Arial" w:cs="Arial"/>
                <w:color w:val="000000"/>
                <w:sz w:val="16"/>
                <w:szCs w:val="16"/>
              </w:rPr>
              <w:t xml:space="preserve">16 </w:t>
            </w:r>
          </w:p>
        </w:tc>
        <w:tc>
          <w:tcPr>
            <w:tcW w:w="1134" w:type="dxa"/>
            <w:tcBorders>
              <w:left w:val="single" w:sz="4" w:space="0" w:color="auto"/>
              <w:right w:val="single" w:sz="4" w:space="0" w:color="auto"/>
            </w:tcBorders>
            <w:vAlign w:val="bottom"/>
          </w:tcPr>
          <w:p w14:paraId="16E2D8A0" w14:textId="36E87BE1" w:rsidR="005C528B" w:rsidRPr="009464D4" w:rsidRDefault="005C528B" w:rsidP="005C528B">
            <w:pPr>
              <w:pStyle w:val="Textoindependiente2"/>
              <w:widowControl w:val="0"/>
              <w:tabs>
                <w:tab w:val="decimal" w:pos="792"/>
              </w:tabs>
              <w:spacing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13</w:t>
            </w:r>
          </w:p>
        </w:tc>
        <w:tc>
          <w:tcPr>
            <w:tcW w:w="1276" w:type="dxa"/>
            <w:tcBorders>
              <w:left w:val="single" w:sz="4" w:space="0" w:color="auto"/>
              <w:right w:val="single" w:sz="4" w:space="0" w:color="auto"/>
            </w:tcBorders>
          </w:tcPr>
          <w:p w14:paraId="179D26CD" w14:textId="15606BDB" w:rsidR="005C528B" w:rsidRPr="005C528B" w:rsidRDefault="005C528B" w:rsidP="005C528B">
            <w:pPr>
              <w:pStyle w:val="Textoindependiente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12 </w:t>
            </w:r>
          </w:p>
        </w:tc>
        <w:tc>
          <w:tcPr>
            <w:tcW w:w="1280" w:type="dxa"/>
            <w:tcBorders>
              <w:left w:val="single" w:sz="4" w:space="0" w:color="auto"/>
              <w:right w:val="single" w:sz="4" w:space="0" w:color="auto"/>
            </w:tcBorders>
            <w:vAlign w:val="bottom"/>
          </w:tcPr>
          <w:p w14:paraId="02E6548D" w14:textId="585AA606" w:rsidR="005C528B" w:rsidRPr="009464D4" w:rsidRDefault="005C528B" w:rsidP="005C528B">
            <w:pPr>
              <w:pStyle w:val="Textoindependiente2"/>
              <w:widowControl w:val="0"/>
              <w:tabs>
                <w:tab w:val="left" w:pos="968"/>
              </w:tabs>
              <w:spacing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19</w:t>
            </w:r>
          </w:p>
        </w:tc>
      </w:tr>
      <w:tr w:rsidR="005C528B" w:rsidRPr="00C0574C" w14:paraId="05B3079F" w14:textId="77777777" w:rsidTr="004777D7">
        <w:tblPrEx>
          <w:tblLook w:val="01E0" w:firstRow="1" w:lastRow="1" w:firstColumn="1" w:lastColumn="1" w:noHBand="0" w:noVBand="0"/>
        </w:tblPrEx>
        <w:tc>
          <w:tcPr>
            <w:tcW w:w="4390" w:type="dxa"/>
            <w:tcBorders>
              <w:left w:val="single" w:sz="4" w:space="0" w:color="auto"/>
              <w:bottom w:val="single" w:sz="4" w:space="0" w:color="auto"/>
              <w:right w:val="single" w:sz="4" w:space="0" w:color="auto"/>
            </w:tcBorders>
            <w:vAlign w:val="bottom"/>
          </w:tcPr>
          <w:p w14:paraId="7C524ADA" w14:textId="77777777" w:rsidR="005C528B" w:rsidRPr="00CB3E68" w:rsidRDefault="005C528B" w:rsidP="005C528B">
            <w:pPr>
              <w:rPr>
                <w:rFonts w:ascii="Arial" w:hAnsi="Arial" w:cs="Arial"/>
                <w:sz w:val="16"/>
                <w:szCs w:val="16"/>
                <w:lang w:val="es-ES"/>
              </w:rPr>
            </w:pPr>
            <w:r w:rsidRPr="00CB3E68">
              <w:rPr>
                <w:rFonts w:ascii="Arial" w:hAnsi="Arial" w:cs="Arial"/>
                <w:sz w:val="16"/>
                <w:szCs w:val="16"/>
                <w:lang w:val="es-ES"/>
              </w:rPr>
              <w:t xml:space="preserve">Gas natural </w:t>
            </w:r>
            <w:proofErr w:type="spellStart"/>
            <w:r w:rsidRPr="00CB3E68">
              <w:rPr>
                <w:rFonts w:ascii="Arial" w:hAnsi="Arial" w:cs="Arial"/>
                <w:sz w:val="16"/>
                <w:szCs w:val="16"/>
                <w:lang w:val="es-ES"/>
              </w:rPr>
              <w:t>mcf</w:t>
            </w:r>
            <w:proofErr w:type="spellEnd"/>
            <w:r w:rsidRPr="00CB3E68">
              <w:rPr>
                <w:rFonts w:ascii="Arial" w:hAnsi="Arial" w:cs="Arial"/>
                <w:sz w:val="16"/>
                <w:szCs w:val="16"/>
                <w:lang w:val="es-ES"/>
              </w:rPr>
              <w:t xml:space="preserve"> por día </w:t>
            </w:r>
          </w:p>
        </w:tc>
        <w:tc>
          <w:tcPr>
            <w:tcW w:w="1275" w:type="dxa"/>
            <w:tcBorders>
              <w:left w:val="single" w:sz="4" w:space="0" w:color="auto"/>
              <w:bottom w:val="single" w:sz="4" w:space="0" w:color="auto"/>
              <w:right w:val="single" w:sz="4" w:space="0" w:color="auto"/>
            </w:tcBorders>
          </w:tcPr>
          <w:p w14:paraId="7C0E8454" w14:textId="240B1D8F" w:rsidR="005C528B" w:rsidRPr="005C528B" w:rsidRDefault="005C528B" w:rsidP="005C528B">
            <w:pPr>
              <w:pStyle w:val="Textoindependiente2"/>
              <w:widowControl w:val="0"/>
              <w:tabs>
                <w:tab w:val="decimal" w:pos="792"/>
              </w:tabs>
              <w:spacing w:after="0" w:line="240" w:lineRule="atLeast"/>
              <w:ind w:right="162"/>
              <w:jc w:val="right"/>
              <w:rPr>
                <w:rFonts w:ascii="Arial" w:hAnsi="Arial" w:cs="Arial"/>
                <w:color w:val="000000"/>
                <w:sz w:val="16"/>
                <w:szCs w:val="16"/>
                <w:lang w:val="en-CA"/>
              </w:rPr>
            </w:pPr>
            <w:r w:rsidRPr="00CB3E68">
              <w:rPr>
                <w:rFonts w:ascii="Arial" w:hAnsi="Arial" w:cs="Arial"/>
                <w:color w:val="000000"/>
                <w:sz w:val="16"/>
                <w:szCs w:val="16"/>
                <w:lang w:val="es-ES"/>
              </w:rPr>
              <w:t xml:space="preserve"> </w:t>
            </w:r>
            <w:r w:rsidRPr="005C528B">
              <w:rPr>
                <w:rFonts w:ascii="Arial" w:hAnsi="Arial" w:cs="Arial"/>
                <w:color w:val="000000"/>
                <w:sz w:val="16"/>
                <w:szCs w:val="16"/>
              </w:rPr>
              <w:t xml:space="preserve">3.867 </w:t>
            </w:r>
          </w:p>
        </w:tc>
        <w:tc>
          <w:tcPr>
            <w:tcW w:w="1134" w:type="dxa"/>
            <w:tcBorders>
              <w:left w:val="single" w:sz="4" w:space="0" w:color="auto"/>
              <w:bottom w:val="single" w:sz="4" w:space="0" w:color="auto"/>
              <w:right w:val="single" w:sz="4" w:space="0" w:color="auto"/>
            </w:tcBorders>
            <w:vAlign w:val="bottom"/>
          </w:tcPr>
          <w:p w14:paraId="53F78386" w14:textId="667B7B80" w:rsidR="005C528B" w:rsidRPr="009464D4" w:rsidRDefault="005C528B" w:rsidP="005C528B">
            <w:pPr>
              <w:pStyle w:val="Textoindependiente2"/>
              <w:widowControl w:val="0"/>
              <w:tabs>
                <w:tab w:val="decimal" w:pos="792"/>
              </w:tabs>
              <w:spacing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3.597</w:t>
            </w:r>
          </w:p>
        </w:tc>
        <w:tc>
          <w:tcPr>
            <w:tcW w:w="1276" w:type="dxa"/>
            <w:tcBorders>
              <w:left w:val="single" w:sz="4" w:space="0" w:color="auto"/>
              <w:bottom w:val="single" w:sz="4" w:space="0" w:color="auto"/>
              <w:right w:val="single" w:sz="4" w:space="0" w:color="auto"/>
            </w:tcBorders>
          </w:tcPr>
          <w:p w14:paraId="597D9301" w14:textId="26DCE983" w:rsidR="005C528B" w:rsidRPr="005C528B" w:rsidRDefault="005C528B" w:rsidP="005C528B">
            <w:pPr>
              <w:pStyle w:val="Textoindependiente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3.947 </w:t>
            </w:r>
          </w:p>
        </w:tc>
        <w:tc>
          <w:tcPr>
            <w:tcW w:w="1280" w:type="dxa"/>
            <w:tcBorders>
              <w:left w:val="single" w:sz="4" w:space="0" w:color="auto"/>
              <w:bottom w:val="single" w:sz="4" w:space="0" w:color="auto"/>
              <w:right w:val="single" w:sz="4" w:space="0" w:color="auto"/>
            </w:tcBorders>
            <w:vAlign w:val="bottom"/>
          </w:tcPr>
          <w:p w14:paraId="417D79B6" w14:textId="1F5506D8" w:rsidR="005C528B" w:rsidRPr="009464D4" w:rsidRDefault="005C528B" w:rsidP="005C528B">
            <w:pPr>
              <w:pStyle w:val="Textoindependiente2"/>
              <w:widowControl w:val="0"/>
              <w:tabs>
                <w:tab w:val="left" w:pos="968"/>
              </w:tabs>
              <w:spacing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2.933</w:t>
            </w:r>
          </w:p>
        </w:tc>
      </w:tr>
      <w:tr w:rsidR="005C528B" w:rsidRPr="00C0574C" w14:paraId="463288AE" w14:textId="77777777" w:rsidTr="004777D7">
        <w:tblPrEx>
          <w:tblLook w:val="01E0" w:firstRow="1" w:lastRow="1" w:firstColumn="1" w:lastColumn="1" w:noHBand="0" w:noVBand="0"/>
        </w:tblPrEx>
        <w:trPr>
          <w:trHeight w:val="278"/>
        </w:trPr>
        <w:tc>
          <w:tcPr>
            <w:tcW w:w="4390" w:type="dxa"/>
            <w:tcBorders>
              <w:top w:val="single" w:sz="4" w:space="0" w:color="auto"/>
              <w:left w:val="single" w:sz="4" w:space="0" w:color="auto"/>
              <w:bottom w:val="single" w:sz="12" w:space="0" w:color="auto"/>
              <w:right w:val="single" w:sz="4" w:space="0" w:color="auto"/>
            </w:tcBorders>
            <w:vAlign w:val="bottom"/>
          </w:tcPr>
          <w:p w14:paraId="403823B2" w14:textId="77777777" w:rsidR="005C528B" w:rsidRPr="004D30A2" w:rsidRDefault="005C528B" w:rsidP="005C528B">
            <w:pPr>
              <w:rPr>
                <w:rFonts w:ascii="Arial" w:hAnsi="Arial" w:cs="Arial"/>
                <w:sz w:val="16"/>
                <w:szCs w:val="16"/>
                <w:lang w:val="en-CA"/>
              </w:rPr>
            </w:pPr>
            <w:r>
              <w:rPr>
                <w:rFonts w:ascii="Arial" w:hAnsi="Arial" w:cs="Arial"/>
                <w:sz w:val="16"/>
                <w:szCs w:val="16"/>
                <w:lang w:val="en-CA"/>
              </w:rPr>
              <w:t>Total BOE por día</w:t>
            </w:r>
          </w:p>
        </w:tc>
        <w:tc>
          <w:tcPr>
            <w:tcW w:w="1275" w:type="dxa"/>
            <w:tcBorders>
              <w:top w:val="single" w:sz="4" w:space="0" w:color="auto"/>
              <w:left w:val="single" w:sz="4" w:space="0" w:color="auto"/>
              <w:bottom w:val="single" w:sz="12" w:space="0" w:color="auto"/>
              <w:right w:val="single" w:sz="4" w:space="0" w:color="auto"/>
            </w:tcBorders>
          </w:tcPr>
          <w:p w14:paraId="44BE41B3" w14:textId="64511C52" w:rsidR="005C528B" w:rsidRPr="005C528B" w:rsidRDefault="005C528B" w:rsidP="005C528B">
            <w:pPr>
              <w:pStyle w:val="Textoindependiente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color w:val="000000"/>
                <w:sz w:val="16"/>
                <w:szCs w:val="16"/>
              </w:rPr>
              <w:t xml:space="preserve"> 4.083 </w:t>
            </w:r>
          </w:p>
        </w:tc>
        <w:tc>
          <w:tcPr>
            <w:tcW w:w="1134" w:type="dxa"/>
            <w:tcBorders>
              <w:top w:val="single" w:sz="4" w:space="0" w:color="auto"/>
              <w:left w:val="single" w:sz="4" w:space="0" w:color="auto"/>
              <w:bottom w:val="single" w:sz="12" w:space="0" w:color="auto"/>
              <w:right w:val="single" w:sz="4" w:space="0" w:color="auto"/>
            </w:tcBorders>
            <w:vAlign w:val="center"/>
          </w:tcPr>
          <w:p w14:paraId="51EB484B" w14:textId="1E67227E" w:rsidR="005C528B" w:rsidRPr="009464D4" w:rsidRDefault="005C528B" w:rsidP="005C528B">
            <w:pPr>
              <w:pStyle w:val="Textoindependiente2"/>
              <w:widowControl w:val="0"/>
              <w:tabs>
                <w:tab w:val="decimal" w:pos="792"/>
              </w:tabs>
              <w:spacing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1.340</w:t>
            </w:r>
          </w:p>
        </w:tc>
        <w:tc>
          <w:tcPr>
            <w:tcW w:w="1276" w:type="dxa"/>
            <w:tcBorders>
              <w:top w:val="single" w:sz="4" w:space="0" w:color="auto"/>
              <w:left w:val="single" w:sz="4" w:space="0" w:color="auto"/>
              <w:bottom w:val="single" w:sz="12" w:space="0" w:color="auto"/>
              <w:right w:val="single" w:sz="4" w:space="0" w:color="auto"/>
            </w:tcBorders>
          </w:tcPr>
          <w:p w14:paraId="4A413E09" w14:textId="133A0442" w:rsidR="005C528B" w:rsidRPr="005C528B" w:rsidRDefault="005C528B" w:rsidP="005C528B">
            <w:pPr>
              <w:pStyle w:val="Textoindependiente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4.181 </w:t>
            </w:r>
          </w:p>
        </w:tc>
        <w:tc>
          <w:tcPr>
            <w:tcW w:w="1280" w:type="dxa"/>
            <w:tcBorders>
              <w:top w:val="single" w:sz="4" w:space="0" w:color="auto"/>
              <w:left w:val="single" w:sz="4" w:space="0" w:color="auto"/>
              <w:bottom w:val="single" w:sz="12" w:space="0" w:color="auto"/>
              <w:right w:val="single" w:sz="4" w:space="0" w:color="auto"/>
            </w:tcBorders>
            <w:vAlign w:val="center"/>
          </w:tcPr>
          <w:p w14:paraId="43F5C27A" w14:textId="06DDFAB7" w:rsidR="005C528B" w:rsidRPr="009464D4" w:rsidRDefault="005C528B" w:rsidP="005C528B">
            <w:pPr>
              <w:pStyle w:val="Textoindependiente2"/>
              <w:widowControl w:val="0"/>
              <w:tabs>
                <w:tab w:val="left" w:pos="968"/>
              </w:tabs>
              <w:spacing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1.321</w:t>
            </w:r>
          </w:p>
        </w:tc>
      </w:tr>
    </w:tbl>
    <w:p w14:paraId="2C7306CA" w14:textId="36C08A53" w:rsidR="00030D6B" w:rsidRPr="005C528B" w:rsidRDefault="00030D6B" w:rsidP="00D02275">
      <w:pPr>
        <w:rPr>
          <w:rFonts w:ascii="Arial" w:hAnsi="Arial" w:cs="Arial"/>
          <w:bCs/>
          <w:sz w:val="20"/>
          <w:szCs w:val="20"/>
          <w:lang w:val="en-CA"/>
        </w:rPr>
      </w:pPr>
    </w:p>
    <w:p w14:paraId="0AF81483" w14:textId="5C157023" w:rsidR="00570F49" w:rsidRDefault="00570F49" w:rsidP="00D75BB8">
      <w:pPr>
        <w:tabs>
          <w:tab w:val="left" w:pos="426"/>
        </w:tabs>
        <w:spacing w:before="240" w:after="120"/>
        <w:rPr>
          <w:rFonts w:ascii="Arial" w:hAnsi="Arial" w:cs="Arial"/>
          <w:bCs/>
          <w:sz w:val="18"/>
          <w:szCs w:val="18"/>
          <w:lang w:val="en-CA"/>
        </w:rPr>
      </w:pPr>
      <w:r>
        <w:rPr>
          <w:rFonts w:ascii="Arial" w:hAnsi="Arial" w:cs="Arial"/>
          <w:b/>
          <w:sz w:val="18"/>
          <w:szCs w:val="18"/>
          <w:lang w:val="en-CA"/>
        </w:rPr>
        <w:t xml:space="preserve">Netback operativo </w:t>
      </w:r>
      <w:r>
        <w:rPr>
          <w:rFonts w:ascii="Arial" w:hAnsi="Arial" w:cs="Arial"/>
          <w:bCs/>
          <w:sz w:val="18"/>
          <w:szCs w:val="18"/>
          <w:vertAlign w:val="superscript"/>
          <w:lang w:val="en-CA"/>
        </w:rPr>
        <w:t>(1)</w:t>
      </w:r>
    </w:p>
    <w:tbl>
      <w:tblPr>
        <w:tblW w:w="9918" w:type="dxa"/>
        <w:tblLayout w:type="fixed"/>
        <w:tblLook w:val="04A0" w:firstRow="1" w:lastRow="0" w:firstColumn="1" w:lastColumn="0" w:noHBand="0" w:noVBand="1"/>
      </w:tblPr>
      <w:tblGrid>
        <w:gridCol w:w="2425"/>
        <w:gridCol w:w="990"/>
        <w:gridCol w:w="124"/>
        <w:gridCol w:w="709"/>
        <w:gridCol w:w="967"/>
        <w:gridCol w:w="124"/>
        <w:gridCol w:w="752"/>
        <w:gridCol w:w="1104"/>
        <w:gridCol w:w="124"/>
        <w:gridCol w:w="756"/>
        <w:gridCol w:w="992"/>
        <w:gridCol w:w="124"/>
        <w:gridCol w:w="727"/>
      </w:tblGrid>
      <w:tr w:rsidR="00030D6B" w:rsidRPr="001F4B94" w14:paraId="2ECC05F6" w14:textId="77777777" w:rsidTr="007D5010">
        <w:tc>
          <w:tcPr>
            <w:tcW w:w="2425" w:type="dxa"/>
            <w:tcBorders>
              <w:top w:val="single" w:sz="12" w:space="0" w:color="auto"/>
              <w:left w:val="single" w:sz="4" w:space="0" w:color="auto"/>
              <w:right w:val="single" w:sz="4" w:space="0" w:color="auto"/>
            </w:tcBorders>
            <w:vAlign w:val="bottom"/>
          </w:tcPr>
          <w:p w14:paraId="0CA986F0" w14:textId="77777777" w:rsidR="00030D6B" w:rsidRPr="006752C5" w:rsidRDefault="00030D6B" w:rsidP="00DD1BB5">
            <w:pPr>
              <w:rPr>
                <w:rFonts w:ascii="Arial" w:hAnsi="Arial" w:cs="Arial"/>
                <w:b/>
                <w:bCs/>
                <w:sz w:val="16"/>
                <w:szCs w:val="16"/>
                <w:lang w:val="en-CA"/>
              </w:rPr>
            </w:pPr>
          </w:p>
        </w:tc>
        <w:tc>
          <w:tcPr>
            <w:tcW w:w="3666" w:type="dxa"/>
            <w:gridSpan w:val="6"/>
            <w:tcBorders>
              <w:top w:val="single" w:sz="12" w:space="0" w:color="auto"/>
              <w:left w:val="single" w:sz="4" w:space="0" w:color="auto"/>
              <w:right w:val="single" w:sz="4" w:space="0" w:color="auto"/>
            </w:tcBorders>
            <w:vAlign w:val="bottom"/>
          </w:tcPr>
          <w:p w14:paraId="5EAA5630" w14:textId="3D836294" w:rsidR="00030D6B" w:rsidRPr="006752C5" w:rsidRDefault="00030D6B" w:rsidP="004777D7">
            <w:pPr>
              <w:widowControl w:val="0"/>
              <w:spacing w:before="60"/>
              <w:jc w:val="center"/>
              <w:rPr>
                <w:rFonts w:ascii="Arial" w:hAnsi="Arial" w:cs="Arial"/>
                <w:b/>
                <w:bCs/>
                <w:sz w:val="16"/>
                <w:szCs w:val="16"/>
                <w:lang w:val="en-CA"/>
              </w:rPr>
            </w:pPr>
            <w:proofErr w:type="spellStart"/>
            <w:r>
              <w:rPr>
                <w:rFonts w:ascii="Arial" w:hAnsi="Arial" w:cs="Arial"/>
                <w:b/>
                <w:bCs/>
                <w:sz w:val="16"/>
                <w:szCs w:val="16"/>
                <w:lang w:val="en-CA"/>
              </w:rPr>
              <w:t>Tr</w:t>
            </w:r>
            <w:r w:rsidR="004777D7">
              <w:rPr>
                <w:rFonts w:ascii="Arial" w:hAnsi="Arial" w:cs="Arial"/>
                <w:b/>
                <w:bCs/>
                <w:sz w:val="16"/>
                <w:szCs w:val="16"/>
                <w:lang w:val="en-CA"/>
              </w:rPr>
              <w:t>imestre</w:t>
            </w:r>
            <w:proofErr w:type="spellEnd"/>
            <w:r w:rsidR="004777D7">
              <w:rPr>
                <w:rFonts w:ascii="Arial" w:hAnsi="Arial" w:cs="Arial"/>
                <w:b/>
                <w:bCs/>
                <w:sz w:val="16"/>
                <w:szCs w:val="16"/>
                <w:lang w:val="en-CA"/>
              </w:rPr>
              <w:t xml:space="preserve"> </w:t>
            </w:r>
            <w:proofErr w:type="spellStart"/>
            <w:r w:rsidR="004777D7">
              <w:rPr>
                <w:rFonts w:ascii="Arial" w:hAnsi="Arial" w:cs="Arial"/>
                <w:b/>
                <w:bCs/>
                <w:sz w:val="16"/>
                <w:szCs w:val="16"/>
                <w:lang w:val="en-CA"/>
              </w:rPr>
              <w:t>finalizado</w:t>
            </w:r>
            <w:proofErr w:type="spellEnd"/>
          </w:p>
        </w:tc>
        <w:tc>
          <w:tcPr>
            <w:tcW w:w="3827" w:type="dxa"/>
            <w:gridSpan w:val="6"/>
            <w:tcBorders>
              <w:top w:val="single" w:sz="12" w:space="0" w:color="auto"/>
              <w:left w:val="single" w:sz="4" w:space="0" w:color="auto"/>
              <w:right w:val="single" w:sz="4" w:space="0" w:color="auto"/>
            </w:tcBorders>
            <w:vAlign w:val="bottom"/>
          </w:tcPr>
          <w:p w14:paraId="47B967B2" w14:textId="77777777" w:rsidR="00030D6B" w:rsidRPr="006752C5" w:rsidRDefault="00030D6B" w:rsidP="00DD1BB5">
            <w:pPr>
              <w:widowControl w:val="0"/>
              <w:spacing w:before="60"/>
              <w:jc w:val="center"/>
              <w:rPr>
                <w:rFonts w:ascii="Arial" w:hAnsi="Arial" w:cs="Arial"/>
                <w:b/>
                <w:bCs/>
                <w:sz w:val="16"/>
                <w:szCs w:val="16"/>
                <w:lang w:val="en-CA"/>
              </w:rPr>
            </w:pPr>
            <w:r>
              <w:rPr>
                <w:rFonts w:ascii="Arial" w:hAnsi="Arial" w:cs="Arial"/>
                <w:b/>
                <w:bCs/>
                <w:sz w:val="16"/>
                <w:szCs w:val="16"/>
                <w:lang w:val="en-CA"/>
              </w:rPr>
              <w:t>Semestre finalizado</w:t>
            </w:r>
          </w:p>
        </w:tc>
      </w:tr>
      <w:tr w:rsidR="00030D6B" w:rsidRPr="001F4B94" w14:paraId="7D250BD2" w14:textId="77777777" w:rsidTr="007D5010">
        <w:tc>
          <w:tcPr>
            <w:tcW w:w="2425" w:type="dxa"/>
            <w:tcBorders>
              <w:left w:val="single" w:sz="4" w:space="0" w:color="auto"/>
              <w:right w:val="single" w:sz="4" w:space="0" w:color="auto"/>
            </w:tcBorders>
            <w:vAlign w:val="bottom"/>
          </w:tcPr>
          <w:p w14:paraId="640D703A" w14:textId="77777777" w:rsidR="00030D6B" w:rsidRPr="006752C5" w:rsidRDefault="00030D6B" w:rsidP="00DD1BB5">
            <w:pPr>
              <w:rPr>
                <w:rFonts w:ascii="Arial" w:hAnsi="Arial" w:cs="Arial"/>
                <w:bCs/>
                <w:sz w:val="16"/>
                <w:szCs w:val="16"/>
                <w:lang w:val="en-CA"/>
              </w:rPr>
            </w:pPr>
          </w:p>
        </w:tc>
        <w:tc>
          <w:tcPr>
            <w:tcW w:w="3666" w:type="dxa"/>
            <w:gridSpan w:val="6"/>
            <w:tcBorders>
              <w:left w:val="single" w:sz="4" w:space="0" w:color="auto"/>
              <w:bottom w:val="single" w:sz="4" w:space="0" w:color="auto"/>
              <w:right w:val="single" w:sz="4" w:space="0" w:color="auto"/>
            </w:tcBorders>
            <w:vAlign w:val="bottom"/>
          </w:tcPr>
          <w:p w14:paraId="7297544F" w14:textId="77777777" w:rsidR="00030D6B" w:rsidRPr="006752C5"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30 de junio</w:t>
            </w:r>
          </w:p>
        </w:tc>
        <w:tc>
          <w:tcPr>
            <w:tcW w:w="3827" w:type="dxa"/>
            <w:gridSpan w:val="6"/>
            <w:tcBorders>
              <w:left w:val="single" w:sz="4" w:space="0" w:color="auto"/>
              <w:bottom w:val="single" w:sz="4" w:space="0" w:color="auto"/>
              <w:right w:val="single" w:sz="4" w:space="0" w:color="auto"/>
            </w:tcBorders>
            <w:vAlign w:val="bottom"/>
          </w:tcPr>
          <w:p w14:paraId="328A427A" w14:textId="77777777" w:rsidR="00030D6B" w:rsidRPr="006752C5"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30 de junio</w:t>
            </w:r>
          </w:p>
        </w:tc>
      </w:tr>
      <w:tr w:rsidR="00030D6B" w:rsidRPr="001F4B94" w14:paraId="08F57695" w14:textId="77777777" w:rsidTr="007D5010">
        <w:trPr>
          <w:trHeight w:val="287"/>
        </w:trPr>
        <w:tc>
          <w:tcPr>
            <w:tcW w:w="2425" w:type="dxa"/>
            <w:tcBorders>
              <w:left w:val="single" w:sz="4" w:space="0" w:color="auto"/>
              <w:right w:val="single" w:sz="4" w:space="0" w:color="auto"/>
            </w:tcBorders>
            <w:vAlign w:val="bottom"/>
          </w:tcPr>
          <w:p w14:paraId="11437EC3" w14:textId="77777777" w:rsidR="00030D6B" w:rsidRPr="006752C5" w:rsidRDefault="00030D6B" w:rsidP="00DD1BB5">
            <w:pPr>
              <w:rPr>
                <w:rFonts w:ascii="Arial" w:hAnsi="Arial" w:cs="Arial"/>
                <w:bCs/>
                <w:sz w:val="16"/>
                <w:szCs w:val="16"/>
                <w:lang w:val="en-CA"/>
              </w:rPr>
            </w:pPr>
          </w:p>
        </w:tc>
        <w:tc>
          <w:tcPr>
            <w:tcW w:w="1823" w:type="dxa"/>
            <w:gridSpan w:val="3"/>
            <w:tcBorders>
              <w:top w:val="single" w:sz="4" w:space="0" w:color="auto"/>
              <w:left w:val="single" w:sz="4" w:space="0" w:color="auto"/>
              <w:right w:val="single" w:sz="4" w:space="0" w:color="auto"/>
            </w:tcBorders>
            <w:vAlign w:val="bottom"/>
          </w:tcPr>
          <w:p w14:paraId="6562C1E6" w14:textId="63AA2C70" w:rsidR="00030D6B" w:rsidRPr="006752C5" w:rsidRDefault="00030D6B" w:rsidP="00DD1BB5">
            <w:pPr>
              <w:widowControl w:val="0"/>
              <w:jc w:val="center"/>
              <w:rPr>
                <w:rFonts w:ascii="Arial" w:hAnsi="Arial" w:cs="Arial"/>
                <w:b/>
                <w:bCs/>
                <w:sz w:val="16"/>
                <w:szCs w:val="16"/>
                <w:lang w:val="en-CA"/>
              </w:rPr>
            </w:pPr>
            <w:r>
              <w:rPr>
                <w:rFonts w:ascii="Arial" w:hAnsi="Arial" w:cs="Arial"/>
                <w:b/>
                <w:color w:val="000000"/>
                <w:sz w:val="16"/>
                <w:szCs w:val="16"/>
              </w:rPr>
              <w:t>2025</w:t>
            </w:r>
          </w:p>
        </w:tc>
        <w:tc>
          <w:tcPr>
            <w:tcW w:w="1843" w:type="dxa"/>
            <w:gridSpan w:val="3"/>
            <w:tcBorders>
              <w:top w:val="single" w:sz="4" w:space="0" w:color="auto"/>
              <w:left w:val="single" w:sz="4" w:space="0" w:color="auto"/>
              <w:right w:val="single" w:sz="4" w:space="0" w:color="auto"/>
            </w:tcBorders>
            <w:vAlign w:val="bottom"/>
          </w:tcPr>
          <w:p w14:paraId="18B58433" w14:textId="5D94A82F" w:rsidR="00030D6B" w:rsidRPr="006752C5" w:rsidRDefault="00030D6B" w:rsidP="00DD1BB5">
            <w:pPr>
              <w:widowControl w:val="0"/>
              <w:jc w:val="center"/>
              <w:rPr>
                <w:rFonts w:ascii="Arial" w:hAnsi="Arial" w:cs="Arial"/>
                <w:b/>
                <w:bCs/>
                <w:sz w:val="16"/>
                <w:szCs w:val="16"/>
                <w:lang w:val="en-CA"/>
              </w:rPr>
            </w:pPr>
            <w:r>
              <w:rPr>
                <w:rFonts w:ascii="Arial" w:hAnsi="Arial" w:cs="Arial"/>
                <w:b/>
                <w:color w:val="000000"/>
                <w:sz w:val="16"/>
                <w:szCs w:val="16"/>
              </w:rPr>
              <w:t>2024</w:t>
            </w:r>
          </w:p>
        </w:tc>
        <w:tc>
          <w:tcPr>
            <w:tcW w:w="1984" w:type="dxa"/>
            <w:gridSpan w:val="3"/>
            <w:tcBorders>
              <w:top w:val="single" w:sz="4" w:space="0" w:color="auto"/>
              <w:left w:val="single" w:sz="4" w:space="0" w:color="auto"/>
              <w:bottom w:val="single" w:sz="4" w:space="0" w:color="auto"/>
              <w:right w:val="single" w:sz="4" w:space="0" w:color="auto"/>
            </w:tcBorders>
            <w:vAlign w:val="bottom"/>
          </w:tcPr>
          <w:p w14:paraId="069D64BC" w14:textId="058B2A5D" w:rsidR="00030D6B" w:rsidRPr="006752C5" w:rsidRDefault="00030D6B" w:rsidP="00DD1BB5">
            <w:pPr>
              <w:jc w:val="center"/>
              <w:rPr>
                <w:rFonts w:ascii="Arial" w:hAnsi="Arial" w:cs="Arial"/>
                <w:b/>
                <w:bCs/>
                <w:sz w:val="16"/>
                <w:szCs w:val="16"/>
                <w:lang w:val="en-CA"/>
              </w:rPr>
            </w:pPr>
            <w:r>
              <w:rPr>
                <w:rFonts w:ascii="Arial" w:hAnsi="Arial" w:cs="Arial"/>
                <w:b/>
                <w:color w:val="000000"/>
                <w:sz w:val="16"/>
                <w:szCs w:val="16"/>
              </w:rPr>
              <w:t>2025</w:t>
            </w:r>
          </w:p>
        </w:tc>
        <w:tc>
          <w:tcPr>
            <w:tcW w:w="1843" w:type="dxa"/>
            <w:gridSpan w:val="3"/>
            <w:tcBorders>
              <w:top w:val="single" w:sz="4" w:space="0" w:color="auto"/>
              <w:left w:val="single" w:sz="4" w:space="0" w:color="auto"/>
              <w:bottom w:val="single" w:sz="4" w:space="0" w:color="auto"/>
              <w:right w:val="single" w:sz="4" w:space="0" w:color="auto"/>
            </w:tcBorders>
            <w:vAlign w:val="bottom"/>
          </w:tcPr>
          <w:p w14:paraId="5F2E295B" w14:textId="0A2D3A8E" w:rsidR="00030D6B" w:rsidRPr="006752C5" w:rsidRDefault="00030D6B" w:rsidP="00DD1BB5">
            <w:pPr>
              <w:jc w:val="center"/>
              <w:rPr>
                <w:rFonts w:ascii="Arial" w:hAnsi="Arial" w:cs="Arial"/>
                <w:b/>
                <w:bCs/>
                <w:sz w:val="16"/>
                <w:szCs w:val="16"/>
                <w:lang w:val="en-CA"/>
              </w:rPr>
            </w:pPr>
            <w:r>
              <w:rPr>
                <w:rFonts w:ascii="Arial" w:hAnsi="Arial" w:cs="Arial"/>
                <w:b/>
                <w:color w:val="000000"/>
                <w:sz w:val="16"/>
                <w:szCs w:val="16"/>
              </w:rPr>
              <w:t>2024</w:t>
            </w:r>
          </w:p>
        </w:tc>
      </w:tr>
      <w:tr w:rsidR="00030D6B" w:rsidRPr="001F4B94" w14:paraId="4321B9DE" w14:textId="77777777" w:rsidTr="007D5010">
        <w:tblPrEx>
          <w:tblLook w:val="01E0" w:firstRow="1" w:lastRow="1" w:firstColumn="1" w:lastColumn="1" w:noHBand="0" w:noVBand="0"/>
        </w:tblPrEx>
        <w:tc>
          <w:tcPr>
            <w:tcW w:w="2425" w:type="dxa"/>
            <w:tcBorders>
              <w:top w:val="single" w:sz="4" w:space="0" w:color="auto"/>
              <w:left w:val="single" w:sz="4" w:space="0" w:color="auto"/>
              <w:right w:val="single" w:sz="4" w:space="0" w:color="auto"/>
            </w:tcBorders>
            <w:vAlign w:val="bottom"/>
          </w:tcPr>
          <w:p w14:paraId="4BD2E288" w14:textId="77777777" w:rsidR="00030D6B" w:rsidRPr="006752C5" w:rsidRDefault="00030D6B" w:rsidP="00DD1BB5">
            <w:pPr>
              <w:rPr>
                <w:rFonts w:ascii="Arial" w:hAnsi="Arial" w:cs="Arial"/>
                <w:sz w:val="16"/>
                <w:szCs w:val="16"/>
                <w:lang w:val="en-CA"/>
              </w:rPr>
            </w:pPr>
          </w:p>
        </w:tc>
        <w:tc>
          <w:tcPr>
            <w:tcW w:w="990" w:type="dxa"/>
            <w:tcBorders>
              <w:top w:val="single" w:sz="4" w:space="0" w:color="auto"/>
              <w:left w:val="single" w:sz="4" w:space="0" w:color="auto"/>
            </w:tcBorders>
            <w:vAlign w:val="bottom"/>
          </w:tcPr>
          <w:p w14:paraId="74496248" w14:textId="77777777" w:rsidR="00030D6B" w:rsidRPr="006752C5" w:rsidRDefault="00030D6B" w:rsidP="00DD1BB5">
            <w:pPr>
              <w:ind w:left="-108"/>
              <w:rPr>
                <w:rFonts w:ascii="Arial" w:hAnsi="Arial" w:cs="Arial"/>
                <w:color w:val="000000"/>
                <w:sz w:val="16"/>
                <w:szCs w:val="16"/>
              </w:rPr>
            </w:pPr>
          </w:p>
        </w:tc>
        <w:tc>
          <w:tcPr>
            <w:tcW w:w="833" w:type="dxa"/>
            <w:gridSpan w:val="2"/>
            <w:tcBorders>
              <w:top w:val="single" w:sz="4" w:space="0" w:color="auto"/>
              <w:right w:val="single" w:sz="4" w:space="0" w:color="auto"/>
            </w:tcBorders>
            <w:vAlign w:val="bottom"/>
          </w:tcPr>
          <w:p w14:paraId="3E4C4D0E"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Por BOE</w:t>
            </w:r>
          </w:p>
        </w:tc>
        <w:tc>
          <w:tcPr>
            <w:tcW w:w="967" w:type="dxa"/>
            <w:tcBorders>
              <w:top w:val="single" w:sz="4" w:space="0" w:color="auto"/>
              <w:left w:val="single" w:sz="4" w:space="0" w:color="auto"/>
            </w:tcBorders>
            <w:vAlign w:val="bottom"/>
          </w:tcPr>
          <w:p w14:paraId="1034F751" w14:textId="77777777" w:rsidR="00030D6B" w:rsidRPr="006F1857" w:rsidRDefault="00030D6B" w:rsidP="00DD1BB5">
            <w:pPr>
              <w:ind w:left="-108"/>
              <w:jc w:val="center"/>
              <w:rPr>
                <w:rFonts w:ascii="Arial" w:hAnsi="Arial" w:cs="Arial"/>
                <w:color w:val="000000"/>
                <w:sz w:val="16"/>
                <w:szCs w:val="16"/>
              </w:rPr>
            </w:pPr>
          </w:p>
        </w:tc>
        <w:tc>
          <w:tcPr>
            <w:tcW w:w="876" w:type="dxa"/>
            <w:gridSpan w:val="2"/>
            <w:tcBorders>
              <w:top w:val="single" w:sz="4" w:space="0" w:color="auto"/>
              <w:right w:val="single" w:sz="4" w:space="0" w:color="auto"/>
            </w:tcBorders>
            <w:vAlign w:val="bottom"/>
          </w:tcPr>
          <w:p w14:paraId="5B00A11C"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Por BOE</w:t>
            </w:r>
          </w:p>
        </w:tc>
        <w:tc>
          <w:tcPr>
            <w:tcW w:w="1104" w:type="dxa"/>
            <w:tcBorders>
              <w:top w:val="single" w:sz="4" w:space="0" w:color="auto"/>
              <w:left w:val="single" w:sz="4" w:space="0" w:color="auto"/>
              <w:bottom w:val="single" w:sz="4" w:space="0" w:color="auto"/>
            </w:tcBorders>
            <w:vAlign w:val="bottom"/>
          </w:tcPr>
          <w:p w14:paraId="4231A256" w14:textId="77777777" w:rsidR="00030D6B" w:rsidRPr="006F1857" w:rsidRDefault="00030D6B" w:rsidP="00DD1BB5">
            <w:pPr>
              <w:ind w:left="-108"/>
              <w:jc w:val="center"/>
              <w:rPr>
                <w:rFonts w:ascii="Arial" w:hAnsi="Arial" w:cs="Arial"/>
                <w:color w:val="000000"/>
                <w:sz w:val="16"/>
                <w:szCs w:val="16"/>
              </w:rPr>
            </w:pPr>
          </w:p>
        </w:tc>
        <w:tc>
          <w:tcPr>
            <w:tcW w:w="880" w:type="dxa"/>
            <w:gridSpan w:val="2"/>
            <w:tcBorders>
              <w:top w:val="single" w:sz="4" w:space="0" w:color="auto"/>
              <w:bottom w:val="single" w:sz="4" w:space="0" w:color="auto"/>
              <w:right w:val="single" w:sz="4" w:space="0" w:color="auto"/>
            </w:tcBorders>
            <w:vAlign w:val="bottom"/>
          </w:tcPr>
          <w:p w14:paraId="052D9E0E"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Por BOE</w:t>
            </w:r>
          </w:p>
        </w:tc>
        <w:tc>
          <w:tcPr>
            <w:tcW w:w="992" w:type="dxa"/>
            <w:tcBorders>
              <w:left w:val="single" w:sz="4" w:space="0" w:color="auto"/>
              <w:bottom w:val="single" w:sz="4" w:space="0" w:color="auto"/>
            </w:tcBorders>
            <w:vAlign w:val="bottom"/>
          </w:tcPr>
          <w:p w14:paraId="42152646" w14:textId="77777777" w:rsidR="00030D6B" w:rsidRPr="006F1857" w:rsidRDefault="00030D6B" w:rsidP="00DD1BB5">
            <w:pPr>
              <w:ind w:left="-108"/>
              <w:jc w:val="center"/>
              <w:rPr>
                <w:rFonts w:ascii="Arial" w:hAnsi="Arial" w:cs="Arial"/>
                <w:color w:val="000000"/>
                <w:sz w:val="16"/>
                <w:szCs w:val="16"/>
              </w:rPr>
            </w:pPr>
          </w:p>
        </w:tc>
        <w:tc>
          <w:tcPr>
            <w:tcW w:w="851" w:type="dxa"/>
            <w:gridSpan w:val="2"/>
            <w:tcBorders>
              <w:bottom w:val="single" w:sz="4" w:space="0" w:color="auto"/>
              <w:right w:val="single" w:sz="4" w:space="0" w:color="auto"/>
            </w:tcBorders>
            <w:vAlign w:val="bottom"/>
          </w:tcPr>
          <w:p w14:paraId="406A2532"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Por BOE</w:t>
            </w:r>
          </w:p>
        </w:tc>
      </w:tr>
      <w:tr w:rsidR="007D5010" w:rsidRPr="001F4B94" w14:paraId="46982A5B" w14:textId="77777777" w:rsidTr="007D5010">
        <w:tblPrEx>
          <w:tblLook w:val="01E0" w:firstRow="1" w:lastRow="1" w:firstColumn="1" w:lastColumn="1" w:noHBand="0" w:noVBand="0"/>
        </w:tblPrEx>
        <w:trPr>
          <w:trHeight w:val="261"/>
        </w:trPr>
        <w:tc>
          <w:tcPr>
            <w:tcW w:w="2425" w:type="dxa"/>
            <w:tcBorders>
              <w:top w:val="single" w:sz="4" w:space="0" w:color="auto"/>
              <w:left w:val="single" w:sz="4" w:space="0" w:color="auto"/>
              <w:right w:val="single" w:sz="4" w:space="0" w:color="auto"/>
            </w:tcBorders>
            <w:vAlign w:val="bottom"/>
          </w:tcPr>
          <w:p w14:paraId="7FE45728" w14:textId="77777777" w:rsidR="007D5010" w:rsidRPr="00CB3E68" w:rsidRDefault="007D5010" w:rsidP="007D5010">
            <w:pPr>
              <w:rPr>
                <w:rFonts w:ascii="Arial" w:hAnsi="Arial" w:cs="Arial"/>
                <w:sz w:val="16"/>
                <w:szCs w:val="16"/>
                <w:lang w:val="es-ES"/>
              </w:rPr>
            </w:pPr>
            <w:r w:rsidRPr="00CB3E68">
              <w:rPr>
                <w:rFonts w:ascii="Arial" w:hAnsi="Arial" w:cs="Arial"/>
                <w:sz w:val="16"/>
                <w:szCs w:val="16"/>
                <w:lang w:val="es-ES"/>
              </w:rPr>
              <w:t>Ingresos por ventas de petróleo y gas natural ($)</w:t>
            </w:r>
          </w:p>
        </w:tc>
        <w:tc>
          <w:tcPr>
            <w:tcW w:w="1114" w:type="dxa"/>
            <w:gridSpan w:val="2"/>
            <w:tcBorders>
              <w:top w:val="single" w:sz="4" w:space="0" w:color="auto"/>
              <w:left w:val="single" w:sz="4" w:space="0" w:color="auto"/>
            </w:tcBorders>
            <w:vAlign w:val="bottom"/>
          </w:tcPr>
          <w:p w14:paraId="75F08DBE" w14:textId="13744FAF"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22 208 934</w:t>
            </w:r>
          </w:p>
        </w:tc>
        <w:tc>
          <w:tcPr>
            <w:tcW w:w="709" w:type="dxa"/>
            <w:tcBorders>
              <w:top w:val="single" w:sz="4" w:space="0" w:color="000000"/>
            </w:tcBorders>
            <w:vAlign w:val="bottom"/>
          </w:tcPr>
          <w:p w14:paraId="287AA7BD" w14:textId="22CDF3FB"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color w:val="000000"/>
                <w:sz w:val="16"/>
                <w:szCs w:val="16"/>
              </w:rPr>
              <w:t>59,78</w:t>
            </w:r>
          </w:p>
        </w:tc>
        <w:tc>
          <w:tcPr>
            <w:tcW w:w="1091" w:type="dxa"/>
            <w:gridSpan w:val="2"/>
            <w:tcBorders>
              <w:top w:val="single" w:sz="4" w:space="0" w:color="auto"/>
              <w:left w:val="single" w:sz="4" w:space="0" w:color="auto"/>
            </w:tcBorders>
            <w:vAlign w:val="bottom"/>
          </w:tcPr>
          <w:p w14:paraId="0481BEED" w14:textId="1F431135"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5 584 314</w:t>
            </w:r>
          </w:p>
        </w:tc>
        <w:tc>
          <w:tcPr>
            <w:tcW w:w="752" w:type="dxa"/>
            <w:tcBorders>
              <w:top w:val="single" w:sz="4" w:space="0" w:color="auto"/>
            </w:tcBorders>
            <w:vAlign w:val="bottom"/>
          </w:tcPr>
          <w:p w14:paraId="00864598" w14:textId="43D07B18"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45,81</w:t>
            </w:r>
          </w:p>
        </w:tc>
        <w:tc>
          <w:tcPr>
            <w:tcW w:w="1228" w:type="dxa"/>
            <w:gridSpan w:val="2"/>
            <w:tcBorders>
              <w:top w:val="single" w:sz="4" w:space="0" w:color="auto"/>
              <w:left w:val="single" w:sz="4" w:space="0" w:color="auto"/>
            </w:tcBorders>
            <w:vAlign w:val="bottom"/>
          </w:tcPr>
          <w:p w14:paraId="3A28943D" w14:textId="6E8DE060"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45 717 428</w:t>
            </w:r>
          </w:p>
        </w:tc>
        <w:tc>
          <w:tcPr>
            <w:tcW w:w="756" w:type="dxa"/>
            <w:tcBorders>
              <w:top w:val="single" w:sz="4" w:space="0" w:color="auto"/>
              <w:right w:val="single" w:sz="4" w:space="0" w:color="auto"/>
            </w:tcBorders>
            <w:vAlign w:val="bottom"/>
          </w:tcPr>
          <w:p w14:paraId="41CBAE98" w14:textId="3AB54F6B"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60,41</w:t>
            </w:r>
          </w:p>
        </w:tc>
        <w:tc>
          <w:tcPr>
            <w:tcW w:w="1116" w:type="dxa"/>
            <w:gridSpan w:val="2"/>
            <w:tcBorders>
              <w:top w:val="single" w:sz="4" w:space="0" w:color="auto"/>
              <w:left w:val="single" w:sz="4" w:space="0" w:color="auto"/>
            </w:tcBorders>
            <w:vAlign w:val="bottom"/>
          </w:tcPr>
          <w:p w14:paraId="3DF5D8A2" w14:textId="379799FE"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11 685 400</w:t>
            </w:r>
          </w:p>
        </w:tc>
        <w:tc>
          <w:tcPr>
            <w:tcW w:w="727" w:type="dxa"/>
            <w:tcBorders>
              <w:top w:val="single" w:sz="4" w:space="0" w:color="auto"/>
              <w:right w:val="single" w:sz="4" w:space="0" w:color="auto"/>
            </w:tcBorders>
            <w:vAlign w:val="bottom"/>
          </w:tcPr>
          <w:p w14:paraId="1B848968" w14:textId="40E71422"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48,61</w:t>
            </w:r>
          </w:p>
        </w:tc>
      </w:tr>
      <w:tr w:rsidR="007D5010" w:rsidRPr="001F4B94" w14:paraId="3305EB5E" w14:textId="77777777" w:rsidTr="00E9041F">
        <w:tblPrEx>
          <w:tblLook w:val="01E0" w:firstRow="1" w:lastRow="1" w:firstColumn="1" w:lastColumn="1" w:noHBand="0" w:noVBand="0"/>
        </w:tblPrEx>
        <w:tc>
          <w:tcPr>
            <w:tcW w:w="2425" w:type="dxa"/>
            <w:tcBorders>
              <w:left w:val="single" w:sz="4" w:space="0" w:color="auto"/>
              <w:right w:val="single" w:sz="4" w:space="0" w:color="auto"/>
            </w:tcBorders>
            <w:vAlign w:val="bottom"/>
          </w:tcPr>
          <w:p w14:paraId="569DBB26"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Impuesto a la exportación ($)</w:t>
            </w:r>
          </w:p>
        </w:tc>
        <w:tc>
          <w:tcPr>
            <w:tcW w:w="1114" w:type="dxa"/>
            <w:gridSpan w:val="2"/>
            <w:tcBorders>
              <w:left w:val="single" w:sz="4" w:space="0" w:color="auto"/>
            </w:tcBorders>
          </w:tcPr>
          <w:p w14:paraId="7C2195B1" w14:textId="70219AE1"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(101 251)</w:t>
            </w:r>
          </w:p>
        </w:tc>
        <w:tc>
          <w:tcPr>
            <w:tcW w:w="709" w:type="dxa"/>
          </w:tcPr>
          <w:p w14:paraId="2F788EEE" w14:textId="52159C74"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(0,27)</w:t>
            </w:r>
          </w:p>
        </w:tc>
        <w:tc>
          <w:tcPr>
            <w:tcW w:w="1091" w:type="dxa"/>
            <w:gridSpan w:val="2"/>
            <w:tcBorders>
              <w:left w:val="single" w:sz="4" w:space="0" w:color="auto"/>
            </w:tcBorders>
            <w:vAlign w:val="bottom"/>
          </w:tcPr>
          <w:p w14:paraId="3F0FFC08" w14:textId="4CB2DD36"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(80 779)</w:t>
            </w:r>
          </w:p>
        </w:tc>
        <w:tc>
          <w:tcPr>
            <w:tcW w:w="752" w:type="dxa"/>
            <w:vAlign w:val="bottom"/>
          </w:tcPr>
          <w:p w14:paraId="634481E4" w14:textId="366EA84C"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(0,66)</w:t>
            </w:r>
          </w:p>
        </w:tc>
        <w:tc>
          <w:tcPr>
            <w:tcW w:w="1228" w:type="dxa"/>
            <w:gridSpan w:val="2"/>
            <w:tcBorders>
              <w:left w:val="single" w:sz="4" w:space="0" w:color="auto"/>
            </w:tcBorders>
          </w:tcPr>
          <w:p w14:paraId="5637F080" w14:textId="53E5B67D"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(193 755)</w:t>
            </w:r>
          </w:p>
        </w:tc>
        <w:tc>
          <w:tcPr>
            <w:tcW w:w="756" w:type="dxa"/>
            <w:tcBorders>
              <w:right w:val="single" w:sz="4" w:space="0" w:color="auto"/>
            </w:tcBorders>
          </w:tcPr>
          <w:p w14:paraId="3B125530" w14:textId="58B49F86"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 xml:space="preserve"> (0,26)</w:t>
            </w:r>
          </w:p>
        </w:tc>
        <w:tc>
          <w:tcPr>
            <w:tcW w:w="1116" w:type="dxa"/>
            <w:gridSpan w:val="2"/>
            <w:tcBorders>
              <w:left w:val="single" w:sz="4" w:space="0" w:color="auto"/>
            </w:tcBorders>
            <w:vAlign w:val="bottom"/>
          </w:tcPr>
          <w:p w14:paraId="495AE17D" w14:textId="17921223"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(232 795)</w:t>
            </w:r>
          </w:p>
        </w:tc>
        <w:tc>
          <w:tcPr>
            <w:tcW w:w="727" w:type="dxa"/>
            <w:tcBorders>
              <w:right w:val="single" w:sz="4" w:space="0" w:color="auto"/>
            </w:tcBorders>
            <w:vAlign w:val="bottom"/>
          </w:tcPr>
          <w:p w14:paraId="3E894417" w14:textId="630623E2"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(0,97)</w:t>
            </w:r>
          </w:p>
        </w:tc>
      </w:tr>
      <w:tr w:rsidR="007D5010" w:rsidRPr="001F4B94" w14:paraId="0E9C708C" w14:textId="77777777" w:rsidTr="00E9041F">
        <w:tblPrEx>
          <w:tblLook w:val="01E0" w:firstRow="1" w:lastRow="1" w:firstColumn="1" w:lastColumn="1" w:noHBand="0" w:noVBand="0"/>
        </w:tblPrEx>
        <w:tc>
          <w:tcPr>
            <w:tcW w:w="2425" w:type="dxa"/>
            <w:tcBorders>
              <w:left w:val="single" w:sz="4" w:space="0" w:color="auto"/>
              <w:right w:val="single" w:sz="4" w:space="0" w:color="auto"/>
            </w:tcBorders>
            <w:vAlign w:val="bottom"/>
          </w:tcPr>
          <w:p w14:paraId="052333CB" w14:textId="77777777" w:rsidR="007D5010" w:rsidRPr="00CB3E68" w:rsidRDefault="007D5010" w:rsidP="007D5010">
            <w:pPr>
              <w:rPr>
                <w:rFonts w:ascii="Arial" w:hAnsi="Arial" w:cs="Arial"/>
                <w:sz w:val="16"/>
                <w:szCs w:val="16"/>
                <w:lang w:val="es-ES"/>
              </w:rPr>
            </w:pPr>
            <w:r w:rsidRPr="00CB3E68">
              <w:rPr>
                <w:rFonts w:ascii="Arial" w:hAnsi="Arial" w:cs="Arial"/>
                <w:sz w:val="16"/>
                <w:szCs w:val="16"/>
                <w:lang w:val="es-ES"/>
              </w:rPr>
              <w:t>Regalías e impuesto sobre el volumen de negocios ($)</w:t>
            </w:r>
          </w:p>
        </w:tc>
        <w:tc>
          <w:tcPr>
            <w:tcW w:w="1114" w:type="dxa"/>
            <w:gridSpan w:val="2"/>
            <w:tcBorders>
              <w:left w:val="single" w:sz="4" w:space="0" w:color="auto"/>
            </w:tcBorders>
          </w:tcPr>
          <w:p w14:paraId="3286A087" w14:textId="543F8D51" w:rsidR="007D5010" w:rsidRPr="007D5010" w:rsidRDefault="007D5010" w:rsidP="007D5010">
            <w:pPr>
              <w:tabs>
                <w:tab w:val="decimal" w:pos="702"/>
              </w:tabs>
              <w:ind w:left="-108"/>
              <w:rPr>
                <w:rFonts w:ascii="Arial" w:hAnsi="Arial" w:cs="Arial"/>
                <w:color w:val="000000"/>
                <w:sz w:val="16"/>
                <w:szCs w:val="16"/>
              </w:rPr>
            </w:pPr>
            <w:r w:rsidRPr="00CB3E68">
              <w:rPr>
                <w:rFonts w:ascii="Arial" w:hAnsi="Arial" w:cs="Arial"/>
                <w:sz w:val="16"/>
                <w:szCs w:val="16"/>
                <w:lang w:val="es-ES"/>
              </w:rPr>
              <w:t xml:space="preserve"> </w:t>
            </w:r>
            <w:r w:rsidRPr="007D5010">
              <w:rPr>
                <w:rFonts w:ascii="Arial" w:hAnsi="Arial" w:cs="Arial"/>
                <w:sz w:val="16"/>
                <w:szCs w:val="16"/>
              </w:rPr>
              <w:t>(3 963 657)</w:t>
            </w:r>
          </w:p>
        </w:tc>
        <w:tc>
          <w:tcPr>
            <w:tcW w:w="709" w:type="dxa"/>
          </w:tcPr>
          <w:p w14:paraId="71C93434" w14:textId="221FF7CB"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(10,67)</w:t>
            </w:r>
          </w:p>
        </w:tc>
        <w:tc>
          <w:tcPr>
            <w:tcW w:w="1091" w:type="dxa"/>
            <w:gridSpan w:val="2"/>
            <w:tcBorders>
              <w:left w:val="single" w:sz="4" w:space="0" w:color="auto"/>
            </w:tcBorders>
            <w:vAlign w:val="bottom"/>
          </w:tcPr>
          <w:p w14:paraId="4EE4B4F0" w14:textId="518B2DF8"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(1 028 669)</w:t>
            </w:r>
          </w:p>
        </w:tc>
        <w:tc>
          <w:tcPr>
            <w:tcW w:w="752" w:type="dxa"/>
            <w:vAlign w:val="bottom"/>
          </w:tcPr>
          <w:p w14:paraId="36FE3361" w14:textId="419AD684"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(8,44)</w:t>
            </w:r>
          </w:p>
        </w:tc>
        <w:tc>
          <w:tcPr>
            <w:tcW w:w="1228" w:type="dxa"/>
            <w:gridSpan w:val="2"/>
            <w:tcBorders>
              <w:left w:val="single" w:sz="4" w:space="0" w:color="auto"/>
            </w:tcBorders>
          </w:tcPr>
          <w:p w14:paraId="5105E20F" w14:textId="2E96BDBE"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(8 163 142)</w:t>
            </w:r>
          </w:p>
        </w:tc>
        <w:tc>
          <w:tcPr>
            <w:tcW w:w="756" w:type="dxa"/>
            <w:tcBorders>
              <w:right w:val="single" w:sz="4" w:space="0" w:color="auto"/>
            </w:tcBorders>
          </w:tcPr>
          <w:p w14:paraId="69BE40C6" w14:textId="2458C7D9"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 xml:space="preserve"> (10,79)</w:t>
            </w:r>
          </w:p>
        </w:tc>
        <w:tc>
          <w:tcPr>
            <w:tcW w:w="1116" w:type="dxa"/>
            <w:gridSpan w:val="2"/>
            <w:tcBorders>
              <w:left w:val="single" w:sz="4" w:space="0" w:color="auto"/>
            </w:tcBorders>
            <w:vAlign w:val="bottom"/>
          </w:tcPr>
          <w:p w14:paraId="42C7D847" w14:textId="51298C22"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(2 045 091)</w:t>
            </w:r>
          </w:p>
        </w:tc>
        <w:tc>
          <w:tcPr>
            <w:tcW w:w="727" w:type="dxa"/>
            <w:tcBorders>
              <w:right w:val="single" w:sz="4" w:space="0" w:color="auto"/>
            </w:tcBorders>
            <w:vAlign w:val="bottom"/>
          </w:tcPr>
          <w:p w14:paraId="07C0E84C" w14:textId="755A75A4"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(8,51)</w:t>
            </w:r>
          </w:p>
        </w:tc>
      </w:tr>
      <w:tr w:rsidR="007D5010" w:rsidRPr="001F4B94" w14:paraId="20E8EF73" w14:textId="77777777" w:rsidTr="00E9041F">
        <w:tblPrEx>
          <w:tblLook w:val="01E0" w:firstRow="1" w:lastRow="1" w:firstColumn="1" w:lastColumn="1" w:noHBand="0" w:noVBand="0"/>
        </w:tblPrEx>
        <w:tc>
          <w:tcPr>
            <w:tcW w:w="2425" w:type="dxa"/>
            <w:tcBorders>
              <w:left w:val="single" w:sz="4" w:space="0" w:color="auto"/>
              <w:bottom w:val="single" w:sz="4" w:space="0" w:color="auto"/>
              <w:right w:val="single" w:sz="4" w:space="0" w:color="auto"/>
            </w:tcBorders>
            <w:vAlign w:val="bottom"/>
          </w:tcPr>
          <w:p w14:paraId="22966289"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Costo operativo ($)</w:t>
            </w:r>
          </w:p>
        </w:tc>
        <w:tc>
          <w:tcPr>
            <w:tcW w:w="1114" w:type="dxa"/>
            <w:gridSpan w:val="2"/>
            <w:tcBorders>
              <w:left w:val="single" w:sz="4" w:space="0" w:color="auto"/>
              <w:bottom w:val="single" w:sz="4" w:space="0" w:color="auto"/>
            </w:tcBorders>
          </w:tcPr>
          <w:p w14:paraId="7E4ED3AB" w14:textId="251D45B4"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(20 927 925)</w:t>
            </w:r>
          </w:p>
        </w:tc>
        <w:tc>
          <w:tcPr>
            <w:tcW w:w="709" w:type="dxa"/>
            <w:tcBorders>
              <w:bottom w:val="single" w:sz="4" w:space="0" w:color="000000"/>
            </w:tcBorders>
          </w:tcPr>
          <w:p w14:paraId="311B4647" w14:textId="3F71DE91"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(56,34)</w:t>
            </w:r>
          </w:p>
        </w:tc>
        <w:tc>
          <w:tcPr>
            <w:tcW w:w="1091" w:type="dxa"/>
            <w:gridSpan w:val="2"/>
            <w:tcBorders>
              <w:left w:val="single" w:sz="4" w:space="0" w:color="auto"/>
              <w:bottom w:val="single" w:sz="4" w:space="0" w:color="auto"/>
            </w:tcBorders>
            <w:vAlign w:val="bottom"/>
          </w:tcPr>
          <w:p w14:paraId="7E63CEB5" w14:textId="487657B2"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(4 988 866)</w:t>
            </w:r>
          </w:p>
        </w:tc>
        <w:tc>
          <w:tcPr>
            <w:tcW w:w="752" w:type="dxa"/>
            <w:tcBorders>
              <w:bottom w:val="single" w:sz="4" w:space="0" w:color="000000"/>
            </w:tcBorders>
            <w:vAlign w:val="bottom"/>
          </w:tcPr>
          <w:p w14:paraId="55FDE971" w14:textId="04680DD0"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(40,93)</w:t>
            </w:r>
          </w:p>
        </w:tc>
        <w:tc>
          <w:tcPr>
            <w:tcW w:w="1228" w:type="dxa"/>
            <w:gridSpan w:val="2"/>
            <w:tcBorders>
              <w:left w:val="single" w:sz="4" w:space="0" w:color="auto"/>
              <w:bottom w:val="single" w:sz="4" w:space="0" w:color="auto"/>
            </w:tcBorders>
          </w:tcPr>
          <w:p w14:paraId="08F17F47" w14:textId="67F9DDD0"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(39 180 510)</w:t>
            </w:r>
          </w:p>
        </w:tc>
        <w:tc>
          <w:tcPr>
            <w:tcW w:w="756" w:type="dxa"/>
            <w:tcBorders>
              <w:bottom w:val="single" w:sz="4" w:space="0" w:color="auto"/>
              <w:right w:val="single" w:sz="4" w:space="0" w:color="auto"/>
            </w:tcBorders>
          </w:tcPr>
          <w:p w14:paraId="33AC777F" w14:textId="7CF7A672"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 xml:space="preserve"> (51,78)</w:t>
            </w:r>
          </w:p>
        </w:tc>
        <w:tc>
          <w:tcPr>
            <w:tcW w:w="1116" w:type="dxa"/>
            <w:gridSpan w:val="2"/>
            <w:tcBorders>
              <w:left w:val="single" w:sz="4" w:space="0" w:color="auto"/>
              <w:bottom w:val="single" w:sz="4" w:space="0" w:color="auto"/>
            </w:tcBorders>
            <w:vAlign w:val="bottom"/>
          </w:tcPr>
          <w:p w14:paraId="7A711F85" w14:textId="42075A0B"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(9 241 577)</w:t>
            </w:r>
          </w:p>
        </w:tc>
        <w:tc>
          <w:tcPr>
            <w:tcW w:w="727" w:type="dxa"/>
            <w:tcBorders>
              <w:bottom w:val="single" w:sz="4" w:space="0" w:color="auto"/>
              <w:right w:val="single" w:sz="4" w:space="0" w:color="auto"/>
            </w:tcBorders>
            <w:vAlign w:val="bottom"/>
          </w:tcPr>
          <w:p w14:paraId="60D33018" w14:textId="00941B27"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(38,45)</w:t>
            </w:r>
          </w:p>
        </w:tc>
      </w:tr>
      <w:tr w:rsidR="007D5010" w:rsidRPr="001F4B94" w14:paraId="7F9DC18B" w14:textId="77777777" w:rsidTr="00BB3478">
        <w:tblPrEx>
          <w:tblLook w:val="01E0" w:firstRow="1" w:lastRow="1" w:firstColumn="1" w:lastColumn="1" w:noHBand="0" w:noVBand="0"/>
        </w:tblPrEx>
        <w:trPr>
          <w:trHeight w:val="287"/>
        </w:trPr>
        <w:tc>
          <w:tcPr>
            <w:tcW w:w="2425" w:type="dxa"/>
            <w:tcBorders>
              <w:top w:val="single" w:sz="4" w:space="0" w:color="auto"/>
              <w:left w:val="single" w:sz="4" w:space="0" w:color="auto"/>
              <w:bottom w:val="single" w:sz="12" w:space="0" w:color="auto"/>
              <w:right w:val="single" w:sz="4" w:space="0" w:color="auto"/>
            </w:tcBorders>
            <w:vAlign w:val="center"/>
          </w:tcPr>
          <w:p w14:paraId="2336C361"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 xml:space="preserve">Netback operativo </w:t>
            </w:r>
            <w:r>
              <w:rPr>
                <w:rFonts w:ascii="Arial" w:hAnsi="Arial" w:cs="Arial"/>
                <w:sz w:val="16"/>
                <w:szCs w:val="16"/>
                <w:vertAlign w:val="superscript"/>
                <w:lang w:val="en-CA"/>
              </w:rPr>
              <w:t>(1)</w:t>
            </w:r>
            <w:r>
              <w:rPr>
                <w:rFonts w:ascii="Arial" w:hAnsi="Arial" w:cs="Arial"/>
                <w:sz w:val="16"/>
                <w:szCs w:val="16"/>
                <w:lang w:val="en-CA"/>
              </w:rPr>
              <w:t xml:space="preserve">  ($)</w:t>
            </w:r>
          </w:p>
        </w:tc>
        <w:tc>
          <w:tcPr>
            <w:tcW w:w="1114" w:type="dxa"/>
            <w:gridSpan w:val="2"/>
            <w:tcBorders>
              <w:top w:val="single" w:sz="4" w:space="0" w:color="auto"/>
              <w:left w:val="single" w:sz="4" w:space="0" w:color="auto"/>
              <w:bottom w:val="single" w:sz="12" w:space="0" w:color="auto"/>
            </w:tcBorders>
            <w:vAlign w:val="center"/>
          </w:tcPr>
          <w:p w14:paraId="06F22759" w14:textId="6F07C5BB"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(2 783 899)</w:t>
            </w:r>
          </w:p>
        </w:tc>
        <w:tc>
          <w:tcPr>
            <w:tcW w:w="709" w:type="dxa"/>
            <w:tcBorders>
              <w:top w:val="single" w:sz="4" w:space="0" w:color="000000"/>
              <w:bottom w:val="single" w:sz="12" w:space="0" w:color="000000"/>
            </w:tcBorders>
          </w:tcPr>
          <w:p w14:paraId="12DC4346" w14:textId="0E7446E2"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(7,50)</w:t>
            </w:r>
          </w:p>
        </w:tc>
        <w:tc>
          <w:tcPr>
            <w:tcW w:w="1091" w:type="dxa"/>
            <w:gridSpan w:val="2"/>
            <w:tcBorders>
              <w:top w:val="single" w:sz="4" w:space="0" w:color="auto"/>
              <w:left w:val="single" w:sz="4" w:space="0" w:color="auto"/>
              <w:bottom w:val="single" w:sz="12" w:space="0" w:color="auto"/>
            </w:tcBorders>
            <w:vAlign w:val="center"/>
          </w:tcPr>
          <w:p w14:paraId="270D81EA" w14:textId="77130CEC"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(514 000)</w:t>
            </w:r>
          </w:p>
        </w:tc>
        <w:tc>
          <w:tcPr>
            <w:tcW w:w="752" w:type="dxa"/>
            <w:tcBorders>
              <w:top w:val="single" w:sz="4" w:space="0" w:color="000000"/>
              <w:bottom w:val="single" w:sz="12" w:space="0" w:color="000000"/>
            </w:tcBorders>
            <w:vAlign w:val="center"/>
          </w:tcPr>
          <w:p w14:paraId="4C3DAB4C" w14:textId="2B5B3E32"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(4,22)</w:t>
            </w:r>
          </w:p>
        </w:tc>
        <w:tc>
          <w:tcPr>
            <w:tcW w:w="1228" w:type="dxa"/>
            <w:gridSpan w:val="2"/>
            <w:tcBorders>
              <w:top w:val="single" w:sz="4" w:space="0" w:color="auto"/>
              <w:left w:val="single" w:sz="4" w:space="0" w:color="auto"/>
              <w:bottom w:val="single" w:sz="12" w:space="0" w:color="auto"/>
            </w:tcBorders>
            <w:vAlign w:val="center"/>
          </w:tcPr>
          <w:p w14:paraId="74E172C6" w14:textId="77BF72D0"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(1 819 979)</w:t>
            </w:r>
          </w:p>
        </w:tc>
        <w:tc>
          <w:tcPr>
            <w:tcW w:w="756" w:type="dxa"/>
            <w:tcBorders>
              <w:top w:val="single" w:sz="4" w:space="0" w:color="auto"/>
              <w:bottom w:val="single" w:sz="12" w:space="0" w:color="auto"/>
              <w:right w:val="single" w:sz="4" w:space="0" w:color="auto"/>
            </w:tcBorders>
            <w:vAlign w:val="center"/>
          </w:tcPr>
          <w:p w14:paraId="07FD12EA" w14:textId="43B962B8"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(2,42)</w:t>
            </w:r>
          </w:p>
        </w:tc>
        <w:tc>
          <w:tcPr>
            <w:tcW w:w="1116" w:type="dxa"/>
            <w:gridSpan w:val="2"/>
            <w:tcBorders>
              <w:top w:val="single" w:sz="4" w:space="0" w:color="auto"/>
              <w:left w:val="single" w:sz="4" w:space="0" w:color="auto"/>
              <w:bottom w:val="single" w:sz="12" w:space="0" w:color="auto"/>
            </w:tcBorders>
            <w:vAlign w:val="center"/>
          </w:tcPr>
          <w:p w14:paraId="12CB4D96" w14:textId="222F63F4"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165 937</w:t>
            </w:r>
          </w:p>
        </w:tc>
        <w:tc>
          <w:tcPr>
            <w:tcW w:w="727" w:type="dxa"/>
            <w:tcBorders>
              <w:top w:val="single" w:sz="4" w:space="0" w:color="auto"/>
              <w:bottom w:val="single" w:sz="12" w:space="0" w:color="auto"/>
              <w:right w:val="single" w:sz="4" w:space="0" w:color="auto"/>
            </w:tcBorders>
            <w:vAlign w:val="center"/>
          </w:tcPr>
          <w:p w14:paraId="1C6C3E46" w14:textId="7F855B19"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0,68</w:t>
            </w:r>
          </w:p>
        </w:tc>
      </w:tr>
      <w:tr w:rsidR="00030D6B" w:rsidRPr="001F4B94" w14:paraId="4E066DBF" w14:textId="77777777" w:rsidTr="007D5010">
        <w:tblPrEx>
          <w:tblLook w:val="01E0" w:firstRow="1" w:lastRow="1" w:firstColumn="1" w:lastColumn="1" w:noHBand="0" w:noVBand="0"/>
        </w:tblPrEx>
        <w:trPr>
          <w:trHeight w:val="78"/>
        </w:trPr>
        <w:tc>
          <w:tcPr>
            <w:tcW w:w="2425" w:type="dxa"/>
            <w:tcBorders>
              <w:top w:val="single" w:sz="12" w:space="0" w:color="auto"/>
            </w:tcBorders>
            <w:vAlign w:val="bottom"/>
          </w:tcPr>
          <w:p w14:paraId="6216E196" w14:textId="77777777" w:rsidR="00030D6B" w:rsidRPr="004D30A2" w:rsidRDefault="00030D6B" w:rsidP="00DD1BB5">
            <w:pPr>
              <w:rPr>
                <w:rFonts w:ascii="Arial" w:hAnsi="Arial" w:cs="Arial"/>
                <w:sz w:val="4"/>
                <w:szCs w:val="4"/>
                <w:lang w:val="en-CA"/>
              </w:rPr>
            </w:pPr>
          </w:p>
        </w:tc>
        <w:tc>
          <w:tcPr>
            <w:tcW w:w="990" w:type="dxa"/>
            <w:tcBorders>
              <w:top w:val="single" w:sz="12" w:space="0" w:color="auto"/>
            </w:tcBorders>
            <w:vAlign w:val="bottom"/>
          </w:tcPr>
          <w:p w14:paraId="22D92D82" w14:textId="77777777" w:rsidR="00030D6B" w:rsidRPr="004D30A2" w:rsidRDefault="00030D6B" w:rsidP="00DD1BB5">
            <w:pPr>
              <w:tabs>
                <w:tab w:val="decimal" w:pos="882"/>
              </w:tabs>
              <w:ind w:left="-108"/>
              <w:rPr>
                <w:rFonts w:ascii="Arial" w:hAnsi="Arial" w:cs="Arial"/>
                <w:color w:val="000000"/>
                <w:sz w:val="4"/>
                <w:szCs w:val="4"/>
              </w:rPr>
            </w:pPr>
          </w:p>
        </w:tc>
        <w:tc>
          <w:tcPr>
            <w:tcW w:w="833" w:type="dxa"/>
            <w:gridSpan w:val="2"/>
            <w:tcBorders>
              <w:top w:val="single" w:sz="12" w:space="0" w:color="auto"/>
            </w:tcBorders>
            <w:vAlign w:val="bottom"/>
          </w:tcPr>
          <w:p w14:paraId="00B38AEE" w14:textId="77777777" w:rsidR="00030D6B" w:rsidRPr="004D30A2" w:rsidRDefault="00030D6B" w:rsidP="00DD1BB5">
            <w:pPr>
              <w:widowControl w:val="0"/>
              <w:tabs>
                <w:tab w:val="decimal" w:pos="252"/>
              </w:tabs>
              <w:ind w:right="-86"/>
              <w:rPr>
                <w:rFonts w:ascii="Arial" w:hAnsi="Arial" w:cs="Arial"/>
                <w:color w:val="000000"/>
                <w:sz w:val="4"/>
                <w:szCs w:val="4"/>
              </w:rPr>
            </w:pPr>
          </w:p>
        </w:tc>
        <w:tc>
          <w:tcPr>
            <w:tcW w:w="967" w:type="dxa"/>
            <w:tcBorders>
              <w:top w:val="single" w:sz="12" w:space="0" w:color="auto"/>
            </w:tcBorders>
          </w:tcPr>
          <w:p w14:paraId="02E57081" w14:textId="77777777" w:rsidR="00030D6B" w:rsidRPr="004D30A2" w:rsidRDefault="00030D6B" w:rsidP="00DD1BB5">
            <w:pPr>
              <w:tabs>
                <w:tab w:val="decimal" w:pos="864"/>
              </w:tabs>
              <w:ind w:left="-108"/>
              <w:rPr>
                <w:rFonts w:ascii="Arial" w:hAnsi="Arial" w:cs="Arial"/>
                <w:color w:val="000000"/>
                <w:sz w:val="4"/>
                <w:szCs w:val="4"/>
              </w:rPr>
            </w:pPr>
          </w:p>
        </w:tc>
        <w:tc>
          <w:tcPr>
            <w:tcW w:w="876" w:type="dxa"/>
            <w:gridSpan w:val="2"/>
            <w:tcBorders>
              <w:top w:val="single" w:sz="12" w:space="0" w:color="auto"/>
            </w:tcBorders>
            <w:vAlign w:val="bottom"/>
          </w:tcPr>
          <w:p w14:paraId="3719C681" w14:textId="77777777" w:rsidR="00030D6B" w:rsidRPr="004D30A2" w:rsidRDefault="00030D6B" w:rsidP="00DD1BB5">
            <w:pPr>
              <w:widowControl w:val="0"/>
              <w:tabs>
                <w:tab w:val="decimal" w:pos="252"/>
              </w:tabs>
              <w:ind w:right="-86"/>
              <w:rPr>
                <w:rFonts w:ascii="Arial" w:hAnsi="Arial" w:cs="Arial"/>
                <w:color w:val="000000"/>
                <w:sz w:val="4"/>
                <w:szCs w:val="4"/>
              </w:rPr>
            </w:pPr>
          </w:p>
        </w:tc>
        <w:tc>
          <w:tcPr>
            <w:tcW w:w="1104" w:type="dxa"/>
            <w:tcBorders>
              <w:top w:val="single" w:sz="12" w:space="0" w:color="auto"/>
            </w:tcBorders>
          </w:tcPr>
          <w:p w14:paraId="72E10655" w14:textId="77777777" w:rsidR="00030D6B" w:rsidRPr="004D30A2" w:rsidRDefault="00030D6B" w:rsidP="00DD1BB5">
            <w:pPr>
              <w:tabs>
                <w:tab w:val="decimal" w:pos="864"/>
              </w:tabs>
              <w:ind w:left="-108"/>
              <w:rPr>
                <w:rFonts w:ascii="Arial" w:hAnsi="Arial" w:cs="Arial"/>
                <w:color w:val="000000"/>
                <w:sz w:val="4"/>
                <w:szCs w:val="4"/>
              </w:rPr>
            </w:pPr>
          </w:p>
        </w:tc>
        <w:tc>
          <w:tcPr>
            <w:tcW w:w="880" w:type="dxa"/>
            <w:gridSpan w:val="2"/>
            <w:tcBorders>
              <w:top w:val="single" w:sz="12" w:space="0" w:color="auto"/>
            </w:tcBorders>
            <w:vAlign w:val="bottom"/>
          </w:tcPr>
          <w:p w14:paraId="3DBCD6B4" w14:textId="77777777" w:rsidR="00030D6B" w:rsidRPr="004D30A2" w:rsidRDefault="00030D6B" w:rsidP="00DD1BB5">
            <w:pPr>
              <w:widowControl w:val="0"/>
              <w:tabs>
                <w:tab w:val="decimal" w:pos="252"/>
              </w:tabs>
              <w:ind w:right="-86"/>
              <w:rPr>
                <w:rFonts w:ascii="Arial" w:hAnsi="Arial" w:cs="Arial"/>
                <w:color w:val="000000"/>
                <w:sz w:val="4"/>
                <w:szCs w:val="4"/>
              </w:rPr>
            </w:pPr>
          </w:p>
        </w:tc>
        <w:tc>
          <w:tcPr>
            <w:tcW w:w="992" w:type="dxa"/>
            <w:tcBorders>
              <w:top w:val="single" w:sz="12" w:space="0" w:color="auto"/>
            </w:tcBorders>
          </w:tcPr>
          <w:p w14:paraId="1085798E" w14:textId="77777777" w:rsidR="00030D6B" w:rsidRPr="004D30A2" w:rsidRDefault="00030D6B" w:rsidP="00DD1BB5">
            <w:pPr>
              <w:tabs>
                <w:tab w:val="decimal" w:pos="882"/>
              </w:tabs>
              <w:ind w:left="-108"/>
              <w:rPr>
                <w:rFonts w:ascii="Arial" w:hAnsi="Arial" w:cs="Arial"/>
                <w:color w:val="000000"/>
                <w:sz w:val="4"/>
                <w:szCs w:val="4"/>
              </w:rPr>
            </w:pPr>
          </w:p>
        </w:tc>
        <w:tc>
          <w:tcPr>
            <w:tcW w:w="851" w:type="dxa"/>
            <w:gridSpan w:val="2"/>
            <w:tcBorders>
              <w:top w:val="single" w:sz="12" w:space="0" w:color="auto"/>
            </w:tcBorders>
            <w:vAlign w:val="bottom"/>
          </w:tcPr>
          <w:p w14:paraId="6B94FEF8" w14:textId="77777777" w:rsidR="00030D6B" w:rsidRPr="004D30A2" w:rsidRDefault="00030D6B" w:rsidP="00DD1BB5">
            <w:pPr>
              <w:widowControl w:val="0"/>
              <w:tabs>
                <w:tab w:val="decimal" w:pos="252"/>
              </w:tabs>
              <w:ind w:right="-86"/>
              <w:rPr>
                <w:rFonts w:ascii="Arial" w:hAnsi="Arial" w:cs="Arial"/>
                <w:color w:val="000000"/>
                <w:sz w:val="4"/>
                <w:szCs w:val="4"/>
              </w:rPr>
            </w:pPr>
          </w:p>
        </w:tc>
      </w:tr>
    </w:tbl>
    <w:p w14:paraId="4196AB7F" w14:textId="7DED1462" w:rsidR="00AB3773" w:rsidRPr="00CB3E68" w:rsidRDefault="00570F49" w:rsidP="001402A6">
      <w:pPr>
        <w:widowControl w:val="0"/>
        <w:autoSpaceDE w:val="0"/>
        <w:autoSpaceDN w:val="0"/>
        <w:adjustRightInd w:val="0"/>
        <w:spacing w:before="40"/>
        <w:ind w:left="450" w:hanging="270"/>
        <w:jc w:val="both"/>
        <w:rPr>
          <w:rFonts w:ascii="Arial" w:hAnsi="Arial" w:cs="Arial"/>
          <w:sz w:val="16"/>
          <w:szCs w:val="16"/>
          <w:lang w:val="es-ES"/>
        </w:rPr>
      </w:pPr>
      <w:r w:rsidRPr="00CB3E68">
        <w:rPr>
          <w:rFonts w:ascii="Arial" w:hAnsi="Arial" w:cs="Arial"/>
          <w:bCs/>
          <w:sz w:val="18"/>
          <w:szCs w:val="18"/>
          <w:vertAlign w:val="superscript"/>
          <w:lang w:val="es-ES"/>
        </w:rPr>
        <w:t>(1)</w:t>
      </w:r>
      <w:r w:rsidRPr="00CB3E68">
        <w:rPr>
          <w:rFonts w:ascii="Arial" w:hAnsi="Arial" w:cs="Arial"/>
          <w:sz w:val="16"/>
          <w:szCs w:val="16"/>
          <w:lang w:val="es-ES"/>
        </w:rPr>
        <w:t xml:space="preserve">  El «</w:t>
      </w:r>
      <w:proofErr w:type="spellStart"/>
      <w:r w:rsidRPr="00CB3E68">
        <w:rPr>
          <w:rFonts w:ascii="Arial" w:hAnsi="Arial" w:cs="Arial"/>
          <w:sz w:val="16"/>
          <w:szCs w:val="16"/>
          <w:lang w:val="es-ES"/>
        </w:rPr>
        <w:t>netback</w:t>
      </w:r>
      <w:proofErr w:type="spellEnd"/>
      <w:r w:rsidRPr="00CB3E68">
        <w:rPr>
          <w:rFonts w:ascii="Arial" w:hAnsi="Arial" w:cs="Arial"/>
          <w:sz w:val="16"/>
          <w:szCs w:val="16"/>
          <w:lang w:val="es-ES"/>
        </w:rPr>
        <w:t xml:space="preserve"> operativo» es una medida no incluida en las NIIF. El «</w:t>
      </w:r>
      <w:proofErr w:type="spellStart"/>
      <w:r w:rsidRPr="00CB3E68">
        <w:rPr>
          <w:rFonts w:ascii="Arial" w:hAnsi="Arial" w:cs="Arial"/>
          <w:sz w:val="16"/>
          <w:szCs w:val="16"/>
          <w:lang w:val="es-ES"/>
        </w:rPr>
        <w:t>netback</w:t>
      </w:r>
      <w:proofErr w:type="spellEnd"/>
      <w:r w:rsidRPr="00CB3E68">
        <w:rPr>
          <w:rFonts w:ascii="Arial" w:hAnsi="Arial" w:cs="Arial"/>
          <w:sz w:val="16"/>
          <w:szCs w:val="16"/>
          <w:lang w:val="es-ES"/>
        </w:rPr>
        <w:t xml:space="preserve"> operativo por BOE» es </w:t>
      </w:r>
      <w:r w:rsidR="004777D7" w:rsidRPr="00CB3E68">
        <w:rPr>
          <w:rFonts w:ascii="Arial" w:hAnsi="Arial" w:cs="Arial"/>
          <w:sz w:val="16"/>
          <w:szCs w:val="16"/>
          <w:lang w:val="es-ES"/>
        </w:rPr>
        <w:t>una ratio</w:t>
      </w:r>
      <w:r w:rsidR="004777D7">
        <w:rPr>
          <w:rFonts w:ascii="Arial" w:hAnsi="Arial" w:cs="Arial"/>
          <w:sz w:val="16"/>
          <w:szCs w:val="16"/>
          <w:lang w:val="es-ES"/>
        </w:rPr>
        <w:t xml:space="preserve"> no incluida</w:t>
      </w:r>
      <w:r w:rsidRPr="00CB3E68">
        <w:rPr>
          <w:rFonts w:ascii="Arial" w:hAnsi="Arial" w:cs="Arial"/>
          <w:sz w:val="16"/>
          <w:szCs w:val="16"/>
          <w:lang w:val="es-ES"/>
        </w:rPr>
        <w:t xml:space="preserve"> en las NIIF. Véase «Medidas financieras no incluidas en las NIIF y otras medidas financieras».</w:t>
      </w:r>
    </w:p>
    <w:p w14:paraId="350FB30E" w14:textId="77777777" w:rsidR="00042E43" w:rsidRPr="00CB3E68" w:rsidRDefault="00042E43" w:rsidP="00D17181">
      <w:pPr>
        <w:widowControl w:val="0"/>
        <w:rPr>
          <w:rFonts w:ascii="Arial" w:hAnsi="Arial" w:cs="Arial"/>
          <w:sz w:val="20"/>
          <w:szCs w:val="20"/>
          <w:lang w:val="es-ES"/>
        </w:rPr>
      </w:pPr>
    </w:p>
    <w:p w14:paraId="7F9BE0CD" w14:textId="3BA7F518" w:rsidR="00997CEA" w:rsidRPr="00CB3E68" w:rsidRDefault="004777D7" w:rsidP="00D17181">
      <w:pPr>
        <w:widowControl w:val="0"/>
        <w:rPr>
          <w:rFonts w:ascii="Arial" w:hAnsi="Arial" w:cs="Arial"/>
          <w:sz w:val="20"/>
          <w:szCs w:val="20"/>
          <w:lang w:val="es-ES"/>
        </w:rPr>
      </w:pPr>
      <w:r>
        <w:rPr>
          <w:rFonts w:ascii="Arial" w:hAnsi="Arial" w:cs="Arial"/>
          <w:sz w:val="20"/>
          <w:szCs w:val="20"/>
          <w:lang w:val="es-ES"/>
        </w:rPr>
        <w:t>Por</w:t>
      </w:r>
      <w:r w:rsidR="00997CEA" w:rsidRPr="00CB3E68">
        <w:rPr>
          <w:rFonts w:ascii="Arial" w:hAnsi="Arial" w:cs="Arial"/>
          <w:sz w:val="20"/>
          <w:szCs w:val="20"/>
          <w:lang w:val="es-ES"/>
        </w:rPr>
        <w:t xml:space="preserve"> consulta</w:t>
      </w:r>
      <w:r>
        <w:rPr>
          <w:rFonts w:ascii="Arial" w:hAnsi="Arial" w:cs="Arial"/>
          <w:sz w:val="20"/>
          <w:szCs w:val="20"/>
          <w:lang w:val="es-ES"/>
        </w:rPr>
        <w:t>s</w:t>
      </w:r>
      <w:r w:rsidR="00997CEA" w:rsidRPr="00CB3E68">
        <w:rPr>
          <w:rFonts w:ascii="Arial" w:hAnsi="Arial" w:cs="Arial"/>
          <w:sz w:val="20"/>
          <w:szCs w:val="20"/>
          <w:lang w:val="es-ES"/>
        </w:rPr>
        <w:t>, póngase en contacto con:</w:t>
      </w:r>
    </w:p>
    <w:p w14:paraId="1A0C1FB9" w14:textId="3C226EA0" w:rsidR="00997CEA" w:rsidRPr="00CB3E68" w:rsidRDefault="00B53113" w:rsidP="00912885">
      <w:pPr>
        <w:widowControl w:val="0"/>
        <w:spacing w:before="120"/>
        <w:outlineLvl w:val="0"/>
        <w:rPr>
          <w:rFonts w:ascii="Arial" w:hAnsi="Arial" w:cs="Arial"/>
          <w:sz w:val="20"/>
          <w:szCs w:val="20"/>
          <w:highlight w:val="green"/>
          <w:lang w:val="es-ES"/>
        </w:rPr>
      </w:pPr>
      <w:r w:rsidRPr="00CB3E68">
        <w:rPr>
          <w:rFonts w:ascii="Arial" w:hAnsi="Arial" w:cs="Arial"/>
          <w:sz w:val="20"/>
          <w:szCs w:val="20"/>
          <w:lang w:val="es-ES"/>
        </w:rPr>
        <w:t xml:space="preserve">Marisa </w:t>
      </w:r>
      <w:proofErr w:type="spellStart"/>
      <w:r w:rsidRPr="00CB3E68">
        <w:rPr>
          <w:rFonts w:ascii="Arial" w:hAnsi="Arial" w:cs="Arial"/>
          <w:sz w:val="20"/>
          <w:szCs w:val="20"/>
          <w:lang w:val="es-ES"/>
        </w:rPr>
        <w:t>Tormakh</w:t>
      </w:r>
      <w:proofErr w:type="spellEnd"/>
    </w:p>
    <w:p w14:paraId="5E29AA70" w14:textId="79494FB4" w:rsidR="00997CEA" w:rsidRPr="00CB3E68" w:rsidRDefault="00997CEA" w:rsidP="00D17181">
      <w:pPr>
        <w:widowControl w:val="0"/>
        <w:outlineLvl w:val="0"/>
        <w:rPr>
          <w:rFonts w:ascii="Arial" w:hAnsi="Arial" w:cs="Arial"/>
          <w:sz w:val="20"/>
          <w:szCs w:val="20"/>
          <w:lang w:val="es-ES"/>
        </w:rPr>
      </w:pPr>
      <w:r w:rsidRPr="00CB3E68">
        <w:rPr>
          <w:rFonts w:ascii="Arial" w:hAnsi="Arial" w:cs="Arial"/>
          <w:sz w:val="20"/>
          <w:szCs w:val="20"/>
          <w:lang w:val="es-ES"/>
        </w:rPr>
        <w:t>Vicepresidenta de Finanzas y directora financiera</w:t>
      </w:r>
    </w:p>
    <w:p w14:paraId="7F7C674C" w14:textId="11EB5DC2" w:rsidR="00997CEA" w:rsidRPr="00902562" w:rsidRDefault="00997CEA" w:rsidP="00D17181">
      <w:pPr>
        <w:widowControl w:val="0"/>
        <w:rPr>
          <w:rFonts w:ascii="Arial" w:hAnsi="Arial" w:cs="Arial"/>
          <w:sz w:val="20"/>
          <w:szCs w:val="20"/>
        </w:rPr>
      </w:pPr>
      <w:r>
        <w:rPr>
          <w:rFonts w:ascii="Arial" w:hAnsi="Arial" w:cs="Arial"/>
          <w:sz w:val="20"/>
          <w:szCs w:val="20"/>
        </w:rPr>
        <w:t>Tel.: (403) 232-1150</w:t>
      </w:r>
    </w:p>
    <w:p w14:paraId="6293BBEE" w14:textId="07E2C0A1" w:rsidR="00997CEA" w:rsidRPr="00902562" w:rsidRDefault="00997CEA" w:rsidP="00D17181">
      <w:pPr>
        <w:widowControl w:val="0"/>
        <w:rPr>
          <w:rFonts w:ascii="Arial" w:hAnsi="Arial" w:cs="Arial"/>
          <w:sz w:val="20"/>
          <w:szCs w:val="20"/>
        </w:rPr>
      </w:pPr>
      <w:r>
        <w:rPr>
          <w:rFonts w:ascii="Arial" w:hAnsi="Arial" w:cs="Arial"/>
          <w:sz w:val="20"/>
          <w:szCs w:val="20"/>
        </w:rPr>
        <w:t>Crown Point Energy Inc.</w:t>
      </w:r>
    </w:p>
    <w:p w14:paraId="589D73E6" w14:textId="21996CEE" w:rsidR="00997CEA" w:rsidRPr="00902562" w:rsidRDefault="004777D7" w:rsidP="00D17181">
      <w:pPr>
        <w:widowControl w:val="0"/>
        <w:rPr>
          <w:rFonts w:ascii="Arial" w:hAnsi="Arial" w:cs="Arial"/>
          <w:sz w:val="20"/>
          <w:szCs w:val="20"/>
        </w:rPr>
      </w:pPr>
      <w:hyperlink r:id="rId14" w:history="1">
        <w:r w:rsidR="007003F5" w:rsidRPr="00E12617">
          <w:rPr>
            <w:rStyle w:val="Hipervnculo"/>
            <w:rFonts w:ascii="Arial" w:hAnsi="Arial" w:cs="Arial"/>
            <w:sz w:val="20"/>
            <w:szCs w:val="20"/>
          </w:rPr>
          <w:t>mtormakh@crownpointenergy.com</w:t>
        </w:r>
      </w:hyperlink>
    </w:p>
    <w:p w14:paraId="2B74219D" w14:textId="77777777" w:rsidR="0042733B" w:rsidRPr="00902562" w:rsidRDefault="0042733B" w:rsidP="00D17181">
      <w:pPr>
        <w:widowControl w:val="0"/>
        <w:rPr>
          <w:rFonts w:ascii="Arial" w:hAnsi="Arial" w:cs="Arial"/>
          <w:b/>
          <w:i/>
          <w:sz w:val="20"/>
          <w:szCs w:val="20"/>
        </w:rPr>
      </w:pPr>
    </w:p>
    <w:p w14:paraId="213A3C75" w14:textId="77777777" w:rsidR="00997CEA" w:rsidRPr="00902562" w:rsidRDefault="00193809" w:rsidP="00D17181">
      <w:pPr>
        <w:widowControl w:val="0"/>
        <w:rPr>
          <w:rFonts w:ascii="Arial" w:hAnsi="Arial" w:cs="Arial"/>
          <w:b/>
          <w:i/>
          <w:sz w:val="20"/>
          <w:szCs w:val="20"/>
        </w:rPr>
      </w:pPr>
      <w:r>
        <w:rPr>
          <w:rFonts w:ascii="Arial" w:hAnsi="Arial" w:cs="Arial"/>
          <w:b/>
          <w:i/>
          <w:sz w:val="20"/>
          <w:szCs w:val="20"/>
        </w:rPr>
        <w:t>Acerca de Crown Point</w:t>
      </w:r>
    </w:p>
    <w:p w14:paraId="522E25BA" w14:textId="12D426A9" w:rsidR="001757BE" w:rsidRPr="00CB3E68" w:rsidRDefault="00843B59" w:rsidP="00F458A0">
      <w:pPr>
        <w:pStyle w:val="MICONHEADER1"/>
        <w:widowControl w:val="0"/>
        <w:spacing w:line="240" w:lineRule="atLeast"/>
        <w:ind w:left="0"/>
        <w:rPr>
          <w:rFonts w:ascii="Arial" w:hAnsi="Arial" w:cs="Arial"/>
          <w:b w:val="0"/>
          <w:bCs/>
          <w:caps w:val="0"/>
          <w:sz w:val="22"/>
          <w:szCs w:val="22"/>
          <w:lang w:val="es-ES"/>
        </w:rPr>
      </w:pPr>
      <w:r w:rsidRPr="00CB3E68">
        <w:rPr>
          <w:rFonts w:ascii="Arial" w:hAnsi="Arial" w:cs="Arial"/>
          <w:b w:val="0"/>
          <w:bCs/>
          <w:caps w:val="0"/>
          <w:sz w:val="20"/>
          <w:szCs w:val="20"/>
          <w:lang w:val="es-ES"/>
        </w:rPr>
        <w:t xml:space="preserve">Crown Point </w:t>
      </w:r>
      <w:proofErr w:type="spellStart"/>
      <w:r w:rsidRPr="00CB3E68">
        <w:rPr>
          <w:rFonts w:ascii="Arial" w:hAnsi="Arial" w:cs="Arial"/>
          <w:b w:val="0"/>
          <w:bCs/>
          <w:caps w:val="0"/>
          <w:sz w:val="20"/>
          <w:szCs w:val="20"/>
          <w:lang w:val="es-ES"/>
        </w:rPr>
        <w:t>Energy</w:t>
      </w:r>
      <w:proofErr w:type="spellEnd"/>
      <w:r w:rsidRPr="00CB3E68">
        <w:rPr>
          <w:rFonts w:ascii="Arial" w:hAnsi="Arial" w:cs="Arial"/>
          <w:b w:val="0"/>
          <w:bCs/>
          <w:caps w:val="0"/>
          <w:sz w:val="20"/>
          <w:szCs w:val="20"/>
          <w:lang w:val="es-ES"/>
        </w:rPr>
        <w:t xml:space="preserve"> Inc. es una empresa internacional dedicada a la exploración y el desarrollo de petróleo y gas con sede en </w:t>
      </w:r>
      <w:r w:rsidR="00D41AD7" w:rsidRPr="00CB3E68">
        <w:rPr>
          <w:rFonts w:ascii="Arial" w:hAnsi="Arial" w:cs="Arial"/>
          <w:b w:val="0"/>
          <w:bCs/>
          <w:caps w:val="0"/>
          <w:sz w:val="20"/>
          <w:szCs w:val="20"/>
          <w:lang w:val="es-ES"/>
        </w:rPr>
        <w:t>Buenos Aires, Argentina</w:t>
      </w:r>
      <w:r w:rsidRPr="00CB3E68">
        <w:rPr>
          <w:rFonts w:ascii="Arial" w:hAnsi="Arial" w:cs="Arial"/>
          <w:b w:val="0"/>
          <w:bCs/>
          <w:caps w:val="0"/>
          <w:sz w:val="20"/>
          <w:szCs w:val="20"/>
          <w:lang w:val="es-ES"/>
        </w:rPr>
        <w:t xml:space="preserve">, constituida en Canadá, que cotiza en la Bolsa de Valores de Toronto (TSX Venture Exchange) y opera en Argentina. Las actividades de exploración y desarrollo de Crown Point se centran en </w:t>
      </w:r>
      <w:r w:rsidR="00D41AD7" w:rsidRPr="00CB3E68">
        <w:rPr>
          <w:rFonts w:ascii="Arial" w:hAnsi="Arial" w:cs="Arial"/>
          <w:b w:val="0"/>
          <w:bCs/>
          <w:caps w:val="0"/>
          <w:sz w:val="20"/>
          <w:szCs w:val="20"/>
          <w:lang w:val="es-ES"/>
        </w:rPr>
        <w:t xml:space="preserve">cuatro </w:t>
      </w:r>
      <w:r w:rsidRPr="00CB3E68">
        <w:rPr>
          <w:rFonts w:ascii="Arial" w:hAnsi="Arial" w:cs="Arial"/>
          <w:b w:val="0"/>
          <w:bCs/>
          <w:caps w:val="0"/>
          <w:sz w:val="20"/>
          <w:szCs w:val="20"/>
          <w:lang w:val="es-ES"/>
        </w:rPr>
        <w:t xml:space="preserve">cuencas productoras de Argentina: </w:t>
      </w:r>
      <w:r w:rsidR="00D41AD7" w:rsidRPr="00CB3E68">
        <w:rPr>
          <w:rFonts w:ascii="Arial" w:hAnsi="Arial" w:cs="Arial"/>
          <w:b w:val="0"/>
          <w:bCs/>
          <w:caps w:val="0"/>
          <w:sz w:val="20"/>
          <w:szCs w:val="20"/>
          <w:lang w:val="es-ES"/>
        </w:rPr>
        <w:t xml:space="preserve">la cuenca del Golfo San Jorge, en la provincia de Santa Cruz; </w:t>
      </w:r>
      <w:r w:rsidRPr="00CB3E68">
        <w:rPr>
          <w:rFonts w:ascii="Arial" w:hAnsi="Arial" w:cs="Arial"/>
          <w:b w:val="0"/>
          <w:bCs/>
          <w:caps w:val="0"/>
          <w:sz w:val="20"/>
          <w:szCs w:val="20"/>
          <w:lang w:val="es-ES"/>
        </w:rPr>
        <w:t>la cuenca Austral, en la provincia de Tierra del Fuego; y las cuencas de Neuquén y Cuyo (</w:t>
      </w:r>
      <w:r w:rsidR="007F59BC" w:rsidRPr="00CB3E68">
        <w:rPr>
          <w:rFonts w:ascii="Arial" w:hAnsi="Arial" w:cs="Arial"/>
          <w:b w:val="0"/>
          <w:bCs/>
          <w:caps w:val="0"/>
          <w:sz w:val="20"/>
          <w:szCs w:val="20"/>
          <w:lang w:val="es-ES"/>
        </w:rPr>
        <w:t>o Cuyana)</w:t>
      </w:r>
      <w:r w:rsidRPr="00CB3E68">
        <w:rPr>
          <w:rFonts w:ascii="Arial" w:hAnsi="Arial" w:cs="Arial"/>
          <w:b w:val="0"/>
          <w:bCs/>
          <w:caps w:val="0"/>
          <w:sz w:val="20"/>
          <w:szCs w:val="20"/>
          <w:lang w:val="es-ES"/>
        </w:rPr>
        <w:t xml:space="preserve">, en la provincia de Mendoza. La estrategia de Crown Point se centra en establecer una cartera de propiedades productoras, además de oportunidades de mejora de la producción y exploración, con el fin de sentar las bases para el crecimiento futuro. </w:t>
      </w:r>
    </w:p>
    <w:p w14:paraId="4F6A2683" w14:textId="77777777" w:rsidR="00B84B7A" w:rsidRPr="00CB3E68" w:rsidRDefault="00B84B7A" w:rsidP="005D19BE">
      <w:pPr>
        <w:widowControl w:val="0"/>
        <w:jc w:val="both"/>
        <w:rPr>
          <w:rFonts w:ascii="Arial" w:hAnsi="Arial"/>
          <w:b/>
          <w:i/>
          <w:sz w:val="14"/>
          <w:lang w:val="es-ES"/>
        </w:rPr>
      </w:pPr>
    </w:p>
    <w:p w14:paraId="3654568B" w14:textId="77777777" w:rsidR="001757BE" w:rsidRPr="00CB3E68" w:rsidRDefault="00193809" w:rsidP="005D19BE">
      <w:pPr>
        <w:widowControl w:val="0"/>
        <w:jc w:val="both"/>
        <w:rPr>
          <w:rFonts w:ascii="Arial" w:hAnsi="Arial"/>
          <w:b/>
          <w:i/>
          <w:sz w:val="14"/>
          <w:lang w:val="es-ES"/>
        </w:rPr>
      </w:pPr>
      <w:r w:rsidRPr="00CB3E68">
        <w:rPr>
          <w:rFonts w:ascii="Arial" w:hAnsi="Arial"/>
          <w:b/>
          <w:i/>
          <w:sz w:val="14"/>
          <w:lang w:val="es-ES"/>
        </w:rPr>
        <w:t>Advertencia</w:t>
      </w:r>
    </w:p>
    <w:p w14:paraId="5C88DC00" w14:textId="0DFBF544" w:rsidR="00111AED" w:rsidRPr="00CB3E68" w:rsidRDefault="00111AED" w:rsidP="00912885">
      <w:pPr>
        <w:pStyle w:val="Textoindependiente"/>
        <w:widowControl w:val="0"/>
        <w:spacing w:before="60" w:after="0" w:line="240" w:lineRule="auto"/>
        <w:rPr>
          <w:rFonts w:ascii="Arial" w:hAnsi="Arial" w:cs="Arial"/>
          <w:i/>
          <w:sz w:val="14"/>
          <w:szCs w:val="14"/>
          <w:lang w:val="es-ES"/>
        </w:rPr>
      </w:pPr>
      <w:r w:rsidRPr="00CB3E68">
        <w:rPr>
          <w:rFonts w:ascii="Arial" w:eastAsia="Calibri" w:hAnsi="Arial" w:cs="Arial"/>
          <w:i/>
          <w:sz w:val="14"/>
          <w:szCs w:val="14"/>
          <w:u w:val="single"/>
          <w:lang w:val="es-ES"/>
        </w:rPr>
        <w:t>Medidas financieras no contempladas en las NIIF y otras medidas financieras</w:t>
      </w:r>
      <w:r w:rsidRPr="00CB3E68">
        <w:rPr>
          <w:rFonts w:ascii="Arial" w:eastAsia="Calibri" w:hAnsi="Arial" w:cs="Arial"/>
          <w:i/>
          <w:sz w:val="14"/>
          <w:szCs w:val="14"/>
          <w:lang w:val="es-ES"/>
        </w:rPr>
        <w:t xml:space="preserve">: </w:t>
      </w:r>
      <w:r w:rsidRPr="00CB3E68">
        <w:rPr>
          <w:rFonts w:ascii="Arial" w:hAnsi="Arial" w:cs="Arial"/>
          <w:i/>
          <w:sz w:val="14"/>
          <w:szCs w:val="14"/>
          <w:lang w:val="es-ES"/>
        </w:rPr>
        <w:t>A lo largo de este comunicado de prensa y en otros materiales divulgados por la Compañía, empleamos ciertas medidas para analizar el rendimiento financiero, la situación financiera y el flujo de caja. Estas medidas financieras no contempladas en las NIIF y otras medidas financieras no tienen un significado estandarizado prescrito por las NIIF y, por lo tanto, pueden no ser comparables con medidas similares proporcionadas por otros emisores.  Las medidas financieras no conformes con las NIIF y otras medidas financieras no deben considerarse más significativas que las medidas financieras determinadas de acuerdo con las NIIF, como los ingresos netos (pérdidas), los ingresos por ventas de petróleo y gas natural y el efectivo neto (</w:t>
      </w:r>
      <w:r w:rsidR="00473DE7" w:rsidRPr="00CB3E68">
        <w:rPr>
          <w:rFonts w:ascii="Arial" w:hAnsi="Arial" w:cs="Arial"/>
          <w:i/>
          <w:sz w:val="14"/>
          <w:szCs w:val="14"/>
          <w:lang w:val="es-ES"/>
        </w:rPr>
        <w:t xml:space="preserve">utilizado) </w:t>
      </w:r>
      <w:r w:rsidRPr="00CB3E68">
        <w:rPr>
          <w:rFonts w:ascii="Arial" w:hAnsi="Arial" w:cs="Arial"/>
          <w:i/>
          <w:sz w:val="14"/>
          <w:szCs w:val="14"/>
          <w:lang w:val="es-ES"/>
        </w:rPr>
        <w:t xml:space="preserve">proporcionado por las actividades operativas como indicadores de nuestro rendimiento.  </w:t>
      </w:r>
    </w:p>
    <w:p w14:paraId="63FC7477" w14:textId="7DA5183B" w:rsidR="003F2A86" w:rsidRPr="00CB3E68" w:rsidRDefault="003F2A86" w:rsidP="003F2A86">
      <w:pPr>
        <w:pStyle w:val="Ne3"/>
        <w:widowControl w:val="0"/>
        <w:spacing w:before="60" w:line="240" w:lineRule="auto"/>
        <w:ind w:left="0"/>
        <w:rPr>
          <w:rFonts w:cs="Arial"/>
          <w:i/>
          <w:sz w:val="14"/>
          <w:szCs w:val="14"/>
          <w:lang w:val="es-ES"/>
        </w:rPr>
      </w:pPr>
      <w:r w:rsidRPr="00CB3E68">
        <w:rPr>
          <w:rFonts w:cs="Arial"/>
          <w:i/>
          <w:sz w:val="14"/>
          <w:szCs w:val="14"/>
          <w:lang w:val="es-ES"/>
        </w:rPr>
        <w:t>El «</w:t>
      </w:r>
      <w:proofErr w:type="spellStart"/>
      <w:r w:rsidRPr="00CB3E68">
        <w:rPr>
          <w:rFonts w:cs="Arial"/>
          <w:i/>
          <w:sz w:val="14"/>
          <w:szCs w:val="14"/>
          <w:lang w:val="es-ES"/>
        </w:rPr>
        <w:t>netback</w:t>
      </w:r>
      <w:proofErr w:type="spellEnd"/>
      <w:r w:rsidRPr="00CB3E68">
        <w:rPr>
          <w:rFonts w:cs="Arial"/>
          <w:i/>
          <w:sz w:val="14"/>
          <w:szCs w:val="14"/>
          <w:lang w:val="es-ES"/>
        </w:rPr>
        <w:t xml:space="preserve"> operativo» es una medida no contemplada en las NIIF. El </w:t>
      </w:r>
      <w:proofErr w:type="spellStart"/>
      <w:r w:rsidRPr="00CB3E68">
        <w:rPr>
          <w:rFonts w:cs="Arial"/>
          <w:i/>
          <w:sz w:val="14"/>
          <w:szCs w:val="14"/>
          <w:lang w:val="es-ES"/>
        </w:rPr>
        <w:t>netback</w:t>
      </w:r>
      <w:proofErr w:type="spellEnd"/>
      <w:r w:rsidRPr="00CB3E68">
        <w:rPr>
          <w:rFonts w:cs="Arial"/>
          <w:i/>
          <w:sz w:val="14"/>
          <w:szCs w:val="14"/>
          <w:lang w:val="es-ES"/>
        </w:rPr>
        <w:t xml:space="preserve"> operativo se compone de </w:t>
      </w:r>
      <w:r w:rsidR="00075E49" w:rsidRPr="00CB3E68">
        <w:rPr>
          <w:rFonts w:cs="Arial"/>
          <w:i/>
          <w:sz w:val="14"/>
          <w:szCs w:val="14"/>
          <w:lang w:val="es-ES"/>
        </w:rPr>
        <w:t>los ingresos</w:t>
      </w:r>
      <w:r w:rsidRPr="00CB3E68">
        <w:rPr>
          <w:rFonts w:cs="Arial"/>
          <w:i/>
          <w:sz w:val="14"/>
          <w:szCs w:val="14"/>
          <w:lang w:val="es-ES"/>
        </w:rPr>
        <w:t xml:space="preserve"> por ventas de petróleo y gas natural menos los impuestos a la exportación, las regalías y el impuesto sobre el volumen de negocios y los costes operativos.  </w:t>
      </w:r>
      <w:r w:rsidRPr="00CB3E68">
        <w:rPr>
          <w:i/>
          <w:sz w:val="14"/>
          <w:szCs w:val="14"/>
          <w:lang w:val="es-ES"/>
        </w:rPr>
        <w:t xml:space="preserve">La dirección considera que esta medida es una medida complementaria útil de la rentabilidad de la empresa en relación con los precios de las materias primas.  </w:t>
      </w:r>
      <w:r w:rsidRPr="00CB3E68">
        <w:rPr>
          <w:rFonts w:cs="Arial"/>
          <w:i/>
          <w:sz w:val="14"/>
          <w:szCs w:val="14"/>
          <w:lang w:val="es-ES"/>
        </w:rPr>
        <w:t>Véase «</w:t>
      </w:r>
      <w:proofErr w:type="spellStart"/>
      <w:r w:rsidRPr="00CB3E68">
        <w:rPr>
          <w:rFonts w:cs="Arial"/>
          <w:i/>
          <w:sz w:val="14"/>
          <w:szCs w:val="14"/>
          <w:lang w:val="es-ES"/>
        </w:rPr>
        <w:t>Netback</w:t>
      </w:r>
      <w:proofErr w:type="spellEnd"/>
      <w:r w:rsidRPr="00CB3E68">
        <w:rPr>
          <w:rFonts w:cs="Arial"/>
          <w:i/>
          <w:sz w:val="14"/>
          <w:szCs w:val="14"/>
          <w:lang w:val="es-ES"/>
        </w:rPr>
        <w:t xml:space="preserve"> operativo» para una conciliación del </w:t>
      </w:r>
      <w:proofErr w:type="spellStart"/>
      <w:r w:rsidRPr="00CB3E68">
        <w:rPr>
          <w:rFonts w:cs="Arial"/>
          <w:i/>
          <w:sz w:val="14"/>
          <w:szCs w:val="14"/>
          <w:lang w:val="es-ES"/>
        </w:rPr>
        <w:t>netback</w:t>
      </w:r>
      <w:proofErr w:type="spellEnd"/>
      <w:r w:rsidRPr="00CB3E68">
        <w:rPr>
          <w:rFonts w:cs="Arial"/>
          <w:i/>
          <w:sz w:val="14"/>
          <w:szCs w:val="14"/>
          <w:lang w:val="es-ES"/>
        </w:rPr>
        <w:t xml:space="preserve"> operativo con los ingresos por ventas de petróleo y gas natural, que es nuestra medida más cercana prescrita por las NIIF.</w:t>
      </w:r>
    </w:p>
    <w:p w14:paraId="670CEF04" w14:textId="77777777" w:rsidR="001402A6" w:rsidRPr="00CB3E68" w:rsidRDefault="001402A6" w:rsidP="001402A6">
      <w:pPr>
        <w:pStyle w:val="Textoindependiente"/>
        <w:widowControl w:val="0"/>
        <w:spacing w:before="60" w:after="0" w:line="240" w:lineRule="auto"/>
        <w:rPr>
          <w:rFonts w:ascii="Arial" w:hAnsi="Arial" w:cs="Arial"/>
          <w:i/>
          <w:sz w:val="14"/>
          <w:szCs w:val="14"/>
          <w:lang w:val="es-ES"/>
        </w:rPr>
      </w:pPr>
      <w:r w:rsidRPr="00CB3E68">
        <w:rPr>
          <w:rFonts w:ascii="Arial" w:hAnsi="Arial" w:cs="Arial"/>
          <w:i/>
          <w:sz w:val="14"/>
          <w:szCs w:val="14"/>
          <w:lang w:val="es-ES"/>
        </w:rPr>
        <w:t>El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por BOE» es </w:t>
      </w:r>
      <w:proofErr w:type="gramStart"/>
      <w:r w:rsidRPr="00CB3E68">
        <w:rPr>
          <w:rFonts w:ascii="Arial" w:hAnsi="Arial" w:cs="Arial"/>
          <w:i/>
          <w:sz w:val="14"/>
          <w:szCs w:val="14"/>
          <w:lang w:val="es-ES"/>
        </w:rPr>
        <w:t>un ratio</w:t>
      </w:r>
      <w:proofErr w:type="gramEnd"/>
      <w:r w:rsidRPr="00CB3E68">
        <w:rPr>
          <w:rFonts w:ascii="Arial" w:hAnsi="Arial" w:cs="Arial"/>
          <w:i/>
          <w:sz w:val="14"/>
          <w:szCs w:val="14"/>
          <w:lang w:val="es-ES"/>
        </w:rPr>
        <w:t xml:space="preserve"> no contemplado en las NIIF.  El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por BOE se compone del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dividido por el volumen total de ventas de BOE en el periodo.  La dirección considera que esta medida es una medida complementaria útil de la rentabilidad de la empresa en relación con los precios de las materias primas. Además, la dirección considera que el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por BOE es una medida clave del rendimiento del sector en cuanto a eficiencia operativa y proporciona a los inversores información que también suelen presentar otros productores de petróleo crudo y gas natural. El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es una medida no contemplada en las NIIF. Consulte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para obtener el cálculo del </w:t>
      </w:r>
      <w:proofErr w:type="spellStart"/>
      <w:r w:rsidRPr="00CB3E68">
        <w:rPr>
          <w:rFonts w:ascii="Arial" w:hAnsi="Arial" w:cs="Arial"/>
          <w:i/>
          <w:sz w:val="14"/>
          <w:szCs w:val="14"/>
          <w:lang w:val="es-ES"/>
        </w:rPr>
        <w:t>netback</w:t>
      </w:r>
      <w:proofErr w:type="spellEnd"/>
      <w:r w:rsidRPr="00CB3E68">
        <w:rPr>
          <w:rFonts w:ascii="Arial" w:hAnsi="Arial" w:cs="Arial"/>
          <w:i/>
          <w:sz w:val="14"/>
          <w:szCs w:val="14"/>
          <w:lang w:val="es-ES"/>
        </w:rPr>
        <w:t xml:space="preserve"> operativo por BOE.</w:t>
      </w:r>
    </w:p>
    <w:p w14:paraId="763A5AF8" w14:textId="77777777" w:rsidR="001402A6" w:rsidRPr="00CB3E68" w:rsidRDefault="001402A6" w:rsidP="001402A6">
      <w:pPr>
        <w:pStyle w:val="Textoindependiente"/>
        <w:widowControl w:val="0"/>
        <w:spacing w:before="60" w:after="0" w:line="240" w:lineRule="auto"/>
        <w:rPr>
          <w:rFonts w:ascii="Arial" w:hAnsi="Arial" w:cs="Arial"/>
          <w:i/>
          <w:sz w:val="14"/>
          <w:szCs w:val="14"/>
          <w:lang w:val="es-ES"/>
        </w:rPr>
      </w:pPr>
      <w:r w:rsidRPr="00CB3E68">
        <w:rPr>
          <w:rFonts w:ascii="Arial" w:hAnsi="Arial" w:cs="Arial"/>
          <w:i/>
          <w:sz w:val="14"/>
          <w:szCs w:val="14"/>
          <w:lang w:val="es-ES"/>
        </w:rPr>
        <w:t>El «capital circulante» es una medida de gestión del capital. El capital circulante se compone de los activos corrientes menos los pasivos corrientes. La dirección considera que el capital circulante es una medida útil para evaluar la posición de capital de la empresa y su capacidad para ejecutar sus compromisos de exploración existentes y su participación en cualquier programa de desarrollo. Véase «Resumen de la información financiera» para una conciliación del capital circulante con los activos corrientes y los pasivos corrientes, que son nuestras medidas más cercanas prescritas por las NIIF.</w:t>
      </w:r>
    </w:p>
    <w:p w14:paraId="37C0D93A" w14:textId="163A680A" w:rsidR="00111AED" w:rsidRPr="00CB3E68" w:rsidRDefault="00111AED" w:rsidP="00912885">
      <w:pPr>
        <w:widowControl w:val="0"/>
        <w:spacing w:before="60"/>
        <w:jc w:val="both"/>
        <w:rPr>
          <w:rFonts w:ascii="Arial" w:hAnsi="Arial" w:cs="Arial"/>
          <w:i/>
          <w:sz w:val="14"/>
          <w:szCs w:val="14"/>
          <w:lang w:val="es-ES"/>
        </w:rPr>
      </w:pPr>
      <w:r w:rsidRPr="00CB3E68">
        <w:rPr>
          <w:rFonts w:ascii="Arial" w:eastAsia="Calibri" w:hAnsi="Arial" w:cs="Arial"/>
          <w:i/>
          <w:sz w:val="14"/>
          <w:szCs w:val="14"/>
          <w:u w:val="single"/>
          <w:lang w:val="es-ES"/>
        </w:rPr>
        <w:t>Abreviaturas y presentación de BOE</w:t>
      </w:r>
      <w:r w:rsidRPr="00CB3E68">
        <w:rPr>
          <w:rFonts w:ascii="Arial" w:eastAsia="Calibri" w:hAnsi="Arial" w:cs="Arial"/>
          <w:i/>
          <w:sz w:val="14"/>
          <w:szCs w:val="14"/>
          <w:lang w:val="es-ES"/>
        </w:rPr>
        <w:t xml:space="preserve">: </w:t>
      </w:r>
      <w:r w:rsidRPr="00CB3E68">
        <w:rPr>
          <w:rFonts w:ascii="Arial" w:hAnsi="Arial" w:cs="Arial"/>
          <w:i/>
          <w:sz w:val="14"/>
          <w:szCs w:val="14"/>
          <w:lang w:val="es-ES"/>
        </w:rPr>
        <w:t>«</w:t>
      </w:r>
      <w:proofErr w:type="spellStart"/>
      <w:r w:rsidRPr="00CB3E68">
        <w:rPr>
          <w:rFonts w:ascii="Arial" w:hAnsi="Arial" w:cs="Arial"/>
          <w:i/>
          <w:sz w:val="14"/>
          <w:szCs w:val="14"/>
          <w:lang w:val="es-ES"/>
        </w:rPr>
        <w:t>bbl</w:t>
      </w:r>
      <w:proofErr w:type="spellEnd"/>
      <w:r w:rsidRPr="00CB3E68">
        <w:rPr>
          <w:rFonts w:ascii="Arial" w:hAnsi="Arial" w:cs="Arial"/>
          <w:i/>
          <w:sz w:val="14"/>
          <w:szCs w:val="14"/>
          <w:lang w:val="es-ES"/>
        </w:rPr>
        <w:t xml:space="preserve">» significa barril; </w:t>
      </w:r>
      <w:r w:rsidRPr="00CB3E68">
        <w:rPr>
          <w:rFonts w:ascii="Arial" w:eastAsia="Calibri" w:hAnsi="Arial" w:cs="Arial"/>
          <w:i/>
          <w:sz w:val="14"/>
          <w:szCs w:val="14"/>
          <w:lang w:val="es-ES"/>
        </w:rPr>
        <w:t>«</w:t>
      </w:r>
      <w:proofErr w:type="spellStart"/>
      <w:r w:rsidRPr="00CB3E68">
        <w:rPr>
          <w:rFonts w:ascii="Arial" w:eastAsia="Calibri" w:hAnsi="Arial" w:cs="Arial"/>
          <w:i/>
          <w:sz w:val="14"/>
          <w:szCs w:val="14"/>
          <w:lang w:val="es-ES"/>
        </w:rPr>
        <w:t>bbls</w:t>
      </w:r>
      <w:proofErr w:type="spellEnd"/>
      <w:r w:rsidRPr="00CB3E68">
        <w:rPr>
          <w:rFonts w:ascii="Arial" w:eastAsia="Calibri" w:hAnsi="Arial" w:cs="Arial"/>
          <w:i/>
          <w:sz w:val="14"/>
          <w:szCs w:val="14"/>
          <w:lang w:val="es-ES"/>
        </w:rPr>
        <w:t xml:space="preserve">» </w:t>
      </w:r>
      <w:r w:rsidRPr="00CB3E68">
        <w:rPr>
          <w:rFonts w:ascii="Arial" w:eastAsia="Calibri" w:hAnsi="Arial"/>
          <w:i/>
          <w:sz w:val="14"/>
          <w:lang w:val="es-ES"/>
        </w:rPr>
        <w:t xml:space="preserve">significa barriles; </w:t>
      </w:r>
      <w:r w:rsidRPr="00CB3E68">
        <w:rPr>
          <w:rFonts w:ascii="Arial" w:eastAsia="Calibri" w:hAnsi="Arial" w:cs="Arial"/>
          <w:i/>
          <w:sz w:val="14"/>
          <w:szCs w:val="14"/>
          <w:lang w:val="es-ES"/>
        </w:rPr>
        <w:t>«BOE» significa barriles equivalentes de petróleo; «</w:t>
      </w:r>
      <w:proofErr w:type="spellStart"/>
      <w:r w:rsidRPr="00CB3E68">
        <w:rPr>
          <w:rFonts w:ascii="Arial" w:eastAsia="Calibri" w:hAnsi="Arial" w:cs="Arial"/>
          <w:i/>
          <w:sz w:val="14"/>
          <w:szCs w:val="14"/>
          <w:lang w:val="es-ES"/>
        </w:rPr>
        <w:t>mcf</w:t>
      </w:r>
      <w:proofErr w:type="spellEnd"/>
      <w:r w:rsidRPr="00CB3E68">
        <w:rPr>
          <w:rFonts w:ascii="Arial" w:eastAsia="Calibri" w:hAnsi="Arial" w:cs="Arial"/>
          <w:i/>
          <w:sz w:val="14"/>
          <w:szCs w:val="14"/>
          <w:lang w:val="es-ES"/>
        </w:rPr>
        <w:t>» significa mil pies cúbicos</w:t>
      </w:r>
      <w:r w:rsidR="00A338FB" w:rsidRPr="00CB3E68">
        <w:rPr>
          <w:rFonts w:ascii="Arial" w:eastAsia="Calibri" w:hAnsi="Arial" w:cs="Arial"/>
          <w:i/>
          <w:sz w:val="14"/>
          <w:szCs w:val="14"/>
          <w:lang w:val="es-ES"/>
        </w:rPr>
        <w:t xml:space="preserve">; </w:t>
      </w:r>
      <w:r w:rsidRPr="00CB3E68">
        <w:rPr>
          <w:rFonts w:ascii="Arial" w:eastAsia="Calibri" w:hAnsi="Arial" w:cs="Arial"/>
          <w:i/>
          <w:sz w:val="14"/>
          <w:szCs w:val="14"/>
          <w:lang w:val="es-ES"/>
        </w:rPr>
        <w:t>«</w:t>
      </w:r>
      <w:proofErr w:type="spellStart"/>
      <w:r w:rsidRPr="00CB3E68">
        <w:rPr>
          <w:rFonts w:ascii="Arial" w:eastAsia="Calibri" w:hAnsi="Arial" w:cs="Arial"/>
          <w:i/>
          <w:sz w:val="14"/>
          <w:szCs w:val="14"/>
          <w:lang w:val="es-ES"/>
        </w:rPr>
        <w:t>mmcf</w:t>
      </w:r>
      <w:proofErr w:type="spellEnd"/>
      <w:r w:rsidRPr="00CB3E68">
        <w:rPr>
          <w:rFonts w:ascii="Arial" w:eastAsia="Calibri" w:hAnsi="Arial" w:cs="Arial"/>
          <w:i/>
          <w:sz w:val="14"/>
          <w:szCs w:val="14"/>
          <w:lang w:val="es-ES"/>
        </w:rPr>
        <w:t xml:space="preserve">» significa millones de pies cúbicos; «NGL» significa líquidos de gas natural; </w:t>
      </w:r>
      <w:r w:rsidRPr="00CB3E68">
        <w:rPr>
          <w:rFonts w:ascii="Arial" w:eastAsia="Calibri" w:hAnsi="Arial"/>
          <w:i/>
          <w:sz w:val="14"/>
          <w:lang w:val="es-ES"/>
        </w:rPr>
        <w:t xml:space="preserve">«UTE» </w:t>
      </w:r>
      <w:r w:rsidRPr="00CB3E68">
        <w:rPr>
          <w:rFonts w:ascii="Arial" w:eastAsia="Calibri" w:hAnsi="Arial" w:cs="Arial"/>
          <w:i/>
          <w:sz w:val="14"/>
          <w:szCs w:val="14"/>
          <w:lang w:val="es-ES"/>
        </w:rPr>
        <w:t xml:space="preserve">significa </w:t>
      </w:r>
      <w:r w:rsidRPr="00CB3E68">
        <w:rPr>
          <w:rFonts w:ascii="Arial" w:hAnsi="Arial" w:cs="Arial"/>
          <w:i/>
          <w:sz w:val="14"/>
          <w:szCs w:val="14"/>
          <w:lang w:val="es-ES"/>
        </w:rPr>
        <w:t>Unión Transitoria de Empresas, que es un contrato de empresa conjunta registrado establecido bajo las leyes de Argentina</w:t>
      </w:r>
      <w:r w:rsidR="00596803" w:rsidRPr="00CB3E68">
        <w:rPr>
          <w:rFonts w:ascii="Arial" w:eastAsia="Calibri" w:hAnsi="Arial" w:cs="Arial"/>
          <w:i/>
          <w:sz w:val="14"/>
          <w:szCs w:val="14"/>
          <w:lang w:val="es-ES"/>
        </w:rPr>
        <w:t xml:space="preserve">, y </w:t>
      </w:r>
      <w:r w:rsidRPr="00CB3E68">
        <w:rPr>
          <w:rFonts w:ascii="Arial" w:eastAsia="Calibri" w:hAnsi="Arial"/>
          <w:i/>
          <w:sz w:val="14"/>
          <w:lang w:val="es-ES"/>
        </w:rPr>
        <w:t>«WI» significa participación en la explotación</w:t>
      </w:r>
      <w:r w:rsidR="00596803" w:rsidRPr="00CB3E68">
        <w:rPr>
          <w:rFonts w:ascii="Arial" w:eastAsia="Calibri" w:hAnsi="Arial"/>
          <w:i/>
          <w:sz w:val="14"/>
          <w:lang w:val="es-ES"/>
        </w:rPr>
        <w:t xml:space="preserve">. </w:t>
      </w:r>
      <w:r w:rsidRPr="00CB3E68">
        <w:rPr>
          <w:rFonts w:ascii="Arial" w:hAnsi="Arial" w:cs="Arial"/>
          <w:i/>
          <w:sz w:val="14"/>
          <w:szCs w:val="14"/>
          <w:lang w:val="es-ES"/>
        </w:rPr>
        <w:t xml:space="preserve">Todas las conversiones de BOE en este comunicado de prensa se obtienen convirtiendo el gas natural en petróleo en una proporción de seis </w:t>
      </w:r>
      <w:proofErr w:type="spellStart"/>
      <w:r w:rsidRPr="00CB3E68">
        <w:rPr>
          <w:rFonts w:ascii="Arial" w:hAnsi="Arial" w:cs="Arial"/>
          <w:i/>
          <w:sz w:val="14"/>
          <w:szCs w:val="14"/>
          <w:lang w:val="es-ES"/>
        </w:rPr>
        <w:t>mcf</w:t>
      </w:r>
      <w:proofErr w:type="spellEnd"/>
      <w:r w:rsidRPr="00CB3E68">
        <w:rPr>
          <w:rFonts w:ascii="Arial" w:hAnsi="Arial" w:cs="Arial"/>
          <w:i/>
          <w:sz w:val="14"/>
          <w:szCs w:val="14"/>
          <w:lang w:val="es-ES"/>
        </w:rPr>
        <w:t xml:space="preserve"> de gas por cada </w:t>
      </w:r>
      <w:proofErr w:type="spellStart"/>
      <w:r w:rsidRPr="00CB3E68">
        <w:rPr>
          <w:rFonts w:ascii="Arial" w:hAnsi="Arial" w:cs="Arial"/>
          <w:i/>
          <w:sz w:val="14"/>
          <w:szCs w:val="14"/>
          <w:lang w:val="es-ES"/>
        </w:rPr>
        <w:t>bbl</w:t>
      </w:r>
      <w:proofErr w:type="spellEnd"/>
      <w:r w:rsidRPr="00CB3E68">
        <w:rPr>
          <w:rFonts w:ascii="Arial" w:hAnsi="Arial" w:cs="Arial"/>
          <w:i/>
          <w:sz w:val="14"/>
          <w:szCs w:val="14"/>
          <w:lang w:val="es-ES"/>
        </w:rPr>
        <w:t xml:space="preserve"> de petróleo. El BOE puede ser engañoso, especialmente si se utiliza de forma aislada.  La relación de conversión de BOE de seis </w:t>
      </w:r>
      <w:proofErr w:type="spellStart"/>
      <w:r w:rsidRPr="00CB3E68">
        <w:rPr>
          <w:rFonts w:ascii="Arial" w:hAnsi="Arial" w:cs="Arial"/>
          <w:i/>
          <w:sz w:val="14"/>
          <w:szCs w:val="14"/>
          <w:lang w:val="es-ES"/>
        </w:rPr>
        <w:t>mcf</w:t>
      </w:r>
      <w:proofErr w:type="spellEnd"/>
      <w:r w:rsidRPr="00CB3E68">
        <w:rPr>
          <w:rFonts w:ascii="Arial" w:hAnsi="Arial" w:cs="Arial"/>
          <w:i/>
          <w:sz w:val="14"/>
          <w:szCs w:val="14"/>
          <w:lang w:val="es-ES"/>
        </w:rPr>
        <w:t xml:space="preserve"> de gas por un </w:t>
      </w:r>
      <w:proofErr w:type="spellStart"/>
      <w:r w:rsidRPr="00CB3E68">
        <w:rPr>
          <w:rFonts w:ascii="Arial" w:hAnsi="Arial" w:cs="Arial"/>
          <w:i/>
          <w:sz w:val="14"/>
          <w:szCs w:val="14"/>
          <w:lang w:val="es-ES"/>
        </w:rPr>
        <w:t>bbl</w:t>
      </w:r>
      <w:proofErr w:type="spellEnd"/>
      <w:r w:rsidRPr="00CB3E68">
        <w:rPr>
          <w:rFonts w:ascii="Arial" w:hAnsi="Arial" w:cs="Arial"/>
          <w:i/>
          <w:sz w:val="14"/>
          <w:szCs w:val="14"/>
          <w:lang w:val="es-ES"/>
        </w:rPr>
        <w:t xml:space="preserve"> de petróleo (6 </w:t>
      </w:r>
      <w:proofErr w:type="spellStart"/>
      <w:r w:rsidRPr="00CB3E68">
        <w:rPr>
          <w:rFonts w:ascii="Arial" w:hAnsi="Arial" w:cs="Arial"/>
          <w:i/>
          <w:sz w:val="14"/>
          <w:szCs w:val="14"/>
          <w:lang w:val="es-ES"/>
        </w:rPr>
        <w:t>mcf</w:t>
      </w:r>
      <w:proofErr w:type="spellEnd"/>
      <w:r w:rsidRPr="00CB3E68">
        <w:rPr>
          <w:rFonts w:ascii="Arial" w:hAnsi="Arial" w:cs="Arial"/>
          <w:i/>
          <w:sz w:val="14"/>
          <w:szCs w:val="14"/>
          <w:lang w:val="es-ES"/>
        </w:rPr>
        <w:t xml:space="preserve">: 1 </w:t>
      </w:r>
      <w:proofErr w:type="spellStart"/>
      <w:r w:rsidRPr="00CB3E68">
        <w:rPr>
          <w:rFonts w:ascii="Arial" w:hAnsi="Arial" w:cs="Arial"/>
          <w:i/>
          <w:sz w:val="14"/>
          <w:szCs w:val="14"/>
          <w:lang w:val="es-ES"/>
        </w:rPr>
        <w:t>bbl</w:t>
      </w:r>
      <w:proofErr w:type="spellEnd"/>
      <w:r w:rsidRPr="00CB3E68">
        <w:rPr>
          <w:rFonts w:ascii="Arial" w:hAnsi="Arial" w:cs="Arial"/>
          <w:i/>
          <w:sz w:val="14"/>
          <w:szCs w:val="14"/>
          <w:lang w:val="es-ES"/>
        </w:rPr>
        <w:t>) se basa en un método de conversión de equivalencia energética aplicable principalmente en la punta del quemador y no representa una equivalencia de valor en la boca del pozo.  Dado que la relación de valor basada en el precio del petróleo crudo en comparación con el gas natural en Argentina puede variar periódicamente y diferir de la relación de conversión de equivalencia energética de 6:1, utilizar una conversión sobre una base de 6:1 puede ser engañoso como indicación de valor.</w:t>
      </w:r>
    </w:p>
    <w:p w14:paraId="17F423FC" w14:textId="357267F2" w:rsidR="00763017" w:rsidRPr="00CB3E68" w:rsidRDefault="00763017" w:rsidP="00763017">
      <w:pPr>
        <w:pStyle w:val="Ne3"/>
        <w:widowControl w:val="0"/>
        <w:spacing w:before="60" w:line="240" w:lineRule="auto"/>
        <w:ind w:left="0"/>
        <w:rPr>
          <w:color w:val="FF0000"/>
          <w:sz w:val="14"/>
          <w:szCs w:val="14"/>
          <w:lang w:val="es-ES"/>
        </w:rPr>
      </w:pPr>
      <w:bookmarkStart w:id="0" w:name="_Hlk150355452"/>
      <w:bookmarkStart w:id="1" w:name="_Hlk118884858"/>
      <w:r w:rsidRPr="00CB3E68">
        <w:rPr>
          <w:rFonts w:eastAsia="Calibri" w:cs="Arial"/>
          <w:i/>
          <w:sz w:val="14"/>
          <w:szCs w:val="14"/>
          <w:u w:val="single"/>
          <w:lang w:val="es-ES"/>
        </w:rPr>
        <w:t>Información prospectiva</w:t>
      </w:r>
      <w:r w:rsidRPr="00CB3E68">
        <w:rPr>
          <w:rFonts w:eastAsia="Calibri" w:cs="Arial"/>
          <w:i/>
          <w:sz w:val="14"/>
          <w:szCs w:val="14"/>
          <w:lang w:val="es-ES"/>
        </w:rPr>
        <w:t xml:space="preserve">: </w:t>
      </w:r>
      <w:r w:rsidRPr="00CB3E68">
        <w:rPr>
          <w:rFonts w:cs="Arial"/>
          <w:i/>
          <w:sz w:val="14"/>
          <w:szCs w:val="14"/>
          <w:lang w:val="es-ES"/>
        </w:rPr>
        <w:t xml:space="preserve">Este documento contiene información prospectiva. </w:t>
      </w:r>
      <w:bookmarkStart w:id="2" w:name="_GoBack"/>
      <w:bookmarkEnd w:id="2"/>
      <w:r w:rsidRPr="00CB3E68">
        <w:rPr>
          <w:rFonts w:cs="Arial"/>
          <w:i/>
          <w:sz w:val="14"/>
          <w:szCs w:val="14"/>
          <w:lang w:val="es-ES"/>
        </w:rPr>
        <w:t xml:space="preserve">Esta información está relacionada con acontecimientos futuros y con el rendimiento futuro de la empresa.  Toda la información y las declaraciones contenidas en el presente documento que no sean claramente de carácter histórico constituyen información prospectiva.  Dicha información representa </w:t>
      </w:r>
      <w:r w:rsidRPr="00CB3E68">
        <w:rPr>
          <w:i/>
          <w:sz w:val="14"/>
          <w:szCs w:val="14"/>
          <w:lang w:val="es-ES"/>
        </w:rPr>
        <w:t xml:space="preserve">las proyecciones, estimaciones, expectativas, creencias, planes, objetivos, suposiciones, intenciones o declaraciones internas de la Compañía sobre eventos o resultados futuros. Esta información implica riesgos conocidos o desconocidos, incertidumbres y otros factores que pueden hacer que los resultados o eventos reales difieran materialmente de los anticipados en dicha información prospectiva. Además, este documento puede contener información prospectiva atribuida a fuentes industriales de terceros.  Crown Point cree que las expectativas reflejadas en esta información prospectiva son razonables; sin embargo, no se debe depositar una confianza indebida en esta información prospectiva, ya que no se puede garantizar que los planes, intenciones o expectativas en los que se basa se vayan a cumplir. Este comunicado de prensa contiene información prospectiva relativa, entre otras cosas, a lo siguiente: </w:t>
      </w:r>
      <w:r w:rsidR="004748BE" w:rsidRPr="00CB3E68">
        <w:rPr>
          <w:i/>
          <w:sz w:val="14"/>
          <w:szCs w:val="14"/>
          <w:lang w:val="es-ES"/>
        </w:rPr>
        <w:t xml:space="preserve">en «Actualización sobre la adquisición de Chubut», nuestras expectativas con respecto a los términos, condiciones y plazos para el cierre de la adquisición propuesta de las concesiones de Chubut; </w:t>
      </w:r>
      <w:r w:rsidRPr="00CB3E68">
        <w:rPr>
          <w:i/>
          <w:sz w:val="14"/>
          <w:szCs w:val="14"/>
          <w:lang w:val="es-ES"/>
        </w:rPr>
        <w:t xml:space="preserve">en </w:t>
      </w:r>
      <w:r w:rsidRPr="00CB3E68">
        <w:rPr>
          <w:rFonts w:cs="Arial"/>
          <w:i/>
          <w:sz w:val="14"/>
          <w:szCs w:val="14"/>
          <w:lang w:val="es-ES"/>
        </w:rPr>
        <w:t xml:space="preserve">«Perspectivas», </w:t>
      </w:r>
      <w:r w:rsidRPr="00CB3E68">
        <w:rPr>
          <w:i/>
          <w:sz w:val="14"/>
          <w:szCs w:val="14"/>
          <w:lang w:val="es-ES"/>
        </w:rPr>
        <w:t xml:space="preserve">nuestro presupuesto estimado de gastos de capital para el ejercicio fiscal 2025 y los gastos de capital que pretendemos realizar en nuestras concesiones durante </w:t>
      </w:r>
      <w:r w:rsidR="004748BE" w:rsidRPr="00CB3E68">
        <w:rPr>
          <w:i/>
          <w:sz w:val="14"/>
          <w:szCs w:val="14"/>
          <w:lang w:val="es-ES"/>
        </w:rPr>
        <w:t xml:space="preserve">el resto de 2025; </w:t>
      </w:r>
      <w:r w:rsidRPr="00CB3E68">
        <w:rPr>
          <w:i/>
          <w:sz w:val="14"/>
          <w:szCs w:val="14"/>
          <w:lang w:val="es-ES"/>
        </w:rPr>
        <w:t xml:space="preserve">y en </w:t>
      </w:r>
      <w:r w:rsidRPr="00CB3E68">
        <w:rPr>
          <w:rFonts w:cs="Arial"/>
          <w:i/>
          <w:sz w:val="14"/>
          <w:szCs w:val="14"/>
          <w:lang w:val="es-ES"/>
        </w:rPr>
        <w:t xml:space="preserve">«Acerca de Crown Point», todos los elementos </w:t>
      </w:r>
      <w:r w:rsidRPr="00CB3E68">
        <w:rPr>
          <w:i/>
          <w:sz w:val="14"/>
          <w:szCs w:val="14"/>
          <w:lang w:val="es-ES"/>
        </w:rPr>
        <w:t xml:space="preserve">de </w:t>
      </w:r>
      <w:r w:rsidRPr="00CB3E68">
        <w:rPr>
          <w:rFonts w:cs="Arial"/>
          <w:i/>
          <w:sz w:val="14"/>
          <w:szCs w:val="14"/>
          <w:lang w:val="es-ES"/>
        </w:rPr>
        <w:t xml:space="preserve">la estrategia y el enfoque comercial de la empresa. </w:t>
      </w:r>
      <w:r w:rsidRPr="00CB3E68">
        <w:rPr>
          <w:i/>
          <w:sz w:val="14"/>
          <w:szCs w:val="14"/>
          <w:lang w:val="es-ES"/>
        </w:rPr>
        <w:t xml:space="preserve">Se advierte al lector que dicha información, aunque la empresa la considera razonable, puede resultar incorrecta. Los resultados reales obtenidos durante el período de previsión variarán con respecto a la información proporcionada en este documento como consecuencia de numerosos riesgos e incertidumbres conocidos y desconocidos, así como de otros factores. Existen una serie de riesgos y otros factores que podrían hacer que los resultados reales difieran sustancialmente de los expresados en la información prospectiva contenida en este documento, entre los que se incluyen, entre otros, los siguientes: </w:t>
      </w:r>
      <w:r w:rsidR="001619ED" w:rsidRPr="00CB3E68">
        <w:rPr>
          <w:rFonts w:eastAsia="Arial" w:cs="Arial"/>
          <w:i/>
          <w:color w:val="000000"/>
          <w:sz w:val="14"/>
          <w:szCs w:val="14"/>
          <w:lang w:val="es-ES"/>
        </w:rPr>
        <w:t xml:space="preserve">el riesgo de que los aranceles impuestos o amenazados por Estados Unidos a otros países, y los aranceles de represalia impuestos o amenazados por otros países a Estados Unidos, desencadenen una guerra comercial mundial más amplia que podría tener un efecto adverso significativo en las economías mundiales y, por extensión, en la industria del petróleo y el gas natural de Argentina y en la Compañía, incluyendo la disminución de la demanda (y el precio) del petróleo y el gas natural, la interrupción de las cadenas de suministro, el aumento de los costes, la volatilidad de los mercados financieros mundiales y la limitación del acceso a la financiación (y/o el aumento de su coste); </w:t>
      </w:r>
      <w:r w:rsidRPr="00CB3E68">
        <w:rPr>
          <w:rFonts w:cs="Arial"/>
          <w:i/>
          <w:spacing w:val="5"/>
          <w:sz w:val="14"/>
          <w:szCs w:val="14"/>
          <w:lang w:val="es-ES"/>
        </w:rPr>
        <w:t xml:space="preserve">que la Compañía no pueda transportar petróleo en camión a la refinería de </w:t>
      </w:r>
      <w:proofErr w:type="spellStart"/>
      <w:r w:rsidRPr="00CB3E68">
        <w:rPr>
          <w:rFonts w:cs="Arial"/>
          <w:i/>
          <w:spacing w:val="5"/>
          <w:sz w:val="14"/>
          <w:szCs w:val="14"/>
          <w:lang w:val="es-ES"/>
        </w:rPr>
        <w:t>Enap</w:t>
      </w:r>
      <w:proofErr w:type="spellEnd"/>
      <w:r w:rsidRPr="00CB3E68">
        <w:rPr>
          <w:rFonts w:cs="Arial"/>
          <w:i/>
          <w:spacing w:val="5"/>
          <w:sz w:val="14"/>
          <w:szCs w:val="14"/>
          <w:lang w:val="es-ES"/>
        </w:rPr>
        <w:t xml:space="preserve"> y/o a la terminal marítima de Río </w:t>
      </w:r>
      <w:proofErr w:type="spellStart"/>
      <w:r w:rsidRPr="00CB3E68">
        <w:rPr>
          <w:rFonts w:cs="Arial"/>
          <w:i/>
          <w:spacing w:val="5"/>
          <w:sz w:val="14"/>
          <w:szCs w:val="14"/>
          <w:lang w:val="es-ES"/>
        </w:rPr>
        <w:t>Cullen</w:t>
      </w:r>
      <w:proofErr w:type="spellEnd"/>
      <w:r w:rsidRPr="00CB3E68">
        <w:rPr>
          <w:rFonts w:cs="Arial"/>
          <w:i/>
          <w:spacing w:val="5"/>
          <w:sz w:val="14"/>
          <w:szCs w:val="14"/>
          <w:lang w:val="es-ES"/>
        </w:rPr>
        <w:t xml:space="preserve"> y/o que el coste de hacerlo aumente y/o deje de ser rentable; que el precio que recibe la Compañía por su petróleo tenga un descuento sustancial con respecto al precio del petróleo Brent; que </w:t>
      </w:r>
      <w:r w:rsidRPr="00CB3E68">
        <w:rPr>
          <w:i/>
          <w:sz w:val="14"/>
          <w:szCs w:val="14"/>
          <w:lang w:val="es-ES"/>
        </w:rPr>
        <w:t xml:space="preserve">la Compañía no pueda cumplir con sus obligaciones a su vencimiento y continuar como empresa en funcionamiento; </w:t>
      </w:r>
      <w:r w:rsidR="004748BE" w:rsidRPr="00CB3E68">
        <w:rPr>
          <w:i/>
          <w:sz w:val="14"/>
          <w:szCs w:val="14"/>
          <w:lang w:val="es-ES"/>
        </w:rPr>
        <w:t xml:space="preserve">que la Compañía no pueda completar la adquisición propuesta de las concesiones de Chubut en los términos descritos en el presente documento o en absoluto, ya sea debido a la incapacidad de la Compañía para obtener financiación para financiar el precio de compra, obtener las aprobaciones reglamentarias necesarias, satisfacer las condiciones previas aplicables o </w:t>
      </w:r>
      <w:r w:rsidR="00911D8C" w:rsidRPr="00CB3E68">
        <w:rPr>
          <w:i/>
          <w:sz w:val="14"/>
          <w:szCs w:val="14"/>
          <w:lang w:val="es-ES"/>
        </w:rPr>
        <w:t xml:space="preserve">por cualquier otro motivo; </w:t>
      </w:r>
      <w:r w:rsidRPr="00CB3E68">
        <w:rPr>
          <w:i/>
          <w:sz w:val="14"/>
          <w:szCs w:val="14"/>
          <w:lang w:val="es-ES"/>
        </w:rPr>
        <w:t xml:space="preserve">los riesgos asociados con la insolvencia y/o quiebra de nuestros socios de empresas conjuntas y/o los operadores de las concesiones en las que tenemos intereses, incluido el riesgo de que dicha insolvencia y/o quiebra tenga un efecto adverso en una de nuestras UTE, una de nuestras concesiones y/o la Compañía; </w:t>
      </w:r>
      <w:r w:rsidRPr="00CB3E68">
        <w:rPr>
          <w:rFonts w:cs="Arial"/>
          <w:i/>
          <w:spacing w:val="5"/>
          <w:sz w:val="14"/>
          <w:szCs w:val="14"/>
          <w:lang w:val="es-ES"/>
        </w:rPr>
        <w:t xml:space="preserve">y </w:t>
      </w:r>
      <w:r w:rsidRPr="00CB3E68">
        <w:rPr>
          <w:i/>
          <w:sz w:val="14"/>
          <w:szCs w:val="14"/>
          <w:lang w:val="es-ES"/>
        </w:rPr>
        <w:t xml:space="preserve">los riesgos y otros factores descritos en «Riesgos e incertidumbres comerciales» en nuestro MD&amp;A y en la sección «Factores de riesgo» del último formulario de información anual presentado por la Compañía, que puede consultarse en SEDAR+ en </w:t>
      </w:r>
      <w:hyperlink r:id="rId15" w:history="1">
        <w:r w:rsidRPr="00CB3E68">
          <w:rPr>
            <w:rStyle w:val="Hipervnculo"/>
            <w:i/>
            <w:color w:val="auto"/>
            <w:sz w:val="14"/>
            <w:szCs w:val="14"/>
            <w:lang w:val="es-ES"/>
          </w:rPr>
          <w:t>www.sedarplus.ca</w:t>
        </w:r>
      </w:hyperlink>
      <w:r w:rsidRPr="00CB3E68">
        <w:rPr>
          <w:i/>
          <w:sz w:val="14"/>
          <w:szCs w:val="14"/>
          <w:lang w:val="es-ES"/>
        </w:rPr>
        <w:t xml:space="preserve">.  Con respecto a la información prospectiva contenida en este documento, la Compañía ha hecho suposiciones con respecto a, entre otras cosas: </w:t>
      </w:r>
      <w:r w:rsidR="00911D8C" w:rsidRPr="00CB3E68">
        <w:rPr>
          <w:i/>
          <w:sz w:val="14"/>
          <w:szCs w:val="14"/>
          <w:lang w:val="es-ES"/>
        </w:rPr>
        <w:t xml:space="preserve">que la Compañía completará la adquisición propuesta de las Concesiones de Chubut en los términos descritos en el presente documento de manera oportuna, incluida la capacidad de la Compañía para obtener la financiación necesaria para financiar el precio de compra en términos aceptables, obtener todas las aprobaciones reglamentarias necesarias y satisfacer todas las condiciones previas aplicables; </w:t>
      </w:r>
      <w:r w:rsidRPr="00CB3E68">
        <w:rPr>
          <w:rFonts w:cs="Arial"/>
          <w:i/>
          <w:sz w:val="14"/>
          <w:szCs w:val="14"/>
          <w:lang w:val="es-ES"/>
        </w:rPr>
        <w:t xml:space="preserve">la capacidad y la voluntad de los países de la OPEP+ y otros grandes productores de petróleo crudo para equilibrar los niveles de producción de petróleo crudo y, de ese modo, mantener unos precios mundiales del petróleo crudo más elevados; que nuestros socios de la empresa conjunta y los operadores de nuestras concesiones que no operamos cumplirán sus compromisos contractuales de manera oportuna y no se declararán insolventes o en quiebra; el impacto de las tasas de inflación en Argentina y la devaluación del peso argentino frente al dólar estadounidense en la Compañía; el impacto del aumento de la competencia; la estabilidad general del entorno económico y político en el que opera la Compañía, incluyendo el funcionamiento bajo </w:t>
      </w:r>
      <w:r w:rsidRPr="00CB3E68">
        <w:rPr>
          <w:i/>
          <w:sz w:val="14"/>
          <w:szCs w:val="14"/>
          <w:lang w:val="es-ES"/>
        </w:rPr>
        <w:t xml:space="preserve">un marco regulatorio y legal coherente en Argentina; los precios futuros del petróleo, el gas natural y los LGN (incluidos los efectos de los programas de incentivos gubernamentales y los controles de precios del gobierno sobre los mismos); la recepción oportuna de las autorizaciones reglamentarias necesarias; la capacidad de la Compañía para obtener personal, equipos y servicios cualificados de manera oportuna y con un costo eficiente; los resultados de las perforaciones; el costo de obtención de equipos y personal para completar el programa de gastos de capital de la Compañía; la capacidad de operar los proyectos en los que la Compañía tiene intereses de manera segura, eficiente y eficaz; que la Compañía no pagará dividendos en un futuro previsible; la capacidad de la Compañía para obtener financiación en condiciones aceptables cuando sea necesario y continuar como empresa en funcionamiento; la capacidad de la Compañía para hacer frente al pago de su deuda cuando sea necesario; las tasas de producción y de disminución de los yacimientos; la capacidad para reemplazar y ampliar las reservas de petróleo y gas natural mediante actividades de adquisición, desarrollo y exploración; el calendario y el costo de la construcción y ampliación de oleoductos, instalaciones de almacenamiento y otras instalaciones, y la capacidad de la Compañía para garantizar el transporte adecuado de los productos; los tipos de cambio, la inflación y los tipos de interés; el marco regulatorio relativo a regalías, impuestos y cuestiones medioambientales en Argentina; y la capacidad de la Compañía para comercializar con éxito sus productos de petróleo y gas natural.  La dirección de Crown Point ha incluido el resumen anterior de supuestos y riesgos relacionados con la información prospectiva incluida en este documento con el fin de proporcionar a los inversores una perspectiva más completa sobre las operaciones futuras de la Compañía.  Se advierte a los lectores que esta información puede no </w:t>
      </w:r>
      <w:r w:rsidRPr="00CB3E68">
        <w:rPr>
          <w:rFonts w:cs="Arial"/>
          <w:i/>
          <w:sz w:val="14"/>
          <w:szCs w:val="14"/>
          <w:lang w:val="es-ES"/>
        </w:rPr>
        <w:t>ser adecuada para otros fines. Se advierte a los lectores que las listas de factores anteriores no son exhaustivas. La información prospectiva contenida en este documento está expresamente condicionada por esta advertencia. La información prospectiva aquí contenida se ha elaborado a la fecha de este documento y la Compañía renuncia a cualquier intención u obligación de actualizar públicamente dicha información prospectiva, ya sea como resultado de nueva información, eventos o resultados futuros o de otro tipo, salvo que lo exijan las leyes canadienses aplicables en materia de valores.</w:t>
      </w:r>
    </w:p>
    <w:p w14:paraId="2F5BDEC3" w14:textId="77777777" w:rsidR="00763017" w:rsidRPr="00CB3E68" w:rsidRDefault="00763017" w:rsidP="00763017">
      <w:pPr>
        <w:widowControl w:val="0"/>
        <w:spacing w:before="60"/>
        <w:jc w:val="both"/>
        <w:rPr>
          <w:rFonts w:ascii="Arial" w:hAnsi="Arial"/>
          <w:b/>
          <w:i/>
          <w:sz w:val="14"/>
          <w:lang w:val="es-ES"/>
        </w:rPr>
      </w:pPr>
      <w:r w:rsidRPr="00CB3E68">
        <w:rPr>
          <w:rFonts w:ascii="Arial" w:hAnsi="Arial"/>
          <w:b/>
          <w:i/>
          <w:sz w:val="14"/>
          <w:szCs w:val="14"/>
          <w:lang w:val="es-ES"/>
        </w:rPr>
        <w:t xml:space="preserve">Ni </w:t>
      </w:r>
      <w:r w:rsidRPr="00CB3E68">
        <w:rPr>
          <w:rFonts w:ascii="Arial" w:hAnsi="Arial"/>
          <w:b/>
          <w:i/>
          <w:sz w:val="14"/>
          <w:lang w:val="es-ES"/>
        </w:rPr>
        <w:t>la Bolsa de Valores de Toronto (TSX Venture Exchange) ni su proveedor de servicios de regulación (tal y como se define este término en las políticas de la TSX Venture Exchange) aceptan responsabilidad alguna por la adecuación o exactitud de este comunicado de prensa.</w:t>
      </w:r>
    </w:p>
    <w:bookmarkEnd w:id="0"/>
    <w:bookmarkEnd w:id="1"/>
    <w:p w14:paraId="2E586AC5" w14:textId="0EEB79FB" w:rsidR="00CA24A5" w:rsidRPr="00CB3E68" w:rsidRDefault="00CA24A5" w:rsidP="00763017">
      <w:pPr>
        <w:pStyle w:val="Ne3"/>
        <w:widowControl w:val="0"/>
        <w:spacing w:before="60" w:line="240" w:lineRule="auto"/>
        <w:ind w:left="0"/>
        <w:rPr>
          <w:b/>
          <w:i/>
          <w:sz w:val="14"/>
          <w:lang w:val="es-ES"/>
        </w:rPr>
      </w:pPr>
    </w:p>
    <w:sectPr w:rsidR="00CA24A5" w:rsidRPr="00CB3E68" w:rsidSect="00FD2E1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70" w:left="1440" w:header="360" w:footer="32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8948" w14:textId="77777777" w:rsidR="00A45E49" w:rsidRDefault="00A45E49" w:rsidP="00451CF4">
      <w:r>
        <w:separator/>
      </w:r>
    </w:p>
  </w:endnote>
  <w:endnote w:type="continuationSeparator" w:id="0">
    <w:p w14:paraId="689D2533" w14:textId="77777777" w:rsidR="00A45E49" w:rsidRDefault="00A45E49" w:rsidP="00451CF4">
      <w:r>
        <w:continuationSeparator/>
      </w:r>
    </w:p>
  </w:endnote>
  <w:endnote w:type="continuationNotice" w:id="1">
    <w:p w14:paraId="44435DA6" w14:textId="77777777" w:rsidR="00A45E49" w:rsidRDefault="00A45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ngravrsRoman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2F01" w14:textId="77777777" w:rsidR="008843BC" w:rsidRDefault="008843B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2F7C" w14:textId="77777777" w:rsidR="00184829" w:rsidRDefault="00184829" w:rsidP="00F768A1">
    <w:pPr>
      <w:pStyle w:val="Piedepgina"/>
      <w:jc w:val="center"/>
      <w:rPr>
        <w:rFonts w:ascii="Arial Narrow" w:hAnsi="Arial Narrow"/>
        <w:color w:val="002060"/>
        <w:sz w:val="20"/>
        <w:szCs w:val="20"/>
        <w:lang w:val="fr-CA"/>
      </w:rPr>
    </w:pPr>
    <w:r>
      <w:rPr>
        <w:rFonts w:ascii="Arial Narrow" w:hAnsi="Arial Narrow"/>
        <w:color w:val="002060"/>
        <w:sz w:val="20"/>
        <w:szCs w:val="20"/>
        <w:lang w:val="fr-CA"/>
      </w:rPr>
      <w:t xml:space="preserve">Apartado postal 1562, Estación M., Calgary, Alberta, Canadá T2P 3B9  </w:t>
    </w:r>
    <w:r>
      <w:rPr>
        <w:rFonts w:ascii="Arial Narrow" w:hAnsi="Arial Narrow"/>
        <w:b/>
        <w:color w:val="002060"/>
        <w:sz w:val="20"/>
        <w:szCs w:val="20"/>
        <w:lang w:val="fr-CA"/>
      </w:rPr>
      <w:t>T</w:t>
    </w:r>
    <w:r>
      <w:rPr>
        <w:rFonts w:ascii="Arial Narrow" w:hAnsi="Arial Narrow"/>
        <w:color w:val="002060"/>
        <w:sz w:val="20"/>
        <w:szCs w:val="20"/>
        <w:lang w:val="fr-CA"/>
      </w:rPr>
      <w:t xml:space="preserve"> 403.232.1150  </w:t>
    </w:r>
    <w:r>
      <w:rPr>
        <w:rFonts w:ascii="Arial Narrow" w:hAnsi="Arial Narrow"/>
        <w:b/>
        <w:color w:val="002060"/>
        <w:sz w:val="20"/>
        <w:szCs w:val="20"/>
        <w:lang w:val="fr-CA"/>
      </w:rPr>
      <w:t>F</w:t>
    </w:r>
    <w:r>
      <w:rPr>
        <w:rFonts w:ascii="Arial Narrow" w:hAnsi="Arial Narrow"/>
        <w:color w:val="002060"/>
        <w:sz w:val="20"/>
        <w:szCs w:val="20"/>
        <w:lang w:val="fr-CA"/>
      </w:rPr>
      <w:t xml:space="preserve">  403.232.1158</w:t>
    </w:r>
  </w:p>
  <w:p w14:paraId="4D32682F" w14:textId="77777777" w:rsidR="00184829" w:rsidRDefault="00184829" w:rsidP="00F768A1">
    <w:pPr>
      <w:pStyle w:val="Piedepgina"/>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p w14:paraId="21D3BF7F" w14:textId="77777777" w:rsidR="00184829" w:rsidRPr="005E10D3" w:rsidRDefault="00184829" w:rsidP="00FD5D14">
    <w:pPr>
      <w:pStyle w:val="Piedepgina"/>
      <w:spacing w:line="200" w:lineRule="exact"/>
      <w:rPr>
        <w:rFonts w:ascii="Arial Narrow" w:hAnsi="Arial Narrow"/>
        <w:b/>
        <w:color w:val="002060"/>
        <w:sz w:val="20"/>
        <w:szCs w:val="20"/>
        <w:lang w:val="fr-C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9F77C" w14:textId="77777777" w:rsidR="008843BC" w:rsidRDefault="008843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E35E9" w14:textId="77777777" w:rsidR="00A45E49" w:rsidRDefault="00A45E49" w:rsidP="00451CF4">
      <w:r>
        <w:separator/>
      </w:r>
    </w:p>
  </w:footnote>
  <w:footnote w:type="continuationSeparator" w:id="0">
    <w:p w14:paraId="3CDEE7FF" w14:textId="77777777" w:rsidR="00A45E49" w:rsidRDefault="00A45E49" w:rsidP="00451CF4">
      <w:r>
        <w:continuationSeparator/>
      </w:r>
    </w:p>
  </w:footnote>
  <w:footnote w:type="continuationNotice" w:id="1">
    <w:p w14:paraId="479CD1D8" w14:textId="77777777" w:rsidR="00A45E49" w:rsidRDefault="00A45E49"/>
  </w:footnote>
  <w:footnote w:id="2">
    <w:p w14:paraId="2519C5DA" w14:textId="77777777" w:rsidR="002D3101" w:rsidRPr="00CB3E68" w:rsidRDefault="002D3101" w:rsidP="002D3101">
      <w:pPr>
        <w:pStyle w:val="Textonotapie"/>
        <w:rPr>
          <w:rFonts w:ascii="Arial" w:hAnsi="Arial" w:cs="Arial"/>
          <w:sz w:val="16"/>
          <w:szCs w:val="16"/>
          <w:lang w:val="es-ES"/>
        </w:rPr>
      </w:pPr>
      <w:r>
        <w:rPr>
          <w:rStyle w:val="Refdenotaalpie"/>
          <w:rFonts w:ascii="Arial" w:hAnsi="Arial" w:cs="Arial"/>
          <w:sz w:val="16"/>
          <w:szCs w:val="16"/>
        </w:rPr>
        <w:footnoteRef/>
      </w:r>
      <w:r w:rsidRPr="00CB3E68">
        <w:rPr>
          <w:rFonts w:ascii="Arial" w:hAnsi="Arial" w:cs="Arial"/>
          <w:sz w:val="16"/>
          <w:szCs w:val="16"/>
          <w:lang w:val="es-ES"/>
        </w:rPr>
        <w:t xml:space="preserve"> Ratio financiero no conforme con las NIIF. Véase «Medidas financieras no conformes con las NIIF y otras medidas financieras».</w:t>
      </w:r>
    </w:p>
  </w:footnote>
  <w:footnote w:id="3">
    <w:p w14:paraId="68C7F7B0" w14:textId="77777777" w:rsidR="002D3101" w:rsidRPr="00CB3E68" w:rsidRDefault="002D3101" w:rsidP="002D3101">
      <w:pPr>
        <w:pStyle w:val="Textonotapie"/>
        <w:rPr>
          <w:rFonts w:ascii="Arial" w:hAnsi="Arial" w:cs="Arial"/>
          <w:sz w:val="14"/>
          <w:szCs w:val="14"/>
          <w:lang w:val="es-ES"/>
        </w:rPr>
      </w:pPr>
      <w:r>
        <w:rPr>
          <w:rStyle w:val="Refdenotaalpie"/>
          <w:rFonts w:ascii="Arial" w:hAnsi="Arial" w:cs="Arial"/>
          <w:sz w:val="16"/>
          <w:szCs w:val="16"/>
        </w:rPr>
        <w:footnoteRef/>
      </w:r>
      <w:r w:rsidRPr="00CB3E68">
        <w:rPr>
          <w:rFonts w:ascii="Arial" w:hAnsi="Arial" w:cs="Arial"/>
          <w:sz w:val="16"/>
          <w:szCs w:val="16"/>
          <w:lang w:val="es-ES"/>
        </w:rPr>
        <w:t xml:space="preserve"> Medida de gestión del capital. Véase «Medidas financieras no conformes con las NIIF y otras medidas financieras».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0900" w14:textId="77777777" w:rsidR="008843BC" w:rsidRDefault="008843B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6AE6" w14:textId="77777777" w:rsidR="00184829" w:rsidRDefault="00184829" w:rsidP="00451CF4">
    <w:pPr>
      <w:pStyle w:val="Encabezado"/>
      <w:ind w:left="540" w:hanging="540"/>
      <w:jc w:val="right"/>
    </w:pPr>
    <w:r>
      <w:rPr>
        <w:noProof/>
      </w:rPr>
      <w:drawing>
        <wp:inline distT="0" distB="0" distL="0" distR="0" wp14:anchorId="0D321E76" wp14:editId="56C7433F">
          <wp:extent cx="1697355" cy="1038860"/>
          <wp:effectExtent l="19050" t="0" r="0" b="0"/>
          <wp:docPr id="3" name="Picture 0" descr="CWV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p w14:paraId="1CABC8E8" w14:textId="77777777" w:rsidR="00184829" w:rsidRDefault="00184829" w:rsidP="00451CF4">
    <w:pPr>
      <w:pStyle w:val="Encabezado"/>
      <w:ind w:left="540" w:hanging="54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AF04" w14:textId="77777777" w:rsidR="008843BC" w:rsidRDefault="008843B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096A"/>
    <w:multiLevelType w:val="hybridMultilevel"/>
    <w:tmpl w:val="6E6CC01C"/>
    <w:lvl w:ilvl="0" w:tplc="50B6EAAC">
      <w:start w:val="1"/>
      <w:numFmt w:val="decimal"/>
      <w:lvlText w:val="(%1)"/>
      <w:lvlJc w:val="left"/>
      <w:pPr>
        <w:ind w:left="534" w:hanging="360"/>
      </w:pPr>
      <w:rPr>
        <w:rFonts w:hint="default"/>
      </w:rPr>
    </w:lvl>
    <w:lvl w:ilvl="1" w:tplc="2C0A0019" w:tentative="1">
      <w:start w:val="1"/>
      <w:numFmt w:val="lowerLetter"/>
      <w:lvlText w:val="%2."/>
      <w:lvlJc w:val="left"/>
      <w:pPr>
        <w:ind w:left="1254" w:hanging="360"/>
      </w:pPr>
    </w:lvl>
    <w:lvl w:ilvl="2" w:tplc="2C0A001B" w:tentative="1">
      <w:start w:val="1"/>
      <w:numFmt w:val="lowerRoman"/>
      <w:lvlText w:val="%3."/>
      <w:lvlJc w:val="right"/>
      <w:pPr>
        <w:ind w:left="1974" w:hanging="180"/>
      </w:pPr>
    </w:lvl>
    <w:lvl w:ilvl="3" w:tplc="2C0A000F" w:tentative="1">
      <w:start w:val="1"/>
      <w:numFmt w:val="decimal"/>
      <w:lvlText w:val="%4."/>
      <w:lvlJc w:val="left"/>
      <w:pPr>
        <w:ind w:left="2694" w:hanging="360"/>
      </w:pPr>
    </w:lvl>
    <w:lvl w:ilvl="4" w:tplc="2C0A0019" w:tentative="1">
      <w:start w:val="1"/>
      <w:numFmt w:val="lowerLetter"/>
      <w:lvlText w:val="%5."/>
      <w:lvlJc w:val="left"/>
      <w:pPr>
        <w:ind w:left="3414" w:hanging="360"/>
      </w:pPr>
    </w:lvl>
    <w:lvl w:ilvl="5" w:tplc="2C0A001B" w:tentative="1">
      <w:start w:val="1"/>
      <w:numFmt w:val="lowerRoman"/>
      <w:lvlText w:val="%6."/>
      <w:lvlJc w:val="right"/>
      <w:pPr>
        <w:ind w:left="4134" w:hanging="180"/>
      </w:pPr>
    </w:lvl>
    <w:lvl w:ilvl="6" w:tplc="2C0A000F" w:tentative="1">
      <w:start w:val="1"/>
      <w:numFmt w:val="decimal"/>
      <w:lvlText w:val="%7."/>
      <w:lvlJc w:val="left"/>
      <w:pPr>
        <w:ind w:left="4854" w:hanging="360"/>
      </w:pPr>
    </w:lvl>
    <w:lvl w:ilvl="7" w:tplc="2C0A0019" w:tentative="1">
      <w:start w:val="1"/>
      <w:numFmt w:val="lowerLetter"/>
      <w:lvlText w:val="%8."/>
      <w:lvlJc w:val="left"/>
      <w:pPr>
        <w:ind w:left="5574" w:hanging="360"/>
      </w:pPr>
    </w:lvl>
    <w:lvl w:ilvl="8" w:tplc="2C0A001B" w:tentative="1">
      <w:start w:val="1"/>
      <w:numFmt w:val="lowerRoman"/>
      <w:lvlText w:val="%9."/>
      <w:lvlJc w:val="right"/>
      <w:pPr>
        <w:ind w:left="6294" w:hanging="180"/>
      </w:pPr>
    </w:lvl>
  </w:abstractNum>
  <w:abstractNum w:abstractNumId="1"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2" w15:restartNumberingAfterBreak="0">
    <w:nsid w:val="32FE0003"/>
    <w:multiLevelType w:val="hybridMultilevel"/>
    <w:tmpl w:val="59404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C2FCA"/>
    <w:multiLevelType w:val="multilevel"/>
    <w:tmpl w:val="4620B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activeWritingStyle w:appName="MSWord" w:lang="en-US" w:vendorID="64" w:dllVersion="131078" w:nlCheck="1" w:checkStyle="0"/>
  <w:activeWritingStyle w:appName="MSWord" w:lang="es-ES" w:vendorID="64" w:dllVersion="131078" w:nlCheck="1" w:checkStyle="0"/>
  <w:activeWritingStyle w:appName="MSWord" w:lang="en-CA" w:vendorID="64" w:dllVersion="131078"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Ón"/>
    <w:docVar w:name="85TrailerDateField" w:val="~}šÓj"/>
    <w:docVar w:name="85TrailerDraft" w:val="~}¡Óc"/>
    <w:docVar w:name="85TrailerTime" w:val="~}›Ói"/>
    <w:docVar w:name="DMS_Work10" w:val="0~Active||1~14551024||2~1||3~Press release Q2 2025 - Aug 8 draft||5~JTO||6~JTO||7~WORDX||8~DOCUMENTS||10~8/8/2025 4:00:23 PM||11~8/8/2025 4:00:23 PM||13~409460||14~False||17~public||18~JTO||19~JTO||21~True||22~True||23~False||25~069295||26~00001||27~317||28~SEC||29~GS||30~ACTIV||60~Crown Point Energy Inc.||61~General Corporate and Securities Matters||62~Oke, Jeffrey T.||63~Securities||64~General Securities||65~Active matter||74~Jeff Oke||75~Jeff Oke||76~WORD 2007||77~Documents||82~docx||85~8/8/2025 4:00:23 PM||99~1/1/0001 12:00:00 AM||106~C:\Users\jto\AppData\Roaming\iManage\Work\Recent\069295-00001-Crown Point Energy Inc.-General Corporate and Securities Matters\Press release Q2 2025 - Aug 8 draft(14551024.1).docx||107~1/1/0001 12:00:00 AM||109~8/8/2025 4:00:23 PM||113~8/8/2025 4:00:22 PM||114~8/8/2025 4:00:22 PM||124~False||"/>
    <w:docVar w:name="DocStamp_1_OptionalControlValues" w:val="~} Ó"/>
    <w:docVar w:name="MPDocID" w:val="~}Óhiknilkjhg"/>
    <w:docVar w:name="MPDocIDTemplate" w:val="~}—Ó"/>
    <w:docVar w:name="MPDocIDTemplateDefault" w:val="~}ŸÓZ¤e]ª"/>
    <w:docVar w:name="NewDocStampType" w:val="~}¢Ói"/>
    <w:docVar w:name="zzmp10NoTrailerPromptID" w:val="ACTIVE.14357758.1"/>
  </w:docVars>
  <w:rsids>
    <w:rsidRoot w:val="00451CF4"/>
    <w:rsid w:val="00002052"/>
    <w:rsid w:val="00002555"/>
    <w:rsid w:val="00002CBC"/>
    <w:rsid w:val="00003873"/>
    <w:rsid w:val="00004044"/>
    <w:rsid w:val="000064D8"/>
    <w:rsid w:val="00010DF6"/>
    <w:rsid w:val="00010F36"/>
    <w:rsid w:val="00013941"/>
    <w:rsid w:val="00016F54"/>
    <w:rsid w:val="00017090"/>
    <w:rsid w:val="00020D0D"/>
    <w:rsid w:val="0002124D"/>
    <w:rsid w:val="00021565"/>
    <w:rsid w:val="00023706"/>
    <w:rsid w:val="00023BC5"/>
    <w:rsid w:val="00023DBC"/>
    <w:rsid w:val="00025614"/>
    <w:rsid w:val="00025949"/>
    <w:rsid w:val="0002742B"/>
    <w:rsid w:val="000277F1"/>
    <w:rsid w:val="00030D6B"/>
    <w:rsid w:val="000327A2"/>
    <w:rsid w:val="000328AA"/>
    <w:rsid w:val="00033C41"/>
    <w:rsid w:val="00033EA2"/>
    <w:rsid w:val="000359CC"/>
    <w:rsid w:val="000365C5"/>
    <w:rsid w:val="00036D51"/>
    <w:rsid w:val="00040690"/>
    <w:rsid w:val="00040FBA"/>
    <w:rsid w:val="0004158B"/>
    <w:rsid w:val="00041C80"/>
    <w:rsid w:val="00042203"/>
    <w:rsid w:val="0004284E"/>
    <w:rsid w:val="00042B65"/>
    <w:rsid w:val="00042E43"/>
    <w:rsid w:val="00043229"/>
    <w:rsid w:val="000433F8"/>
    <w:rsid w:val="00043586"/>
    <w:rsid w:val="00043C17"/>
    <w:rsid w:val="00043F8E"/>
    <w:rsid w:val="0004484E"/>
    <w:rsid w:val="0004588D"/>
    <w:rsid w:val="00045A21"/>
    <w:rsid w:val="00045B81"/>
    <w:rsid w:val="0004735E"/>
    <w:rsid w:val="0004747B"/>
    <w:rsid w:val="000504E8"/>
    <w:rsid w:val="00050555"/>
    <w:rsid w:val="00050A9F"/>
    <w:rsid w:val="00050DBD"/>
    <w:rsid w:val="000528F0"/>
    <w:rsid w:val="00057387"/>
    <w:rsid w:val="00061FDB"/>
    <w:rsid w:val="0006263A"/>
    <w:rsid w:val="00064773"/>
    <w:rsid w:val="0006526B"/>
    <w:rsid w:val="0006551B"/>
    <w:rsid w:val="000716D5"/>
    <w:rsid w:val="00071BCD"/>
    <w:rsid w:val="00071DF4"/>
    <w:rsid w:val="0007337E"/>
    <w:rsid w:val="00075E49"/>
    <w:rsid w:val="00077A03"/>
    <w:rsid w:val="00083E25"/>
    <w:rsid w:val="00084355"/>
    <w:rsid w:val="000853A5"/>
    <w:rsid w:val="00087147"/>
    <w:rsid w:val="00090E72"/>
    <w:rsid w:val="00092E13"/>
    <w:rsid w:val="000932B1"/>
    <w:rsid w:val="00094C33"/>
    <w:rsid w:val="00096FA7"/>
    <w:rsid w:val="00097F5E"/>
    <w:rsid w:val="000A1EF3"/>
    <w:rsid w:val="000B0A76"/>
    <w:rsid w:val="000B11A0"/>
    <w:rsid w:val="000B18A4"/>
    <w:rsid w:val="000B2104"/>
    <w:rsid w:val="000B226F"/>
    <w:rsid w:val="000B260D"/>
    <w:rsid w:val="000B2BDD"/>
    <w:rsid w:val="000B42AC"/>
    <w:rsid w:val="000B4702"/>
    <w:rsid w:val="000B5AC7"/>
    <w:rsid w:val="000C124D"/>
    <w:rsid w:val="000C3157"/>
    <w:rsid w:val="000C5953"/>
    <w:rsid w:val="000D001A"/>
    <w:rsid w:val="000D0E50"/>
    <w:rsid w:val="000D1036"/>
    <w:rsid w:val="000D1245"/>
    <w:rsid w:val="000D3E93"/>
    <w:rsid w:val="000D45D4"/>
    <w:rsid w:val="000D51F0"/>
    <w:rsid w:val="000D7DDC"/>
    <w:rsid w:val="000E1461"/>
    <w:rsid w:val="000E1597"/>
    <w:rsid w:val="000E2B52"/>
    <w:rsid w:val="000E3366"/>
    <w:rsid w:val="000E466B"/>
    <w:rsid w:val="000E565B"/>
    <w:rsid w:val="000E6328"/>
    <w:rsid w:val="000E7F93"/>
    <w:rsid w:val="000F076D"/>
    <w:rsid w:val="000F1015"/>
    <w:rsid w:val="000F113B"/>
    <w:rsid w:val="000F2EBB"/>
    <w:rsid w:val="000F4E28"/>
    <w:rsid w:val="000F4E68"/>
    <w:rsid w:val="000F4F65"/>
    <w:rsid w:val="000F5DC2"/>
    <w:rsid w:val="000F6D34"/>
    <w:rsid w:val="00100490"/>
    <w:rsid w:val="00103CF5"/>
    <w:rsid w:val="0010536B"/>
    <w:rsid w:val="00105738"/>
    <w:rsid w:val="00105A4A"/>
    <w:rsid w:val="0010668E"/>
    <w:rsid w:val="00106A1F"/>
    <w:rsid w:val="001079BC"/>
    <w:rsid w:val="00107F1A"/>
    <w:rsid w:val="00111924"/>
    <w:rsid w:val="00111AED"/>
    <w:rsid w:val="00111F93"/>
    <w:rsid w:val="00112F0A"/>
    <w:rsid w:val="00113A53"/>
    <w:rsid w:val="001154F1"/>
    <w:rsid w:val="0011602C"/>
    <w:rsid w:val="001221DA"/>
    <w:rsid w:val="00124B40"/>
    <w:rsid w:val="00124CC6"/>
    <w:rsid w:val="0012698E"/>
    <w:rsid w:val="00127416"/>
    <w:rsid w:val="00130191"/>
    <w:rsid w:val="00130CE8"/>
    <w:rsid w:val="00131320"/>
    <w:rsid w:val="00133EFB"/>
    <w:rsid w:val="001340CF"/>
    <w:rsid w:val="001350B6"/>
    <w:rsid w:val="001365C2"/>
    <w:rsid w:val="001402A6"/>
    <w:rsid w:val="00143924"/>
    <w:rsid w:val="001448D4"/>
    <w:rsid w:val="00144954"/>
    <w:rsid w:val="0014699C"/>
    <w:rsid w:val="00147EB6"/>
    <w:rsid w:val="00150304"/>
    <w:rsid w:val="00150AAE"/>
    <w:rsid w:val="00150D8D"/>
    <w:rsid w:val="00151262"/>
    <w:rsid w:val="00152632"/>
    <w:rsid w:val="001548FF"/>
    <w:rsid w:val="00155CBC"/>
    <w:rsid w:val="001573D1"/>
    <w:rsid w:val="0015763C"/>
    <w:rsid w:val="00160CA6"/>
    <w:rsid w:val="0016148F"/>
    <w:rsid w:val="001619ED"/>
    <w:rsid w:val="00163687"/>
    <w:rsid w:val="00163CC7"/>
    <w:rsid w:val="00163F57"/>
    <w:rsid w:val="00165DB6"/>
    <w:rsid w:val="00165FD0"/>
    <w:rsid w:val="00166989"/>
    <w:rsid w:val="00166A46"/>
    <w:rsid w:val="0016764C"/>
    <w:rsid w:val="00171E7C"/>
    <w:rsid w:val="00172E2F"/>
    <w:rsid w:val="001736B6"/>
    <w:rsid w:val="00175025"/>
    <w:rsid w:val="001757BE"/>
    <w:rsid w:val="00175C38"/>
    <w:rsid w:val="00177A20"/>
    <w:rsid w:val="0018034E"/>
    <w:rsid w:val="00180591"/>
    <w:rsid w:val="00180AFC"/>
    <w:rsid w:val="0018209F"/>
    <w:rsid w:val="00183A2D"/>
    <w:rsid w:val="00183B25"/>
    <w:rsid w:val="0018437C"/>
    <w:rsid w:val="00184829"/>
    <w:rsid w:val="00185E59"/>
    <w:rsid w:val="00186D93"/>
    <w:rsid w:val="0019019A"/>
    <w:rsid w:val="00191DD8"/>
    <w:rsid w:val="0019349D"/>
    <w:rsid w:val="00193809"/>
    <w:rsid w:val="0019396D"/>
    <w:rsid w:val="00193DB3"/>
    <w:rsid w:val="001959BF"/>
    <w:rsid w:val="00196259"/>
    <w:rsid w:val="001962FB"/>
    <w:rsid w:val="00197745"/>
    <w:rsid w:val="001A0FBE"/>
    <w:rsid w:val="001A18FA"/>
    <w:rsid w:val="001A2143"/>
    <w:rsid w:val="001A2FFF"/>
    <w:rsid w:val="001A4C7E"/>
    <w:rsid w:val="001A4EF4"/>
    <w:rsid w:val="001A5D38"/>
    <w:rsid w:val="001A750D"/>
    <w:rsid w:val="001B1211"/>
    <w:rsid w:val="001B3527"/>
    <w:rsid w:val="001B3DD2"/>
    <w:rsid w:val="001B40D9"/>
    <w:rsid w:val="001B4784"/>
    <w:rsid w:val="001B4DA9"/>
    <w:rsid w:val="001B5749"/>
    <w:rsid w:val="001B7BBB"/>
    <w:rsid w:val="001C13CF"/>
    <w:rsid w:val="001C23B1"/>
    <w:rsid w:val="001C3A55"/>
    <w:rsid w:val="001C4321"/>
    <w:rsid w:val="001C57CC"/>
    <w:rsid w:val="001C732D"/>
    <w:rsid w:val="001D1F97"/>
    <w:rsid w:val="001D2046"/>
    <w:rsid w:val="001D3C6E"/>
    <w:rsid w:val="001D4E4B"/>
    <w:rsid w:val="001D50E7"/>
    <w:rsid w:val="001D7460"/>
    <w:rsid w:val="001D7957"/>
    <w:rsid w:val="001E04EC"/>
    <w:rsid w:val="001E082A"/>
    <w:rsid w:val="001E2415"/>
    <w:rsid w:val="001E2A4A"/>
    <w:rsid w:val="001E38D5"/>
    <w:rsid w:val="001E3AD7"/>
    <w:rsid w:val="001E5286"/>
    <w:rsid w:val="001E52F0"/>
    <w:rsid w:val="001E7429"/>
    <w:rsid w:val="001F3710"/>
    <w:rsid w:val="001F4B94"/>
    <w:rsid w:val="001F5DB2"/>
    <w:rsid w:val="001F6291"/>
    <w:rsid w:val="001F70CE"/>
    <w:rsid w:val="001F719A"/>
    <w:rsid w:val="002001A1"/>
    <w:rsid w:val="00201A1C"/>
    <w:rsid w:val="00204799"/>
    <w:rsid w:val="0020498C"/>
    <w:rsid w:val="00204DD7"/>
    <w:rsid w:val="00205E97"/>
    <w:rsid w:val="0020731E"/>
    <w:rsid w:val="0021022C"/>
    <w:rsid w:val="0021087B"/>
    <w:rsid w:val="0021137C"/>
    <w:rsid w:val="00214319"/>
    <w:rsid w:val="0021452F"/>
    <w:rsid w:val="002150FE"/>
    <w:rsid w:val="00216E19"/>
    <w:rsid w:val="00221DD0"/>
    <w:rsid w:val="00224562"/>
    <w:rsid w:val="00224564"/>
    <w:rsid w:val="00224989"/>
    <w:rsid w:val="002250FD"/>
    <w:rsid w:val="00226578"/>
    <w:rsid w:val="00226AF8"/>
    <w:rsid w:val="00227D59"/>
    <w:rsid w:val="002300CD"/>
    <w:rsid w:val="002305ED"/>
    <w:rsid w:val="0023639F"/>
    <w:rsid w:val="0023725A"/>
    <w:rsid w:val="00237B81"/>
    <w:rsid w:val="00237BD0"/>
    <w:rsid w:val="00242114"/>
    <w:rsid w:val="0024282E"/>
    <w:rsid w:val="00242953"/>
    <w:rsid w:val="00243DE1"/>
    <w:rsid w:val="00244EDD"/>
    <w:rsid w:val="002455E7"/>
    <w:rsid w:val="002455EC"/>
    <w:rsid w:val="00246DC8"/>
    <w:rsid w:val="00250882"/>
    <w:rsid w:val="00251D5C"/>
    <w:rsid w:val="0025247B"/>
    <w:rsid w:val="00254179"/>
    <w:rsid w:val="00256865"/>
    <w:rsid w:val="002574BB"/>
    <w:rsid w:val="00257531"/>
    <w:rsid w:val="00257631"/>
    <w:rsid w:val="00260431"/>
    <w:rsid w:val="00260E18"/>
    <w:rsid w:val="00260E1F"/>
    <w:rsid w:val="00261490"/>
    <w:rsid w:val="00261E3B"/>
    <w:rsid w:val="00261EFE"/>
    <w:rsid w:val="0026227D"/>
    <w:rsid w:val="002649E7"/>
    <w:rsid w:val="00270E00"/>
    <w:rsid w:val="00271DD1"/>
    <w:rsid w:val="002729B8"/>
    <w:rsid w:val="002755B9"/>
    <w:rsid w:val="00276378"/>
    <w:rsid w:val="00276834"/>
    <w:rsid w:val="00276A89"/>
    <w:rsid w:val="00276D5A"/>
    <w:rsid w:val="00277BA3"/>
    <w:rsid w:val="00282185"/>
    <w:rsid w:val="00282271"/>
    <w:rsid w:val="00282EE9"/>
    <w:rsid w:val="0028761D"/>
    <w:rsid w:val="00290BF2"/>
    <w:rsid w:val="00292BEA"/>
    <w:rsid w:val="002935B9"/>
    <w:rsid w:val="00294A5A"/>
    <w:rsid w:val="002955AA"/>
    <w:rsid w:val="002A2079"/>
    <w:rsid w:val="002A3E04"/>
    <w:rsid w:val="002A4928"/>
    <w:rsid w:val="002A49FB"/>
    <w:rsid w:val="002A5742"/>
    <w:rsid w:val="002A57E2"/>
    <w:rsid w:val="002A671A"/>
    <w:rsid w:val="002A7212"/>
    <w:rsid w:val="002A7277"/>
    <w:rsid w:val="002B08E6"/>
    <w:rsid w:val="002B0AA5"/>
    <w:rsid w:val="002B3F93"/>
    <w:rsid w:val="002B58A2"/>
    <w:rsid w:val="002B58FA"/>
    <w:rsid w:val="002B7C4E"/>
    <w:rsid w:val="002C0819"/>
    <w:rsid w:val="002C1F1B"/>
    <w:rsid w:val="002C2184"/>
    <w:rsid w:val="002C35DF"/>
    <w:rsid w:val="002C476A"/>
    <w:rsid w:val="002C6D34"/>
    <w:rsid w:val="002D12FD"/>
    <w:rsid w:val="002D18EB"/>
    <w:rsid w:val="002D2781"/>
    <w:rsid w:val="002D2B1A"/>
    <w:rsid w:val="002D2CA8"/>
    <w:rsid w:val="002D3101"/>
    <w:rsid w:val="002D3324"/>
    <w:rsid w:val="002D437E"/>
    <w:rsid w:val="002D4926"/>
    <w:rsid w:val="002D5874"/>
    <w:rsid w:val="002D5F29"/>
    <w:rsid w:val="002D728B"/>
    <w:rsid w:val="002D77D7"/>
    <w:rsid w:val="002D7E84"/>
    <w:rsid w:val="002E10DF"/>
    <w:rsid w:val="002E1BE1"/>
    <w:rsid w:val="002E2665"/>
    <w:rsid w:val="002E3117"/>
    <w:rsid w:val="002E3BD6"/>
    <w:rsid w:val="002E4CEF"/>
    <w:rsid w:val="002E6351"/>
    <w:rsid w:val="002E696C"/>
    <w:rsid w:val="002E7F0A"/>
    <w:rsid w:val="002F1211"/>
    <w:rsid w:val="002F58C1"/>
    <w:rsid w:val="00300A6A"/>
    <w:rsid w:val="00302DB2"/>
    <w:rsid w:val="0030594E"/>
    <w:rsid w:val="00306C05"/>
    <w:rsid w:val="00310187"/>
    <w:rsid w:val="00311088"/>
    <w:rsid w:val="003111C0"/>
    <w:rsid w:val="00311748"/>
    <w:rsid w:val="00311755"/>
    <w:rsid w:val="00312941"/>
    <w:rsid w:val="00312E4A"/>
    <w:rsid w:val="0031322E"/>
    <w:rsid w:val="003136C8"/>
    <w:rsid w:val="0031396D"/>
    <w:rsid w:val="00314102"/>
    <w:rsid w:val="00314734"/>
    <w:rsid w:val="00315021"/>
    <w:rsid w:val="00315C11"/>
    <w:rsid w:val="00317357"/>
    <w:rsid w:val="003176C0"/>
    <w:rsid w:val="00317828"/>
    <w:rsid w:val="00321B34"/>
    <w:rsid w:val="003223CF"/>
    <w:rsid w:val="00323E38"/>
    <w:rsid w:val="00326995"/>
    <w:rsid w:val="003300CB"/>
    <w:rsid w:val="00330EAF"/>
    <w:rsid w:val="00331B5F"/>
    <w:rsid w:val="00331FEE"/>
    <w:rsid w:val="00331FFF"/>
    <w:rsid w:val="0033254F"/>
    <w:rsid w:val="00333973"/>
    <w:rsid w:val="00335EAB"/>
    <w:rsid w:val="0033680E"/>
    <w:rsid w:val="00337CD6"/>
    <w:rsid w:val="003409A2"/>
    <w:rsid w:val="0034127D"/>
    <w:rsid w:val="0034165A"/>
    <w:rsid w:val="0034194B"/>
    <w:rsid w:val="00343121"/>
    <w:rsid w:val="00347D43"/>
    <w:rsid w:val="003510F5"/>
    <w:rsid w:val="00351463"/>
    <w:rsid w:val="00351B1F"/>
    <w:rsid w:val="00352472"/>
    <w:rsid w:val="003535B4"/>
    <w:rsid w:val="0035496E"/>
    <w:rsid w:val="00354B81"/>
    <w:rsid w:val="00355890"/>
    <w:rsid w:val="00356261"/>
    <w:rsid w:val="003565FD"/>
    <w:rsid w:val="00360903"/>
    <w:rsid w:val="00360B79"/>
    <w:rsid w:val="00361D69"/>
    <w:rsid w:val="00362AC3"/>
    <w:rsid w:val="00363C9C"/>
    <w:rsid w:val="00363E05"/>
    <w:rsid w:val="00364347"/>
    <w:rsid w:val="003649EF"/>
    <w:rsid w:val="00364E20"/>
    <w:rsid w:val="003651A6"/>
    <w:rsid w:val="0036598D"/>
    <w:rsid w:val="003660A7"/>
    <w:rsid w:val="00366F03"/>
    <w:rsid w:val="00367986"/>
    <w:rsid w:val="00370915"/>
    <w:rsid w:val="003730CD"/>
    <w:rsid w:val="00373A5A"/>
    <w:rsid w:val="00375815"/>
    <w:rsid w:val="00376229"/>
    <w:rsid w:val="003768FD"/>
    <w:rsid w:val="00376C23"/>
    <w:rsid w:val="0038056F"/>
    <w:rsid w:val="0038118E"/>
    <w:rsid w:val="0038150D"/>
    <w:rsid w:val="00381F7A"/>
    <w:rsid w:val="003828A1"/>
    <w:rsid w:val="00382FD1"/>
    <w:rsid w:val="00384EE0"/>
    <w:rsid w:val="00385916"/>
    <w:rsid w:val="0038594F"/>
    <w:rsid w:val="003871F4"/>
    <w:rsid w:val="00387B39"/>
    <w:rsid w:val="00391063"/>
    <w:rsid w:val="003911F5"/>
    <w:rsid w:val="00396B94"/>
    <w:rsid w:val="00397FCF"/>
    <w:rsid w:val="003A079D"/>
    <w:rsid w:val="003A153C"/>
    <w:rsid w:val="003A2584"/>
    <w:rsid w:val="003A364B"/>
    <w:rsid w:val="003A4861"/>
    <w:rsid w:val="003A4BAA"/>
    <w:rsid w:val="003A5D6C"/>
    <w:rsid w:val="003A6999"/>
    <w:rsid w:val="003A7F98"/>
    <w:rsid w:val="003B034C"/>
    <w:rsid w:val="003B0C94"/>
    <w:rsid w:val="003B10AC"/>
    <w:rsid w:val="003B161A"/>
    <w:rsid w:val="003B1A61"/>
    <w:rsid w:val="003B3B17"/>
    <w:rsid w:val="003B3C88"/>
    <w:rsid w:val="003B4A4C"/>
    <w:rsid w:val="003B51FA"/>
    <w:rsid w:val="003B5C51"/>
    <w:rsid w:val="003B6B71"/>
    <w:rsid w:val="003C1736"/>
    <w:rsid w:val="003C2512"/>
    <w:rsid w:val="003C3173"/>
    <w:rsid w:val="003C583F"/>
    <w:rsid w:val="003C5C0A"/>
    <w:rsid w:val="003C74EE"/>
    <w:rsid w:val="003D0414"/>
    <w:rsid w:val="003D056F"/>
    <w:rsid w:val="003D2A18"/>
    <w:rsid w:val="003D2ABA"/>
    <w:rsid w:val="003D3760"/>
    <w:rsid w:val="003D3CB8"/>
    <w:rsid w:val="003D46D7"/>
    <w:rsid w:val="003D5265"/>
    <w:rsid w:val="003D6FD4"/>
    <w:rsid w:val="003E1653"/>
    <w:rsid w:val="003E2504"/>
    <w:rsid w:val="003E4CD9"/>
    <w:rsid w:val="003E72F5"/>
    <w:rsid w:val="003E749F"/>
    <w:rsid w:val="003E7896"/>
    <w:rsid w:val="003E78A4"/>
    <w:rsid w:val="003F01A7"/>
    <w:rsid w:val="003F11B9"/>
    <w:rsid w:val="003F2314"/>
    <w:rsid w:val="003F2629"/>
    <w:rsid w:val="003F2A86"/>
    <w:rsid w:val="003F2DC9"/>
    <w:rsid w:val="003F390F"/>
    <w:rsid w:val="003F3DB3"/>
    <w:rsid w:val="003F48A8"/>
    <w:rsid w:val="003F6225"/>
    <w:rsid w:val="003F6502"/>
    <w:rsid w:val="004022A2"/>
    <w:rsid w:val="004040D4"/>
    <w:rsid w:val="00404FBC"/>
    <w:rsid w:val="00406C3A"/>
    <w:rsid w:val="00410670"/>
    <w:rsid w:val="00410EAE"/>
    <w:rsid w:val="00411ECA"/>
    <w:rsid w:val="00415EE8"/>
    <w:rsid w:val="004162E7"/>
    <w:rsid w:val="0042016C"/>
    <w:rsid w:val="00420A54"/>
    <w:rsid w:val="0042130F"/>
    <w:rsid w:val="0042133D"/>
    <w:rsid w:val="00421439"/>
    <w:rsid w:val="004217F4"/>
    <w:rsid w:val="004226A6"/>
    <w:rsid w:val="00422F75"/>
    <w:rsid w:val="004230C2"/>
    <w:rsid w:val="00424546"/>
    <w:rsid w:val="00424A5E"/>
    <w:rsid w:val="00425CF4"/>
    <w:rsid w:val="0042733B"/>
    <w:rsid w:val="00427A41"/>
    <w:rsid w:val="0043029D"/>
    <w:rsid w:val="00430A92"/>
    <w:rsid w:val="0043147E"/>
    <w:rsid w:val="00431AE5"/>
    <w:rsid w:val="00431F3A"/>
    <w:rsid w:val="00433016"/>
    <w:rsid w:val="00433408"/>
    <w:rsid w:val="0043627D"/>
    <w:rsid w:val="004365FF"/>
    <w:rsid w:val="004367CB"/>
    <w:rsid w:val="00440E89"/>
    <w:rsid w:val="00442A8E"/>
    <w:rsid w:val="00443E7F"/>
    <w:rsid w:val="0044467D"/>
    <w:rsid w:val="00444737"/>
    <w:rsid w:val="00444BB3"/>
    <w:rsid w:val="00444BDB"/>
    <w:rsid w:val="00444DAF"/>
    <w:rsid w:val="00451504"/>
    <w:rsid w:val="00451C2D"/>
    <w:rsid w:val="00451CF4"/>
    <w:rsid w:val="004524AF"/>
    <w:rsid w:val="00454132"/>
    <w:rsid w:val="004558E2"/>
    <w:rsid w:val="004561FE"/>
    <w:rsid w:val="00456BA5"/>
    <w:rsid w:val="00456BC6"/>
    <w:rsid w:val="004606BC"/>
    <w:rsid w:val="004607BF"/>
    <w:rsid w:val="00460E23"/>
    <w:rsid w:val="0046388A"/>
    <w:rsid w:val="00467343"/>
    <w:rsid w:val="0047043F"/>
    <w:rsid w:val="00470BB8"/>
    <w:rsid w:val="004710A8"/>
    <w:rsid w:val="00471421"/>
    <w:rsid w:val="00471D02"/>
    <w:rsid w:val="00472F63"/>
    <w:rsid w:val="00473983"/>
    <w:rsid w:val="00473BB3"/>
    <w:rsid w:val="00473DE7"/>
    <w:rsid w:val="004748BE"/>
    <w:rsid w:val="00476357"/>
    <w:rsid w:val="004765E0"/>
    <w:rsid w:val="00476F8A"/>
    <w:rsid w:val="004777D7"/>
    <w:rsid w:val="00477D6C"/>
    <w:rsid w:val="00481185"/>
    <w:rsid w:val="004835F9"/>
    <w:rsid w:val="004837E0"/>
    <w:rsid w:val="0048492B"/>
    <w:rsid w:val="00486A30"/>
    <w:rsid w:val="00486ADF"/>
    <w:rsid w:val="00490BF6"/>
    <w:rsid w:val="004915EA"/>
    <w:rsid w:val="00491C14"/>
    <w:rsid w:val="00492E7A"/>
    <w:rsid w:val="004946E4"/>
    <w:rsid w:val="004951CB"/>
    <w:rsid w:val="004A125B"/>
    <w:rsid w:val="004A22F6"/>
    <w:rsid w:val="004A56D3"/>
    <w:rsid w:val="004A5E44"/>
    <w:rsid w:val="004A62EF"/>
    <w:rsid w:val="004A72E9"/>
    <w:rsid w:val="004B3239"/>
    <w:rsid w:val="004B3350"/>
    <w:rsid w:val="004B38BC"/>
    <w:rsid w:val="004B4B39"/>
    <w:rsid w:val="004B7A11"/>
    <w:rsid w:val="004B7CE2"/>
    <w:rsid w:val="004C41BA"/>
    <w:rsid w:val="004C5DAD"/>
    <w:rsid w:val="004C7547"/>
    <w:rsid w:val="004D007F"/>
    <w:rsid w:val="004D1773"/>
    <w:rsid w:val="004D30A2"/>
    <w:rsid w:val="004D43B3"/>
    <w:rsid w:val="004D53DC"/>
    <w:rsid w:val="004D7A0C"/>
    <w:rsid w:val="004E1F41"/>
    <w:rsid w:val="004E275F"/>
    <w:rsid w:val="004E670D"/>
    <w:rsid w:val="004F0CD4"/>
    <w:rsid w:val="004F1140"/>
    <w:rsid w:val="004F14A0"/>
    <w:rsid w:val="004F1A2A"/>
    <w:rsid w:val="004F23D3"/>
    <w:rsid w:val="004F3AF4"/>
    <w:rsid w:val="004F7EFE"/>
    <w:rsid w:val="00500363"/>
    <w:rsid w:val="0050093F"/>
    <w:rsid w:val="005031C4"/>
    <w:rsid w:val="00503790"/>
    <w:rsid w:val="005047CA"/>
    <w:rsid w:val="00504942"/>
    <w:rsid w:val="00504E9C"/>
    <w:rsid w:val="00505674"/>
    <w:rsid w:val="00507179"/>
    <w:rsid w:val="00507610"/>
    <w:rsid w:val="00507656"/>
    <w:rsid w:val="00510753"/>
    <w:rsid w:val="00511BFC"/>
    <w:rsid w:val="005125B4"/>
    <w:rsid w:val="00512967"/>
    <w:rsid w:val="00516385"/>
    <w:rsid w:val="00517041"/>
    <w:rsid w:val="00521406"/>
    <w:rsid w:val="00521575"/>
    <w:rsid w:val="00525A77"/>
    <w:rsid w:val="00526C37"/>
    <w:rsid w:val="00527E54"/>
    <w:rsid w:val="00534994"/>
    <w:rsid w:val="00535FCD"/>
    <w:rsid w:val="00537C71"/>
    <w:rsid w:val="00540284"/>
    <w:rsid w:val="005410CE"/>
    <w:rsid w:val="00543236"/>
    <w:rsid w:val="00544388"/>
    <w:rsid w:val="00544875"/>
    <w:rsid w:val="00545286"/>
    <w:rsid w:val="00545595"/>
    <w:rsid w:val="00545AF7"/>
    <w:rsid w:val="00550248"/>
    <w:rsid w:val="005510D2"/>
    <w:rsid w:val="0055136D"/>
    <w:rsid w:val="005530D5"/>
    <w:rsid w:val="005537C0"/>
    <w:rsid w:val="005538A3"/>
    <w:rsid w:val="005544DD"/>
    <w:rsid w:val="00554BA3"/>
    <w:rsid w:val="00556A17"/>
    <w:rsid w:val="00557B5A"/>
    <w:rsid w:val="00557EF1"/>
    <w:rsid w:val="00560BF7"/>
    <w:rsid w:val="00561698"/>
    <w:rsid w:val="00561DCA"/>
    <w:rsid w:val="0056207A"/>
    <w:rsid w:val="00562B74"/>
    <w:rsid w:val="005635F2"/>
    <w:rsid w:val="005642EA"/>
    <w:rsid w:val="00564F26"/>
    <w:rsid w:val="005650AA"/>
    <w:rsid w:val="005677EF"/>
    <w:rsid w:val="00567DAB"/>
    <w:rsid w:val="00570628"/>
    <w:rsid w:val="00570F49"/>
    <w:rsid w:val="00573E1E"/>
    <w:rsid w:val="00575CCA"/>
    <w:rsid w:val="00576FAF"/>
    <w:rsid w:val="00577316"/>
    <w:rsid w:val="00580163"/>
    <w:rsid w:val="005808F2"/>
    <w:rsid w:val="00580D2A"/>
    <w:rsid w:val="0058147C"/>
    <w:rsid w:val="00582A83"/>
    <w:rsid w:val="00582E74"/>
    <w:rsid w:val="00585291"/>
    <w:rsid w:val="00585A15"/>
    <w:rsid w:val="00585AFD"/>
    <w:rsid w:val="00586159"/>
    <w:rsid w:val="00590381"/>
    <w:rsid w:val="005903FD"/>
    <w:rsid w:val="00590F21"/>
    <w:rsid w:val="00592C42"/>
    <w:rsid w:val="005955BF"/>
    <w:rsid w:val="00595CFF"/>
    <w:rsid w:val="00596803"/>
    <w:rsid w:val="005A24E4"/>
    <w:rsid w:val="005A332A"/>
    <w:rsid w:val="005A3BED"/>
    <w:rsid w:val="005A54AE"/>
    <w:rsid w:val="005A76EE"/>
    <w:rsid w:val="005B0CA0"/>
    <w:rsid w:val="005B101B"/>
    <w:rsid w:val="005B2A9F"/>
    <w:rsid w:val="005B3A0F"/>
    <w:rsid w:val="005B3B95"/>
    <w:rsid w:val="005B54CC"/>
    <w:rsid w:val="005B57D3"/>
    <w:rsid w:val="005B5DEC"/>
    <w:rsid w:val="005B66FF"/>
    <w:rsid w:val="005B6E81"/>
    <w:rsid w:val="005B7CF0"/>
    <w:rsid w:val="005C0268"/>
    <w:rsid w:val="005C1A8F"/>
    <w:rsid w:val="005C2CAA"/>
    <w:rsid w:val="005C42FD"/>
    <w:rsid w:val="005C4CA1"/>
    <w:rsid w:val="005C51FA"/>
    <w:rsid w:val="005C528B"/>
    <w:rsid w:val="005C5F09"/>
    <w:rsid w:val="005C71F7"/>
    <w:rsid w:val="005D19BE"/>
    <w:rsid w:val="005D220E"/>
    <w:rsid w:val="005D3131"/>
    <w:rsid w:val="005D4AE2"/>
    <w:rsid w:val="005D56F8"/>
    <w:rsid w:val="005D59C7"/>
    <w:rsid w:val="005D5E6B"/>
    <w:rsid w:val="005D6CDC"/>
    <w:rsid w:val="005D7A7F"/>
    <w:rsid w:val="005E037E"/>
    <w:rsid w:val="005E10D3"/>
    <w:rsid w:val="005E150A"/>
    <w:rsid w:val="005E47B1"/>
    <w:rsid w:val="005E5C39"/>
    <w:rsid w:val="005E6FD2"/>
    <w:rsid w:val="005E7D4B"/>
    <w:rsid w:val="005E7FF4"/>
    <w:rsid w:val="005F2B3F"/>
    <w:rsid w:val="005F3BD4"/>
    <w:rsid w:val="00600AD8"/>
    <w:rsid w:val="00600F10"/>
    <w:rsid w:val="00603465"/>
    <w:rsid w:val="00604D4C"/>
    <w:rsid w:val="00612407"/>
    <w:rsid w:val="0061268E"/>
    <w:rsid w:val="006129D0"/>
    <w:rsid w:val="00614D39"/>
    <w:rsid w:val="006152F0"/>
    <w:rsid w:val="00615EAB"/>
    <w:rsid w:val="00616468"/>
    <w:rsid w:val="00616CAB"/>
    <w:rsid w:val="00620130"/>
    <w:rsid w:val="006202BD"/>
    <w:rsid w:val="006205E9"/>
    <w:rsid w:val="00621BDE"/>
    <w:rsid w:val="0062427C"/>
    <w:rsid w:val="0062710F"/>
    <w:rsid w:val="00630F44"/>
    <w:rsid w:val="00631A07"/>
    <w:rsid w:val="00632DCB"/>
    <w:rsid w:val="00634146"/>
    <w:rsid w:val="00636042"/>
    <w:rsid w:val="0063768C"/>
    <w:rsid w:val="00641069"/>
    <w:rsid w:val="006429BF"/>
    <w:rsid w:val="00643A42"/>
    <w:rsid w:val="006440C6"/>
    <w:rsid w:val="006441EC"/>
    <w:rsid w:val="006450F3"/>
    <w:rsid w:val="00647903"/>
    <w:rsid w:val="00647A3A"/>
    <w:rsid w:val="0065036C"/>
    <w:rsid w:val="00650B31"/>
    <w:rsid w:val="00651DB8"/>
    <w:rsid w:val="006525BF"/>
    <w:rsid w:val="00652FDE"/>
    <w:rsid w:val="006536A0"/>
    <w:rsid w:val="006537C6"/>
    <w:rsid w:val="00654301"/>
    <w:rsid w:val="00657FED"/>
    <w:rsid w:val="006637E1"/>
    <w:rsid w:val="0066523D"/>
    <w:rsid w:val="00665CD8"/>
    <w:rsid w:val="00665EA7"/>
    <w:rsid w:val="00666006"/>
    <w:rsid w:val="006676F8"/>
    <w:rsid w:val="00671196"/>
    <w:rsid w:val="00671597"/>
    <w:rsid w:val="006722F1"/>
    <w:rsid w:val="00673696"/>
    <w:rsid w:val="00673AE9"/>
    <w:rsid w:val="00674C25"/>
    <w:rsid w:val="006752C5"/>
    <w:rsid w:val="006761DF"/>
    <w:rsid w:val="006765D3"/>
    <w:rsid w:val="00677721"/>
    <w:rsid w:val="006804F0"/>
    <w:rsid w:val="00680B0F"/>
    <w:rsid w:val="0068141D"/>
    <w:rsid w:val="0068268A"/>
    <w:rsid w:val="00682D56"/>
    <w:rsid w:val="006865E7"/>
    <w:rsid w:val="00687575"/>
    <w:rsid w:val="0069094C"/>
    <w:rsid w:val="00691764"/>
    <w:rsid w:val="00692619"/>
    <w:rsid w:val="006927BD"/>
    <w:rsid w:val="00692DCD"/>
    <w:rsid w:val="006A00E1"/>
    <w:rsid w:val="006A05C7"/>
    <w:rsid w:val="006A0FBE"/>
    <w:rsid w:val="006A288E"/>
    <w:rsid w:val="006A35F2"/>
    <w:rsid w:val="006A49D9"/>
    <w:rsid w:val="006B0B93"/>
    <w:rsid w:val="006B19DD"/>
    <w:rsid w:val="006B1AA5"/>
    <w:rsid w:val="006B42DD"/>
    <w:rsid w:val="006B5970"/>
    <w:rsid w:val="006B76F6"/>
    <w:rsid w:val="006C31C2"/>
    <w:rsid w:val="006C3601"/>
    <w:rsid w:val="006C5430"/>
    <w:rsid w:val="006D10F4"/>
    <w:rsid w:val="006D19D7"/>
    <w:rsid w:val="006D2324"/>
    <w:rsid w:val="006D58DE"/>
    <w:rsid w:val="006D70DD"/>
    <w:rsid w:val="006E01EA"/>
    <w:rsid w:val="006E2A6A"/>
    <w:rsid w:val="006E2E70"/>
    <w:rsid w:val="006E3CA5"/>
    <w:rsid w:val="006E3DAB"/>
    <w:rsid w:val="006E4BCC"/>
    <w:rsid w:val="006E4FDF"/>
    <w:rsid w:val="006F0463"/>
    <w:rsid w:val="006F1857"/>
    <w:rsid w:val="006F22CD"/>
    <w:rsid w:val="006F2E1B"/>
    <w:rsid w:val="006F49B6"/>
    <w:rsid w:val="006F574E"/>
    <w:rsid w:val="006F6422"/>
    <w:rsid w:val="006F79CF"/>
    <w:rsid w:val="007003F5"/>
    <w:rsid w:val="007017C7"/>
    <w:rsid w:val="00702424"/>
    <w:rsid w:val="007035D8"/>
    <w:rsid w:val="00704C4B"/>
    <w:rsid w:val="007051B2"/>
    <w:rsid w:val="0070547D"/>
    <w:rsid w:val="00705876"/>
    <w:rsid w:val="007068A8"/>
    <w:rsid w:val="00706B11"/>
    <w:rsid w:val="00710380"/>
    <w:rsid w:val="007107B9"/>
    <w:rsid w:val="00710E87"/>
    <w:rsid w:val="00712DEE"/>
    <w:rsid w:val="00714855"/>
    <w:rsid w:val="00715734"/>
    <w:rsid w:val="00716692"/>
    <w:rsid w:val="00717482"/>
    <w:rsid w:val="007176BE"/>
    <w:rsid w:val="007217F0"/>
    <w:rsid w:val="007225FB"/>
    <w:rsid w:val="0072396E"/>
    <w:rsid w:val="00723A6C"/>
    <w:rsid w:val="007250DB"/>
    <w:rsid w:val="0072716B"/>
    <w:rsid w:val="007308DC"/>
    <w:rsid w:val="00731862"/>
    <w:rsid w:val="00731CBB"/>
    <w:rsid w:val="0073215F"/>
    <w:rsid w:val="007322B7"/>
    <w:rsid w:val="007323F4"/>
    <w:rsid w:val="00732D37"/>
    <w:rsid w:val="00732E00"/>
    <w:rsid w:val="00733B9A"/>
    <w:rsid w:val="007350C5"/>
    <w:rsid w:val="007359BD"/>
    <w:rsid w:val="0073723B"/>
    <w:rsid w:val="00737588"/>
    <w:rsid w:val="00740735"/>
    <w:rsid w:val="00741B18"/>
    <w:rsid w:val="00742571"/>
    <w:rsid w:val="007476F4"/>
    <w:rsid w:val="00747799"/>
    <w:rsid w:val="007513DE"/>
    <w:rsid w:val="007541AF"/>
    <w:rsid w:val="00756921"/>
    <w:rsid w:val="00760643"/>
    <w:rsid w:val="007607DA"/>
    <w:rsid w:val="007623D2"/>
    <w:rsid w:val="00763017"/>
    <w:rsid w:val="00764D43"/>
    <w:rsid w:val="007664BA"/>
    <w:rsid w:val="007706BB"/>
    <w:rsid w:val="0077216A"/>
    <w:rsid w:val="00772EDD"/>
    <w:rsid w:val="00774F93"/>
    <w:rsid w:val="00780C91"/>
    <w:rsid w:val="00782B0E"/>
    <w:rsid w:val="007841B4"/>
    <w:rsid w:val="00784275"/>
    <w:rsid w:val="00787480"/>
    <w:rsid w:val="007902A7"/>
    <w:rsid w:val="0079101C"/>
    <w:rsid w:val="00791696"/>
    <w:rsid w:val="007926D8"/>
    <w:rsid w:val="00792DE7"/>
    <w:rsid w:val="00794110"/>
    <w:rsid w:val="007943B5"/>
    <w:rsid w:val="007965EC"/>
    <w:rsid w:val="00796733"/>
    <w:rsid w:val="007967A2"/>
    <w:rsid w:val="00796FBE"/>
    <w:rsid w:val="007A0BC2"/>
    <w:rsid w:val="007A55B2"/>
    <w:rsid w:val="007B11AF"/>
    <w:rsid w:val="007B1463"/>
    <w:rsid w:val="007B278E"/>
    <w:rsid w:val="007B2A35"/>
    <w:rsid w:val="007B3383"/>
    <w:rsid w:val="007B3EA0"/>
    <w:rsid w:val="007B41F2"/>
    <w:rsid w:val="007B608F"/>
    <w:rsid w:val="007C0668"/>
    <w:rsid w:val="007C0984"/>
    <w:rsid w:val="007C2985"/>
    <w:rsid w:val="007C5641"/>
    <w:rsid w:val="007C5BC3"/>
    <w:rsid w:val="007C6484"/>
    <w:rsid w:val="007C6832"/>
    <w:rsid w:val="007D1BFB"/>
    <w:rsid w:val="007D2EC1"/>
    <w:rsid w:val="007D3FA8"/>
    <w:rsid w:val="007D4AFB"/>
    <w:rsid w:val="007D5010"/>
    <w:rsid w:val="007D6B05"/>
    <w:rsid w:val="007E009C"/>
    <w:rsid w:val="007E148B"/>
    <w:rsid w:val="007E266C"/>
    <w:rsid w:val="007E4CAF"/>
    <w:rsid w:val="007E51B9"/>
    <w:rsid w:val="007E7C6B"/>
    <w:rsid w:val="007F029A"/>
    <w:rsid w:val="007F073E"/>
    <w:rsid w:val="007F1B62"/>
    <w:rsid w:val="007F3D26"/>
    <w:rsid w:val="007F4A31"/>
    <w:rsid w:val="007F59BC"/>
    <w:rsid w:val="007F60DD"/>
    <w:rsid w:val="007F7102"/>
    <w:rsid w:val="007F7668"/>
    <w:rsid w:val="00801187"/>
    <w:rsid w:val="00803BC6"/>
    <w:rsid w:val="00804AC8"/>
    <w:rsid w:val="008077EB"/>
    <w:rsid w:val="008100FA"/>
    <w:rsid w:val="00810E7B"/>
    <w:rsid w:val="008120DC"/>
    <w:rsid w:val="0081326E"/>
    <w:rsid w:val="00813ACB"/>
    <w:rsid w:val="008152FC"/>
    <w:rsid w:val="00815A2C"/>
    <w:rsid w:val="00816866"/>
    <w:rsid w:val="00817879"/>
    <w:rsid w:val="00821524"/>
    <w:rsid w:val="0082234E"/>
    <w:rsid w:val="00824AF3"/>
    <w:rsid w:val="00824B0A"/>
    <w:rsid w:val="00825896"/>
    <w:rsid w:val="00826004"/>
    <w:rsid w:val="008262F6"/>
    <w:rsid w:val="008275CC"/>
    <w:rsid w:val="00830029"/>
    <w:rsid w:val="0083289B"/>
    <w:rsid w:val="0083377B"/>
    <w:rsid w:val="00834882"/>
    <w:rsid w:val="0083503B"/>
    <w:rsid w:val="00835906"/>
    <w:rsid w:val="008359E3"/>
    <w:rsid w:val="00836849"/>
    <w:rsid w:val="0083782D"/>
    <w:rsid w:val="00841A1C"/>
    <w:rsid w:val="008424E2"/>
    <w:rsid w:val="008438D6"/>
    <w:rsid w:val="00843B59"/>
    <w:rsid w:val="00844E6E"/>
    <w:rsid w:val="00845B2D"/>
    <w:rsid w:val="008464E0"/>
    <w:rsid w:val="008475F8"/>
    <w:rsid w:val="008527B2"/>
    <w:rsid w:val="00855332"/>
    <w:rsid w:val="008562E0"/>
    <w:rsid w:val="00856984"/>
    <w:rsid w:val="008573AF"/>
    <w:rsid w:val="00857BE5"/>
    <w:rsid w:val="00857C65"/>
    <w:rsid w:val="00857CD0"/>
    <w:rsid w:val="00860011"/>
    <w:rsid w:val="00860260"/>
    <w:rsid w:val="00860FDB"/>
    <w:rsid w:val="00861EBD"/>
    <w:rsid w:val="008624FE"/>
    <w:rsid w:val="00862703"/>
    <w:rsid w:val="0086643A"/>
    <w:rsid w:val="00866799"/>
    <w:rsid w:val="008667EA"/>
    <w:rsid w:val="0087035E"/>
    <w:rsid w:val="00870BD2"/>
    <w:rsid w:val="00870C86"/>
    <w:rsid w:val="0087217B"/>
    <w:rsid w:val="00875D8F"/>
    <w:rsid w:val="00876008"/>
    <w:rsid w:val="008805F3"/>
    <w:rsid w:val="008809C0"/>
    <w:rsid w:val="0088103E"/>
    <w:rsid w:val="00882412"/>
    <w:rsid w:val="00882A7D"/>
    <w:rsid w:val="00882EDA"/>
    <w:rsid w:val="00883EA8"/>
    <w:rsid w:val="008843BC"/>
    <w:rsid w:val="008872D7"/>
    <w:rsid w:val="00890F97"/>
    <w:rsid w:val="00893629"/>
    <w:rsid w:val="00895F23"/>
    <w:rsid w:val="008A143F"/>
    <w:rsid w:val="008A4513"/>
    <w:rsid w:val="008A49FA"/>
    <w:rsid w:val="008A56D8"/>
    <w:rsid w:val="008A624E"/>
    <w:rsid w:val="008A75ED"/>
    <w:rsid w:val="008B2B13"/>
    <w:rsid w:val="008B38E4"/>
    <w:rsid w:val="008B5CC5"/>
    <w:rsid w:val="008B69C7"/>
    <w:rsid w:val="008B78DC"/>
    <w:rsid w:val="008C0F33"/>
    <w:rsid w:val="008C1019"/>
    <w:rsid w:val="008C1295"/>
    <w:rsid w:val="008C20EC"/>
    <w:rsid w:val="008C3591"/>
    <w:rsid w:val="008C4810"/>
    <w:rsid w:val="008C53A2"/>
    <w:rsid w:val="008D091D"/>
    <w:rsid w:val="008D1042"/>
    <w:rsid w:val="008D19C4"/>
    <w:rsid w:val="008D292B"/>
    <w:rsid w:val="008D2C84"/>
    <w:rsid w:val="008D3D4A"/>
    <w:rsid w:val="008D41B2"/>
    <w:rsid w:val="008D470D"/>
    <w:rsid w:val="008D4C13"/>
    <w:rsid w:val="008D650E"/>
    <w:rsid w:val="008D7AFB"/>
    <w:rsid w:val="008E0951"/>
    <w:rsid w:val="008E0F22"/>
    <w:rsid w:val="008E16E3"/>
    <w:rsid w:val="008E2129"/>
    <w:rsid w:val="008E49CD"/>
    <w:rsid w:val="008E509D"/>
    <w:rsid w:val="008E5B92"/>
    <w:rsid w:val="008E65F1"/>
    <w:rsid w:val="008E71FD"/>
    <w:rsid w:val="008F120E"/>
    <w:rsid w:val="008F1BFD"/>
    <w:rsid w:val="008F51EB"/>
    <w:rsid w:val="008F70DB"/>
    <w:rsid w:val="008F7A9E"/>
    <w:rsid w:val="00900B13"/>
    <w:rsid w:val="00900F80"/>
    <w:rsid w:val="0090187F"/>
    <w:rsid w:val="00902562"/>
    <w:rsid w:val="00907AB0"/>
    <w:rsid w:val="00911D8C"/>
    <w:rsid w:val="00912885"/>
    <w:rsid w:val="0091467A"/>
    <w:rsid w:val="009146FE"/>
    <w:rsid w:val="00914CAA"/>
    <w:rsid w:val="009202BA"/>
    <w:rsid w:val="009204F7"/>
    <w:rsid w:val="00920EEF"/>
    <w:rsid w:val="009238DC"/>
    <w:rsid w:val="00925A81"/>
    <w:rsid w:val="00925C49"/>
    <w:rsid w:val="00927936"/>
    <w:rsid w:val="00930A9B"/>
    <w:rsid w:val="00930BAD"/>
    <w:rsid w:val="00932E22"/>
    <w:rsid w:val="009334C4"/>
    <w:rsid w:val="00934D3A"/>
    <w:rsid w:val="00937176"/>
    <w:rsid w:val="00937B82"/>
    <w:rsid w:val="00937CED"/>
    <w:rsid w:val="00940DC8"/>
    <w:rsid w:val="00941B64"/>
    <w:rsid w:val="009448CC"/>
    <w:rsid w:val="0095091C"/>
    <w:rsid w:val="00950AA0"/>
    <w:rsid w:val="0095155B"/>
    <w:rsid w:val="009515BD"/>
    <w:rsid w:val="00951EC6"/>
    <w:rsid w:val="009531A0"/>
    <w:rsid w:val="00953B3F"/>
    <w:rsid w:val="00955565"/>
    <w:rsid w:val="00955FCA"/>
    <w:rsid w:val="00957300"/>
    <w:rsid w:val="00957E3D"/>
    <w:rsid w:val="00961051"/>
    <w:rsid w:val="00963AA7"/>
    <w:rsid w:val="00964AD4"/>
    <w:rsid w:val="00964D5E"/>
    <w:rsid w:val="0096680F"/>
    <w:rsid w:val="0096744F"/>
    <w:rsid w:val="00970A7B"/>
    <w:rsid w:val="00971D7F"/>
    <w:rsid w:val="0097313E"/>
    <w:rsid w:val="009749C3"/>
    <w:rsid w:val="00975594"/>
    <w:rsid w:val="00975DCF"/>
    <w:rsid w:val="009766F4"/>
    <w:rsid w:val="00980261"/>
    <w:rsid w:val="00980A99"/>
    <w:rsid w:val="009825E3"/>
    <w:rsid w:val="00982DAA"/>
    <w:rsid w:val="00982DAE"/>
    <w:rsid w:val="00982F0A"/>
    <w:rsid w:val="009839F3"/>
    <w:rsid w:val="0098509E"/>
    <w:rsid w:val="009851ED"/>
    <w:rsid w:val="009857AA"/>
    <w:rsid w:val="00986FC7"/>
    <w:rsid w:val="00987DDD"/>
    <w:rsid w:val="009906BB"/>
    <w:rsid w:val="00990C4D"/>
    <w:rsid w:val="009919C2"/>
    <w:rsid w:val="009934F9"/>
    <w:rsid w:val="00995198"/>
    <w:rsid w:val="009963AA"/>
    <w:rsid w:val="00996D4E"/>
    <w:rsid w:val="00997C3F"/>
    <w:rsid w:val="00997CEA"/>
    <w:rsid w:val="00997E77"/>
    <w:rsid w:val="009A0939"/>
    <w:rsid w:val="009A0D1D"/>
    <w:rsid w:val="009A1BB3"/>
    <w:rsid w:val="009A1FA6"/>
    <w:rsid w:val="009A45B8"/>
    <w:rsid w:val="009A5786"/>
    <w:rsid w:val="009A5EAB"/>
    <w:rsid w:val="009A6AD7"/>
    <w:rsid w:val="009A6CC7"/>
    <w:rsid w:val="009A6E28"/>
    <w:rsid w:val="009A734E"/>
    <w:rsid w:val="009B046E"/>
    <w:rsid w:val="009B0F06"/>
    <w:rsid w:val="009B2468"/>
    <w:rsid w:val="009B2F2C"/>
    <w:rsid w:val="009B438D"/>
    <w:rsid w:val="009B45DF"/>
    <w:rsid w:val="009C2921"/>
    <w:rsid w:val="009C3391"/>
    <w:rsid w:val="009C60DE"/>
    <w:rsid w:val="009C61D9"/>
    <w:rsid w:val="009C6B6E"/>
    <w:rsid w:val="009C7150"/>
    <w:rsid w:val="009D02A2"/>
    <w:rsid w:val="009D0669"/>
    <w:rsid w:val="009D0A2C"/>
    <w:rsid w:val="009D1B61"/>
    <w:rsid w:val="009D2A23"/>
    <w:rsid w:val="009D2DAF"/>
    <w:rsid w:val="009D3314"/>
    <w:rsid w:val="009D4F66"/>
    <w:rsid w:val="009D5D36"/>
    <w:rsid w:val="009D5DEE"/>
    <w:rsid w:val="009D7168"/>
    <w:rsid w:val="009E0261"/>
    <w:rsid w:val="009E0282"/>
    <w:rsid w:val="009E04DE"/>
    <w:rsid w:val="009E0594"/>
    <w:rsid w:val="009E250B"/>
    <w:rsid w:val="009E387C"/>
    <w:rsid w:val="009E3C33"/>
    <w:rsid w:val="009E3CE6"/>
    <w:rsid w:val="009E4841"/>
    <w:rsid w:val="009E6871"/>
    <w:rsid w:val="009E6B86"/>
    <w:rsid w:val="009E6C8A"/>
    <w:rsid w:val="009F126E"/>
    <w:rsid w:val="009F2B34"/>
    <w:rsid w:val="009F2BBE"/>
    <w:rsid w:val="009F2F45"/>
    <w:rsid w:val="009F4905"/>
    <w:rsid w:val="009F4DF7"/>
    <w:rsid w:val="009F4FC6"/>
    <w:rsid w:val="009F4FE5"/>
    <w:rsid w:val="009F7CDA"/>
    <w:rsid w:val="00A0003C"/>
    <w:rsid w:val="00A002C0"/>
    <w:rsid w:val="00A016C1"/>
    <w:rsid w:val="00A0323B"/>
    <w:rsid w:val="00A07A7F"/>
    <w:rsid w:val="00A07EAA"/>
    <w:rsid w:val="00A10A15"/>
    <w:rsid w:val="00A10EE0"/>
    <w:rsid w:val="00A11329"/>
    <w:rsid w:val="00A12654"/>
    <w:rsid w:val="00A12697"/>
    <w:rsid w:val="00A15A97"/>
    <w:rsid w:val="00A15D9F"/>
    <w:rsid w:val="00A1643D"/>
    <w:rsid w:val="00A212BB"/>
    <w:rsid w:val="00A213E0"/>
    <w:rsid w:val="00A21573"/>
    <w:rsid w:val="00A218C5"/>
    <w:rsid w:val="00A21C71"/>
    <w:rsid w:val="00A22450"/>
    <w:rsid w:val="00A24966"/>
    <w:rsid w:val="00A249C0"/>
    <w:rsid w:val="00A2750B"/>
    <w:rsid w:val="00A30DB3"/>
    <w:rsid w:val="00A31745"/>
    <w:rsid w:val="00A31BB0"/>
    <w:rsid w:val="00A32499"/>
    <w:rsid w:val="00A326BF"/>
    <w:rsid w:val="00A3369F"/>
    <w:rsid w:val="00A338FB"/>
    <w:rsid w:val="00A344A6"/>
    <w:rsid w:val="00A34FD5"/>
    <w:rsid w:val="00A35913"/>
    <w:rsid w:val="00A36152"/>
    <w:rsid w:val="00A363A1"/>
    <w:rsid w:val="00A365D0"/>
    <w:rsid w:val="00A36BB4"/>
    <w:rsid w:val="00A415FD"/>
    <w:rsid w:val="00A4393E"/>
    <w:rsid w:val="00A44435"/>
    <w:rsid w:val="00A446AA"/>
    <w:rsid w:val="00A44C95"/>
    <w:rsid w:val="00A45E49"/>
    <w:rsid w:val="00A46D20"/>
    <w:rsid w:val="00A47544"/>
    <w:rsid w:val="00A47572"/>
    <w:rsid w:val="00A476CC"/>
    <w:rsid w:val="00A52F91"/>
    <w:rsid w:val="00A53AD2"/>
    <w:rsid w:val="00A546C2"/>
    <w:rsid w:val="00A54FD7"/>
    <w:rsid w:val="00A55D2F"/>
    <w:rsid w:val="00A61F67"/>
    <w:rsid w:val="00A66D89"/>
    <w:rsid w:val="00A716F8"/>
    <w:rsid w:val="00A72479"/>
    <w:rsid w:val="00A72D81"/>
    <w:rsid w:val="00A73130"/>
    <w:rsid w:val="00A734A8"/>
    <w:rsid w:val="00A741EC"/>
    <w:rsid w:val="00A74753"/>
    <w:rsid w:val="00A75555"/>
    <w:rsid w:val="00A75E12"/>
    <w:rsid w:val="00A762A3"/>
    <w:rsid w:val="00A76D43"/>
    <w:rsid w:val="00A77C94"/>
    <w:rsid w:val="00A80E42"/>
    <w:rsid w:val="00A82B43"/>
    <w:rsid w:val="00A83AEC"/>
    <w:rsid w:val="00A84AA5"/>
    <w:rsid w:val="00A8504D"/>
    <w:rsid w:val="00A85457"/>
    <w:rsid w:val="00A85E85"/>
    <w:rsid w:val="00A87FDE"/>
    <w:rsid w:val="00A90252"/>
    <w:rsid w:val="00A90797"/>
    <w:rsid w:val="00A9353F"/>
    <w:rsid w:val="00A93FB5"/>
    <w:rsid w:val="00A9662C"/>
    <w:rsid w:val="00AA2730"/>
    <w:rsid w:val="00AA4346"/>
    <w:rsid w:val="00AA66CD"/>
    <w:rsid w:val="00AA7D73"/>
    <w:rsid w:val="00AB182C"/>
    <w:rsid w:val="00AB3773"/>
    <w:rsid w:val="00AB6DBB"/>
    <w:rsid w:val="00AB6FE7"/>
    <w:rsid w:val="00AC0F50"/>
    <w:rsid w:val="00AC201D"/>
    <w:rsid w:val="00AC45A0"/>
    <w:rsid w:val="00AC4EEE"/>
    <w:rsid w:val="00AC53DA"/>
    <w:rsid w:val="00AC59F9"/>
    <w:rsid w:val="00AC5CAE"/>
    <w:rsid w:val="00AD14A5"/>
    <w:rsid w:val="00AD2147"/>
    <w:rsid w:val="00AD38C1"/>
    <w:rsid w:val="00AD7F91"/>
    <w:rsid w:val="00AE5142"/>
    <w:rsid w:val="00AE5DA5"/>
    <w:rsid w:val="00AF1A68"/>
    <w:rsid w:val="00AF23D5"/>
    <w:rsid w:val="00AF42C9"/>
    <w:rsid w:val="00AF4E1D"/>
    <w:rsid w:val="00AF66E4"/>
    <w:rsid w:val="00AF76A2"/>
    <w:rsid w:val="00B0030C"/>
    <w:rsid w:val="00B00BA3"/>
    <w:rsid w:val="00B01382"/>
    <w:rsid w:val="00B02E3F"/>
    <w:rsid w:val="00B0359B"/>
    <w:rsid w:val="00B03885"/>
    <w:rsid w:val="00B03A0B"/>
    <w:rsid w:val="00B05DB1"/>
    <w:rsid w:val="00B06CFC"/>
    <w:rsid w:val="00B07920"/>
    <w:rsid w:val="00B10579"/>
    <w:rsid w:val="00B1286D"/>
    <w:rsid w:val="00B129BD"/>
    <w:rsid w:val="00B145D2"/>
    <w:rsid w:val="00B14E53"/>
    <w:rsid w:val="00B15372"/>
    <w:rsid w:val="00B163C7"/>
    <w:rsid w:val="00B2026E"/>
    <w:rsid w:val="00B20521"/>
    <w:rsid w:val="00B208CB"/>
    <w:rsid w:val="00B20A89"/>
    <w:rsid w:val="00B20E9D"/>
    <w:rsid w:val="00B21283"/>
    <w:rsid w:val="00B21FD1"/>
    <w:rsid w:val="00B22415"/>
    <w:rsid w:val="00B24ED2"/>
    <w:rsid w:val="00B272C4"/>
    <w:rsid w:val="00B30EEA"/>
    <w:rsid w:val="00B32A34"/>
    <w:rsid w:val="00B32D87"/>
    <w:rsid w:val="00B32F77"/>
    <w:rsid w:val="00B37CCC"/>
    <w:rsid w:val="00B41DBE"/>
    <w:rsid w:val="00B43BA6"/>
    <w:rsid w:val="00B44BBA"/>
    <w:rsid w:val="00B46408"/>
    <w:rsid w:val="00B466D5"/>
    <w:rsid w:val="00B46C42"/>
    <w:rsid w:val="00B47767"/>
    <w:rsid w:val="00B47815"/>
    <w:rsid w:val="00B47D8A"/>
    <w:rsid w:val="00B47EA8"/>
    <w:rsid w:val="00B50F3F"/>
    <w:rsid w:val="00B51400"/>
    <w:rsid w:val="00B524E4"/>
    <w:rsid w:val="00B53113"/>
    <w:rsid w:val="00B53F36"/>
    <w:rsid w:val="00B54BBA"/>
    <w:rsid w:val="00B54EFC"/>
    <w:rsid w:val="00B56B58"/>
    <w:rsid w:val="00B5754A"/>
    <w:rsid w:val="00B604C4"/>
    <w:rsid w:val="00B6129D"/>
    <w:rsid w:val="00B6188C"/>
    <w:rsid w:val="00B628D2"/>
    <w:rsid w:val="00B62AB6"/>
    <w:rsid w:val="00B62CEA"/>
    <w:rsid w:val="00B64644"/>
    <w:rsid w:val="00B66255"/>
    <w:rsid w:val="00B67EB4"/>
    <w:rsid w:val="00B713C4"/>
    <w:rsid w:val="00B72977"/>
    <w:rsid w:val="00B7311C"/>
    <w:rsid w:val="00B734E0"/>
    <w:rsid w:val="00B744E9"/>
    <w:rsid w:val="00B7467A"/>
    <w:rsid w:val="00B7529F"/>
    <w:rsid w:val="00B75759"/>
    <w:rsid w:val="00B75916"/>
    <w:rsid w:val="00B77E63"/>
    <w:rsid w:val="00B820F8"/>
    <w:rsid w:val="00B8387B"/>
    <w:rsid w:val="00B8398E"/>
    <w:rsid w:val="00B83F6A"/>
    <w:rsid w:val="00B84147"/>
    <w:rsid w:val="00B843E6"/>
    <w:rsid w:val="00B84B7A"/>
    <w:rsid w:val="00B85175"/>
    <w:rsid w:val="00B85508"/>
    <w:rsid w:val="00B87D06"/>
    <w:rsid w:val="00B90333"/>
    <w:rsid w:val="00B9156C"/>
    <w:rsid w:val="00B91B60"/>
    <w:rsid w:val="00B91D54"/>
    <w:rsid w:val="00B91F97"/>
    <w:rsid w:val="00B939F8"/>
    <w:rsid w:val="00B9519A"/>
    <w:rsid w:val="00B97B6E"/>
    <w:rsid w:val="00BA093B"/>
    <w:rsid w:val="00BA0AC9"/>
    <w:rsid w:val="00BA1356"/>
    <w:rsid w:val="00BA18DD"/>
    <w:rsid w:val="00BA2110"/>
    <w:rsid w:val="00BA2BD6"/>
    <w:rsid w:val="00BA6974"/>
    <w:rsid w:val="00BA6EB7"/>
    <w:rsid w:val="00BA7370"/>
    <w:rsid w:val="00BA74B6"/>
    <w:rsid w:val="00BB0385"/>
    <w:rsid w:val="00BB0B76"/>
    <w:rsid w:val="00BB25C6"/>
    <w:rsid w:val="00BB2EDC"/>
    <w:rsid w:val="00BB411D"/>
    <w:rsid w:val="00BB5EFE"/>
    <w:rsid w:val="00BB6649"/>
    <w:rsid w:val="00BB733D"/>
    <w:rsid w:val="00BB73D8"/>
    <w:rsid w:val="00BC1A5C"/>
    <w:rsid w:val="00BC1CE6"/>
    <w:rsid w:val="00BC2840"/>
    <w:rsid w:val="00BC482A"/>
    <w:rsid w:val="00BC4C21"/>
    <w:rsid w:val="00BC6A34"/>
    <w:rsid w:val="00BC6D9F"/>
    <w:rsid w:val="00BD1797"/>
    <w:rsid w:val="00BD20B6"/>
    <w:rsid w:val="00BD4608"/>
    <w:rsid w:val="00BD48C2"/>
    <w:rsid w:val="00BD4CB6"/>
    <w:rsid w:val="00BD5A44"/>
    <w:rsid w:val="00BD7BD6"/>
    <w:rsid w:val="00BE1E11"/>
    <w:rsid w:val="00BE2F7C"/>
    <w:rsid w:val="00BE3F49"/>
    <w:rsid w:val="00BE4A40"/>
    <w:rsid w:val="00BE4AA1"/>
    <w:rsid w:val="00BE520E"/>
    <w:rsid w:val="00BE6F17"/>
    <w:rsid w:val="00BE71CE"/>
    <w:rsid w:val="00BF16F1"/>
    <w:rsid w:val="00BF3B4C"/>
    <w:rsid w:val="00BF685C"/>
    <w:rsid w:val="00C001D5"/>
    <w:rsid w:val="00C016BA"/>
    <w:rsid w:val="00C024AD"/>
    <w:rsid w:val="00C033B3"/>
    <w:rsid w:val="00C03807"/>
    <w:rsid w:val="00C03A84"/>
    <w:rsid w:val="00C03A8B"/>
    <w:rsid w:val="00C0453E"/>
    <w:rsid w:val="00C05133"/>
    <w:rsid w:val="00C051EA"/>
    <w:rsid w:val="00C0574C"/>
    <w:rsid w:val="00C117F8"/>
    <w:rsid w:val="00C1193D"/>
    <w:rsid w:val="00C125DE"/>
    <w:rsid w:val="00C165D0"/>
    <w:rsid w:val="00C1690E"/>
    <w:rsid w:val="00C17119"/>
    <w:rsid w:val="00C22CD8"/>
    <w:rsid w:val="00C23FE6"/>
    <w:rsid w:val="00C25EC1"/>
    <w:rsid w:val="00C26D1C"/>
    <w:rsid w:val="00C27448"/>
    <w:rsid w:val="00C27578"/>
    <w:rsid w:val="00C31778"/>
    <w:rsid w:val="00C31CFF"/>
    <w:rsid w:val="00C33202"/>
    <w:rsid w:val="00C350CF"/>
    <w:rsid w:val="00C353BD"/>
    <w:rsid w:val="00C35452"/>
    <w:rsid w:val="00C36867"/>
    <w:rsid w:val="00C36EF0"/>
    <w:rsid w:val="00C3730E"/>
    <w:rsid w:val="00C37B50"/>
    <w:rsid w:val="00C40AD6"/>
    <w:rsid w:val="00C4389A"/>
    <w:rsid w:val="00C462DD"/>
    <w:rsid w:val="00C4796D"/>
    <w:rsid w:val="00C47CAE"/>
    <w:rsid w:val="00C50795"/>
    <w:rsid w:val="00C51199"/>
    <w:rsid w:val="00C522C0"/>
    <w:rsid w:val="00C5462A"/>
    <w:rsid w:val="00C551D6"/>
    <w:rsid w:val="00C60DD9"/>
    <w:rsid w:val="00C6129A"/>
    <w:rsid w:val="00C6135D"/>
    <w:rsid w:val="00C6173E"/>
    <w:rsid w:val="00C61838"/>
    <w:rsid w:val="00C63C73"/>
    <w:rsid w:val="00C6415E"/>
    <w:rsid w:val="00C643FD"/>
    <w:rsid w:val="00C64F6E"/>
    <w:rsid w:val="00C65BCB"/>
    <w:rsid w:val="00C65F29"/>
    <w:rsid w:val="00C6794D"/>
    <w:rsid w:val="00C67CBE"/>
    <w:rsid w:val="00C67F9C"/>
    <w:rsid w:val="00C70EF5"/>
    <w:rsid w:val="00C71323"/>
    <w:rsid w:val="00C714F9"/>
    <w:rsid w:val="00C7270D"/>
    <w:rsid w:val="00C73804"/>
    <w:rsid w:val="00C744A5"/>
    <w:rsid w:val="00C75AAF"/>
    <w:rsid w:val="00C76DC8"/>
    <w:rsid w:val="00C77492"/>
    <w:rsid w:val="00C84483"/>
    <w:rsid w:val="00C85965"/>
    <w:rsid w:val="00C86E04"/>
    <w:rsid w:val="00C8703F"/>
    <w:rsid w:val="00C871FB"/>
    <w:rsid w:val="00C8794C"/>
    <w:rsid w:val="00C90410"/>
    <w:rsid w:val="00C90D58"/>
    <w:rsid w:val="00C91765"/>
    <w:rsid w:val="00C919C8"/>
    <w:rsid w:val="00C91C19"/>
    <w:rsid w:val="00C931ED"/>
    <w:rsid w:val="00C9330E"/>
    <w:rsid w:val="00C93AFF"/>
    <w:rsid w:val="00C94358"/>
    <w:rsid w:val="00C95348"/>
    <w:rsid w:val="00C95640"/>
    <w:rsid w:val="00C96065"/>
    <w:rsid w:val="00C973CC"/>
    <w:rsid w:val="00C97550"/>
    <w:rsid w:val="00CA0093"/>
    <w:rsid w:val="00CA0BD2"/>
    <w:rsid w:val="00CA15D4"/>
    <w:rsid w:val="00CA243A"/>
    <w:rsid w:val="00CA24A5"/>
    <w:rsid w:val="00CA50E3"/>
    <w:rsid w:val="00CA5506"/>
    <w:rsid w:val="00CA63BD"/>
    <w:rsid w:val="00CA79AF"/>
    <w:rsid w:val="00CB02DF"/>
    <w:rsid w:val="00CB0FB8"/>
    <w:rsid w:val="00CB3E68"/>
    <w:rsid w:val="00CB4013"/>
    <w:rsid w:val="00CC163C"/>
    <w:rsid w:val="00CC2CB8"/>
    <w:rsid w:val="00CC48C2"/>
    <w:rsid w:val="00CC540D"/>
    <w:rsid w:val="00CC5A37"/>
    <w:rsid w:val="00CC64F1"/>
    <w:rsid w:val="00CC671F"/>
    <w:rsid w:val="00CC6996"/>
    <w:rsid w:val="00CC6AE6"/>
    <w:rsid w:val="00CC7BD0"/>
    <w:rsid w:val="00CD082C"/>
    <w:rsid w:val="00CD148F"/>
    <w:rsid w:val="00CD177E"/>
    <w:rsid w:val="00CD19BB"/>
    <w:rsid w:val="00CD1CFB"/>
    <w:rsid w:val="00CD2E31"/>
    <w:rsid w:val="00CD3687"/>
    <w:rsid w:val="00CD5312"/>
    <w:rsid w:val="00CD57B9"/>
    <w:rsid w:val="00CD5EA2"/>
    <w:rsid w:val="00CD751F"/>
    <w:rsid w:val="00CE0655"/>
    <w:rsid w:val="00CE0AEF"/>
    <w:rsid w:val="00CE18E8"/>
    <w:rsid w:val="00CE7722"/>
    <w:rsid w:val="00CF27A8"/>
    <w:rsid w:val="00CF2A04"/>
    <w:rsid w:val="00CF3A31"/>
    <w:rsid w:val="00CF4AFF"/>
    <w:rsid w:val="00CF5F3F"/>
    <w:rsid w:val="00CF672F"/>
    <w:rsid w:val="00CF6772"/>
    <w:rsid w:val="00D00130"/>
    <w:rsid w:val="00D0069E"/>
    <w:rsid w:val="00D00DC9"/>
    <w:rsid w:val="00D013CF"/>
    <w:rsid w:val="00D01F85"/>
    <w:rsid w:val="00D02275"/>
    <w:rsid w:val="00D02E6F"/>
    <w:rsid w:val="00D03E33"/>
    <w:rsid w:val="00D0432A"/>
    <w:rsid w:val="00D04A7A"/>
    <w:rsid w:val="00D07811"/>
    <w:rsid w:val="00D078E0"/>
    <w:rsid w:val="00D10386"/>
    <w:rsid w:val="00D10D0B"/>
    <w:rsid w:val="00D10FF0"/>
    <w:rsid w:val="00D116BB"/>
    <w:rsid w:val="00D11834"/>
    <w:rsid w:val="00D11851"/>
    <w:rsid w:val="00D127F8"/>
    <w:rsid w:val="00D134FD"/>
    <w:rsid w:val="00D15381"/>
    <w:rsid w:val="00D15AC3"/>
    <w:rsid w:val="00D15F09"/>
    <w:rsid w:val="00D15F20"/>
    <w:rsid w:val="00D16D84"/>
    <w:rsid w:val="00D17181"/>
    <w:rsid w:val="00D178B9"/>
    <w:rsid w:val="00D21BFD"/>
    <w:rsid w:val="00D239B9"/>
    <w:rsid w:val="00D2517E"/>
    <w:rsid w:val="00D25E5A"/>
    <w:rsid w:val="00D271C5"/>
    <w:rsid w:val="00D30079"/>
    <w:rsid w:val="00D33C6D"/>
    <w:rsid w:val="00D34593"/>
    <w:rsid w:val="00D347E1"/>
    <w:rsid w:val="00D351E9"/>
    <w:rsid w:val="00D3561F"/>
    <w:rsid w:val="00D40B65"/>
    <w:rsid w:val="00D41AD7"/>
    <w:rsid w:val="00D464B0"/>
    <w:rsid w:val="00D46869"/>
    <w:rsid w:val="00D4741F"/>
    <w:rsid w:val="00D52DA9"/>
    <w:rsid w:val="00D5314B"/>
    <w:rsid w:val="00D534F5"/>
    <w:rsid w:val="00D53534"/>
    <w:rsid w:val="00D53638"/>
    <w:rsid w:val="00D5388A"/>
    <w:rsid w:val="00D54876"/>
    <w:rsid w:val="00D54F6A"/>
    <w:rsid w:val="00D5656C"/>
    <w:rsid w:val="00D57D43"/>
    <w:rsid w:val="00D602DD"/>
    <w:rsid w:val="00D61746"/>
    <w:rsid w:val="00D621C0"/>
    <w:rsid w:val="00D6325B"/>
    <w:rsid w:val="00D63ECF"/>
    <w:rsid w:val="00D6512F"/>
    <w:rsid w:val="00D65626"/>
    <w:rsid w:val="00D67B09"/>
    <w:rsid w:val="00D7143A"/>
    <w:rsid w:val="00D71A86"/>
    <w:rsid w:val="00D72981"/>
    <w:rsid w:val="00D73D44"/>
    <w:rsid w:val="00D747D0"/>
    <w:rsid w:val="00D75BB8"/>
    <w:rsid w:val="00D75DB3"/>
    <w:rsid w:val="00D76676"/>
    <w:rsid w:val="00D80268"/>
    <w:rsid w:val="00D80B98"/>
    <w:rsid w:val="00D815F6"/>
    <w:rsid w:val="00D825AE"/>
    <w:rsid w:val="00D83897"/>
    <w:rsid w:val="00D85098"/>
    <w:rsid w:val="00D86F16"/>
    <w:rsid w:val="00D87A46"/>
    <w:rsid w:val="00D91329"/>
    <w:rsid w:val="00D91DD5"/>
    <w:rsid w:val="00D929FE"/>
    <w:rsid w:val="00D92D24"/>
    <w:rsid w:val="00D93084"/>
    <w:rsid w:val="00D93AE6"/>
    <w:rsid w:val="00D93BC1"/>
    <w:rsid w:val="00D94005"/>
    <w:rsid w:val="00D94365"/>
    <w:rsid w:val="00D9493A"/>
    <w:rsid w:val="00D96670"/>
    <w:rsid w:val="00D97909"/>
    <w:rsid w:val="00DA1EA3"/>
    <w:rsid w:val="00DA3A12"/>
    <w:rsid w:val="00DA73C5"/>
    <w:rsid w:val="00DA7925"/>
    <w:rsid w:val="00DA79E0"/>
    <w:rsid w:val="00DB083B"/>
    <w:rsid w:val="00DB0BA4"/>
    <w:rsid w:val="00DB282D"/>
    <w:rsid w:val="00DB2CEE"/>
    <w:rsid w:val="00DB35F2"/>
    <w:rsid w:val="00DB368E"/>
    <w:rsid w:val="00DB48CC"/>
    <w:rsid w:val="00DB491A"/>
    <w:rsid w:val="00DB4F42"/>
    <w:rsid w:val="00DB5EA5"/>
    <w:rsid w:val="00DB66AA"/>
    <w:rsid w:val="00DB6774"/>
    <w:rsid w:val="00DB7090"/>
    <w:rsid w:val="00DB755B"/>
    <w:rsid w:val="00DC0C04"/>
    <w:rsid w:val="00DC0C3A"/>
    <w:rsid w:val="00DC126D"/>
    <w:rsid w:val="00DC14CF"/>
    <w:rsid w:val="00DC19F1"/>
    <w:rsid w:val="00DC25AF"/>
    <w:rsid w:val="00DC2AB3"/>
    <w:rsid w:val="00DC4A9C"/>
    <w:rsid w:val="00DC5521"/>
    <w:rsid w:val="00DC6A43"/>
    <w:rsid w:val="00DC72CD"/>
    <w:rsid w:val="00DC7778"/>
    <w:rsid w:val="00DC7989"/>
    <w:rsid w:val="00DD076F"/>
    <w:rsid w:val="00DD11D4"/>
    <w:rsid w:val="00DD351A"/>
    <w:rsid w:val="00DD4275"/>
    <w:rsid w:val="00DD4691"/>
    <w:rsid w:val="00DD6711"/>
    <w:rsid w:val="00DD7381"/>
    <w:rsid w:val="00DE05E3"/>
    <w:rsid w:val="00DE0E96"/>
    <w:rsid w:val="00DE55C1"/>
    <w:rsid w:val="00DE5A84"/>
    <w:rsid w:val="00DE7180"/>
    <w:rsid w:val="00DE7D9E"/>
    <w:rsid w:val="00DF196D"/>
    <w:rsid w:val="00DF22A0"/>
    <w:rsid w:val="00DF27B2"/>
    <w:rsid w:val="00DF5EE5"/>
    <w:rsid w:val="00DF645C"/>
    <w:rsid w:val="00DF6F5C"/>
    <w:rsid w:val="00DF6F95"/>
    <w:rsid w:val="00E01003"/>
    <w:rsid w:val="00E01D56"/>
    <w:rsid w:val="00E01E2D"/>
    <w:rsid w:val="00E0248F"/>
    <w:rsid w:val="00E0378D"/>
    <w:rsid w:val="00E03B91"/>
    <w:rsid w:val="00E0423A"/>
    <w:rsid w:val="00E059D8"/>
    <w:rsid w:val="00E06B73"/>
    <w:rsid w:val="00E1019E"/>
    <w:rsid w:val="00E10FFF"/>
    <w:rsid w:val="00E11BC1"/>
    <w:rsid w:val="00E12977"/>
    <w:rsid w:val="00E12A63"/>
    <w:rsid w:val="00E134B7"/>
    <w:rsid w:val="00E14D7F"/>
    <w:rsid w:val="00E159A8"/>
    <w:rsid w:val="00E15BD1"/>
    <w:rsid w:val="00E16611"/>
    <w:rsid w:val="00E17544"/>
    <w:rsid w:val="00E21B53"/>
    <w:rsid w:val="00E21D60"/>
    <w:rsid w:val="00E2236E"/>
    <w:rsid w:val="00E2266C"/>
    <w:rsid w:val="00E22B95"/>
    <w:rsid w:val="00E26C31"/>
    <w:rsid w:val="00E30706"/>
    <w:rsid w:val="00E30C31"/>
    <w:rsid w:val="00E31AF3"/>
    <w:rsid w:val="00E32976"/>
    <w:rsid w:val="00E34519"/>
    <w:rsid w:val="00E372D8"/>
    <w:rsid w:val="00E37CDD"/>
    <w:rsid w:val="00E40952"/>
    <w:rsid w:val="00E4148A"/>
    <w:rsid w:val="00E41A68"/>
    <w:rsid w:val="00E41AA8"/>
    <w:rsid w:val="00E41E6D"/>
    <w:rsid w:val="00E42633"/>
    <w:rsid w:val="00E43C3B"/>
    <w:rsid w:val="00E45203"/>
    <w:rsid w:val="00E46032"/>
    <w:rsid w:val="00E46430"/>
    <w:rsid w:val="00E47784"/>
    <w:rsid w:val="00E479EC"/>
    <w:rsid w:val="00E47E6A"/>
    <w:rsid w:val="00E50C7D"/>
    <w:rsid w:val="00E5147C"/>
    <w:rsid w:val="00E526DE"/>
    <w:rsid w:val="00E53857"/>
    <w:rsid w:val="00E53CE7"/>
    <w:rsid w:val="00E5435D"/>
    <w:rsid w:val="00E55168"/>
    <w:rsid w:val="00E55499"/>
    <w:rsid w:val="00E57ACD"/>
    <w:rsid w:val="00E6045B"/>
    <w:rsid w:val="00E60ECE"/>
    <w:rsid w:val="00E63BC0"/>
    <w:rsid w:val="00E64D98"/>
    <w:rsid w:val="00E658FA"/>
    <w:rsid w:val="00E65E38"/>
    <w:rsid w:val="00E66412"/>
    <w:rsid w:val="00E664A3"/>
    <w:rsid w:val="00E66532"/>
    <w:rsid w:val="00E66AEF"/>
    <w:rsid w:val="00E66B43"/>
    <w:rsid w:val="00E67961"/>
    <w:rsid w:val="00E70B74"/>
    <w:rsid w:val="00E71D2F"/>
    <w:rsid w:val="00E72AFE"/>
    <w:rsid w:val="00E72D0C"/>
    <w:rsid w:val="00E731C6"/>
    <w:rsid w:val="00E73243"/>
    <w:rsid w:val="00E75784"/>
    <w:rsid w:val="00E81BD7"/>
    <w:rsid w:val="00E81D40"/>
    <w:rsid w:val="00E82897"/>
    <w:rsid w:val="00E82E43"/>
    <w:rsid w:val="00E84A4C"/>
    <w:rsid w:val="00E86052"/>
    <w:rsid w:val="00E924C4"/>
    <w:rsid w:val="00E9345B"/>
    <w:rsid w:val="00E94CF9"/>
    <w:rsid w:val="00E95796"/>
    <w:rsid w:val="00E95947"/>
    <w:rsid w:val="00E95D75"/>
    <w:rsid w:val="00E964CB"/>
    <w:rsid w:val="00EA01A4"/>
    <w:rsid w:val="00EA0222"/>
    <w:rsid w:val="00EA460F"/>
    <w:rsid w:val="00EA5ECE"/>
    <w:rsid w:val="00EA7716"/>
    <w:rsid w:val="00EA7D4B"/>
    <w:rsid w:val="00EB1650"/>
    <w:rsid w:val="00EB3B30"/>
    <w:rsid w:val="00EB5093"/>
    <w:rsid w:val="00EB6E8D"/>
    <w:rsid w:val="00EC1D34"/>
    <w:rsid w:val="00EC2F77"/>
    <w:rsid w:val="00EC30B5"/>
    <w:rsid w:val="00EC57AF"/>
    <w:rsid w:val="00EC5899"/>
    <w:rsid w:val="00EC714A"/>
    <w:rsid w:val="00ED0BC2"/>
    <w:rsid w:val="00ED13DE"/>
    <w:rsid w:val="00ED1647"/>
    <w:rsid w:val="00ED3233"/>
    <w:rsid w:val="00ED3AE5"/>
    <w:rsid w:val="00ED44DC"/>
    <w:rsid w:val="00ED5D29"/>
    <w:rsid w:val="00ED60BC"/>
    <w:rsid w:val="00EE1188"/>
    <w:rsid w:val="00EE18BF"/>
    <w:rsid w:val="00EE32F4"/>
    <w:rsid w:val="00EE4B85"/>
    <w:rsid w:val="00EE4E4F"/>
    <w:rsid w:val="00EE5416"/>
    <w:rsid w:val="00EE63BA"/>
    <w:rsid w:val="00EE6439"/>
    <w:rsid w:val="00EE70C7"/>
    <w:rsid w:val="00EE7583"/>
    <w:rsid w:val="00EE7F3B"/>
    <w:rsid w:val="00EF06DB"/>
    <w:rsid w:val="00EF19D3"/>
    <w:rsid w:val="00EF1A5C"/>
    <w:rsid w:val="00EF20A8"/>
    <w:rsid w:val="00EF37E2"/>
    <w:rsid w:val="00EF39FD"/>
    <w:rsid w:val="00EF4DD5"/>
    <w:rsid w:val="00EF74EA"/>
    <w:rsid w:val="00F00375"/>
    <w:rsid w:val="00F01240"/>
    <w:rsid w:val="00F017CE"/>
    <w:rsid w:val="00F04DFF"/>
    <w:rsid w:val="00F04F95"/>
    <w:rsid w:val="00F053C5"/>
    <w:rsid w:val="00F05EE7"/>
    <w:rsid w:val="00F05FDE"/>
    <w:rsid w:val="00F067EE"/>
    <w:rsid w:val="00F06D7C"/>
    <w:rsid w:val="00F07203"/>
    <w:rsid w:val="00F07506"/>
    <w:rsid w:val="00F11C6C"/>
    <w:rsid w:val="00F14E87"/>
    <w:rsid w:val="00F1501D"/>
    <w:rsid w:val="00F154FC"/>
    <w:rsid w:val="00F179DD"/>
    <w:rsid w:val="00F17C86"/>
    <w:rsid w:val="00F202EE"/>
    <w:rsid w:val="00F21838"/>
    <w:rsid w:val="00F223FF"/>
    <w:rsid w:val="00F226E9"/>
    <w:rsid w:val="00F2290B"/>
    <w:rsid w:val="00F24E54"/>
    <w:rsid w:val="00F26419"/>
    <w:rsid w:val="00F26B93"/>
    <w:rsid w:val="00F276B7"/>
    <w:rsid w:val="00F3031F"/>
    <w:rsid w:val="00F322F4"/>
    <w:rsid w:val="00F35191"/>
    <w:rsid w:val="00F35240"/>
    <w:rsid w:val="00F36937"/>
    <w:rsid w:val="00F37DE2"/>
    <w:rsid w:val="00F41328"/>
    <w:rsid w:val="00F434A0"/>
    <w:rsid w:val="00F45898"/>
    <w:rsid w:val="00F458A0"/>
    <w:rsid w:val="00F46634"/>
    <w:rsid w:val="00F5214C"/>
    <w:rsid w:val="00F535F0"/>
    <w:rsid w:val="00F53C49"/>
    <w:rsid w:val="00F53D5F"/>
    <w:rsid w:val="00F55596"/>
    <w:rsid w:val="00F56788"/>
    <w:rsid w:val="00F567D2"/>
    <w:rsid w:val="00F57A38"/>
    <w:rsid w:val="00F73237"/>
    <w:rsid w:val="00F734E1"/>
    <w:rsid w:val="00F749D0"/>
    <w:rsid w:val="00F768A1"/>
    <w:rsid w:val="00F830DB"/>
    <w:rsid w:val="00F839F3"/>
    <w:rsid w:val="00F856E9"/>
    <w:rsid w:val="00F862ED"/>
    <w:rsid w:val="00F87807"/>
    <w:rsid w:val="00F8798A"/>
    <w:rsid w:val="00F90BCF"/>
    <w:rsid w:val="00F931A9"/>
    <w:rsid w:val="00F9338B"/>
    <w:rsid w:val="00F93BA0"/>
    <w:rsid w:val="00F94B48"/>
    <w:rsid w:val="00F96519"/>
    <w:rsid w:val="00F96B4A"/>
    <w:rsid w:val="00F9711F"/>
    <w:rsid w:val="00F971C6"/>
    <w:rsid w:val="00FA0458"/>
    <w:rsid w:val="00FA09EE"/>
    <w:rsid w:val="00FA4BC4"/>
    <w:rsid w:val="00FA5421"/>
    <w:rsid w:val="00FA5C01"/>
    <w:rsid w:val="00FA6F10"/>
    <w:rsid w:val="00FA741E"/>
    <w:rsid w:val="00FA748C"/>
    <w:rsid w:val="00FB09DF"/>
    <w:rsid w:val="00FB1245"/>
    <w:rsid w:val="00FB2509"/>
    <w:rsid w:val="00FB3AC9"/>
    <w:rsid w:val="00FB40E8"/>
    <w:rsid w:val="00FB47F0"/>
    <w:rsid w:val="00FB51AD"/>
    <w:rsid w:val="00FB7038"/>
    <w:rsid w:val="00FB723C"/>
    <w:rsid w:val="00FC1880"/>
    <w:rsid w:val="00FC1E37"/>
    <w:rsid w:val="00FC3220"/>
    <w:rsid w:val="00FC34EC"/>
    <w:rsid w:val="00FC4555"/>
    <w:rsid w:val="00FC615B"/>
    <w:rsid w:val="00FC772F"/>
    <w:rsid w:val="00FC7D20"/>
    <w:rsid w:val="00FD06B8"/>
    <w:rsid w:val="00FD14C2"/>
    <w:rsid w:val="00FD1D01"/>
    <w:rsid w:val="00FD2E11"/>
    <w:rsid w:val="00FD43DD"/>
    <w:rsid w:val="00FD5180"/>
    <w:rsid w:val="00FD5D14"/>
    <w:rsid w:val="00FD5F91"/>
    <w:rsid w:val="00FD6757"/>
    <w:rsid w:val="00FD7B68"/>
    <w:rsid w:val="00FD7E8D"/>
    <w:rsid w:val="00FE125B"/>
    <w:rsid w:val="00FE197F"/>
    <w:rsid w:val="00FE1B8F"/>
    <w:rsid w:val="00FE1E75"/>
    <w:rsid w:val="00FE2AF8"/>
    <w:rsid w:val="00FE2CD4"/>
    <w:rsid w:val="00FE2E48"/>
    <w:rsid w:val="00FE35CA"/>
    <w:rsid w:val="00FE3BCC"/>
    <w:rsid w:val="00FE41AD"/>
    <w:rsid w:val="00FE5DEA"/>
    <w:rsid w:val="00FE6C3B"/>
    <w:rsid w:val="00FE73FC"/>
    <w:rsid w:val="00FE7A9F"/>
    <w:rsid w:val="00FF07E6"/>
    <w:rsid w:val="00FF08CA"/>
    <w:rsid w:val="00FF14CF"/>
    <w:rsid w:val="00FF21A3"/>
    <w:rsid w:val="00FF263A"/>
    <w:rsid w:val="00FF36F5"/>
    <w:rsid w:val="00FF4451"/>
    <w:rsid w:val="00FF5428"/>
    <w:rsid w:val="2604BA06"/>
    <w:rsid w:val="2EDE7CCC"/>
    <w:rsid w:val="4787B810"/>
    <w:rsid w:val="4932A9B6"/>
    <w:rsid w:val="4D22C853"/>
    <w:rsid w:val="51D37E9D"/>
    <w:rsid w:val="7AD5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0C8D6"/>
  <w15:docId w15:val="{3E5A8A7D-DB0F-4808-91C2-1D79650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631"/>
    <w:rPr>
      <w:rFonts w:ascii="Verdana" w:eastAsia="Times New Roman" w:hAnsi="Verdana"/>
      <w:sz w:val="22"/>
      <w:szCs w:val="24"/>
    </w:rPr>
  </w:style>
  <w:style w:type="paragraph" w:styleId="Ttulo8">
    <w:name w:val="heading 8"/>
    <w:basedOn w:val="Normal"/>
    <w:next w:val="Normal"/>
    <w:link w:val="Ttulo8Car"/>
    <w:qFormat/>
    <w:rsid w:val="004951CB"/>
    <w:pPr>
      <w:keepNext/>
      <w:jc w:val="both"/>
      <w:outlineLvl w:val="7"/>
    </w:pPr>
    <w:rPr>
      <w:rFonts w:ascii="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CF4"/>
    <w:pPr>
      <w:tabs>
        <w:tab w:val="center" w:pos="4680"/>
        <w:tab w:val="right" w:pos="9360"/>
      </w:tabs>
    </w:pPr>
    <w:rPr>
      <w:rFonts w:ascii="Calibri" w:eastAsia="Calibri" w:hAnsi="Calibri"/>
      <w:szCs w:val="22"/>
    </w:rPr>
  </w:style>
  <w:style w:type="character" w:customStyle="1" w:styleId="EncabezadoCar">
    <w:name w:val="Encabezado Car"/>
    <w:basedOn w:val="Fuentedeprrafopredeter"/>
    <w:link w:val="Encabezado"/>
    <w:uiPriority w:val="99"/>
    <w:rsid w:val="00451CF4"/>
  </w:style>
  <w:style w:type="paragraph" w:styleId="Piedepgina">
    <w:name w:val="footer"/>
    <w:basedOn w:val="Normal"/>
    <w:link w:val="PiedepginaCar"/>
    <w:uiPriority w:val="99"/>
    <w:unhideWhenUsed/>
    <w:rsid w:val="00451CF4"/>
    <w:pPr>
      <w:tabs>
        <w:tab w:val="center" w:pos="4680"/>
        <w:tab w:val="right" w:pos="9360"/>
      </w:tabs>
    </w:pPr>
    <w:rPr>
      <w:rFonts w:ascii="Calibri" w:eastAsia="Calibri" w:hAnsi="Calibri"/>
      <w:szCs w:val="22"/>
    </w:rPr>
  </w:style>
  <w:style w:type="character" w:customStyle="1" w:styleId="PiedepginaCar">
    <w:name w:val="Pie de página Car"/>
    <w:basedOn w:val="Fuentedeprrafopredeter"/>
    <w:link w:val="Piedepgina"/>
    <w:uiPriority w:val="99"/>
    <w:rsid w:val="00451CF4"/>
  </w:style>
  <w:style w:type="paragraph" w:styleId="Textodeglobo">
    <w:name w:val="Balloon Text"/>
    <w:basedOn w:val="Normal"/>
    <w:link w:val="TextodegloboCar"/>
    <w:unhideWhenUsed/>
    <w:rsid w:val="00451CF4"/>
    <w:rPr>
      <w:rFonts w:ascii="Tahoma" w:eastAsia="Calibri" w:hAnsi="Tahoma" w:cs="Tahoma"/>
      <w:sz w:val="16"/>
      <w:szCs w:val="16"/>
    </w:rPr>
  </w:style>
  <w:style w:type="character" w:customStyle="1" w:styleId="TextodegloboCar">
    <w:name w:val="Texto de globo Car"/>
    <w:basedOn w:val="Fuentedeprrafopredeter"/>
    <w:link w:val="Textodeglobo"/>
    <w:rsid w:val="00451CF4"/>
    <w:rPr>
      <w:rFonts w:ascii="Tahoma" w:hAnsi="Tahoma" w:cs="Tahoma"/>
      <w:sz w:val="16"/>
      <w:szCs w:val="16"/>
    </w:rPr>
  </w:style>
  <w:style w:type="character" w:styleId="Hipervnculo">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Prrafodelista">
    <w:name w:val="List Paragraph"/>
    <w:basedOn w:val="Normal"/>
    <w:uiPriority w:val="34"/>
    <w:qFormat/>
    <w:rsid w:val="00997CEA"/>
    <w:pPr>
      <w:ind w:left="720"/>
      <w:contextualSpacing/>
    </w:pPr>
    <w:rPr>
      <w:rFonts w:ascii="Times New Roman" w:hAnsi="Times New Roman"/>
      <w:sz w:val="24"/>
    </w:rPr>
  </w:style>
  <w:style w:type="paragraph" w:styleId="Textonotapie">
    <w:name w:val="footnote text"/>
    <w:basedOn w:val="Normal"/>
    <w:link w:val="TextonotapieCar"/>
    <w:uiPriority w:val="99"/>
    <w:semiHidden/>
    <w:unhideWhenUsed/>
    <w:rsid w:val="00F567D2"/>
    <w:rPr>
      <w:sz w:val="20"/>
      <w:szCs w:val="20"/>
    </w:rPr>
  </w:style>
  <w:style w:type="paragraph" w:styleId="Textosinformato">
    <w:name w:val="Plain Text"/>
    <w:basedOn w:val="Normal"/>
    <w:link w:val="TextosinformatoCar"/>
    <w:uiPriority w:val="99"/>
    <w:unhideWhenUsed/>
    <w:rsid w:val="00431AE5"/>
    <w:rPr>
      <w:rFonts w:ascii="Consolas" w:eastAsia="Calibri" w:hAnsi="Consolas" w:cs="Consolas"/>
      <w:sz w:val="21"/>
      <w:szCs w:val="21"/>
      <w:lang w:val="en-CA"/>
    </w:rPr>
  </w:style>
  <w:style w:type="character" w:customStyle="1" w:styleId="TextosinformatoCar">
    <w:name w:val="Texto sin formato Car"/>
    <w:basedOn w:val="Fuentedeprrafopredeter"/>
    <w:link w:val="Textosinformato"/>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1"/>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rsid w:val="00B62AB6"/>
    <w:pPr>
      <w:numPr>
        <w:ilvl w:val="7"/>
      </w:numPr>
      <w:spacing w:before="120" w:after="120"/>
      <w:outlineLvl w:val="7"/>
    </w:pPr>
    <w:rPr>
      <w:sz w:val="18"/>
    </w:rPr>
  </w:style>
  <w:style w:type="paragraph" w:customStyle="1" w:styleId="SecurityL9">
    <w:name w:val="Security_L9"/>
    <w:basedOn w:val="SecurityL8"/>
    <w:rsid w:val="00B62AB6"/>
    <w:pPr>
      <w:numPr>
        <w:ilvl w:val="8"/>
      </w:numPr>
      <w:spacing w:before="0" w:after="60"/>
      <w:outlineLvl w:val="8"/>
    </w:pPr>
    <w:rPr>
      <w:i/>
    </w:rPr>
  </w:style>
  <w:style w:type="paragraph" w:styleId="Textoindependiente">
    <w:name w:val="Body Text"/>
    <w:aliases w:val="bt"/>
    <w:basedOn w:val="Normal"/>
    <w:link w:val="TextoindependienteCar"/>
    <w:rsid w:val="00B62AB6"/>
    <w:pPr>
      <w:spacing w:after="240" w:line="240" w:lineRule="atLeast"/>
      <w:jc w:val="both"/>
    </w:pPr>
    <w:rPr>
      <w:rFonts w:ascii="Times New Roman" w:hAnsi="Times New Roman"/>
      <w:lang w:val="en-CA"/>
    </w:rPr>
  </w:style>
  <w:style w:type="character" w:customStyle="1" w:styleId="TextoindependienteCar">
    <w:name w:val="Texto independiente Car"/>
    <w:aliases w:val="bt Car"/>
    <w:basedOn w:val="Fuentedeprrafopredeter"/>
    <w:link w:val="Textoindependiente"/>
    <w:rsid w:val="00B62AB6"/>
    <w:rPr>
      <w:rFonts w:ascii="Times New Roman" w:eastAsia="Times New Roman" w:hAnsi="Times New Roman" w:cs="Times New Roman"/>
      <w:szCs w:val="24"/>
      <w:lang w:val="en-CA"/>
    </w:rPr>
  </w:style>
  <w:style w:type="character" w:customStyle="1" w:styleId="TableTextChar">
    <w:name w:val="Table Text Char"/>
    <w:aliases w:val="tt Char"/>
    <w:basedOn w:val="Fuentedeprrafopredeter"/>
    <w:link w:val="tabletext"/>
    <w:rsid w:val="00B62AB6"/>
    <w:rPr>
      <w:rFonts w:ascii="Times New Roman" w:eastAsia="Times New Roman" w:hAnsi="Times New Roman" w:cs="Times New Roman"/>
      <w:sz w:val="20"/>
      <w:szCs w:val="24"/>
      <w:lang w:val="en-CA"/>
    </w:rPr>
  </w:style>
  <w:style w:type="character" w:customStyle="1" w:styleId="Ttulo8Car">
    <w:name w:val="Título 8 Car"/>
    <w:basedOn w:val="Fuentedeprrafopredeter"/>
    <w:link w:val="Ttulo8"/>
    <w:rsid w:val="004951CB"/>
    <w:rPr>
      <w:rFonts w:ascii="Arial" w:eastAsia="Times New Roman" w:hAnsi="Arial" w:cs="Times New Roman"/>
      <w:b/>
      <w:bCs/>
      <w:sz w:val="20"/>
      <w:szCs w:val="20"/>
    </w:rPr>
  </w:style>
  <w:style w:type="character" w:styleId="Refdecomentario">
    <w:name w:val="annotation reference"/>
    <w:unhideWhenUsed/>
    <w:rsid w:val="004951CB"/>
    <w:rPr>
      <w:sz w:val="16"/>
      <w:szCs w:val="16"/>
    </w:rPr>
  </w:style>
  <w:style w:type="paragraph" w:styleId="Textocomentario">
    <w:name w:val="annotation text"/>
    <w:basedOn w:val="Normal"/>
    <w:link w:val="TextocomentarioCar"/>
    <w:uiPriority w:val="99"/>
    <w:semiHidden/>
    <w:unhideWhenUsed/>
    <w:rsid w:val="004951CB"/>
    <w:rPr>
      <w:rFonts w:ascii="Arial" w:hAnsi="Arial"/>
      <w:sz w:val="20"/>
      <w:szCs w:val="20"/>
    </w:rPr>
  </w:style>
  <w:style w:type="character" w:customStyle="1" w:styleId="TextocomentarioCar">
    <w:name w:val="Texto comentario Car"/>
    <w:basedOn w:val="Fuentedeprrafopredeter"/>
    <w:link w:val="Textocomentario"/>
    <w:uiPriority w:val="99"/>
    <w:semiHidden/>
    <w:rsid w:val="004951CB"/>
    <w:rPr>
      <w:rFonts w:ascii="Arial" w:eastAsia="Times New Roman" w:hAnsi="Arial" w:cs="Times New Roman"/>
      <w:sz w:val="20"/>
      <w:szCs w:val="20"/>
    </w:rPr>
  </w:style>
  <w:style w:type="paragraph" w:styleId="Textoindependiente2">
    <w:name w:val="Body Text 2"/>
    <w:basedOn w:val="Normal"/>
    <w:link w:val="Textoindependiente2Car"/>
    <w:unhideWhenUsed/>
    <w:rsid w:val="003E2504"/>
    <w:pPr>
      <w:spacing w:after="120" w:line="480" w:lineRule="auto"/>
    </w:pPr>
  </w:style>
  <w:style w:type="character" w:customStyle="1" w:styleId="Textoindependiente2Car">
    <w:name w:val="Texto independiente 2 Car"/>
    <w:basedOn w:val="Fuentedeprrafopredeter"/>
    <w:link w:val="Textoindependiente2"/>
    <w:rsid w:val="003E2504"/>
    <w:rPr>
      <w:rFonts w:ascii="Verdana" w:eastAsia="Times New Roman" w:hAnsi="Verdana" w:cs="Times New Roman"/>
      <w:szCs w:val="24"/>
    </w:rPr>
  </w:style>
  <w:style w:type="paragraph" w:styleId="Sangradetextonormal">
    <w:name w:val="Body Text Indent"/>
    <w:basedOn w:val="Normal"/>
    <w:link w:val="SangradetextonormalCar"/>
    <w:uiPriority w:val="99"/>
    <w:semiHidden/>
    <w:unhideWhenUsed/>
    <w:rsid w:val="002A7212"/>
    <w:pPr>
      <w:spacing w:after="120"/>
      <w:ind w:left="283"/>
    </w:pPr>
  </w:style>
  <w:style w:type="character" w:customStyle="1" w:styleId="SangradetextonormalCar">
    <w:name w:val="Sangría de texto normal Car"/>
    <w:basedOn w:val="Fuentedeprrafopredeter"/>
    <w:link w:val="Sangradetextonormal"/>
    <w:uiPriority w:val="99"/>
    <w:semiHidden/>
    <w:rsid w:val="002A7212"/>
    <w:rPr>
      <w:rFonts w:ascii="Verdana" w:eastAsia="Times New Roman" w:hAnsi="Verdana"/>
      <w:sz w:val="22"/>
      <w:szCs w:val="24"/>
    </w:rPr>
  </w:style>
  <w:style w:type="paragraph" w:styleId="Asuntodelcomentario">
    <w:name w:val="annotation subject"/>
    <w:basedOn w:val="Textocomentario"/>
    <w:next w:val="Textocomentario"/>
    <w:link w:val="AsuntodelcomentarioCar"/>
    <w:uiPriority w:val="99"/>
    <w:semiHidden/>
    <w:unhideWhenUsed/>
    <w:rsid w:val="008A56D8"/>
    <w:rPr>
      <w:rFonts w:ascii="Verdana" w:hAnsi="Verdana"/>
      <w:b/>
      <w:bCs/>
    </w:rPr>
  </w:style>
  <w:style w:type="character" w:customStyle="1" w:styleId="AsuntodelcomentarioCar">
    <w:name w:val="Asunto del comentario Car"/>
    <w:basedOn w:val="TextocomentarioCar"/>
    <w:link w:val="Asuntodelcomentario"/>
    <w:uiPriority w:val="99"/>
    <w:semiHidden/>
    <w:rsid w:val="008A56D8"/>
    <w:rPr>
      <w:rFonts w:ascii="Verdana" w:eastAsia="Times New Roman" w:hAnsi="Verdana" w:cs="Times New Roman"/>
      <w:b/>
      <w:bCs/>
      <w:sz w:val="20"/>
      <w:szCs w:val="20"/>
    </w:rPr>
  </w:style>
  <w:style w:type="paragraph" w:styleId="Revisi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rsid w:val="00810E7B"/>
    <w:pPr>
      <w:spacing w:after="240"/>
      <w:jc w:val="both"/>
    </w:pPr>
    <w:rPr>
      <w:rFonts w:ascii="Times New Roman" w:hAnsi="Times New Roman"/>
      <w:sz w:val="20"/>
      <w:szCs w:val="20"/>
      <w:lang w:val="en-CA"/>
    </w:rPr>
  </w:style>
  <w:style w:type="paragraph" w:styleId="NormalWeb">
    <w:name w:val="Normal (Web)"/>
    <w:basedOn w:val="Normal"/>
    <w:uiPriority w:val="99"/>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styleId="nfasis">
    <w:name w:val="Emphasis"/>
    <w:uiPriority w:val="20"/>
    <w:qFormat/>
    <w:rsid w:val="003176C0"/>
    <w:rPr>
      <w:i/>
      <w:iCs/>
    </w:rPr>
  </w:style>
  <w:style w:type="paragraph" w:customStyle="1" w:styleId="Ne3">
    <w:name w:val="Ne3"/>
    <w:basedOn w:val="Normal"/>
    <w:link w:val="Ne3Char"/>
    <w:rsid w:val="005D19BE"/>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5D19BE"/>
    <w:rPr>
      <w:rFonts w:ascii="Arial" w:eastAsia="Times New Roman" w:hAnsi="Arial"/>
    </w:rPr>
  </w:style>
  <w:style w:type="paragraph" w:styleId="HTMLconformatoprevio">
    <w:name w:val="HTML Preformatted"/>
    <w:basedOn w:val="Normal"/>
    <w:link w:val="HTMLconformatoprevioCar"/>
    <w:uiPriority w:val="99"/>
    <w:rsid w:val="006429BF"/>
    <w:pPr>
      <w:jc w:val="both"/>
    </w:pPr>
    <w:rPr>
      <w:rFonts w:ascii="Courier New" w:hAnsi="Courier New"/>
      <w:sz w:val="20"/>
      <w:lang w:val="en-CA"/>
    </w:rPr>
  </w:style>
  <w:style w:type="character" w:customStyle="1" w:styleId="HTMLconformatoprevioCar">
    <w:name w:val="HTML con formato previo Car"/>
    <w:basedOn w:val="Fuentedeprrafopredeter"/>
    <w:link w:val="HTMLconformatoprevio"/>
    <w:uiPriority w:val="99"/>
    <w:rsid w:val="006429BF"/>
    <w:rPr>
      <w:rFonts w:ascii="Courier New" w:eastAsia="Times New Roman" w:hAnsi="Courier New"/>
      <w:szCs w:val="24"/>
      <w:lang w:val="en-CA"/>
    </w:rPr>
  </w:style>
  <w:style w:type="paragraph" w:customStyle="1" w:styleId="Ne4">
    <w:name w:val="Ne4"/>
    <w:basedOn w:val="Normal"/>
    <w:rsid w:val="006B42DD"/>
    <w:pPr>
      <w:overflowPunct w:val="0"/>
      <w:autoSpaceDE w:val="0"/>
      <w:autoSpaceDN w:val="0"/>
      <w:adjustRightInd w:val="0"/>
      <w:spacing w:before="120" w:line="280" w:lineRule="atLeast"/>
      <w:ind w:left="1080"/>
      <w:jc w:val="both"/>
    </w:pPr>
    <w:rPr>
      <w:rFonts w:ascii="Arial" w:hAnsi="Arial"/>
      <w:sz w:val="20"/>
      <w:szCs w:val="20"/>
      <w:lang w:val="en-CA"/>
    </w:rPr>
  </w:style>
  <w:style w:type="paragraph" w:styleId="Sinespaciado">
    <w:name w:val="No Spacing"/>
    <w:link w:val="SinespaciadoCar"/>
    <w:qFormat/>
    <w:rsid w:val="00043F8E"/>
    <w:pPr>
      <w:jc w:val="both"/>
    </w:pPr>
    <w:rPr>
      <w:rFonts w:ascii="Times New Roman" w:eastAsia="Batang" w:hAnsi="Times New Roman"/>
      <w:sz w:val="22"/>
      <w:szCs w:val="24"/>
      <w:lang w:val="en-CA"/>
    </w:rPr>
  </w:style>
  <w:style w:type="character" w:customStyle="1" w:styleId="SinespaciadoCar">
    <w:name w:val="Sin espaciado Car"/>
    <w:link w:val="Sinespaciado"/>
    <w:rsid w:val="00043F8E"/>
    <w:rPr>
      <w:rFonts w:ascii="Times New Roman" w:eastAsia="Batang" w:hAnsi="Times New Roman"/>
      <w:sz w:val="22"/>
      <w:szCs w:val="24"/>
      <w:lang w:val="en-CA"/>
    </w:rPr>
  </w:style>
  <w:style w:type="paragraph" w:customStyle="1" w:styleId="LHFirmName">
    <w:name w:val="LH Firm Name"/>
    <w:basedOn w:val="Normal"/>
    <w:rsid w:val="00EE18BF"/>
    <w:pPr>
      <w:spacing w:after="120"/>
      <w:ind w:left="-720"/>
      <w:jc w:val="both"/>
    </w:pPr>
    <w:rPr>
      <w:rFonts w:ascii="EngravrsRoman BT" w:hAnsi="EngravrsRoman BT"/>
      <w:b/>
      <w:spacing w:val="10"/>
      <w:sz w:val="15"/>
      <w:lang w:val="en-CA"/>
    </w:rPr>
  </w:style>
  <w:style w:type="character" w:customStyle="1" w:styleId="TextonotapieCar">
    <w:name w:val="Texto nota pie Car"/>
    <w:basedOn w:val="Fuentedeprrafopredeter"/>
    <w:link w:val="Textonotapie"/>
    <w:uiPriority w:val="99"/>
    <w:semiHidden/>
    <w:rsid w:val="00F567D2"/>
    <w:rPr>
      <w:rFonts w:ascii="Verdana" w:eastAsia="Times New Roman" w:hAnsi="Verdana"/>
    </w:rPr>
  </w:style>
  <w:style w:type="character" w:styleId="Refdenotaalpie">
    <w:name w:val="footnote reference"/>
    <w:basedOn w:val="Fuentedeprrafopredeter"/>
    <w:uiPriority w:val="99"/>
    <w:semiHidden/>
    <w:unhideWhenUsed/>
    <w:rsid w:val="00F567D2"/>
    <w:rPr>
      <w:vertAlign w:val="superscript"/>
    </w:rPr>
  </w:style>
  <w:style w:type="character" w:customStyle="1" w:styleId="UnresolvedMention">
    <w:name w:val="Unresolved Mention"/>
    <w:basedOn w:val="Fuentedeprrafopredeter"/>
    <w:uiPriority w:val="99"/>
    <w:semiHidden/>
    <w:unhideWhenUsed/>
    <w:rsid w:val="00150304"/>
    <w:rPr>
      <w:color w:val="605E5C"/>
      <w:shd w:val="clear" w:color="auto" w:fill="E1DFDD"/>
    </w:rPr>
  </w:style>
  <w:style w:type="paragraph" w:customStyle="1" w:styleId="BDPDOCID">
    <w:name w:val="BDPDOCID"/>
    <w:basedOn w:val="Normal"/>
    <w:qFormat/>
    <w:rsid w:val="004217F4"/>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7787">
      <w:bodyDiv w:val="1"/>
      <w:marLeft w:val="0"/>
      <w:marRight w:val="0"/>
      <w:marTop w:val="0"/>
      <w:marBottom w:val="0"/>
      <w:divBdr>
        <w:top w:val="none" w:sz="0" w:space="0" w:color="auto"/>
        <w:left w:val="none" w:sz="0" w:space="0" w:color="auto"/>
        <w:bottom w:val="none" w:sz="0" w:space="0" w:color="auto"/>
        <w:right w:val="none" w:sz="0" w:space="0" w:color="auto"/>
      </w:divBdr>
    </w:div>
    <w:div w:id="79185962">
      <w:bodyDiv w:val="1"/>
      <w:marLeft w:val="0"/>
      <w:marRight w:val="0"/>
      <w:marTop w:val="0"/>
      <w:marBottom w:val="0"/>
      <w:divBdr>
        <w:top w:val="none" w:sz="0" w:space="0" w:color="auto"/>
        <w:left w:val="none" w:sz="0" w:space="0" w:color="auto"/>
        <w:bottom w:val="none" w:sz="0" w:space="0" w:color="auto"/>
        <w:right w:val="none" w:sz="0" w:space="0" w:color="auto"/>
      </w:divBdr>
    </w:div>
    <w:div w:id="147133153">
      <w:bodyDiv w:val="1"/>
      <w:marLeft w:val="0"/>
      <w:marRight w:val="0"/>
      <w:marTop w:val="0"/>
      <w:marBottom w:val="0"/>
      <w:divBdr>
        <w:top w:val="none" w:sz="0" w:space="0" w:color="auto"/>
        <w:left w:val="none" w:sz="0" w:space="0" w:color="auto"/>
        <w:bottom w:val="none" w:sz="0" w:space="0" w:color="auto"/>
        <w:right w:val="none" w:sz="0" w:space="0" w:color="auto"/>
      </w:divBdr>
    </w:div>
    <w:div w:id="408040677">
      <w:bodyDiv w:val="1"/>
      <w:marLeft w:val="0"/>
      <w:marRight w:val="0"/>
      <w:marTop w:val="0"/>
      <w:marBottom w:val="0"/>
      <w:divBdr>
        <w:top w:val="none" w:sz="0" w:space="0" w:color="auto"/>
        <w:left w:val="none" w:sz="0" w:space="0" w:color="auto"/>
        <w:bottom w:val="none" w:sz="0" w:space="0" w:color="auto"/>
        <w:right w:val="none" w:sz="0" w:space="0" w:color="auto"/>
      </w:divBdr>
    </w:div>
    <w:div w:id="464736846">
      <w:bodyDiv w:val="1"/>
      <w:marLeft w:val="0"/>
      <w:marRight w:val="0"/>
      <w:marTop w:val="0"/>
      <w:marBottom w:val="0"/>
      <w:divBdr>
        <w:top w:val="none" w:sz="0" w:space="0" w:color="auto"/>
        <w:left w:val="none" w:sz="0" w:space="0" w:color="auto"/>
        <w:bottom w:val="none" w:sz="0" w:space="0" w:color="auto"/>
        <w:right w:val="none" w:sz="0" w:space="0" w:color="auto"/>
      </w:divBdr>
    </w:div>
    <w:div w:id="557131380">
      <w:bodyDiv w:val="1"/>
      <w:marLeft w:val="0"/>
      <w:marRight w:val="0"/>
      <w:marTop w:val="0"/>
      <w:marBottom w:val="0"/>
      <w:divBdr>
        <w:top w:val="none" w:sz="0" w:space="0" w:color="auto"/>
        <w:left w:val="none" w:sz="0" w:space="0" w:color="auto"/>
        <w:bottom w:val="none" w:sz="0" w:space="0" w:color="auto"/>
        <w:right w:val="none" w:sz="0" w:space="0" w:color="auto"/>
      </w:divBdr>
    </w:div>
    <w:div w:id="724333277">
      <w:bodyDiv w:val="1"/>
      <w:marLeft w:val="0"/>
      <w:marRight w:val="0"/>
      <w:marTop w:val="0"/>
      <w:marBottom w:val="0"/>
      <w:divBdr>
        <w:top w:val="none" w:sz="0" w:space="0" w:color="auto"/>
        <w:left w:val="none" w:sz="0" w:space="0" w:color="auto"/>
        <w:bottom w:val="none" w:sz="0" w:space="0" w:color="auto"/>
        <w:right w:val="none" w:sz="0" w:space="0" w:color="auto"/>
      </w:divBdr>
    </w:div>
    <w:div w:id="731587472">
      <w:bodyDiv w:val="1"/>
      <w:marLeft w:val="0"/>
      <w:marRight w:val="0"/>
      <w:marTop w:val="0"/>
      <w:marBottom w:val="0"/>
      <w:divBdr>
        <w:top w:val="none" w:sz="0" w:space="0" w:color="auto"/>
        <w:left w:val="none" w:sz="0" w:space="0" w:color="auto"/>
        <w:bottom w:val="none" w:sz="0" w:space="0" w:color="auto"/>
        <w:right w:val="none" w:sz="0" w:space="0" w:color="auto"/>
      </w:divBdr>
    </w:div>
    <w:div w:id="829104532">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1045252995">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61718492">
      <w:bodyDiv w:val="1"/>
      <w:marLeft w:val="0"/>
      <w:marRight w:val="0"/>
      <w:marTop w:val="0"/>
      <w:marBottom w:val="0"/>
      <w:divBdr>
        <w:top w:val="none" w:sz="0" w:space="0" w:color="auto"/>
        <w:left w:val="none" w:sz="0" w:space="0" w:color="auto"/>
        <w:bottom w:val="none" w:sz="0" w:space="0" w:color="auto"/>
        <w:right w:val="none" w:sz="0" w:space="0" w:color="auto"/>
      </w:divBdr>
    </w:div>
    <w:div w:id="1286038537">
      <w:bodyDiv w:val="1"/>
      <w:marLeft w:val="0"/>
      <w:marRight w:val="0"/>
      <w:marTop w:val="0"/>
      <w:marBottom w:val="0"/>
      <w:divBdr>
        <w:top w:val="none" w:sz="0" w:space="0" w:color="auto"/>
        <w:left w:val="none" w:sz="0" w:space="0" w:color="auto"/>
        <w:bottom w:val="none" w:sz="0" w:space="0" w:color="auto"/>
        <w:right w:val="none" w:sz="0" w:space="0" w:color="auto"/>
      </w:divBdr>
    </w:div>
    <w:div w:id="1383479918">
      <w:bodyDiv w:val="1"/>
      <w:marLeft w:val="0"/>
      <w:marRight w:val="0"/>
      <w:marTop w:val="0"/>
      <w:marBottom w:val="0"/>
      <w:divBdr>
        <w:top w:val="none" w:sz="0" w:space="0" w:color="auto"/>
        <w:left w:val="none" w:sz="0" w:space="0" w:color="auto"/>
        <w:bottom w:val="none" w:sz="0" w:space="0" w:color="auto"/>
        <w:right w:val="none" w:sz="0" w:space="0" w:color="auto"/>
      </w:divBdr>
    </w:div>
    <w:div w:id="1386220001">
      <w:bodyDiv w:val="1"/>
      <w:marLeft w:val="0"/>
      <w:marRight w:val="0"/>
      <w:marTop w:val="0"/>
      <w:marBottom w:val="0"/>
      <w:divBdr>
        <w:top w:val="none" w:sz="0" w:space="0" w:color="auto"/>
        <w:left w:val="none" w:sz="0" w:space="0" w:color="auto"/>
        <w:bottom w:val="none" w:sz="0" w:space="0" w:color="auto"/>
        <w:right w:val="none" w:sz="0" w:space="0" w:color="auto"/>
      </w:divBdr>
    </w:div>
    <w:div w:id="1463039024">
      <w:bodyDiv w:val="1"/>
      <w:marLeft w:val="0"/>
      <w:marRight w:val="0"/>
      <w:marTop w:val="0"/>
      <w:marBottom w:val="0"/>
      <w:divBdr>
        <w:top w:val="none" w:sz="0" w:space="0" w:color="auto"/>
        <w:left w:val="none" w:sz="0" w:space="0" w:color="auto"/>
        <w:bottom w:val="none" w:sz="0" w:space="0" w:color="auto"/>
        <w:right w:val="none" w:sz="0" w:space="0" w:color="auto"/>
      </w:divBdr>
    </w:div>
    <w:div w:id="1570000882">
      <w:bodyDiv w:val="1"/>
      <w:marLeft w:val="0"/>
      <w:marRight w:val="0"/>
      <w:marTop w:val="0"/>
      <w:marBottom w:val="0"/>
      <w:divBdr>
        <w:top w:val="none" w:sz="0" w:space="0" w:color="auto"/>
        <w:left w:val="none" w:sz="0" w:space="0" w:color="auto"/>
        <w:bottom w:val="none" w:sz="0" w:space="0" w:color="auto"/>
        <w:right w:val="none" w:sz="0" w:space="0" w:color="auto"/>
      </w:divBdr>
    </w:div>
    <w:div w:id="1697074418">
      <w:bodyDiv w:val="1"/>
      <w:marLeft w:val="0"/>
      <w:marRight w:val="0"/>
      <w:marTop w:val="0"/>
      <w:marBottom w:val="0"/>
      <w:divBdr>
        <w:top w:val="none" w:sz="0" w:space="0" w:color="auto"/>
        <w:left w:val="none" w:sz="0" w:space="0" w:color="auto"/>
        <w:bottom w:val="none" w:sz="0" w:space="0" w:color="auto"/>
        <w:right w:val="none" w:sz="0" w:space="0" w:color="auto"/>
      </w:divBdr>
    </w:div>
    <w:div w:id="1708918851">
      <w:bodyDiv w:val="1"/>
      <w:marLeft w:val="0"/>
      <w:marRight w:val="0"/>
      <w:marTop w:val="0"/>
      <w:marBottom w:val="0"/>
      <w:divBdr>
        <w:top w:val="none" w:sz="0" w:space="0" w:color="auto"/>
        <w:left w:val="none" w:sz="0" w:space="0" w:color="auto"/>
        <w:bottom w:val="none" w:sz="0" w:space="0" w:color="auto"/>
        <w:right w:val="none" w:sz="0" w:space="0" w:color="auto"/>
      </w:divBdr>
    </w:div>
    <w:div w:id="1819490376">
      <w:bodyDiv w:val="1"/>
      <w:marLeft w:val="0"/>
      <w:marRight w:val="0"/>
      <w:marTop w:val="0"/>
      <w:marBottom w:val="0"/>
      <w:divBdr>
        <w:top w:val="none" w:sz="0" w:space="0" w:color="auto"/>
        <w:left w:val="none" w:sz="0" w:space="0" w:color="auto"/>
        <w:bottom w:val="none" w:sz="0" w:space="0" w:color="auto"/>
        <w:right w:val="none" w:sz="0" w:space="0" w:color="auto"/>
      </w:divBdr>
    </w:div>
    <w:div w:id="1868063230">
      <w:bodyDiv w:val="1"/>
      <w:marLeft w:val="0"/>
      <w:marRight w:val="0"/>
      <w:marTop w:val="0"/>
      <w:marBottom w:val="0"/>
      <w:divBdr>
        <w:top w:val="none" w:sz="0" w:space="0" w:color="auto"/>
        <w:left w:val="none" w:sz="0" w:space="0" w:color="auto"/>
        <w:bottom w:val="none" w:sz="0" w:space="0" w:color="auto"/>
        <w:right w:val="none" w:sz="0" w:space="0" w:color="auto"/>
      </w:divBdr>
    </w:div>
    <w:div w:id="1944531920">
      <w:bodyDiv w:val="1"/>
      <w:marLeft w:val="0"/>
      <w:marRight w:val="0"/>
      <w:marTop w:val="0"/>
      <w:marBottom w:val="0"/>
      <w:divBdr>
        <w:top w:val="none" w:sz="0" w:space="0" w:color="auto"/>
        <w:left w:val="none" w:sz="0" w:space="0" w:color="auto"/>
        <w:bottom w:val="none" w:sz="0" w:space="0" w:color="auto"/>
        <w:right w:val="none" w:sz="0" w:space="0" w:color="auto"/>
      </w:divBdr>
    </w:div>
    <w:div w:id="2057464658">
      <w:bodyDiv w:val="1"/>
      <w:marLeft w:val="0"/>
      <w:marRight w:val="0"/>
      <w:marTop w:val="0"/>
      <w:marBottom w:val="0"/>
      <w:divBdr>
        <w:top w:val="none" w:sz="0" w:space="0" w:color="auto"/>
        <w:left w:val="none" w:sz="0" w:space="0" w:color="auto"/>
        <w:bottom w:val="none" w:sz="0" w:space="0" w:color="auto"/>
        <w:right w:val="none" w:sz="0" w:space="0" w:color="auto"/>
      </w:divBdr>
    </w:div>
    <w:div w:id="21070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rownpointenerg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edarplus.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darplus.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tormakh@crownpointenergy.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Active!14553265.1</documentid>
  <senderid>SWELSH</senderid>
  <senderemail>SWELSH@BDPLAW.COM</senderemail>
  <lastmodified>2025-08-11T11:48:00.0000000-06:00</lastmodified>
  <database>Active</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9573-E8C4-43AE-8117-D63E8EFFE0AF}">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AC2C7A9-84F2-400E-A4F6-945A279FAADD}">
  <ds:schemaRefs>
    <ds:schemaRef ds:uri="http://schemas.openxmlformats.org/officeDocument/2006/bibliography"/>
  </ds:schemaRefs>
</ds:datastoreItem>
</file>

<file path=customXml/itemProps3.xml><?xml version="1.0" encoding="utf-8"?>
<ds:datastoreItem xmlns:ds="http://schemas.openxmlformats.org/officeDocument/2006/customXml" ds:itemID="{95DD3BB2-B653-4A79-A909-588581D134C9}">
  <ds:schemaRefs>
    <ds:schemaRef ds:uri="http://schemas.openxmlformats.org/officeDocument/2006/bibliography"/>
  </ds:schemaRefs>
</ds:datastoreItem>
</file>

<file path=customXml/itemProps4.xml><?xml version="1.0" encoding="utf-8"?>
<ds:datastoreItem xmlns:ds="http://schemas.openxmlformats.org/officeDocument/2006/customXml" ds:itemID="{1903730B-4455-42E5-97A6-0D47FF40CD63}">
  <ds:schemaRefs>
    <ds:schemaRef ds:uri="http://schemas.openxmlformats.org/officeDocument/2006/bibliography"/>
  </ds:schemaRefs>
</ds:datastoreItem>
</file>

<file path=customXml/itemProps5.xml><?xml version="1.0" encoding="utf-8"?>
<ds:datastoreItem xmlns:ds="http://schemas.openxmlformats.org/officeDocument/2006/customXml" ds:itemID="{76C5ED48-1311-4EFE-BEF2-0857D028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3641</Words>
  <Characters>20756</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24349</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Seifert</dc:creator>
  <cp:keywords>, docId:F394CEE50B56DD7A8DD24BA9743789E4</cp:keywords>
  <dc:description/>
  <cp:lastModifiedBy>Traductora</cp:lastModifiedBy>
  <cp:revision>7</cp:revision>
  <cp:lastPrinted>2022-11-09T19:38:00Z</cp:lastPrinted>
  <dcterms:created xsi:type="dcterms:W3CDTF">2025-08-08T16:00:00Z</dcterms:created>
  <dcterms:modified xsi:type="dcterms:W3CDTF">2025-10-07T13:21:00Z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14548990.1</vt:lpwstr>
  </property>
  <property fmtid="{D5CDD505-2E9C-101B-9397-08002B2CF9AE}" pid="3" name="DocXFormat">
    <vt:lpwstr>BDP DOCID</vt:lpwstr>
  </property>
  <property fmtid="{D5CDD505-2E9C-101B-9397-08002B2CF9AE}" pid="4" name="DocXLocation">
    <vt:lpwstr>NoDocId</vt:lpwstr>
  </property>
</Properties>
</file>