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B7B0" w14:textId="77777777" w:rsidR="00A76D43" w:rsidRDefault="00A76D43" w:rsidP="0070547D">
      <w:pPr>
        <w:widowControl w:val="0"/>
        <w:tabs>
          <w:tab w:val="right" w:pos="9360"/>
        </w:tabs>
        <w:jc w:val="both"/>
        <w:rPr>
          <w:rFonts w:ascii="Arial" w:hAnsi="Arial" w:cs="Arial"/>
          <w:sz w:val="24"/>
        </w:rPr>
      </w:pPr>
    </w:p>
    <w:p w14:paraId="655362D0" w14:textId="63E96C89" w:rsidR="00997CEA" w:rsidRPr="00902562" w:rsidRDefault="00997CEA" w:rsidP="0070547D">
      <w:pPr>
        <w:widowControl w:val="0"/>
        <w:tabs>
          <w:tab w:val="right" w:pos="9360"/>
        </w:tabs>
        <w:jc w:val="both"/>
        <w:rPr>
          <w:rFonts w:ascii="Arial" w:hAnsi="Arial" w:cs="Arial"/>
          <w:sz w:val="24"/>
        </w:rPr>
      </w:pPr>
      <w:r>
        <w:rPr>
          <w:rFonts w:ascii="Arial" w:hAnsi="Arial" w:cs="Arial"/>
          <w:sz w:val="24"/>
        </w:rPr>
        <w:t xml:space="preserve">FOR IMMEDIATE RELEASE </w:t>
      </w:r>
      <w:r>
        <w:rPr>
          <w:rFonts w:ascii="Arial" w:hAnsi="Arial" w:cs="Arial"/>
          <w:sz w:val="24"/>
        </w:rPr>
        <w:tab/>
        <w:t>CWV: TSX.V</w:t>
      </w:r>
    </w:p>
    <w:p w14:paraId="4B02A0D3" w14:textId="7B67AFB6" w:rsidR="00997CEA" w:rsidRPr="00902562" w:rsidRDefault="00CE7722" w:rsidP="00D17181">
      <w:pPr>
        <w:widowControl w:val="0"/>
        <w:rPr>
          <w:rFonts w:ascii="Arial" w:hAnsi="Arial" w:cs="Arial"/>
          <w:sz w:val="24"/>
        </w:rPr>
      </w:pPr>
      <w:r>
        <w:rPr>
          <w:rFonts w:ascii="Arial" w:hAnsi="Arial" w:cs="Arial"/>
          <w:sz w:val="24"/>
        </w:rPr>
        <w:t>August</w:t>
      </w:r>
      <w:r w:rsidR="00CD751F">
        <w:rPr>
          <w:rFonts w:ascii="Arial" w:hAnsi="Arial" w:cs="Arial"/>
          <w:sz w:val="24"/>
        </w:rPr>
        <w:t xml:space="preserve"> 1</w:t>
      </w:r>
      <w:r>
        <w:rPr>
          <w:rFonts w:ascii="Arial" w:hAnsi="Arial" w:cs="Arial"/>
          <w:sz w:val="24"/>
        </w:rPr>
        <w:t>1</w:t>
      </w:r>
      <w:r w:rsidR="00E46032">
        <w:rPr>
          <w:rFonts w:ascii="Arial" w:hAnsi="Arial" w:cs="Arial"/>
          <w:sz w:val="24"/>
        </w:rPr>
        <w:t xml:space="preserve">, </w:t>
      </w:r>
      <w:r w:rsidR="00131320">
        <w:rPr>
          <w:rFonts w:ascii="Arial" w:hAnsi="Arial" w:cs="Arial"/>
          <w:sz w:val="24"/>
        </w:rPr>
        <w:t>2025</w:t>
      </w:r>
    </w:p>
    <w:p w14:paraId="3EE0A1A2" w14:textId="77777777" w:rsidR="00043229" w:rsidRPr="00902562" w:rsidRDefault="00043229" w:rsidP="00D17181">
      <w:pPr>
        <w:widowControl w:val="0"/>
        <w:rPr>
          <w:rFonts w:ascii="Arial" w:hAnsi="Arial" w:cs="Arial"/>
          <w:b/>
          <w:sz w:val="24"/>
        </w:rPr>
      </w:pPr>
    </w:p>
    <w:p w14:paraId="4E6C37C7" w14:textId="0D97C4B8" w:rsidR="00CE7722" w:rsidRDefault="00CD751F" w:rsidP="00CE7722">
      <w:pPr>
        <w:widowControl w:val="0"/>
        <w:ind w:left="720"/>
        <w:jc w:val="center"/>
        <w:outlineLvl w:val="0"/>
        <w:rPr>
          <w:rFonts w:ascii="Arial" w:hAnsi="Arial" w:cs="Arial"/>
          <w:b/>
          <w:sz w:val="24"/>
        </w:rPr>
      </w:pPr>
      <w:r>
        <w:rPr>
          <w:rFonts w:ascii="Arial" w:hAnsi="Arial" w:cs="Arial"/>
          <w:b/>
          <w:sz w:val="24"/>
        </w:rPr>
        <w:t>Crown Point Announces Operating and Financial Results</w:t>
      </w:r>
      <w:r w:rsidR="00FA09EE">
        <w:rPr>
          <w:rFonts w:ascii="Arial" w:hAnsi="Arial" w:cs="Arial"/>
          <w:b/>
          <w:sz w:val="24"/>
        </w:rPr>
        <w:t xml:space="preserve"> </w:t>
      </w:r>
      <w:r w:rsidR="00CE7722">
        <w:rPr>
          <w:rFonts w:ascii="Arial" w:hAnsi="Arial" w:cs="Arial"/>
          <w:b/>
          <w:sz w:val="24"/>
        </w:rPr>
        <w:t xml:space="preserve">for the Three and Six Months Ended June 30, </w:t>
      </w:r>
      <w:proofErr w:type="gramStart"/>
      <w:r w:rsidR="00CE7722">
        <w:rPr>
          <w:rFonts w:ascii="Arial" w:hAnsi="Arial" w:cs="Arial"/>
          <w:b/>
          <w:sz w:val="24"/>
        </w:rPr>
        <w:t>2025</w:t>
      </w:r>
      <w:proofErr w:type="gramEnd"/>
      <w:r w:rsidR="00B9519A">
        <w:rPr>
          <w:rFonts w:ascii="Arial" w:hAnsi="Arial" w:cs="Arial"/>
          <w:b/>
          <w:sz w:val="24"/>
        </w:rPr>
        <w:t xml:space="preserve"> and Appointment of </w:t>
      </w:r>
      <w:r w:rsidR="00FB40E8">
        <w:rPr>
          <w:rFonts w:ascii="Arial" w:hAnsi="Arial" w:cs="Arial"/>
          <w:b/>
          <w:sz w:val="24"/>
        </w:rPr>
        <w:t xml:space="preserve">New </w:t>
      </w:r>
      <w:r w:rsidR="00B9519A">
        <w:rPr>
          <w:rFonts w:ascii="Arial" w:hAnsi="Arial" w:cs="Arial"/>
          <w:b/>
          <w:sz w:val="24"/>
        </w:rPr>
        <w:t>Director</w:t>
      </w:r>
    </w:p>
    <w:p w14:paraId="31EADECD" w14:textId="56543703" w:rsidR="00AF42C9" w:rsidRPr="00902562" w:rsidRDefault="00997CEA" w:rsidP="001C13CF">
      <w:pPr>
        <w:widowControl w:val="0"/>
        <w:tabs>
          <w:tab w:val="left" w:pos="1440"/>
        </w:tabs>
        <w:spacing w:before="120" w:line="240" w:lineRule="atLeast"/>
        <w:jc w:val="both"/>
        <w:rPr>
          <w:rFonts w:ascii="Arial" w:hAnsi="Arial" w:cs="Arial"/>
          <w:sz w:val="20"/>
          <w:szCs w:val="20"/>
        </w:rPr>
      </w:pPr>
      <w:r>
        <w:rPr>
          <w:rFonts w:ascii="Arial" w:hAnsi="Arial" w:cs="Arial"/>
          <w:b/>
          <w:sz w:val="20"/>
          <w:szCs w:val="20"/>
        </w:rPr>
        <w:t xml:space="preserve">TSX-V:  CWV: Crown Point Energy Inc. (“Crown Point”, </w:t>
      </w:r>
      <w:r>
        <w:rPr>
          <w:rFonts w:ascii="Arial" w:hAnsi="Arial" w:cs="Arial"/>
          <w:sz w:val="20"/>
          <w:szCs w:val="20"/>
        </w:rPr>
        <w:t>the</w:t>
      </w:r>
      <w:r>
        <w:rPr>
          <w:rFonts w:ascii="Arial" w:hAnsi="Arial" w:cs="Arial"/>
          <w:b/>
          <w:sz w:val="20"/>
          <w:szCs w:val="20"/>
        </w:rPr>
        <w:t xml:space="preserve"> “Company” </w:t>
      </w:r>
      <w:r>
        <w:rPr>
          <w:rFonts w:ascii="Arial" w:hAnsi="Arial" w:cs="Arial"/>
          <w:sz w:val="20"/>
          <w:szCs w:val="20"/>
        </w:rPr>
        <w:t>or</w:t>
      </w:r>
      <w:r>
        <w:rPr>
          <w:rFonts w:ascii="Arial" w:hAnsi="Arial" w:cs="Arial"/>
          <w:b/>
          <w:sz w:val="20"/>
          <w:szCs w:val="20"/>
        </w:rPr>
        <w:t xml:space="preserve"> </w:t>
      </w:r>
      <w:r>
        <w:rPr>
          <w:rFonts w:ascii="Arial" w:hAnsi="Arial" w:cs="Arial"/>
          <w:sz w:val="20"/>
          <w:szCs w:val="20"/>
        </w:rPr>
        <w:t>"</w:t>
      </w:r>
      <w:r>
        <w:rPr>
          <w:rFonts w:ascii="Arial" w:hAnsi="Arial" w:cs="Arial"/>
          <w:b/>
          <w:sz w:val="20"/>
          <w:szCs w:val="20"/>
        </w:rPr>
        <w:t>we</w:t>
      </w:r>
      <w:r>
        <w:rPr>
          <w:rFonts w:ascii="Arial" w:hAnsi="Arial" w:cs="Arial"/>
          <w:sz w:val="20"/>
          <w:szCs w:val="20"/>
        </w:rPr>
        <w:t>"</w:t>
      </w:r>
      <w:r>
        <w:rPr>
          <w:rFonts w:ascii="Arial" w:hAnsi="Arial" w:cs="Arial"/>
          <w:b/>
          <w:sz w:val="20"/>
          <w:szCs w:val="20"/>
        </w:rPr>
        <w:t>)</w:t>
      </w:r>
      <w:r>
        <w:rPr>
          <w:rFonts w:ascii="Arial" w:hAnsi="Arial" w:cs="Arial"/>
          <w:sz w:val="20"/>
          <w:szCs w:val="20"/>
        </w:rPr>
        <w:t xml:space="preserve"> today announced its financial </w:t>
      </w:r>
      <w:r w:rsidR="003A4BAA">
        <w:rPr>
          <w:rFonts w:ascii="Arial" w:hAnsi="Arial" w:cs="Arial"/>
          <w:sz w:val="20"/>
          <w:szCs w:val="20"/>
        </w:rPr>
        <w:t xml:space="preserve">and operating </w:t>
      </w:r>
      <w:r>
        <w:rPr>
          <w:rFonts w:ascii="Arial" w:hAnsi="Arial" w:cs="Arial"/>
          <w:sz w:val="20"/>
          <w:szCs w:val="20"/>
        </w:rPr>
        <w:t xml:space="preserve">results </w:t>
      </w:r>
      <w:r w:rsidR="00CE7722">
        <w:rPr>
          <w:rFonts w:ascii="Arial" w:hAnsi="Arial" w:cs="Arial"/>
          <w:sz w:val="20"/>
          <w:szCs w:val="20"/>
        </w:rPr>
        <w:t>for the three and six months ended June 30, 2025</w:t>
      </w:r>
      <w:r w:rsidR="009E0594">
        <w:rPr>
          <w:rFonts w:ascii="Arial" w:hAnsi="Arial" w:cs="Arial"/>
          <w:sz w:val="20"/>
          <w:szCs w:val="20"/>
        </w:rPr>
        <w:t>.</w:t>
      </w:r>
    </w:p>
    <w:p w14:paraId="65885043" w14:textId="27BAA283" w:rsidR="00CE7722" w:rsidRDefault="00CE7722" w:rsidP="00CE7722">
      <w:pPr>
        <w:widowControl w:val="0"/>
        <w:tabs>
          <w:tab w:val="left" w:pos="1440"/>
        </w:tabs>
        <w:spacing w:before="120" w:line="240" w:lineRule="atLeast"/>
        <w:jc w:val="both"/>
        <w:rPr>
          <w:rFonts w:ascii="Arial" w:hAnsi="Arial" w:cs="Arial"/>
          <w:b/>
          <w:sz w:val="20"/>
          <w:szCs w:val="20"/>
        </w:rPr>
      </w:pPr>
      <w:r>
        <w:rPr>
          <w:rFonts w:ascii="Arial" w:hAnsi="Arial" w:cs="Arial"/>
          <w:sz w:val="20"/>
          <w:szCs w:val="20"/>
        </w:rPr>
        <w:t>Selected information is outlined below and should be read in conjunction with the Company’s June 30, 2025 unaudited condensed interim consolidated financial statements and management’s discussion and analysis (“</w:t>
      </w:r>
      <w:r>
        <w:rPr>
          <w:rFonts w:ascii="Arial" w:hAnsi="Arial" w:cs="Arial"/>
          <w:b/>
          <w:sz w:val="20"/>
          <w:szCs w:val="20"/>
        </w:rPr>
        <w:t>MD&amp;A</w:t>
      </w:r>
      <w:r>
        <w:rPr>
          <w:rFonts w:ascii="Arial" w:hAnsi="Arial" w:cs="Arial"/>
          <w:sz w:val="20"/>
          <w:szCs w:val="20"/>
        </w:rPr>
        <w:t xml:space="preserve">”) that are being filed with Canadian securities regulatory authorities and will be made available under the Company’s profile at </w:t>
      </w:r>
      <w:hyperlink r:id="rId12" w:history="1">
        <w:r w:rsidRPr="00BF0FBB">
          <w:rPr>
            <w:rStyle w:val="Hyperlink"/>
            <w:rFonts w:ascii="Arial" w:hAnsi="Arial" w:cs="Arial"/>
            <w:sz w:val="20"/>
            <w:szCs w:val="20"/>
          </w:rPr>
          <w:t>www.sedarplus.ca</w:t>
        </w:r>
      </w:hyperlink>
      <w:r>
        <w:rPr>
          <w:rFonts w:ascii="Arial" w:hAnsi="Arial" w:cs="Arial"/>
          <w:sz w:val="20"/>
          <w:szCs w:val="20"/>
        </w:rPr>
        <w:t xml:space="preserve"> and on the Company’s website at </w:t>
      </w:r>
      <w:hyperlink r:id="rId13" w:history="1">
        <w:r>
          <w:rPr>
            <w:rStyle w:val="Hyperlink"/>
            <w:rFonts w:ascii="Arial" w:hAnsi="Arial" w:cs="Arial"/>
            <w:sz w:val="20"/>
            <w:szCs w:val="20"/>
          </w:rPr>
          <w:t>www.crownpointenergy.com</w:t>
        </w:r>
      </w:hyperlink>
      <w:r>
        <w:rPr>
          <w:rFonts w:ascii="Arial" w:hAnsi="Arial" w:cs="Arial"/>
          <w:sz w:val="20"/>
          <w:szCs w:val="20"/>
        </w:rPr>
        <w:t xml:space="preserve">. </w:t>
      </w:r>
      <w:r>
        <w:rPr>
          <w:rFonts w:ascii="Arial" w:hAnsi="Arial" w:cs="Arial"/>
          <w:b/>
          <w:sz w:val="20"/>
          <w:szCs w:val="20"/>
        </w:rPr>
        <w:t>All dollar figures are expressed in United States dollars ("USD") unless otherwise stated.</w:t>
      </w:r>
    </w:p>
    <w:p w14:paraId="5B71BBF2" w14:textId="00EB64CA" w:rsidR="00CE7722" w:rsidRDefault="00CE7722" w:rsidP="00CE7722">
      <w:pPr>
        <w:widowControl w:val="0"/>
        <w:spacing w:before="120"/>
        <w:jc w:val="both"/>
        <w:rPr>
          <w:rFonts w:ascii="Arial" w:hAnsi="Arial" w:cs="Arial"/>
          <w:sz w:val="20"/>
          <w:szCs w:val="20"/>
        </w:rPr>
      </w:pPr>
      <w:r>
        <w:rPr>
          <w:rFonts w:ascii="Arial" w:hAnsi="Arial" w:cs="Arial"/>
          <w:sz w:val="20"/>
          <w:szCs w:val="20"/>
        </w:rPr>
        <w:t xml:space="preserve">In the following discussion, the three months ended June 30, </w:t>
      </w:r>
      <w:proofErr w:type="gramStart"/>
      <w:r>
        <w:rPr>
          <w:rFonts w:ascii="Arial" w:hAnsi="Arial" w:cs="Arial"/>
          <w:sz w:val="20"/>
          <w:szCs w:val="20"/>
        </w:rPr>
        <w:t>2025</w:t>
      </w:r>
      <w:proofErr w:type="gramEnd"/>
      <w:r>
        <w:rPr>
          <w:rFonts w:ascii="Arial" w:hAnsi="Arial" w:cs="Arial"/>
          <w:sz w:val="20"/>
          <w:szCs w:val="20"/>
        </w:rPr>
        <w:t xml:space="preserve"> may be referred to as “Q2 2025”.  The comparative three months ended June 30, 2024, may be referred to as “Q2 2024”.</w:t>
      </w:r>
    </w:p>
    <w:p w14:paraId="0FC864BC" w14:textId="7822A6E3" w:rsidR="002D3101" w:rsidRPr="00902562" w:rsidRDefault="002D3101" w:rsidP="002D3101">
      <w:pPr>
        <w:widowControl w:val="0"/>
        <w:spacing w:before="120"/>
        <w:jc w:val="both"/>
        <w:rPr>
          <w:rFonts w:ascii="Arial" w:hAnsi="Arial" w:cs="Arial"/>
          <w:b/>
          <w:bCs/>
          <w:caps/>
          <w:color w:val="000000"/>
          <w:sz w:val="20"/>
          <w:szCs w:val="20"/>
        </w:rPr>
      </w:pPr>
      <w:r>
        <w:rPr>
          <w:rFonts w:ascii="Arial" w:hAnsi="Arial" w:cs="Arial"/>
          <w:b/>
          <w:bCs/>
          <w:caps/>
          <w:color w:val="000000"/>
          <w:sz w:val="20"/>
          <w:szCs w:val="20"/>
        </w:rPr>
        <w:t>Q</w:t>
      </w:r>
      <w:r w:rsidR="00CE7722">
        <w:rPr>
          <w:rFonts w:ascii="Arial" w:hAnsi="Arial" w:cs="Arial"/>
          <w:b/>
          <w:bCs/>
          <w:caps/>
          <w:color w:val="000000"/>
          <w:sz w:val="20"/>
          <w:szCs w:val="20"/>
        </w:rPr>
        <w:t>2</w:t>
      </w:r>
      <w:r>
        <w:rPr>
          <w:rFonts w:ascii="Arial" w:hAnsi="Arial" w:cs="Arial"/>
          <w:b/>
          <w:bCs/>
          <w:caps/>
          <w:color w:val="000000"/>
          <w:sz w:val="20"/>
          <w:szCs w:val="20"/>
        </w:rPr>
        <w:t xml:space="preserve"> </w:t>
      </w:r>
      <w:r w:rsidR="00131320">
        <w:rPr>
          <w:rFonts w:ascii="Arial" w:hAnsi="Arial" w:cs="Arial"/>
          <w:b/>
          <w:bCs/>
          <w:caps/>
          <w:color w:val="000000"/>
          <w:sz w:val="20"/>
          <w:szCs w:val="20"/>
        </w:rPr>
        <w:t xml:space="preserve">2025 </w:t>
      </w:r>
      <w:r>
        <w:rPr>
          <w:rFonts w:ascii="Arial" w:hAnsi="Arial" w:cs="Arial"/>
          <w:b/>
          <w:bCs/>
          <w:caps/>
          <w:color w:val="000000"/>
          <w:sz w:val="20"/>
          <w:szCs w:val="20"/>
        </w:rPr>
        <w:t>SUMMARY</w:t>
      </w:r>
    </w:p>
    <w:p w14:paraId="15CD3FC4" w14:textId="33E94615" w:rsidR="002D3101" w:rsidRPr="00902562" w:rsidRDefault="002D3101" w:rsidP="002D3101">
      <w:pPr>
        <w:widowControl w:val="0"/>
        <w:autoSpaceDE w:val="0"/>
        <w:autoSpaceDN w:val="0"/>
        <w:adjustRightInd w:val="0"/>
        <w:spacing w:before="120" w:line="240" w:lineRule="atLeast"/>
        <w:jc w:val="both"/>
        <w:rPr>
          <w:rFonts w:ascii="Arial" w:hAnsi="Arial" w:cs="Arial"/>
          <w:sz w:val="20"/>
          <w:szCs w:val="20"/>
        </w:rPr>
      </w:pPr>
      <w:r>
        <w:rPr>
          <w:rFonts w:ascii="Arial" w:hAnsi="Arial" w:cs="Arial"/>
          <w:sz w:val="20"/>
          <w:szCs w:val="20"/>
        </w:rPr>
        <w:t>During Q</w:t>
      </w:r>
      <w:r w:rsidR="00CE7722">
        <w:rPr>
          <w:rFonts w:ascii="Arial" w:hAnsi="Arial" w:cs="Arial"/>
          <w:sz w:val="20"/>
          <w:szCs w:val="20"/>
        </w:rPr>
        <w:t>2</w:t>
      </w:r>
      <w:r>
        <w:rPr>
          <w:rFonts w:ascii="Arial" w:hAnsi="Arial" w:cs="Arial"/>
          <w:sz w:val="20"/>
          <w:szCs w:val="20"/>
        </w:rPr>
        <w:t xml:space="preserve"> </w:t>
      </w:r>
      <w:r w:rsidR="00131320">
        <w:rPr>
          <w:rFonts w:ascii="Arial" w:hAnsi="Arial" w:cs="Arial"/>
          <w:sz w:val="20"/>
          <w:szCs w:val="20"/>
        </w:rPr>
        <w:t>2025</w:t>
      </w:r>
      <w:r>
        <w:rPr>
          <w:rFonts w:ascii="Arial" w:hAnsi="Arial" w:cs="Arial"/>
          <w:sz w:val="20"/>
          <w:szCs w:val="20"/>
        </w:rPr>
        <w:t>, the Company:</w:t>
      </w:r>
    </w:p>
    <w:p w14:paraId="7E13EFE8" w14:textId="3FB3AC5E" w:rsidR="002D3101" w:rsidRPr="0038594F" w:rsidRDefault="002D3101" w:rsidP="00614DA0">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sidRPr="0038594F">
        <w:rPr>
          <w:rFonts w:ascii="Arial" w:hAnsi="Arial" w:cs="Arial"/>
          <w:sz w:val="20"/>
          <w:szCs w:val="20"/>
        </w:rPr>
        <w:t xml:space="preserve">Reported net cash provided by operating activities and funds flow </w:t>
      </w:r>
      <w:r w:rsidR="00715734" w:rsidRPr="0038594F">
        <w:rPr>
          <w:rFonts w:ascii="Arial" w:hAnsi="Arial" w:cs="Arial"/>
          <w:sz w:val="20"/>
          <w:szCs w:val="20"/>
        </w:rPr>
        <w:t>used in</w:t>
      </w:r>
      <w:r w:rsidRPr="0038594F">
        <w:rPr>
          <w:rFonts w:ascii="Arial" w:hAnsi="Arial" w:cs="Arial"/>
          <w:sz w:val="20"/>
          <w:szCs w:val="20"/>
        </w:rPr>
        <w:t xml:space="preserve"> operating activities of $</w:t>
      </w:r>
      <w:r w:rsidR="00CE7722">
        <w:rPr>
          <w:rFonts w:ascii="Arial" w:hAnsi="Arial" w:cs="Arial"/>
          <w:sz w:val="20"/>
          <w:szCs w:val="20"/>
        </w:rPr>
        <w:t>5.6</w:t>
      </w:r>
      <w:r w:rsidR="00131320" w:rsidRPr="0038594F">
        <w:rPr>
          <w:rFonts w:ascii="Arial" w:hAnsi="Arial" w:cs="Arial"/>
          <w:sz w:val="20"/>
          <w:szCs w:val="20"/>
        </w:rPr>
        <w:t xml:space="preserve"> </w:t>
      </w:r>
      <w:r w:rsidRPr="0038594F">
        <w:rPr>
          <w:rFonts w:ascii="Arial" w:hAnsi="Arial" w:cs="Arial"/>
          <w:sz w:val="20"/>
          <w:szCs w:val="20"/>
        </w:rPr>
        <w:t>million</w:t>
      </w:r>
      <w:r w:rsidR="00715734" w:rsidRPr="0038594F">
        <w:rPr>
          <w:rFonts w:ascii="Arial" w:hAnsi="Arial" w:cs="Arial"/>
          <w:sz w:val="20"/>
          <w:szCs w:val="20"/>
        </w:rPr>
        <w:t xml:space="preserve"> and $</w:t>
      </w:r>
      <w:r w:rsidR="00A415FD">
        <w:rPr>
          <w:rFonts w:ascii="Arial" w:hAnsi="Arial" w:cs="Arial"/>
          <w:sz w:val="20"/>
          <w:szCs w:val="20"/>
        </w:rPr>
        <w:t>5</w:t>
      </w:r>
      <w:r w:rsidR="00E43C3B">
        <w:rPr>
          <w:rFonts w:ascii="Arial" w:hAnsi="Arial" w:cs="Arial"/>
          <w:sz w:val="20"/>
          <w:szCs w:val="20"/>
        </w:rPr>
        <w:t>.0</w:t>
      </w:r>
      <w:r w:rsidR="00715734" w:rsidRPr="0038594F">
        <w:rPr>
          <w:rFonts w:ascii="Arial" w:hAnsi="Arial" w:cs="Arial"/>
          <w:sz w:val="20"/>
          <w:szCs w:val="20"/>
        </w:rPr>
        <w:t xml:space="preserve"> million</w:t>
      </w:r>
      <w:r w:rsidR="007664BA" w:rsidRPr="0038594F">
        <w:rPr>
          <w:rFonts w:ascii="Arial" w:hAnsi="Arial" w:cs="Arial"/>
          <w:sz w:val="20"/>
          <w:szCs w:val="20"/>
        </w:rPr>
        <w:t>, respectively</w:t>
      </w:r>
      <w:r w:rsidR="0038594F">
        <w:rPr>
          <w:rFonts w:ascii="Arial" w:hAnsi="Arial" w:cs="Arial"/>
          <w:sz w:val="20"/>
          <w:szCs w:val="20"/>
        </w:rPr>
        <w:t>,</w:t>
      </w:r>
      <w:r w:rsidR="0038594F" w:rsidRPr="0038594F">
        <w:rPr>
          <w:rFonts w:ascii="Arial" w:hAnsi="Arial" w:cs="Arial"/>
          <w:sz w:val="20"/>
          <w:szCs w:val="20"/>
        </w:rPr>
        <w:t xml:space="preserve"> as compared to Q</w:t>
      </w:r>
      <w:r w:rsidR="00A415FD">
        <w:rPr>
          <w:rFonts w:ascii="Arial" w:hAnsi="Arial" w:cs="Arial"/>
          <w:sz w:val="20"/>
          <w:szCs w:val="20"/>
        </w:rPr>
        <w:t>2</w:t>
      </w:r>
      <w:r w:rsidR="0038594F" w:rsidRPr="0038594F">
        <w:rPr>
          <w:rFonts w:ascii="Arial" w:hAnsi="Arial" w:cs="Arial"/>
          <w:sz w:val="20"/>
          <w:szCs w:val="20"/>
        </w:rPr>
        <w:t xml:space="preserve"> 202</w:t>
      </w:r>
      <w:r w:rsidR="0038594F">
        <w:rPr>
          <w:rFonts w:ascii="Arial" w:hAnsi="Arial" w:cs="Arial"/>
          <w:sz w:val="20"/>
          <w:szCs w:val="20"/>
        </w:rPr>
        <w:t>4</w:t>
      </w:r>
      <w:r w:rsidR="0038594F" w:rsidRPr="0038594F">
        <w:rPr>
          <w:rFonts w:ascii="Arial" w:hAnsi="Arial" w:cs="Arial"/>
          <w:sz w:val="20"/>
          <w:szCs w:val="20"/>
        </w:rPr>
        <w:t xml:space="preserve"> when the Company reported </w:t>
      </w:r>
      <w:r w:rsidR="00A415FD" w:rsidRPr="007513DE">
        <w:rPr>
          <w:rFonts w:ascii="Arial" w:hAnsi="Arial" w:cs="Arial"/>
          <w:sz w:val="20"/>
          <w:szCs w:val="20"/>
        </w:rPr>
        <w:t xml:space="preserve">net cash </w:t>
      </w:r>
      <w:r w:rsidR="00EA01A4">
        <w:rPr>
          <w:rFonts w:ascii="Arial" w:hAnsi="Arial" w:cs="Arial"/>
          <w:sz w:val="20"/>
          <w:szCs w:val="20"/>
        </w:rPr>
        <w:t xml:space="preserve">and funds flow </w:t>
      </w:r>
      <w:r w:rsidR="00A415FD">
        <w:rPr>
          <w:rFonts w:ascii="Arial" w:hAnsi="Arial" w:cs="Arial"/>
          <w:sz w:val="20"/>
          <w:szCs w:val="20"/>
        </w:rPr>
        <w:t>used in</w:t>
      </w:r>
      <w:r w:rsidR="00A415FD" w:rsidRPr="007513DE">
        <w:rPr>
          <w:rFonts w:ascii="Arial" w:hAnsi="Arial" w:cs="Arial"/>
          <w:sz w:val="20"/>
          <w:szCs w:val="20"/>
        </w:rPr>
        <w:t xml:space="preserve"> operating activities of $</w:t>
      </w:r>
      <w:r w:rsidR="00A415FD">
        <w:rPr>
          <w:rFonts w:ascii="Arial" w:hAnsi="Arial" w:cs="Arial"/>
          <w:sz w:val="20"/>
          <w:szCs w:val="20"/>
        </w:rPr>
        <w:t>1.5 million</w:t>
      </w:r>
      <w:r w:rsidR="00A415FD" w:rsidRPr="007513DE">
        <w:rPr>
          <w:rFonts w:ascii="Arial" w:hAnsi="Arial" w:cs="Arial"/>
          <w:sz w:val="20"/>
          <w:szCs w:val="20"/>
        </w:rPr>
        <w:t xml:space="preserve"> </w:t>
      </w:r>
      <w:r w:rsidR="00EA01A4">
        <w:rPr>
          <w:rFonts w:ascii="Arial" w:hAnsi="Arial" w:cs="Arial"/>
          <w:sz w:val="20"/>
          <w:szCs w:val="20"/>
        </w:rPr>
        <w:t>and</w:t>
      </w:r>
      <w:r w:rsidR="00A415FD" w:rsidRPr="007513DE">
        <w:rPr>
          <w:rFonts w:ascii="Arial" w:hAnsi="Arial" w:cs="Arial"/>
          <w:sz w:val="20"/>
          <w:szCs w:val="20"/>
        </w:rPr>
        <w:t xml:space="preserve"> $</w:t>
      </w:r>
      <w:r w:rsidR="00A415FD">
        <w:rPr>
          <w:rFonts w:ascii="Arial" w:hAnsi="Arial" w:cs="Arial"/>
          <w:sz w:val="20"/>
          <w:szCs w:val="20"/>
        </w:rPr>
        <w:t>1.4</w:t>
      </w:r>
      <w:r w:rsidR="00A415FD" w:rsidRPr="007513DE">
        <w:rPr>
          <w:rFonts w:ascii="Arial" w:hAnsi="Arial" w:cs="Arial"/>
          <w:sz w:val="20"/>
          <w:szCs w:val="20"/>
        </w:rPr>
        <w:t xml:space="preserve"> million</w:t>
      </w:r>
      <w:r w:rsidR="00EA01A4">
        <w:rPr>
          <w:rFonts w:ascii="Arial" w:hAnsi="Arial" w:cs="Arial"/>
          <w:sz w:val="20"/>
          <w:szCs w:val="20"/>
        </w:rPr>
        <w:t xml:space="preserve">, </w:t>
      </w:r>
      <w:proofErr w:type="gramStart"/>
      <w:r w:rsidR="00EA01A4">
        <w:rPr>
          <w:rFonts w:ascii="Arial" w:hAnsi="Arial" w:cs="Arial"/>
          <w:sz w:val="20"/>
          <w:szCs w:val="20"/>
        </w:rPr>
        <w:t>respectively</w:t>
      </w:r>
      <w:r w:rsidR="0038594F" w:rsidRPr="0038594F">
        <w:rPr>
          <w:rFonts w:ascii="Arial" w:hAnsi="Arial" w:cs="Arial"/>
          <w:sz w:val="20"/>
          <w:szCs w:val="20"/>
        </w:rPr>
        <w:t>;</w:t>
      </w:r>
      <w:proofErr w:type="gramEnd"/>
      <w:r w:rsidR="007E4CAF" w:rsidRPr="0038594F">
        <w:rPr>
          <w:rFonts w:ascii="Arial" w:hAnsi="Arial" w:cs="Arial"/>
          <w:sz w:val="20"/>
          <w:szCs w:val="20"/>
        </w:rPr>
        <w:tab/>
      </w:r>
    </w:p>
    <w:p w14:paraId="5DE78FD7" w14:textId="0FC727B4" w:rsidR="002D3101"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Earned $</w:t>
      </w:r>
      <w:r w:rsidR="00A415FD">
        <w:rPr>
          <w:rFonts w:ascii="Arial" w:hAnsi="Arial" w:cs="Arial"/>
          <w:sz w:val="20"/>
          <w:szCs w:val="20"/>
        </w:rPr>
        <w:t>22.2</w:t>
      </w:r>
      <w:r w:rsidR="00131320">
        <w:rPr>
          <w:rFonts w:ascii="Arial" w:hAnsi="Arial" w:cs="Arial"/>
          <w:sz w:val="20"/>
          <w:szCs w:val="20"/>
        </w:rPr>
        <w:t xml:space="preserve"> </w:t>
      </w:r>
      <w:r>
        <w:rPr>
          <w:rFonts w:ascii="Arial" w:hAnsi="Arial" w:cs="Arial"/>
          <w:sz w:val="20"/>
          <w:szCs w:val="20"/>
        </w:rPr>
        <w:t xml:space="preserve">million of oil and natural gas sales revenue on total average daily sales volumes of </w:t>
      </w:r>
      <w:r w:rsidR="00131320">
        <w:rPr>
          <w:rFonts w:ascii="Arial" w:hAnsi="Arial" w:cs="Arial"/>
          <w:sz w:val="20"/>
          <w:szCs w:val="20"/>
        </w:rPr>
        <w:t>4,</w:t>
      </w:r>
      <w:r w:rsidR="00A415FD">
        <w:rPr>
          <w:rFonts w:ascii="Arial" w:hAnsi="Arial" w:cs="Arial"/>
          <w:sz w:val="20"/>
          <w:szCs w:val="20"/>
        </w:rPr>
        <w:t>083</w:t>
      </w:r>
      <w:r w:rsidR="00131320">
        <w:rPr>
          <w:rFonts w:ascii="Arial" w:hAnsi="Arial" w:cs="Arial"/>
          <w:sz w:val="20"/>
          <w:szCs w:val="20"/>
        </w:rPr>
        <w:t xml:space="preserve"> </w:t>
      </w:r>
      <w:r>
        <w:rPr>
          <w:rFonts w:ascii="Arial" w:hAnsi="Arial" w:cs="Arial"/>
          <w:sz w:val="20"/>
          <w:szCs w:val="20"/>
        </w:rPr>
        <w:t>BOE per day</w:t>
      </w:r>
      <w:r w:rsidR="00E43C3B">
        <w:rPr>
          <w:rFonts w:ascii="Arial" w:hAnsi="Arial" w:cs="Arial"/>
          <w:sz w:val="20"/>
          <w:szCs w:val="20"/>
        </w:rPr>
        <w:t>, which was</w:t>
      </w:r>
      <w:r w:rsidR="0038594F">
        <w:rPr>
          <w:rFonts w:ascii="Arial" w:hAnsi="Arial" w:cs="Arial"/>
          <w:sz w:val="20"/>
          <w:szCs w:val="20"/>
        </w:rPr>
        <w:t xml:space="preserve"> </w:t>
      </w:r>
      <w:r w:rsidR="0038594F" w:rsidRPr="0038594F">
        <w:rPr>
          <w:rFonts w:ascii="Arial" w:hAnsi="Arial" w:cs="Arial"/>
          <w:sz w:val="20"/>
          <w:szCs w:val="20"/>
        </w:rPr>
        <w:t xml:space="preserve">higher </w:t>
      </w:r>
      <w:r w:rsidR="0038594F">
        <w:rPr>
          <w:rFonts w:ascii="Arial" w:hAnsi="Arial" w:cs="Arial"/>
          <w:sz w:val="20"/>
          <w:szCs w:val="20"/>
        </w:rPr>
        <w:t xml:space="preserve">than </w:t>
      </w:r>
      <w:r w:rsidR="00E43C3B">
        <w:rPr>
          <w:rFonts w:ascii="Arial" w:hAnsi="Arial" w:cs="Arial"/>
          <w:sz w:val="20"/>
          <w:szCs w:val="20"/>
        </w:rPr>
        <w:t xml:space="preserve">the </w:t>
      </w:r>
      <w:r w:rsidR="0038594F">
        <w:rPr>
          <w:rFonts w:ascii="Arial" w:hAnsi="Arial" w:cs="Arial"/>
          <w:sz w:val="20"/>
          <w:szCs w:val="20"/>
        </w:rPr>
        <w:t>$</w:t>
      </w:r>
      <w:r w:rsidR="00A415FD">
        <w:rPr>
          <w:rFonts w:ascii="Arial" w:hAnsi="Arial" w:cs="Arial"/>
          <w:sz w:val="20"/>
          <w:szCs w:val="20"/>
        </w:rPr>
        <w:t>5.6</w:t>
      </w:r>
      <w:r w:rsidR="0038594F">
        <w:rPr>
          <w:rFonts w:ascii="Arial" w:hAnsi="Arial" w:cs="Arial"/>
          <w:sz w:val="20"/>
          <w:szCs w:val="20"/>
        </w:rPr>
        <w:t xml:space="preserve"> million of oil and natural gas sales revenue </w:t>
      </w:r>
      <w:r w:rsidR="00E43C3B">
        <w:rPr>
          <w:rFonts w:ascii="Arial" w:hAnsi="Arial" w:cs="Arial"/>
          <w:sz w:val="20"/>
          <w:szCs w:val="20"/>
        </w:rPr>
        <w:t xml:space="preserve">earned </w:t>
      </w:r>
      <w:r w:rsidR="0038594F">
        <w:rPr>
          <w:rFonts w:ascii="Arial" w:hAnsi="Arial" w:cs="Arial"/>
          <w:sz w:val="20"/>
          <w:szCs w:val="20"/>
        </w:rPr>
        <w:t xml:space="preserve">on total average daily sales volumes of </w:t>
      </w:r>
      <w:r w:rsidR="00A415FD">
        <w:rPr>
          <w:rFonts w:ascii="Arial" w:hAnsi="Arial" w:cs="Arial"/>
          <w:sz w:val="20"/>
          <w:szCs w:val="20"/>
        </w:rPr>
        <w:t>1,340</w:t>
      </w:r>
      <w:r w:rsidR="0038594F" w:rsidRPr="0038594F">
        <w:rPr>
          <w:rFonts w:ascii="Arial" w:hAnsi="Arial" w:cs="Arial"/>
          <w:sz w:val="20"/>
          <w:szCs w:val="20"/>
        </w:rPr>
        <w:t xml:space="preserve"> BOE per day in Q</w:t>
      </w:r>
      <w:r w:rsidR="00A415FD">
        <w:rPr>
          <w:rFonts w:ascii="Arial" w:hAnsi="Arial" w:cs="Arial"/>
          <w:sz w:val="20"/>
          <w:szCs w:val="20"/>
        </w:rPr>
        <w:t>2</w:t>
      </w:r>
      <w:r w:rsidR="0038594F" w:rsidRPr="0038594F">
        <w:rPr>
          <w:rFonts w:ascii="Arial" w:hAnsi="Arial" w:cs="Arial"/>
          <w:sz w:val="20"/>
          <w:szCs w:val="20"/>
        </w:rPr>
        <w:t xml:space="preserve"> 2024 due to the oil sales from the Santa Cruz Concessions that were acquired on October 31, </w:t>
      </w:r>
      <w:proofErr w:type="gramStart"/>
      <w:r w:rsidR="0038594F" w:rsidRPr="0038594F">
        <w:rPr>
          <w:rFonts w:ascii="Arial" w:hAnsi="Arial" w:cs="Arial"/>
          <w:sz w:val="20"/>
          <w:szCs w:val="20"/>
        </w:rPr>
        <w:t>2024</w:t>
      </w:r>
      <w:r w:rsidR="000E7F93">
        <w:rPr>
          <w:rFonts w:ascii="Arial" w:hAnsi="Arial" w:cs="Arial"/>
          <w:sz w:val="20"/>
          <w:szCs w:val="20"/>
        </w:rPr>
        <w:t>;</w:t>
      </w:r>
      <w:proofErr w:type="gramEnd"/>
    </w:p>
    <w:p w14:paraId="17860EFD" w14:textId="4D38CD84" w:rsidR="002D3101"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Received an average of $</w:t>
      </w:r>
      <w:r w:rsidR="00A415FD">
        <w:rPr>
          <w:rFonts w:ascii="Arial" w:hAnsi="Arial" w:cs="Arial"/>
          <w:sz w:val="20"/>
          <w:szCs w:val="20"/>
        </w:rPr>
        <w:t>3.45</w:t>
      </w:r>
      <w:r w:rsidR="00BE4A40">
        <w:rPr>
          <w:rFonts w:ascii="Arial" w:hAnsi="Arial" w:cs="Arial"/>
          <w:sz w:val="20"/>
          <w:szCs w:val="20"/>
        </w:rPr>
        <w:t xml:space="preserve"> </w:t>
      </w:r>
      <w:r>
        <w:rPr>
          <w:rFonts w:ascii="Arial" w:hAnsi="Arial" w:cs="Arial"/>
          <w:sz w:val="20"/>
          <w:szCs w:val="20"/>
        </w:rPr>
        <w:t>per mcf for natural gas and $</w:t>
      </w:r>
      <w:r w:rsidR="00A415FD">
        <w:rPr>
          <w:rFonts w:ascii="Arial" w:hAnsi="Arial" w:cs="Arial"/>
          <w:sz w:val="20"/>
          <w:szCs w:val="20"/>
        </w:rPr>
        <w:t>67.26</w:t>
      </w:r>
      <w:r w:rsidR="00131320">
        <w:rPr>
          <w:rFonts w:ascii="Arial" w:hAnsi="Arial" w:cs="Arial"/>
          <w:sz w:val="20"/>
          <w:szCs w:val="20"/>
        </w:rPr>
        <w:t xml:space="preserve"> </w:t>
      </w:r>
      <w:r>
        <w:rPr>
          <w:rFonts w:ascii="Arial" w:hAnsi="Arial" w:cs="Arial"/>
          <w:sz w:val="20"/>
          <w:szCs w:val="20"/>
        </w:rPr>
        <w:t xml:space="preserve">per </w:t>
      </w:r>
      <w:proofErr w:type="spellStart"/>
      <w:r>
        <w:rPr>
          <w:rFonts w:ascii="Arial" w:hAnsi="Arial" w:cs="Arial"/>
          <w:sz w:val="20"/>
          <w:szCs w:val="20"/>
        </w:rPr>
        <w:t>bbl</w:t>
      </w:r>
      <w:proofErr w:type="spellEnd"/>
      <w:r>
        <w:rPr>
          <w:rFonts w:ascii="Arial" w:hAnsi="Arial" w:cs="Arial"/>
          <w:sz w:val="20"/>
          <w:szCs w:val="20"/>
        </w:rPr>
        <w:t xml:space="preserve"> for oil</w:t>
      </w:r>
      <w:r w:rsidR="0038594F">
        <w:rPr>
          <w:rFonts w:ascii="Arial" w:hAnsi="Arial" w:cs="Arial"/>
          <w:sz w:val="20"/>
          <w:szCs w:val="20"/>
        </w:rPr>
        <w:t xml:space="preserve"> </w:t>
      </w:r>
      <w:r w:rsidR="0038594F" w:rsidRPr="0038594F">
        <w:rPr>
          <w:rFonts w:ascii="Arial" w:hAnsi="Arial" w:cs="Arial"/>
          <w:sz w:val="20"/>
          <w:szCs w:val="20"/>
        </w:rPr>
        <w:t>compared to $</w:t>
      </w:r>
      <w:r w:rsidR="00A415FD">
        <w:rPr>
          <w:rFonts w:ascii="Arial" w:hAnsi="Arial" w:cs="Arial"/>
          <w:sz w:val="20"/>
          <w:szCs w:val="20"/>
        </w:rPr>
        <w:t>3.71</w:t>
      </w:r>
      <w:r w:rsidR="0038594F" w:rsidRPr="0038594F">
        <w:rPr>
          <w:rFonts w:ascii="Arial" w:hAnsi="Arial" w:cs="Arial"/>
          <w:sz w:val="20"/>
          <w:szCs w:val="20"/>
        </w:rPr>
        <w:t xml:space="preserve"> per mcf for natural gas and $</w:t>
      </w:r>
      <w:r w:rsidR="00A415FD">
        <w:rPr>
          <w:rFonts w:ascii="Arial" w:hAnsi="Arial" w:cs="Arial"/>
          <w:sz w:val="20"/>
          <w:szCs w:val="20"/>
        </w:rPr>
        <w:t>65.50</w:t>
      </w:r>
      <w:r w:rsidR="0038594F" w:rsidRPr="0038594F">
        <w:rPr>
          <w:rFonts w:ascii="Arial" w:hAnsi="Arial" w:cs="Arial"/>
          <w:sz w:val="20"/>
          <w:szCs w:val="20"/>
        </w:rPr>
        <w:t xml:space="preserve"> per </w:t>
      </w:r>
      <w:proofErr w:type="spellStart"/>
      <w:r w:rsidR="0038594F" w:rsidRPr="0038594F">
        <w:rPr>
          <w:rFonts w:ascii="Arial" w:hAnsi="Arial" w:cs="Arial"/>
          <w:sz w:val="20"/>
          <w:szCs w:val="20"/>
        </w:rPr>
        <w:t>bbl</w:t>
      </w:r>
      <w:proofErr w:type="spellEnd"/>
      <w:r w:rsidR="0038594F" w:rsidRPr="0038594F">
        <w:rPr>
          <w:rFonts w:ascii="Arial" w:hAnsi="Arial" w:cs="Arial"/>
          <w:sz w:val="20"/>
          <w:szCs w:val="20"/>
        </w:rPr>
        <w:t xml:space="preserve"> for oil received in Q</w:t>
      </w:r>
      <w:r w:rsidR="00A415FD">
        <w:rPr>
          <w:rFonts w:ascii="Arial" w:hAnsi="Arial" w:cs="Arial"/>
          <w:sz w:val="20"/>
          <w:szCs w:val="20"/>
        </w:rPr>
        <w:t>2</w:t>
      </w:r>
      <w:r w:rsidR="0038594F" w:rsidRPr="0038594F">
        <w:rPr>
          <w:rFonts w:ascii="Arial" w:hAnsi="Arial" w:cs="Arial"/>
          <w:sz w:val="20"/>
          <w:szCs w:val="20"/>
        </w:rPr>
        <w:t xml:space="preserve"> </w:t>
      </w:r>
      <w:proofErr w:type="gramStart"/>
      <w:r w:rsidR="0038594F" w:rsidRPr="0038594F">
        <w:rPr>
          <w:rFonts w:ascii="Arial" w:hAnsi="Arial" w:cs="Arial"/>
          <w:sz w:val="20"/>
          <w:szCs w:val="20"/>
        </w:rPr>
        <w:t>202</w:t>
      </w:r>
      <w:r w:rsidR="0038594F">
        <w:rPr>
          <w:rFonts w:ascii="Arial" w:hAnsi="Arial" w:cs="Arial"/>
          <w:sz w:val="20"/>
          <w:szCs w:val="20"/>
        </w:rPr>
        <w:t>4</w:t>
      </w:r>
      <w:r w:rsidR="0038594F" w:rsidRPr="0038594F">
        <w:rPr>
          <w:rFonts w:ascii="Arial" w:hAnsi="Arial" w:cs="Arial"/>
          <w:sz w:val="20"/>
          <w:szCs w:val="20"/>
        </w:rPr>
        <w:t>;</w:t>
      </w:r>
      <w:proofErr w:type="gramEnd"/>
    </w:p>
    <w:p w14:paraId="0CF9B842" w14:textId="007EF3C6" w:rsidR="002D3101"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Pr>
          <w:rFonts w:ascii="Arial" w:hAnsi="Arial" w:cs="Arial"/>
          <w:sz w:val="20"/>
          <w:szCs w:val="20"/>
        </w:rPr>
        <w:t>Reported an operating netback of $</w:t>
      </w:r>
      <w:r w:rsidR="00A415FD">
        <w:rPr>
          <w:rFonts w:ascii="Arial" w:hAnsi="Arial" w:cs="Arial"/>
          <w:sz w:val="20"/>
          <w:szCs w:val="20"/>
        </w:rPr>
        <w:t>(7.50)</w:t>
      </w:r>
      <w:r>
        <w:rPr>
          <w:rFonts w:ascii="Arial" w:hAnsi="Arial" w:cs="Arial"/>
          <w:sz w:val="20"/>
          <w:szCs w:val="20"/>
        </w:rPr>
        <w:t xml:space="preserve"> per BOE </w:t>
      </w:r>
      <w:r>
        <w:rPr>
          <w:rStyle w:val="FootnoteReference"/>
          <w:rFonts w:ascii="Arial" w:hAnsi="Arial" w:cs="Arial"/>
          <w:sz w:val="20"/>
          <w:szCs w:val="20"/>
        </w:rPr>
        <w:footnoteReference w:id="2"/>
      </w:r>
      <w:r w:rsidR="0038594F">
        <w:rPr>
          <w:rFonts w:ascii="Arial" w:hAnsi="Arial" w:cs="Arial"/>
          <w:sz w:val="20"/>
          <w:szCs w:val="20"/>
        </w:rPr>
        <w:t xml:space="preserve"> </w:t>
      </w:r>
      <w:r w:rsidR="0038594F" w:rsidRPr="0038594F">
        <w:rPr>
          <w:rFonts w:ascii="Arial" w:hAnsi="Arial" w:cs="Arial"/>
          <w:sz w:val="20"/>
          <w:szCs w:val="20"/>
        </w:rPr>
        <w:t xml:space="preserve">down from </w:t>
      </w:r>
      <w:r w:rsidR="0038594F">
        <w:rPr>
          <w:rFonts w:ascii="Arial" w:hAnsi="Arial" w:cs="Arial"/>
          <w:sz w:val="20"/>
          <w:szCs w:val="20"/>
        </w:rPr>
        <w:t>$</w:t>
      </w:r>
      <w:r w:rsidR="00A415FD">
        <w:rPr>
          <w:rFonts w:ascii="Arial" w:hAnsi="Arial" w:cs="Arial"/>
          <w:sz w:val="20"/>
          <w:szCs w:val="20"/>
        </w:rPr>
        <w:t>(4.22)</w:t>
      </w:r>
      <w:r w:rsidR="0038594F">
        <w:rPr>
          <w:rFonts w:ascii="Arial" w:hAnsi="Arial" w:cs="Arial"/>
          <w:sz w:val="20"/>
          <w:szCs w:val="20"/>
        </w:rPr>
        <w:t xml:space="preserve"> per BOE in Q</w:t>
      </w:r>
      <w:r w:rsidR="00A415FD">
        <w:rPr>
          <w:rFonts w:ascii="Arial" w:hAnsi="Arial" w:cs="Arial"/>
          <w:sz w:val="20"/>
          <w:szCs w:val="20"/>
        </w:rPr>
        <w:t>2</w:t>
      </w:r>
      <w:r w:rsidR="0038594F">
        <w:rPr>
          <w:rFonts w:ascii="Arial" w:hAnsi="Arial" w:cs="Arial"/>
          <w:sz w:val="20"/>
          <w:szCs w:val="20"/>
        </w:rPr>
        <w:t xml:space="preserve"> </w:t>
      </w:r>
      <w:proofErr w:type="gramStart"/>
      <w:r w:rsidR="0038594F">
        <w:rPr>
          <w:rFonts w:ascii="Arial" w:hAnsi="Arial" w:cs="Arial"/>
          <w:sz w:val="20"/>
          <w:szCs w:val="20"/>
        </w:rPr>
        <w:t>2024</w:t>
      </w:r>
      <w:r>
        <w:rPr>
          <w:rFonts w:ascii="Arial" w:hAnsi="Arial" w:cs="Arial"/>
          <w:sz w:val="20"/>
          <w:szCs w:val="20"/>
        </w:rPr>
        <w:t>;</w:t>
      </w:r>
      <w:proofErr w:type="gramEnd"/>
      <w:r>
        <w:rPr>
          <w:rFonts w:ascii="Arial" w:hAnsi="Arial" w:cs="Arial"/>
          <w:sz w:val="20"/>
          <w:szCs w:val="20"/>
        </w:rPr>
        <w:t xml:space="preserve"> </w:t>
      </w:r>
    </w:p>
    <w:p w14:paraId="737C1EDC" w14:textId="3AEC0371" w:rsidR="009D02A2"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sidRPr="009D02A2">
        <w:rPr>
          <w:rFonts w:ascii="Arial" w:hAnsi="Arial" w:cs="Arial"/>
          <w:sz w:val="20"/>
          <w:szCs w:val="20"/>
        </w:rPr>
        <w:t>Obtained $</w:t>
      </w:r>
      <w:r w:rsidR="00A415FD">
        <w:rPr>
          <w:rFonts w:ascii="Arial" w:hAnsi="Arial" w:cs="Arial"/>
          <w:sz w:val="20"/>
          <w:szCs w:val="20"/>
        </w:rPr>
        <w:t>13.1</w:t>
      </w:r>
      <w:r w:rsidR="00BE4A40" w:rsidRPr="009D02A2">
        <w:rPr>
          <w:rFonts w:ascii="Arial" w:hAnsi="Arial" w:cs="Arial"/>
          <w:sz w:val="20"/>
          <w:szCs w:val="20"/>
        </w:rPr>
        <w:t xml:space="preserve"> </w:t>
      </w:r>
      <w:r w:rsidRPr="009D02A2">
        <w:rPr>
          <w:rFonts w:ascii="Arial" w:hAnsi="Arial" w:cs="Arial"/>
          <w:sz w:val="20"/>
          <w:szCs w:val="20"/>
        </w:rPr>
        <w:t>million</w:t>
      </w:r>
      <w:r w:rsidR="007E4CAF" w:rsidRPr="009D02A2">
        <w:rPr>
          <w:rFonts w:ascii="Arial" w:hAnsi="Arial" w:cs="Arial"/>
          <w:sz w:val="20"/>
          <w:szCs w:val="20"/>
        </w:rPr>
        <w:t xml:space="preserve"> </w:t>
      </w:r>
      <w:r w:rsidRPr="009D02A2">
        <w:rPr>
          <w:rFonts w:ascii="Arial" w:hAnsi="Arial" w:cs="Arial"/>
          <w:sz w:val="20"/>
          <w:szCs w:val="20"/>
        </w:rPr>
        <w:t>of working capital</w:t>
      </w:r>
      <w:r w:rsidR="009D02A2">
        <w:rPr>
          <w:rFonts w:ascii="Arial" w:hAnsi="Arial" w:cs="Arial"/>
          <w:sz w:val="20"/>
          <w:szCs w:val="20"/>
        </w:rPr>
        <w:t xml:space="preserve"> and </w:t>
      </w:r>
      <w:r w:rsidRPr="009D02A2">
        <w:rPr>
          <w:rFonts w:ascii="Arial" w:hAnsi="Arial" w:cs="Arial"/>
          <w:sz w:val="20"/>
          <w:szCs w:val="20"/>
        </w:rPr>
        <w:t>overdraft loans</w:t>
      </w:r>
      <w:r w:rsidR="009D02A2">
        <w:rPr>
          <w:rFonts w:ascii="Arial" w:hAnsi="Arial" w:cs="Arial"/>
          <w:sz w:val="20"/>
          <w:szCs w:val="20"/>
        </w:rPr>
        <w:t xml:space="preserve">, </w:t>
      </w:r>
      <w:r w:rsidR="00545595">
        <w:rPr>
          <w:rFonts w:ascii="Arial" w:hAnsi="Arial" w:cs="Arial"/>
          <w:sz w:val="20"/>
          <w:szCs w:val="20"/>
        </w:rPr>
        <w:t xml:space="preserve">and </w:t>
      </w:r>
      <w:r w:rsidR="009D02A2" w:rsidRPr="009D02A2">
        <w:rPr>
          <w:rFonts w:ascii="Arial" w:hAnsi="Arial" w:cs="Arial"/>
          <w:sz w:val="20"/>
          <w:szCs w:val="20"/>
        </w:rPr>
        <w:t xml:space="preserve">repaid </w:t>
      </w:r>
      <w:r w:rsidR="009D02A2" w:rsidRPr="007E4CAF">
        <w:rPr>
          <w:rFonts w:ascii="Arial" w:hAnsi="Arial" w:cs="Arial"/>
          <w:sz w:val="20"/>
          <w:szCs w:val="20"/>
        </w:rPr>
        <w:t>$</w:t>
      </w:r>
      <w:r w:rsidR="00131320">
        <w:rPr>
          <w:rFonts w:ascii="Arial" w:hAnsi="Arial" w:cs="Arial"/>
          <w:sz w:val="20"/>
          <w:szCs w:val="20"/>
        </w:rPr>
        <w:t>5.5</w:t>
      </w:r>
      <w:r w:rsidR="009D02A2" w:rsidRPr="007E4CAF">
        <w:rPr>
          <w:rFonts w:ascii="Arial" w:hAnsi="Arial" w:cs="Arial"/>
          <w:sz w:val="20"/>
          <w:szCs w:val="20"/>
        </w:rPr>
        <w:t xml:space="preserve"> million</w:t>
      </w:r>
      <w:r w:rsidR="009D02A2">
        <w:rPr>
          <w:rFonts w:ascii="Arial" w:hAnsi="Arial" w:cs="Arial"/>
          <w:sz w:val="20"/>
          <w:szCs w:val="20"/>
        </w:rPr>
        <w:t xml:space="preserve"> of notes payable and $</w:t>
      </w:r>
      <w:r w:rsidR="00A415FD">
        <w:rPr>
          <w:rFonts w:ascii="Arial" w:hAnsi="Arial" w:cs="Arial"/>
          <w:sz w:val="20"/>
          <w:szCs w:val="20"/>
        </w:rPr>
        <w:t>8.8</w:t>
      </w:r>
      <w:r w:rsidR="009D02A2">
        <w:rPr>
          <w:rFonts w:ascii="Arial" w:hAnsi="Arial" w:cs="Arial"/>
          <w:sz w:val="20"/>
          <w:szCs w:val="20"/>
        </w:rPr>
        <w:t xml:space="preserve"> million of </w:t>
      </w:r>
      <w:r w:rsidR="009D02A2" w:rsidRPr="009D02A2">
        <w:rPr>
          <w:rFonts w:ascii="Arial" w:hAnsi="Arial" w:cs="Arial"/>
          <w:sz w:val="20"/>
          <w:szCs w:val="20"/>
        </w:rPr>
        <w:t xml:space="preserve">working capital </w:t>
      </w:r>
      <w:r w:rsidR="00131320">
        <w:rPr>
          <w:rFonts w:ascii="Arial" w:hAnsi="Arial" w:cs="Arial"/>
          <w:sz w:val="20"/>
          <w:szCs w:val="20"/>
        </w:rPr>
        <w:t xml:space="preserve">and overdraft </w:t>
      </w:r>
      <w:proofErr w:type="gramStart"/>
      <w:r w:rsidR="00131320">
        <w:rPr>
          <w:rFonts w:ascii="Arial" w:hAnsi="Arial" w:cs="Arial"/>
          <w:sz w:val="20"/>
          <w:szCs w:val="20"/>
        </w:rPr>
        <w:t>loans</w:t>
      </w:r>
      <w:r w:rsidR="00276378">
        <w:rPr>
          <w:rFonts w:ascii="Arial" w:hAnsi="Arial" w:cs="Arial"/>
          <w:sz w:val="20"/>
          <w:szCs w:val="20"/>
        </w:rPr>
        <w:t>;</w:t>
      </w:r>
      <w:proofErr w:type="gramEnd"/>
    </w:p>
    <w:p w14:paraId="25105F80" w14:textId="326ADA18" w:rsidR="002D3101" w:rsidRPr="00F46634"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sidRPr="009D02A2">
        <w:rPr>
          <w:rFonts w:ascii="Arial" w:hAnsi="Arial" w:cs="Arial"/>
          <w:sz w:val="20"/>
          <w:szCs w:val="20"/>
        </w:rPr>
        <w:t xml:space="preserve">Reported </w:t>
      </w:r>
      <w:r w:rsidR="00A415FD">
        <w:rPr>
          <w:rFonts w:ascii="Arial" w:hAnsi="Arial" w:cs="Arial"/>
          <w:sz w:val="20"/>
          <w:szCs w:val="20"/>
        </w:rPr>
        <w:t>loss</w:t>
      </w:r>
      <w:r w:rsidR="00131320">
        <w:rPr>
          <w:rFonts w:ascii="Arial" w:hAnsi="Arial" w:cs="Arial"/>
          <w:sz w:val="20"/>
          <w:szCs w:val="20"/>
        </w:rPr>
        <w:t xml:space="preserve"> </w:t>
      </w:r>
      <w:r w:rsidRPr="009D02A2">
        <w:rPr>
          <w:rFonts w:ascii="Arial" w:hAnsi="Arial" w:cs="Arial"/>
          <w:sz w:val="20"/>
          <w:szCs w:val="20"/>
        </w:rPr>
        <w:t>before taxes of $</w:t>
      </w:r>
      <w:r w:rsidR="00A415FD">
        <w:rPr>
          <w:rFonts w:ascii="Arial" w:hAnsi="Arial" w:cs="Arial"/>
          <w:sz w:val="20"/>
          <w:szCs w:val="20"/>
        </w:rPr>
        <w:t>9.1</w:t>
      </w:r>
      <w:r w:rsidR="00570628" w:rsidRPr="009D02A2">
        <w:rPr>
          <w:rFonts w:ascii="Arial" w:hAnsi="Arial" w:cs="Arial"/>
          <w:sz w:val="20"/>
          <w:szCs w:val="20"/>
        </w:rPr>
        <w:t xml:space="preserve"> </w:t>
      </w:r>
      <w:r w:rsidRPr="009D02A2">
        <w:rPr>
          <w:rFonts w:ascii="Arial" w:hAnsi="Arial" w:cs="Arial"/>
          <w:sz w:val="20"/>
          <w:szCs w:val="20"/>
        </w:rPr>
        <w:t>millio</w:t>
      </w:r>
      <w:r w:rsidR="009D02A2">
        <w:rPr>
          <w:rFonts w:ascii="Arial" w:hAnsi="Arial" w:cs="Arial"/>
          <w:sz w:val="20"/>
          <w:szCs w:val="20"/>
        </w:rPr>
        <w:t>n</w:t>
      </w:r>
      <w:r w:rsidR="002E3117">
        <w:rPr>
          <w:rFonts w:ascii="Arial" w:hAnsi="Arial" w:cs="Arial"/>
          <w:sz w:val="20"/>
          <w:szCs w:val="20"/>
        </w:rPr>
        <w:t>, tax recovery of $3.</w:t>
      </w:r>
      <w:r w:rsidR="00EA01A4">
        <w:rPr>
          <w:rFonts w:ascii="Arial" w:hAnsi="Arial" w:cs="Arial"/>
          <w:sz w:val="20"/>
          <w:szCs w:val="20"/>
        </w:rPr>
        <w:t>4</w:t>
      </w:r>
      <w:r w:rsidR="00A415FD">
        <w:rPr>
          <w:rFonts w:ascii="Arial" w:hAnsi="Arial" w:cs="Arial"/>
          <w:sz w:val="20"/>
          <w:szCs w:val="20"/>
        </w:rPr>
        <w:t xml:space="preserve"> </w:t>
      </w:r>
      <w:r w:rsidR="002E3117">
        <w:rPr>
          <w:rFonts w:ascii="Arial" w:hAnsi="Arial" w:cs="Arial"/>
          <w:sz w:val="20"/>
          <w:szCs w:val="20"/>
        </w:rPr>
        <w:t>million</w:t>
      </w:r>
      <w:r w:rsidR="009D02A2">
        <w:rPr>
          <w:rFonts w:ascii="Arial" w:hAnsi="Arial" w:cs="Arial"/>
          <w:sz w:val="20"/>
          <w:szCs w:val="20"/>
        </w:rPr>
        <w:t xml:space="preserve"> </w:t>
      </w:r>
      <w:r w:rsidRPr="009D02A2">
        <w:rPr>
          <w:rFonts w:ascii="Arial" w:hAnsi="Arial" w:cs="Arial"/>
          <w:sz w:val="20"/>
          <w:szCs w:val="20"/>
        </w:rPr>
        <w:t xml:space="preserve">and net </w:t>
      </w:r>
      <w:r w:rsidR="00A415FD">
        <w:rPr>
          <w:rFonts w:ascii="Arial" w:hAnsi="Arial" w:cs="Arial"/>
          <w:sz w:val="20"/>
          <w:szCs w:val="20"/>
        </w:rPr>
        <w:t>loss</w:t>
      </w:r>
      <w:r w:rsidR="00131320" w:rsidRPr="009D02A2">
        <w:rPr>
          <w:rFonts w:ascii="Arial" w:hAnsi="Arial" w:cs="Arial"/>
          <w:sz w:val="20"/>
          <w:szCs w:val="20"/>
        </w:rPr>
        <w:t xml:space="preserve"> </w:t>
      </w:r>
      <w:r w:rsidRPr="009D02A2">
        <w:rPr>
          <w:rFonts w:ascii="Arial" w:hAnsi="Arial" w:cs="Arial"/>
          <w:sz w:val="20"/>
          <w:szCs w:val="20"/>
        </w:rPr>
        <w:t>of $</w:t>
      </w:r>
      <w:r w:rsidR="00A415FD">
        <w:rPr>
          <w:rFonts w:ascii="Arial" w:hAnsi="Arial" w:cs="Arial"/>
          <w:sz w:val="20"/>
          <w:szCs w:val="20"/>
        </w:rPr>
        <w:t>5.</w:t>
      </w:r>
      <w:r w:rsidR="000F1015">
        <w:rPr>
          <w:rFonts w:ascii="Arial" w:hAnsi="Arial" w:cs="Arial"/>
          <w:sz w:val="20"/>
          <w:szCs w:val="20"/>
        </w:rPr>
        <w:t>7</w:t>
      </w:r>
      <w:r w:rsidR="000F1015" w:rsidRPr="009D02A2">
        <w:rPr>
          <w:rFonts w:ascii="Arial" w:hAnsi="Arial" w:cs="Arial"/>
          <w:sz w:val="20"/>
          <w:szCs w:val="20"/>
        </w:rPr>
        <w:t xml:space="preserve"> </w:t>
      </w:r>
      <w:r w:rsidRPr="009D02A2">
        <w:rPr>
          <w:rFonts w:ascii="Arial" w:hAnsi="Arial" w:cs="Arial"/>
          <w:sz w:val="20"/>
          <w:szCs w:val="20"/>
        </w:rPr>
        <w:t>million</w:t>
      </w:r>
      <w:r w:rsidR="0038594F">
        <w:rPr>
          <w:rFonts w:ascii="Arial" w:hAnsi="Arial" w:cs="Arial"/>
          <w:sz w:val="20"/>
          <w:szCs w:val="20"/>
        </w:rPr>
        <w:t xml:space="preserve"> </w:t>
      </w:r>
      <w:r w:rsidR="0038594F" w:rsidRPr="0038594F">
        <w:rPr>
          <w:rFonts w:ascii="Arial" w:hAnsi="Arial" w:cs="Arial"/>
          <w:sz w:val="20"/>
          <w:szCs w:val="20"/>
        </w:rPr>
        <w:t>as compared to Q</w:t>
      </w:r>
      <w:r w:rsidR="00A415FD">
        <w:rPr>
          <w:rFonts w:ascii="Arial" w:hAnsi="Arial" w:cs="Arial"/>
          <w:sz w:val="20"/>
          <w:szCs w:val="20"/>
        </w:rPr>
        <w:t>2</w:t>
      </w:r>
      <w:r w:rsidR="0038594F" w:rsidRPr="0038594F">
        <w:rPr>
          <w:rFonts w:ascii="Arial" w:hAnsi="Arial" w:cs="Arial"/>
          <w:sz w:val="20"/>
          <w:szCs w:val="20"/>
        </w:rPr>
        <w:t xml:space="preserve"> 202</w:t>
      </w:r>
      <w:r w:rsidR="0038594F">
        <w:rPr>
          <w:rFonts w:ascii="Arial" w:hAnsi="Arial" w:cs="Arial"/>
          <w:sz w:val="20"/>
          <w:szCs w:val="20"/>
        </w:rPr>
        <w:t>4</w:t>
      </w:r>
      <w:r w:rsidR="0038594F" w:rsidRPr="0038594F">
        <w:rPr>
          <w:rFonts w:ascii="Arial" w:hAnsi="Arial" w:cs="Arial"/>
          <w:sz w:val="20"/>
          <w:szCs w:val="20"/>
        </w:rPr>
        <w:t xml:space="preserve"> when the Company reported loss before taxes of $</w:t>
      </w:r>
      <w:r w:rsidR="00A415FD">
        <w:rPr>
          <w:rFonts w:ascii="Arial" w:hAnsi="Arial" w:cs="Arial"/>
          <w:sz w:val="20"/>
          <w:szCs w:val="20"/>
        </w:rPr>
        <w:t>4.3</w:t>
      </w:r>
      <w:r w:rsidR="0038594F" w:rsidRPr="0038594F">
        <w:rPr>
          <w:rFonts w:ascii="Arial" w:hAnsi="Arial" w:cs="Arial"/>
          <w:sz w:val="20"/>
          <w:szCs w:val="20"/>
        </w:rPr>
        <w:t xml:space="preserve"> million</w:t>
      </w:r>
      <w:r w:rsidR="002E3117">
        <w:rPr>
          <w:rFonts w:ascii="Arial" w:hAnsi="Arial" w:cs="Arial"/>
          <w:sz w:val="20"/>
          <w:szCs w:val="20"/>
        </w:rPr>
        <w:t xml:space="preserve">, tax recovery </w:t>
      </w:r>
      <w:r w:rsidR="000F1015">
        <w:rPr>
          <w:rFonts w:ascii="Arial" w:hAnsi="Arial" w:cs="Arial"/>
          <w:sz w:val="20"/>
          <w:szCs w:val="20"/>
        </w:rPr>
        <w:t xml:space="preserve">of </w:t>
      </w:r>
      <w:r w:rsidR="002E3117" w:rsidRPr="00F46634">
        <w:rPr>
          <w:rFonts w:ascii="Arial" w:hAnsi="Arial" w:cs="Arial"/>
          <w:sz w:val="20"/>
          <w:szCs w:val="20"/>
        </w:rPr>
        <w:t>$1.</w:t>
      </w:r>
      <w:r w:rsidR="00A415FD" w:rsidRPr="00F46634">
        <w:rPr>
          <w:rFonts w:ascii="Arial" w:hAnsi="Arial" w:cs="Arial"/>
          <w:sz w:val="20"/>
          <w:szCs w:val="20"/>
        </w:rPr>
        <w:t>3</w:t>
      </w:r>
      <w:r w:rsidR="002E3117" w:rsidRPr="00F46634">
        <w:rPr>
          <w:rFonts w:ascii="Arial" w:hAnsi="Arial" w:cs="Arial"/>
          <w:sz w:val="20"/>
          <w:szCs w:val="20"/>
        </w:rPr>
        <w:t xml:space="preserve"> million</w:t>
      </w:r>
      <w:r w:rsidR="0038594F" w:rsidRPr="00F46634">
        <w:rPr>
          <w:rFonts w:ascii="Arial" w:hAnsi="Arial" w:cs="Arial"/>
          <w:sz w:val="20"/>
          <w:szCs w:val="20"/>
        </w:rPr>
        <w:t xml:space="preserve"> and net loss of $</w:t>
      </w:r>
      <w:r w:rsidR="00A415FD" w:rsidRPr="00F46634">
        <w:rPr>
          <w:rFonts w:ascii="Arial" w:hAnsi="Arial" w:cs="Arial"/>
          <w:sz w:val="20"/>
          <w:szCs w:val="20"/>
        </w:rPr>
        <w:t>3.1</w:t>
      </w:r>
      <w:r w:rsidR="0038594F" w:rsidRPr="00F46634">
        <w:rPr>
          <w:rFonts w:ascii="Arial" w:hAnsi="Arial" w:cs="Arial"/>
          <w:sz w:val="20"/>
          <w:szCs w:val="20"/>
        </w:rPr>
        <w:t xml:space="preserve"> </w:t>
      </w:r>
      <w:proofErr w:type="gramStart"/>
      <w:r w:rsidR="0038594F" w:rsidRPr="00F46634">
        <w:rPr>
          <w:rFonts w:ascii="Arial" w:hAnsi="Arial" w:cs="Arial"/>
          <w:sz w:val="20"/>
          <w:szCs w:val="20"/>
        </w:rPr>
        <w:t>million</w:t>
      </w:r>
      <w:r w:rsidR="002E3117" w:rsidRPr="00F46634">
        <w:rPr>
          <w:rFonts w:ascii="Arial" w:hAnsi="Arial" w:cs="Arial"/>
          <w:sz w:val="20"/>
          <w:szCs w:val="20"/>
        </w:rPr>
        <w:t>;</w:t>
      </w:r>
      <w:proofErr w:type="gramEnd"/>
    </w:p>
    <w:p w14:paraId="3E4A0F01" w14:textId="55AE5DAC" w:rsidR="00964D5E" w:rsidRPr="00F46634" w:rsidRDefault="002D3101" w:rsidP="00763017">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sz w:val="20"/>
          <w:szCs w:val="20"/>
        </w:rPr>
      </w:pPr>
      <w:r w:rsidRPr="00F46634">
        <w:rPr>
          <w:rFonts w:ascii="Arial" w:hAnsi="Arial" w:cs="Arial"/>
          <w:sz w:val="20"/>
          <w:szCs w:val="20"/>
        </w:rPr>
        <w:t>Reported a working capital deficit</w:t>
      </w:r>
      <w:r w:rsidRPr="00F46634">
        <w:rPr>
          <w:rStyle w:val="FootnoteReference"/>
          <w:rFonts w:ascii="Arial" w:hAnsi="Arial" w:cs="Arial"/>
          <w:sz w:val="20"/>
          <w:szCs w:val="20"/>
        </w:rPr>
        <w:footnoteReference w:id="3"/>
      </w:r>
      <w:r w:rsidRPr="00F46634">
        <w:rPr>
          <w:rFonts w:ascii="Arial" w:hAnsi="Arial" w:cs="Arial"/>
          <w:sz w:val="20"/>
          <w:szCs w:val="20"/>
        </w:rPr>
        <w:t xml:space="preserve"> of $</w:t>
      </w:r>
      <w:r w:rsidR="00A415FD" w:rsidRPr="00F46634">
        <w:rPr>
          <w:rFonts w:ascii="Arial" w:hAnsi="Arial" w:cs="Arial"/>
          <w:sz w:val="20"/>
          <w:szCs w:val="20"/>
        </w:rPr>
        <w:t>50.7</w:t>
      </w:r>
      <w:r w:rsidR="00715734" w:rsidRPr="00F46634">
        <w:rPr>
          <w:rFonts w:ascii="Arial" w:hAnsi="Arial" w:cs="Arial"/>
          <w:sz w:val="20"/>
          <w:szCs w:val="20"/>
        </w:rPr>
        <w:t xml:space="preserve"> </w:t>
      </w:r>
      <w:r w:rsidR="000E7F93" w:rsidRPr="00F46634">
        <w:rPr>
          <w:rFonts w:ascii="Arial" w:hAnsi="Arial" w:cs="Arial"/>
          <w:sz w:val="20"/>
          <w:szCs w:val="20"/>
        </w:rPr>
        <w:t>million</w:t>
      </w:r>
      <w:r w:rsidR="004367CB" w:rsidRPr="00F46634">
        <w:rPr>
          <w:rFonts w:ascii="Arial" w:hAnsi="Arial" w:cs="Arial"/>
          <w:sz w:val="20"/>
          <w:szCs w:val="20"/>
        </w:rPr>
        <w:t xml:space="preserve"> and current liabilities of $74.5</w:t>
      </w:r>
      <w:r w:rsidR="00F46634" w:rsidRPr="00F46634">
        <w:rPr>
          <w:rFonts w:ascii="Arial" w:hAnsi="Arial" w:cs="Arial"/>
          <w:sz w:val="20"/>
          <w:szCs w:val="20"/>
        </w:rPr>
        <w:t xml:space="preserve"> </w:t>
      </w:r>
      <w:r w:rsidR="004367CB" w:rsidRPr="00F46634">
        <w:rPr>
          <w:rFonts w:ascii="Arial" w:hAnsi="Arial" w:cs="Arial"/>
          <w:sz w:val="20"/>
          <w:szCs w:val="20"/>
        </w:rPr>
        <w:t>million.</w:t>
      </w:r>
    </w:p>
    <w:p w14:paraId="53F3F99B" w14:textId="77777777" w:rsidR="00131320" w:rsidRPr="00902562" w:rsidRDefault="00131320" w:rsidP="002D3101">
      <w:pPr>
        <w:rPr>
          <w:rFonts w:ascii="Arial" w:hAnsi="Arial" w:cs="Arial"/>
          <w:b/>
          <w:bCs/>
          <w:caps/>
          <w:color w:val="000000"/>
          <w:sz w:val="20"/>
          <w:szCs w:val="20"/>
        </w:rPr>
      </w:pPr>
    </w:p>
    <w:p w14:paraId="3284B894" w14:textId="0B1E9189" w:rsidR="002D3101" w:rsidRPr="00370915" w:rsidRDefault="002D3101" w:rsidP="002D3101">
      <w:pPr>
        <w:widowControl w:val="0"/>
        <w:rPr>
          <w:rFonts w:ascii="Arial" w:hAnsi="Arial" w:cs="Arial"/>
          <w:b/>
          <w:bCs/>
          <w:caps/>
          <w:color w:val="000000"/>
          <w:sz w:val="20"/>
          <w:szCs w:val="20"/>
        </w:rPr>
      </w:pPr>
      <w:r w:rsidRPr="00370915">
        <w:rPr>
          <w:rFonts w:ascii="Arial" w:hAnsi="Arial" w:cs="Arial"/>
          <w:b/>
          <w:bCs/>
          <w:caps/>
          <w:color w:val="000000"/>
          <w:sz w:val="20"/>
          <w:szCs w:val="20"/>
        </w:rPr>
        <w:t>SUBSEQUENT EVENTS</w:t>
      </w:r>
    </w:p>
    <w:p w14:paraId="28A9D557" w14:textId="4208FDDD" w:rsidR="002D3101" w:rsidRDefault="002D3101" w:rsidP="002D3101">
      <w:pPr>
        <w:widowControl w:val="0"/>
        <w:autoSpaceDE w:val="0"/>
        <w:autoSpaceDN w:val="0"/>
        <w:adjustRightInd w:val="0"/>
        <w:spacing w:before="120" w:line="240" w:lineRule="atLeast"/>
        <w:jc w:val="both"/>
        <w:rPr>
          <w:rFonts w:ascii="Arial" w:hAnsi="Arial" w:cs="Arial"/>
          <w:sz w:val="20"/>
          <w:szCs w:val="20"/>
        </w:rPr>
      </w:pPr>
      <w:proofErr w:type="gramStart"/>
      <w:r>
        <w:rPr>
          <w:rFonts w:ascii="Arial" w:hAnsi="Arial" w:cs="Arial"/>
          <w:sz w:val="20"/>
          <w:szCs w:val="20"/>
        </w:rPr>
        <w:t>Subsequent to</w:t>
      </w:r>
      <w:proofErr w:type="gramEnd"/>
      <w:r>
        <w:rPr>
          <w:rFonts w:ascii="Arial" w:hAnsi="Arial" w:cs="Arial"/>
          <w:sz w:val="20"/>
          <w:szCs w:val="20"/>
        </w:rPr>
        <w:t xml:space="preserve"> </w:t>
      </w:r>
      <w:r w:rsidR="00A415FD">
        <w:rPr>
          <w:rFonts w:ascii="Arial" w:hAnsi="Arial" w:cs="Arial"/>
          <w:sz w:val="20"/>
          <w:szCs w:val="20"/>
        </w:rPr>
        <w:t>June</w:t>
      </w:r>
      <w:r>
        <w:rPr>
          <w:rFonts w:ascii="Arial" w:hAnsi="Arial" w:cs="Arial"/>
          <w:sz w:val="20"/>
          <w:szCs w:val="20"/>
        </w:rPr>
        <w:t xml:space="preserve"> 3</w:t>
      </w:r>
      <w:r w:rsidR="00A415FD">
        <w:rPr>
          <w:rFonts w:ascii="Arial" w:hAnsi="Arial" w:cs="Arial"/>
          <w:sz w:val="20"/>
          <w:szCs w:val="20"/>
        </w:rPr>
        <w:t>0</w:t>
      </w:r>
      <w:r>
        <w:rPr>
          <w:rFonts w:ascii="Arial" w:hAnsi="Arial" w:cs="Arial"/>
          <w:sz w:val="20"/>
          <w:szCs w:val="20"/>
        </w:rPr>
        <w:t>,</w:t>
      </w:r>
      <w:r w:rsidR="001B40D9">
        <w:rPr>
          <w:rFonts w:ascii="Arial" w:hAnsi="Arial" w:cs="Arial"/>
          <w:sz w:val="20"/>
          <w:szCs w:val="20"/>
        </w:rPr>
        <w:t xml:space="preserve"> </w:t>
      </w:r>
      <w:proofErr w:type="gramStart"/>
      <w:r w:rsidR="00715734">
        <w:rPr>
          <w:rFonts w:ascii="Arial" w:hAnsi="Arial" w:cs="Arial"/>
          <w:sz w:val="20"/>
          <w:szCs w:val="20"/>
        </w:rPr>
        <w:t>2025</w:t>
      </w:r>
      <w:proofErr w:type="gramEnd"/>
      <w:r w:rsidR="00715734">
        <w:rPr>
          <w:rFonts w:ascii="Arial" w:hAnsi="Arial" w:cs="Arial"/>
          <w:sz w:val="20"/>
          <w:szCs w:val="20"/>
        </w:rPr>
        <w:t xml:space="preserve"> </w:t>
      </w:r>
      <w:r>
        <w:rPr>
          <w:rFonts w:ascii="Arial" w:hAnsi="Arial" w:cs="Arial"/>
          <w:sz w:val="20"/>
          <w:szCs w:val="20"/>
        </w:rPr>
        <w:t>the Company:</w:t>
      </w:r>
    </w:p>
    <w:p w14:paraId="166A40B3" w14:textId="36D22D83" w:rsidR="002D3101" w:rsidRPr="004F1140" w:rsidRDefault="00857BE5" w:rsidP="00763017">
      <w:pPr>
        <w:pStyle w:val="ListParagraph"/>
        <w:widowControl w:val="0"/>
        <w:numPr>
          <w:ilvl w:val="0"/>
          <w:numId w:val="2"/>
        </w:numPr>
        <w:autoSpaceDE w:val="0"/>
        <w:autoSpaceDN w:val="0"/>
        <w:adjustRightInd w:val="0"/>
        <w:spacing w:before="60" w:line="240" w:lineRule="atLeast"/>
        <w:ind w:left="548"/>
        <w:contextualSpacing w:val="0"/>
        <w:jc w:val="both"/>
        <w:rPr>
          <w:rFonts w:ascii="Arial" w:hAnsi="Arial" w:cs="Arial"/>
          <w:sz w:val="20"/>
          <w:szCs w:val="20"/>
        </w:rPr>
      </w:pPr>
      <w:r>
        <w:rPr>
          <w:rFonts w:ascii="Arial" w:hAnsi="Arial" w:cs="Arial"/>
          <w:sz w:val="20"/>
          <w:szCs w:val="20"/>
        </w:rPr>
        <w:t>Repaid</w:t>
      </w:r>
      <w:r w:rsidR="000D51F0" w:rsidRPr="006761DF">
        <w:rPr>
          <w:rFonts w:ascii="Arial" w:hAnsi="Arial" w:cs="Arial"/>
          <w:sz w:val="20"/>
          <w:szCs w:val="20"/>
        </w:rPr>
        <w:t xml:space="preserve"> $</w:t>
      </w:r>
      <w:r>
        <w:rPr>
          <w:rFonts w:ascii="Arial" w:hAnsi="Arial" w:cs="Arial"/>
          <w:sz w:val="20"/>
          <w:szCs w:val="20"/>
        </w:rPr>
        <w:t xml:space="preserve">5.62 </w:t>
      </w:r>
      <w:r w:rsidR="000D51F0" w:rsidRPr="006761DF">
        <w:rPr>
          <w:rFonts w:ascii="Arial" w:hAnsi="Arial" w:cs="Arial"/>
          <w:sz w:val="20"/>
          <w:szCs w:val="20"/>
        </w:rPr>
        <w:t xml:space="preserve">million </w:t>
      </w:r>
      <w:r w:rsidR="002A4928" w:rsidRPr="006761DF">
        <w:rPr>
          <w:rFonts w:ascii="Arial" w:hAnsi="Arial" w:cs="Arial"/>
          <w:sz w:val="20"/>
          <w:szCs w:val="20"/>
        </w:rPr>
        <w:t>o</w:t>
      </w:r>
      <w:r w:rsidR="002A4928">
        <w:rPr>
          <w:rFonts w:ascii="Arial" w:hAnsi="Arial" w:cs="Arial"/>
          <w:sz w:val="20"/>
          <w:szCs w:val="20"/>
        </w:rPr>
        <w:t>f</w:t>
      </w:r>
      <w:r w:rsidR="002A4928" w:rsidRPr="006761DF">
        <w:rPr>
          <w:rFonts w:ascii="Arial" w:hAnsi="Arial" w:cs="Arial"/>
          <w:sz w:val="20"/>
          <w:szCs w:val="20"/>
        </w:rPr>
        <w:t xml:space="preserve"> </w:t>
      </w:r>
      <w:r w:rsidR="000D51F0" w:rsidRPr="006761DF">
        <w:rPr>
          <w:rFonts w:ascii="Arial" w:hAnsi="Arial" w:cs="Arial"/>
          <w:sz w:val="20"/>
          <w:szCs w:val="20"/>
        </w:rPr>
        <w:t>working capital loans</w:t>
      </w:r>
      <w:r>
        <w:rPr>
          <w:rFonts w:ascii="Arial" w:hAnsi="Arial" w:cs="Arial"/>
          <w:sz w:val="20"/>
          <w:szCs w:val="20"/>
        </w:rPr>
        <w:t xml:space="preserve"> and overdraft loans</w:t>
      </w:r>
      <w:r w:rsidR="000D51F0" w:rsidRPr="006761DF">
        <w:rPr>
          <w:rFonts w:ascii="Arial" w:hAnsi="Arial" w:cs="Arial"/>
          <w:sz w:val="20"/>
          <w:szCs w:val="20"/>
        </w:rPr>
        <w:t>.</w:t>
      </w:r>
    </w:p>
    <w:p w14:paraId="72FAD89A" w14:textId="77777777" w:rsidR="000277F1" w:rsidRPr="000277F1" w:rsidRDefault="00C50795" w:rsidP="001B40D9">
      <w:pPr>
        <w:pStyle w:val="ListParagraph"/>
        <w:widowControl w:val="0"/>
        <w:numPr>
          <w:ilvl w:val="0"/>
          <w:numId w:val="2"/>
        </w:numPr>
        <w:autoSpaceDE w:val="0"/>
        <w:autoSpaceDN w:val="0"/>
        <w:adjustRightInd w:val="0"/>
        <w:spacing w:before="60" w:line="240" w:lineRule="atLeast"/>
        <w:ind w:left="548"/>
        <w:contextualSpacing w:val="0"/>
        <w:jc w:val="both"/>
        <w:rPr>
          <w:rFonts w:ascii="Arial" w:hAnsi="Arial" w:cs="Arial"/>
          <w:b/>
          <w:bCs/>
          <w:caps/>
          <w:color w:val="000000"/>
          <w:sz w:val="20"/>
          <w:szCs w:val="20"/>
        </w:rPr>
      </w:pPr>
      <w:r>
        <w:rPr>
          <w:rFonts w:ascii="Arial" w:hAnsi="Arial" w:cs="Arial"/>
          <w:sz w:val="20"/>
          <w:szCs w:val="20"/>
        </w:rPr>
        <w:t>R</w:t>
      </w:r>
      <w:r w:rsidRPr="00C50795">
        <w:rPr>
          <w:rFonts w:ascii="Arial" w:hAnsi="Arial" w:cs="Arial"/>
          <w:sz w:val="20"/>
          <w:szCs w:val="20"/>
        </w:rPr>
        <w:t xml:space="preserve">epaid $3.4 million principal </w:t>
      </w:r>
      <w:proofErr w:type="gramStart"/>
      <w:r w:rsidRPr="00C50795">
        <w:rPr>
          <w:rFonts w:ascii="Arial" w:hAnsi="Arial" w:cs="Arial"/>
          <w:sz w:val="20"/>
          <w:szCs w:val="20"/>
        </w:rPr>
        <w:t>amount</w:t>
      </w:r>
      <w:proofErr w:type="gramEnd"/>
      <w:r w:rsidRPr="00C50795">
        <w:rPr>
          <w:rFonts w:ascii="Arial" w:hAnsi="Arial" w:cs="Arial"/>
          <w:sz w:val="20"/>
          <w:szCs w:val="20"/>
        </w:rPr>
        <w:t xml:space="preserve"> of Series IV Notes and $2.1 million principal </w:t>
      </w:r>
      <w:proofErr w:type="gramStart"/>
      <w:r w:rsidRPr="00C50795">
        <w:rPr>
          <w:rFonts w:ascii="Arial" w:hAnsi="Arial" w:cs="Arial"/>
          <w:sz w:val="20"/>
          <w:szCs w:val="20"/>
        </w:rPr>
        <w:t>amount</w:t>
      </w:r>
      <w:proofErr w:type="gramEnd"/>
      <w:r w:rsidRPr="00C50795">
        <w:rPr>
          <w:rFonts w:ascii="Arial" w:hAnsi="Arial" w:cs="Arial"/>
          <w:sz w:val="20"/>
          <w:szCs w:val="20"/>
        </w:rPr>
        <w:t xml:space="preserve"> of Series III Notes</w:t>
      </w:r>
      <w:r w:rsidR="000D51F0">
        <w:rPr>
          <w:rFonts w:ascii="Arial" w:hAnsi="Arial" w:cs="Arial"/>
          <w:sz w:val="20"/>
          <w:szCs w:val="20"/>
        </w:rPr>
        <w:t>.</w:t>
      </w:r>
    </w:p>
    <w:p w14:paraId="6A222A89" w14:textId="33F03536" w:rsidR="00D75BB8" w:rsidRPr="00544875" w:rsidRDefault="000277F1" w:rsidP="001B40D9">
      <w:pPr>
        <w:pStyle w:val="ListParagraph"/>
        <w:widowControl w:val="0"/>
        <w:numPr>
          <w:ilvl w:val="0"/>
          <w:numId w:val="2"/>
        </w:numPr>
        <w:autoSpaceDE w:val="0"/>
        <w:autoSpaceDN w:val="0"/>
        <w:adjustRightInd w:val="0"/>
        <w:spacing w:before="60" w:line="240" w:lineRule="atLeast"/>
        <w:ind w:left="548"/>
        <w:contextualSpacing w:val="0"/>
        <w:jc w:val="both"/>
        <w:rPr>
          <w:rFonts w:ascii="Arial" w:hAnsi="Arial" w:cs="Arial"/>
          <w:b/>
          <w:bCs/>
          <w:caps/>
          <w:color w:val="000000"/>
          <w:sz w:val="20"/>
          <w:szCs w:val="20"/>
        </w:rPr>
      </w:pPr>
      <w:r>
        <w:rPr>
          <w:rFonts w:ascii="Arial" w:hAnsi="Arial" w:cs="Arial"/>
          <w:sz w:val="20"/>
          <w:szCs w:val="20"/>
        </w:rPr>
        <w:t>I</w:t>
      </w:r>
      <w:r w:rsidRPr="000277F1">
        <w:rPr>
          <w:rFonts w:ascii="Arial" w:hAnsi="Arial" w:cs="Arial"/>
          <w:sz w:val="20"/>
          <w:szCs w:val="20"/>
        </w:rPr>
        <w:t xml:space="preserve">ssued a total of $25 million principal amount of unsecured fixed-rate Series VII Notes, denominated in USD and payable in ARS in two </w:t>
      </w:r>
      <w:r w:rsidR="002A4928">
        <w:rPr>
          <w:rFonts w:ascii="Arial" w:hAnsi="Arial" w:cs="Arial"/>
          <w:sz w:val="20"/>
          <w:szCs w:val="20"/>
        </w:rPr>
        <w:t xml:space="preserve">equal </w:t>
      </w:r>
      <w:r w:rsidRPr="000277F1">
        <w:rPr>
          <w:rFonts w:ascii="Arial" w:hAnsi="Arial" w:cs="Arial"/>
          <w:sz w:val="20"/>
          <w:szCs w:val="20"/>
        </w:rPr>
        <w:t>installment</w:t>
      </w:r>
      <w:r w:rsidR="002A4928">
        <w:rPr>
          <w:rFonts w:ascii="Arial" w:hAnsi="Arial" w:cs="Arial"/>
          <w:sz w:val="20"/>
          <w:szCs w:val="20"/>
        </w:rPr>
        <w:t>s</w:t>
      </w:r>
      <w:r w:rsidRPr="000277F1">
        <w:rPr>
          <w:rFonts w:ascii="Arial" w:hAnsi="Arial" w:cs="Arial"/>
          <w:sz w:val="20"/>
          <w:szCs w:val="20"/>
        </w:rPr>
        <w:t xml:space="preserve"> on January 11, </w:t>
      </w:r>
      <w:proofErr w:type="gramStart"/>
      <w:r w:rsidRPr="000277F1">
        <w:rPr>
          <w:rFonts w:ascii="Arial" w:hAnsi="Arial" w:cs="Arial"/>
          <w:sz w:val="20"/>
          <w:szCs w:val="20"/>
        </w:rPr>
        <w:t>2027</w:t>
      </w:r>
      <w:proofErr w:type="gramEnd"/>
      <w:r w:rsidRPr="000277F1">
        <w:rPr>
          <w:rFonts w:ascii="Arial" w:hAnsi="Arial" w:cs="Arial"/>
          <w:sz w:val="20"/>
          <w:szCs w:val="20"/>
        </w:rPr>
        <w:t xml:space="preserve"> and July 11, 2027. Series </w:t>
      </w:r>
      <w:r w:rsidRPr="000277F1">
        <w:rPr>
          <w:rFonts w:ascii="Arial" w:hAnsi="Arial" w:cs="Arial"/>
          <w:sz w:val="20"/>
          <w:szCs w:val="20"/>
        </w:rPr>
        <w:lastRenderedPageBreak/>
        <w:t xml:space="preserve">VII Notes accrue interest at a fixed rate of 13% per annum, payable every six months in arrears from the issue </w:t>
      </w:r>
      <w:r w:rsidRPr="00544875">
        <w:rPr>
          <w:rFonts w:ascii="Arial" w:hAnsi="Arial" w:cs="Arial"/>
          <w:sz w:val="20"/>
          <w:szCs w:val="20"/>
        </w:rPr>
        <w:t>date.</w:t>
      </w:r>
    </w:p>
    <w:p w14:paraId="5F135501" w14:textId="77777777" w:rsidR="00544875" w:rsidRPr="00544875" w:rsidRDefault="00544875" w:rsidP="00544875">
      <w:pPr>
        <w:widowControl w:val="0"/>
        <w:autoSpaceDE w:val="0"/>
        <w:autoSpaceDN w:val="0"/>
        <w:adjustRightInd w:val="0"/>
        <w:spacing w:before="60" w:line="240" w:lineRule="atLeast"/>
        <w:ind w:left="188"/>
        <w:jc w:val="both"/>
        <w:rPr>
          <w:rFonts w:ascii="Arial" w:hAnsi="Arial" w:cs="Arial"/>
          <w:b/>
          <w:bCs/>
          <w:caps/>
          <w:color w:val="000000"/>
          <w:sz w:val="20"/>
          <w:szCs w:val="20"/>
        </w:rPr>
      </w:pPr>
    </w:p>
    <w:p w14:paraId="0310C9B7" w14:textId="0A0C8DF4" w:rsidR="00544875" w:rsidRPr="00544875" w:rsidRDefault="00544875" w:rsidP="00544875">
      <w:pPr>
        <w:widowControl w:val="0"/>
        <w:autoSpaceDE w:val="0"/>
        <w:autoSpaceDN w:val="0"/>
        <w:adjustRightInd w:val="0"/>
        <w:spacing w:before="60" w:line="240" w:lineRule="atLeast"/>
        <w:jc w:val="both"/>
        <w:rPr>
          <w:rFonts w:ascii="Arial" w:hAnsi="Arial" w:cs="Arial"/>
          <w:b/>
          <w:bCs/>
          <w:caps/>
          <w:color w:val="000000"/>
          <w:sz w:val="20"/>
          <w:szCs w:val="20"/>
        </w:rPr>
      </w:pPr>
      <w:r w:rsidRPr="00544875">
        <w:rPr>
          <w:rFonts w:ascii="Arial" w:hAnsi="Arial" w:cs="Arial"/>
          <w:b/>
          <w:bCs/>
          <w:caps/>
          <w:color w:val="000000"/>
          <w:sz w:val="20"/>
          <w:szCs w:val="20"/>
        </w:rPr>
        <w:t>uPDATE ON CHUBUT ACQUISITION</w:t>
      </w:r>
    </w:p>
    <w:p w14:paraId="307E8AA8" w14:textId="3A3FC13B" w:rsidR="00DB368E" w:rsidRDefault="00544875" w:rsidP="0091467A">
      <w:pPr>
        <w:widowControl w:val="0"/>
        <w:tabs>
          <w:tab w:val="left" w:pos="555"/>
        </w:tabs>
        <w:autoSpaceDE w:val="0"/>
        <w:autoSpaceDN w:val="0"/>
        <w:spacing w:before="120" w:line="220" w:lineRule="atLeast"/>
        <w:jc w:val="both"/>
        <w:rPr>
          <w:rFonts w:ascii="Arial" w:hAnsi="Arial" w:cs="Arial"/>
          <w:sz w:val="20"/>
          <w:szCs w:val="20"/>
        </w:rPr>
      </w:pPr>
      <w:r w:rsidRPr="00544875">
        <w:rPr>
          <w:rFonts w:ascii="Arial" w:hAnsi="Arial" w:cs="Arial"/>
          <w:sz w:val="20"/>
          <w:szCs w:val="20"/>
        </w:rPr>
        <w:t xml:space="preserve">In June 2025, Crown Point entered into agreements with </w:t>
      </w:r>
      <w:proofErr w:type="spellStart"/>
      <w:r w:rsidRPr="00544875">
        <w:rPr>
          <w:rFonts w:ascii="Arial" w:hAnsi="Arial" w:cs="Arial"/>
          <w:sz w:val="20"/>
          <w:szCs w:val="20"/>
        </w:rPr>
        <w:t>Tecpetrol</w:t>
      </w:r>
      <w:proofErr w:type="spellEnd"/>
      <w:r w:rsidRPr="00544875">
        <w:rPr>
          <w:rFonts w:ascii="Arial" w:hAnsi="Arial" w:cs="Arial"/>
          <w:sz w:val="20"/>
          <w:szCs w:val="20"/>
        </w:rPr>
        <w:t xml:space="preserve"> S.A., YPF S.A. and Pampa Energía S.A. (collectively the “</w:t>
      </w:r>
      <w:r w:rsidRPr="00544875">
        <w:rPr>
          <w:rFonts w:ascii="Arial" w:hAnsi="Arial" w:cs="Arial"/>
          <w:b/>
          <w:bCs/>
          <w:sz w:val="20"/>
          <w:szCs w:val="20"/>
        </w:rPr>
        <w:t>Sellers</w:t>
      </w:r>
      <w:r w:rsidRPr="00544875">
        <w:rPr>
          <w:rFonts w:ascii="Arial" w:hAnsi="Arial" w:cs="Arial"/>
          <w:sz w:val="20"/>
          <w:szCs w:val="20"/>
        </w:rPr>
        <w:t xml:space="preserve">”), to acquire the Sellers’ aggregate 95% operated interest in the El </w:t>
      </w:r>
      <w:proofErr w:type="spellStart"/>
      <w:r w:rsidRPr="00544875">
        <w:rPr>
          <w:rFonts w:ascii="Arial" w:hAnsi="Arial" w:cs="Arial"/>
          <w:sz w:val="20"/>
          <w:szCs w:val="20"/>
        </w:rPr>
        <w:t>Tordillo</w:t>
      </w:r>
      <w:proofErr w:type="spellEnd"/>
      <w:r w:rsidRPr="00544875">
        <w:rPr>
          <w:rFonts w:ascii="Arial" w:hAnsi="Arial" w:cs="Arial"/>
          <w:sz w:val="20"/>
          <w:szCs w:val="20"/>
        </w:rPr>
        <w:t xml:space="preserve">, La Tapera and </w:t>
      </w:r>
      <w:proofErr w:type="spellStart"/>
      <w:r w:rsidRPr="00544875">
        <w:rPr>
          <w:rFonts w:ascii="Arial" w:hAnsi="Arial" w:cs="Arial"/>
          <w:sz w:val="20"/>
          <w:szCs w:val="20"/>
        </w:rPr>
        <w:t>Puesto</w:t>
      </w:r>
      <w:proofErr w:type="spellEnd"/>
      <w:r w:rsidRPr="00544875">
        <w:rPr>
          <w:rFonts w:ascii="Arial" w:hAnsi="Arial" w:cs="Arial"/>
          <w:sz w:val="20"/>
          <w:szCs w:val="20"/>
        </w:rPr>
        <w:t xml:space="preserve"> Quiroga hydrocarbons exploitation concessions (the "</w:t>
      </w:r>
      <w:r w:rsidRPr="00544875">
        <w:rPr>
          <w:rFonts w:ascii="Arial" w:hAnsi="Arial" w:cs="Arial"/>
          <w:b/>
          <w:bCs/>
          <w:sz w:val="20"/>
          <w:szCs w:val="20"/>
        </w:rPr>
        <w:t>Chubut Concessions</w:t>
      </w:r>
      <w:r w:rsidRPr="00544875">
        <w:rPr>
          <w:rFonts w:ascii="Arial" w:hAnsi="Arial" w:cs="Arial"/>
          <w:sz w:val="20"/>
          <w:szCs w:val="20"/>
        </w:rPr>
        <w:t>") and certain related infrastructure.</w:t>
      </w:r>
    </w:p>
    <w:p w14:paraId="5FD22C09" w14:textId="6694F94F" w:rsidR="00544875" w:rsidRPr="00544875" w:rsidRDefault="00544875" w:rsidP="0091467A">
      <w:pPr>
        <w:widowControl w:val="0"/>
        <w:tabs>
          <w:tab w:val="left" w:pos="555"/>
        </w:tabs>
        <w:autoSpaceDE w:val="0"/>
        <w:autoSpaceDN w:val="0"/>
        <w:spacing w:before="120" w:line="220" w:lineRule="atLeast"/>
        <w:jc w:val="both"/>
        <w:rPr>
          <w:rFonts w:ascii="Arial" w:hAnsi="Arial" w:cs="Arial"/>
          <w:sz w:val="20"/>
          <w:szCs w:val="20"/>
        </w:rPr>
      </w:pPr>
      <w:r w:rsidRPr="00544875">
        <w:rPr>
          <w:rFonts w:ascii="Arial" w:hAnsi="Arial" w:cs="Arial"/>
          <w:sz w:val="20"/>
          <w:szCs w:val="20"/>
        </w:rPr>
        <w:t>The aggregate base purchase price payable by the Company to the Sellers is approximately $57.9 million in cash, subject to customary closing adjustments, plus contingent consideration of up to $3.5 million in cash. During the six months ended June 30, 2025, the Company made a $643,998 acquisition deposit related to Pampa's working interest in the Chubut Concessions and the stamp tax on the transactions.</w:t>
      </w:r>
      <w:r w:rsidR="0091467A">
        <w:rPr>
          <w:rFonts w:ascii="Arial" w:hAnsi="Arial" w:cs="Arial"/>
          <w:sz w:val="20"/>
          <w:szCs w:val="20"/>
        </w:rPr>
        <w:t xml:space="preserve">  </w:t>
      </w:r>
      <w:r w:rsidRPr="00544875">
        <w:rPr>
          <w:rFonts w:ascii="Arial" w:hAnsi="Arial" w:cs="Arial"/>
          <w:sz w:val="20"/>
          <w:szCs w:val="20"/>
        </w:rPr>
        <w:t xml:space="preserve">In July 2025, the Company made $8.06 million and $1.3 million of acquisition deposits to </w:t>
      </w:r>
      <w:proofErr w:type="spellStart"/>
      <w:r w:rsidRPr="00544875">
        <w:rPr>
          <w:rFonts w:ascii="Arial" w:hAnsi="Arial" w:cs="Arial"/>
          <w:sz w:val="20"/>
          <w:szCs w:val="20"/>
        </w:rPr>
        <w:t>Tecpetrol</w:t>
      </w:r>
      <w:proofErr w:type="spellEnd"/>
      <w:r w:rsidRPr="00544875">
        <w:rPr>
          <w:rFonts w:ascii="Arial" w:hAnsi="Arial" w:cs="Arial"/>
          <w:sz w:val="20"/>
          <w:szCs w:val="20"/>
        </w:rPr>
        <w:t xml:space="preserve"> and YPF, respectively, related to their working interests in the Chubut Concessions. </w:t>
      </w:r>
    </w:p>
    <w:p w14:paraId="4B1E41B5" w14:textId="601C94ED" w:rsidR="00544875" w:rsidRDefault="00544875" w:rsidP="0091467A">
      <w:pPr>
        <w:tabs>
          <w:tab w:val="left" w:pos="555"/>
        </w:tabs>
        <w:spacing w:before="120" w:line="220" w:lineRule="atLeast"/>
        <w:jc w:val="both"/>
        <w:rPr>
          <w:rFonts w:ascii="Arial" w:hAnsi="Arial" w:cs="Arial"/>
          <w:sz w:val="20"/>
          <w:szCs w:val="20"/>
        </w:rPr>
      </w:pPr>
      <w:r w:rsidRPr="00544875">
        <w:rPr>
          <w:rFonts w:ascii="Arial" w:hAnsi="Arial" w:cs="Arial"/>
          <w:sz w:val="20"/>
          <w:szCs w:val="20"/>
        </w:rPr>
        <w:t>The acquisition of each Seller’s working interest is expected to close in the third quarter of 2025. Completion of the acquisitions is subject to, among other things, the receipt of all necessary regulatory and Provincial approvals, including the approval of the TSX Venture Exchange, and other customary closing conditions.</w:t>
      </w:r>
    </w:p>
    <w:p w14:paraId="181B5536" w14:textId="71CF255F" w:rsidR="00DB368E" w:rsidRPr="001154F1" w:rsidRDefault="00DB368E" w:rsidP="0091467A">
      <w:pPr>
        <w:tabs>
          <w:tab w:val="left" w:pos="555"/>
        </w:tabs>
        <w:spacing w:before="120" w:line="220" w:lineRule="atLeast"/>
        <w:jc w:val="both"/>
        <w:rPr>
          <w:rFonts w:ascii="Arial" w:hAnsi="Arial" w:cs="Arial"/>
          <w:sz w:val="20"/>
          <w:szCs w:val="20"/>
        </w:rPr>
      </w:pPr>
      <w:r>
        <w:rPr>
          <w:rFonts w:ascii="Arial" w:hAnsi="Arial" w:cs="Arial"/>
          <w:sz w:val="20"/>
          <w:szCs w:val="20"/>
        </w:rPr>
        <w:t xml:space="preserve">For further details on the proposed acquisition, see the Company's press release issued on June 9, 2025, a copy of which is </w:t>
      </w:r>
      <w:r w:rsidRPr="001154F1">
        <w:rPr>
          <w:rFonts w:ascii="Arial" w:hAnsi="Arial" w:cs="Arial"/>
          <w:sz w:val="20"/>
          <w:szCs w:val="20"/>
        </w:rPr>
        <w:t>available at www.sedarplus.ca.</w:t>
      </w:r>
    </w:p>
    <w:p w14:paraId="60B9B217" w14:textId="77777777" w:rsidR="00FB40E8" w:rsidRPr="001154F1" w:rsidRDefault="00FB40E8" w:rsidP="00544875">
      <w:pPr>
        <w:widowControl w:val="0"/>
        <w:autoSpaceDE w:val="0"/>
        <w:autoSpaceDN w:val="0"/>
        <w:adjustRightInd w:val="0"/>
        <w:spacing w:before="60" w:line="240" w:lineRule="atLeast"/>
        <w:jc w:val="both"/>
        <w:rPr>
          <w:rFonts w:ascii="Arial" w:hAnsi="Arial" w:cs="Arial"/>
          <w:sz w:val="20"/>
          <w:szCs w:val="20"/>
        </w:rPr>
      </w:pPr>
    </w:p>
    <w:p w14:paraId="6518C41C" w14:textId="608C8A36" w:rsidR="000277F1" w:rsidRPr="001154F1" w:rsidRDefault="00FB40E8" w:rsidP="000277F1">
      <w:pPr>
        <w:widowControl w:val="0"/>
        <w:autoSpaceDE w:val="0"/>
        <w:autoSpaceDN w:val="0"/>
        <w:adjustRightInd w:val="0"/>
        <w:spacing w:before="60" w:line="240" w:lineRule="atLeast"/>
        <w:jc w:val="both"/>
        <w:rPr>
          <w:rFonts w:ascii="Arial" w:hAnsi="Arial" w:cs="Arial"/>
          <w:b/>
          <w:bCs/>
          <w:caps/>
          <w:color w:val="000000"/>
          <w:sz w:val="20"/>
          <w:szCs w:val="20"/>
        </w:rPr>
      </w:pPr>
      <w:r w:rsidRPr="001154F1">
        <w:rPr>
          <w:rFonts w:ascii="Arial" w:hAnsi="Arial" w:cs="Arial"/>
          <w:b/>
          <w:bCs/>
          <w:caps/>
          <w:color w:val="000000"/>
          <w:sz w:val="20"/>
          <w:szCs w:val="20"/>
        </w:rPr>
        <w:t>Appointment of new director</w:t>
      </w:r>
    </w:p>
    <w:p w14:paraId="5A004345" w14:textId="77777777" w:rsidR="001154F1" w:rsidRDefault="00FB40E8" w:rsidP="000277F1">
      <w:pPr>
        <w:widowControl w:val="0"/>
        <w:autoSpaceDE w:val="0"/>
        <w:autoSpaceDN w:val="0"/>
        <w:adjustRightInd w:val="0"/>
        <w:spacing w:before="60" w:line="240" w:lineRule="atLeast"/>
        <w:jc w:val="both"/>
        <w:rPr>
          <w:rFonts w:ascii="Arial" w:hAnsi="Arial" w:cs="Arial"/>
          <w:color w:val="000000"/>
          <w:sz w:val="20"/>
          <w:szCs w:val="20"/>
        </w:rPr>
      </w:pPr>
      <w:r w:rsidRPr="001154F1">
        <w:rPr>
          <w:rFonts w:ascii="Arial" w:hAnsi="Arial" w:cs="Arial"/>
          <w:caps/>
          <w:color w:val="000000"/>
          <w:sz w:val="20"/>
          <w:szCs w:val="20"/>
        </w:rPr>
        <w:t>T</w:t>
      </w:r>
      <w:r w:rsidRPr="001154F1">
        <w:rPr>
          <w:rFonts w:ascii="Arial" w:hAnsi="Arial" w:cs="Arial"/>
          <w:color w:val="000000"/>
          <w:sz w:val="20"/>
          <w:szCs w:val="20"/>
        </w:rPr>
        <w:t>he Company is pleased to announce that</w:t>
      </w:r>
      <w:r w:rsidR="001154F1">
        <w:rPr>
          <w:rFonts w:ascii="Arial" w:hAnsi="Arial" w:cs="Arial"/>
          <w:color w:val="000000"/>
          <w:sz w:val="20"/>
          <w:szCs w:val="20"/>
        </w:rPr>
        <w:t>, effective today,</w:t>
      </w:r>
      <w:r w:rsidRPr="001154F1">
        <w:rPr>
          <w:rFonts w:ascii="Arial" w:hAnsi="Arial" w:cs="Arial"/>
          <w:color w:val="000000"/>
          <w:sz w:val="20"/>
          <w:szCs w:val="20"/>
        </w:rPr>
        <w:t xml:space="preserve"> Mr. Juan Llado </w:t>
      </w:r>
      <w:r w:rsidR="001154F1" w:rsidRPr="001154F1">
        <w:rPr>
          <w:rFonts w:ascii="Arial" w:hAnsi="Arial" w:cs="Arial"/>
          <w:color w:val="000000"/>
          <w:sz w:val="20"/>
          <w:szCs w:val="20"/>
        </w:rPr>
        <w:t>has been appointed as a director of the Company by Crown Point's board of directors</w:t>
      </w:r>
      <w:r w:rsidRPr="001154F1">
        <w:rPr>
          <w:rFonts w:ascii="Arial" w:hAnsi="Arial" w:cs="Arial"/>
          <w:color w:val="000000"/>
          <w:sz w:val="20"/>
          <w:szCs w:val="20"/>
        </w:rPr>
        <w:t>.</w:t>
      </w:r>
    </w:p>
    <w:p w14:paraId="279AF35C" w14:textId="77777777" w:rsidR="001154F1" w:rsidRDefault="001154F1" w:rsidP="000277F1">
      <w:pPr>
        <w:widowControl w:val="0"/>
        <w:autoSpaceDE w:val="0"/>
        <w:autoSpaceDN w:val="0"/>
        <w:adjustRightInd w:val="0"/>
        <w:spacing w:before="60" w:line="240" w:lineRule="atLeast"/>
        <w:jc w:val="both"/>
        <w:rPr>
          <w:rFonts w:ascii="Arial" w:hAnsi="Arial" w:cs="Arial"/>
          <w:sz w:val="20"/>
          <w:szCs w:val="20"/>
        </w:rPr>
      </w:pPr>
      <w:r w:rsidRPr="001154F1">
        <w:rPr>
          <w:rFonts w:ascii="Arial" w:hAnsi="Arial" w:cs="Arial"/>
          <w:sz w:val="20"/>
          <w:szCs w:val="20"/>
        </w:rPr>
        <w:t xml:space="preserve">Juan is an attorney and has held various positions during his career in the financial services, insurance and energy sectors, including as: CEO of Life </w:t>
      </w:r>
      <w:proofErr w:type="spellStart"/>
      <w:r w:rsidRPr="001154F1">
        <w:rPr>
          <w:rFonts w:ascii="Arial" w:hAnsi="Arial" w:cs="Arial"/>
          <w:sz w:val="20"/>
          <w:szCs w:val="20"/>
        </w:rPr>
        <w:t>Seguros</w:t>
      </w:r>
      <w:proofErr w:type="spellEnd"/>
      <w:r w:rsidRPr="001154F1">
        <w:rPr>
          <w:rFonts w:ascii="Arial" w:hAnsi="Arial" w:cs="Arial"/>
          <w:sz w:val="20"/>
          <w:szCs w:val="20"/>
        </w:rPr>
        <w:t xml:space="preserve"> de Personas y </w:t>
      </w:r>
      <w:proofErr w:type="spellStart"/>
      <w:r w:rsidRPr="001154F1">
        <w:rPr>
          <w:rFonts w:ascii="Arial" w:hAnsi="Arial" w:cs="Arial"/>
          <w:sz w:val="20"/>
          <w:szCs w:val="20"/>
        </w:rPr>
        <w:t>Patrimoniales</w:t>
      </w:r>
      <w:proofErr w:type="spellEnd"/>
      <w:r w:rsidRPr="001154F1">
        <w:rPr>
          <w:rFonts w:ascii="Arial" w:hAnsi="Arial" w:cs="Arial"/>
          <w:sz w:val="20"/>
          <w:szCs w:val="20"/>
        </w:rPr>
        <w:t xml:space="preserve"> S.A. (formerly MetLife Argentina); CEO of Life Group </w:t>
      </w:r>
      <w:proofErr w:type="spellStart"/>
      <w:r w:rsidRPr="001154F1">
        <w:rPr>
          <w:rFonts w:ascii="Arial" w:hAnsi="Arial" w:cs="Arial"/>
          <w:sz w:val="20"/>
          <w:szCs w:val="20"/>
        </w:rPr>
        <w:t>Seguros</w:t>
      </w:r>
      <w:proofErr w:type="spellEnd"/>
      <w:r w:rsidRPr="001154F1">
        <w:rPr>
          <w:rFonts w:ascii="Arial" w:hAnsi="Arial" w:cs="Arial"/>
          <w:sz w:val="20"/>
          <w:szCs w:val="20"/>
        </w:rPr>
        <w:t xml:space="preserve"> S.A. (formerly Prudential Argentina); Legal &amp; Compliance Director at Grupo ST S.A.; Legal Affairs Manager and Trust Banking Manager at Banco de </w:t>
      </w:r>
      <w:proofErr w:type="spellStart"/>
      <w:r w:rsidRPr="001154F1">
        <w:rPr>
          <w:rFonts w:ascii="Arial" w:hAnsi="Arial" w:cs="Arial"/>
          <w:sz w:val="20"/>
          <w:szCs w:val="20"/>
        </w:rPr>
        <w:t>Servicios</w:t>
      </w:r>
      <w:proofErr w:type="spellEnd"/>
      <w:r w:rsidRPr="001154F1">
        <w:rPr>
          <w:rFonts w:ascii="Arial" w:hAnsi="Arial" w:cs="Arial"/>
          <w:sz w:val="20"/>
          <w:szCs w:val="20"/>
        </w:rPr>
        <w:t xml:space="preserve"> y </w:t>
      </w:r>
      <w:proofErr w:type="spellStart"/>
      <w:r w:rsidRPr="001154F1">
        <w:rPr>
          <w:rFonts w:ascii="Arial" w:hAnsi="Arial" w:cs="Arial"/>
          <w:sz w:val="20"/>
          <w:szCs w:val="20"/>
        </w:rPr>
        <w:t>Transacciones</w:t>
      </w:r>
      <w:proofErr w:type="spellEnd"/>
      <w:r w:rsidRPr="001154F1">
        <w:rPr>
          <w:rFonts w:ascii="Arial" w:hAnsi="Arial" w:cs="Arial"/>
          <w:sz w:val="20"/>
          <w:szCs w:val="20"/>
        </w:rPr>
        <w:t xml:space="preserve"> S.A.; Legal Affairs Manager at </w:t>
      </w:r>
      <w:proofErr w:type="spellStart"/>
      <w:r w:rsidRPr="001154F1">
        <w:rPr>
          <w:rFonts w:ascii="Arial" w:hAnsi="Arial" w:cs="Arial"/>
          <w:sz w:val="20"/>
          <w:szCs w:val="20"/>
        </w:rPr>
        <w:t>Orígenes</w:t>
      </w:r>
      <w:proofErr w:type="spellEnd"/>
      <w:r w:rsidRPr="001154F1">
        <w:rPr>
          <w:rFonts w:ascii="Arial" w:hAnsi="Arial" w:cs="Arial"/>
          <w:sz w:val="20"/>
          <w:szCs w:val="20"/>
        </w:rPr>
        <w:t xml:space="preserve"> </w:t>
      </w:r>
      <w:proofErr w:type="spellStart"/>
      <w:r w:rsidRPr="001154F1">
        <w:rPr>
          <w:rFonts w:ascii="Arial" w:hAnsi="Arial" w:cs="Arial"/>
          <w:sz w:val="20"/>
          <w:szCs w:val="20"/>
        </w:rPr>
        <w:t>Seguros</w:t>
      </w:r>
      <w:proofErr w:type="spellEnd"/>
      <w:r w:rsidRPr="001154F1">
        <w:rPr>
          <w:rFonts w:ascii="Arial" w:hAnsi="Arial" w:cs="Arial"/>
          <w:sz w:val="20"/>
          <w:szCs w:val="20"/>
        </w:rPr>
        <w:t xml:space="preserve">; and Legal Affairs Manager at </w:t>
      </w:r>
      <w:proofErr w:type="spellStart"/>
      <w:r w:rsidRPr="001154F1">
        <w:rPr>
          <w:rFonts w:ascii="Arial" w:hAnsi="Arial" w:cs="Arial"/>
          <w:sz w:val="20"/>
          <w:szCs w:val="20"/>
        </w:rPr>
        <w:t>Credilogros</w:t>
      </w:r>
      <w:proofErr w:type="spellEnd"/>
      <w:r w:rsidRPr="001154F1">
        <w:rPr>
          <w:rFonts w:ascii="Arial" w:hAnsi="Arial" w:cs="Arial"/>
          <w:sz w:val="20"/>
          <w:szCs w:val="20"/>
        </w:rPr>
        <w:t xml:space="preserve"> </w:t>
      </w:r>
      <w:proofErr w:type="spellStart"/>
      <w:r w:rsidRPr="001154F1">
        <w:rPr>
          <w:rFonts w:ascii="Arial" w:hAnsi="Arial" w:cs="Arial"/>
          <w:sz w:val="20"/>
          <w:szCs w:val="20"/>
        </w:rPr>
        <w:t>Compañía</w:t>
      </w:r>
      <w:proofErr w:type="spellEnd"/>
      <w:r w:rsidRPr="001154F1">
        <w:rPr>
          <w:rFonts w:ascii="Arial" w:hAnsi="Arial" w:cs="Arial"/>
          <w:sz w:val="20"/>
          <w:szCs w:val="20"/>
        </w:rPr>
        <w:t xml:space="preserve"> Financiera S.A.</w:t>
      </w:r>
    </w:p>
    <w:p w14:paraId="476DB93D" w14:textId="77777777" w:rsidR="001154F1" w:rsidRDefault="001154F1" w:rsidP="000277F1">
      <w:pPr>
        <w:widowControl w:val="0"/>
        <w:autoSpaceDE w:val="0"/>
        <w:autoSpaceDN w:val="0"/>
        <w:adjustRightInd w:val="0"/>
        <w:spacing w:before="60" w:line="240" w:lineRule="atLeast"/>
        <w:jc w:val="both"/>
        <w:rPr>
          <w:rFonts w:ascii="Arial" w:hAnsi="Arial" w:cs="Arial"/>
          <w:sz w:val="20"/>
          <w:szCs w:val="20"/>
        </w:rPr>
      </w:pPr>
      <w:r>
        <w:rPr>
          <w:rFonts w:ascii="Arial" w:hAnsi="Arial" w:cs="Arial"/>
          <w:sz w:val="20"/>
          <w:szCs w:val="20"/>
        </w:rPr>
        <w:t xml:space="preserve">Juan </w:t>
      </w:r>
      <w:r w:rsidRPr="001154F1">
        <w:rPr>
          <w:rFonts w:ascii="Arial" w:hAnsi="Arial" w:cs="Arial"/>
          <w:sz w:val="20"/>
          <w:szCs w:val="20"/>
        </w:rPr>
        <w:t xml:space="preserve">is currently a member of the Executive Committee of Grupo ST S.A. and serves on the Board of Directors of the following companies: Grupo ST S.A.; Banco de </w:t>
      </w:r>
      <w:proofErr w:type="spellStart"/>
      <w:r w:rsidRPr="001154F1">
        <w:rPr>
          <w:rFonts w:ascii="Arial" w:hAnsi="Arial" w:cs="Arial"/>
          <w:sz w:val="20"/>
          <w:szCs w:val="20"/>
        </w:rPr>
        <w:t>Servicios</w:t>
      </w:r>
      <w:proofErr w:type="spellEnd"/>
      <w:r w:rsidRPr="001154F1">
        <w:rPr>
          <w:rFonts w:ascii="Arial" w:hAnsi="Arial" w:cs="Arial"/>
          <w:sz w:val="20"/>
          <w:szCs w:val="20"/>
        </w:rPr>
        <w:t xml:space="preserve"> y </w:t>
      </w:r>
      <w:proofErr w:type="spellStart"/>
      <w:r w:rsidRPr="001154F1">
        <w:rPr>
          <w:rFonts w:ascii="Arial" w:hAnsi="Arial" w:cs="Arial"/>
          <w:sz w:val="20"/>
          <w:szCs w:val="20"/>
        </w:rPr>
        <w:t>Transacciones</w:t>
      </w:r>
      <w:proofErr w:type="spellEnd"/>
      <w:r w:rsidRPr="001154F1">
        <w:rPr>
          <w:rFonts w:ascii="Arial" w:hAnsi="Arial" w:cs="Arial"/>
          <w:sz w:val="20"/>
          <w:szCs w:val="20"/>
        </w:rPr>
        <w:t xml:space="preserve"> S.A.; ST Securities S.A.; Best Leasing S.A.; Life </w:t>
      </w:r>
      <w:proofErr w:type="spellStart"/>
      <w:r w:rsidRPr="001154F1">
        <w:rPr>
          <w:rFonts w:ascii="Arial" w:hAnsi="Arial" w:cs="Arial"/>
          <w:sz w:val="20"/>
          <w:szCs w:val="20"/>
        </w:rPr>
        <w:t>Seguros</w:t>
      </w:r>
      <w:proofErr w:type="spellEnd"/>
      <w:r w:rsidRPr="001154F1">
        <w:rPr>
          <w:rFonts w:ascii="Arial" w:hAnsi="Arial" w:cs="Arial"/>
          <w:sz w:val="20"/>
          <w:szCs w:val="20"/>
        </w:rPr>
        <w:t xml:space="preserve"> S.A.; </w:t>
      </w:r>
      <w:proofErr w:type="spellStart"/>
      <w:r w:rsidRPr="001154F1">
        <w:rPr>
          <w:rFonts w:ascii="Arial" w:hAnsi="Arial" w:cs="Arial"/>
          <w:sz w:val="20"/>
          <w:szCs w:val="20"/>
        </w:rPr>
        <w:t>Liminar</w:t>
      </w:r>
      <w:proofErr w:type="spellEnd"/>
      <w:r w:rsidRPr="001154F1">
        <w:rPr>
          <w:rFonts w:ascii="Arial" w:hAnsi="Arial" w:cs="Arial"/>
          <w:sz w:val="20"/>
          <w:szCs w:val="20"/>
        </w:rPr>
        <w:t xml:space="preserve"> Energía S.A. (which is the Company's controlling shareholder); and Crown Point Energía S.A. (a </w:t>
      </w:r>
      <w:proofErr w:type="gramStart"/>
      <w:r w:rsidRPr="001154F1">
        <w:rPr>
          <w:rFonts w:ascii="Arial" w:hAnsi="Arial" w:cs="Arial"/>
          <w:sz w:val="20"/>
          <w:szCs w:val="20"/>
        </w:rPr>
        <w:t>wholly-owned</w:t>
      </w:r>
      <w:proofErr w:type="gramEnd"/>
      <w:r w:rsidRPr="001154F1">
        <w:rPr>
          <w:rFonts w:ascii="Arial" w:hAnsi="Arial" w:cs="Arial"/>
          <w:sz w:val="20"/>
          <w:szCs w:val="20"/>
        </w:rPr>
        <w:t xml:space="preserve"> subsidiary of the Company).</w:t>
      </w:r>
    </w:p>
    <w:p w14:paraId="01F062C7" w14:textId="3312DCD7" w:rsidR="00FB40E8" w:rsidRPr="001154F1" w:rsidRDefault="001154F1" w:rsidP="000277F1">
      <w:pPr>
        <w:widowControl w:val="0"/>
        <w:autoSpaceDE w:val="0"/>
        <w:autoSpaceDN w:val="0"/>
        <w:adjustRightInd w:val="0"/>
        <w:spacing w:before="60" w:line="240" w:lineRule="atLeast"/>
        <w:jc w:val="both"/>
        <w:rPr>
          <w:rFonts w:ascii="Arial" w:hAnsi="Arial" w:cs="Arial"/>
          <w:color w:val="000000"/>
          <w:sz w:val="20"/>
          <w:szCs w:val="20"/>
        </w:rPr>
      </w:pPr>
      <w:r w:rsidRPr="001154F1">
        <w:rPr>
          <w:rFonts w:ascii="Arial" w:hAnsi="Arial" w:cs="Arial"/>
          <w:sz w:val="20"/>
          <w:szCs w:val="20"/>
        </w:rPr>
        <w:t xml:space="preserve">Juan has a Bachelor of Laws degree from the University of Buenos Aires and a </w:t>
      </w:r>
      <w:proofErr w:type="gramStart"/>
      <w:r w:rsidRPr="001154F1">
        <w:rPr>
          <w:rFonts w:ascii="Arial" w:hAnsi="Arial" w:cs="Arial"/>
          <w:sz w:val="20"/>
          <w:szCs w:val="20"/>
        </w:rPr>
        <w:t>Master's Degree in Finance</w:t>
      </w:r>
      <w:proofErr w:type="gramEnd"/>
      <w:r w:rsidRPr="001154F1">
        <w:rPr>
          <w:rFonts w:ascii="Arial" w:hAnsi="Arial" w:cs="Arial"/>
          <w:sz w:val="20"/>
          <w:szCs w:val="20"/>
        </w:rPr>
        <w:t xml:space="preserve"> from the Universidad del CEMA.</w:t>
      </w:r>
    </w:p>
    <w:p w14:paraId="700AB6B7" w14:textId="77777777" w:rsidR="00FB40E8" w:rsidRPr="001154F1" w:rsidRDefault="00FB40E8" w:rsidP="000277F1">
      <w:pPr>
        <w:widowControl w:val="0"/>
        <w:autoSpaceDE w:val="0"/>
        <w:autoSpaceDN w:val="0"/>
        <w:adjustRightInd w:val="0"/>
        <w:spacing w:before="60" w:line="240" w:lineRule="atLeast"/>
        <w:jc w:val="both"/>
        <w:rPr>
          <w:rFonts w:ascii="Arial" w:hAnsi="Arial" w:cs="Arial"/>
          <w:color w:val="000000"/>
          <w:sz w:val="20"/>
          <w:szCs w:val="20"/>
        </w:rPr>
      </w:pPr>
    </w:p>
    <w:p w14:paraId="25496980" w14:textId="3C2BF5D9" w:rsidR="001B40D9" w:rsidRPr="001154F1" w:rsidRDefault="001B40D9" w:rsidP="001B40D9">
      <w:pPr>
        <w:widowControl w:val="0"/>
        <w:rPr>
          <w:rFonts w:ascii="Arial" w:hAnsi="Arial" w:cs="Arial"/>
          <w:b/>
          <w:bCs/>
          <w:caps/>
          <w:color w:val="000000"/>
          <w:sz w:val="20"/>
          <w:szCs w:val="20"/>
        </w:rPr>
      </w:pPr>
      <w:r w:rsidRPr="001154F1">
        <w:rPr>
          <w:rFonts w:ascii="Arial" w:hAnsi="Arial" w:cs="Arial"/>
          <w:b/>
          <w:bCs/>
          <w:caps/>
          <w:color w:val="000000"/>
          <w:sz w:val="20"/>
          <w:szCs w:val="20"/>
        </w:rPr>
        <w:t>Operational update</w:t>
      </w:r>
    </w:p>
    <w:p w14:paraId="27D1D0B9" w14:textId="22105311" w:rsidR="00C165D0" w:rsidRPr="001154F1" w:rsidRDefault="00C165D0" w:rsidP="009825E3">
      <w:pPr>
        <w:widowControl w:val="0"/>
        <w:autoSpaceDE w:val="0"/>
        <w:autoSpaceDN w:val="0"/>
        <w:adjustRightInd w:val="0"/>
        <w:spacing w:before="60" w:line="240" w:lineRule="atLeast"/>
        <w:jc w:val="both"/>
        <w:rPr>
          <w:rFonts w:ascii="Arial" w:hAnsi="Arial" w:cs="Arial"/>
          <w:b/>
          <w:sz w:val="20"/>
          <w:szCs w:val="20"/>
          <w:lang w:val="it-IT"/>
        </w:rPr>
      </w:pPr>
      <w:r w:rsidRPr="001154F1">
        <w:rPr>
          <w:rFonts w:ascii="Arial" w:hAnsi="Arial" w:cs="Arial"/>
          <w:b/>
          <w:sz w:val="20"/>
          <w:szCs w:val="20"/>
          <w:lang w:val="it-IT"/>
        </w:rPr>
        <w:t>Santa Cruz Concessions</w:t>
      </w:r>
    </w:p>
    <w:p w14:paraId="11D8CB2A" w14:textId="77777777" w:rsidR="00DB7090" w:rsidRPr="00DB7090" w:rsidRDefault="00DB7090" w:rsidP="00DB7090">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bCs/>
          <w:sz w:val="20"/>
          <w:szCs w:val="20"/>
        </w:rPr>
      </w:pPr>
      <w:r w:rsidRPr="001154F1">
        <w:rPr>
          <w:rFonts w:ascii="Arial" w:hAnsi="Arial" w:cs="Arial"/>
          <w:bCs/>
          <w:sz w:val="20"/>
          <w:szCs w:val="20"/>
        </w:rPr>
        <w:t>During Q2 2025,</w:t>
      </w:r>
      <w:r w:rsidRPr="00DB7090">
        <w:rPr>
          <w:rFonts w:ascii="Arial" w:hAnsi="Arial" w:cs="Arial"/>
          <w:bCs/>
          <w:sz w:val="20"/>
          <w:szCs w:val="20"/>
        </w:rPr>
        <w:t xml:space="preserve"> Piedra </w:t>
      </w:r>
      <w:proofErr w:type="spellStart"/>
      <w:r w:rsidRPr="00DB7090">
        <w:rPr>
          <w:rFonts w:ascii="Arial" w:hAnsi="Arial" w:cs="Arial"/>
          <w:bCs/>
          <w:sz w:val="20"/>
          <w:szCs w:val="20"/>
        </w:rPr>
        <w:t>Clavada</w:t>
      </w:r>
      <w:proofErr w:type="spellEnd"/>
      <w:r w:rsidRPr="00DB7090">
        <w:rPr>
          <w:rFonts w:ascii="Arial" w:hAnsi="Arial" w:cs="Arial"/>
          <w:bCs/>
          <w:sz w:val="20"/>
          <w:szCs w:val="20"/>
        </w:rPr>
        <w:t xml:space="preserve"> Concession oil production averaged 1,902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 and </w:t>
      </w:r>
      <w:proofErr w:type="spellStart"/>
      <w:r w:rsidRPr="00DB7090">
        <w:rPr>
          <w:rFonts w:ascii="Arial" w:hAnsi="Arial" w:cs="Arial"/>
          <w:bCs/>
          <w:sz w:val="20"/>
          <w:szCs w:val="20"/>
        </w:rPr>
        <w:t>Koluel</w:t>
      </w:r>
      <w:proofErr w:type="spellEnd"/>
      <w:r w:rsidRPr="00DB7090">
        <w:rPr>
          <w:rFonts w:ascii="Arial" w:hAnsi="Arial" w:cs="Arial"/>
          <w:bCs/>
          <w:sz w:val="20"/>
          <w:szCs w:val="20"/>
        </w:rPr>
        <w:t xml:space="preserve"> Kaike Concession oil production averaged 1,060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 During Q2 2025, the Company performed workovers on twelve oil producing wells. </w:t>
      </w:r>
    </w:p>
    <w:p w14:paraId="4CB39A9C" w14:textId="77777777" w:rsidR="00DB7090" w:rsidRPr="00DB7090" w:rsidRDefault="00DB7090" w:rsidP="00C165D0">
      <w:pPr>
        <w:widowControl w:val="0"/>
        <w:autoSpaceDE w:val="0"/>
        <w:autoSpaceDN w:val="0"/>
        <w:adjustRightInd w:val="0"/>
        <w:spacing w:before="60" w:line="240" w:lineRule="atLeast"/>
        <w:jc w:val="both"/>
        <w:rPr>
          <w:rFonts w:ascii="Arial" w:hAnsi="Arial" w:cs="Arial"/>
          <w:bCs/>
          <w:sz w:val="20"/>
          <w:szCs w:val="20"/>
        </w:rPr>
      </w:pPr>
    </w:p>
    <w:p w14:paraId="5A92B1EF" w14:textId="44F6D76F" w:rsidR="009825E3" w:rsidRPr="00DB7090" w:rsidRDefault="009825E3" w:rsidP="00C165D0">
      <w:pPr>
        <w:widowControl w:val="0"/>
        <w:autoSpaceDE w:val="0"/>
        <w:autoSpaceDN w:val="0"/>
        <w:adjustRightInd w:val="0"/>
        <w:spacing w:before="60" w:line="240" w:lineRule="atLeast"/>
        <w:jc w:val="both"/>
        <w:rPr>
          <w:rFonts w:ascii="Arial" w:hAnsi="Arial" w:cs="Arial"/>
          <w:b/>
          <w:sz w:val="20"/>
          <w:szCs w:val="20"/>
          <w:lang w:val="it-IT"/>
        </w:rPr>
      </w:pPr>
      <w:r w:rsidRPr="00DB7090">
        <w:rPr>
          <w:rFonts w:ascii="Arial" w:hAnsi="Arial" w:cs="Arial"/>
          <w:b/>
          <w:sz w:val="20"/>
          <w:szCs w:val="20"/>
          <w:lang w:val="it-IT"/>
        </w:rPr>
        <w:t>Tierra del Fuego Concession ("TDF" or "TDF Concessions")</w:t>
      </w:r>
    </w:p>
    <w:p w14:paraId="4BE94117" w14:textId="77777777" w:rsidR="00DB7090" w:rsidRPr="00DB7090" w:rsidRDefault="00DB7090" w:rsidP="00DB7090">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b/>
          <w:sz w:val="20"/>
          <w:szCs w:val="20"/>
          <w:lang w:val="en-CA"/>
        </w:rPr>
      </w:pPr>
      <w:r w:rsidRPr="00DB7090">
        <w:rPr>
          <w:rFonts w:ascii="Arial" w:hAnsi="Arial" w:cs="Arial"/>
          <w:bCs/>
          <w:sz w:val="20"/>
          <w:szCs w:val="20"/>
        </w:rPr>
        <w:t xml:space="preserve">During Q2 2025, San Martin oil production averaged 398 (net 192)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 Las Violetas concession natural gas production averaged 8,028 (net 3,880) mcf per day and associated oil production averaged 198 (net 96)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w:t>
      </w:r>
    </w:p>
    <w:p w14:paraId="428850CE" w14:textId="77777777" w:rsidR="00DB7090" w:rsidRPr="00DB7090" w:rsidRDefault="00DB7090" w:rsidP="00DB7090">
      <w:pPr>
        <w:widowControl w:val="0"/>
        <w:autoSpaceDE w:val="0"/>
        <w:autoSpaceDN w:val="0"/>
        <w:adjustRightInd w:val="0"/>
        <w:spacing w:before="60" w:line="240" w:lineRule="atLeast"/>
        <w:jc w:val="both"/>
        <w:rPr>
          <w:rFonts w:ascii="Arial" w:hAnsi="Arial" w:cs="Arial"/>
          <w:b/>
          <w:sz w:val="20"/>
          <w:szCs w:val="20"/>
          <w:lang w:val="en-CA"/>
        </w:rPr>
      </w:pPr>
    </w:p>
    <w:p w14:paraId="494B76EC" w14:textId="13ABD7F3" w:rsidR="009825E3" w:rsidRPr="00DB7090" w:rsidRDefault="009825E3" w:rsidP="00DB7090">
      <w:pPr>
        <w:widowControl w:val="0"/>
        <w:autoSpaceDE w:val="0"/>
        <w:autoSpaceDN w:val="0"/>
        <w:adjustRightInd w:val="0"/>
        <w:spacing w:before="60" w:line="240" w:lineRule="atLeast"/>
        <w:jc w:val="both"/>
        <w:rPr>
          <w:rFonts w:ascii="Arial" w:hAnsi="Arial" w:cs="Arial"/>
          <w:b/>
          <w:sz w:val="20"/>
          <w:szCs w:val="20"/>
          <w:lang w:val="en-CA"/>
        </w:rPr>
      </w:pPr>
      <w:r w:rsidRPr="00DB7090">
        <w:rPr>
          <w:rFonts w:ascii="Arial" w:hAnsi="Arial" w:cs="Arial"/>
          <w:b/>
          <w:sz w:val="20"/>
          <w:szCs w:val="20"/>
          <w:lang w:val="en-CA"/>
        </w:rPr>
        <w:t xml:space="preserve">Mendoza Concessions ("Mendoza Concessions") </w:t>
      </w:r>
    </w:p>
    <w:p w14:paraId="5E05B381" w14:textId="41EB947D" w:rsidR="00DB7090" w:rsidRPr="00DB7090" w:rsidRDefault="00DB7090" w:rsidP="00DB7090">
      <w:pPr>
        <w:pStyle w:val="ListParagraph"/>
        <w:widowControl w:val="0"/>
        <w:numPr>
          <w:ilvl w:val="0"/>
          <w:numId w:val="2"/>
        </w:numPr>
        <w:autoSpaceDE w:val="0"/>
        <w:autoSpaceDN w:val="0"/>
        <w:adjustRightInd w:val="0"/>
        <w:spacing w:before="60" w:line="240" w:lineRule="atLeast"/>
        <w:ind w:left="548" w:hanging="274"/>
        <w:contextualSpacing w:val="0"/>
        <w:jc w:val="both"/>
        <w:rPr>
          <w:rFonts w:ascii="Arial" w:hAnsi="Arial" w:cs="Arial"/>
          <w:bCs/>
          <w:sz w:val="20"/>
          <w:szCs w:val="20"/>
        </w:rPr>
      </w:pPr>
      <w:r w:rsidRPr="00DB7090">
        <w:rPr>
          <w:rFonts w:ascii="Arial" w:hAnsi="Arial" w:cs="Arial"/>
          <w:bCs/>
          <w:sz w:val="20"/>
          <w:szCs w:val="20"/>
        </w:rPr>
        <w:t xml:space="preserve">Oil production for Q2 2025 averaged 766 (net 383)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 from the C</w:t>
      </w:r>
      <w:r w:rsidR="00396B94">
        <w:rPr>
          <w:rFonts w:ascii="Arial" w:hAnsi="Arial" w:cs="Arial"/>
          <w:bCs/>
          <w:sz w:val="20"/>
          <w:szCs w:val="20"/>
        </w:rPr>
        <w:t xml:space="preserve">hanares </w:t>
      </w:r>
      <w:proofErr w:type="spellStart"/>
      <w:r w:rsidRPr="007003F5">
        <w:rPr>
          <w:rFonts w:ascii="Arial" w:hAnsi="Arial" w:cs="Arial"/>
          <w:bCs/>
          <w:color w:val="000000" w:themeColor="text1"/>
          <w:sz w:val="20"/>
          <w:szCs w:val="20"/>
        </w:rPr>
        <w:t>H</w:t>
      </w:r>
      <w:r w:rsidR="00396B94" w:rsidRPr="007003F5">
        <w:rPr>
          <w:rFonts w:ascii="Arial" w:hAnsi="Arial" w:cs="Arial"/>
          <w:bCs/>
          <w:color w:val="000000" w:themeColor="text1"/>
          <w:sz w:val="20"/>
          <w:szCs w:val="20"/>
        </w:rPr>
        <w:t>errados</w:t>
      </w:r>
      <w:proofErr w:type="spellEnd"/>
      <w:r w:rsidRPr="007003F5">
        <w:rPr>
          <w:rFonts w:ascii="Arial" w:hAnsi="Arial" w:cs="Arial"/>
          <w:bCs/>
          <w:color w:val="000000" w:themeColor="text1"/>
          <w:sz w:val="20"/>
          <w:szCs w:val="20"/>
        </w:rPr>
        <w:t xml:space="preserve"> </w:t>
      </w:r>
      <w:r w:rsidRPr="00DB7090">
        <w:rPr>
          <w:rFonts w:ascii="Arial" w:hAnsi="Arial" w:cs="Arial"/>
          <w:bCs/>
          <w:sz w:val="20"/>
          <w:szCs w:val="20"/>
        </w:rPr>
        <w:t>Concession</w:t>
      </w:r>
      <w:r w:rsidR="00396B94">
        <w:rPr>
          <w:rFonts w:ascii="Arial" w:hAnsi="Arial" w:cs="Arial"/>
          <w:bCs/>
          <w:sz w:val="20"/>
          <w:szCs w:val="20"/>
        </w:rPr>
        <w:t xml:space="preserve"> ("</w:t>
      </w:r>
      <w:r w:rsidR="00396B94" w:rsidRPr="00396B94">
        <w:rPr>
          <w:rFonts w:ascii="Arial" w:hAnsi="Arial" w:cs="Arial"/>
          <w:b/>
          <w:sz w:val="20"/>
          <w:szCs w:val="20"/>
        </w:rPr>
        <w:t>CH Concession</w:t>
      </w:r>
      <w:r w:rsidR="00396B94">
        <w:rPr>
          <w:rFonts w:ascii="Arial" w:hAnsi="Arial" w:cs="Arial"/>
          <w:bCs/>
          <w:sz w:val="20"/>
          <w:szCs w:val="20"/>
        </w:rPr>
        <w:t>")</w:t>
      </w:r>
      <w:r w:rsidRPr="00DB7090">
        <w:rPr>
          <w:rFonts w:ascii="Arial" w:hAnsi="Arial" w:cs="Arial"/>
          <w:bCs/>
          <w:sz w:val="20"/>
          <w:szCs w:val="20"/>
        </w:rPr>
        <w:t xml:space="preserve"> and 170 (net 85) </w:t>
      </w:r>
      <w:proofErr w:type="spellStart"/>
      <w:r w:rsidRPr="00DB7090">
        <w:rPr>
          <w:rFonts w:ascii="Arial" w:hAnsi="Arial" w:cs="Arial"/>
          <w:bCs/>
          <w:sz w:val="20"/>
          <w:szCs w:val="20"/>
        </w:rPr>
        <w:t>bbls</w:t>
      </w:r>
      <w:proofErr w:type="spellEnd"/>
      <w:r w:rsidRPr="00DB7090">
        <w:rPr>
          <w:rFonts w:ascii="Arial" w:hAnsi="Arial" w:cs="Arial"/>
          <w:bCs/>
          <w:sz w:val="20"/>
          <w:szCs w:val="20"/>
        </w:rPr>
        <w:t xml:space="preserve"> of oil per day from the </w:t>
      </w:r>
      <w:proofErr w:type="spellStart"/>
      <w:r w:rsidRPr="00DB7090">
        <w:rPr>
          <w:rFonts w:ascii="Arial" w:hAnsi="Arial" w:cs="Arial"/>
          <w:bCs/>
          <w:sz w:val="20"/>
          <w:szCs w:val="20"/>
        </w:rPr>
        <w:t>P</w:t>
      </w:r>
      <w:r w:rsidR="00396B94">
        <w:rPr>
          <w:rFonts w:ascii="Arial" w:hAnsi="Arial" w:cs="Arial"/>
          <w:bCs/>
          <w:sz w:val="20"/>
          <w:szCs w:val="20"/>
        </w:rPr>
        <w:t>uesto</w:t>
      </w:r>
      <w:proofErr w:type="spellEnd"/>
      <w:r w:rsidR="00396B94">
        <w:rPr>
          <w:rFonts w:ascii="Arial" w:hAnsi="Arial" w:cs="Arial"/>
          <w:bCs/>
          <w:sz w:val="20"/>
          <w:szCs w:val="20"/>
        </w:rPr>
        <w:t xml:space="preserve"> </w:t>
      </w:r>
      <w:r w:rsidRPr="00DB7090">
        <w:rPr>
          <w:rFonts w:ascii="Arial" w:hAnsi="Arial" w:cs="Arial"/>
          <w:bCs/>
          <w:sz w:val="20"/>
          <w:szCs w:val="20"/>
        </w:rPr>
        <w:t>P</w:t>
      </w:r>
      <w:r w:rsidR="00396B94">
        <w:rPr>
          <w:rFonts w:ascii="Arial" w:hAnsi="Arial" w:cs="Arial"/>
          <w:bCs/>
          <w:sz w:val="20"/>
          <w:szCs w:val="20"/>
        </w:rPr>
        <w:t xml:space="preserve">ozo </w:t>
      </w:r>
      <w:r w:rsidRPr="00DB7090">
        <w:rPr>
          <w:rFonts w:ascii="Arial" w:hAnsi="Arial" w:cs="Arial"/>
          <w:bCs/>
          <w:sz w:val="20"/>
          <w:szCs w:val="20"/>
        </w:rPr>
        <w:t>C</w:t>
      </w:r>
      <w:r w:rsidR="00396B94">
        <w:rPr>
          <w:rFonts w:ascii="Arial" w:hAnsi="Arial" w:cs="Arial"/>
          <w:bCs/>
          <w:sz w:val="20"/>
          <w:szCs w:val="20"/>
        </w:rPr>
        <w:t xml:space="preserve">ercado </w:t>
      </w:r>
      <w:r w:rsidRPr="00DB7090">
        <w:rPr>
          <w:rFonts w:ascii="Arial" w:hAnsi="Arial" w:cs="Arial"/>
          <w:bCs/>
          <w:sz w:val="20"/>
          <w:szCs w:val="20"/>
        </w:rPr>
        <w:t>O</w:t>
      </w:r>
      <w:r w:rsidR="00396B94">
        <w:rPr>
          <w:rFonts w:ascii="Arial" w:hAnsi="Arial" w:cs="Arial"/>
          <w:bCs/>
          <w:sz w:val="20"/>
          <w:szCs w:val="20"/>
        </w:rPr>
        <w:t>riental</w:t>
      </w:r>
      <w:r w:rsidRPr="00DB7090">
        <w:rPr>
          <w:rFonts w:ascii="Arial" w:hAnsi="Arial" w:cs="Arial"/>
          <w:bCs/>
          <w:sz w:val="20"/>
          <w:szCs w:val="20"/>
        </w:rPr>
        <w:t xml:space="preserve"> Concession. During Q2 2025, the Company performed workovers on five oil producing wells in the CH Concession.</w:t>
      </w:r>
    </w:p>
    <w:p w14:paraId="6D4BBB4B" w14:textId="07EE5A2A" w:rsidR="009825E3" w:rsidRPr="003D3760" w:rsidRDefault="009825E3" w:rsidP="009825E3">
      <w:pPr>
        <w:pStyle w:val="Ne4"/>
        <w:widowControl w:val="0"/>
        <w:spacing w:before="240" w:line="240" w:lineRule="atLeast"/>
        <w:ind w:left="0"/>
        <w:rPr>
          <w:rFonts w:cs="Arial"/>
        </w:rPr>
      </w:pPr>
      <w:r>
        <w:rPr>
          <w:rFonts w:cs="Arial"/>
          <w:b/>
        </w:rPr>
        <w:t>OUTLOOK</w:t>
      </w:r>
    </w:p>
    <w:p w14:paraId="7C28B336" w14:textId="771C5D76" w:rsidR="009825E3" w:rsidRPr="00471D02" w:rsidRDefault="00C165D0" w:rsidP="00180E2F">
      <w:pPr>
        <w:pStyle w:val="ListParagraph"/>
        <w:widowControl w:val="0"/>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line="240" w:lineRule="atLeast"/>
        <w:ind w:left="548"/>
        <w:contextualSpacing w:val="0"/>
        <w:jc w:val="both"/>
        <w:rPr>
          <w:rFonts w:ascii="Arial" w:hAnsi="Arial" w:cs="Arial"/>
          <w:bCs/>
          <w:szCs w:val="20"/>
        </w:rPr>
      </w:pPr>
      <w:r w:rsidRPr="00471D02">
        <w:rPr>
          <w:rFonts w:ascii="Arial" w:hAnsi="Arial" w:cs="Arial"/>
          <w:sz w:val="20"/>
          <w:szCs w:val="20"/>
        </w:rPr>
        <w:t>The Company’s capital spending for fiscal 2025 is budgeted at approximately $</w:t>
      </w:r>
      <w:r w:rsidR="007A55B2">
        <w:rPr>
          <w:rFonts w:ascii="Arial" w:hAnsi="Arial" w:cs="Arial"/>
          <w:sz w:val="20"/>
          <w:szCs w:val="20"/>
        </w:rPr>
        <w:t>12.3</w:t>
      </w:r>
      <w:r w:rsidRPr="00471D02">
        <w:rPr>
          <w:rFonts w:ascii="Arial" w:hAnsi="Arial" w:cs="Arial"/>
          <w:sz w:val="20"/>
          <w:szCs w:val="20"/>
        </w:rPr>
        <w:t xml:space="preserve"> million, of which $</w:t>
      </w:r>
      <w:r w:rsidR="007A55B2">
        <w:rPr>
          <w:rFonts w:ascii="Arial" w:hAnsi="Arial" w:cs="Arial"/>
          <w:sz w:val="20"/>
          <w:szCs w:val="20"/>
        </w:rPr>
        <w:t>10.4</w:t>
      </w:r>
      <w:r w:rsidRPr="00471D02">
        <w:rPr>
          <w:rFonts w:ascii="Arial" w:hAnsi="Arial" w:cs="Arial"/>
          <w:sz w:val="20"/>
          <w:szCs w:val="20"/>
        </w:rPr>
        <w:t xml:space="preserve"> million is allocated to the Santa Cruz Concessions for well workovers, facilities improvements and a drilling campaign comprised of </w:t>
      </w:r>
      <w:r w:rsidR="00030D6B" w:rsidRPr="00471D02">
        <w:rPr>
          <w:rFonts w:ascii="Arial" w:hAnsi="Arial" w:cs="Arial"/>
          <w:sz w:val="20"/>
          <w:szCs w:val="20"/>
        </w:rPr>
        <w:t>2</w:t>
      </w:r>
      <w:r w:rsidRPr="00471D02">
        <w:rPr>
          <w:rFonts w:ascii="Arial" w:hAnsi="Arial" w:cs="Arial"/>
          <w:sz w:val="20"/>
          <w:szCs w:val="20"/>
        </w:rPr>
        <w:t xml:space="preserve"> wells</w:t>
      </w:r>
      <w:r w:rsidR="00030D6B" w:rsidRPr="00471D02">
        <w:rPr>
          <w:rFonts w:ascii="Arial" w:hAnsi="Arial" w:cs="Arial"/>
          <w:sz w:val="20"/>
          <w:szCs w:val="20"/>
        </w:rPr>
        <w:t xml:space="preserve">; </w:t>
      </w:r>
      <w:r w:rsidRPr="00471D02">
        <w:rPr>
          <w:rFonts w:ascii="Arial" w:hAnsi="Arial" w:cs="Arial"/>
          <w:sz w:val="20"/>
          <w:szCs w:val="20"/>
        </w:rPr>
        <w:t>$1</w:t>
      </w:r>
      <w:r w:rsidR="007A55B2">
        <w:rPr>
          <w:rFonts w:ascii="Arial" w:hAnsi="Arial" w:cs="Arial"/>
          <w:sz w:val="20"/>
          <w:szCs w:val="20"/>
        </w:rPr>
        <w:t>.1</w:t>
      </w:r>
      <w:r w:rsidRPr="00471D02">
        <w:rPr>
          <w:rFonts w:ascii="Arial" w:hAnsi="Arial" w:cs="Arial"/>
          <w:sz w:val="20"/>
          <w:szCs w:val="20"/>
        </w:rPr>
        <w:t xml:space="preserve"> million is for well workovers, facilities improvements and optimization in the Mendoza Concessions, and $0.8 million is for testing of the gas bearing sandstone layers of the Neuquen Group at </w:t>
      </w:r>
      <w:r w:rsidR="00E50C7D" w:rsidRPr="00471D02">
        <w:rPr>
          <w:rFonts w:ascii="Arial" w:hAnsi="Arial" w:cs="Arial"/>
          <w:sz w:val="20"/>
          <w:szCs w:val="20"/>
        </w:rPr>
        <w:t>Cerro de Los Leones</w:t>
      </w:r>
      <w:r w:rsidRPr="00471D02">
        <w:rPr>
          <w:rFonts w:ascii="Arial" w:hAnsi="Arial" w:cs="Arial"/>
          <w:sz w:val="20"/>
          <w:szCs w:val="20"/>
        </w:rPr>
        <w:t xml:space="preserve">. </w:t>
      </w:r>
      <w:r w:rsidR="00471D02" w:rsidRPr="00471D02">
        <w:rPr>
          <w:rFonts w:ascii="Arial" w:hAnsi="Arial" w:cs="Arial"/>
          <w:sz w:val="20"/>
          <w:szCs w:val="20"/>
        </w:rPr>
        <w:t>During the June 2025 period, the Company incurred $0.9 million of capital expenditures in the Mendoza Concessions and $3.3 million of capital expenditures in the Santa Cruz Concessions.</w:t>
      </w:r>
    </w:p>
    <w:p w14:paraId="3E67012B" w14:textId="77777777" w:rsidR="00E01D56" w:rsidRDefault="00E01D56" w:rsidP="00D02275">
      <w:pPr>
        <w:rPr>
          <w:rFonts w:ascii="Arial" w:hAnsi="Arial" w:cs="Arial"/>
          <w:b/>
          <w:bCs/>
          <w:caps/>
          <w:color w:val="000000"/>
          <w:sz w:val="20"/>
          <w:szCs w:val="20"/>
        </w:rPr>
      </w:pPr>
    </w:p>
    <w:p w14:paraId="1F149D41" w14:textId="622B9E5B" w:rsidR="007003F5" w:rsidRDefault="00E01D56" w:rsidP="00D02275">
      <w:pPr>
        <w:rPr>
          <w:rFonts w:ascii="Arial" w:hAnsi="Arial" w:cs="Arial"/>
          <w:b/>
          <w:sz w:val="20"/>
          <w:szCs w:val="20"/>
          <w:lang w:val="en-CA"/>
        </w:rPr>
      </w:pPr>
      <w:r w:rsidRPr="00E01D56">
        <w:rPr>
          <w:rFonts w:ascii="Arial" w:hAnsi="Arial" w:cs="Arial"/>
          <w:b/>
          <w:bCs/>
          <w:caps/>
          <w:color w:val="000000"/>
          <w:sz w:val="20"/>
          <w:szCs w:val="20"/>
        </w:rPr>
        <w:t>RESULTS OF OPERATIONS</w:t>
      </w:r>
    </w:p>
    <w:p w14:paraId="18D99D4A" w14:textId="77777777" w:rsidR="00E01D56" w:rsidRDefault="00E01D56" w:rsidP="00D02275">
      <w:pPr>
        <w:rPr>
          <w:rFonts w:ascii="Arial" w:hAnsi="Arial" w:cs="Arial"/>
          <w:b/>
          <w:sz w:val="20"/>
          <w:szCs w:val="20"/>
          <w:lang w:val="en-CA"/>
        </w:rPr>
      </w:pPr>
    </w:p>
    <w:p w14:paraId="098B3A89" w14:textId="10A4AEFB" w:rsidR="00570F49" w:rsidRDefault="00150304" w:rsidP="00D02275">
      <w:pPr>
        <w:rPr>
          <w:rFonts w:ascii="Arial" w:hAnsi="Arial" w:cs="Arial"/>
          <w:b/>
          <w:sz w:val="20"/>
          <w:szCs w:val="20"/>
          <w:lang w:val="en-CA"/>
        </w:rPr>
      </w:pPr>
      <w:r>
        <w:rPr>
          <w:rFonts w:ascii="Arial" w:hAnsi="Arial" w:cs="Arial"/>
          <w:b/>
          <w:sz w:val="20"/>
          <w:szCs w:val="20"/>
          <w:lang w:val="en-CA"/>
        </w:rPr>
        <w:t>Sales Volumes</w:t>
      </w:r>
    </w:p>
    <w:p w14:paraId="7A9FFF7D" w14:textId="1A101FF2" w:rsidR="00030D6B" w:rsidRPr="005C528B" w:rsidRDefault="00030D6B" w:rsidP="00D02275">
      <w:pPr>
        <w:rPr>
          <w:rFonts w:ascii="Arial" w:hAnsi="Arial" w:cs="Arial"/>
          <w:bCs/>
          <w:sz w:val="20"/>
          <w:szCs w:val="20"/>
          <w:lang w:val="en-CA"/>
        </w:rPr>
      </w:pPr>
    </w:p>
    <w:tbl>
      <w:tblPr>
        <w:tblW w:w="9355" w:type="dxa"/>
        <w:tblLayout w:type="fixed"/>
        <w:tblLook w:val="04A0" w:firstRow="1" w:lastRow="0" w:firstColumn="1" w:lastColumn="0" w:noHBand="0" w:noVBand="1"/>
      </w:tblPr>
      <w:tblGrid>
        <w:gridCol w:w="4765"/>
        <w:gridCol w:w="1170"/>
        <w:gridCol w:w="1080"/>
        <w:gridCol w:w="1170"/>
        <w:gridCol w:w="1170"/>
      </w:tblGrid>
      <w:tr w:rsidR="00030D6B" w:rsidRPr="00902562" w14:paraId="799D1558" w14:textId="77777777" w:rsidTr="00DD1BB5">
        <w:tc>
          <w:tcPr>
            <w:tcW w:w="4765" w:type="dxa"/>
            <w:tcBorders>
              <w:top w:val="single" w:sz="12" w:space="0" w:color="auto"/>
              <w:left w:val="single" w:sz="4" w:space="0" w:color="auto"/>
              <w:right w:val="single" w:sz="4" w:space="0" w:color="auto"/>
            </w:tcBorders>
          </w:tcPr>
          <w:p w14:paraId="4015CAAE" w14:textId="77777777" w:rsidR="00030D6B" w:rsidRPr="00902562" w:rsidRDefault="00030D6B" w:rsidP="00DD1BB5">
            <w:pPr>
              <w:rPr>
                <w:rFonts w:ascii="Arial" w:hAnsi="Arial" w:cs="Arial"/>
                <w:b/>
                <w:bCs/>
                <w:sz w:val="16"/>
                <w:szCs w:val="16"/>
                <w:lang w:val="en-CA"/>
              </w:rPr>
            </w:pPr>
          </w:p>
        </w:tc>
        <w:tc>
          <w:tcPr>
            <w:tcW w:w="2250" w:type="dxa"/>
            <w:gridSpan w:val="2"/>
            <w:tcBorders>
              <w:top w:val="single" w:sz="12" w:space="0" w:color="auto"/>
              <w:left w:val="single" w:sz="4" w:space="0" w:color="auto"/>
              <w:right w:val="single" w:sz="4" w:space="0" w:color="auto"/>
            </w:tcBorders>
            <w:vAlign w:val="bottom"/>
          </w:tcPr>
          <w:p w14:paraId="1F0D4C21" w14:textId="77777777" w:rsidR="00030D6B" w:rsidRPr="00902562" w:rsidRDefault="00030D6B" w:rsidP="00DD1BB5">
            <w:pPr>
              <w:widowControl w:val="0"/>
              <w:spacing w:before="60"/>
              <w:jc w:val="center"/>
              <w:rPr>
                <w:rFonts w:ascii="Arial" w:hAnsi="Arial" w:cs="Arial"/>
                <w:b/>
                <w:bCs/>
                <w:sz w:val="16"/>
                <w:szCs w:val="16"/>
                <w:lang w:val="en-CA"/>
              </w:rPr>
            </w:pPr>
            <w:r>
              <w:rPr>
                <w:rFonts w:ascii="Arial" w:hAnsi="Arial" w:cs="Arial"/>
                <w:b/>
                <w:bCs/>
                <w:sz w:val="16"/>
                <w:szCs w:val="16"/>
                <w:lang w:val="en-CA"/>
              </w:rPr>
              <w:t>Three months ended</w:t>
            </w:r>
          </w:p>
        </w:tc>
        <w:tc>
          <w:tcPr>
            <w:tcW w:w="2340" w:type="dxa"/>
            <w:gridSpan w:val="2"/>
            <w:tcBorders>
              <w:top w:val="single" w:sz="12" w:space="0" w:color="auto"/>
              <w:left w:val="single" w:sz="4" w:space="0" w:color="auto"/>
              <w:right w:val="single" w:sz="4" w:space="0" w:color="auto"/>
            </w:tcBorders>
            <w:vAlign w:val="bottom"/>
          </w:tcPr>
          <w:p w14:paraId="5C2E5C70" w14:textId="77777777" w:rsidR="00030D6B" w:rsidRPr="00902562" w:rsidRDefault="00030D6B" w:rsidP="00DD1BB5">
            <w:pPr>
              <w:widowControl w:val="0"/>
              <w:spacing w:before="60"/>
              <w:jc w:val="center"/>
              <w:rPr>
                <w:rFonts w:ascii="Arial" w:hAnsi="Arial" w:cs="Arial"/>
                <w:b/>
                <w:bCs/>
                <w:sz w:val="16"/>
                <w:szCs w:val="16"/>
                <w:lang w:val="en-CA"/>
              </w:rPr>
            </w:pPr>
            <w:r>
              <w:rPr>
                <w:rFonts w:ascii="Arial" w:hAnsi="Arial" w:cs="Arial"/>
                <w:b/>
                <w:bCs/>
                <w:sz w:val="16"/>
                <w:szCs w:val="16"/>
                <w:lang w:val="en-CA"/>
              </w:rPr>
              <w:t>Six months ended</w:t>
            </w:r>
          </w:p>
        </w:tc>
      </w:tr>
      <w:tr w:rsidR="00030D6B" w:rsidRPr="00902562" w14:paraId="20387462" w14:textId="77777777" w:rsidTr="00DD1BB5">
        <w:tc>
          <w:tcPr>
            <w:tcW w:w="4765" w:type="dxa"/>
            <w:tcBorders>
              <w:left w:val="single" w:sz="4" w:space="0" w:color="auto"/>
              <w:right w:val="single" w:sz="4" w:space="0" w:color="auto"/>
            </w:tcBorders>
          </w:tcPr>
          <w:p w14:paraId="1A48B6F3" w14:textId="77777777" w:rsidR="00030D6B" w:rsidRPr="00902562" w:rsidRDefault="00030D6B" w:rsidP="00DD1BB5">
            <w:pPr>
              <w:rPr>
                <w:rFonts w:ascii="Arial" w:hAnsi="Arial" w:cs="Arial"/>
                <w:b/>
                <w:sz w:val="16"/>
                <w:szCs w:val="16"/>
                <w:lang w:val="en-CA"/>
              </w:rPr>
            </w:pPr>
          </w:p>
        </w:tc>
        <w:tc>
          <w:tcPr>
            <w:tcW w:w="2250" w:type="dxa"/>
            <w:gridSpan w:val="2"/>
            <w:tcBorders>
              <w:left w:val="single" w:sz="4" w:space="0" w:color="auto"/>
              <w:bottom w:val="single" w:sz="4" w:space="0" w:color="auto"/>
              <w:right w:val="single" w:sz="4" w:space="0" w:color="auto"/>
            </w:tcBorders>
            <w:vAlign w:val="bottom"/>
          </w:tcPr>
          <w:p w14:paraId="729F43FE" w14:textId="77777777" w:rsidR="00030D6B" w:rsidRPr="00902562"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June 30</w:t>
            </w:r>
          </w:p>
        </w:tc>
        <w:tc>
          <w:tcPr>
            <w:tcW w:w="2340" w:type="dxa"/>
            <w:gridSpan w:val="2"/>
            <w:tcBorders>
              <w:left w:val="single" w:sz="4" w:space="0" w:color="auto"/>
              <w:bottom w:val="single" w:sz="4" w:space="0" w:color="auto"/>
              <w:right w:val="single" w:sz="4" w:space="0" w:color="auto"/>
            </w:tcBorders>
            <w:vAlign w:val="bottom"/>
          </w:tcPr>
          <w:p w14:paraId="63005E8F" w14:textId="77777777" w:rsidR="00030D6B" w:rsidRPr="00902562"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June 30</w:t>
            </w:r>
          </w:p>
        </w:tc>
      </w:tr>
      <w:tr w:rsidR="00030D6B" w:rsidRPr="00902562" w14:paraId="7B9DEEB6" w14:textId="77777777" w:rsidTr="00DD1BB5">
        <w:tc>
          <w:tcPr>
            <w:tcW w:w="4765" w:type="dxa"/>
            <w:tcBorders>
              <w:left w:val="single" w:sz="4" w:space="0" w:color="auto"/>
              <w:bottom w:val="single" w:sz="4" w:space="0" w:color="auto"/>
              <w:right w:val="single" w:sz="4" w:space="0" w:color="auto"/>
            </w:tcBorders>
          </w:tcPr>
          <w:p w14:paraId="30D5A4AD" w14:textId="77777777" w:rsidR="00030D6B" w:rsidRPr="00902562" w:rsidRDefault="00030D6B" w:rsidP="00030D6B">
            <w:pPr>
              <w:rPr>
                <w:rFonts w:ascii="Arial" w:hAnsi="Arial" w:cs="Arial"/>
                <w:bCs/>
                <w:sz w:val="16"/>
                <w:szCs w:val="16"/>
                <w:lang w:val="en-CA"/>
              </w:rPr>
            </w:pPr>
          </w:p>
        </w:tc>
        <w:tc>
          <w:tcPr>
            <w:tcW w:w="1170" w:type="dxa"/>
            <w:tcBorders>
              <w:top w:val="single" w:sz="4" w:space="0" w:color="auto"/>
              <w:left w:val="single" w:sz="4" w:space="0" w:color="auto"/>
              <w:bottom w:val="single" w:sz="4" w:space="0" w:color="auto"/>
              <w:right w:val="single" w:sz="4" w:space="0" w:color="auto"/>
            </w:tcBorders>
            <w:vAlign w:val="bottom"/>
          </w:tcPr>
          <w:p w14:paraId="0F1B48DB" w14:textId="6FD2D546" w:rsidR="00030D6B" w:rsidRPr="00902562" w:rsidRDefault="00030D6B" w:rsidP="00030D6B">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Pr>
                <w:rFonts w:ascii="Arial" w:hAnsi="Arial" w:cs="Arial"/>
                <w:b/>
                <w:color w:val="000000"/>
                <w:sz w:val="16"/>
                <w:szCs w:val="16"/>
              </w:rPr>
              <w:t>5</w:t>
            </w:r>
          </w:p>
        </w:tc>
        <w:tc>
          <w:tcPr>
            <w:tcW w:w="1080" w:type="dxa"/>
            <w:tcBorders>
              <w:top w:val="single" w:sz="4" w:space="0" w:color="auto"/>
              <w:left w:val="single" w:sz="4" w:space="0" w:color="auto"/>
              <w:bottom w:val="single" w:sz="4" w:space="0" w:color="auto"/>
              <w:right w:val="single" w:sz="4" w:space="0" w:color="auto"/>
            </w:tcBorders>
            <w:vAlign w:val="bottom"/>
          </w:tcPr>
          <w:p w14:paraId="24C6C264" w14:textId="104070FB" w:rsidR="00030D6B" w:rsidRPr="00902562" w:rsidRDefault="00030D6B" w:rsidP="00030D6B">
            <w:pPr>
              <w:widowControl w:val="0"/>
              <w:ind w:right="72"/>
              <w:jc w:val="center"/>
              <w:rPr>
                <w:rFonts w:ascii="Arial" w:hAnsi="Arial" w:cs="Arial"/>
                <w:b/>
                <w:bCs/>
                <w:sz w:val="16"/>
                <w:szCs w:val="16"/>
                <w:lang w:val="en-CA"/>
              </w:rPr>
            </w:pPr>
            <w:r w:rsidRPr="00C0574C">
              <w:rPr>
                <w:rFonts w:ascii="Arial" w:hAnsi="Arial" w:cs="Arial"/>
                <w:b/>
                <w:color w:val="000000"/>
                <w:sz w:val="16"/>
                <w:szCs w:val="16"/>
              </w:rPr>
              <w:t>202</w:t>
            </w:r>
            <w:r>
              <w:rPr>
                <w:rFonts w:ascii="Arial" w:hAnsi="Arial" w:cs="Arial"/>
                <w:b/>
                <w:color w:val="000000"/>
                <w:sz w:val="16"/>
                <w:szCs w:val="16"/>
              </w:rPr>
              <w:t>4</w:t>
            </w:r>
          </w:p>
        </w:tc>
        <w:tc>
          <w:tcPr>
            <w:tcW w:w="1170" w:type="dxa"/>
            <w:tcBorders>
              <w:top w:val="single" w:sz="4" w:space="0" w:color="auto"/>
              <w:left w:val="single" w:sz="4" w:space="0" w:color="auto"/>
              <w:bottom w:val="single" w:sz="4" w:space="0" w:color="auto"/>
              <w:right w:val="single" w:sz="4" w:space="0" w:color="auto"/>
            </w:tcBorders>
            <w:vAlign w:val="bottom"/>
          </w:tcPr>
          <w:p w14:paraId="781C3F15" w14:textId="3A39EA2B" w:rsidR="00030D6B" w:rsidRPr="00902562" w:rsidRDefault="00030D6B" w:rsidP="00030D6B">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Pr>
                <w:rFonts w:ascii="Arial" w:hAnsi="Arial" w:cs="Arial"/>
                <w:b/>
                <w:color w:val="000000"/>
                <w:sz w:val="16"/>
                <w:szCs w:val="16"/>
              </w:rPr>
              <w:t>5</w:t>
            </w:r>
          </w:p>
        </w:tc>
        <w:tc>
          <w:tcPr>
            <w:tcW w:w="1170" w:type="dxa"/>
            <w:tcBorders>
              <w:top w:val="single" w:sz="4" w:space="0" w:color="auto"/>
              <w:left w:val="single" w:sz="4" w:space="0" w:color="auto"/>
              <w:bottom w:val="single" w:sz="4" w:space="0" w:color="auto"/>
              <w:right w:val="single" w:sz="4" w:space="0" w:color="auto"/>
            </w:tcBorders>
            <w:vAlign w:val="bottom"/>
          </w:tcPr>
          <w:p w14:paraId="6EACF0C7" w14:textId="19E605AE" w:rsidR="00030D6B" w:rsidRPr="00902562" w:rsidRDefault="00030D6B" w:rsidP="00030D6B">
            <w:pPr>
              <w:widowControl w:val="0"/>
              <w:ind w:right="162"/>
              <w:jc w:val="center"/>
              <w:rPr>
                <w:rFonts w:ascii="Arial" w:hAnsi="Arial" w:cs="Arial"/>
                <w:b/>
                <w:bCs/>
                <w:sz w:val="16"/>
                <w:szCs w:val="16"/>
                <w:lang w:val="en-CA"/>
              </w:rPr>
            </w:pPr>
            <w:r w:rsidRPr="00C0574C">
              <w:rPr>
                <w:rFonts w:ascii="Arial" w:hAnsi="Arial" w:cs="Arial"/>
                <w:b/>
                <w:color w:val="000000"/>
                <w:sz w:val="16"/>
                <w:szCs w:val="16"/>
              </w:rPr>
              <w:t>202</w:t>
            </w:r>
            <w:r>
              <w:rPr>
                <w:rFonts w:ascii="Arial" w:hAnsi="Arial" w:cs="Arial"/>
                <w:b/>
                <w:color w:val="000000"/>
                <w:sz w:val="16"/>
                <w:szCs w:val="16"/>
              </w:rPr>
              <w:t>4</w:t>
            </w:r>
          </w:p>
        </w:tc>
      </w:tr>
      <w:tr w:rsidR="007D5010" w:rsidRPr="00C0574C" w14:paraId="0530B85A" w14:textId="77777777" w:rsidTr="006D4CD9">
        <w:tblPrEx>
          <w:tblLook w:val="01E0" w:firstRow="1" w:lastRow="1" w:firstColumn="1" w:lastColumn="1" w:noHBand="0" w:noVBand="0"/>
        </w:tblPrEx>
        <w:tc>
          <w:tcPr>
            <w:tcW w:w="4765" w:type="dxa"/>
            <w:tcBorders>
              <w:top w:val="single" w:sz="4" w:space="0" w:color="auto"/>
              <w:left w:val="single" w:sz="4" w:space="0" w:color="auto"/>
              <w:bottom w:val="single" w:sz="12" w:space="0" w:color="auto"/>
              <w:right w:val="single" w:sz="4" w:space="0" w:color="auto"/>
            </w:tcBorders>
            <w:vAlign w:val="bottom"/>
          </w:tcPr>
          <w:p w14:paraId="74DBB606" w14:textId="77777777" w:rsidR="007D5010" w:rsidRPr="004D30A2" w:rsidRDefault="007D5010" w:rsidP="007D5010">
            <w:pPr>
              <w:spacing w:before="60" w:line="240" w:lineRule="atLeast"/>
              <w:rPr>
                <w:rFonts w:ascii="Arial" w:hAnsi="Arial" w:cs="Arial"/>
                <w:sz w:val="16"/>
                <w:szCs w:val="16"/>
                <w:lang w:val="en-CA"/>
              </w:rPr>
            </w:pPr>
            <w:r>
              <w:rPr>
                <w:rFonts w:ascii="Arial" w:hAnsi="Arial" w:cs="Arial"/>
                <w:sz w:val="16"/>
                <w:szCs w:val="16"/>
                <w:lang w:val="en-CA"/>
              </w:rPr>
              <w:t>Total sales volumes (BOE)</w:t>
            </w:r>
          </w:p>
        </w:tc>
        <w:tc>
          <w:tcPr>
            <w:tcW w:w="1170" w:type="dxa"/>
            <w:tcBorders>
              <w:top w:val="single" w:sz="4" w:space="0" w:color="auto"/>
              <w:left w:val="single" w:sz="4" w:space="0" w:color="auto"/>
              <w:bottom w:val="single" w:sz="12" w:space="0" w:color="auto"/>
              <w:right w:val="single" w:sz="4" w:space="0" w:color="auto"/>
            </w:tcBorders>
            <w:vAlign w:val="bottom"/>
          </w:tcPr>
          <w:p w14:paraId="2BE2F267" w14:textId="06E8CABA" w:rsidR="007D5010" w:rsidRPr="005C528B" w:rsidRDefault="007D5010" w:rsidP="007D5010">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sidRPr="005C528B">
              <w:rPr>
                <w:rFonts w:ascii="Arial" w:hAnsi="Arial" w:cs="Arial"/>
                <w:sz w:val="16"/>
                <w:szCs w:val="16"/>
              </w:rPr>
              <w:t>371,484</w:t>
            </w:r>
          </w:p>
        </w:tc>
        <w:tc>
          <w:tcPr>
            <w:tcW w:w="1080" w:type="dxa"/>
            <w:tcBorders>
              <w:top w:val="single" w:sz="4" w:space="0" w:color="auto"/>
              <w:left w:val="single" w:sz="4" w:space="0" w:color="auto"/>
              <w:bottom w:val="single" w:sz="12" w:space="0" w:color="auto"/>
              <w:right w:val="single" w:sz="4" w:space="0" w:color="auto"/>
            </w:tcBorders>
            <w:vAlign w:val="center"/>
          </w:tcPr>
          <w:p w14:paraId="3C7A1463" w14:textId="5A21FEBA" w:rsidR="007D5010" w:rsidRPr="009464D4" w:rsidRDefault="007D5010" w:rsidP="007D5010">
            <w:pPr>
              <w:pStyle w:val="BodyText2"/>
              <w:widowControl w:val="0"/>
              <w:tabs>
                <w:tab w:val="decimal" w:pos="792"/>
              </w:tabs>
              <w:spacing w:before="60"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121,897</w:t>
            </w:r>
          </w:p>
        </w:tc>
        <w:tc>
          <w:tcPr>
            <w:tcW w:w="1170" w:type="dxa"/>
            <w:tcBorders>
              <w:top w:val="single" w:sz="4" w:space="0" w:color="auto"/>
              <w:left w:val="single" w:sz="4" w:space="0" w:color="auto"/>
              <w:bottom w:val="single" w:sz="12" w:space="0" w:color="auto"/>
              <w:right w:val="single" w:sz="4" w:space="0" w:color="auto"/>
            </w:tcBorders>
            <w:vAlign w:val="bottom"/>
          </w:tcPr>
          <w:p w14:paraId="326CF1EF" w14:textId="57242C2C" w:rsidR="007D5010" w:rsidRPr="005C528B" w:rsidRDefault="007D5010" w:rsidP="007D5010">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756,738</w:t>
            </w:r>
          </w:p>
        </w:tc>
        <w:tc>
          <w:tcPr>
            <w:tcW w:w="1170" w:type="dxa"/>
            <w:tcBorders>
              <w:top w:val="single" w:sz="4" w:space="0" w:color="auto"/>
              <w:left w:val="single" w:sz="4" w:space="0" w:color="auto"/>
              <w:bottom w:val="single" w:sz="12" w:space="0" w:color="auto"/>
              <w:right w:val="single" w:sz="4" w:space="0" w:color="auto"/>
            </w:tcBorders>
            <w:vAlign w:val="center"/>
          </w:tcPr>
          <w:p w14:paraId="188A1ABE" w14:textId="1B313505" w:rsidR="007D5010" w:rsidRPr="009464D4" w:rsidRDefault="007D5010" w:rsidP="007D5010">
            <w:pPr>
              <w:pStyle w:val="BodyText2"/>
              <w:widowControl w:val="0"/>
              <w:tabs>
                <w:tab w:val="decimal" w:pos="972"/>
              </w:tabs>
              <w:spacing w:before="60"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240,377</w:t>
            </w:r>
          </w:p>
        </w:tc>
      </w:tr>
      <w:tr w:rsidR="005C528B" w:rsidRPr="00C0574C" w14:paraId="65D183A5" w14:textId="77777777" w:rsidTr="007003F5">
        <w:tblPrEx>
          <w:tblLook w:val="01E0" w:firstRow="1" w:lastRow="1" w:firstColumn="1" w:lastColumn="1" w:noHBand="0" w:noVBand="0"/>
        </w:tblPrEx>
        <w:trPr>
          <w:trHeight w:val="50"/>
        </w:trPr>
        <w:tc>
          <w:tcPr>
            <w:tcW w:w="4765" w:type="dxa"/>
            <w:tcBorders>
              <w:top w:val="single" w:sz="12" w:space="0" w:color="auto"/>
              <w:left w:val="single" w:sz="4" w:space="0" w:color="auto"/>
              <w:right w:val="single" w:sz="4" w:space="0" w:color="auto"/>
            </w:tcBorders>
            <w:vAlign w:val="bottom"/>
          </w:tcPr>
          <w:p w14:paraId="391D198E" w14:textId="6FA53407" w:rsidR="005C528B" w:rsidRPr="004D30A2" w:rsidRDefault="007003F5" w:rsidP="005C528B">
            <w:pPr>
              <w:spacing w:before="60"/>
              <w:rPr>
                <w:rFonts w:ascii="Arial" w:hAnsi="Arial" w:cs="Arial"/>
                <w:sz w:val="16"/>
                <w:szCs w:val="16"/>
                <w:lang w:val="en-CA"/>
              </w:rPr>
            </w:pPr>
            <w:r>
              <w:rPr>
                <w:rFonts w:ascii="Arial" w:hAnsi="Arial" w:cs="Arial"/>
                <w:sz w:val="16"/>
                <w:szCs w:val="16"/>
                <w:lang w:val="en-CA"/>
              </w:rPr>
              <w:t>Oil</w:t>
            </w:r>
            <w:r w:rsidR="005C528B">
              <w:rPr>
                <w:rFonts w:ascii="Arial" w:hAnsi="Arial" w:cs="Arial"/>
                <w:sz w:val="16"/>
                <w:szCs w:val="16"/>
                <w:lang w:val="en-CA"/>
              </w:rPr>
              <w:t xml:space="preserve"> </w:t>
            </w:r>
            <w:proofErr w:type="spellStart"/>
            <w:r w:rsidR="005C528B">
              <w:rPr>
                <w:rFonts w:ascii="Arial" w:hAnsi="Arial" w:cs="Arial"/>
                <w:sz w:val="16"/>
                <w:szCs w:val="16"/>
                <w:lang w:val="en-CA"/>
              </w:rPr>
              <w:t>bbls</w:t>
            </w:r>
            <w:proofErr w:type="spellEnd"/>
            <w:r w:rsidR="005C528B">
              <w:rPr>
                <w:rFonts w:ascii="Arial" w:hAnsi="Arial" w:cs="Arial"/>
                <w:sz w:val="16"/>
                <w:szCs w:val="16"/>
                <w:lang w:val="en-CA"/>
              </w:rPr>
              <w:t xml:space="preserve"> per day </w:t>
            </w:r>
          </w:p>
        </w:tc>
        <w:tc>
          <w:tcPr>
            <w:tcW w:w="1170" w:type="dxa"/>
            <w:tcBorders>
              <w:top w:val="single" w:sz="12" w:space="0" w:color="auto"/>
              <w:left w:val="single" w:sz="4" w:space="0" w:color="auto"/>
              <w:right w:val="single" w:sz="4" w:space="0" w:color="auto"/>
            </w:tcBorders>
          </w:tcPr>
          <w:p w14:paraId="2C6A33A7" w14:textId="6B1E8210" w:rsidR="005C528B" w:rsidRPr="005C528B" w:rsidRDefault="005C528B" w:rsidP="005C528B">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sidRPr="005C528B">
              <w:rPr>
                <w:rFonts w:ascii="Arial" w:hAnsi="Arial" w:cs="Arial"/>
                <w:color w:val="000000"/>
                <w:sz w:val="16"/>
                <w:szCs w:val="16"/>
              </w:rPr>
              <w:t xml:space="preserve"> 3,422 </w:t>
            </w:r>
          </w:p>
        </w:tc>
        <w:tc>
          <w:tcPr>
            <w:tcW w:w="1080" w:type="dxa"/>
            <w:tcBorders>
              <w:top w:val="single" w:sz="12" w:space="0" w:color="auto"/>
              <w:left w:val="single" w:sz="4" w:space="0" w:color="auto"/>
              <w:right w:val="single" w:sz="4" w:space="0" w:color="auto"/>
            </w:tcBorders>
            <w:vAlign w:val="bottom"/>
          </w:tcPr>
          <w:p w14:paraId="014C6A0F" w14:textId="67BEA0D6" w:rsidR="005C528B" w:rsidRPr="009464D4" w:rsidRDefault="005C528B" w:rsidP="005C528B">
            <w:pPr>
              <w:pStyle w:val="BodyText2"/>
              <w:widowControl w:val="0"/>
              <w:tabs>
                <w:tab w:val="decimal" w:pos="792"/>
              </w:tabs>
              <w:spacing w:before="60"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727</w:t>
            </w:r>
          </w:p>
        </w:tc>
        <w:tc>
          <w:tcPr>
            <w:tcW w:w="1170" w:type="dxa"/>
            <w:tcBorders>
              <w:top w:val="single" w:sz="12" w:space="0" w:color="auto"/>
              <w:left w:val="single" w:sz="4" w:space="0" w:color="auto"/>
              <w:right w:val="single" w:sz="4" w:space="0" w:color="auto"/>
            </w:tcBorders>
          </w:tcPr>
          <w:p w14:paraId="6B8D7380" w14:textId="5A2F589F" w:rsidR="005C528B" w:rsidRPr="005C528B" w:rsidRDefault="005C528B" w:rsidP="005C528B">
            <w:pPr>
              <w:pStyle w:val="BodyText2"/>
              <w:widowControl w:val="0"/>
              <w:tabs>
                <w:tab w:val="decimal" w:pos="792"/>
              </w:tabs>
              <w:spacing w:before="60"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3,511 </w:t>
            </w:r>
          </w:p>
        </w:tc>
        <w:tc>
          <w:tcPr>
            <w:tcW w:w="1170" w:type="dxa"/>
            <w:tcBorders>
              <w:top w:val="single" w:sz="12" w:space="0" w:color="auto"/>
              <w:left w:val="single" w:sz="4" w:space="0" w:color="auto"/>
              <w:right w:val="single" w:sz="4" w:space="0" w:color="auto"/>
            </w:tcBorders>
            <w:vAlign w:val="bottom"/>
          </w:tcPr>
          <w:p w14:paraId="2C94DC3B" w14:textId="26A554DC" w:rsidR="005C528B" w:rsidRPr="009464D4" w:rsidRDefault="005C528B" w:rsidP="005C528B">
            <w:pPr>
              <w:pStyle w:val="BodyText2"/>
              <w:widowControl w:val="0"/>
              <w:tabs>
                <w:tab w:val="left" w:pos="968"/>
              </w:tabs>
              <w:spacing w:before="60"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813</w:t>
            </w:r>
          </w:p>
        </w:tc>
      </w:tr>
      <w:tr w:rsidR="005C528B" w:rsidRPr="00C0574C" w14:paraId="5946630A" w14:textId="77777777" w:rsidTr="006D4CD9">
        <w:tblPrEx>
          <w:tblLook w:val="01E0" w:firstRow="1" w:lastRow="1" w:firstColumn="1" w:lastColumn="1" w:noHBand="0" w:noVBand="0"/>
        </w:tblPrEx>
        <w:tc>
          <w:tcPr>
            <w:tcW w:w="4765" w:type="dxa"/>
            <w:tcBorders>
              <w:left w:val="single" w:sz="4" w:space="0" w:color="auto"/>
              <w:right w:val="single" w:sz="4" w:space="0" w:color="auto"/>
            </w:tcBorders>
            <w:vAlign w:val="bottom"/>
          </w:tcPr>
          <w:p w14:paraId="31B44455" w14:textId="77777777" w:rsidR="005C528B" w:rsidRPr="004D30A2" w:rsidRDefault="005C528B" w:rsidP="005C528B">
            <w:pPr>
              <w:rPr>
                <w:rFonts w:ascii="Arial" w:hAnsi="Arial" w:cs="Arial"/>
                <w:sz w:val="16"/>
                <w:szCs w:val="16"/>
                <w:lang w:val="en-CA"/>
              </w:rPr>
            </w:pPr>
            <w:r>
              <w:rPr>
                <w:rFonts w:ascii="Arial" w:hAnsi="Arial" w:cs="Arial"/>
                <w:sz w:val="16"/>
                <w:szCs w:val="16"/>
                <w:lang w:val="en-CA"/>
              </w:rPr>
              <w:t xml:space="preserve">NGL </w:t>
            </w:r>
            <w:proofErr w:type="spellStart"/>
            <w:r>
              <w:rPr>
                <w:rFonts w:ascii="Arial" w:hAnsi="Arial" w:cs="Arial"/>
                <w:sz w:val="16"/>
                <w:szCs w:val="16"/>
                <w:lang w:val="en-CA"/>
              </w:rPr>
              <w:t>bbls</w:t>
            </w:r>
            <w:proofErr w:type="spellEnd"/>
            <w:r>
              <w:rPr>
                <w:rFonts w:ascii="Arial" w:hAnsi="Arial" w:cs="Arial"/>
                <w:sz w:val="16"/>
                <w:szCs w:val="16"/>
                <w:lang w:val="en-CA"/>
              </w:rPr>
              <w:t xml:space="preserve"> per day </w:t>
            </w:r>
          </w:p>
        </w:tc>
        <w:tc>
          <w:tcPr>
            <w:tcW w:w="1170" w:type="dxa"/>
            <w:tcBorders>
              <w:left w:val="single" w:sz="4" w:space="0" w:color="auto"/>
              <w:right w:val="single" w:sz="4" w:space="0" w:color="auto"/>
            </w:tcBorders>
          </w:tcPr>
          <w:p w14:paraId="6BAE403A" w14:textId="65AE5230"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color w:val="000000"/>
                <w:sz w:val="16"/>
                <w:szCs w:val="16"/>
              </w:rPr>
              <w:t xml:space="preserve"> 16 </w:t>
            </w:r>
          </w:p>
        </w:tc>
        <w:tc>
          <w:tcPr>
            <w:tcW w:w="1080" w:type="dxa"/>
            <w:tcBorders>
              <w:left w:val="single" w:sz="4" w:space="0" w:color="auto"/>
              <w:right w:val="single" w:sz="4" w:space="0" w:color="auto"/>
            </w:tcBorders>
            <w:vAlign w:val="bottom"/>
          </w:tcPr>
          <w:p w14:paraId="16E2D8A0" w14:textId="36E87BE1" w:rsidR="005C528B" w:rsidRPr="009464D4" w:rsidRDefault="005C528B" w:rsidP="005C528B">
            <w:pPr>
              <w:pStyle w:val="BodyText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13</w:t>
            </w:r>
          </w:p>
        </w:tc>
        <w:tc>
          <w:tcPr>
            <w:tcW w:w="1170" w:type="dxa"/>
            <w:tcBorders>
              <w:left w:val="single" w:sz="4" w:space="0" w:color="auto"/>
              <w:right w:val="single" w:sz="4" w:space="0" w:color="auto"/>
            </w:tcBorders>
          </w:tcPr>
          <w:p w14:paraId="179D26CD" w14:textId="15606BDB"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12 </w:t>
            </w:r>
          </w:p>
        </w:tc>
        <w:tc>
          <w:tcPr>
            <w:tcW w:w="1170" w:type="dxa"/>
            <w:tcBorders>
              <w:left w:val="single" w:sz="4" w:space="0" w:color="auto"/>
              <w:right w:val="single" w:sz="4" w:space="0" w:color="auto"/>
            </w:tcBorders>
            <w:vAlign w:val="bottom"/>
          </w:tcPr>
          <w:p w14:paraId="02E6548D" w14:textId="585AA606" w:rsidR="005C528B" w:rsidRPr="009464D4" w:rsidRDefault="005C528B" w:rsidP="005C528B">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19</w:t>
            </w:r>
          </w:p>
        </w:tc>
      </w:tr>
      <w:tr w:rsidR="005C528B" w:rsidRPr="00C0574C" w14:paraId="05B3079F" w14:textId="77777777" w:rsidTr="006D4CD9">
        <w:tblPrEx>
          <w:tblLook w:val="01E0" w:firstRow="1" w:lastRow="1" w:firstColumn="1" w:lastColumn="1" w:noHBand="0" w:noVBand="0"/>
        </w:tblPrEx>
        <w:tc>
          <w:tcPr>
            <w:tcW w:w="4765" w:type="dxa"/>
            <w:tcBorders>
              <w:left w:val="single" w:sz="4" w:space="0" w:color="auto"/>
              <w:bottom w:val="single" w:sz="4" w:space="0" w:color="auto"/>
              <w:right w:val="single" w:sz="4" w:space="0" w:color="auto"/>
            </w:tcBorders>
            <w:vAlign w:val="bottom"/>
          </w:tcPr>
          <w:p w14:paraId="7C524ADA" w14:textId="77777777" w:rsidR="005C528B" w:rsidRPr="004D30A2" w:rsidRDefault="005C528B" w:rsidP="005C528B">
            <w:pPr>
              <w:rPr>
                <w:rFonts w:ascii="Arial" w:hAnsi="Arial" w:cs="Arial"/>
                <w:sz w:val="16"/>
                <w:szCs w:val="16"/>
                <w:lang w:val="en-CA"/>
              </w:rPr>
            </w:pPr>
            <w:r>
              <w:rPr>
                <w:rFonts w:ascii="Arial" w:hAnsi="Arial" w:cs="Arial"/>
                <w:sz w:val="16"/>
                <w:szCs w:val="16"/>
                <w:lang w:val="en-CA"/>
              </w:rPr>
              <w:t xml:space="preserve">Natural gas mcf per day </w:t>
            </w:r>
          </w:p>
        </w:tc>
        <w:tc>
          <w:tcPr>
            <w:tcW w:w="1170" w:type="dxa"/>
            <w:tcBorders>
              <w:left w:val="single" w:sz="4" w:space="0" w:color="auto"/>
              <w:bottom w:val="single" w:sz="4" w:space="0" w:color="auto"/>
              <w:right w:val="single" w:sz="4" w:space="0" w:color="auto"/>
            </w:tcBorders>
          </w:tcPr>
          <w:p w14:paraId="7C0E8454" w14:textId="240B1D8F"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color w:val="000000"/>
                <w:sz w:val="16"/>
                <w:szCs w:val="16"/>
              </w:rPr>
              <w:t xml:space="preserve"> 3,867 </w:t>
            </w:r>
          </w:p>
        </w:tc>
        <w:tc>
          <w:tcPr>
            <w:tcW w:w="1080" w:type="dxa"/>
            <w:tcBorders>
              <w:left w:val="single" w:sz="4" w:space="0" w:color="auto"/>
              <w:bottom w:val="single" w:sz="4" w:space="0" w:color="auto"/>
              <w:right w:val="single" w:sz="4" w:space="0" w:color="auto"/>
            </w:tcBorders>
            <w:vAlign w:val="bottom"/>
          </w:tcPr>
          <w:p w14:paraId="53F78386" w14:textId="667B7B80" w:rsidR="005C528B" w:rsidRPr="009464D4" w:rsidRDefault="005C528B" w:rsidP="005C528B">
            <w:pPr>
              <w:pStyle w:val="BodyText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3,597</w:t>
            </w:r>
          </w:p>
        </w:tc>
        <w:tc>
          <w:tcPr>
            <w:tcW w:w="1170" w:type="dxa"/>
            <w:tcBorders>
              <w:left w:val="single" w:sz="4" w:space="0" w:color="auto"/>
              <w:bottom w:val="single" w:sz="4" w:space="0" w:color="auto"/>
              <w:right w:val="single" w:sz="4" w:space="0" w:color="auto"/>
            </w:tcBorders>
          </w:tcPr>
          <w:p w14:paraId="597D9301" w14:textId="26DCE983"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3,947 </w:t>
            </w:r>
          </w:p>
        </w:tc>
        <w:tc>
          <w:tcPr>
            <w:tcW w:w="1170" w:type="dxa"/>
            <w:tcBorders>
              <w:left w:val="single" w:sz="4" w:space="0" w:color="auto"/>
              <w:bottom w:val="single" w:sz="4" w:space="0" w:color="auto"/>
              <w:right w:val="single" w:sz="4" w:space="0" w:color="auto"/>
            </w:tcBorders>
            <w:vAlign w:val="bottom"/>
          </w:tcPr>
          <w:p w14:paraId="417D79B6" w14:textId="1F5506D8" w:rsidR="005C528B" w:rsidRPr="009464D4" w:rsidRDefault="005C528B" w:rsidP="005C528B">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2,933</w:t>
            </w:r>
          </w:p>
        </w:tc>
      </w:tr>
      <w:tr w:rsidR="005C528B" w:rsidRPr="00C0574C" w14:paraId="463288AE" w14:textId="77777777" w:rsidTr="006D4CD9">
        <w:tblPrEx>
          <w:tblLook w:val="01E0" w:firstRow="1" w:lastRow="1" w:firstColumn="1" w:lastColumn="1" w:noHBand="0" w:noVBand="0"/>
        </w:tblPrEx>
        <w:trPr>
          <w:trHeight w:val="278"/>
        </w:trPr>
        <w:tc>
          <w:tcPr>
            <w:tcW w:w="4765" w:type="dxa"/>
            <w:tcBorders>
              <w:top w:val="single" w:sz="4" w:space="0" w:color="auto"/>
              <w:left w:val="single" w:sz="4" w:space="0" w:color="auto"/>
              <w:bottom w:val="single" w:sz="12" w:space="0" w:color="auto"/>
              <w:right w:val="single" w:sz="4" w:space="0" w:color="auto"/>
            </w:tcBorders>
            <w:vAlign w:val="bottom"/>
          </w:tcPr>
          <w:p w14:paraId="403823B2" w14:textId="77777777" w:rsidR="005C528B" w:rsidRPr="004D30A2" w:rsidRDefault="005C528B" w:rsidP="005C528B">
            <w:pPr>
              <w:rPr>
                <w:rFonts w:ascii="Arial" w:hAnsi="Arial" w:cs="Arial"/>
                <w:sz w:val="16"/>
                <w:szCs w:val="16"/>
                <w:lang w:val="en-CA"/>
              </w:rPr>
            </w:pPr>
            <w:r>
              <w:rPr>
                <w:rFonts w:ascii="Arial" w:hAnsi="Arial" w:cs="Arial"/>
                <w:sz w:val="16"/>
                <w:szCs w:val="16"/>
                <w:lang w:val="en-CA"/>
              </w:rPr>
              <w:t>Total BOE per day</w:t>
            </w:r>
          </w:p>
        </w:tc>
        <w:tc>
          <w:tcPr>
            <w:tcW w:w="1170" w:type="dxa"/>
            <w:tcBorders>
              <w:top w:val="single" w:sz="4" w:space="0" w:color="auto"/>
              <w:left w:val="single" w:sz="4" w:space="0" w:color="auto"/>
              <w:bottom w:val="single" w:sz="12" w:space="0" w:color="auto"/>
              <w:right w:val="single" w:sz="4" w:space="0" w:color="auto"/>
            </w:tcBorders>
          </w:tcPr>
          <w:p w14:paraId="44BE41B3" w14:textId="64511C52"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color w:val="000000"/>
                <w:sz w:val="16"/>
                <w:szCs w:val="16"/>
              </w:rPr>
              <w:t xml:space="preserve"> 4,083 </w:t>
            </w:r>
          </w:p>
        </w:tc>
        <w:tc>
          <w:tcPr>
            <w:tcW w:w="1080" w:type="dxa"/>
            <w:tcBorders>
              <w:top w:val="single" w:sz="4" w:space="0" w:color="auto"/>
              <w:left w:val="single" w:sz="4" w:space="0" w:color="auto"/>
              <w:bottom w:val="single" w:sz="12" w:space="0" w:color="auto"/>
              <w:right w:val="single" w:sz="4" w:space="0" w:color="auto"/>
            </w:tcBorders>
            <w:vAlign w:val="center"/>
          </w:tcPr>
          <w:p w14:paraId="51EB484B" w14:textId="1E67227E" w:rsidR="005C528B" w:rsidRPr="009464D4" w:rsidRDefault="005C528B" w:rsidP="005C528B">
            <w:pPr>
              <w:pStyle w:val="BodyText2"/>
              <w:widowControl w:val="0"/>
              <w:tabs>
                <w:tab w:val="decimal" w:pos="792"/>
              </w:tabs>
              <w:spacing w:after="0" w:line="240" w:lineRule="atLeast"/>
              <w:ind w:right="72"/>
              <w:jc w:val="right"/>
              <w:rPr>
                <w:rFonts w:ascii="Arial" w:hAnsi="Arial" w:cs="Arial"/>
                <w:color w:val="000000"/>
                <w:sz w:val="16"/>
                <w:szCs w:val="16"/>
                <w:lang w:val="en-CA"/>
              </w:rPr>
            </w:pPr>
            <w:r w:rsidRPr="009464D4">
              <w:rPr>
                <w:rFonts w:ascii="Arial" w:hAnsi="Arial" w:cs="Arial"/>
                <w:color w:val="000000"/>
                <w:sz w:val="16"/>
                <w:szCs w:val="16"/>
              </w:rPr>
              <w:t>1,340</w:t>
            </w:r>
          </w:p>
        </w:tc>
        <w:tc>
          <w:tcPr>
            <w:tcW w:w="1170" w:type="dxa"/>
            <w:tcBorders>
              <w:top w:val="single" w:sz="4" w:space="0" w:color="auto"/>
              <w:left w:val="single" w:sz="4" w:space="0" w:color="auto"/>
              <w:bottom w:val="single" w:sz="12" w:space="0" w:color="auto"/>
              <w:right w:val="single" w:sz="4" w:space="0" w:color="auto"/>
            </w:tcBorders>
          </w:tcPr>
          <w:p w14:paraId="4A413E09" w14:textId="133A0442" w:rsidR="005C528B" w:rsidRPr="005C528B" w:rsidRDefault="005C528B" w:rsidP="005C528B">
            <w:pPr>
              <w:pStyle w:val="BodyText2"/>
              <w:widowControl w:val="0"/>
              <w:tabs>
                <w:tab w:val="decimal" w:pos="792"/>
              </w:tabs>
              <w:spacing w:after="0" w:line="240" w:lineRule="atLeast"/>
              <w:ind w:right="162"/>
              <w:jc w:val="right"/>
              <w:rPr>
                <w:rFonts w:ascii="Arial" w:hAnsi="Arial" w:cs="Arial"/>
                <w:color w:val="000000"/>
                <w:sz w:val="16"/>
                <w:szCs w:val="16"/>
                <w:lang w:val="en-CA"/>
              </w:rPr>
            </w:pPr>
            <w:r w:rsidRPr="005C528B">
              <w:rPr>
                <w:rFonts w:ascii="Arial" w:hAnsi="Arial" w:cs="Arial"/>
                <w:sz w:val="16"/>
                <w:szCs w:val="16"/>
              </w:rPr>
              <w:t xml:space="preserve"> 4,181 </w:t>
            </w:r>
          </w:p>
        </w:tc>
        <w:tc>
          <w:tcPr>
            <w:tcW w:w="1170" w:type="dxa"/>
            <w:tcBorders>
              <w:top w:val="single" w:sz="4" w:space="0" w:color="auto"/>
              <w:left w:val="single" w:sz="4" w:space="0" w:color="auto"/>
              <w:bottom w:val="single" w:sz="12" w:space="0" w:color="auto"/>
              <w:right w:val="single" w:sz="4" w:space="0" w:color="auto"/>
            </w:tcBorders>
            <w:vAlign w:val="center"/>
          </w:tcPr>
          <w:p w14:paraId="43F5C27A" w14:textId="06DDFAB7" w:rsidR="005C528B" w:rsidRPr="009464D4" w:rsidRDefault="005C528B" w:rsidP="005C528B">
            <w:pPr>
              <w:pStyle w:val="BodyText2"/>
              <w:widowControl w:val="0"/>
              <w:tabs>
                <w:tab w:val="left" w:pos="968"/>
              </w:tabs>
              <w:spacing w:after="0" w:line="240" w:lineRule="atLeast"/>
              <w:ind w:right="162"/>
              <w:jc w:val="right"/>
              <w:rPr>
                <w:rFonts w:ascii="Arial" w:hAnsi="Arial" w:cs="Arial"/>
                <w:color w:val="000000"/>
                <w:sz w:val="16"/>
                <w:szCs w:val="16"/>
                <w:lang w:val="en-CA"/>
              </w:rPr>
            </w:pPr>
            <w:r w:rsidRPr="009464D4">
              <w:rPr>
                <w:rFonts w:ascii="Arial" w:hAnsi="Arial" w:cs="Arial"/>
                <w:color w:val="000000"/>
                <w:sz w:val="16"/>
                <w:szCs w:val="16"/>
              </w:rPr>
              <w:t>1,321</w:t>
            </w:r>
          </w:p>
        </w:tc>
      </w:tr>
    </w:tbl>
    <w:p w14:paraId="2C7306CA" w14:textId="36C08A53" w:rsidR="00030D6B" w:rsidRPr="005C528B" w:rsidRDefault="00030D6B" w:rsidP="00D02275">
      <w:pPr>
        <w:rPr>
          <w:rFonts w:ascii="Arial" w:hAnsi="Arial" w:cs="Arial"/>
          <w:bCs/>
          <w:sz w:val="20"/>
          <w:szCs w:val="20"/>
          <w:lang w:val="en-CA"/>
        </w:rPr>
      </w:pPr>
    </w:p>
    <w:p w14:paraId="0AF81483" w14:textId="5C157023" w:rsidR="00570F49" w:rsidRDefault="00570F49" w:rsidP="00D75BB8">
      <w:pPr>
        <w:tabs>
          <w:tab w:val="left" w:pos="426"/>
        </w:tabs>
        <w:spacing w:before="240" w:after="120"/>
        <w:rPr>
          <w:rFonts w:ascii="Arial" w:hAnsi="Arial" w:cs="Arial"/>
          <w:bCs/>
          <w:sz w:val="18"/>
          <w:szCs w:val="18"/>
          <w:lang w:val="en-CA"/>
        </w:rPr>
      </w:pPr>
      <w:r>
        <w:rPr>
          <w:rFonts w:ascii="Arial" w:hAnsi="Arial" w:cs="Arial"/>
          <w:b/>
          <w:sz w:val="18"/>
          <w:szCs w:val="18"/>
          <w:lang w:val="en-CA"/>
        </w:rPr>
        <w:t xml:space="preserve">Operating Netback </w:t>
      </w:r>
      <w:r>
        <w:rPr>
          <w:rFonts w:ascii="Arial" w:hAnsi="Arial" w:cs="Arial"/>
          <w:bCs/>
          <w:sz w:val="18"/>
          <w:szCs w:val="18"/>
          <w:vertAlign w:val="superscript"/>
          <w:lang w:val="en-CA"/>
        </w:rPr>
        <w:t xml:space="preserve">(1) </w:t>
      </w:r>
      <w:r>
        <w:rPr>
          <w:rFonts w:ascii="Arial" w:hAnsi="Arial" w:cs="Arial"/>
          <w:bCs/>
          <w:sz w:val="18"/>
          <w:szCs w:val="18"/>
          <w:lang w:val="en-CA"/>
        </w:rPr>
        <w:t xml:space="preserve"> </w:t>
      </w:r>
    </w:p>
    <w:tbl>
      <w:tblPr>
        <w:tblW w:w="9918" w:type="dxa"/>
        <w:tblLayout w:type="fixed"/>
        <w:tblLook w:val="04A0" w:firstRow="1" w:lastRow="0" w:firstColumn="1" w:lastColumn="0" w:noHBand="0" w:noVBand="1"/>
      </w:tblPr>
      <w:tblGrid>
        <w:gridCol w:w="2425"/>
        <w:gridCol w:w="990"/>
        <w:gridCol w:w="124"/>
        <w:gridCol w:w="709"/>
        <w:gridCol w:w="967"/>
        <w:gridCol w:w="124"/>
        <w:gridCol w:w="752"/>
        <w:gridCol w:w="1104"/>
        <w:gridCol w:w="124"/>
        <w:gridCol w:w="756"/>
        <w:gridCol w:w="992"/>
        <w:gridCol w:w="124"/>
        <w:gridCol w:w="727"/>
      </w:tblGrid>
      <w:tr w:rsidR="00030D6B" w:rsidRPr="001F4B94" w14:paraId="2ECC05F6" w14:textId="77777777" w:rsidTr="007D5010">
        <w:tc>
          <w:tcPr>
            <w:tcW w:w="2425" w:type="dxa"/>
            <w:tcBorders>
              <w:top w:val="single" w:sz="12" w:space="0" w:color="auto"/>
              <w:left w:val="single" w:sz="4" w:space="0" w:color="auto"/>
              <w:right w:val="single" w:sz="4" w:space="0" w:color="auto"/>
            </w:tcBorders>
            <w:vAlign w:val="bottom"/>
          </w:tcPr>
          <w:p w14:paraId="0CA986F0" w14:textId="77777777" w:rsidR="00030D6B" w:rsidRPr="006752C5" w:rsidRDefault="00030D6B" w:rsidP="00DD1BB5">
            <w:pPr>
              <w:rPr>
                <w:rFonts w:ascii="Arial" w:hAnsi="Arial" w:cs="Arial"/>
                <w:b/>
                <w:bCs/>
                <w:sz w:val="16"/>
                <w:szCs w:val="16"/>
                <w:lang w:val="en-CA"/>
              </w:rPr>
            </w:pPr>
          </w:p>
        </w:tc>
        <w:tc>
          <w:tcPr>
            <w:tcW w:w="3666" w:type="dxa"/>
            <w:gridSpan w:val="6"/>
            <w:tcBorders>
              <w:top w:val="single" w:sz="12" w:space="0" w:color="auto"/>
              <w:left w:val="single" w:sz="4" w:space="0" w:color="auto"/>
              <w:right w:val="single" w:sz="4" w:space="0" w:color="auto"/>
            </w:tcBorders>
            <w:vAlign w:val="bottom"/>
          </w:tcPr>
          <w:p w14:paraId="5EAA5630" w14:textId="77777777" w:rsidR="00030D6B" w:rsidRPr="006752C5" w:rsidRDefault="00030D6B" w:rsidP="00DD1BB5">
            <w:pPr>
              <w:widowControl w:val="0"/>
              <w:spacing w:before="60"/>
              <w:jc w:val="center"/>
              <w:rPr>
                <w:rFonts w:ascii="Arial" w:hAnsi="Arial" w:cs="Arial"/>
                <w:b/>
                <w:bCs/>
                <w:sz w:val="16"/>
                <w:szCs w:val="16"/>
                <w:lang w:val="en-CA"/>
              </w:rPr>
            </w:pPr>
            <w:r>
              <w:rPr>
                <w:rFonts w:ascii="Arial" w:hAnsi="Arial" w:cs="Arial"/>
                <w:b/>
                <w:bCs/>
                <w:sz w:val="16"/>
                <w:szCs w:val="16"/>
                <w:lang w:val="en-CA"/>
              </w:rPr>
              <w:t>Three months ended</w:t>
            </w:r>
          </w:p>
        </w:tc>
        <w:tc>
          <w:tcPr>
            <w:tcW w:w="3827" w:type="dxa"/>
            <w:gridSpan w:val="6"/>
            <w:tcBorders>
              <w:top w:val="single" w:sz="12" w:space="0" w:color="auto"/>
              <w:left w:val="single" w:sz="4" w:space="0" w:color="auto"/>
              <w:right w:val="single" w:sz="4" w:space="0" w:color="auto"/>
            </w:tcBorders>
            <w:vAlign w:val="bottom"/>
          </w:tcPr>
          <w:p w14:paraId="47B967B2" w14:textId="77777777" w:rsidR="00030D6B" w:rsidRPr="006752C5" w:rsidRDefault="00030D6B" w:rsidP="00DD1BB5">
            <w:pPr>
              <w:widowControl w:val="0"/>
              <w:spacing w:before="60"/>
              <w:jc w:val="center"/>
              <w:rPr>
                <w:rFonts w:ascii="Arial" w:hAnsi="Arial" w:cs="Arial"/>
                <w:b/>
                <w:bCs/>
                <w:sz w:val="16"/>
                <w:szCs w:val="16"/>
                <w:lang w:val="en-CA"/>
              </w:rPr>
            </w:pPr>
            <w:r>
              <w:rPr>
                <w:rFonts w:ascii="Arial" w:hAnsi="Arial" w:cs="Arial"/>
                <w:b/>
                <w:bCs/>
                <w:sz w:val="16"/>
                <w:szCs w:val="16"/>
                <w:lang w:val="en-CA"/>
              </w:rPr>
              <w:t>Six months ended</w:t>
            </w:r>
          </w:p>
        </w:tc>
      </w:tr>
      <w:tr w:rsidR="00030D6B" w:rsidRPr="001F4B94" w14:paraId="7D250BD2" w14:textId="77777777" w:rsidTr="007D5010">
        <w:tc>
          <w:tcPr>
            <w:tcW w:w="2425" w:type="dxa"/>
            <w:tcBorders>
              <w:left w:val="single" w:sz="4" w:space="0" w:color="auto"/>
              <w:right w:val="single" w:sz="4" w:space="0" w:color="auto"/>
            </w:tcBorders>
            <w:vAlign w:val="bottom"/>
          </w:tcPr>
          <w:p w14:paraId="640D703A" w14:textId="77777777" w:rsidR="00030D6B" w:rsidRPr="006752C5" w:rsidRDefault="00030D6B" w:rsidP="00DD1BB5">
            <w:pPr>
              <w:rPr>
                <w:rFonts w:ascii="Arial" w:hAnsi="Arial" w:cs="Arial"/>
                <w:bCs/>
                <w:sz w:val="16"/>
                <w:szCs w:val="16"/>
                <w:lang w:val="en-CA"/>
              </w:rPr>
            </w:pPr>
          </w:p>
        </w:tc>
        <w:tc>
          <w:tcPr>
            <w:tcW w:w="3666" w:type="dxa"/>
            <w:gridSpan w:val="6"/>
            <w:tcBorders>
              <w:left w:val="single" w:sz="4" w:space="0" w:color="auto"/>
              <w:bottom w:val="single" w:sz="4" w:space="0" w:color="auto"/>
              <w:right w:val="single" w:sz="4" w:space="0" w:color="auto"/>
            </w:tcBorders>
            <w:vAlign w:val="bottom"/>
          </w:tcPr>
          <w:p w14:paraId="7297544F" w14:textId="77777777" w:rsidR="00030D6B" w:rsidRPr="006752C5"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June 30</w:t>
            </w:r>
          </w:p>
        </w:tc>
        <w:tc>
          <w:tcPr>
            <w:tcW w:w="3827" w:type="dxa"/>
            <w:gridSpan w:val="6"/>
            <w:tcBorders>
              <w:left w:val="single" w:sz="4" w:space="0" w:color="auto"/>
              <w:bottom w:val="single" w:sz="4" w:space="0" w:color="auto"/>
              <w:right w:val="single" w:sz="4" w:space="0" w:color="auto"/>
            </w:tcBorders>
            <w:vAlign w:val="bottom"/>
          </w:tcPr>
          <w:p w14:paraId="328A427A" w14:textId="77777777" w:rsidR="00030D6B" w:rsidRPr="006752C5" w:rsidRDefault="00030D6B" w:rsidP="00DD1BB5">
            <w:pPr>
              <w:widowControl w:val="0"/>
              <w:jc w:val="center"/>
              <w:rPr>
                <w:rFonts w:ascii="Arial" w:hAnsi="Arial" w:cs="Arial"/>
                <w:b/>
                <w:bCs/>
                <w:sz w:val="16"/>
                <w:szCs w:val="16"/>
                <w:lang w:val="en-CA"/>
              </w:rPr>
            </w:pPr>
            <w:r>
              <w:rPr>
                <w:rFonts w:ascii="Arial" w:hAnsi="Arial" w:cs="Arial"/>
                <w:b/>
                <w:bCs/>
                <w:sz w:val="16"/>
                <w:szCs w:val="16"/>
                <w:lang w:val="en-CA"/>
              </w:rPr>
              <w:t>June 30</w:t>
            </w:r>
          </w:p>
        </w:tc>
      </w:tr>
      <w:tr w:rsidR="00030D6B" w:rsidRPr="001F4B94" w14:paraId="08F57695" w14:textId="77777777" w:rsidTr="007D5010">
        <w:trPr>
          <w:trHeight w:val="287"/>
        </w:trPr>
        <w:tc>
          <w:tcPr>
            <w:tcW w:w="2425" w:type="dxa"/>
            <w:tcBorders>
              <w:left w:val="single" w:sz="4" w:space="0" w:color="auto"/>
              <w:right w:val="single" w:sz="4" w:space="0" w:color="auto"/>
            </w:tcBorders>
            <w:vAlign w:val="bottom"/>
          </w:tcPr>
          <w:p w14:paraId="11437EC3" w14:textId="77777777" w:rsidR="00030D6B" w:rsidRPr="006752C5" w:rsidRDefault="00030D6B" w:rsidP="00DD1BB5">
            <w:pPr>
              <w:rPr>
                <w:rFonts w:ascii="Arial" w:hAnsi="Arial" w:cs="Arial"/>
                <w:bCs/>
                <w:sz w:val="16"/>
                <w:szCs w:val="16"/>
                <w:lang w:val="en-CA"/>
              </w:rPr>
            </w:pPr>
          </w:p>
        </w:tc>
        <w:tc>
          <w:tcPr>
            <w:tcW w:w="1823" w:type="dxa"/>
            <w:gridSpan w:val="3"/>
            <w:tcBorders>
              <w:top w:val="single" w:sz="4" w:space="0" w:color="auto"/>
              <w:left w:val="single" w:sz="4" w:space="0" w:color="auto"/>
              <w:right w:val="single" w:sz="4" w:space="0" w:color="auto"/>
            </w:tcBorders>
            <w:vAlign w:val="bottom"/>
          </w:tcPr>
          <w:p w14:paraId="6562C1E6" w14:textId="63AA2C70" w:rsidR="00030D6B" w:rsidRPr="006752C5" w:rsidRDefault="00030D6B" w:rsidP="00DD1BB5">
            <w:pPr>
              <w:widowControl w:val="0"/>
              <w:jc w:val="center"/>
              <w:rPr>
                <w:rFonts w:ascii="Arial" w:hAnsi="Arial" w:cs="Arial"/>
                <w:b/>
                <w:bCs/>
                <w:sz w:val="16"/>
                <w:szCs w:val="16"/>
                <w:lang w:val="en-CA"/>
              </w:rPr>
            </w:pPr>
            <w:r w:rsidRPr="00C0574C">
              <w:rPr>
                <w:rFonts w:ascii="Arial" w:hAnsi="Arial" w:cs="Arial"/>
                <w:b/>
                <w:color w:val="000000"/>
                <w:sz w:val="16"/>
                <w:szCs w:val="16"/>
              </w:rPr>
              <w:t>202</w:t>
            </w:r>
            <w:r>
              <w:rPr>
                <w:rFonts w:ascii="Arial" w:hAnsi="Arial" w:cs="Arial"/>
                <w:b/>
                <w:color w:val="000000"/>
                <w:sz w:val="16"/>
                <w:szCs w:val="16"/>
              </w:rPr>
              <w:t>5</w:t>
            </w:r>
          </w:p>
        </w:tc>
        <w:tc>
          <w:tcPr>
            <w:tcW w:w="1843" w:type="dxa"/>
            <w:gridSpan w:val="3"/>
            <w:tcBorders>
              <w:top w:val="single" w:sz="4" w:space="0" w:color="auto"/>
              <w:left w:val="single" w:sz="4" w:space="0" w:color="auto"/>
              <w:right w:val="single" w:sz="4" w:space="0" w:color="auto"/>
            </w:tcBorders>
            <w:vAlign w:val="bottom"/>
          </w:tcPr>
          <w:p w14:paraId="18B58433" w14:textId="5D94A82F" w:rsidR="00030D6B" w:rsidRPr="006752C5" w:rsidRDefault="00030D6B" w:rsidP="00DD1BB5">
            <w:pPr>
              <w:widowControl w:val="0"/>
              <w:jc w:val="center"/>
              <w:rPr>
                <w:rFonts w:ascii="Arial" w:hAnsi="Arial" w:cs="Arial"/>
                <w:b/>
                <w:bCs/>
                <w:sz w:val="16"/>
                <w:szCs w:val="16"/>
                <w:lang w:val="en-CA"/>
              </w:rPr>
            </w:pPr>
            <w:r>
              <w:rPr>
                <w:rFonts w:ascii="Arial" w:hAnsi="Arial" w:cs="Arial"/>
                <w:b/>
                <w:color w:val="000000"/>
                <w:sz w:val="16"/>
                <w:szCs w:val="16"/>
              </w:rPr>
              <w:t>2024</w:t>
            </w:r>
          </w:p>
        </w:tc>
        <w:tc>
          <w:tcPr>
            <w:tcW w:w="1984" w:type="dxa"/>
            <w:gridSpan w:val="3"/>
            <w:tcBorders>
              <w:top w:val="single" w:sz="4" w:space="0" w:color="auto"/>
              <w:left w:val="single" w:sz="4" w:space="0" w:color="auto"/>
              <w:bottom w:val="single" w:sz="4" w:space="0" w:color="auto"/>
              <w:right w:val="single" w:sz="4" w:space="0" w:color="auto"/>
            </w:tcBorders>
            <w:vAlign w:val="bottom"/>
          </w:tcPr>
          <w:p w14:paraId="069D64BC" w14:textId="058B2A5D" w:rsidR="00030D6B" w:rsidRPr="006752C5" w:rsidRDefault="00030D6B" w:rsidP="00DD1BB5">
            <w:pPr>
              <w:jc w:val="center"/>
              <w:rPr>
                <w:rFonts w:ascii="Arial" w:hAnsi="Arial" w:cs="Arial"/>
                <w:b/>
                <w:bCs/>
                <w:sz w:val="16"/>
                <w:szCs w:val="16"/>
                <w:lang w:val="en-CA"/>
              </w:rPr>
            </w:pPr>
            <w:r>
              <w:rPr>
                <w:rFonts w:ascii="Arial" w:hAnsi="Arial" w:cs="Arial"/>
                <w:b/>
                <w:color w:val="000000"/>
                <w:sz w:val="16"/>
                <w:szCs w:val="16"/>
              </w:rPr>
              <w:t>2025</w:t>
            </w:r>
          </w:p>
        </w:tc>
        <w:tc>
          <w:tcPr>
            <w:tcW w:w="1843" w:type="dxa"/>
            <w:gridSpan w:val="3"/>
            <w:tcBorders>
              <w:top w:val="single" w:sz="4" w:space="0" w:color="auto"/>
              <w:left w:val="single" w:sz="4" w:space="0" w:color="auto"/>
              <w:bottom w:val="single" w:sz="4" w:space="0" w:color="auto"/>
              <w:right w:val="single" w:sz="4" w:space="0" w:color="auto"/>
            </w:tcBorders>
            <w:vAlign w:val="bottom"/>
          </w:tcPr>
          <w:p w14:paraId="5F2E295B" w14:textId="0A2D3A8E" w:rsidR="00030D6B" w:rsidRPr="006752C5" w:rsidRDefault="00030D6B" w:rsidP="00DD1BB5">
            <w:pPr>
              <w:jc w:val="center"/>
              <w:rPr>
                <w:rFonts w:ascii="Arial" w:hAnsi="Arial" w:cs="Arial"/>
                <w:b/>
                <w:bCs/>
                <w:sz w:val="16"/>
                <w:szCs w:val="16"/>
                <w:lang w:val="en-CA"/>
              </w:rPr>
            </w:pPr>
            <w:r>
              <w:rPr>
                <w:rFonts w:ascii="Arial" w:hAnsi="Arial" w:cs="Arial"/>
                <w:b/>
                <w:color w:val="000000"/>
                <w:sz w:val="16"/>
                <w:szCs w:val="16"/>
              </w:rPr>
              <w:t>2024</w:t>
            </w:r>
          </w:p>
        </w:tc>
      </w:tr>
      <w:tr w:rsidR="00030D6B" w:rsidRPr="001F4B94" w14:paraId="4321B9DE" w14:textId="77777777" w:rsidTr="007D5010">
        <w:tblPrEx>
          <w:tblLook w:val="01E0" w:firstRow="1" w:lastRow="1" w:firstColumn="1" w:lastColumn="1" w:noHBand="0" w:noVBand="0"/>
        </w:tblPrEx>
        <w:tc>
          <w:tcPr>
            <w:tcW w:w="2425" w:type="dxa"/>
            <w:tcBorders>
              <w:top w:val="single" w:sz="4" w:space="0" w:color="auto"/>
              <w:left w:val="single" w:sz="4" w:space="0" w:color="auto"/>
              <w:right w:val="single" w:sz="4" w:space="0" w:color="auto"/>
            </w:tcBorders>
            <w:vAlign w:val="bottom"/>
          </w:tcPr>
          <w:p w14:paraId="4BD2E288" w14:textId="77777777" w:rsidR="00030D6B" w:rsidRPr="006752C5" w:rsidRDefault="00030D6B" w:rsidP="00DD1BB5">
            <w:pPr>
              <w:rPr>
                <w:rFonts w:ascii="Arial" w:hAnsi="Arial" w:cs="Arial"/>
                <w:sz w:val="16"/>
                <w:szCs w:val="16"/>
                <w:lang w:val="en-CA"/>
              </w:rPr>
            </w:pPr>
          </w:p>
        </w:tc>
        <w:tc>
          <w:tcPr>
            <w:tcW w:w="990" w:type="dxa"/>
            <w:tcBorders>
              <w:top w:val="single" w:sz="4" w:space="0" w:color="auto"/>
              <w:left w:val="single" w:sz="4" w:space="0" w:color="auto"/>
            </w:tcBorders>
            <w:vAlign w:val="bottom"/>
          </w:tcPr>
          <w:p w14:paraId="74496248" w14:textId="77777777" w:rsidR="00030D6B" w:rsidRPr="006752C5" w:rsidRDefault="00030D6B" w:rsidP="00DD1BB5">
            <w:pPr>
              <w:ind w:left="-108"/>
              <w:rPr>
                <w:rFonts w:ascii="Arial" w:hAnsi="Arial" w:cs="Arial"/>
                <w:color w:val="000000"/>
                <w:sz w:val="16"/>
                <w:szCs w:val="16"/>
              </w:rPr>
            </w:pPr>
          </w:p>
        </w:tc>
        <w:tc>
          <w:tcPr>
            <w:tcW w:w="833" w:type="dxa"/>
            <w:gridSpan w:val="2"/>
            <w:tcBorders>
              <w:top w:val="single" w:sz="4" w:space="0" w:color="auto"/>
              <w:right w:val="single" w:sz="4" w:space="0" w:color="auto"/>
            </w:tcBorders>
            <w:vAlign w:val="bottom"/>
          </w:tcPr>
          <w:p w14:paraId="3E4C4D0E"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Per BOE</w:t>
            </w:r>
          </w:p>
        </w:tc>
        <w:tc>
          <w:tcPr>
            <w:tcW w:w="967" w:type="dxa"/>
            <w:tcBorders>
              <w:top w:val="single" w:sz="4" w:space="0" w:color="auto"/>
              <w:left w:val="single" w:sz="4" w:space="0" w:color="auto"/>
            </w:tcBorders>
            <w:vAlign w:val="bottom"/>
          </w:tcPr>
          <w:p w14:paraId="1034F751" w14:textId="77777777" w:rsidR="00030D6B" w:rsidRPr="006F1857" w:rsidRDefault="00030D6B" w:rsidP="00DD1BB5">
            <w:pPr>
              <w:ind w:left="-108"/>
              <w:jc w:val="center"/>
              <w:rPr>
                <w:rFonts w:ascii="Arial" w:hAnsi="Arial" w:cs="Arial"/>
                <w:color w:val="000000"/>
                <w:sz w:val="16"/>
                <w:szCs w:val="16"/>
              </w:rPr>
            </w:pPr>
          </w:p>
        </w:tc>
        <w:tc>
          <w:tcPr>
            <w:tcW w:w="876" w:type="dxa"/>
            <w:gridSpan w:val="2"/>
            <w:tcBorders>
              <w:top w:val="single" w:sz="4" w:space="0" w:color="auto"/>
              <w:right w:val="single" w:sz="4" w:space="0" w:color="auto"/>
            </w:tcBorders>
            <w:vAlign w:val="bottom"/>
          </w:tcPr>
          <w:p w14:paraId="5B00A11C"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Per BOE</w:t>
            </w:r>
          </w:p>
        </w:tc>
        <w:tc>
          <w:tcPr>
            <w:tcW w:w="1104" w:type="dxa"/>
            <w:tcBorders>
              <w:top w:val="single" w:sz="4" w:space="0" w:color="auto"/>
              <w:left w:val="single" w:sz="4" w:space="0" w:color="auto"/>
              <w:bottom w:val="single" w:sz="4" w:space="0" w:color="auto"/>
            </w:tcBorders>
            <w:vAlign w:val="bottom"/>
          </w:tcPr>
          <w:p w14:paraId="4231A256" w14:textId="77777777" w:rsidR="00030D6B" w:rsidRPr="006F1857" w:rsidRDefault="00030D6B" w:rsidP="00DD1BB5">
            <w:pPr>
              <w:ind w:left="-108"/>
              <w:jc w:val="center"/>
              <w:rPr>
                <w:rFonts w:ascii="Arial" w:hAnsi="Arial" w:cs="Arial"/>
                <w:color w:val="000000"/>
                <w:sz w:val="16"/>
                <w:szCs w:val="16"/>
              </w:rPr>
            </w:pPr>
          </w:p>
        </w:tc>
        <w:tc>
          <w:tcPr>
            <w:tcW w:w="880" w:type="dxa"/>
            <w:gridSpan w:val="2"/>
            <w:tcBorders>
              <w:top w:val="single" w:sz="4" w:space="0" w:color="auto"/>
              <w:bottom w:val="single" w:sz="4" w:space="0" w:color="auto"/>
              <w:right w:val="single" w:sz="4" w:space="0" w:color="auto"/>
            </w:tcBorders>
            <w:vAlign w:val="bottom"/>
          </w:tcPr>
          <w:p w14:paraId="052D9E0E"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Per BOE</w:t>
            </w:r>
          </w:p>
        </w:tc>
        <w:tc>
          <w:tcPr>
            <w:tcW w:w="992" w:type="dxa"/>
            <w:tcBorders>
              <w:left w:val="single" w:sz="4" w:space="0" w:color="auto"/>
              <w:bottom w:val="single" w:sz="4" w:space="0" w:color="auto"/>
            </w:tcBorders>
            <w:vAlign w:val="bottom"/>
          </w:tcPr>
          <w:p w14:paraId="42152646" w14:textId="77777777" w:rsidR="00030D6B" w:rsidRPr="006F1857" w:rsidRDefault="00030D6B" w:rsidP="00DD1BB5">
            <w:pPr>
              <w:ind w:left="-108"/>
              <w:jc w:val="center"/>
              <w:rPr>
                <w:rFonts w:ascii="Arial" w:hAnsi="Arial" w:cs="Arial"/>
                <w:color w:val="000000"/>
                <w:sz w:val="16"/>
                <w:szCs w:val="16"/>
              </w:rPr>
            </w:pPr>
          </w:p>
        </w:tc>
        <w:tc>
          <w:tcPr>
            <w:tcW w:w="851" w:type="dxa"/>
            <w:gridSpan w:val="2"/>
            <w:tcBorders>
              <w:bottom w:val="single" w:sz="4" w:space="0" w:color="auto"/>
              <w:right w:val="single" w:sz="4" w:space="0" w:color="auto"/>
            </w:tcBorders>
            <w:vAlign w:val="bottom"/>
          </w:tcPr>
          <w:p w14:paraId="406A2532" w14:textId="77777777" w:rsidR="00030D6B" w:rsidRPr="006752C5" w:rsidRDefault="00030D6B" w:rsidP="00DD1BB5">
            <w:pPr>
              <w:widowControl w:val="0"/>
              <w:ind w:right="-86"/>
              <w:jc w:val="center"/>
              <w:rPr>
                <w:rFonts w:ascii="Arial" w:hAnsi="Arial" w:cs="Arial"/>
                <w:color w:val="000000"/>
                <w:sz w:val="16"/>
                <w:szCs w:val="16"/>
              </w:rPr>
            </w:pPr>
            <w:r>
              <w:rPr>
                <w:rFonts w:ascii="Arial" w:hAnsi="Arial" w:cs="Arial"/>
                <w:color w:val="000000"/>
                <w:sz w:val="16"/>
                <w:szCs w:val="16"/>
              </w:rPr>
              <w:t>Per BOE</w:t>
            </w:r>
          </w:p>
        </w:tc>
      </w:tr>
      <w:tr w:rsidR="007D5010" w:rsidRPr="001F4B94" w14:paraId="46982A5B" w14:textId="77777777" w:rsidTr="007D5010">
        <w:tblPrEx>
          <w:tblLook w:val="01E0" w:firstRow="1" w:lastRow="1" w:firstColumn="1" w:lastColumn="1" w:noHBand="0" w:noVBand="0"/>
        </w:tblPrEx>
        <w:trPr>
          <w:trHeight w:val="261"/>
        </w:trPr>
        <w:tc>
          <w:tcPr>
            <w:tcW w:w="2425" w:type="dxa"/>
            <w:tcBorders>
              <w:top w:val="single" w:sz="4" w:space="0" w:color="auto"/>
              <w:left w:val="single" w:sz="4" w:space="0" w:color="auto"/>
              <w:right w:val="single" w:sz="4" w:space="0" w:color="auto"/>
            </w:tcBorders>
            <w:vAlign w:val="bottom"/>
          </w:tcPr>
          <w:p w14:paraId="7FE45728"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Oil and natural gas sales revenue ($)</w:t>
            </w:r>
          </w:p>
        </w:tc>
        <w:tc>
          <w:tcPr>
            <w:tcW w:w="1114" w:type="dxa"/>
            <w:gridSpan w:val="2"/>
            <w:tcBorders>
              <w:top w:val="single" w:sz="4" w:space="0" w:color="auto"/>
              <w:left w:val="single" w:sz="4" w:space="0" w:color="auto"/>
            </w:tcBorders>
            <w:vAlign w:val="bottom"/>
          </w:tcPr>
          <w:p w14:paraId="75F08DBE" w14:textId="13744FAF"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22,208,934</w:t>
            </w:r>
          </w:p>
        </w:tc>
        <w:tc>
          <w:tcPr>
            <w:tcW w:w="709" w:type="dxa"/>
            <w:tcBorders>
              <w:top w:val="single" w:sz="4" w:space="0" w:color="000000"/>
            </w:tcBorders>
            <w:vAlign w:val="bottom"/>
          </w:tcPr>
          <w:p w14:paraId="287AA7BD" w14:textId="22CDF3FB"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color w:val="000000"/>
                <w:sz w:val="16"/>
                <w:szCs w:val="16"/>
              </w:rPr>
              <w:t>59.78</w:t>
            </w:r>
          </w:p>
        </w:tc>
        <w:tc>
          <w:tcPr>
            <w:tcW w:w="1091" w:type="dxa"/>
            <w:gridSpan w:val="2"/>
            <w:tcBorders>
              <w:top w:val="single" w:sz="4" w:space="0" w:color="auto"/>
              <w:left w:val="single" w:sz="4" w:space="0" w:color="auto"/>
            </w:tcBorders>
            <w:vAlign w:val="bottom"/>
          </w:tcPr>
          <w:p w14:paraId="0481BEED" w14:textId="1F431135"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5,584,314</w:t>
            </w:r>
          </w:p>
        </w:tc>
        <w:tc>
          <w:tcPr>
            <w:tcW w:w="752" w:type="dxa"/>
            <w:tcBorders>
              <w:top w:val="single" w:sz="4" w:space="0" w:color="auto"/>
            </w:tcBorders>
            <w:vAlign w:val="bottom"/>
          </w:tcPr>
          <w:p w14:paraId="00864598" w14:textId="43D07B18"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45.81</w:t>
            </w:r>
          </w:p>
        </w:tc>
        <w:tc>
          <w:tcPr>
            <w:tcW w:w="1228" w:type="dxa"/>
            <w:gridSpan w:val="2"/>
            <w:tcBorders>
              <w:top w:val="single" w:sz="4" w:space="0" w:color="auto"/>
              <w:left w:val="single" w:sz="4" w:space="0" w:color="auto"/>
            </w:tcBorders>
            <w:vAlign w:val="bottom"/>
          </w:tcPr>
          <w:p w14:paraId="3A28943D" w14:textId="6E8DE06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45,717,428</w:t>
            </w:r>
          </w:p>
        </w:tc>
        <w:tc>
          <w:tcPr>
            <w:tcW w:w="756" w:type="dxa"/>
            <w:tcBorders>
              <w:top w:val="single" w:sz="4" w:space="0" w:color="auto"/>
              <w:right w:val="single" w:sz="4" w:space="0" w:color="auto"/>
            </w:tcBorders>
            <w:vAlign w:val="bottom"/>
          </w:tcPr>
          <w:p w14:paraId="41CBAE98" w14:textId="3AB54F6B"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60.41</w:t>
            </w:r>
          </w:p>
        </w:tc>
        <w:tc>
          <w:tcPr>
            <w:tcW w:w="1116" w:type="dxa"/>
            <w:gridSpan w:val="2"/>
            <w:tcBorders>
              <w:top w:val="single" w:sz="4" w:space="0" w:color="auto"/>
              <w:left w:val="single" w:sz="4" w:space="0" w:color="auto"/>
            </w:tcBorders>
            <w:vAlign w:val="bottom"/>
          </w:tcPr>
          <w:p w14:paraId="3DF5D8A2" w14:textId="379799FE"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11,685,400</w:t>
            </w:r>
          </w:p>
        </w:tc>
        <w:tc>
          <w:tcPr>
            <w:tcW w:w="727" w:type="dxa"/>
            <w:tcBorders>
              <w:top w:val="single" w:sz="4" w:space="0" w:color="auto"/>
              <w:right w:val="single" w:sz="4" w:space="0" w:color="auto"/>
            </w:tcBorders>
            <w:vAlign w:val="bottom"/>
          </w:tcPr>
          <w:p w14:paraId="1B848968" w14:textId="40E71422"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48.61</w:t>
            </w:r>
          </w:p>
        </w:tc>
      </w:tr>
      <w:tr w:rsidR="007D5010" w:rsidRPr="001F4B94" w14:paraId="3305EB5E" w14:textId="77777777" w:rsidTr="00E9041F">
        <w:tblPrEx>
          <w:tblLook w:val="01E0" w:firstRow="1" w:lastRow="1" w:firstColumn="1" w:lastColumn="1" w:noHBand="0" w:noVBand="0"/>
        </w:tblPrEx>
        <w:tc>
          <w:tcPr>
            <w:tcW w:w="2425" w:type="dxa"/>
            <w:tcBorders>
              <w:left w:val="single" w:sz="4" w:space="0" w:color="auto"/>
              <w:right w:val="single" w:sz="4" w:space="0" w:color="auto"/>
            </w:tcBorders>
            <w:vAlign w:val="bottom"/>
          </w:tcPr>
          <w:p w14:paraId="569DBB26"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Export tax ($)</w:t>
            </w:r>
          </w:p>
        </w:tc>
        <w:tc>
          <w:tcPr>
            <w:tcW w:w="1114" w:type="dxa"/>
            <w:gridSpan w:val="2"/>
            <w:tcBorders>
              <w:left w:val="single" w:sz="4" w:space="0" w:color="auto"/>
            </w:tcBorders>
          </w:tcPr>
          <w:p w14:paraId="7C2195B1" w14:textId="70219AE1"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(101,251)</w:t>
            </w:r>
          </w:p>
        </w:tc>
        <w:tc>
          <w:tcPr>
            <w:tcW w:w="709" w:type="dxa"/>
          </w:tcPr>
          <w:p w14:paraId="2F788EEE" w14:textId="52159C74"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(0.27)</w:t>
            </w:r>
          </w:p>
        </w:tc>
        <w:tc>
          <w:tcPr>
            <w:tcW w:w="1091" w:type="dxa"/>
            <w:gridSpan w:val="2"/>
            <w:tcBorders>
              <w:left w:val="single" w:sz="4" w:space="0" w:color="auto"/>
            </w:tcBorders>
            <w:vAlign w:val="bottom"/>
          </w:tcPr>
          <w:p w14:paraId="3F0FFC08" w14:textId="4CB2DD36"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(80,779)</w:t>
            </w:r>
          </w:p>
        </w:tc>
        <w:tc>
          <w:tcPr>
            <w:tcW w:w="752" w:type="dxa"/>
            <w:vAlign w:val="bottom"/>
          </w:tcPr>
          <w:p w14:paraId="634481E4" w14:textId="366EA84C"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(0.66)</w:t>
            </w:r>
          </w:p>
        </w:tc>
        <w:tc>
          <w:tcPr>
            <w:tcW w:w="1228" w:type="dxa"/>
            <w:gridSpan w:val="2"/>
            <w:tcBorders>
              <w:left w:val="single" w:sz="4" w:space="0" w:color="auto"/>
            </w:tcBorders>
          </w:tcPr>
          <w:p w14:paraId="5637F080" w14:textId="53E5B67D"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(193,755)</w:t>
            </w:r>
          </w:p>
        </w:tc>
        <w:tc>
          <w:tcPr>
            <w:tcW w:w="756" w:type="dxa"/>
            <w:tcBorders>
              <w:right w:val="single" w:sz="4" w:space="0" w:color="auto"/>
            </w:tcBorders>
          </w:tcPr>
          <w:p w14:paraId="3B125530" w14:textId="58B49F86"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(0.26)</w:t>
            </w:r>
          </w:p>
        </w:tc>
        <w:tc>
          <w:tcPr>
            <w:tcW w:w="1116" w:type="dxa"/>
            <w:gridSpan w:val="2"/>
            <w:tcBorders>
              <w:left w:val="single" w:sz="4" w:space="0" w:color="auto"/>
            </w:tcBorders>
            <w:vAlign w:val="bottom"/>
          </w:tcPr>
          <w:p w14:paraId="495AE17D" w14:textId="17921223"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(232,795)</w:t>
            </w:r>
          </w:p>
        </w:tc>
        <w:tc>
          <w:tcPr>
            <w:tcW w:w="727" w:type="dxa"/>
            <w:tcBorders>
              <w:right w:val="single" w:sz="4" w:space="0" w:color="auto"/>
            </w:tcBorders>
            <w:vAlign w:val="bottom"/>
          </w:tcPr>
          <w:p w14:paraId="3E894417" w14:textId="630623E2"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(0.97)</w:t>
            </w:r>
          </w:p>
        </w:tc>
      </w:tr>
      <w:tr w:rsidR="007D5010" w:rsidRPr="001F4B94" w14:paraId="0E9C708C" w14:textId="77777777" w:rsidTr="00E9041F">
        <w:tblPrEx>
          <w:tblLook w:val="01E0" w:firstRow="1" w:lastRow="1" w:firstColumn="1" w:lastColumn="1" w:noHBand="0" w:noVBand="0"/>
        </w:tblPrEx>
        <w:tc>
          <w:tcPr>
            <w:tcW w:w="2425" w:type="dxa"/>
            <w:tcBorders>
              <w:left w:val="single" w:sz="4" w:space="0" w:color="auto"/>
              <w:right w:val="single" w:sz="4" w:space="0" w:color="auto"/>
            </w:tcBorders>
            <w:vAlign w:val="bottom"/>
          </w:tcPr>
          <w:p w14:paraId="052333CB"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Royalties and turnover tax ($)</w:t>
            </w:r>
          </w:p>
        </w:tc>
        <w:tc>
          <w:tcPr>
            <w:tcW w:w="1114" w:type="dxa"/>
            <w:gridSpan w:val="2"/>
            <w:tcBorders>
              <w:left w:val="single" w:sz="4" w:space="0" w:color="auto"/>
            </w:tcBorders>
          </w:tcPr>
          <w:p w14:paraId="3286A087" w14:textId="543F8D51"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(3,963,657)</w:t>
            </w:r>
          </w:p>
        </w:tc>
        <w:tc>
          <w:tcPr>
            <w:tcW w:w="709" w:type="dxa"/>
          </w:tcPr>
          <w:p w14:paraId="71C93434" w14:textId="221FF7CB"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(10.67)</w:t>
            </w:r>
          </w:p>
        </w:tc>
        <w:tc>
          <w:tcPr>
            <w:tcW w:w="1091" w:type="dxa"/>
            <w:gridSpan w:val="2"/>
            <w:tcBorders>
              <w:left w:val="single" w:sz="4" w:space="0" w:color="auto"/>
            </w:tcBorders>
            <w:vAlign w:val="bottom"/>
          </w:tcPr>
          <w:p w14:paraId="4EE4B4F0" w14:textId="518B2DF8"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(1,028,669)</w:t>
            </w:r>
          </w:p>
        </w:tc>
        <w:tc>
          <w:tcPr>
            <w:tcW w:w="752" w:type="dxa"/>
            <w:vAlign w:val="bottom"/>
          </w:tcPr>
          <w:p w14:paraId="36FE3361" w14:textId="419AD684"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(8.44)</w:t>
            </w:r>
          </w:p>
        </w:tc>
        <w:tc>
          <w:tcPr>
            <w:tcW w:w="1228" w:type="dxa"/>
            <w:gridSpan w:val="2"/>
            <w:tcBorders>
              <w:left w:val="single" w:sz="4" w:space="0" w:color="auto"/>
            </w:tcBorders>
          </w:tcPr>
          <w:p w14:paraId="5105E20F" w14:textId="2E96BDBE"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(8,163,142)</w:t>
            </w:r>
          </w:p>
        </w:tc>
        <w:tc>
          <w:tcPr>
            <w:tcW w:w="756" w:type="dxa"/>
            <w:tcBorders>
              <w:right w:val="single" w:sz="4" w:space="0" w:color="auto"/>
            </w:tcBorders>
          </w:tcPr>
          <w:p w14:paraId="69BE40C6" w14:textId="2458C7D9"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(10.79)</w:t>
            </w:r>
          </w:p>
        </w:tc>
        <w:tc>
          <w:tcPr>
            <w:tcW w:w="1116" w:type="dxa"/>
            <w:gridSpan w:val="2"/>
            <w:tcBorders>
              <w:left w:val="single" w:sz="4" w:space="0" w:color="auto"/>
            </w:tcBorders>
            <w:vAlign w:val="bottom"/>
          </w:tcPr>
          <w:p w14:paraId="42C7D847" w14:textId="51298C22"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(2,045,091)</w:t>
            </w:r>
          </w:p>
        </w:tc>
        <w:tc>
          <w:tcPr>
            <w:tcW w:w="727" w:type="dxa"/>
            <w:tcBorders>
              <w:right w:val="single" w:sz="4" w:space="0" w:color="auto"/>
            </w:tcBorders>
            <w:vAlign w:val="bottom"/>
          </w:tcPr>
          <w:p w14:paraId="07C0E84C" w14:textId="755A75A4"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(8.51)</w:t>
            </w:r>
          </w:p>
        </w:tc>
      </w:tr>
      <w:tr w:rsidR="007D5010" w:rsidRPr="001F4B94" w14:paraId="20E8EF73" w14:textId="77777777" w:rsidTr="00E9041F">
        <w:tblPrEx>
          <w:tblLook w:val="01E0" w:firstRow="1" w:lastRow="1" w:firstColumn="1" w:lastColumn="1" w:noHBand="0" w:noVBand="0"/>
        </w:tblPrEx>
        <w:tc>
          <w:tcPr>
            <w:tcW w:w="2425" w:type="dxa"/>
            <w:tcBorders>
              <w:left w:val="single" w:sz="4" w:space="0" w:color="auto"/>
              <w:bottom w:val="single" w:sz="4" w:space="0" w:color="auto"/>
              <w:right w:val="single" w:sz="4" w:space="0" w:color="auto"/>
            </w:tcBorders>
            <w:vAlign w:val="bottom"/>
          </w:tcPr>
          <w:p w14:paraId="22966289"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Operating costs ($)</w:t>
            </w:r>
          </w:p>
        </w:tc>
        <w:tc>
          <w:tcPr>
            <w:tcW w:w="1114" w:type="dxa"/>
            <w:gridSpan w:val="2"/>
            <w:tcBorders>
              <w:left w:val="single" w:sz="4" w:space="0" w:color="auto"/>
              <w:bottom w:val="single" w:sz="4" w:space="0" w:color="auto"/>
            </w:tcBorders>
          </w:tcPr>
          <w:p w14:paraId="7E4ED3AB" w14:textId="251D45B4"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(20,927,925)</w:t>
            </w:r>
          </w:p>
        </w:tc>
        <w:tc>
          <w:tcPr>
            <w:tcW w:w="709" w:type="dxa"/>
            <w:tcBorders>
              <w:bottom w:val="single" w:sz="4" w:space="0" w:color="000000"/>
            </w:tcBorders>
          </w:tcPr>
          <w:p w14:paraId="311B4647" w14:textId="3F71DE91"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(56.34)</w:t>
            </w:r>
          </w:p>
        </w:tc>
        <w:tc>
          <w:tcPr>
            <w:tcW w:w="1091" w:type="dxa"/>
            <w:gridSpan w:val="2"/>
            <w:tcBorders>
              <w:left w:val="single" w:sz="4" w:space="0" w:color="auto"/>
              <w:bottom w:val="single" w:sz="4" w:space="0" w:color="auto"/>
            </w:tcBorders>
            <w:vAlign w:val="bottom"/>
          </w:tcPr>
          <w:p w14:paraId="7E63CEB5" w14:textId="487657B2"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(4,988,866)</w:t>
            </w:r>
          </w:p>
        </w:tc>
        <w:tc>
          <w:tcPr>
            <w:tcW w:w="752" w:type="dxa"/>
            <w:tcBorders>
              <w:bottom w:val="single" w:sz="4" w:space="0" w:color="000000"/>
            </w:tcBorders>
            <w:vAlign w:val="bottom"/>
          </w:tcPr>
          <w:p w14:paraId="55FDE971" w14:textId="04680DD0"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(40.93)</w:t>
            </w:r>
          </w:p>
        </w:tc>
        <w:tc>
          <w:tcPr>
            <w:tcW w:w="1228" w:type="dxa"/>
            <w:gridSpan w:val="2"/>
            <w:tcBorders>
              <w:left w:val="single" w:sz="4" w:space="0" w:color="auto"/>
              <w:bottom w:val="single" w:sz="4" w:space="0" w:color="auto"/>
            </w:tcBorders>
          </w:tcPr>
          <w:p w14:paraId="08F17F47" w14:textId="67F9DDD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sz w:val="16"/>
                <w:szCs w:val="16"/>
              </w:rPr>
              <w:t xml:space="preserve"> (39,180,510)</w:t>
            </w:r>
          </w:p>
        </w:tc>
        <w:tc>
          <w:tcPr>
            <w:tcW w:w="756" w:type="dxa"/>
            <w:tcBorders>
              <w:bottom w:val="single" w:sz="4" w:space="0" w:color="auto"/>
              <w:right w:val="single" w:sz="4" w:space="0" w:color="auto"/>
            </w:tcBorders>
          </w:tcPr>
          <w:p w14:paraId="33AC777F" w14:textId="7CF7A672"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 xml:space="preserve"> (51.78)</w:t>
            </w:r>
          </w:p>
        </w:tc>
        <w:tc>
          <w:tcPr>
            <w:tcW w:w="1116" w:type="dxa"/>
            <w:gridSpan w:val="2"/>
            <w:tcBorders>
              <w:left w:val="single" w:sz="4" w:space="0" w:color="auto"/>
              <w:bottom w:val="single" w:sz="4" w:space="0" w:color="auto"/>
            </w:tcBorders>
            <w:vAlign w:val="bottom"/>
          </w:tcPr>
          <w:p w14:paraId="7A711F85" w14:textId="42075A0B"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(9,241,577)</w:t>
            </w:r>
          </w:p>
        </w:tc>
        <w:tc>
          <w:tcPr>
            <w:tcW w:w="727" w:type="dxa"/>
            <w:tcBorders>
              <w:bottom w:val="single" w:sz="4" w:space="0" w:color="auto"/>
              <w:right w:val="single" w:sz="4" w:space="0" w:color="auto"/>
            </w:tcBorders>
            <w:vAlign w:val="bottom"/>
          </w:tcPr>
          <w:p w14:paraId="60D33018" w14:textId="00941B27"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(38.45)</w:t>
            </w:r>
          </w:p>
        </w:tc>
      </w:tr>
      <w:tr w:rsidR="007D5010" w:rsidRPr="001F4B94" w14:paraId="7F9DC18B" w14:textId="77777777" w:rsidTr="00BB3478">
        <w:tblPrEx>
          <w:tblLook w:val="01E0" w:firstRow="1" w:lastRow="1" w:firstColumn="1" w:lastColumn="1" w:noHBand="0" w:noVBand="0"/>
        </w:tblPrEx>
        <w:trPr>
          <w:trHeight w:val="287"/>
        </w:trPr>
        <w:tc>
          <w:tcPr>
            <w:tcW w:w="2425" w:type="dxa"/>
            <w:tcBorders>
              <w:top w:val="single" w:sz="4" w:space="0" w:color="auto"/>
              <w:left w:val="single" w:sz="4" w:space="0" w:color="auto"/>
              <w:bottom w:val="single" w:sz="12" w:space="0" w:color="auto"/>
              <w:right w:val="single" w:sz="4" w:space="0" w:color="auto"/>
            </w:tcBorders>
            <w:vAlign w:val="center"/>
          </w:tcPr>
          <w:p w14:paraId="2336C361" w14:textId="77777777" w:rsidR="007D5010" w:rsidRPr="006752C5" w:rsidRDefault="007D5010" w:rsidP="007D5010">
            <w:pPr>
              <w:rPr>
                <w:rFonts w:ascii="Arial" w:hAnsi="Arial" w:cs="Arial"/>
                <w:sz w:val="16"/>
                <w:szCs w:val="16"/>
                <w:lang w:val="en-CA"/>
              </w:rPr>
            </w:pPr>
            <w:r>
              <w:rPr>
                <w:rFonts w:ascii="Arial" w:hAnsi="Arial" w:cs="Arial"/>
                <w:sz w:val="16"/>
                <w:szCs w:val="16"/>
                <w:lang w:val="en-CA"/>
              </w:rPr>
              <w:t xml:space="preserve">Operating netback </w:t>
            </w:r>
            <w:r>
              <w:rPr>
                <w:rFonts w:ascii="Arial" w:hAnsi="Arial" w:cs="Arial"/>
                <w:sz w:val="16"/>
                <w:szCs w:val="16"/>
                <w:vertAlign w:val="superscript"/>
                <w:lang w:val="en-CA"/>
              </w:rPr>
              <w:t>(1)</w:t>
            </w:r>
            <w:r>
              <w:rPr>
                <w:rFonts w:ascii="Arial" w:hAnsi="Arial" w:cs="Arial"/>
                <w:sz w:val="16"/>
                <w:szCs w:val="16"/>
                <w:lang w:val="en-CA"/>
              </w:rPr>
              <w:t xml:space="preserve"> ($)</w:t>
            </w:r>
          </w:p>
        </w:tc>
        <w:tc>
          <w:tcPr>
            <w:tcW w:w="1114" w:type="dxa"/>
            <w:gridSpan w:val="2"/>
            <w:tcBorders>
              <w:top w:val="single" w:sz="4" w:space="0" w:color="auto"/>
              <w:left w:val="single" w:sz="4" w:space="0" w:color="auto"/>
              <w:bottom w:val="single" w:sz="12" w:space="0" w:color="auto"/>
            </w:tcBorders>
            <w:vAlign w:val="center"/>
          </w:tcPr>
          <w:p w14:paraId="06F22759" w14:textId="6F07C5BB"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(2,783,899)</w:t>
            </w:r>
          </w:p>
        </w:tc>
        <w:tc>
          <w:tcPr>
            <w:tcW w:w="709" w:type="dxa"/>
            <w:tcBorders>
              <w:top w:val="single" w:sz="4" w:space="0" w:color="000000"/>
              <w:bottom w:val="single" w:sz="12" w:space="0" w:color="000000"/>
            </w:tcBorders>
          </w:tcPr>
          <w:p w14:paraId="12DC4346" w14:textId="0E7446E2" w:rsidR="007D5010" w:rsidRPr="007D5010" w:rsidRDefault="007D5010" w:rsidP="007D5010">
            <w:pPr>
              <w:widowControl w:val="0"/>
              <w:tabs>
                <w:tab w:val="decimal" w:pos="432"/>
              </w:tabs>
              <w:spacing w:line="240" w:lineRule="atLeast"/>
              <w:ind w:right="-86"/>
              <w:jc w:val="center"/>
              <w:rPr>
                <w:rFonts w:ascii="Arial" w:hAnsi="Arial" w:cs="Arial"/>
                <w:color w:val="000000"/>
                <w:sz w:val="16"/>
                <w:szCs w:val="16"/>
              </w:rPr>
            </w:pPr>
            <w:r w:rsidRPr="007D5010">
              <w:rPr>
                <w:rFonts w:ascii="Arial" w:hAnsi="Arial" w:cs="Arial"/>
                <w:sz w:val="16"/>
                <w:szCs w:val="16"/>
              </w:rPr>
              <w:t xml:space="preserve"> (7.50)</w:t>
            </w:r>
          </w:p>
        </w:tc>
        <w:tc>
          <w:tcPr>
            <w:tcW w:w="1091" w:type="dxa"/>
            <w:gridSpan w:val="2"/>
            <w:tcBorders>
              <w:top w:val="single" w:sz="4" w:space="0" w:color="auto"/>
              <w:left w:val="single" w:sz="4" w:space="0" w:color="auto"/>
              <w:bottom w:val="single" w:sz="12" w:space="0" w:color="auto"/>
            </w:tcBorders>
            <w:vAlign w:val="center"/>
          </w:tcPr>
          <w:p w14:paraId="270D81EA" w14:textId="77130CEC"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(514,000)</w:t>
            </w:r>
          </w:p>
        </w:tc>
        <w:tc>
          <w:tcPr>
            <w:tcW w:w="752" w:type="dxa"/>
            <w:tcBorders>
              <w:top w:val="single" w:sz="4" w:space="0" w:color="000000"/>
              <w:bottom w:val="single" w:sz="12" w:space="0" w:color="000000"/>
            </w:tcBorders>
            <w:vAlign w:val="center"/>
          </w:tcPr>
          <w:p w14:paraId="4C3DAB4C" w14:textId="2B5B3E32" w:rsidR="007D5010" w:rsidRPr="00315F52" w:rsidRDefault="007D5010" w:rsidP="007D5010">
            <w:pPr>
              <w:widowControl w:val="0"/>
              <w:tabs>
                <w:tab w:val="decimal" w:pos="432"/>
              </w:tabs>
              <w:spacing w:line="240" w:lineRule="atLeast"/>
              <w:ind w:right="-86"/>
              <w:jc w:val="center"/>
              <w:rPr>
                <w:rFonts w:ascii="Arial" w:hAnsi="Arial" w:cs="Arial"/>
                <w:color w:val="000000"/>
                <w:sz w:val="16"/>
                <w:szCs w:val="16"/>
              </w:rPr>
            </w:pPr>
            <w:r w:rsidRPr="00315F52">
              <w:rPr>
                <w:rFonts w:ascii="Arial" w:hAnsi="Arial" w:cs="Arial"/>
                <w:color w:val="000000"/>
                <w:sz w:val="16"/>
                <w:szCs w:val="16"/>
              </w:rPr>
              <w:t>(4.22)</w:t>
            </w:r>
          </w:p>
        </w:tc>
        <w:tc>
          <w:tcPr>
            <w:tcW w:w="1228" w:type="dxa"/>
            <w:gridSpan w:val="2"/>
            <w:tcBorders>
              <w:top w:val="single" w:sz="4" w:space="0" w:color="auto"/>
              <w:left w:val="single" w:sz="4" w:space="0" w:color="auto"/>
              <w:bottom w:val="single" w:sz="12" w:space="0" w:color="auto"/>
            </w:tcBorders>
            <w:vAlign w:val="center"/>
          </w:tcPr>
          <w:p w14:paraId="74E172C6" w14:textId="77BF72D0" w:rsidR="007D5010" w:rsidRPr="007D5010" w:rsidRDefault="007D5010" w:rsidP="007D5010">
            <w:pPr>
              <w:tabs>
                <w:tab w:val="decimal" w:pos="702"/>
              </w:tabs>
              <w:ind w:left="-108"/>
              <w:rPr>
                <w:rFonts w:ascii="Arial" w:hAnsi="Arial" w:cs="Arial"/>
                <w:color w:val="000000"/>
                <w:sz w:val="16"/>
                <w:szCs w:val="16"/>
              </w:rPr>
            </w:pPr>
            <w:r w:rsidRPr="007D5010">
              <w:rPr>
                <w:rFonts w:ascii="Arial" w:hAnsi="Arial" w:cs="Arial"/>
                <w:color w:val="000000"/>
                <w:sz w:val="16"/>
                <w:szCs w:val="16"/>
              </w:rPr>
              <w:t>(1,819,979)</w:t>
            </w:r>
          </w:p>
        </w:tc>
        <w:tc>
          <w:tcPr>
            <w:tcW w:w="756" w:type="dxa"/>
            <w:tcBorders>
              <w:top w:val="single" w:sz="4" w:space="0" w:color="auto"/>
              <w:bottom w:val="single" w:sz="12" w:space="0" w:color="auto"/>
              <w:right w:val="single" w:sz="4" w:space="0" w:color="auto"/>
            </w:tcBorders>
            <w:vAlign w:val="center"/>
          </w:tcPr>
          <w:p w14:paraId="07FD12EA" w14:textId="43B962B8" w:rsidR="007D5010" w:rsidRPr="007D5010"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7D5010">
              <w:rPr>
                <w:rFonts w:ascii="Arial" w:hAnsi="Arial" w:cs="Arial"/>
                <w:color w:val="000000"/>
                <w:sz w:val="16"/>
                <w:szCs w:val="16"/>
              </w:rPr>
              <w:t>(2.42)</w:t>
            </w:r>
          </w:p>
        </w:tc>
        <w:tc>
          <w:tcPr>
            <w:tcW w:w="1116" w:type="dxa"/>
            <w:gridSpan w:val="2"/>
            <w:tcBorders>
              <w:top w:val="single" w:sz="4" w:space="0" w:color="auto"/>
              <w:left w:val="single" w:sz="4" w:space="0" w:color="auto"/>
              <w:bottom w:val="single" w:sz="12" w:space="0" w:color="auto"/>
            </w:tcBorders>
            <w:vAlign w:val="center"/>
          </w:tcPr>
          <w:p w14:paraId="12CB4D96" w14:textId="222F63F4" w:rsidR="007D5010" w:rsidRPr="00315F52" w:rsidRDefault="007D5010" w:rsidP="007D5010">
            <w:pPr>
              <w:tabs>
                <w:tab w:val="decimal" w:pos="702"/>
              </w:tabs>
              <w:ind w:left="-108"/>
              <w:rPr>
                <w:rFonts w:ascii="Arial" w:hAnsi="Arial" w:cs="Arial"/>
                <w:color w:val="000000"/>
                <w:sz w:val="16"/>
                <w:szCs w:val="16"/>
              </w:rPr>
            </w:pPr>
            <w:r w:rsidRPr="00315F52">
              <w:rPr>
                <w:rFonts w:ascii="Arial" w:hAnsi="Arial" w:cs="Arial"/>
                <w:color w:val="000000"/>
                <w:sz w:val="16"/>
                <w:szCs w:val="16"/>
              </w:rPr>
              <w:t>165,937</w:t>
            </w:r>
          </w:p>
        </w:tc>
        <w:tc>
          <w:tcPr>
            <w:tcW w:w="727" w:type="dxa"/>
            <w:tcBorders>
              <w:top w:val="single" w:sz="4" w:space="0" w:color="auto"/>
              <w:bottom w:val="single" w:sz="12" w:space="0" w:color="auto"/>
              <w:right w:val="single" w:sz="4" w:space="0" w:color="auto"/>
            </w:tcBorders>
            <w:vAlign w:val="center"/>
          </w:tcPr>
          <w:p w14:paraId="1C6C3E46" w14:textId="7F855B19" w:rsidR="007D5010" w:rsidRPr="00315F52" w:rsidRDefault="007D5010" w:rsidP="007D5010">
            <w:pPr>
              <w:widowControl w:val="0"/>
              <w:tabs>
                <w:tab w:val="decimal" w:pos="432"/>
              </w:tabs>
              <w:spacing w:line="240" w:lineRule="atLeast"/>
              <w:ind w:right="-86"/>
              <w:jc w:val="center"/>
              <w:rPr>
                <w:rFonts w:ascii="Arial" w:eastAsia="Arial" w:hAnsi="Arial" w:cs="Arial"/>
                <w:color w:val="000000"/>
                <w:sz w:val="16"/>
                <w:szCs w:val="16"/>
              </w:rPr>
            </w:pPr>
            <w:r w:rsidRPr="00315F52">
              <w:rPr>
                <w:rFonts w:ascii="Arial" w:hAnsi="Arial" w:cs="Arial"/>
                <w:color w:val="000000"/>
                <w:sz w:val="16"/>
                <w:szCs w:val="16"/>
              </w:rPr>
              <w:t>0.68</w:t>
            </w:r>
          </w:p>
        </w:tc>
      </w:tr>
      <w:tr w:rsidR="00030D6B" w:rsidRPr="001F4B94" w14:paraId="4E066DBF" w14:textId="77777777" w:rsidTr="007D5010">
        <w:tblPrEx>
          <w:tblLook w:val="01E0" w:firstRow="1" w:lastRow="1" w:firstColumn="1" w:lastColumn="1" w:noHBand="0" w:noVBand="0"/>
        </w:tblPrEx>
        <w:trPr>
          <w:trHeight w:val="78"/>
        </w:trPr>
        <w:tc>
          <w:tcPr>
            <w:tcW w:w="2425" w:type="dxa"/>
            <w:tcBorders>
              <w:top w:val="single" w:sz="12" w:space="0" w:color="auto"/>
            </w:tcBorders>
            <w:vAlign w:val="bottom"/>
          </w:tcPr>
          <w:p w14:paraId="6216E196" w14:textId="77777777" w:rsidR="00030D6B" w:rsidRPr="004D30A2" w:rsidRDefault="00030D6B" w:rsidP="00DD1BB5">
            <w:pPr>
              <w:rPr>
                <w:rFonts w:ascii="Arial" w:hAnsi="Arial" w:cs="Arial"/>
                <w:sz w:val="4"/>
                <w:szCs w:val="4"/>
                <w:lang w:val="en-CA"/>
              </w:rPr>
            </w:pPr>
          </w:p>
        </w:tc>
        <w:tc>
          <w:tcPr>
            <w:tcW w:w="990" w:type="dxa"/>
            <w:tcBorders>
              <w:top w:val="single" w:sz="12" w:space="0" w:color="auto"/>
            </w:tcBorders>
            <w:vAlign w:val="bottom"/>
          </w:tcPr>
          <w:p w14:paraId="22D92D82" w14:textId="77777777" w:rsidR="00030D6B" w:rsidRPr="004D30A2" w:rsidRDefault="00030D6B" w:rsidP="00DD1BB5">
            <w:pPr>
              <w:tabs>
                <w:tab w:val="decimal" w:pos="882"/>
              </w:tabs>
              <w:ind w:left="-108"/>
              <w:rPr>
                <w:rFonts w:ascii="Arial" w:hAnsi="Arial" w:cs="Arial"/>
                <w:color w:val="000000"/>
                <w:sz w:val="4"/>
                <w:szCs w:val="4"/>
              </w:rPr>
            </w:pPr>
          </w:p>
        </w:tc>
        <w:tc>
          <w:tcPr>
            <w:tcW w:w="833" w:type="dxa"/>
            <w:gridSpan w:val="2"/>
            <w:tcBorders>
              <w:top w:val="single" w:sz="12" w:space="0" w:color="auto"/>
            </w:tcBorders>
            <w:vAlign w:val="bottom"/>
          </w:tcPr>
          <w:p w14:paraId="00B38AEE"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967" w:type="dxa"/>
            <w:tcBorders>
              <w:top w:val="single" w:sz="12" w:space="0" w:color="auto"/>
            </w:tcBorders>
          </w:tcPr>
          <w:p w14:paraId="02E57081" w14:textId="77777777" w:rsidR="00030D6B" w:rsidRPr="004D30A2" w:rsidRDefault="00030D6B" w:rsidP="00DD1BB5">
            <w:pPr>
              <w:tabs>
                <w:tab w:val="decimal" w:pos="864"/>
              </w:tabs>
              <w:ind w:left="-108"/>
              <w:rPr>
                <w:rFonts w:ascii="Arial" w:hAnsi="Arial" w:cs="Arial"/>
                <w:color w:val="000000"/>
                <w:sz w:val="4"/>
                <w:szCs w:val="4"/>
              </w:rPr>
            </w:pPr>
          </w:p>
        </w:tc>
        <w:tc>
          <w:tcPr>
            <w:tcW w:w="876" w:type="dxa"/>
            <w:gridSpan w:val="2"/>
            <w:tcBorders>
              <w:top w:val="single" w:sz="12" w:space="0" w:color="auto"/>
            </w:tcBorders>
            <w:vAlign w:val="bottom"/>
          </w:tcPr>
          <w:p w14:paraId="3719C681"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1104" w:type="dxa"/>
            <w:tcBorders>
              <w:top w:val="single" w:sz="12" w:space="0" w:color="auto"/>
            </w:tcBorders>
          </w:tcPr>
          <w:p w14:paraId="72E10655" w14:textId="77777777" w:rsidR="00030D6B" w:rsidRPr="004D30A2" w:rsidRDefault="00030D6B" w:rsidP="00DD1BB5">
            <w:pPr>
              <w:tabs>
                <w:tab w:val="decimal" w:pos="864"/>
              </w:tabs>
              <w:ind w:left="-108"/>
              <w:rPr>
                <w:rFonts w:ascii="Arial" w:hAnsi="Arial" w:cs="Arial"/>
                <w:color w:val="000000"/>
                <w:sz w:val="4"/>
                <w:szCs w:val="4"/>
              </w:rPr>
            </w:pPr>
          </w:p>
        </w:tc>
        <w:tc>
          <w:tcPr>
            <w:tcW w:w="880" w:type="dxa"/>
            <w:gridSpan w:val="2"/>
            <w:tcBorders>
              <w:top w:val="single" w:sz="12" w:space="0" w:color="auto"/>
            </w:tcBorders>
            <w:vAlign w:val="bottom"/>
          </w:tcPr>
          <w:p w14:paraId="3DBCD6B4" w14:textId="77777777" w:rsidR="00030D6B" w:rsidRPr="004D30A2" w:rsidRDefault="00030D6B" w:rsidP="00DD1BB5">
            <w:pPr>
              <w:widowControl w:val="0"/>
              <w:tabs>
                <w:tab w:val="decimal" w:pos="252"/>
              </w:tabs>
              <w:ind w:right="-86"/>
              <w:rPr>
                <w:rFonts w:ascii="Arial" w:hAnsi="Arial" w:cs="Arial"/>
                <w:color w:val="000000"/>
                <w:sz w:val="4"/>
                <w:szCs w:val="4"/>
              </w:rPr>
            </w:pPr>
          </w:p>
        </w:tc>
        <w:tc>
          <w:tcPr>
            <w:tcW w:w="992" w:type="dxa"/>
            <w:tcBorders>
              <w:top w:val="single" w:sz="12" w:space="0" w:color="auto"/>
            </w:tcBorders>
          </w:tcPr>
          <w:p w14:paraId="1085798E" w14:textId="77777777" w:rsidR="00030D6B" w:rsidRPr="004D30A2" w:rsidRDefault="00030D6B" w:rsidP="00DD1BB5">
            <w:pPr>
              <w:tabs>
                <w:tab w:val="decimal" w:pos="882"/>
              </w:tabs>
              <w:ind w:left="-108"/>
              <w:rPr>
                <w:rFonts w:ascii="Arial" w:hAnsi="Arial" w:cs="Arial"/>
                <w:color w:val="000000"/>
                <w:sz w:val="4"/>
                <w:szCs w:val="4"/>
              </w:rPr>
            </w:pPr>
          </w:p>
        </w:tc>
        <w:tc>
          <w:tcPr>
            <w:tcW w:w="851" w:type="dxa"/>
            <w:gridSpan w:val="2"/>
            <w:tcBorders>
              <w:top w:val="single" w:sz="12" w:space="0" w:color="auto"/>
            </w:tcBorders>
            <w:vAlign w:val="bottom"/>
          </w:tcPr>
          <w:p w14:paraId="6B94FEF8" w14:textId="77777777" w:rsidR="00030D6B" w:rsidRPr="004D30A2" w:rsidRDefault="00030D6B" w:rsidP="00DD1BB5">
            <w:pPr>
              <w:widowControl w:val="0"/>
              <w:tabs>
                <w:tab w:val="decimal" w:pos="252"/>
              </w:tabs>
              <w:ind w:right="-86"/>
              <w:rPr>
                <w:rFonts w:ascii="Arial" w:hAnsi="Arial" w:cs="Arial"/>
                <w:color w:val="000000"/>
                <w:sz w:val="4"/>
                <w:szCs w:val="4"/>
              </w:rPr>
            </w:pPr>
          </w:p>
        </w:tc>
      </w:tr>
    </w:tbl>
    <w:p w14:paraId="4196AB7F" w14:textId="41376F87" w:rsidR="00AB3773" w:rsidRDefault="00570F49" w:rsidP="001402A6">
      <w:pPr>
        <w:widowControl w:val="0"/>
        <w:autoSpaceDE w:val="0"/>
        <w:autoSpaceDN w:val="0"/>
        <w:adjustRightInd w:val="0"/>
        <w:spacing w:before="40"/>
        <w:ind w:left="450" w:hanging="270"/>
        <w:jc w:val="both"/>
        <w:rPr>
          <w:rFonts w:ascii="Arial" w:hAnsi="Arial" w:cs="Arial"/>
          <w:sz w:val="16"/>
          <w:szCs w:val="16"/>
          <w:lang w:val="en-CA"/>
        </w:rPr>
      </w:pPr>
      <w:r>
        <w:rPr>
          <w:rFonts w:ascii="Arial" w:hAnsi="Arial" w:cs="Arial"/>
          <w:bCs/>
          <w:sz w:val="18"/>
          <w:szCs w:val="18"/>
          <w:vertAlign w:val="superscript"/>
          <w:lang w:val="en-CA"/>
        </w:rPr>
        <w:t xml:space="preserve">(1) </w:t>
      </w:r>
      <w:r>
        <w:rPr>
          <w:rFonts w:ascii="Arial" w:hAnsi="Arial" w:cs="Arial"/>
          <w:bCs/>
          <w:sz w:val="18"/>
          <w:szCs w:val="18"/>
          <w:lang w:val="en-CA"/>
        </w:rPr>
        <w:t xml:space="preserve"> </w:t>
      </w:r>
      <w:r>
        <w:rPr>
          <w:rFonts w:ascii="Arial" w:hAnsi="Arial" w:cs="Arial"/>
          <w:sz w:val="16"/>
          <w:szCs w:val="16"/>
          <w:lang w:val="en-CA"/>
        </w:rPr>
        <w:t>"Operating netback" is a non-IFRS measure. “Operating netback per BOE” is a non-IFRS ratio. See "Non-IFRS and Other Financial Measures".</w:t>
      </w:r>
    </w:p>
    <w:p w14:paraId="350FB30E" w14:textId="77777777" w:rsidR="00042E43" w:rsidRDefault="00042E43" w:rsidP="00D17181">
      <w:pPr>
        <w:widowControl w:val="0"/>
        <w:rPr>
          <w:rFonts w:ascii="Arial" w:hAnsi="Arial" w:cs="Arial"/>
          <w:sz w:val="20"/>
          <w:szCs w:val="20"/>
        </w:rPr>
      </w:pPr>
    </w:p>
    <w:p w14:paraId="7F9BE0CD" w14:textId="0BEF55F0" w:rsidR="00997CEA" w:rsidRPr="00902562" w:rsidRDefault="00997CEA" w:rsidP="00D17181">
      <w:pPr>
        <w:widowControl w:val="0"/>
        <w:rPr>
          <w:rFonts w:ascii="Arial" w:hAnsi="Arial" w:cs="Arial"/>
          <w:sz w:val="20"/>
          <w:szCs w:val="20"/>
        </w:rPr>
      </w:pPr>
      <w:r>
        <w:rPr>
          <w:rFonts w:ascii="Arial" w:hAnsi="Arial" w:cs="Arial"/>
          <w:sz w:val="20"/>
          <w:szCs w:val="20"/>
        </w:rPr>
        <w:t>For inquiries please contact:</w:t>
      </w:r>
    </w:p>
    <w:p w14:paraId="1A0C1FB9" w14:textId="3C226EA0" w:rsidR="00997CEA" w:rsidRPr="003B5C51" w:rsidRDefault="00B53113" w:rsidP="00912885">
      <w:pPr>
        <w:widowControl w:val="0"/>
        <w:spacing w:before="120"/>
        <w:outlineLvl w:val="0"/>
        <w:rPr>
          <w:rFonts w:ascii="Arial" w:hAnsi="Arial" w:cs="Arial"/>
          <w:sz w:val="20"/>
          <w:szCs w:val="20"/>
          <w:highlight w:val="green"/>
        </w:rPr>
      </w:pPr>
      <w:r w:rsidRPr="003B5C51">
        <w:rPr>
          <w:rFonts w:ascii="Arial" w:hAnsi="Arial" w:cs="Arial"/>
          <w:sz w:val="20"/>
          <w:szCs w:val="20"/>
        </w:rPr>
        <w:t>Marisa Tormakh</w:t>
      </w:r>
    </w:p>
    <w:p w14:paraId="5E29AA70" w14:textId="79494FB4" w:rsidR="00997CEA" w:rsidRPr="00902562" w:rsidRDefault="00997CEA" w:rsidP="00D17181">
      <w:pPr>
        <w:widowControl w:val="0"/>
        <w:outlineLvl w:val="0"/>
        <w:rPr>
          <w:rFonts w:ascii="Arial" w:hAnsi="Arial" w:cs="Arial"/>
          <w:sz w:val="20"/>
          <w:szCs w:val="20"/>
        </w:rPr>
      </w:pPr>
      <w:r>
        <w:rPr>
          <w:rFonts w:ascii="Arial" w:hAnsi="Arial" w:cs="Arial"/>
          <w:sz w:val="20"/>
          <w:szCs w:val="20"/>
        </w:rPr>
        <w:t>Vice-President, Finance &amp; CFO</w:t>
      </w:r>
    </w:p>
    <w:p w14:paraId="7F7C674C" w14:textId="11EB5DC2" w:rsidR="00997CEA" w:rsidRPr="00902562" w:rsidRDefault="00997CEA" w:rsidP="00D17181">
      <w:pPr>
        <w:widowControl w:val="0"/>
        <w:rPr>
          <w:rFonts w:ascii="Arial" w:hAnsi="Arial" w:cs="Arial"/>
          <w:sz w:val="20"/>
          <w:szCs w:val="20"/>
        </w:rPr>
      </w:pPr>
      <w:r>
        <w:rPr>
          <w:rFonts w:ascii="Arial" w:hAnsi="Arial" w:cs="Arial"/>
          <w:sz w:val="20"/>
          <w:szCs w:val="20"/>
        </w:rPr>
        <w:t>Ph: (403) 232-1150</w:t>
      </w:r>
    </w:p>
    <w:p w14:paraId="6293BBEE" w14:textId="07E2C0A1" w:rsidR="00997CEA" w:rsidRPr="00902562" w:rsidRDefault="00997CEA" w:rsidP="00D17181">
      <w:pPr>
        <w:widowControl w:val="0"/>
        <w:rPr>
          <w:rFonts w:ascii="Arial" w:hAnsi="Arial" w:cs="Arial"/>
          <w:sz w:val="20"/>
          <w:szCs w:val="20"/>
        </w:rPr>
      </w:pPr>
      <w:r>
        <w:rPr>
          <w:rFonts w:ascii="Arial" w:hAnsi="Arial" w:cs="Arial"/>
          <w:sz w:val="20"/>
          <w:szCs w:val="20"/>
        </w:rPr>
        <w:t>Crown Point Energy Inc.</w:t>
      </w:r>
    </w:p>
    <w:p w14:paraId="589D73E6" w14:textId="21996CEE" w:rsidR="00997CEA" w:rsidRPr="00902562" w:rsidRDefault="00997CEA" w:rsidP="00D17181">
      <w:pPr>
        <w:widowControl w:val="0"/>
        <w:rPr>
          <w:rFonts w:ascii="Arial" w:hAnsi="Arial" w:cs="Arial"/>
          <w:sz w:val="20"/>
          <w:szCs w:val="20"/>
        </w:rPr>
      </w:pPr>
      <w:hyperlink r:id="rId14" w:history="1"/>
      <w:hyperlink r:id="rId15" w:history="1">
        <w:r w:rsidR="007003F5" w:rsidRPr="00E12617">
          <w:rPr>
            <w:rStyle w:val="Hyperlink"/>
            <w:rFonts w:ascii="Arial" w:hAnsi="Arial" w:cs="Arial"/>
            <w:sz w:val="20"/>
            <w:szCs w:val="20"/>
          </w:rPr>
          <w:t>mtormakh@crownpointenergy.com</w:t>
        </w:r>
      </w:hyperlink>
      <w:r w:rsidR="001C3A55">
        <w:rPr>
          <w:rFonts w:ascii="Arial" w:hAnsi="Arial" w:cs="Arial"/>
          <w:sz w:val="20"/>
          <w:szCs w:val="20"/>
        </w:rPr>
        <w:t xml:space="preserve"> </w:t>
      </w:r>
    </w:p>
    <w:p w14:paraId="2B74219D" w14:textId="77777777" w:rsidR="0042733B" w:rsidRPr="00902562" w:rsidRDefault="0042733B" w:rsidP="00D17181">
      <w:pPr>
        <w:widowControl w:val="0"/>
        <w:rPr>
          <w:rFonts w:ascii="Arial" w:hAnsi="Arial" w:cs="Arial"/>
          <w:b/>
          <w:i/>
          <w:sz w:val="20"/>
          <w:szCs w:val="20"/>
        </w:rPr>
      </w:pPr>
    </w:p>
    <w:p w14:paraId="213A3C75" w14:textId="77777777" w:rsidR="00997CEA" w:rsidRPr="00902562" w:rsidRDefault="00193809" w:rsidP="00D17181">
      <w:pPr>
        <w:widowControl w:val="0"/>
        <w:rPr>
          <w:rFonts w:ascii="Arial" w:hAnsi="Arial" w:cs="Arial"/>
          <w:b/>
          <w:i/>
          <w:sz w:val="20"/>
          <w:szCs w:val="20"/>
        </w:rPr>
      </w:pPr>
      <w:r>
        <w:rPr>
          <w:rFonts w:ascii="Arial" w:hAnsi="Arial" w:cs="Arial"/>
          <w:b/>
          <w:i/>
          <w:sz w:val="20"/>
          <w:szCs w:val="20"/>
        </w:rPr>
        <w:t>About Crown Point</w:t>
      </w:r>
    </w:p>
    <w:p w14:paraId="522E25BA" w14:textId="12D426A9" w:rsidR="001757BE" w:rsidRDefault="00843B59" w:rsidP="00F458A0">
      <w:pPr>
        <w:pStyle w:val="MICONHEADER1"/>
        <w:widowControl w:val="0"/>
        <w:spacing w:line="240" w:lineRule="atLeast"/>
        <w:ind w:left="0"/>
        <w:rPr>
          <w:rFonts w:ascii="Arial" w:hAnsi="Arial" w:cs="Arial"/>
          <w:b w:val="0"/>
          <w:bCs/>
          <w:caps w:val="0"/>
          <w:sz w:val="22"/>
          <w:szCs w:val="22"/>
        </w:rPr>
      </w:pPr>
      <w:r>
        <w:rPr>
          <w:rFonts w:ascii="Arial" w:hAnsi="Arial" w:cs="Arial"/>
          <w:b w:val="0"/>
          <w:bCs/>
          <w:caps w:val="0"/>
          <w:sz w:val="20"/>
          <w:szCs w:val="20"/>
        </w:rPr>
        <w:t xml:space="preserve">Crown Point Energy Inc. is an international oil and gas exploration and development company headquartered in </w:t>
      </w:r>
      <w:r w:rsidR="00D41AD7">
        <w:rPr>
          <w:rFonts w:ascii="Arial" w:hAnsi="Arial" w:cs="Arial"/>
          <w:b w:val="0"/>
          <w:bCs/>
          <w:caps w:val="0"/>
          <w:sz w:val="20"/>
          <w:szCs w:val="20"/>
        </w:rPr>
        <w:t>Buenos Aires, Argentina</w:t>
      </w:r>
      <w:r>
        <w:rPr>
          <w:rFonts w:ascii="Arial" w:hAnsi="Arial" w:cs="Arial"/>
          <w:b w:val="0"/>
          <w:bCs/>
          <w:caps w:val="0"/>
          <w:sz w:val="20"/>
          <w:szCs w:val="20"/>
        </w:rPr>
        <w:t xml:space="preserve">, incorporated in Canada, trading on the TSX Venture Exchange and operating in Argentina. Crown Point’s exploration and development activities are focused in </w:t>
      </w:r>
      <w:r w:rsidR="00D41AD7">
        <w:rPr>
          <w:rFonts w:ascii="Arial" w:hAnsi="Arial" w:cs="Arial"/>
          <w:b w:val="0"/>
          <w:bCs/>
          <w:caps w:val="0"/>
          <w:sz w:val="20"/>
          <w:szCs w:val="20"/>
        </w:rPr>
        <w:t xml:space="preserve">four </w:t>
      </w:r>
      <w:r>
        <w:rPr>
          <w:rFonts w:ascii="Arial" w:hAnsi="Arial" w:cs="Arial"/>
          <w:b w:val="0"/>
          <w:bCs/>
          <w:caps w:val="0"/>
          <w:sz w:val="20"/>
          <w:szCs w:val="20"/>
        </w:rPr>
        <w:t xml:space="preserve">producing basins in Argentina, </w:t>
      </w:r>
      <w:r w:rsidR="00D41AD7">
        <w:rPr>
          <w:rFonts w:ascii="Arial" w:hAnsi="Arial" w:cs="Arial"/>
          <w:b w:val="0"/>
          <w:bCs/>
          <w:caps w:val="0"/>
          <w:sz w:val="20"/>
          <w:szCs w:val="20"/>
        </w:rPr>
        <w:t xml:space="preserve">the Golfo San Jorge basin in the Province of Santa Cruz, </w:t>
      </w:r>
      <w:r>
        <w:rPr>
          <w:rFonts w:ascii="Arial" w:hAnsi="Arial" w:cs="Arial"/>
          <w:b w:val="0"/>
          <w:bCs/>
          <w:caps w:val="0"/>
          <w:sz w:val="20"/>
          <w:szCs w:val="20"/>
        </w:rPr>
        <w:t xml:space="preserve">the Austral basin in the province of Tierra del Fuego, and the Neuquén and Cuyo </w:t>
      </w:r>
      <w:r w:rsidR="007F59BC">
        <w:rPr>
          <w:rFonts w:ascii="Arial" w:hAnsi="Arial" w:cs="Arial"/>
          <w:b w:val="0"/>
          <w:bCs/>
          <w:caps w:val="0"/>
          <w:sz w:val="20"/>
          <w:szCs w:val="20"/>
        </w:rPr>
        <w:t xml:space="preserve">(or </w:t>
      </w:r>
      <w:proofErr w:type="spellStart"/>
      <w:r w:rsidR="007F59BC">
        <w:rPr>
          <w:rFonts w:ascii="Arial" w:hAnsi="Arial" w:cs="Arial"/>
          <w:b w:val="0"/>
          <w:bCs/>
          <w:caps w:val="0"/>
          <w:sz w:val="20"/>
          <w:szCs w:val="20"/>
        </w:rPr>
        <w:t>Cuyana</w:t>
      </w:r>
      <w:proofErr w:type="spellEnd"/>
      <w:r w:rsidR="007F59BC">
        <w:rPr>
          <w:rFonts w:ascii="Arial" w:hAnsi="Arial" w:cs="Arial"/>
          <w:b w:val="0"/>
          <w:bCs/>
          <w:caps w:val="0"/>
          <w:sz w:val="20"/>
          <w:szCs w:val="20"/>
        </w:rPr>
        <w:t xml:space="preserve">) </w:t>
      </w:r>
      <w:r>
        <w:rPr>
          <w:rFonts w:ascii="Arial" w:hAnsi="Arial" w:cs="Arial"/>
          <w:b w:val="0"/>
          <w:bCs/>
          <w:caps w:val="0"/>
          <w:sz w:val="20"/>
          <w:szCs w:val="20"/>
        </w:rPr>
        <w:t xml:space="preserve">basins in the province of Mendoza. Crown Point has a strategy that focuses on establishing a portfolio of producing properties, plus production enhancement and exploration opportunities to provide a basis for future growth. </w:t>
      </w:r>
    </w:p>
    <w:p w14:paraId="4F6A2683" w14:textId="77777777" w:rsidR="00B84B7A" w:rsidRDefault="00B84B7A" w:rsidP="005D19BE">
      <w:pPr>
        <w:widowControl w:val="0"/>
        <w:jc w:val="both"/>
        <w:rPr>
          <w:rFonts w:ascii="Arial" w:hAnsi="Arial"/>
          <w:b/>
          <w:i/>
          <w:sz w:val="14"/>
        </w:rPr>
      </w:pPr>
    </w:p>
    <w:p w14:paraId="3654568B" w14:textId="77777777" w:rsidR="001757BE" w:rsidRPr="00902562" w:rsidRDefault="00193809" w:rsidP="005D19BE">
      <w:pPr>
        <w:widowControl w:val="0"/>
        <w:jc w:val="both"/>
        <w:rPr>
          <w:rFonts w:ascii="Arial" w:hAnsi="Arial"/>
          <w:b/>
          <w:i/>
          <w:sz w:val="14"/>
        </w:rPr>
      </w:pPr>
      <w:r>
        <w:rPr>
          <w:rFonts w:ascii="Arial" w:hAnsi="Arial"/>
          <w:b/>
          <w:i/>
          <w:sz w:val="14"/>
        </w:rPr>
        <w:t>Advisory</w:t>
      </w:r>
    </w:p>
    <w:p w14:paraId="5C88DC00" w14:textId="0DFBF544" w:rsidR="00111AED" w:rsidRPr="00825896" w:rsidRDefault="00111AED" w:rsidP="00912885">
      <w:pPr>
        <w:pStyle w:val="BodyText"/>
        <w:widowControl w:val="0"/>
        <w:spacing w:before="60" w:after="0" w:line="240" w:lineRule="auto"/>
        <w:rPr>
          <w:rFonts w:ascii="Arial" w:hAnsi="Arial" w:cs="Arial"/>
          <w:i/>
          <w:sz w:val="14"/>
          <w:szCs w:val="14"/>
        </w:rPr>
      </w:pPr>
      <w:r>
        <w:rPr>
          <w:rFonts w:ascii="Arial" w:eastAsia="Calibri" w:hAnsi="Arial" w:cs="Arial"/>
          <w:i/>
          <w:sz w:val="14"/>
          <w:szCs w:val="14"/>
          <w:u w:val="single"/>
        </w:rPr>
        <w:t>Non-IFRS and Other Financial Measures</w:t>
      </w:r>
      <w:r>
        <w:rPr>
          <w:rFonts w:ascii="Arial" w:eastAsia="Calibri" w:hAnsi="Arial" w:cs="Arial"/>
          <w:i/>
          <w:sz w:val="14"/>
          <w:szCs w:val="14"/>
        </w:rPr>
        <w:t xml:space="preserve">: </w:t>
      </w:r>
      <w:r>
        <w:rPr>
          <w:rFonts w:ascii="Arial" w:hAnsi="Arial" w:cs="Arial"/>
          <w:i/>
          <w:sz w:val="14"/>
          <w:szCs w:val="14"/>
        </w:rPr>
        <w:t xml:space="preserve">Throughout this press release and in other materials disclosed by the Company, we employ certain measures to analyze financial performance, financial position, and cash flow. These non-IFRS and other financial measures do not have any standardized meaning prescribed by IFRS and therefore may not be comparable to similar measures provided by other issuers.  The non-IFRS and other financial measures should not be considered to be more meaningful than financial measures which are determined in accordance with IFRS, such as net income (loss), oil and natural gas sales revenue and net cash </w:t>
      </w:r>
      <w:r w:rsidR="00473DE7">
        <w:rPr>
          <w:rFonts w:ascii="Arial" w:hAnsi="Arial" w:cs="Arial"/>
          <w:i/>
          <w:sz w:val="14"/>
          <w:szCs w:val="14"/>
        </w:rPr>
        <w:t xml:space="preserve">(used) </w:t>
      </w:r>
      <w:r>
        <w:rPr>
          <w:rFonts w:ascii="Arial" w:hAnsi="Arial" w:cs="Arial"/>
          <w:i/>
          <w:sz w:val="14"/>
          <w:szCs w:val="14"/>
        </w:rPr>
        <w:t xml:space="preserve">provided by operating activities as indicators of our performance.  </w:t>
      </w:r>
    </w:p>
    <w:p w14:paraId="63FC7477" w14:textId="7DA5183B" w:rsidR="003F2A86" w:rsidRPr="003F2A86" w:rsidRDefault="003F2A86" w:rsidP="003F2A86">
      <w:pPr>
        <w:pStyle w:val="Ne3"/>
        <w:widowControl w:val="0"/>
        <w:spacing w:before="60" w:line="240" w:lineRule="auto"/>
        <w:ind w:left="0"/>
        <w:rPr>
          <w:rFonts w:cs="Arial"/>
          <w:i/>
          <w:sz w:val="14"/>
          <w:szCs w:val="14"/>
        </w:rPr>
      </w:pPr>
      <w:r>
        <w:rPr>
          <w:rFonts w:cs="Arial"/>
          <w:i/>
          <w:sz w:val="14"/>
          <w:szCs w:val="14"/>
        </w:rPr>
        <w:t xml:space="preserve">"Operating Netback" is a non-IFRS measure.  Operating netback is comprised of oil and natural gas sales </w:t>
      </w:r>
      <w:r w:rsidR="00075E49">
        <w:rPr>
          <w:rFonts w:cs="Arial"/>
          <w:i/>
          <w:sz w:val="14"/>
          <w:szCs w:val="14"/>
        </w:rPr>
        <w:t xml:space="preserve">revenue </w:t>
      </w:r>
      <w:r>
        <w:rPr>
          <w:rFonts w:cs="Arial"/>
          <w:i/>
          <w:sz w:val="14"/>
          <w:szCs w:val="14"/>
        </w:rPr>
        <w:t xml:space="preserve">less export tax, royalties and turnover tax and operating costs.  </w:t>
      </w:r>
      <w:r>
        <w:rPr>
          <w:i/>
          <w:sz w:val="14"/>
          <w:szCs w:val="14"/>
        </w:rPr>
        <w:t xml:space="preserve">Management believes this measure is a useful supplemental measure of the Company’s profitability relative to commodity prices.  </w:t>
      </w:r>
      <w:r>
        <w:rPr>
          <w:rFonts w:cs="Arial"/>
          <w:i/>
          <w:sz w:val="14"/>
          <w:szCs w:val="14"/>
        </w:rPr>
        <w:t>See “Operating Netback” for a reconciliation of operating netback to oil and natural gas sales revenue, being our nearest measure prescribed by IFRS.</w:t>
      </w:r>
    </w:p>
    <w:p w14:paraId="670CEF04" w14:textId="77777777" w:rsidR="001402A6" w:rsidRDefault="001402A6" w:rsidP="001402A6">
      <w:pPr>
        <w:pStyle w:val="BodyText"/>
        <w:widowControl w:val="0"/>
        <w:spacing w:before="60" w:after="0" w:line="240" w:lineRule="auto"/>
        <w:rPr>
          <w:rFonts w:ascii="Arial" w:hAnsi="Arial" w:cs="Arial"/>
          <w:i/>
          <w:sz w:val="14"/>
          <w:szCs w:val="14"/>
        </w:rPr>
      </w:pPr>
      <w:r>
        <w:rPr>
          <w:rFonts w:ascii="Arial" w:hAnsi="Arial" w:cs="Arial"/>
          <w:i/>
          <w:sz w:val="14"/>
          <w:szCs w:val="14"/>
        </w:rPr>
        <w:t>"Operating netback per BOE" is a non-IFRS ratio.  Operating netback per BOE is comprised of operating netback divided by total BOE sales volumes in the period.  Management believes this measure is a useful supplemental measure of the Company’s profitability relative to commodity prices.  In addition, management believes that operating netback per BOE is a key industry performance measure of operational efficiency and provide investors with information that is also commonly presented by other crude oil and natural gas producers.  Operating netback is a non-IFRS measure.  See "Operating Netback" for the calculation of operating netback per BOE.</w:t>
      </w:r>
    </w:p>
    <w:p w14:paraId="763A5AF8" w14:textId="77777777" w:rsidR="001402A6" w:rsidRPr="007051B2" w:rsidRDefault="001402A6" w:rsidP="001402A6">
      <w:pPr>
        <w:pStyle w:val="BodyText"/>
        <w:widowControl w:val="0"/>
        <w:spacing w:before="60" w:after="0" w:line="240" w:lineRule="auto"/>
        <w:rPr>
          <w:rFonts w:ascii="Arial" w:hAnsi="Arial" w:cs="Arial"/>
          <w:i/>
          <w:sz w:val="14"/>
          <w:szCs w:val="14"/>
        </w:rPr>
      </w:pPr>
      <w:r>
        <w:rPr>
          <w:rFonts w:ascii="Arial" w:hAnsi="Arial" w:cs="Arial"/>
          <w:i/>
          <w:sz w:val="14"/>
          <w:szCs w:val="14"/>
        </w:rPr>
        <w:t xml:space="preserve">"Working capital" is a capital management measure.  Working capital is comprised of current assets </w:t>
      </w:r>
      <w:proofErr w:type="gramStart"/>
      <w:r>
        <w:rPr>
          <w:rFonts w:ascii="Arial" w:hAnsi="Arial" w:cs="Arial"/>
          <w:i/>
          <w:sz w:val="14"/>
          <w:szCs w:val="14"/>
        </w:rPr>
        <w:t>less</w:t>
      </w:r>
      <w:proofErr w:type="gramEnd"/>
      <w:r>
        <w:rPr>
          <w:rFonts w:ascii="Arial" w:hAnsi="Arial" w:cs="Arial"/>
          <w:i/>
          <w:sz w:val="14"/>
          <w:szCs w:val="14"/>
        </w:rPr>
        <w:t xml:space="preserve"> current liabilities.  Management believes that working capital is a useful measure to assess the Company's capital position and its ability to execute its existing exploration commitments and its share of any development programs.  See “Summary of Financial Information” for a reconciliation of working capital to current assets and current liabilities, being our nearest measures prescribed by IFRS.</w:t>
      </w:r>
    </w:p>
    <w:p w14:paraId="37C0D93A" w14:textId="163A680A" w:rsidR="00111AED" w:rsidRPr="00E30C31" w:rsidRDefault="00111AED" w:rsidP="00912885">
      <w:pPr>
        <w:widowControl w:val="0"/>
        <w:spacing w:before="60"/>
        <w:jc w:val="both"/>
        <w:rPr>
          <w:rFonts w:ascii="Arial" w:hAnsi="Arial" w:cs="Arial"/>
          <w:i/>
          <w:sz w:val="14"/>
          <w:szCs w:val="14"/>
        </w:rPr>
      </w:pPr>
      <w:r>
        <w:rPr>
          <w:rFonts w:ascii="Arial" w:eastAsia="Calibri" w:hAnsi="Arial" w:cs="Arial"/>
          <w:i/>
          <w:sz w:val="14"/>
          <w:szCs w:val="14"/>
          <w:u w:val="single"/>
        </w:rPr>
        <w:t>Abbreviations and BOE Presentation</w:t>
      </w:r>
      <w:r>
        <w:rPr>
          <w:rFonts w:ascii="Arial" w:eastAsia="Calibri" w:hAnsi="Arial" w:cs="Arial"/>
          <w:i/>
          <w:sz w:val="14"/>
          <w:szCs w:val="14"/>
        </w:rPr>
        <w:t xml:space="preserve">: </w:t>
      </w:r>
      <w:r>
        <w:rPr>
          <w:rFonts w:ascii="Arial" w:hAnsi="Arial" w:cs="Arial"/>
          <w:i/>
          <w:sz w:val="14"/>
          <w:szCs w:val="14"/>
        </w:rPr>
        <w:t>"</w:t>
      </w:r>
      <w:proofErr w:type="spellStart"/>
      <w:r>
        <w:rPr>
          <w:rFonts w:ascii="Arial" w:hAnsi="Arial" w:cs="Arial"/>
          <w:i/>
          <w:sz w:val="14"/>
          <w:szCs w:val="14"/>
        </w:rPr>
        <w:t>bbl</w:t>
      </w:r>
      <w:proofErr w:type="spellEnd"/>
      <w:r>
        <w:rPr>
          <w:rFonts w:ascii="Arial" w:hAnsi="Arial" w:cs="Arial"/>
          <w:i/>
          <w:sz w:val="14"/>
          <w:szCs w:val="14"/>
        </w:rPr>
        <w:t>" means barrel;</w:t>
      </w:r>
      <w:r>
        <w:rPr>
          <w:rFonts w:ascii="Arial" w:eastAsia="Calibri" w:hAnsi="Arial" w:cs="Arial"/>
          <w:i/>
          <w:sz w:val="14"/>
          <w:szCs w:val="14"/>
        </w:rPr>
        <w:t xml:space="preserve"> "</w:t>
      </w:r>
      <w:proofErr w:type="spellStart"/>
      <w:r>
        <w:rPr>
          <w:rFonts w:ascii="Arial" w:eastAsia="Calibri" w:hAnsi="Arial" w:cs="Arial"/>
          <w:i/>
          <w:sz w:val="14"/>
          <w:szCs w:val="14"/>
        </w:rPr>
        <w:t>bbls</w:t>
      </w:r>
      <w:proofErr w:type="spellEnd"/>
      <w:r>
        <w:rPr>
          <w:rFonts w:ascii="Arial" w:eastAsia="Calibri" w:hAnsi="Arial" w:cs="Arial"/>
          <w:i/>
          <w:sz w:val="14"/>
          <w:szCs w:val="14"/>
        </w:rPr>
        <w:t>"</w:t>
      </w:r>
      <w:r>
        <w:rPr>
          <w:rFonts w:ascii="Arial" w:eastAsia="Calibri" w:hAnsi="Arial"/>
          <w:i/>
          <w:sz w:val="14"/>
        </w:rPr>
        <w:t xml:space="preserve"> means barrels; </w:t>
      </w:r>
      <w:r>
        <w:rPr>
          <w:rFonts w:ascii="Arial" w:eastAsia="Calibri" w:hAnsi="Arial" w:cs="Arial"/>
          <w:i/>
          <w:sz w:val="14"/>
          <w:szCs w:val="14"/>
        </w:rPr>
        <w:t>"BOE" means barrels of oil equivalent; "mcf” means thousand cubic feet</w:t>
      </w:r>
      <w:r w:rsidR="00A338FB">
        <w:rPr>
          <w:rFonts w:ascii="Arial" w:eastAsia="Calibri" w:hAnsi="Arial" w:cs="Arial"/>
          <w:i/>
          <w:sz w:val="14"/>
          <w:szCs w:val="14"/>
        </w:rPr>
        <w:t>;</w:t>
      </w:r>
      <w:r>
        <w:rPr>
          <w:rFonts w:ascii="Arial" w:eastAsia="Calibri" w:hAnsi="Arial" w:cs="Arial"/>
          <w:i/>
          <w:sz w:val="14"/>
          <w:szCs w:val="14"/>
        </w:rPr>
        <w:t xml:space="preserve"> "</w:t>
      </w:r>
      <w:proofErr w:type="spellStart"/>
      <w:r>
        <w:rPr>
          <w:rFonts w:ascii="Arial" w:eastAsia="Calibri" w:hAnsi="Arial" w:cs="Arial"/>
          <w:i/>
          <w:sz w:val="14"/>
          <w:szCs w:val="14"/>
        </w:rPr>
        <w:t>mmcf</w:t>
      </w:r>
      <w:proofErr w:type="spellEnd"/>
      <w:r>
        <w:rPr>
          <w:rFonts w:ascii="Arial" w:eastAsia="Calibri" w:hAnsi="Arial" w:cs="Arial"/>
          <w:i/>
          <w:sz w:val="14"/>
          <w:szCs w:val="14"/>
        </w:rPr>
        <w:t>" means million cubic feet, "NGL" means natural gas liquids;</w:t>
      </w:r>
      <w:r>
        <w:rPr>
          <w:rFonts w:ascii="Arial" w:eastAsia="Calibri" w:hAnsi="Arial"/>
          <w:i/>
          <w:sz w:val="14"/>
        </w:rPr>
        <w:t xml:space="preserve"> "UTE" </w:t>
      </w:r>
      <w:r>
        <w:rPr>
          <w:rFonts w:ascii="Arial" w:eastAsia="Calibri" w:hAnsi="Arial" w:cs="Arial"/>
          <w:i/>
          <w:sz w:val="14"/>
          <w:szCs w:val="14"/>
        </w:rPr>
        <w:t xml:space="preserve">means </w:t>
      </w:r>
      <w:r>
        <w:rPr>
          <w:rFonts w:ascii="Arial" w:hAnsi="Arial" w:cs="Arial"/>
          <w:i/>
          <w:sz w:val="14"/>
          <w:szCs w:val="14"/>
        </w:rPr>
        <w:t xml:space="preserve">Union </w:t>
      </w:r>
      <w:proofErr w:type="spellStart"/>
      <w:r>
        <w:rPr>
          <w:rFonts w:ascii="Arial" w:hAnsi="Arial" w:cs="Arial"/>
          <w:i/>
          <w:sz w:val="14"/>
          <w:szCs w:val="14"/>
        </w:rPr>
        <w:t>Transitoria</w:t>
      </w:r>
      <w:proofErr w:type="spellEnd"/>
      <w:r>
        <w:rPr>
          <w:rFonts w:ascii="Arial" w:hAnsi="Arial" w:cs="Arial"/>
          <w:i/>
          <w:sz w:val="14"/>
          <w:szCs w:val="14"/>
        </w:rPr>
        <w:t xml:space="preserve"> de Empresas, which is a registered joint venture contract established under the laws of Argentina</w:t>
      </w:r>
      <w:r w:rsidR="00596803">
        <w:rPr>
          <w:rFonts w:ascii="Arial" w:eastAsia="Calibri" w:hAnsi="Arial" w:cs="Arial"/>
          <w:i/>
          <w:sz w:val="14"/>
          <w:szCs w:val="14"/>
        </w:rPr>
        <w:t xml:space="preserve"> and</w:t>
      </w:r>
      <w:r>
        <w:rPr>
          <w:rFonts w:ascii="Arial" w:eastAsia="Calibri" w:hAnsi="Arial" w:cs="Arial"/>
          <w:i/>
          <w:sz w:val="14"/>
          <w:szCs w:val="14"/>
        </w:rPr>
        <w:t xml:space="preserve"> </w:t>
      </w:r>
      <w:r>
        <w:rPr>
          <w:rFonts w:ascii="Arial" w:eastAsia="Calibri" w:hAnsi="Arial"/>
          <w:i/>
          <w:sz w:val="14"/>
        </w:rPr>
        <w:t>"WI" means working interest</w:t>
      </w:r>
      <w:r w:rsidR="00596803">
        <w:rPr>
          <w:rFonts w:ascii="Arial" w:eastAsia="Calibri" w:hAnsi="Arial"/>
          <w:i/>
          <w:sz w:val="14"/>
        </w:rPr>
        <w:t xml:space="preserve">. </w:t>
      </w:r>
      <w:r>
        <w:rPr>
          <w:rFonts w:ascii="Arial" w:hAnsi="Arial" w:cs="Arial"/>
          <w:i/>
          <w:sz w:val="14"/>
          <w:szCs w:val="14"/>
        </w:rPr>
        <w:t xml:space="preserve">All BOE conversions in this press release are derived by converting natural gas to oil in the ratio of six mcf of gas to one </w:t>
      </w:r>
      <w:proofErr w:type="spellStart"/>
      <w:r>
        <w:rPr>
          <w:rFonts w:ascii="Arial" w:hAnsi="Arial" w:cs="Arial"/>
          <w:i/>
          <w:sz w:val="14"/>
          <w:szCs w:val="14"/>
        </w:rPr>
        <w:t>bbl</w:t>
      </w:r>
      <w:proofErr w:type="spellEnd"/>
      <w:r>
        <w:rPr>
          <w:rFonts w:ascii="Arial" w:hAnsi="Arial" w:cs="Arial"/>
          <w:i/>
          <w:sz w:val="14"/>
          <w:szCs w:val="14"/>
        </w:rPr>
        <w:t xml:space="preserve"> of oil.  BOE may be misleading, particularly if used in isolation.  A BOE conversion ratio of six mcf of gas to one </w:t>
      </w:r>
      <w:proofErr w:type="spellStart"/>
      <w:r>
        <w:rPr>
          <w:rFonts w:ascii="Arial" w:hAnsi="Arial" w:cs="Arial"/>
          <w:i/>
          <w:sz w:val="14"/>
          <w:szCs w:val="14"/>
        </w:rPr>
        <w:t>bbl</w:t>
      </w:r>
      <w:proofErr w:type="spellEnd"/>
      <w:r>
        <w:rPr>
          <w:rFonts w:ascii="Arial" w:hAnsi="Arial" w:cs="Arial"/>
          <w:i/>
          <w:sz w:val="14"/>
          <w:szCs w:val="14"/>
        </w:rPr>
        <w:t xml:space="preserve"> of oil (6 mcf: 1 </w:t>
      </w:r>
      <w:proofErr w:type="spellStart"/>
      <w:r>
        <w:rPr>
          <w:rFonts w:ascii="Arial" w:hAnsi="Arial" w:cs="Arial"/>
          <w:i/>
          <w:sz w:val="14"/>
          <w:szCs w:val="14"/>
        </w:rPr>
        <w:t>bbl</w:t>
      </w:r>
      <w:proofErr w:type="spellEnd"/>
      <w:r>
        <w:rPr>
          <w:rFonts w:ascii="Arial" w:hAnsi="Arial" w:cs="Arial"/>
          <w:i/>
          <w:sz w:val="14"/>
          <w:szCs w:val="14"/>
        </w:rPr>
        <w:t>) is based on an energy equivalency conversion method primarily applicable at the burner tip and does not represent a value equivalency at the wellhead.  Given that the value ratio based on the price of crude oil as compared to natural gas in A</w:t>
      </w:r>
      <w:r w:rsidRPr="00F17C86">
        <w:rPr>
          <w:rFonts w:ascii="Arial" w:hAnsi="Arial" w:cs="Arial"/>
          <w:i/>
          <w:sz w:val="14"/>
          <w:szCs w:val="14"/>
        </w:rPr>
        <w:t xml:space="preserve">rgentina from time to time may be different from the energy equivalency conversion ratio of 6:1, utilizing a conversion on a 6:1 basis may be misleading as an indication of </w:t>
      </w:r>
      <w:r w:rsidRPr="00E30C31">
        <w:rPr>
          <w:rFonts w:ascii="Arial" w:hAnsi="Arial" w:cs="Arial"/>
          <w:i/>
          <w:sz w:val="14"/>
          <w:szCs w:val="14"/>
        </w:rPr>
        <w:t>value.</w:t>
      </w:r>
    </w:p>
    <w:p w14:paraId="17F423FC" w14:textId="34F67847" w:rsidR="00763017" w:rsidRPr="0018409C" w:rsidRDefault="00763017" w:rsidP="00763017">
      <w:pPr>
        <w:pStyle w:val="Ne3"/>
        <w:widowControl w:val="0"/>
        <w:spacing w:before="60" w:line="240" w:lineRule="auto"/>
        <w:ind w:left="0"/>
        <w:rPr>
          <w:color w:val="FF0000"/>
          <w:sz w:val="14"/>
          <w:szCs w:val="14"/>
        </w:rPr>
      </w:pPr>
      <w:bookmarkStart w:id="0" w:name="_Hlk150355452"/>
      <w:bookmarkStart w:id="1" w:name="_Hlk118884858"/>
      <w:r w:rsidRPr="00E30C31">
        <w:rPr>
          <w:rFonts w:eastAsia="Calibri" w:cs="Arial"/>
          <w:i/>
          <w:sz w:val="14"/>
          <w:szCs w:val="14"/>
          <w:u w:val="single"/>
        </w:rPr>
        <w:t>Forward-looking Information</w:t>
      </w:r>
      <w:r w:rsidRPr="00CD082C">
        <w:rPr>
          <w:rFonts w:eastAsia="Calibri" w:cs="Arial"/>
          <w:i/>
          <w:sz w:val="14"/>
          <w:szCs w:val="14"/>
        </w:rPr>
        <w:t xml:space="preserve">: </w:t>
      </w:r>
      <w:r w:rsidRPr="00CD082C">
        <w:rPr>
          <w:rFonts w:cs="Arial"/>
          <w:i/>
          <w:sz w:val="14"/>
          <w:szCs w:val="14"/>
        </w:rPr>
        <w:t>This document contains forward-looking information.  This information relates to future events and the Company’s future performance.  All information and statements contained herein that are not clearly historical in nature constitute forward-looking information.  Such information represents th</w:t>
      </w:r>
      <w:r w:rsidRPr="00CD082C">
        <w:rPr>
          <w:i/>
          <w:sz w:val="14"/>
          <w:szCs w:val="14"/>
        </w:rPr>
        <w:t xml:space="preserve">e Company’s internal projections, estimates, expectations, beliefs, plans, objectives, assumptions, intentions or statements about future events or </w:t>
      </w:r>
      <w:r w:rsidRPr="004F33C4">
        <w:rPr>
          <w:i/>
          <w:sz w:val="14"/>
          <w:szCs w:val="14"/>
        </w:rPr>
        <w:t xml:space="preserve">performance.  This information involves known or unknown risks, uncertainties and other factors that may cause actual results or events to differ materially from those anticipated in such forward-looking information.  In addition, this document may contain forward-looking information attributed to third party industry sources.  Crown Point believes that the expectations reflected in this forward-looking information are reasonable; however, undue reliance should not be placed on this forward-looking information, as there can be no assurance that the plans, intentions or expectations upon which they are based will occur. This press release contains forward-looking information concerning, among other things, the following: </w:t>
      </w:r>
      <w:r w:rsidR="004748BE">
        <w:rPr>
          <w:i/>
          <w:sz w:val="14"/>
          <w:szCs w:val="14"/>
        </w:rPr>
        <w:t xml:space="preserve">under "Update on Chubut Acquisition", our expectations regarding the terms, conditions and timing for closing the proposed acquisition of the Chubut Concessions; </w:t>
      </w:r>
      <w:r w:rsidRPr="004F33C4">
        <w:rPr>
          <w:i/>
          <w:sz w:val="14"/>
          <w:szCs w:val="14"/>
        </w:rPr>
        <w:t xml:space="preserve">under </w:t>
      </w:r>
      <w:r w:rsidRPr="004F33C4">
        <w:rPr>
          <w:rFonts w:cs="Arial"/>
          <w:i/>
          <w:sz w:val="14"/>
          <w:szCs w:val="14"/>
        </w:rPr>
        <w:t>“</w:t>
      </w:r>
      <w:r w:rsidRPr="004F33C4">
        <w:rPr>
          <w:i/>
          <w:sz w:val="14"/>
          <w:szCs w:val="14"/>
        </w:rPr>
        <w:t>Outlook</w:t>
      </w:r>
      <w:r w:rsidRPr="004F33C4">
        <w:rPr>
          <w:rFonts w:cs="Arial"/>
          <w:i/>
          <w:sz w:val="14"/>
          <w:szCs w:val="14"/>
        </w:rPr>
        <w:t>”</w:t>
      </w:r>
      <w:r w:rsidRPr="004F33C4">
        <w:rPr>
          <w:i/>
          <w:sz w:val="14"/>
          <w:szCs w:val="14"/>
        </w:rPr>
        <w:t xml:space="preserve">, our estimated capital expenditure budget for fiscal 2025, and the capital expenditures that we intend to make in our concessions during </w:t>
      </w:r>
      <w:r w:rsidR="004748BE">
        <w:rPr>
          <w:i/>
          <w:sz w:val="14"/>
          <w:szCs w:val="14"/>
        </w:rPr>
        <w:t>the balance of 2025</w:t>
      </w:r>
      <w:r w:rsidRPr="004F33C4">
        <w:rPr>
          <w:i/>
          <w:sz w:val="14"/>
          <w:szCs w:val="14"/>
        </w:rPr>
        <w:t xml:space="preserve">; and under </w:t>
      </w:r>
      <w:r w:rsidRPr="004F33C4">
        <w:rPr>
          <w:rFonts w:cs="Arial"/>
          <w:i/>
          <w:sz w:val="14"/>
          <w:szCs w:val="14"/>
        </w:rPr>
        <w:t>“About Crown Point”, all elements</w:t>
      </w:r>
      <w:r w:rsidRPr="004F33C4">
        <w:rPr>
          <w:i/>
          <w:sz w:val="14"/>
          <w:szCs w:val="14"/>
        </w:rPr>
        <w:t xml:space="preserve"> of the </w:t>
      </w:r>
      <w:r w:rsidRPr="004F33C4">
        <w:rPr>
          <w:rFonts w:cs="Arial"/>
          <w:i/>
          <w:sz w:val="14"/>
          <w:szCs w:val="14"/>
        </w:rPr>
        <w:t>Company’s business strategy and focus</w:t>
      </w:r>
      <w:r w:rsidRPr="004F33C4">
        <w:rPr>
          <w:i/>
          <w:sz w:val="14"/>
          <w:szCs w:val="14"/>
        </w:rPr>
        <w:t xml:space="preserve">. The reader is cautioned that such information, although considered reasonable by the Company, may prove to be incorrect. Actual results achieved during the forecast period will vary from the information provided in this document </w:t>
      </w:r>
      <w:proofErr w:type="gramStart"/>
      <w:r w:rsidRPr="004F33C4">
        <w:rPr>
          <w:i/>
          <w:sz w:val="14"/>
          <w:szCs w:val="14"/>
        </w:rPr>
        <w:t>as a result of</w:t>
      </w:r>
      <w:proofErr w:type="gramEnd"/>
      <w:r w:rsidRPr="004F33C4">
        <w:rPr>
          <w:i/>
          <w:sz w:val="14"/>
          <w:szCs w:val="14"/>
        </w:rPr>
        <w:t xml:space="preserve"> numerous known and unknown risks and uncertainties and other factors. A number of risks and other factors could cause actual results to differ materially from those expressed in the forward-looking information contained in this document including, but not limited to, the </w:t>
      </w:r>
      <w:r w:rsidRPr="001619ED">
        <w:rPr>
          <w:i/>
          <w:sz w:val="14"/>
          <w:szCs w:val="14"/>
        </w:rPr>
        <w:t xml:space="preserve">following: </w:t>
      </w:r>
      <w:r w:rsidR="001619ED" w:rsidRPr="001619ED">
        <w:rPr>
          <w:rFonts w:eastAsia="Arial" w:cs="Arial"/>
          <w:i/>
          <w:color w:val="000000"/>
          <w:sz w:val="14"/>
          <w:szCs w:val="14"/>
        </w:rPr>
        <w:t>the risk that the tariffs imposed or threatened to be imposed by the U.S. on other countries, and retaliatory tariffs imposed or threatened to be imposed by other countries on the U.S., will trigger a broader global trade war which could have a material adverse effect on global economies, and by extension the Argentine oil and natural gas industry and the Company, including by decreasing demand for (and the price of) oil and natural gas, disrupting supply chains, increasing costs, causing volatility in global financial markets, and limiting access to (and/or increasing the cost of) financing;</w:t>
      </w:r>
      <w:r w:rsidR="001619ED">
        <w:rPr>
          <w:rFonts w:eastAsia="Arial" w:cs="Arial"/>
          <w:i/>
          <w:color w:val="000000"/>
          <w:sz w:val="14"/>
          <w:szCs w:val="14"/>
        </w:rPr>
        <w:t xml:space="preserve"> </w:t>
      </w:r>
      <w:r w:rsidRPr="001619ED">
        <w:rPr>
          <w:rFonts w:cs="Arial"/>
          <w:i/>
          <w:spacing w:val="5"/>
          <w:sz w:val="14"/>
          <w:szCs w:val="14"/>
        </w:rPr>
        <w:t>that the Company is unable to truck oil to the Enap refinery</w:t>
      </w:r>
      <w:r w:rsidRPr="004F33C4">
        <w:rPr>
          <w:rFonts w:cs="Arial"/>
          <w:i/>
          <w:spacing w:val="5"/>
          <w:sz w:val="14"/>
          <w:szCs w:val="14"/>
        </w:rPr>
        <w:t xml:space="preserve"> and/or the Rio Cullen marine terminal and/or that the cost to do so rises and/or becomes uneconomic; that the price received by the Company for its oil is at a substantial discount to the Brent oil price; that </w:t>
      </w:r>
      <w:r w:rsidRPr="004F33C4">
        <w:rPr>
          <w:i/>
          <w:sz w:val="14"/>
          <w:szCs w:val="14"/>
        </w:rPr>
        <w:t xml:space="preserve">the Company is not able to meet its obligations as they become due and continue as a going concern; </w:t>
      </w:r>
      <w:r w:rsidR="004748BE">
        <w:rPr>
          <w:i/>
          <w:sz w:val="14"/>
          <w:szCs w:val="14"/>
        </w:rPr>
        <w:t>that the Company is unable to complete the proposed acquisition of the Chubut Concessions on the terms described herein or at all, whether due to the inability of the Company to obtain financing to fund the purchase price, obtain requisite regulatory approvals, satisfy applicable conditions prece</w:t>
      </w:r>
      <w:r w:rsidR="00911D8C">
        <w:rPr>
          <w:i/>
          <w:sz w:val="14"/>
          <w:szCs w:val="14"/>
        </w:rPr>
        <w:t>de</w:t>
      </w:r>
      <w:r w:rsidR="004748BE">
        <w:rPr>
          <w:i/>
          <w:sz w:val="14"/>
          <w:szCs w:val="14"/>
        </w:rPr>
        <w:t>n</w:t>
      </w:r>
      <w:r w:rsidR="00911D8C">
        <w:rPr>
          <w:i/>
          <w:sz w:val="14"/>
          <w:szCs w:val="14"/>
        </w:rPr>
        <w:t>t</w:t>
      </w:r>
      <w:r w:rsidR="004748BE">
        <w:rPr>
          <w:i/>
          <w:sz w:val="14"/>
          <w:szCs w:val="14"/>
        </w:rPr>
        <w:t xml:space="preserve">, or </w:t>
      </w:r>
      <w:r w:rsidR="00911D8C">
        <w:rPr>
          <w:i/>
          <w:sz w:val="14"/>
          <w:szCs w:val="14"/>
        </w:rPr>
        <w:t>otherwise</w:t>
      </w:r>
      <w:r w:rsidR="004748BE">
        <w:rPr>
          <w:i/>
          <w:sz w:val="14"/>
          <w:szCs w:val="14"/>
        </w:rPr>
        <w:t xml:space="preserve">; </w:t>
      </w:r>
      <w:r w:rsidRPr="004F33C4">
        <w:rPr>
          <w:i/>
          <w:sz w:val="14"/>
          <w:szCs w:val="14"/>
        </w:rPr>
        <w:t xml:space="preserve">risks associated with the insolvency and/or bankruptcy of our joint venture partners and/or the operators of the concessions in which we have an interest, including the risk that any such insolvency and/or bankruptcy has an adverse effect on one of our UTEs, one of our concessions and/or the Company; </w:t>
      </w:r>
      <w:r w:rsidRPr="004F33C4">
        <w:rPr>
          <w:rFonts w:cs="Arial"/>
          <w:i/>
          <w:spacing w:val="5"/>
          <w:sz w:val="14"/>
          <w:szCs w:val="14"/>
        </w:rPr>
        <w:t xml:space="preserve">and </w:t>
      </w:r>
      <w:r w:rsidRPr="004F33C4">
        <w:rPr>
          <w:i/>
          <w:sz w:val="14"/>
          <w:szCs w:val="14"/>
        </w:rPr>
        <w:t xml:space="preserve">the risks and other factors described under “Business Risks and Uncertainties” in our MD&amp;A and under “Risk Factors” in the Company’s most recently filed Annual Information Form, which is available for viewing on SEDAR+ at </w:t>
      </w:r>
      <w:hyperlink r:id="rId16" w:history="1">
        <w:r w:rsidRPr="004F33C4">
          <w:rPr>
            <w:rStyle w:val="Hyperlink"/>
            <w:i/>
            <w:color w:val="auto"/>
            <w:sz w:val="14"/>
            <w:szCs w:val="14"/>
          </w:rPr>
          <w:t>www.sedarplus.ca</w:t>
        </w:r>
      </w:hyperlink>
      <w:r w:rsidRPr="004F33C4">
        <w:rPr>
          <w:i/>
          <w:sz w:val="14"/>
          <w:szCs w:val="14"/>
        </w:rPr>
        <w:t xml:space="preserve">.  With respect to forward-looking information contained in this document, the Company has made assumptions regarding, among other things: </w:t>
      </w:r>
      <w:r w:rsidR="00911D8C">
        <w:rPr>
          <w:i/>
          <w:sz w:val="14"/>
          <w:szCs w:val="14"/>
        </w:rPr>
        <w:t xml:space="preserve">that the Company will complete the proposed acquisition of the Chubut Concessions on the terms described herein on a timely basis, including the ability of the Company to obtain the requisite financing to fund the purchase price on acceptable terms, obtain all requisite regulatory approvals and satisfy all applicable conditions precedent; </w:t>
      </w:r>
      <w:r w:rsidRPr="004F33C4">
        <w:rPr>
          <w:rFonts w:cs="Arial"/>
          <w:i/>
          <w:sz w:val="14"/>
          <w:szCs w:val="14"/>
        </w:rPr>
        <w:t xml:space="preserve">the ability and willingness of OPEC+ nations and other major producers of crude oil to balance crude oil production levels and thereby sustain higher global crude oil prices; that our joint venture partners and the operators of our concessions that we do not operate will </w:t>
      </w:r>
      <w:proofErr w:type="spellStart"/>
      <w:r w:rsidRPr="004F33C4">
        <w:rPr>
          <w:rFonts w:cs="Arial"/>
          <w:i/>
          <w:sz w:val="14"/>
          <w:szCs w:val="14"/>
        </w:rPr>
        <w:t>honour</w:t>
      </w:r>
      <w:proofErr w:type="spellEnd"/>
      <w:r w:rsidRPr="004F33C4">
        <w:rPr>
          <w:rFonts w:cs="Arial"/>
          <w:i/>
          <w:sz w:val="14"/>
          <w:szCs w:val="14"/>
        </w:rPr>
        <w:t xml:space="preserve"> their contractual commitments in a timely fashion and will not </w:t>
      </w:r>
      <w:r w:rsidRPr="004F33C4">
        <w:rPr>
          <w:rFonts w:cs="Arial"/>
          <w:i/>
          <w:sz w:val="14"/>
          <w:szCs w:val="14"/>
        </w:rPr>
        <w:lastRenderedPageBreak/>
        <w:t>become insolvent or bankrupt; the impact of inflation rates in Argentina and the devaluation of the Argentine peso against the USD on the Company; the impact of increasing competition; the general stability of the economic and political environment in which the Company operates, including operating under</w:t>
      </w:r>
      <w:r w:rsidRPr="004F33C4">
        <w:rPr>
          <w:i/>
          <w:sz w:val="14"/>
          <w:szCs w:val="14"/>
        </w:rPr>
        <w:t xml:space="preserve"> a consistent regulatory and legal framework in Argentina; future oil, natural gas and NGL prices (including the effects of governmental incentive programs and government price controls thereon); the timely receipt of any required regulatory approvals; the ability of the Company to obtain qualified staff, equipment and services in a timely and cost efficient manner; drilling results; the costs of obtaining equipment and personnel to complete the Company’s capital expenditure program; the ability to operate the projects in which the Company has an interest in a safe, efficient and effective manner; that the Company will not pay dividends for the foreseeable future; the ability of the Company to obtain financing on acceptable terms when and if needed and continue as a going concern; the ability of the Company to service its debt repayments when required; field production rates and decline rates; the ability to replace and expand oil and natural gas reserves through acquisition, development and exploration activities; the timing and costs of pipeline, storage and facility construction and expansion and the ability of the Company to secure</w:t>
      </w:r>
      <w:r w:rsidRPr="00CD082C">
        <w:rPr>
          <w:i/>
          <w:sz w:val="14"/>
          <w:szCs w:val="14"/>
        </w:rPr>
        <w:t xml:space="preserve"> adequate product transportation; currency, exchange, inflation and interest rates; the regulatory framework regarding royalties, taxes and environmental matters in Argentina; and the ability of the Company to successfully market its oil and natural gas products.  Management of Crown Point has included the above summary of assumptions and risks related to forward-looking information included in this document </w:t>
      </w:r>
      <w:proofErr w:type="gramStart"/>
      <w:r w:rsidRPr="00CD082C">
        <w:rPr>
          <w:i/>
          <w:sz w:val="14"/>
          <w:szCs w:val="14"/>
        </w:rPr>
        <w:t>in order to</w:t>
      </w:r>
      <w:proofErr w:type="gramEnd"/>
      <w:r w:rsidRPr="00CD082C">
        <w:rPr>
          <w:i/>
          <w:sz w:val="14"/>
          <w:szCs w:val="14"/>
        </w:rPr>
        <w:t xml:space="preserve"> provide investors with a more complete perspective on the Company’s future operations.  Readers are cautioned that this information may not </w:t>
      </w:r>
      <w:r w:rsidRPr="00CD082C">
        <w:rPr>
          <w:rFonts w:cs="Arial"/>
          <w:i/>
          <w:sz w:val="14"/>
          <w:szCs w:val="14"/>
        </w:rPr>
        <w:t xml:space="preserve">be appropriate for other purposes. Readers are cautioned that the foregoing lists of factors are not exhaustive.  The forward-looking information contained in this document are expressly qualified by this cautionary statement. The forward-looking information contained herein is made as of the date of this document and the Company disclaims any intent or obligation to update publicly any such forward-looking information, whether </w:t>
      </w:r>
      <w:proofErr w:type="gramStart"/>
      <w:r w:rsidRPr="00CD082C">
        <w:rPr>
          <w:rFonts w:cs="Arial"/>
          <w:i/>
          <w:sz w:val="14"/>
          <w:szCs w:val="14"/>
        </w:rPr>
        <w:t>as a result of</w:t>
      </w:r>
      <w:proofErr w:type="gramEnd"/>
      <w:r w:rsidRPr="00CD082C">
        <w:rPr>
          <w:rFonts w:cs="Arial"/>
          <w:i/>
          <w:sz w:val="14"/>
          <w:szCs w:val="14"/>
        </w:rPr>
        <w:t xml:space="preserve"> new information, future events or results or otherwise, other than as required by applicable Canadian securities laws.</w:t>
      </w:r>
    </w:p>
    <w:p w14:paraId="2F5BDEC3" w14:textId="77777777" w:rsidR="00763017" w:rsidRPr="00127416" w:rsidRDefault="00763017" w:rsidP="00763017">
      <w:pPr>
        <w:widowControl w:val="0"/>
        <w:spacing w:before="60"/>
        <w:jc w:val="both"/>
        <w:rPr>
          <w:rFonts w:ascii="Arial" w:hAnsi="Arial"/>
          <w:b/>
          <w:i/>
          <w:sz w:val="14"/>
        </w:rPr>
      </w:pPr>
      <w:r w:rsidRPr="00E30C31">
        <w:rPr>
          <w:rFonts w:ascii="Arial" w:hAnsi="Arial"/>
          <w:b/>
          <w:i/>
          <w:sz w:val="14"/>
          <w:szCs w:val="14"/>
        </w:rPr>
        <w:t>Neither</w:t>
      </w:r>
      <w:r>
        <w:rPr>
          <w:rFonts w:ascii="Arial" w:hAnsi="Arial"/>
          <w:b/>
          <w:i/>
          <w:sz w:val="14"/>
        </w:rPr>
        <w:t xml:space="preserve"> TSX Venture Exchange nor its Regulation Services Provider (as that term is defined in the policies of the TSX Venture Exchange) accepts responsibility for the adequacy or accuracy of this news release.</w:t>
      </w:r>
    </w:p>
    <w:bookmarkEnd w:id="0"/>
    <w:bookmarkEnd w:id="1"/>
    <w:p w14:paraId="2E586AC5" w14:textId="0EEB79FB" w:rsidR="00CA24A5" w:rsidRPr="00127416" w:rsidRDefault="00CA24A5" w:rsidP="00763017">
      <w:pPr>
        <w:pStyle w:val="Ne3"/>
        <w:widowControl w:val="0"/>
        <w:spacing w:before="60" w:line="240" w:lineRule="auto"/>
        <w:ind w:left="0"/>
        <w:rPr>
          <w:b/>
          <w:i/>
          <w:sz w:val="14"/>
        </w:rPr>
      </w:pPr>
    </w:p>
    <w:sectPr w:rsidR="00CA24A5" w:rsidRPr="00127416" w:rsidSect="00FD2E1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170" w:left="1440" w:header="360" w:footer="3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18948" w14:textId="77777777" w:rsidR="00A45E49" w:rsidRDefault="00A45E49" w:rsidP="00451CF4">
      <w:r>
        <w:separator/>
      </w:r>
    </w:p>
  </w:endnote>
  <w:endnote w:type="continuationSeparator" w:id="0">
    <w:p w14:paraId="689D2533" w14:textId="77777777" w:rsidR="00A45E49" w:rsidRDefault="00A45E49" w:rsidP="00451CF4">
      <w:r>
        <w:continuationSeparator/>
      </w:r>
    </w:p>
  </w:endnote>
  <w:endnote w:type="continuationNotice" w:id="1">
    <w:p w14:paraId="44435DA6" w14:textId="77777777" w:rsidR="00A45E49" w:rsidRDefault="00A45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EngravrsRoman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2F01" w14:textId="77777777" w:rsidR="008843BC" w:rsidRDefault="00884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2F7C" w14:textId="77777777" w:rsidR="00184829" w:rsidRDefault="00184829" w:rsidP="00F768A1">
    <w:pPr>
      <w:pStyle w:val="Footer"/>
      <w:jc w:val="center"/>
      <w:rPr>
        <w:rFonts w:ascii="Arial Narrow" w:hAnsi="Arial Narrow"/>
        <w:color w:val="002060"/>
        <w:sz w:val="20"/>
        <w:szCs w:val="20"/>
        <w:lang w:val="fr-CA"/>
      </w:rPr>
    </w:pPr>
    <w:r>
      <w:rPr>
        <w:rFonts w:ascii="Arial Narrow" w:hAnsi="Arial Narrow"/>
        <w:color w:val="002060"/>
        <w:sz w:val="20"/>
        <w:szCs w:val="20"/>
        <w:lang w:val="fr-CA"/>
      </w:rPr>
      <w:t>PO Box 1562 Station M., Calgary, Alberta, Canada T2P 3B</w:t>
    </w:r>
    <w:proofErr w:type="gramStart"/>
    <w:r>
      <w:rPr>
        <w:rFonts w:ascii="Arial Narrow" w:hAnsi="Arial Narrow"/>
        <w:color w:val="002060"/>
        <w:sz w:val="20"/>
        <w:szCs w:val="20"/>
        <w:lang w:val="fr-CA"/>
      </w:rPr>
      <w:t xml:space="preserve">9  </w:t>
    </w:r>
    <w:r>
      <w:rPr>
        <w:rFonts w:ascii="Arial Narrow" w:hAnsi="Arial Narrow"/>
        <w:b/>
        <w:color w:val="002060"/>
        <w:sz w:val="20"/>
        <w:szCs w:val="20"/>
        <w:lang w:val="fr-CA"/>
      </w:rPr>
      <w:t>T</w:t>
    </w:r>
    <w:proofErr w:type="gramEnd"/>
    <w:r>
      <w:rPr>
        <w:rFonts w:ascii="Arial Narrow" w:hAnsi="Arial Narrow"/>
        <w:color w:val="002060"/>
        <w:sz w:val="20"/>
        <w:szCs w:val="20"/>
        <w:lang w:val="fr-CA"/>
      </w:rPr>
      <w:t xml:space="preserve"> </w:t>
    </w:r>
    <w:proofErr w:type="gramStart"/>
    <w:r>
      <w:rPr>
        <w:rFonts w:ascii="Arial Narrow" w:hAnsi="Arial Narrow"/>
        <w:color w:val="002060"/>
        <w:sz w:val="20"/>
        <w:szCs w:val="20"/>
        <w:lang w:val="fr-CA"/>
      </w:rPr>
      <w:t xml:space="preserve">403.232.1150  </w:t>
    </w:r>
    <w:r>
      <w:rPr>
        <w:rFonts w:ascii="Arial Narrow" w:hAnsi="Arial Narrow"/>
        <w:b/>
        <w:color w:val="002060"/>
        <w:sz w:val="20"/>
        <w:szCs w:val="20"/>
        <w:lang w:val="fr-CA"/>
      </w:rPr>
      <w:t>F</w:t>
    </w:r>
    <w:proofErr w:type="gramEnd"/>
    <w:r>
      <w:rPr>
        <w:rFonts w:ascii="Arial Narrow" w:hAnsi="Arial Narrow"/>
        <w:color w:val="002060"/>
        <w:sz w:val="20"/>
        <w:szCs w:val="20"/>
        <w:lang w:val="fr-CA"/>
      </w:rPr>
      <w:t xml:space="preserve">  403.232.1158</w:t>
    </w:r>
  </w:p>
  <w:p w14:paraId="4D32682F" w14:textId="77777777" w:rsidR="00184829" w:rsidRDefault="00184829" w:rsidP="00F768A1">
    <w:pPr>
      <w:pStyle w:val="Footer"/>
      <w:jc w:val="center"/>
      <w:rPr>
        <w:rFonts w:ascii="Arial Narrow" w:hAnsi="Arial Narrow"/>
        <w:b/>
        <w:color w:val="002060"/>
        <w:sz w:val="20"/>
        <w:szCs w:val="20"/>
        <w:lang w:val="fr-CA"/>
      </w:rPr>
    </w:pPr>
    <w:r>
      <w:rPr>
        <w:rFonts w:ascii="Arial Narrow" w:hAnsi="Arial Narrow"/>
        <w:b/>
        <w:color w:val="002060"/>
        <w:sz w:val="20"/>
        <w:szCs w:val="20"/>
        <w:lang w:val="fr-CA"/>
      </w:rPr>
      <w:t>www.crownpointenergy.com</w:t>
    </w:r>
  </w:p>
  <w:p w14:paraId="21D3BF7F" w14:textId="77777777" w:rsidR="00184829" w:rsidRPr="005E10D3" w:rsidRDefault="00184829" w:rsidP="00FD5D14">
    <w:pPr>
      <w:pStyle w:val="Footer"/>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F77C" w14:textId="77777777" w:rsidR="008843BC" w:rsidRDefault="00884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E35E9" w14:textId="77777777" w:rsidR="00A45E49" w:rsidRDefault="00A45E49" w:rsidP="00451CF4">
      <w:r>
        <w:separator/>
      </w:r>
    </w:p>
  </w:footnote>
  <w:footnote w:type="continuationSeparator" w:id="0">
    <w:p w14:paraId="3CDEE7FF" w14:textId="77777777" w:rsidR="00A45E49" w:rsidRDefault="00A45E49" w:rsidP="00451CF4">
      <w:r>
        <w:continuationSeparator/>
      </w:r>
    </w:p>
  </w:footnote>
  <w:footnote w:type="continuationNotice" w:id="1">
    <w:p w14:paraId="479CD1D8" w14:textId="77777777" w:rsidR="00A45E49" w:rsidRDefault="00A45E49"/>
  </w:footnote>
  <w:footnote w:id="2">
    <w:p w14:paraId="2519C5DA" w14:textId="77777777" w:rsidR="002D3101" w:rsidRPr="006865E7" w:rsidRDefault="002D3101" w:rsidP="002D3101">
      <w:pPr>
        <w:pStyle w:val="FootnoteText"/>
        <w:rPr>
          <w:rFonts w:ascii="Arial" w:hAnsi="Arial" w:cs="Arial"/>
          <w:sz w:val="16"/>
          <w:szCs w:val="16"/>
          <w:lang w:val="en-CA"/>
        </w:rPr>
      </w:pPr>
      <w:r>
        <w:rPr>
          <w:rStyle w:val="FootnoteReference"/>
          <w:rFonts w:ascii="Arial" w:hAnsi="Arial" w:cs="Arial"/>
          <w:sz w:val="16"/>
          <w:szCs w:val="16"/>
        </w:rPr>
        <w:footnoteRef/>
      </w:r>
      <w:r>
        <w:rPr>
          <w:rFonts w:ascii="Arial" w:hAnsi="Arial" w:cs="Arial"/>
          <w:sz w:val="16"/>
          <w:szCs w:val="16"/>
        </w:rPr>
        <w:t xml:space="preserve"> Non-IFRS financial ratio.  See "Non-IFRS and Other Financial Measures".</w:t>
      </w:r>
    </w:p>
  </w:footnote>
  <w:footnote w:id="3">
    <w:p w14:paraId="68C7F7B0" w14:textId="77777777" w:rsidR="002D3101" w:rsidRPr="00666006" w:rsidRDefault="002D3101" w:rsidP="002D3101">
      <w:pPr>
        <w:pStyle w:val="FootnoteText"/>
        <w:rPr>
          <w:rFonts w:ascii="Arial" w:hAnsi="Arial" w:cs="Arial"/>
          <w:sz w:val="14"/>
          <w:szCs w:val="14"/>
          <w:lang w:val="en-CA"/>
        </w:rPr>
      </w:pPr>
      <w:r>
        <w:rPr>
          <w:rStyle w:val="FootnoteReference"/>
          <w:rFonts w:ascii="Arial" w:hAnsi="Arial" w:cs="Arial"/>
          <w:sz w:val="16"/>
          <w:szCs w:val="16"/>
        </w:rPr>
        <w:footnoteRef/>
      </w:r>
      <w:r>
        <w:rPr>
          <w:rFonts w:ascii="Arial" w:hAnsi="Arial" w:cs="Arial"/>
          <w:sz w:val="16"/>
          <w:szCs w:val="16"/>
        </w:rPr>
        <w:t xml:space="preserve"> Capital management measure.  See "Non-IFRS and Other Financial Measures".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60900" w14:textId="77777777" w:rsidR="008843BC" w:rsidRDefault="00884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6AE6" w14:textId="77777777" w:rsidR="00184829" w:rsidRDefault="00184829" w:rsidP="00451CF4">
    <w:pPr>
      <w:pStyle w:val="Header"/>
      <w:ind w:left="540" w:hanging="540"/>
      <w:jc w:val="right"/>
    </w:pPr>
    <w:r>
      <w:rPr>
        <w:noProof/>
      </w:rPr>
      <w:drawing>
        <wp:inline distT="0" distB="0" distL="0" distR="0" wp14:anchorId="0D321E76" wp14:editId="56C7433F">
          <wp:extent cx="1697355" cy="1038860"/>
          <wp:effectExtent l="19050" t="0" r="0" b="0"/>
          <wp:docPr id="3"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1CABC8E8" w14:textId="77777777" w:rsidR="00184829" w:rsidRDefault="00184829" w:rsidP="00451CF4">
    <w:pPr>
      <w:pStyle w:val="Header"/>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AF04" w14:textId="77777777" w:rsidR="008843BC" w:rsidRDefault="008843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096A"/>
    <w:multiLevelType w:val="hybridMultilevel"/>
    <w:tmpl w:val="6E6CC01C"/>
    <w:lvl w:ilvl="0" w:tplc="50B6EAAC">
      <w:start w:val="1"/>
      <w:numFmt w:val="decimal"/>
      <w:lvlText w:val="(%1)"/>
      <w:lvlJc w:val="left"/>
      <w:pPr>
        <w:ind w:left="534" w:hanging="360"/>
      </w:pPr>
      <w:rPr>
        <w:rFonts w:hint="default"/>
      </w:rPr>
    </w:lvl>
    <w:lvl w:ilvl="1" w:tplc="2C0A0019" w:tentative="1">
      <w:start w:val="1"/>
      <w:numFmt w:val="lowerLetter"/>
      <w:lvlText w:val="%2."/>
      <w:lvlJc w:val="left"/>
      <w:pPr>
        <w:ind w:left="1254" w:hanging="360"/>
      </w:pPr>
    </w:lvl>
    <w:lvl w:ilvl="2" w:tplc="2C0A001B" w:tentative="1">
      <w:start w:val="1"/>
      <w:numFmt w:val="lowerRoman"/>
      <w:lvlText w:val="%3."/>
      <w:lvlJc w:val="right"/>
      <w:pPr>
        <w:ind w:left="1974" w:hanging="180"/>
      </w:pPr>
    </w:lvl>
    <w:lvl w:ilvl="3" w:tplc="2C0A000F" w:tentative="1">
      <w:start w:val="1"/>
      <w:numFmt w:val="decimal"/>
      <w:lvlText w:val="%4."/>
      <w:lvlJc w:val="left"/>
      <w:pPr>
        <w:ind w:left="2694" w:hanging="360"/>
      </w:pPr>
    </w:lvl>
    <w:lvl w:ilvl="4" w:tplc="2C0A0019" w:tentative="1">
      <w:start w:val="1"/>
      <w:numFmt w:val="lowerLetter"/>
      <w:lvlText w:val="%5."/>
      <w:lvlJc w:val="left"/>
      <w:pPr>
        <w:ind w:left="3414" w:hanging="360"/>
      </w:pPr>
    </w:lvl>
    <w:lvl w:ilvl="5" w:tplc="2C0A001B" w:tentative="1">
      <w:start w:val="1"/>
      <w:numFmt w:val="lowerRoman"/>
      <w:lvlText w:val="%6."/>
      <w:lvlJc w:val="right"/>
      <w:pPr>
        <w:ind w:left="4134" w:hanging="180"/>
      </w:pPr>
    </w:lvl>
    <w:lvl w:ilvl="6" w:tplc="2C0A000F" w:tentative="1">
      <w:start w:val="1"/>
      <w:numFmt w:val="decimal"/>
      <w:lvlText w:val="%7."/>
      <w:lvlJc w:val="left"/>
      <w:pPr>
        <w:ind w:left="4854" w:hanging="360"/>
      </w:pPr>
    </w:lvl>
    <w:lvl w:ilvl="7" w:tplc="2C0A0019" w:tentative="1">
      <w:start w:val="1"/>
      <w:numFmt w:val="lowerLetter"/>
      <w:lvlText w:val="%8."/>
      <w:lvlJc w:val="left"/>
      <w:pPr>
        <w:ind w:left="5574" w:hanging="360"/>
      </w:pPr>
    </w:lvl>
    <w:lvl w:ilvl="8" w:tplc="2C0A001B" w:tentative="1">
      <w:start w:val="1"/>
      <w:numFmt w:val="lowerRoman"/>
      <w:lvlText w:val="%9."/>
      <w:lvlJc w:val="right"/>
      <w:pPr>
        <w:ind w:left="6294" w:hanging="180"/>
      </w:pPr>
    </w:lvl>
  </w:abstractNum>
  <w:abstractNum w:abstractNumId="1"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2" w15:restartNumberingAfterBreak="0">
    <w:nsid w:val="32FE0003"/>
    <w:multiLevelType w:val="hybridMultilevel"/>
    <w:tmpl w:val="594044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C2FCA"/>
    <w:multiLevelType w:val="multilevel"/>
    <w:tmpl w:val="4620B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6095344">
    <w:abstractNumId w:val="1"/>
  </w:num>
  <w:num w:numId="2" w16cid:durableId="412630553">
    <w:abstractNumId w:val="2"/>
  </w:num>
  <w:num w:numId="3" w16cid:durableId="486826908">
    <w:abstractNumId w:val="3"/>
  </w:num>
  <w:num w:numId="4" w16cid:durableId="854729842">
    <w:abstractNumId w:val="2"/>
  </w:num>
  <w:num w:numId="5" w16cid:durableId="115391281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0"/>
  <w:activeWritingStyle w:appName="MSWord" w:lang="en-US" w:vendorID="64" w:dllVersion="4096" w:nlCheck="1" w:checkStyle="0"/>
  <w:activeWritingStyle w:appName="MSWord" w:lang="fr-CA" w:vendorID="64" w:dllVersion="4096"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fr-CA" w:vendorID="64" w:dllVersion="0" w:nlCheck="1" w:checkStyle="0"/>
  <w:activeWritingStyle w:appName="MSWord" w:lang="en-CA" w:vendorID="64" w:dllVersion="4096" w:nlCheck="1" w:checkStyle="0"/>
  <w:proofState w:spelling="clean" w:grammar="clean"/>
  <w:trackRevisions/>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n"/>
    <w:docVar w:name="85TrailerDateField" w:val="~}šÓj"/>
    <w:docVar w:name="85TrailerDraft" w:val="~}¡Óc"/>
    <w:docVar w:name="85TrailerTime" w:val="~}›Ói"/>
    <w:docVar w:name="DMS_Work10" w:val="0~Active||1~14551024||2~1||3~Press release Q2 2025 - Aug 8 draft||5~JTO||6~JTO||7~WORDX||8~DOCUMENTS||10~8/8/2025 4:00:23 PM||11~8/8/2025 4:00:23 PM||13~409460||14~False||17~public||18~JTO||19~JTO||21~True||22~True||23~False||25~069295||26~00001||27~317||28~SEC||29~GS||30~ACTIV||60~Crown Point Energy Inc.||61~General Corporate and Securities Matters||62~Oke, Jeffrey T.||63~Securities||64~General Securities||65~Active matter||74~Jeff Oke||75~Jeff Oke||76~WORD 2007||77~Documents||82~docx||85~8/8/2025 4:00:23 PM||99~1/1/0001 12:00:00 AM||106~C:\Users\jto\AppData\Roaming\iManage\Work\Recent\069295-00001-Crown Point Energy Inc.-General Corporate and Securities Matters\Press release Q2 2025 - Aug 8 draft(14551024.1).docx||107~1/1/0001 12:00:00 AM||109~8/8/2025 4:00:23 PM||113~8/8/2025 4:00:22 PM||114~8/8/2025 4:00:22 PM||124~False||"/>
    <w:docVar w:name="DocStamp_1_OptionalControlValues" w:val="~} Ó"/>
    <w:docVar w:name="MPDocID" w:val="~}Óhiknilkjhg"/>
    <w:docVar w:name="MPDocIDTemplate" w:val="~}—Ó"/>
    <w:docVar w:name="MPDocIDTemplateDefault" w:val="~}ŸÓZ¤e]ª"/>
    <w:docVar w:name="NewDocStampType" w:val="~}¢Ói"/>
    <w:docVar w:name="zzmp10NoTrailerPromptID" w:val="ACTIVE.14357758.1"/>
  </w:docVars>
  <w:rsids>
    <w:rsidRoot w:val="00451CF4"/>
    <w:rsid w:val="00002052"/>
    <w:rsid w:val="00002555"/>
    <w:rsid w:val="00002CBC"/>
    <w:rsid w:val="00003873"/>
    <w:rsid w:val="00004044"/>
    <w:rsid w:val="000064D8"/>
    <w:rsid w:val="00010DF6"/>
    <w:rsid w:val="00010F36"/>
    <w:rsid w:val="00013941"/>
    <w:rsid w:val="00016F54"/>
    <w:rsid w:val="00017090"/>
    <w:rsid w:val="00020D0D"/>
    <w:rsid w:val="0002124D"/>
    <w:rsid w:val="00021565"/>
    <w:rsid w:val="00023706"/>
    <w:rsid w:val="00023BC5"/>
    <w:rsid w:val="00023DBC"/>
    <w:rsid w:val="00025614"/>
    <w:rsid w:val="00025949"/>
    <w:rsid w:val="0002742B"/>
    <w:rsid w:val="000277F1"/>
    <w:rsid w:val="00030D6B"/>
    <w:rsid w:val="000327A2"/>
    <w:rsid w:val="000328AA"/>
    <w:rsid w:val="00033C41"/>
    <w:rsid w:val="00033EA2"/>
    <w:rsid w:val="000359CC"/>
    <w:rsid w:val="000365C5"/>
    <w:rsid w:val="00036D51"/>
    <w:rsid w:val="00040690"/>
    <w:rsid w:val="00040FBA"/>
    <w:rsid w:val="0004158B"/>
    <w:rsid w:val="00041C80"/>
    <w:rsid w:val="00042203"/>
    <w:rsid w:val="0004284E"/>
    <w:rsid w:val="00042B65"/>
    <w:rsid w:val="00042E43"/>
    <w:rsid w:val="00043229"/>
    <w:rsid w:val="000433F8"/>
    <w:rsid w:val="00043586"/>
    <w:rsid w:val="00043C17"/>
    <w:rsid w:val="00043F8E"/>
    <w:rsid w:val="0004484E"/>
    <w:rsid w:val="0004588D"/>
    <w:rsid w:val="00045A21"/>
    <w:rsid w:val="00045B81"/>
    <w:rsid w:val="0004735E"/>
    <w:rsid w:val="0004747B"/>
    <w:rsid w:val="000504E8"/>
    <w:rsid w:val="00050555"/>
    <w:rsid w:val="00050A9F"/>
    <w:rsid w:val="00050DBD"/>
    <w:rsid w:val="000528F0"/>
    <w:rsid w:val="00057387"/>
    <w:rsid w:val="00061FDB"/>
    <w:rsid w:val="0006263A"/>
    <w:rsid w:val="00064773"/>
    <w:rsid w:val="0006526B"/>
    <w:rsid w:val="0006551B"/>
    <w:rsid w:val="000716D5"/>
    <w:rsid w:val="00071BCD"/>
    <w:rsid w:val="00071DF4"/>
    <w:rsid w:val="0007337E"/>
    <w:rsid w:val="00075E49"/>
    <w:rsid w:val="00077A03"/>
    <w:rsid w:val="00083E25"/>
    <w:rsid w:val="00084355"/>
    <w:rsid w:val="000853A5"/>
    <w:rsid w:val="00087147"/>
    <w:rsid w:val="00090E72"/>
    <w:rsid w:val="00092E13"/>
    <w:rsid w:val="000932B1"/>
    <w:rsid w:val="00094C33"/>
    <w:rsid w:val="00096FA7"/>
    <w:rsid w:val="00097F5E"/>
    <w:rsid w:val="000A1EF3"/>
    <w:rsid w:val="000B0A76"/>
    <w:rsid w:val="000B11A0"/>
    <w:rsid w:val="000B18A4"/>
    <w:rsid w:val="000B2104"/>
    <w:rsid w:val="000B226F"/>
    <w:rsid w:val="000B260D"/>
    <w:rsid w:val="000B2BDD"/>
    <w:rsid w:val="000B42AC"/>
    <w:rsid w:val="000B4702"/>
    <w:rsid w:val="000B5AC7"/>
    <w:rsid w:val="000C124D"/>
    <w:rsid w:val="000C3157"/>
    <w:rsid w:val="000C5953"/>
    <w:rsid w:val="000D001A"/>
    <w:rsid w:val="000D0E50"/>
    <w:rsid w:val="000D1036"/>
    <w:rsid w:val="000D1245"/>
    <w:rsid w:val="000D3E93"/>
    <w:rsid w:val="000D45D4"/>
    <w:rsid w:val="000D51F0"/>
    <w:rsid w:val="000D7DDC"/>
    <w:rsid w:val="000E1461"/>
    <w:rsid w:val="000E1597"/>
    <w:rsid w:val="000E2B52"/>
    <w:rsid w:val="000E3366"/>
    <w:rsid w:val="000E466B"/>
    <w:rsid w:val="000E565B"/>
    <w:rsid w:val="000E6328"/>
    <w:rsid w:val="000E7F93"/>
    <w:rsid w:val="000F076D"/>
    <w:rsid w:val="000F1015"/>
    <w:rsid w:val="000F113B"/>
    <w:rsid w:val="000F2EBB"/>
    <w:rsid w:val="000F4E28"/>
    <w:rsid w:val="000F4E68"/>
    <w:rsid w:val="000F4F65"/>
    <w:rsid w:val="000F5DC2"/>
    <w:rsid w:val="000F6D34"/>
    <w:rsid w:val="00100490"/>
    <w:rsid w:val="00103CF5"/>
    <w:rsid w:val="0010536B"/>
    <w:rsid w:val="00105738"/>
    <w:rsid w:val="00105A4A"/>
    <w:rsid w:val="0010668E"/>
    <w:rsid w:val="00106A1F"/>
    <w:rsid w:val="001079BC"/>
    <w:rsid w:val="00107F1A"/>
    <w:rsid w:val="00111924"/>
    <w:rsid w:val="00111AED"/>
    <w:rsid w:val="00111F93"/>
    <w:rsid w:val="00112F0A"/>
    <w:rsid w:val="00113A53"/>
    <w:rsid w:val="001154F1"/>
    <w:rsid w:val="0011602C"/>
    <w:rsid w:val="001221DA"/>
    <w:rsid w:val="00124B40"/>
    <w:rsid w:val="00124CC6"/>
    <w:rsid w:val="0012698E"/>
    <w:rsid w:val="00127416"/>
    <w:rsid w:val="00130191"/>
    <w:rsid w:val="00130CE8"/>
    <w:rsid w:val="00131320"/>
    <w:rsid w:val="00133EFB"/>
    <w:rsid w:val="001340CF"/>
    <w:rsid w:val="001350B6"/>
    <w:rsid w:val="001365C2"/>
    <w:rsid w:val="001402A6"/>
    <w:rsid w:val="00143924"/>
    <w:rsid w:val="001448D4"/>
    <w:rsid w:val="00144954"/>
    <w:rsid w:val="0014699C"/>
    <w:rsid w:val="00147EB6"/>
    <w:rsid w:val="00150304"/>
    <w:rsid w:val="00150AAE"/>
    <w:rsid w:val="00150D8D"/>
    <w:rsid w:val="00151262"/>
    <w:rsid w:val="00152632"/>
    <w:rsid w:val="001548FF"/>
    <w:rsid w:val="00155CBC"/>
    <w:rsid w:val="001573D1"/>
    <w:rsid w:val="0015763C"/>
    <w:rsid w:val="00160CA6"/>
    <w:rsid w:val="0016148F"/>
    <w:rsid w:val="001619ED"/>
    <w:rsid w:val="00163687"/>
    <w:rsid w:val="00163CC7"/>
    <w:rsid w:val="00163F57"/>
    <w:rsid w:val="00165DB6"/>
    <w:rsid w:val="00165FD0"/>
    <w:rsid w:val="00166989"/>
    <w:rsid w:val="00166A46"/>
    <w:rsid w:val="0016764C"/>
    <w:rsid w:val="00171E7C"/>
    <w:rsid w:val="00172E2F"/>
    <w:rsid w:val="001736B6"/>
    <w:rsid w:val="00175025"/>
    <w:rsid w:val="001757BE"/>
    <w:rsid w:val="00175C38"/>
    <w:rsid w:val="00177A20"/>
    <w:rsid w:val="0018034E"/>
    <w:rsid w:val="00180591"/>
    <w:rsid w:val="00180AFC"/>
    <w:rsid w:val="0018209F"/>
    <w:rsid w:val="00183A2D"/>
    <w:rsid w:val="00183B25"/>
    <w:rsid w:val="0018437C"/>
    <w:rsid w:val="00184829"/>
    <w:rsid w:val="00185E59"/>
    <w:rsid w:val="00186D93"/>
    <w:rsid w:val="0019019A"/>
    <w:rsid w:val="00191DD8"/>
    <w:rsid w:val="0019349D"/>
    <w:rsid w:val="00193809"/>
    <w:rsid w:val="0019396D"/>
    <w:rsid w:val="00193DB3"/>
    <w:rsid w:val="001959BF"/>
    <w:rsid w:val="00196259"/>
    <w:rsid w:val="001962FB"/>
    <w:rsid w:val="00197745"/>
    <w:rsid w:val="001A0FBE"/>
    <w:rsid w:val="001A18FA"/>
    <w:rsid w:val="001A2143"/>
    <w:rsid w:val="001A2FFF"/>
    <w:rsid w:val="001A4C7E"/>
    <w:rsid w:val="001A4EF4"/>
    <w:rsid w:val="001A5D38"/>
    <w:rsid w:val="001A750D"/>
    <w:rsid w:val="001B1211"/>
    <w:rsid w:val="001B3527"/>
    <w:rsid w:val="001B3DD2"/>
    <w:rsid w:val="001B40D9"/>
    <w:rsid w:val="001B4784"/>
    <w:rsid w:val="001B4DA9"/>
    <w:rsid w:val="001B5749"/>
    <w:rsid w:val="001B7BBB"/>
    <w:rsid w:val="001C13CF"/>
    <w:rsid w:val="001C23B1"/>
    <w:rsid w:val="001C3A55"/>
    <w:rsid w:val="001C4321"/>
    <w:rsid w:val="001C57CC"/>
    <w:rsid w:val="001C732D"/>
    <w:rsid w:val="001D1F97"/>
    <w:rsid w:val="001D2046"/>
    <w:rsid w:val="001D3C6E"/>
    <w:rsid w:val="001D4E4B"/>
    <w:rsid w:val="001D50E7"/>
    <w:rsid w:val="001D7460"/>
    <w:rsid w:val="001D7957"/>
    <w:rsid w:val="001E04EC"/>
    <w:rsid w:val="001E082A"/>
    <w:rsid w:val="001E2415"/>
    <w:rsid w:val="001E2A4A"/>
    <w:rsid w:val="001E38D5"/>
    <w:rsid w:val="001E3AD7"/>
    <w:rsid w:val="001E5286"/>
    <w:rsid w:val="001E52F0"/>
    <w:rsid w:val="001E7429"/>
    <w:rsid w:val="001F3710"/>
    <w:rsid w:val="001F4B94"/>
    <w:rsid w:val="001F5DB2"/>
    <w:rsid w:val="001F6291"/>
    <w:rsid w:val="001F70CE"/>
    <w:rsid w:val="001F719A"/>
    <w:rsid w:val="002001A1"/>
    <w:rsid w:val="00201A1C"/>
    <w:rsid w:val="00204799"/>
    <w:rsid w:val="0020498C"/>
    <w:rsid w:val="00204DD7"/>
    <w:rsid w:val="00205E97"/>
    <w:rsid w:val="0020731E"/>
    <w:rsid w:val="0021022C"/>
    <w:rsid w:val="0021087B"/>
    <w:rsid w:val="0021137C"/>
    <w:rsid w:val="00214319"/>
    <w:rsid w:val="0021452F"/>
    <w:rsid w:val="002150FE"/>
    <w:rsid w:val="00216E19"/>
    <w:rsid w:val="00221DD0"/>
    <w:rsid w:val="00224562"/>
    <w:rsid w:val="00224564"/>
    <w:rsid w:val="00224989"/>
    <w:rsid w:val="002250FD"/>
    <w:rsid w:val="00226578"/>
    <w:rsid w:val="00226AF8"/>
    <w:rsid w:val="00227D59"/>
    <w:rsid w:val="002300CD"/>
    <w:rsid w:val="002305ED"/>
    <w:rsid w:val="0023639F"/>
    <w:rsid w:val="0023725A"/>
    <w:rsid w:val="00237B81"/>
    <w:rsid w:val="00237BD0"/>
    <w:rsid w:val="00242114"/>
    <w:rsid w:val="0024282E"/>
    <w:rsid w:val="00242953"/>
    <w:rsid w:val="00243DE1"/>
    <w:rsid w:val="00244EDD"/>
    <w:rsid w:val="002455E7"/>
    <w:rsid w:val="002455EC"/>
    <w:rsid w:val="00246DC8"/>
    <w:rsid w:val="00250882"/>
    <w:rsid w:val="00251D5C"/>
    <w:rsid w:val="0025247B"/>
    <w:rsid w:val="00254179"/>
    <w:rsid w:val="00256865"/>
    <w:rsid w:val="002574BB"/>
    <w:rsid w:val="00257531"/>
    <w:rsid w:val="00257631"/>
    <w:rsid w:val="00260431"/>
    <w:rsid w:val="00260E18"/>
    <w:rsid w:val="00260E1F"/>
    <w:rsid w:val="00261490"/>
    <w:rsid w:val="00261E3B"/>
    <w:rsid w:val="00261EFE"/>
    <w:rsid w:val="0026227D"/>
    <w:rsid w:val="002649E7"/>
    <w:rsid w:val="00270E00"/>
    <w:rsid w:val="00271DD1"/>
    <w:rsid w:val="002729B8"/>
    <w:rsid w:val="002755B9"/>
    <w:rsid w:val="00276378"/>
    <w:rsid w:val="00276834"/>
    <w:rsid w:val="00276A89"/>
    <w:rsid w:val="00276D5A"/>
    <w:rsid w:val="00277BA3"/>
    <w:rsid w:val="00282185"/>
    <w:rsid w:val="00282271"/>
    <w:rsid w:val="00282EE9"/>
    <w:rsid w:val="0028761D"/>
    <w:rsid w:val="00290BF2"/>
    <w:rsid w:val="00292BEA"/>
    <w:rsid w:val="002935B9"/>
    <w:rsid w:val="00294A5A"/>
    <w:rsid w:val="002955AA"/>
    <w:rsid w:val="002A2079"/>
    <w:rsid w:val="002A3E04"/>
    <w:rsid w:val="002A4928"/>
    <w:rsid w:val="002A49FB"/>
    <w:rsid w:val="002A5742"/>
    <w:rsid w:val="002A57E2"/>
    <w:rsid w:val="002A671A"/>
    <w:rsid w:val="002A7212"/>
    <w:rsid w:val="002A7277"/>
    <w:rsid w:val="002B08E6"/>
    <w:rsid w:val="002B0AA5"/>
    <w:rsid w:val="002B3F93"/>
    <w:rsid w:val="002B58A2"/>
    <w:rsid w:val="002B58FA"/>
    <w:rsid w:val="002B7C4E"/>
    <w:rsid w:val="002C0819"/>
    <w:rsid w:val="002C1F1B"/>
    <w:rsid w:val="002C2184"/>
    <w:rsid w:val="002C35DF"/>
    <w:rsid w:val="002C476A"/>
    <w:rsid w:val="002C6D34"/>
    <w:rsid w:val="002D12FD"/>
    <w:rsid w:val="002D18EB"/>
    <w:rsid w:val="002D2781"/>
    <w:rsid w:val="002D2B1A"/>
    <w:rsid w:val="002D2CA8"/>
    <w:rsid w:val="002D3101"/>
    <w:rsid w:val="002D3324"/>
    <w:rsid w:val="002D437E"/>
    <w:rsid w:val="002D4926"/>
    <w:rsid w:val="002D5874"/>
    <w:rsid w:val="002D5F29"/>
    <w:rsid w:val="002D728B"/>
    <w:rsid w:val="002D77D7"/>
    <w:rsid w:val="002D7E84"/>
    <w:rsid w:val="002E10DF"/>
    <w:rsid w:val="002E1BE1"/>
    <w:rsid w:val="002E2665"/>
    <w:rsid w:val="002E3117"/>
    <w:rsid w:val="002E3BD6"/>
    <w:rsid w:val="002E4CEF"/>
    <w:rsid w:val="002E6351"/>
    <w:rsid w:val="002E696C"/>
    <w:rsid w:val="002E7F0A"/>
    <w:rsid w:val="002F1211"/>
    <w:rsid w:val="002F58C1"/>
    <w:rsid w:val="00300A6A"/>
    <w:rsid w:val="00302DB2"/>
    <w:rsid w:val="0030594E"/>
    <w:rsid w:val="00306C05"/>
    <w:rsid w:val="00310187"/>
    <w:rsid w:val="00311088"/>
    <w:rsid w:val="003111C0"/>
    <w:rsid w:val="00311748"/>
    <w:rsid w:val="00311755"/>
    <w:rsid w:val="00312941"/>
    <w:rsid w:val="00312E4A"/>
    <w:rsid w:val="0031322E"/>
    <w:rsid w:val="003136C8"/>
    <w:rsid w:val="0031396D"/>
    <w:rsid w:val="00314102"/>
    <w:rsid w:val="00314734"/>
    <w:rsid w:val="00315021"/>
    <w:rsid w:val="00315C11"/>
    <w:rsid w:val="00317357"/>
    <w:rsid w:val="003176C0"/>
    <w:rsid w:val="00317828"/>
    <w:rsid w:val="00321B34"/>
    <w:rsid w:val="003223CF"/>
    <w:rsid w:val="00323E38"/>
    <w:rsid w:val="00326995"/>
    <w:rsid w:val="003300CB"/>
    <w:rsid w:val="00330EAF"/>
    <w:rsid w:val="00331B5F"/>
    <w:rsid w:val="00331FEE"/>
    <w:rsid w:val="00331FFF"/>
    <w:rsid w:val="0033254F"/>
    <w:rsid w:val="00333973"/>
    <w:rsid w:val="00335EAB"/>
    <w:rsid w:val="0033680E"/>
    <w:rsid w:val="00337CD6"/>
    <w:rsid w:val="003409A2"/>
    <w:rsid w:val="0034127D"/>
    <w:rsid w:val="0034165A"/>
    <w:rsid w:val="0034194B"/>
    <w:rsid w:val="00343121"/>
    <w:rsid w:val="00347D43"/>
    <w:rsid w:val="003510F5"/>
    <w:rsid w:val="00351463"/>
    <w:rsid w:val="00351B1F"/>
    <w:rsid w:val="00352472"/>
    <w:rsid w:val="003535B4"/>
    <w:rsid w:val="0035496E"/>
    <w:rsid w:val="00354B81"/>
    <w:rsid w:val="00355890"/>
    <w:rsid w:val="00356261"/>
    <w:rsid w:val="003565FD"/>
    <w:rsid w:val="00360903"/>
    <w:rsid w:val="00360B79"/>
    <w:rsid w:val="00361D69"/>
    <w:rsid w:val="00362AC3"/>
    <w:rsid w:val="00363C9C"/>
    <w:rsid w:val="00363E05"/>
    <w:rsid w:val="00364347"/>
    <w:rsid w:val="003649EF"/>
    <w:rsid w:val="00364E20"/>
    <w:rsid w:val="003651A6"/>
    <w:rsid w:val="0036598D"/>
    <w:rsid w:val="003660A7"/>
    <w:rsid w:val="00366F03"/>
    <w:rsid w:val="00367986"/>
    <w:rsid w:val="00370915"/>
    <w:rsid w:val="003730CD"/>
    <w:rsid w:val="00373A5A"/>
    <w:rsid w:val="00375815"/>
    <w:rsid w:val="00376229"/>
    <w:rsid w:val="003768FD"/>
    <w:rsid w:val="00376C23"/>
    <w:rsid w:val="0038056F"/>
    <w:rsid w:val="0038118E"/>
    <w:rsid w:val="0038150D"/>
    <w:rsid w:val="00381F7A"/>
    <w:rsid w:val="003828A1"/>
    <w:rsid w:val="00382FD1"/>
    <w:rsid w:val="00384EE0"/>
    <w:rsid w:val="00385916"/>
    <w:rsid w:val="0038594F"/>
    <w:rsid w:val="003871F4"/>
    <w:rsid w:val="00387B39"/>
    <w:rsid w:val="00391063"/>
    <w:rsid w:val="003911F5"/>
    <w:rsid w:val="00396B94"/>
    <w:rsid w:val="00397FCF"/>
    <w:rsid w:val="003A079D"/>
    <w:rsid w:val="003A153C"/>
    <w:rsid w:val="003A2584"/>
    <w:rsid w:val="003A364B"/>
    <w:rsid w:val="003A4861"/>
    <w:rsid w:val="003A4BAA"/>
    <w:rsid w:val="003A5D6C"/>
    <w:rsid w:val="003A6999"/>
    <w:rsid w:val="003A7F98"/>
    <w:rsid w:val="003B034C"/>
    <w:rsid w:val="003B0C94"/>
    <w:rsid w:val="003B10AC"/>
    <w:rsid w:val="003B161A"/>
    <w:rsid w:val="003B1A61"/>
    <w:rsid w:val="003B3B17"/>
    <w:rsid w:val="003B3C88"/>
    <w:rsid w:val="003B4A4C"/>
    <w:rsid w:val="003B51FA"/>
    <w:rsid w:val="003B5C51"/>
    <w:rsid w:val="003B6B71"/>
    <w:rsid w:val="003C1736"/>
    <w:rsid w:val="003C2512"/>
    <w:rsid w:val="003C3173"/>
    <w:rsid w:val="003C583F"/>
    <w:rsid w:val="003C5C0A"/>
    <w:rsid w:val="003C74EE"/>
    <w:rsid w:val="003D0414"/>
    <w:rsid w:val="003D056F"/>
    <w:rsid w:val="003D2A18"/>
    <w:rsid w:val="003D2ABA"/>
    <w:rsid w:val="003D3760"/>
    <w:rsid w:val="003D3CB8"/>
    <w:rsid w:val="003D46D7"/>
    <w:rsid w:val="003D5265"/>
    <w:rsid w:val="003D6FD4"/>
    <w:rsid w:val="003E1653"/>
    <w:rsid w:val="003E2504"/>
    <w:rsid w:val="003E4CD9"/>
    <w:rsid w:val="003E72F5"/>
    <w:rsid w:val="003E749F"/>
    <w:rsid w:val="003E7896"/>
    <w:rsid w:val="003E78A4"/>
    <w:rsid w:val="003F01A7"/>
    <w:rsid w:val="003F11B9"/>
    <w:rsid w:val="003F2314"/>
    <w:rsid w:val="003F2629"/>
    <w:rsid w:val="003F2A86"/>
    <w:rsid w:val="003F2DC9"/>
    <w:rsid w:val="003F390F"/>
    <w:rsid w:val="003F3DB3"/>
    <w:rsid w:val="003F48A8"/>
    <w:rsid w:val="003F6225"/>
    <w:rsid w:val="003F6502"/>
    <w:rsid w:val="004022A2"/>
    <w:rsid w:val="004040D4"/>
    <w:rsid w:val="00404FBC"/>
    <w:rsid w:val="00406C3A"/>
    <w:rsid w:val="00410670"/>
    <w:rsid w:val="00410EAE"/>
    <w:rsid w:val="00411ECA"/>
    <w:rsid w:val="00415EE8"/>
    <w:rsid w:val="004162E7"/>
    <w:rsid w:val="0042016C"/>
    <w:rsid w:val="00420A54"/>
    <w:rsid w:val="0042130F"/>
    <w:rsid w:val="0042133D"/>
    <w:rsid w:val="00421439"/>
    <w:rsid w:val="004217F4"/>
    <w:rsid w:val="004226A6"/>
    <w:rsid w:val="00422F75"/>
    <w:rsid w:val="004230C2"/>
    <w:rsid w:val="00424546"/>
    <w:rsid w:val="00424A5E"/>
    <w:rsid w:val="00425CF4"/>
    <w:rsid w:val="0042733B"/>
    <w:rsid w:val="00427A41"/>
    <w:rsid w:val="0043029D"/>
    <w:rsid w:val="00430A92"/>
    <w:rsid w:val="0043147E"/>
    <w:rsid w:val="00431AE5"/>
    <w:rsid w:val="00431F3A"/>
    <w:rsid w:val="00433016"/>
    <w:rsid w:val="00433408"/>
    <w:rsid w:val="0043627D"/>
    <w:rsid w:val="004365FF"/>
    <w:rsid w:val="004367CB"/>
    <w:rsid w:val="00440E89"/>
    <w:rsid w:val="00442A8E"/>
    <w:rsid w:val="00443E7F"/>
    <w:rsid w:val="0044467D"/>
    <w:rsid w:val="00444737"/>
    <w:rsid w:val="00444BB3"/>
    <w:rsid w:val="00444BDB"/>
    <w:rsid w:val="00444DAF"/>
    <w:rsid w:val="00451504"/>
    <w:rsid w:val="00451C2D"/>
    <w:rsid w:val="00451CF4"/>
    <w:rsid w:val="004524AF"/>
    <w:rsid w:val="00454132"/>
    <w:rsid w:val="004558E2"/>
    <w:rsid w:val="004561FE"/>
    <w:rsid w:val="00456BA5"/>
    <w:rsid w:val="00456BC6"/>
    <w:rsid w:val="004606BC"/>
    <w:rsid w:val="004607BF"/>
    <w:rsid w:val="00460E23"/>
    <w:rsid w:val="0046388A"/>
    <w:rsid w:val="00467343"/>
    <w:rsid w:val="0047043F"/>
    <w:rsid w:val="00470BB8"/>
    <w:rsid w:val="004710A8"/>
    <w:rsid w:val="00471421"/>
    <w:rsid w:val="00471D02"/>
    <w:rsid w:val="00472F63"/>
    <w:rsid w:val="00473983"/>
    <w:rsid w:val="00473BB3"/>
    <w:rsid w:val="00473DE7"/>
    <w:rsid w:val="004748BE"/>
    <w:rsid w:val="00476357"/>
    <w:rsid w:val="004765E0"/>
    <w:rsid w:val="00476F8A"/>
    <w:rsid w:val="00477D6C"/>
    <w:rsid w:val="00481185"/>
    <w:rsid w:val="004835F9"/>
    <w:rsid w:val="004837E0"/>
    <w:rsid w:val="0048492B"/>
    <w:rsid w:val="00486A30"/>
    <w:rsid w:val="00486ADF"/>
    <w:rsid w:val="00490BF6"/>
    <w:rsid w:val="004915EA"/>
    <w:rsid w:val="00491C14"/>
    <w:rsid w:val="00492E7A"/>
    <w:rsid w:val="004946E4"/>
    <w:rsid w:val="004951CB"/>
    <w:rsid w:val="004A125B"/>
    <w:rsid w:val="004A22F6"/>
    <w:rsid w:val="004A56D3"/>
    <w:rsid w:val="004A5E44"/>
    <w:rsid w:val="004A62EF"/>
    <w:rsid w:val="004A72E9"/>
    <w:rsid w:val="004B3239"/>
    <w:rsid w:val="004B3350"/>
    <w:rsid w:val="004B38BC"/>
    <w:rsid w:val="004B4B39"/>
    <w:rsid w:val="004B7A11"/>
    <w:rsid w:val="004B7CE2"/>
    <w:rsid w:val="004C41BA"/>
    <w:rsid w:val="004C5DAD"/>
    <w:rsid w:val="004C7547"/>
    <w:rsid w:val="004D007F"/>
    <w:rsid w:val="004D1773"/>
    <w:rsid w:val="004D30A2"/>
    <w:rsid w:val="004D43B3"/>
    <w:rsid w:val="004D53DC"/>
    <w:rsid w:val="004D7A0C"/>
    <w:rsid w:val="004E1F41"/>
    <w:rsid w:val="004E275F"/>
    <w:rsid w:val="004E670D"/>
    <w:rsid w:val="004F0CD4"/>
    <w:rsid w:val="004F1140"/>
    <w:rsid w:val="004F14A0"/>
    <w:rsid w:val="004F1A2A"/>
    <w:rsid w:val="004F23D3"/>
    <w:rsid w:val="004F3AF4"/>
    <w:rsid w:val="004F7EFE"/>
    <w:rsid w:val="00500363"/>
    <w:rsid w:val="0050093F"/>
    <w:rsid w:val="005031C4"/>
    <w:rsid w:val="00503790"/>
    <w:rsid w:val="005047CA"/>
    <w:rsid w:val="00504942"/>
    <w:rsid w:val="00504E9C"/>
    <w:rsid w:val="00505674"/>
    <w:rsid w:val="00507179"/>
    <w:rsid w:val="00507610"/>
    <w:rsid w:val="00507656"/>
    <w:rsid w:val="00510753"/>
    <w:rsid w:val="00511BFC"/>
    <w:rsid w:val="005125B4"/>
    <w:rsid w:val="00512967"/>
    <w:rsid w:val="00516385"/>
    <w:rsid w:val="00517041"/>
    <w:rsid w:val="00521406"/>
    <w:rsid w:val="00521575"/>
    <w:rsid w:val="00525A77"/>
    <w:rsid w:val="00526C37"/>
    <w:rsid w:val="00527E54"/>
    <w:rsid w:val="00534994"/>
    <w:rsid w:val="00535FCD"/>
    <w:rsid w:val="00537C71"/>
    <w:rsid w:val="00540284"/>
    <w:rsid w:val="005410CE"/>
    <w:rsid w:val="00543236"/>
    <w:rsid w:val="00544388"/>
    <w:rsid w:val="00544875"/>
    <w:rsid w:val="00545286"/>
    <w:rsid w:val="00545595"/>
    <w:rsid w:val="00545AF7"/>
    <w:rsid w:val="00550248"/>
    <w:rsid w:val="005510D2"/>
    <w:rsid w:val="0055136D"/>
    <w:rsid w:val="005530D5"/>
    <w:rsid w:val="005537C0"/>
    <w:rsid w:val="005538A3"/>
    <w:rsid w:val="005544DD"/>
    <w:rsid w:val="00554BA3"/>
    <w:rsid w:val="00556A17"/>
    <w:rsid w:val="00557B5A"/>
    <w:rsid w:val="00557EF1"/>
    <w:rsid w:val="00560BF7"/>
    <w:rsid w:val="00561698"/>
    <w:rsid w:val="00561DCA"/>
    <w:rsid w:val="0056207A"/>
    <w:rsid w:val="00562B74"/>
    <w:rsid w:val="005635F2"/>
    <w:rsid w:val="005642EA"/>
    <w:rsid w:val="00564F26"/>
    <w:rsid w:val="005650AA"/>
    <w:rsid w:val="005677EF"/>
    <w:rsid w:val="00567DAB"/>
    <w:rsid w:val="00570628"/>
    <w:rsid w:val="00570F49"/>
    <w:rsid w:val="00573E1E"/>
    <w:rsid w:val="00575CCA"/>
    <w:rsid w:val="00576FAF"/>
    <w:rsid w:val="00577316"/>
    <w:rsid w:val="00580163"/>
    <w:rsid w:val="005808F2"/>
    <w:rsid w:val="00580D2A"/>
    <w:rsid w:val="0058147C"/>
    <w:rsid w:val="00582A83"/>
    <w:rsid w:val="00582E74"/>
    <w:rsid w:val="00585291"/>
    <w:rsid w:val="00585A15"/>
    <w:rsid w:val="00585AFD"/>
    <w:rsid w:val="00586159"/>
    <w:rsid w:val="00590381"/>
    <w:rsid w:val="005903FD"/>
    <w:rsid w:val="00590F21"/>
    <w:rsid w:val="00592C42"/>
    <w:rsid w:val="005955BF"/>
    <w:rsid w:val="00595CFF"/>
    <w:rsid w:val="00596803"/>
    <w:rsid w:val="005A24E4"/>
    <w:rsid w:val="005A332A"/>
    <w:rsid w:val="005A3BED"/>
    <w:rsid w:val="005A54AE"/>
    <w:rsid w:val="005A76EE"/>
    <w:rsid w:val="005B0CA0"/>
    <w:rsid w:val="005B101B"/>
    <w:rsid w:val="005B2A9F"/>
    <w:rsid w:val="005B3A0F"/>
    <w:rsid w:val="005B3B95"/>
    <w:rsid w:val="005B54CC"/>
    <w:rsid w:val="005B57D3"/>
    <w:rsid w:val="005B5DEC"/>
    <w:rsid w:val="005B66FF"/>
    <w:rsid w:val="005B6E81"/>
    <w:rsid w:val="005B7CF0"/>
    <w:rsid w:val="005C0268"/>
    <w:rsid w:val="005C1A8F"/>
    <w:rsid w:val="005C2CAA"/>
    <w:rsid w:val="005C42FD"/>
    <w:rsid w:val="005C4CA1"/>
    <w:rsid w:val="005C51FA"/>
    <w:rsid w:val="005C528B"/>
    <w:rsid w:val="005C5F09"/>
    <w:rsid w:val="005C71F7"/>
    <w:rsid w:val="005D19BE"/>
    <w:rsid w:val="005D220E"/>
    <w:rsid w:val="005D3131"/>
    <w:rsid w:val="005D4AE2"/>
    <w:rsid w:val="005D56F8"/>
    <w:rsid w:val="005D59C7"/>
    <w:rsid w:val="005D5E6B"/>
    <w:rsid w:val="005D6CDC"/>
    <w:rsid w:val="005D7A7F"/>
    <w:rsid w:val="005E037E"/>
    <w:rsid w:val="005E10D3"/>
    <w:rsid w:val="005E150A"/>
    <w:rsid w:val="005E47B1"/>
    <w:rsid w:val="005E5C39"/>
    <w:rsid w:val="005E6FD2"/>
    <w:rsid w:val="005E7D4B"/>
    <w:rsid w:val="005E7FF4"/>
    <w:rsid w:val="005F2B3F"/>
    <w:rsid w:val="005F3BD4"/>
    <w:rsid w:val="00600AD8"/>
    <w:rsid w:val="00600F10"/>
    <w:rsid w:val="00603465"/>
    <w:rsid w:val="00604D4C"/>
    <w:rsid w:val="00612407"/>
    <w:rsid w:val="0061268E"/>
    <w:rsid w:val="006129D0"/>
    <w:rsid w:val="00614D39"/>
    <w:rsid w:val="006152F0"/>
    <w:rsid w:val="00615EAB"/>
    <w:rsid w:val="00616468"/>
    <w:rsid w:val="00616CAB"/>
    <w:rsid w:val="00620130"/>
    <w:rsid w:val="006202BD"/>
    <w:rsid w:val="006205E9"/>
    <w:rsid w:val="00621BDE"/>
    <w:rsid w:val="0062427C"/>
    <w:rsid w:val="0062710F"/>
    <w:rsid w:val="00630F44"/>
    <w:rsid w:val="00631A07"/>
    <w:rsid w:val="00632DCB"/>
    <w:rsid w:val="00634146"/>
    <w:rsid w:val="00636042"/>
    <w:rsid w:val="0063768C"/>
    <w:rsid w:val="00641069"/>
    <w:rsid w:val="006429BF"/>
    <w:rsid w:val="00643A42"/>
    <w:rsid w:val="006440C6"/>
    <w:rsid w:val="006441EC"/>
    <w:rsid w:val="006450F3"/>
    <w:rsid w:val="00647903"/>
    <w:rsid w:val="00647A3A"/>
    <w:rsid w:val="0065036C"/>
    <w:rsid w:val="00650B31"/>
    <w:rsid w:val="00651DB8"/>
    <w:rsid w:val="006525BF"/>
    <w:rsid w:val="00652FDE"/>
    <w:rsid w:val="006536A0"/>
    <w:rsid w:val="006537C6"/>
    <w:rsid w:val="00654301"/>
    <w:rsid w:val="00657FED"/>
    <w:rsid w:val="006637E1"/>
    <w:rsid w:val="0066523D"/>
    <w:rsid w:val="00665CD8"/>
    <w:rsid w:val="00665EA7"/>
    <w:rsid w:val="00666006"/>
    <w:rsid w:val="006676F8"/>
    <w:rsid w:val="00671196"/>
    <w:rsid w:val="00671597"/>
    <w:rsid w:val="006722F1"/>
    <w:rsid w:val="00673696"/>
    <w:rsid w:val="00673AE9"/>
    <w:rsid w:val="00674C25"/>
    <w:rsid w:val="006752C5"/>
    <w:rsid w:val="006761DF"/>
    <w:rsid w:val="006765D3"/>
    <w:rsid w:val="00677721"/>
    <w:rsid w:val="006804F0"/>
    <w:rsid w:val="00680B0F"/>
    <w:rsid w:val="0068141D"/>
    <w:rsid w:val="0068268A"/>
    <w:rsid w:val="00682D56"/>
    <w:rsid w:val="006865E7"/>
    <w:rsid w:val="00687575"/>
    <w:rsid w:val="0069094C"/>
    <w:rsid w:val="00691764"/>
    <w:rsid w:val="00692619"/>
    <w:rsid w:val="006927BD"/>
    <w:rsid w:val="00692DCD"/>
    <w:rsid w:val="006A00E1"/>
    <w:rsid w:val="006A05C7"/>
    <w:rsid w:val="006A0FBE"/>
    <w:rsid w:val="006A288E"/>
    <w:rsid w:val="006A35F2"/>
    <w:rsid w:val="006A49D9"/>
    <w:rsid w:val="006B0B93"/>
    <w:rsid w:val="006B19DD"/>
    <w:rsid w:val="006B1AA5"/>
    <w:rsid w:val="006B42DD"/>
    <w:rsid w:val="006B5970"/>
    <w:rsid w:val="006B76F6"/>
    <w:rsid w:val="006C31C2"/>
    <w:rsid w:val="006C3601"/>
    <w:rsid w:val="006C5430"/>
    <w:rsid w:val="006D10F4"/>
    <w:rsid w:val="006D19D7"/>
    <w:rsid w:val="006D2324"/>
    <w:rsid w:val="006D58DE"/>
    <w:rsid w:val="006D70DD"/>
    <w:rsid w:val="006E01EA"/>
    <w:rsid w:val="006E2A6A"/>
    <w:rsid w:val="006E2E70"/>
    <w:rsid w:val="006E3CA5"/>
    <w:rsid w:val="006E3DAB"/>
    <w:rsid w:val="006E4BCC"/>
    <w:rsid w:val="006E4FDF"/>
    <w:rsid w:val="006F0463"/>
    <w:rsid w:val="006F1857"/>
    <w:rsid w:val="006F22CD"/>
    <w:rsid w:val="006F2E1B"/>
    <w:rsid w:val="006F49B6"/>
    <w:rsid w:val="006F574E"/>
    <w:rsid w:val="006F6422"/>
    <w:rsid w:val="006F79CF"/>
    <w:rsid w:val="007003F5"/>
    <w:rsid w:val="007017C7"/>
    <w:rsid w:val="00702424"/>
    <w:rsid w:val="007035D8"/>
    <w:rsid w:val="00704C4B"/>
    <w:rsid w:val="007051B2"/>
    <w:rsid w:val="0070547D"/>
    <w:rsid w:val="00705876"/>
    <w:rsid w:val="007068A8"/>
    <w:rsid w:val="00706B11"/>
    <w:rsid w:val="00710380"/>
    <w:rsid w:val="007107B9"/>
    <w:rsid w:val="00710E87"/>
    <w:rsid w:val="00712DEE"/>
    <w:rsid w:val="00714855"/>
    <w:rsid w:val="00715734"/>
    <w:rsid w:val="00716692"/>
    <w:rsid w:val="00717482"/>
    <w:rsid w:val="007176BE"/>
    <w:rsid w:val="007217F0"/>
    <w:rsid w:val="007225FB"/>
    <w:rsid w:val="0072396E"/>
    <w:rsid w:val="00723A6C"/>
    <w:rsid w:val="007250DB"/>
    <w:rsid w:val="0072716B"/>
    <w:rsid w:val="007308DC"/>
    <w:rsid w:val="00731862"/>
    <w:rsid w:val="00731CBB"/>
    <w:rsid w:val="0073215F"/>
    <w:rsid w:val="007322B7"/>
    <w:rsid w:val="007323F4"/>
    <w:rsid w:val="00732D37"/>
    <w:rsid w:val="00732E00"/>
    <w:rsid w:val="00733B9A"/>
    <w:rsid w:val="007350C5"/>
    <w:rsid w:val="007359BD"/>
    <w:rsid w:val="0073723B"/>
    <w:rsid w:val="00737588"/>
    <w:rsid w:val="00740735"/>
    <w:rsid w:val="00741B18"/>
    <w:rsid w:val="00742571"/>
    <w:rsid w:val="007476F4"/>
    <w:rsid w:val="00747799"/>
    <w:rsid w:val="007513DE"/>
    <w:rsid w:val="007541AF"/>
    <w:rsid w:val="00756921"/>
    <w:rsid w:val="00760643"/>
    <w:rsid w:val="007607DA"/>
    <w:rsid w:val="007623D2"/>
    <w:rsid w:val="00763017"/>
    <w:rsid w:val="00764D43"/>
    <w:rsid w:val="007664BA"/>
    <w:rsid w:val="007706BB"/>
    <w:rsid w:val="0077216A"/>
    <w:rsid w:val="00772EDD"/>
    <w:rsid w:val="00774F93"/>
    <w:rsid w:val="00780C91"/>
    <w:rsid w:val="00782B0E"/>
    <w:rsid w:val="007841B4"/>
    <w:rsid w:val="00784275"/>
    <w:rsid w:val="00787480"/>
    <w:rsid w:val="007902A7"/>
    <w:rsid w:val="0079101C"/>
    <w:rsid w:val="00791696"/>
    <w:rsid w:val="007926D8"/>
    <w:rsid w:val="00792DE7"/>
    <w:rsid w:val="00794110"/>
    <w:rsid w:val="007943B5"/>
    <w:rsid w:val="007965EC"/>
    <w:rsid w:val="00796733"/>
    <w:rsid w:val="007967A2"/>
    <w:rsid w:val="00796FBE"/>
    <w:rsid w:val="007A0BC2"/>
    <w:rsid w:val="007A55B2"/>
    <w:rsid w:val="007B11AF"/>
    <w:rsid w:val="007B1463"/>
    <w:rsid w:val="007B278E"/>
    <w:rsid w:val="007B2A35"/>
    <w:rsid w:val="007B3383"/>
    <w:rsid w:val="007B3EA0"/>
    <w:rsid w:val="007B41F2"/>
    <w:rsid w:val="007B608F"/>
    <w:rsid w:val="007C0668"/>
    <w:rsid w:val="007C0984"/>
    <w:rsid w:val="007C2985"/>
    <w:rsid w:val="007C5641"/>
    <w:rsid w:val="007C5BC3"/>
    <w:rsid w:val="007C6484"/>
    <w:rsid w:val="007C6832"/>
    <w:rsid w:val="007D1BFB"/>
    <w:rsid w:val="007D2EC1"/>
    <w:rsid w:val="007D3FA8"/>
    <w:rsid w:val="007D4AFB"/>
    <w:rsid w:val="007D5010"/>
    <w:rsid w:val="007D6B05"/>
    <w:rsid w:val="007E009C"/>
    <w:rsid w:val="007E148B"/>
    <w:rsid w:val="007E266C"/>
    <w:rsid w:val="007E4CAF"/>
    <w:rsid w:val="007E51B9"/>
    <w:rsid w:val="007E7C6B"/>
    <w:rsid w:val="007F029A"/>
    <w:rsid w:val="007F073E"/>
    <w:rsid w:val="007F1B62"/>
    <w:rsid w:val="007F3D26"/>
    <w:rsid w:val="007F4A31"/>
    <w:rsid w:val="007F59BC"/>
    <w:rsid w:val="007F60DD"/>
    <w:rsid w:val="007F7102"/>
    <w:rsid w:val="007F7668"/>
    <w:rsid w:val="00801187"/>
    <w:rsid w:val="00803BC6"/>
    <w:rsid w:val="00804AC8"/>
    <w:rsid w:val="008077EB"/>
    <w:rsid w:val="008100FA"/>
    <w:rsid w:val="00810E7B"/>
    <w:rsid w:val="008120DC"/>
    <w:rsid w:val="0081326E"/>
    <w:rsid w:val="00813ACB"/>
    <w:rsid w:val="008152FC"/>
    <w:rsid w:val="00815A2C"/>
    <w:rsid w:val="00816866"/>
    <w:rsid w:val="00817879"/>
    <w:rsid w:val="00821524"/>
    <w:rsid w:val="0082234E"/>
    <w:rsid w:val="00824AF3"/>
    <w:rsid w:val="00824B0A"/>
    <w:rsid w:val="00825896"/>
    <w:rsid w:val="00826004"/>
    <w:rsid w:val="008262F6"/>
    <w:rsid w:val="008275CC"/>
    <w:rsid w:val="00830029"/>
    <w:rsid w:val="0083289B"/>
    <w:rsid w:val="0083377B"/>
    <w:rsid w:val="00834882"/>
    <w:rsid w:val="0083503B"/>
    <w:rsid w:val="00835906"/>
    <w:rsid w:val="008359E3"/>
    <w:rsid w:val="00836849"/>
    <w:rsid w:val="0083782D"/>
    <w:rsid w:val="00841A1C"/>
    <w:rsid w:val="008424E2"/>
    <w:rsid w:val="008438D6"/>
    <w:rsid w:val="00843B59"/>
    <w:rsid w:val="00844E6E"/>
    <w:rsid w:val="00845B2D"/>
    <w:rsid w:val="008464E0"/>
    <w:rsid w:val="008475F8"/>
    <w:rsid w:val="008527B2"/>
    <w:rsid w:val="00855332"/>
    <w:rsid w:val="008562E0"/>
    <w:rsid w:val="00856984"/>
    <w:rsid w:val="008573AF"/>
    <w:rsid w:val="00857BE5"/>
    <w:rsid w:val="00857C65"/>
    <w:rsid w:val="00857CD0"/>
    <w:rsid w:val="00860011"/>
    <w:rsid w:val="00860260"/>
    <w:rsid w:val="00860FDB"/>
    <w:rsid w:val="00861EBD"/>
    <w:rsid w:val="008624FE"/>
    <w:rsid w:val="00862703"/>
    <w:rsid w:val="0086643A"/>
    <w:rsid w:val="00866799"/>
    <w:rsid w:val="008667EA"/>
    <w:rsid w:val="0087035E"/>
    <w:rsid w:val="00870BD2"/>
    <w:rsid w:val="00870C86"/>
    <w:rsid w:val="0087217B"/>
    <w:rsid w:val="00875D8F"/>
    <w:rsid w:val="00876008"/>
    <w:rsid w:val="008805F3"/>
    <w:rsid w:val="008809C0"/>
    <w:rsid w:val="0088103E"/>
    <w:rsid w:val="00882412"/>
    <w:rsid w:val="00882A7D"/>
    <w:rsid w:val="00882EDA"/>
    <w:rsid w:val="00883EA8"/>
    <w:rsid w:val="008843BC"/>
    <w:rsid w:val="008872D7"/>
    <w:rsid w:val="00890F97"/>
    <w:rsid w:val="00893629"/>
    <w:rsid w:val="00895F23"/>
    <w:rsid w:val="008A143F"/>
    <w:rsid w:val="008A4513"/>
    <w:rsid w:val="008A49FA"/>
    <w:rsid w:val="008A56D8"/>
    <w:rsid w:val="008A624E"/>
    <w:rsid w:val="008A75ED"/>
    <w:rsid w:val="008B2B13"/>
    <w:rsid w:val="008B38E4"/>
    <w:rsid w:val="008B5CC5"/>
    <w:rsid w:val="008B69C7"/>
    <w:rsid w:val="008B78DC"/>
    <w:rsid w:val="008C0F33"/>
    <w:rsid w:val="008C1019"/>
    <w:rsid w:val="008C1295"/>
    <w:rsid w:val="008C20EC"/>
    <w:rsid w:val="008C3591"/>
    <w:rsid w:val="008C4810"/>
    <w:rsid w:val="008C53A2"/>
    <w:rsid w:val="008D091D"/>
    <w:rsid w:val="008D1042"/>
    <w:rsid w:val="008D19C4"/>
    <w:rsid w:val="008D292B"/>
    <w:rsid w:val="008D2C84"/>
    <w:rsid w:val="008D3D4A"/>
    <w:rsid w:val="008D41B2"/>
    <w:rsid w:val="008D470D"/>
    <w:rsid w:val="008D4C13"/>
    <w:rsid w:val="008D650E"/>
    <w:rsid w:val="008D7AFB"/>
    <w:rsid w:val="008E0951"/>
    <w:rsid w:val="008E0F22"/>
    <w:rsid w:val="008E16E3"/>
    <w:rsid w:val="008E2129"/>
    <w:rsid w:val="008E49CD"/>
    <w:rsid w:val="008E509D"/>
    <w:rsid w:val="008E5B92"/>
    <w:rsid w:val="008E65F1"/>
    <w:rsid w:val="008E71FD"/>
    <w:rsid w:val="008F120E"/>
    <w:rsid w:val="008F1BFD"/>
    <w:rsid w:val="008F51EB"/>
    <w:rsid w:val="008F70DB"/>
    <w:rsid w:val="008F7A9E"/>
    <w:rsid w:val="00900B13"/>
    <w:rsid w:val="00900F80"/>
    <w:rsid w:val="0090187F"/>
    <w:rsid w:val="00902562"/>
    <w:rsid w:val="00907AB0"/>
    <w:rsid w:val="00911D8C"/>
    <w:rsid w:val="00912885"/>
    <w:rsid w:val="0091467A"/>
    <w:rsid w:val="009146FE"/>
    <w:rsid w:val="00914CAA"/>
    <w:rsid w:val="009202BA"/>
    <w:rsid w:val="009204F7"/>
    <w:rsid w:val="00920EEF"/>
    <w:rsid w:val="009238DC"/>
    <w:rsid w:val="00925A81"/>
    <w:rsid w:val="00925C49"/>
    <w:rsid w:val="00927936"/>
    <w:rsid w:val="00930A9B"/>
    <w:rsid w:val="00930BAD"/>
    <w:rsid w:val="00932E22"/>
    <w:rsid w:val="009334C4"/>
    <w:rsid w:val="00934D3A"/>
    <w:rsid w:val="00937176"/>
    <w:rsid w:val="00937B82"/>
    <w:rsid w:val="00937CED"/>
    <w:rsid w:val="00940DC8"/>
    <w:rsid w:val="00941B64"/>
    <w:rsid w:val="009448CC"/>
    <w:rsid w:val="0095091C"/>
    <w:rsid w:val="00950AA0"/>
    <w:rsid w:val="0095155B"/>
    <w:rsid w:val="009515BD"/>
    <w:rsid w:val="00951EC6"/>
    <w:rsid w:val="009531A0"/>
    <w:rsid w:val="00953B3F"/>
    <w:rsid w:val="00955565"/>
    <w:rsid w:val="00955FCA"/>
    <w:rsid w:val="00957300"/>
    <w:rsid w:val="00957E3D"/>
    <w:rsid w:val="00961051"/>
    <w:rsid w:val="00963AA7"/>
    <w:rsid w:val="00964AD4"/>
    <w:rsid w:val="00964D5E"/>
    <w:rsid w:val="0096680F"/>
    <w:rsid w:val="0096744F"/>
    <w:rsid w:val="00970A7B"/>
    <w:rsid w:val="00971D7F"/>
    <w:rsid w:val="0097313E"/>
    <w:rsid w:val="009749C3"/>
    <w:rsid w:val="00975594"/>
    <w:rsid w:val="00975DCF"/>
    <w:rsid w:val="009766F4"/>
    <w:rsid w:val="00980261"/>
    <w:rsid w:val="00980A99"/>
    <w:rsid w:val="009825E3"/>
    <w:rsid w:val="00982DAA"/>
    <w:rsid w:val="00982DAE"/>
    <w:rsid w:val="00982F0A"/>
    <w:rsid w:val="009839F3"/>
    <w:rsid w:val="0098509E"/>
    <w:rsid w:val="009851ED"/>
    <w:rsid w:val="009857AA"/>
    <w:rsid w:val="00986FC7"/>
    <w:rsid w:val="00987DDD"/>
    <w:rsid w:val="009906BB"/>
    <w:rsid w:val="00990C4D"/>
    <w:rsid w:val="009919C2"/>
    <w:rsid w:val="009934F9"/>
    <w:rsid w:val="00995198"/>
    <w:rsid w:val="009963AA"/>
    <w:rsid w:val="00996D4E"/>
    <w:rsid w:val="00997C3F"/>
    <w:rsid w:val="00997CEA"/>
    <w:rsid w:val="00997E77"/>
    <w:rsid w:val="009A0939"/>
    <w:rsid w:val="009A0D1D"/>
    <w:rsid w:val="009A1BB3"/>
    <w:rsid w:val="009A1FA6"/>
    <w:rsid w:val="009A45B8"/>
    <w:rsid w:val="009A5786"/>
    <w:rsid w:val="009A5EAB"/>
    <w:rsid w:val="009A6AD7"/>
    <w:rsid w:val="009A6CC7"/>
    <w:rsid w:val="009A6E28"/>
    <w:rsid w:val="009A734E"/>
    <w:rsid w:val="009B046E"/>
    <w:rsid w:val="009B0F06"/>
    <w:rsid w:val="009B2468"/>
    <w:rsid w:val="009B2F2C"/>
    <w:rsid w:val="009B438D"/>
    <w:rsid w:val="009B45DF"/>
    <w:rsid w:val="009C2921"/>
    <w:rsid w:val="009C3391"/>
    <w:rsid w:val="009C60DE"/>
    <w:rsid w:val="009C61D9"/>
    <w:rsid w:val="009C6B6E"/>
    <w:rsid w:val="009C7150"/>
    <w:rsid w:val="009D02A2"/>
    <w:rsid w:val="009D0669"/>
    <w:rsid w:val="009D0A2C"/>
    <w:rsid w:val="009D1B61"/>
    <w:rsid w:val="009D2A23"/>
    <w:rsid w:val="009D2DAF"/>
    <w:rsid w:val="009D3314"/>
    <w:rsid w:val="009D4F66"/>
    <w:rsid w:val="009D5D36"/>
    <w:rsid w:val="009D5DEE"/>
    <w:rsid w:val="009D7168"/>
    <w:rsid w:val="009E0261"/>
    <w:rsid w:val="009E0282"/>
    <w:rsid w:val="009E04DE"/>
    <w:rsid w:val="009E0594"/>
    <w:rsid w:val="009E250B"/>
    <w:rsid w:val="009E387C"/>
    <w:rsid w:val="009E3C33"/>
    <w:rsid w:val="009E3CE6"/>
    <w:rsid w:val="009E4841"/>
    <w:rsid w:val="009E6871"/>
    <w:rsid w:val="009E6B86"/>
    <w:rsid w:val="009E6C8A"/>
    <w:rsid w:val="009F126E"/>
    <w:rsid w:val="009F2B34"/>
    <w:rsid w:val="009F2BBE"/>
    <w:rsid w:val="009F2F45"/>
    <w:rsid w:val="009F4905"/>
    <w:rsid w:val="009F4DF7"/>
    <w:rsid w:val="009F4FC6"/>
    <w:rsid w:val="009F4FE5"/>
    <w:rsid w:val="009F7CDA"/>
    <w:rsid w:val="00A0003C"/>
    <w:rsid w:val="00A002C0"/>
    <w:rsid w:val="00A016C1"/>
    <w:rsid w:val="00A0323B"/>
    <w:rsid w:val="00A07A7F"/>
    <w:rsid w:val="00A07EAA"/>
    <w:rsid w:val="00A10A15"/>
    <w:rsid w:val="00A10EE0"/>
    <w:rsid w:val="00A11329"/>
    <w:rsid w:val="00A12654"/>
    <w:rsid w:val="00A12697"/>
    <w:rsid w:val="00A15A97"/>
    <w:rsid w:val="00A15D9F"/>
    <w:rsid w:val="00A1643D"/>
    <w:rsid w:val="00A212BB"/>
    <w:rsid w:val="00A213E0"/>
    <w:rsid w:val="00A21573"/>
    <w:rsid w:val="00A218C5"/>
    <w:rsid w:val="00A21C71"/>
    <w:rsid w:val="00A22450"/>
    <w:rsid w:val="00A24966"/>
    <w:rsid w:val="00A249C0"/>
    <w:rsid w:val="00A2750B"/>
    <w:rsid w:val="00A30DB3"/>
    <w:rsid w:val="00A31745"/>
    <w:rsid w:val="00A31BB0"/>
    <w:rsid w:val="00A32499"/>
    <w:rsid w:val="00A326BF"/>
    <w:rsid w:val="00A3369F"/>
    <w:rsid w:val="00A338FB"/>
    <w:rsid w:val="00A344A6"/>
    <w:rsid w:val="00A34FD5"/>
    <w:rsid w:val="00A35913"/>
    <w:rsid w:val="00A36152"/>
    <w:rsid w:val="00A363A1"/>
    <w:rsid w:val="00A365D0"/>
    <w:rsid w:val="00A36BB4"/>
    <w:rsid w:val="00A415FD"/>
    <w:rsid w:val="00A4393E"/>
    <w:rsid w:val="00A44435"/>
    <w:rsid w:val="00A446AA"/>
    <w:rsid w:val="00A44C95"/>
    <w:rsid w:val="00A45E49"/>
    <w:rsid w:val="00A46D20"/>
    <w:rsid w:val="00A47544"/>
    <w:rsid w:val="00A47572"/>
    <w:rsid w:val="00A476CC"/>
    <w:rsid w:val="00A52F91"/>
    <w:rsid w:val="00A53AD2"/>
    <w:rsid w:val="00A546C2"/>
    <w:rsid w:val="00A54FD7"/>
    <w:rsid w:val="00A55D2F"/>
    <w:rsid w:val="00A61F67"/>
    <w:rsid w:val="00A66D89"/>
    <w:rsid w:val="00A716F8"/>
    <w:rsid w:val="00A72479"/>
    <w:rsid w:val="00A72D81"/>
    <w:rsid w:val="00A73130"/>
    <w:rsid w:val="00A734A8"/>
    <w:rsid w:val="00A741EC"/>
    <w:rsid w:val="00A74753"/>
    <w:rsid w:val="00A75555"/>
    <w:rsid w:val="00A75E12"/>
    <w:rsid w:val="00A762A3"/>
    <w:rsid w:val="00A76D43"/>
    <w:rsid w:val="00A77C94"/>
    <w:rsid w:val="00A80E42"/>
    <w:rsid w:val="00A82B43"/>
    <w:rsid w:val="00A83AEC"/>
    <w:rsid w:val="00A84AA5"/>
    <w:rsid w:val="00A8504D"/>
    <w:rsid w:val="00A85457"/>
    <w:rsid w:val="00A85E85"/>
    <w:rsid w:val="00A87FDE"/>
    <w:rsid w:val="00A90252"/>
    <w:rsid w:val="00A90797"/>
    <w:rsid w:val="00A9353F"/>
    <w:rsid w:val="00A93FB5"/>
    <w:rsid w:val="00A9662C"/>
    <w:rsid w:val="00AA2730"/>
    <w:rsid w:val="00AA4346"/>
    <w:rsid w:val="00AA66CD"/>
    <w:rsid w:val="00AA7D73"/>
    <w:rsid w:val="00AB182C"/>
    <w:rsid w:val="00AB3773"/>
    <w:rsid w:val="00AB6DBB"/>
    <w:rsid w:val="00AB6FE7"/>
    <w:rsid w:val="00AC0F50"/>
    <w:rsid w:val="00AC201D"/>
    <w:rsid w:val="00AC45A0"/>
    <w:rsid w:val="00AC4EEE"/>
    <w:rsid w:val="00AC53DA"/>
    <w:rsid w:val="00AC59F9"/>
    <w:rsid w:val="00AC5CAE"/>
    <w:rsid w:val="00AD14A5"/>
    <w:rsid w:val="00AD2147"/>
    <w:rsid w:val="00AD38C1"/>
    <w:rsid w:val="00AD7F91"/>
    <w:rsid w:val="00AE5142"/>
    <w:rsid w:val="00AE5DA5"/>
    <w:rsid w:val="00AF1A68"/>
    <w:rsid w:val="00AF23D5"/>
    <w:rsid w:val="00AF42C9"/>
    <w:rsid w:val="00AF4E1D"/>
    <w:rsid w:val="00AF66E4"/>
    <w:rsid w:val="00AF76A2"/>
    <w:rsid w:val="00B0030C"/>
    <w:rsid w:val="00B00BA3"/>
    <w:rsid w:val="00B01382"/>
    <w:rsid w:val="00B02E3F"/>
    <w:rsid w:val="00B0359B"/>
    <w:rsid w:val="00B03885"/>
    <w:rsid w:val="00B03A0B"/>
    <w:rsid w:val="00B05DB1"/>
    <w:rsid w:val="00B06CFC"/>
    <w:rsid w:val="00B07920"/>
    <w:rsid w:val="00B10579"/>
    <w:rsid w:val="00B1286D"/>
    <w:rsid w:val="00B129BD"/>
    <w:rsid w:val="00B145D2"/>
    <w:rsid w:val="00B14E53"/>
    <w:rsid w:val="00B15372"/>
    <w:rsid w:val="00B163C7"/>
    <w:rsid w:val="00B2026E"/>
    <w:rsid w:val="00B20521"/>
    <w:rsid w:val="00B208CB"/>
    <w:rsid w:val="00B20A89"/>
    <w:rsid w:val="00B20E9D"/>
    <w:rsid w:val="00B21283"/>
    <w:rsid w:val="00B21FD1"/>
    <w:rsid w:val="00B22415"/>
    <w:rsid w:val="00B24ED2"/>
    <w:rsid w:val="00B272C4"/>
    <w:rsid w:val="00B30EEA"/>
    <w:rsid w:val="00B32A34"/>
    <w:rsid w:val="00B32D87"/>
    <w:rsid w:val="00B32F77"/>
    <w:rsid w:val="00B37CCC"/>
    <w:rsid w:val="00B41DBE"/>
    <w:rsid w:val="00B43BA6"/>
    <w:rsid w:val="00B44BBA"/>
    <w:rsid w:val="00B46408"/>
    <w:rsid w:val="00B466D5"/>
    <w:rsid w:val="00B46C42"/>
    <w:rsid w:val="00B47767"/>
    <w:rsid w:val="00B47815"/>
    <w:rsid w:val="00B47D8A"/>
    <w:rsid w:val="00B47EA8"/>
    <w:rsid w:val="00B50F3F"/>
    <w:rsid w:val="00B51400"/>
    <w:rsid w:val="00B524E4"/>
    <w:rsid w:val="00B53113"/>
    <w:rsid w:val="00B53F36"/>
    <w:rsid w:val="00B54BBA"/>
    <w:rsid w:val="00B54EFC"/>
    <w:rsid w:val="00B56B58"/>
    <w:rsid w:val="00B5754A"/>
    <w:rsid w:val="00B604C4"/>
    <w:rsid w:val="00B6129D"/>
    <w:rsid w:val="00B6188C"/>
    <w:rsid w:val="00B628D2"/>
    <w:rsid w:val="00B62AB6"/>
    <w:rsid w:val="00B62CEA"/>
    <w:rsid w:val="00B64644"/>
    <w:rsid w:val="00B66255"/>
    <w:rsid w:val="00B67EB4"/>
    <w:rsid w:val="00B713C4"/>
    <w:rsid w:val="00B72977"/>
    <w:rsid w:val="00B7311C"/>
    <w:rsid w:val="00B734E0"/>
    <w:rsid w:val="00B744E9"/>
    <w:rsid w:val="00B7467A"/>
    <w:rsid w:val="00B7529F"/>
    <w:rsid w:val="00B75759"/>
    <w:rsid w:val="00B75916"/>
    <w:rsid w:val="00B77E63"/>
    <w:rsid w:val="00B820F8"/>
    <w:rsid w:val="00B8387B"/>
    <w:rsid w:val="00B8398E"/>
    <w:rsid w:val="00B83F6A"/>
    <w:rsid w:val="00B84147"/>
    <w:rsid w:val="00B843E6"/>
    <w:rsid w:val="00B84B7A"/>
    <w:rsid w:val="00B85175"/>
    <w:rsid w:val="00B85508"/>
    <w:rsid w:val="00B87D06"/>
    <w:rsid w:val="00B90333"/>
    <w:rsid w:val="00B9156C"/>
    <w:rsid w:val="00B91B60"/>
    <w:rsid w:val="00B91D54"/>
    <w:rsid w:val="00B91F97"/>
    <w:rsid w:val="00B939F8"/>
    <w:rsid w:val="00B9519A"/>
    <w:rsid w:val="00B97B6E"/>
    <w:rsid w:val="00BA093B"/>
    <w:rsid w:val="00BA0AC9"/>
    <w:rsid w:val="00BA1356"/>
    <w:rsid w:val="00BA18DD"/>
    <w:rsid w:val="00BA2110"/>
    <w:rsid w:val="00BA2BD6"/>
    <w:rsid w:val="00BA6974"/>
    <w:rsid w:val="00BA6EB7"/>
    <w:rsid w:val="00BA7370"/>
    <w:rsid w:val="00BA74B6"/>
    <w:rsid w:val="00BB0385"/>
    <w:rsid w:val="00BB0B76"/>
    <w:rsid w:val="00BB25C6"/>
    <w:rsid w:val="00BB2EDC"/>
    <w:rsid w:val="00BB411D"/>
    <w:rsid w:val="00BB5EFE"/>
    <w:rsid w:val="00BB6649"/>
    <w:rsid w:val="00BB733D"/>
    <w:rsid w:val="00BB73D8"/>
    <w:rsid w:val="00BC1A5C"/>
    <w:rsid w:val="00BC1CE6"/>
    <w:rsid w:val="00BC2840"/>
    <w:rsid w:val="00BC482A"/>
    <w:rsid w:val="00BC4C21"/>
    <w:rsid w:val="00BC6A34"/>
    <w:rsid w:val="00BC6D9F"/>
    <w:rsid w:val="00BD1797"/>
    <w:rsid w:val="00BD20B6"/>
    <w:rsid w:val="00BD4608"/>
    <w:rsid w:val="00BD48C2"/>
    <w:rsid w:val="00BD4CB6"/>
    <w:rsid w:val="00BD5A44"/>
    <w:rsid w:val="00BD7BD6"/>
    <w:rsid w:val="00BE1E11"/>
    <w:rsid w:val="00BE2F7C"/>
    <w:rsid w:val="00BE3F49"/>
    <w:rsid w:val="00BE4A40"/>
    <w:rsid w:val="00BE4AA1"/>
    <w:rsid w:val="00BE520E"/>
    <w:rsid w:val="00BE6F17"/>
    <w:rsid w:val="00BE71CE"/>
    <w:rsid w:val="00BF16F1"/>
    <w:rsid w:val="00BF3B4C"/>
    <w:rsid w:val="00BF685C"/>
    <w:rsid w:val="00C001D5"/>
    <w:rsid w:val="00C016BA"/>
    <w:rsid w:val="00C024AD"/>
    <w:rsid w:val="00C033B3"/>
    <w:rsid w:val="00C03807"/>
    <w:rsid w:val="00C03A84"/>
    <w:rsid w:val="00C03A8B"/>
    <w:rsid w:val="00C0453E"/>
    <w:rsid w:val="00C05133"/>
    <w:rsid w:val="00C051EA"/>
    <w:rsid w:val="00C0574C"/>
    <w:rsid w:val="00C117F8"/>
    <w:rsid w:val="00C1193D"/>
    <w:rsid w:val="00C125DE"/>
    <w:rsid w:val="00C165D0"/>
    <w:rsid w:val="00C1690E"/>
    <w:rsid w:val="00C17119"/>
    <w:rsid w:val="00C22CD8"/>
    <w:rsid w:val="00C23FE6"/>
    <w:rsid w:val="00C25EC1"/>
    <w:rsid w:val="00C26D1C"/>
    <w:rsid w:val="00C27448"/>
    <w:rsid w:val="00C27578"/>
    <w:rsid w:val="00C31778"/>
    <w:rsid w:val="00C31CFF"/>
    <w:rsid w:val="00C33202"/>
    <w:rsid w:val="00C350CF"/>
    <w:rsid w:val="00C353BD"/>
    <w:rsid w:val="00C35452"/>
    <w:rsid w:val="00C36867"/>
    <w:rsid w:val="00C36EF0"/>
    <w:rsid w:val="00C3730E"/>
    <w:rsid w:val="00C37B50"/>
    <w:rsid w:val="00C40AD6"/>
    <w:rsid w:val="00C4389A"/>
    <w:rsid w:val="00C462DD"/>
    <w:rsid w:val="00C4796D"/>
    <w:rsid w:val="00C47CAE"/>
    <w:rsid w:val="00C50795"/>
    <w:rsid w:val="00C51199"/>
    <w:rsid w:val="00C522C0"/>
    <w:rsid w:val="00C5462A"/>
    <w:rsid w:val="00C551D6"/>
    <w:rsid w:val="00C60DD9"/>
    <w:rsid w:val="00C6129A"/>
    <w:rsid w:val="00C6135D"/>
    <w:rsid w:val="00C6173E"/>
    <w:rsid w:val="00C61838"/>
    <w:rsid w:val="00C63C73"/>
    <w:rsid w:val="00C6415E"/>
    <w:rsid w:val="00C643FD"/>
    <w:rsid w:val="00C64F6E"/>
    <w:rsid w:val="00C65BCB"/>
    <w:rsid w:val="00C65F29"/>
    <w:rsid w:val="00C6794D"/>
    <w:rsid w:val="00C67CBE"/>
    <w:rsid w:val="00C67F9C"/>
    <w:rsid w:val="00C70EF5"/>
    <w:rsid w:val="00C71323"/>
    <w:rsid w:val="00C714F9"/>
    <w:rsid w:val="00C7270D"/>
    <w:rsid w:val="00C73804"/>
    <w:rsid w:val="00C744A5"/>
    <w:rsid w:val="00C75AAF"/>
    <w:rsid w:val="00C76DC8"/>
    <w:rsid w:val="00C77492"/>
    <w:rsid w:val="00C84483"/>
    <w:rsid w:val="00C85965"/>
    <w:rsid w:val="00C86E04"/>
    <w:rsid w:val="00C8703F"/>
    <w:rsid w:val="00C871FB"/>
    <w:rsid w:val="00C8794C"/>
    <w:rsid w:val="00C90410"/>
    <w:rsid w:val="00C90D58"/>
    <w:rsid w:val="00C91765"/>
    <w:rsid w:val="00C919C8"/>
    <w:rsid w:val="00C91C19"/>
    <w:rsid w:val="00C931ED"/>
    <w:rsid w:val="00C9330E"/>
    <w:rsid w:val="00C93AFF"/>
    <w:rsid w:val="00C94358"/>
    <w:rsid w:val="00C95348"/>
    <w:rsid w:val="00C95640"/>
    <w:rsid w:val="00C96065"/>
    <w:rsid w:val="00C973CC"/>
    <w:rsid w:val="00C97550"/>
    <w:rsid w:val="00CA0093"/>
    <w:rsid w:val="00CA0BD2"/>
    <w:rsid w:val="00CA15D4"/>
    <w:rsid w:val="00CA243A"/>
    <w:rsid w:val="00CA24A5"/>
    <w:rsid w:val="00CA50E3"/>
    <w:rsid w:val="00CA5506"/>
    <w:rsid w:val="00CA63BD"/>
    <w:rsid w:val="00CA79AF"/>
    <w:rsid w:val="00CB02DF"/>
    <w:rsid w:val="00CB0FB8"/>
    <w:rsid w:val="00CB4013"/>
    <w:rsid w:val="00CC163C"/>
    <w:rsid w:val="00CC2CB8"/>
    <w:rsid w:val="00CC48C2"/>
    <w:rsid w:val="00CC540D"/>
    <w:rsid w:val="00CC5A37"/>
    <w:rsid w:val="00CC64F1"/>
    <w:rsid w:val="00CC671F"/>
    <w:rsid w:val="00CC6996"/>
    <w:rsid w:val="00CC6AE6"/>
    <w:rsid w:val="00CC7BD0"/>
    <w:rsid w:val="00CD082C"/>
    <w:rsid w:val="00CD148F"/>
    <w:rsid w:val="00CD177E"/>
    <w:rsid w:val="00CD19BB"/>
    <w:rsid w:val="00CD1CFB"/>
    <w:rsid w:val="00CD2E31"/>
    <w:rsid w:val="00CD3687"/>
    <w:rsid w:val="00CD5312"/>
    <w:rsid w:val="00CD57B9"/>
    <w:rsid w:val="00CD5EA2"/>
    <w:rsid w:val="00CD751F"/>
    <w:rsid w:val="00CE0655"/>
    <w:rsid w:val="00CE0AEF"/>
    <w:rsid w:val="00CE18E8"/>
    <w:rsid w:val="00CE7722"/>
    <w:rsid w:val="00CF27A8"/>
    <w:rsid w:val="00CF2A04"/>
    <w:rsid w:val="00CF3A31"/>
    <w:rsid w:val="00CF4AFF"/>
    <w:rsid w:val="00CF5F3F"/>
    <w:rsid w:val="00CF672F"/>
    <w:rsid w:val="00CF6772"/>
    <w:rsid w:val="00D00130"/>
    <w:rsid w:val="00D0069E"/>
    <w:rsid w:val="00D00DC9"/>
    <w:rsid w:val="00D013CF"/>
    <w:rsid w:val="00D01F85"/>
    <w:rsid w:val="00D02275"/>
    <w:rsid w:val="00D02E6F"/>
    <w:rsid w:val="00D03E33"/>
    <w:rsid w:val="00D0432A"/>
    <w:rsid w:val="00D04A7A"/>
    <w:rsid w:val="00D07811"/>
    <w:rsid w:val="00D078E0"/>
    <w:rsid w:val="00D10386"/>
    <w:rsid w:val="00D10D0B"/>
    <w:rsid w:val="00D10FF0"/>
    <w:rsid w:val="00D116BB"/>
    <w:rsid w:val="00D11834"/>
    <w:rsid w:val="00D11851"/>
    <w:rsid w:val="00D127F8"/>
    <w:rsid w:val="00D134FD"/>
    <w:rsid w:val="00D15381"/>
    <w:rsid w:val="00D15AC3"/>
    <w:rsid w:val="00D15F09"/>
    <w:rsid w:val="00D15F20"/>
    <w:rsid w:val="00D16D84"/>
    <w:rsid w:val="00D17181"/>
    <w:rsid w:val="00D178B9"/>
    <w:rsid w:val="00D21BFD"/>
    <w:rsid w:val="00D239B9"/>
    <w:rsid w:val="00D2517E"/>
    <w:rsid w:val="00D25E5A"/>
    <w:rsid w:val="00D271C5"/>
    <w:rsid w:val="00D30079"/>
    <w:rsid w:val="00D33C6D"/>
    <w:rsid w:val="00D34593"/>
    <w:rsid w:val="00D347E1"/>
    <w:rsid w:val="00D351E9"/>
    <w:rsid w:val="00D3561F"/>
    <w:rsid w:val="00D40B65"/>
    <w:rsid w:val="00D41AD7"/>
    <w:rsid w:val="00D464B0"/>
    <w:rsid w:val="00D46869"/>
    <w:rsid w:val="00D4741F"/>
    <w:rsid w:val="00D52DA9"/>
    <w:rsid w:val="00D5314B"/>
    <w:rsid w:val="00D534F5"/>
    <w:rsid w:val="00D53534"/>
    <w:rsid w:val="00D53638"/>
    <w:rsid w:val="00D5388A"/>
    <w:rsid w:val="00D54876"/>
    <w:rsid w:val="00D54F6A"/>
    <w:rsid w:val="00D5656C"/>
    <w:rsid w:val="00D57D43"/>
    <w:rsid w:val="00D602DD"/>
    <w:rsid w:val="00D61746"/>
    <w:rsid w:val="00D621C0"/>
    <w:rsid w:val="00D6325B"/>
    <w:rsid w:val="00D63ECF"/>
    <w:rsid w:val="00D6512F"/>
    <w:rsid w:val="00D65626"/>
    <w:rsid w:val="00D67B09"/>
    <w:rsid w:val="00D7143A"/>
    <w:rsid w:val="00D71A86"/>
    <w:rsid w:val="00D72981"/>
    <w:rsid w:val="00D73D44"/>
    <w:rsid w:val="00D747D0"/>
    <w:rsid w:val="00D75BB8"/>
    <w:rsid w:val="00D75DB3"/>
    <w:rsid w:val="00D76676"/>
    <w:rsid w:val="00D80268"/>
    <w:rsid w:val="00D80B98"/>
    <w:rsid w:val="00D815F6"/>
    <w:rsid w:val="00D825AE"/>
    <w:rsid w:val="00D83897"/>
    <w:rsid w:val="00D85098"/>
    <w:rsid w:val="00D86F16"/>
    <w:rsid w:val="00D87A46"/>
    <w:rsid w:val="00D91329"/>
    <w:rsid w:val="00D91DD5"/>
    <w:rsid w:val="00D929FE"/>
    <w:rsid w:val="00D92D24"/>
    <w:rsid w:val="00D93084"/>
    <w:rsid w:val="00D93AE6"/>
    <w:rsid w:val="00D93BC1"/>
    <w:rsid w:val="00D94005"/>
    <w:rsid w:val="00D94365"/>
    <w:rsid w:val="00D9493A"/>
    <w:rsid w:val="00D96670"/>
    <w:rsid w:val="00D97909"/>
    <w:rsid w:val="00DA1EA3"/>
    <w:rsid w:val="00DA3A12"/>
    <w:rsid w:val="00DA73C5"/>
    <w:rsid w:val="00DA7925"/>
    <w:rsid w:val="00DA79E0"/>
    <w:rsid w:val="00DB083B"/>
    <w:rsid w:val="00DB0BA4"/>
    <w:rsid w:val="00DB282D"/>
    <w:rsid w:val="00DB2CEE"/>
    <w:rsid w:val="00DB35F2"/>
    <w:rsid w:val="00DB368E"/>
    <w:rsid w:val="00DB48CC"/>
    <w:rsid w:val="00DB491A"/>
    <w:rsid w:val="00DB4F42"/>
    <w:rsid w:val="00DB5EA5"/>
    <w:rsid w:val="00DB66AA"/>
    <w:rsid w:val="00DB6774"/>
    <w:rsid w:val="00DB7090"/>
    <w:rsid w:val="00DB755B"/>
    <w:rsid w:val="00DC0C04"/>
    <w:rsid w:val="00DC0C3A"/>
    <w:rsid w:val="00DC126D"/>
    <w:rsid w:val="00DC14CF"/>
    <w:rsid w:val="00DC19F1"/>
    <w:rsid w:val="00DC25AF"/>
    <w:rsid w:val="00DC2AB3"/>
    <w:rsid w:val="00DC4A9C"/>
    <w:rsid w:val="00DC5521"/>
    <w:rsid w:val="00DC6A43"/>
    <w:rsid w:val="00DC72CD"/>
    <w:rsid w:val="00DC7778"/>
    <w:rsid w:val="00DC7989"/>
    <w:rsid w:val="00DD076F"/>
    <w:rsid w:val="00DD11D4"/>
    <w:rsid w:val="00DD351A"/>
    <w:rsid w:val="00DD4275"/>
    <w:rsid w:val="00DD4691"/>
    <w:rsid w:val="00DD6711"/>
    <w:rsid w:val="00DD7381"/>
    <w:rsid w:val="00DE05E3"/>
    <w:rsid w:val="00DE0E96"/>
    <w:rsid w:val="00DE55C1"/>
    <w:rsid w:val="00DE5A84"/>
    <w:rsid w:val="00DE7180"/>
    <w:rsid w:val="00DE7D9E"/>
    <w:rsid w:val="00DF196D"/>
    <w:rsid w:val="00DF22A0"/>
    <w:rsid w:val="00DF27B2"/>
    <w:rsid w:val="00DF5EE5"/>
    <w:rsid w:val="00DF645C"/>
    <w:rsid w:val="00DF6F5C"/>
    <w:rsid w:val="00DF6F95"/>
    <w:rsid w:val="00E01003"/>
    <w:rsid w:val="00E01D56"/>
    <w:rsid w:val="00E01E2D"/>
    <w:rsid w:val="00E0248F"/>
    <w:rsid w:val="00E0378D"/>
    <w:rsid w:val="00E03B91"/>
    <w:rsid w:val="00E0423A"/>
    <w:rsid w:val="00E059D8"/>
    <w:rsid w:val="00E06B73"/>
    <w:rsid w:val="00E1019E"/>
    <w:rsid w:val="00E10FFF"/>
    <w:rsid w:val="00E11BC1"/>
    <w:rsid w:val="00E12977"/>
    <w:rsid w:val="00E12A63"/>
    <w:rsid w:val="00E134B7"/>
    <w:rsid w:val="00E14D7F"/>
    <w:rsid w:val="00E159A8"/>
    <w:rsid w:val="00E15BD1"/>
    <w:rsid w:val="00E16611"/>
    <w:rsid w:val="00E17544"/>
    <w:rsid w:val="00E21B53"/>
    <w:rsid w:val="00E21D60"/>
    <w:rsid w:val="00E2236E"/>
    <w:rsid w:val="00E2266C"/>
    <w:rsid w:val="00E22B95"/>
    <w:rsid w:val="00E26C31"/>
    <w:rsid w:val="00E30706"/>
    <w:rsid w:val="00E30C31"/>
    <w:rsid w:val="00E31AF3"/>
    <w:rsid w:val="00E32976"/>
    <w:rsid w:val="00E34519"/>
    <w:rsid w:val="00E372D8"/>
    <w:rsid w:val="00E37CDD"/>
    <w:rsid w:val="00E40952"/>
    <w:rsid w:val="00E4148A"/>
    <w:rsid w:val="00E41A68"/>
    <w:rsid w:val="00E41AA8"/>
    <w:rsid w:val="00E41E6D"/>
    <w:rsid w:val="00E42633"/>
    <w:rsid w:val="00E43C3B"/>
    <w:rsid w:val="00E45203"/>
    <w:rsid w:val="00E46032"/>
    <w:rsid w:val="00E46430"/>
    <w:rsid w:val="00E47784"/>
    <w:rsid w:val="00E479EC"/>
    <w:rsid w:val="00E47E6A"/>
    <w:rsid w:val="00E50C7D"/>
    <w:rsid w:val="00E5147C"/>
    <w:rsid w:val="00E526DE"/>
    <w:rsid w:val="00E53857"/>
    <w:rsid w:val="00E53CE7"/>
    <w:rsid w:val="00E5435D"/>
    <w:rsid w:val="00E55168"/>
    <w:rsid w:val="00E55499"/>
    <w:rsid w:val="00E57ACD"/>
    <w:rsid w:val="00E6045B"/>
    <w:rsid w:val="00E60ECE"/>
    <w:rsid w:val="00E63BC0"/>
    <w:rsid w:val="00E64D98"/>
    <w:rsid w:val="00E658FA"/>
    <w:rsid w:val="00E65E38"/>
    <w:rsid w:val="00E66412"/>
    <w:rsid w:val="00E664A3"/>
    <w:rsid w:val="00E66532"/>
    <w:rsid w:val="00E66AEF"/>
    <w:rsid w:val="00E66B43"/>
    <w:rsid w:val="00E67961"/>
    <w:rsid w:val="00E70B74"/>
    <w:rsid w:val="00E71D2F"/>
    <w:rsid w:val="00E72AFE"/>
    <w:rsid w:val="00E72D0C"/>
    <w:rsid w:val="00E731C6"/>
    <w:rsid w:val="00E73243"/>
    <w:rsid w:val="00E75784"/>
    <w:rsid w:val="00E81BD7"/>
    <w:rsid w:val="00E81D40"/>
    <w:rsid w:val="00E82897"/>
    <w:rsid w:val="00E82E43"/>
    <w:rsid w:val="00E84A4C"/>
    <w:rsid w:val="00E86052"/>
    <w:rsid w:val="00E924C4"/>
    <w:rsid w:val="00E9345B"/>
    <w:rsid w:val="00E94CF9"/>
    <w:rsid w:val="00E95796"/>
    <w:rsid w:val="00E95947"/>
    <w:rsid w:val="00E95D75"/>
    <w:rsid w:val="00E964CB"/>
    <w:rsid w:val="00EA01A4"/>
    <w:rsid w:val="00EA0222"/>
    <w:rsid w:val="00EA460F"/>
    <w:rsid w:val="00EA5ECE"/>
    <w:rsid w:val="00EA7716"/>
    <w:rsid w:val="00EA7D4B"/>
    <w:rsid w:val="00EB1650"/>
    <w:rsid w:val="00EB3B30"/>
    <w:rsid w:val="00EB5093"/>
    <w:rsid w:val="00EB6E8D"/>
    <w:rsid w:val="00EC1D34"/>
    <w:rsid w:val="00EC2F77"/>
    <w:rsid w:val="00EC30B5"/>
    <w:rsid w:val="00EC57AF"/>
    <w:rsid w:val="00EC5899"/>
    <w:rsid w:val="00EC714A"/>
    <w:rsid w:val="00ED0BC2"/>
    <w:rsid w:val="00ED13DE"/>
    <w:rsid w:val="00ED1647"/>
    <w:rsid w:val="00ED3233"/>
    <w:rsid w:val="00ED3AE5"/>
    <w:rsid w:val="00ED44DC"/>
    <w:rsid w:val="00ED5D29"/>
    <w:rsid w:val="00ED60BC"/>
    <w:rsid w:val="00EE1188"/>
    <w:rsid w:val="00EE18BF"/>
    <w:rsid w:val="00EE32F4"/>
    <w:rsid w:val="00EE4B85"/>
    <w:rsid w:val="00EE4E4F"/>
    <w:rsid w:val="00EE5416"/>
    <w:rsid w:val="00EE63BA"/>
    <w:rsid w:val="00EE6439"/>
    <w:rsid w:val="00EE70C7"/>
    <w:rsid w:val="00EE7583"/>
    <w:rsid w:val="00EE7F3B"/>
    <w:rsid w:val="00EF06DB"/>
    <w:rsid w:val="00EF19D3"/>
    <w:rsid w:val="00EF1A5C"/>
    <w:rsid w:val="00EF20A8"/>
    <w:rsid w:val="00EF37E2"/>
    <w:rsid w:val="00EF39FD"/>
    <w:rsid w:val="00EF4DD5"/>
    <w:rsid w:val="00EF74EA"/>
    <w:rsid w:val="00F00375"/>
    <w:rsid w:val="00F01240"/>
    <w:rsid w:val="00F017CE"/>
    <w:rsid w:val="00F04DFF"/>
    <w:rsid w:val="00F04F95"/>
    <w:rsid w:val="00F053C5"/>
    <w:rsid w:val="00F05EE7"/>
    <w:rsid w:val="00F05FDE"/>
    <w:rsid w:val="00F067EE"/>
    <w:rsid w:val="00F06D7C"/>
    <w:rsid w:val="00F07203"/>
    <w:rsid w:val="00F07506"/>
    <w:rsid w:val="00F11C6C"/>
    <w:rsid w:val="00F14E87"/>
    <w:rsid w:val="00F1501D"/>
    <w:rsid w:val="00F154FC"/>
    <w:rsid w:val="00F179DD"/>
    <w:rsid w:val="00F17C86"/>
    <w:rsid w:val="00F202EE"/>
    <w:rsid w:val="00F21838"/>
    <w:rsid w:val="00F223FF"/>
    <w:rsid w:val="00F226E9"/>
    <w:rsid w:val="00F2290B"/>
    <w:rsid w:val="00F24E54"/>
    <w:rsid w:val="00F26419"/>
    <w:rsid w:val="00F26B93"/>
    <w:rsid w:val="00F276B7"/>
    <w:rsid w:val="00F3031F"/>
    <w:rsid w:val="00F322F4"/>
    <w:rsid w:val="00F35191"/>
    <w:rsid w:val="00F35240"/>
    <w:rsid w:val="00F36937"/>
    <w:rsid w:val="00F37DE2"/>
    <w:rsid w:val="00F41328"/>
    <w:rsid w:val="00F434A0"/>
    <w:rsid w:val="00F45898"/>
    <w:rsid w:val="00F458A0"/>
    <w:rsid w:val="00F46634"/>
    <w:rsid w:val="00F5214C"/>
    <w:rsid w:val="00F535F0"/>
    <w:rsid w:val="00F53C49"/>
    <w:rsid w:val="00F53D5F"/>
    <w:rsid w:val="00F55596"/>
    <w:rsid w:val="00F56788"/>
    <w:rsid w:val="00F567D2"/>
    <w:rsid w:val="00F57A38"/>
    <w:rsid w:val="00F73237"/>
    <w:rsid w:val="00F734E1"/>
    <w:rsid w:val="00F749D0"/>
    <w:rsid w:val="00F768A1"/>
    <w:rsid w:val="00F830DB"/>
    <w:rsid w:val="00F839F3"/>
    <w:rsid w:val="00F856E9"/>
    <w:rsid w:val="00F862ED"/>
    <w:rsid w:val="00F87807"/>
    <w:rsid w:val="00F8798A"/>
    <w:rsid w:val="00F90BCF"/>
    <w:rsid w:val="00F931A9"/>
    <w:rsid w:val="00F9338B"/>
    <w:rsid w:val="00F93BA0"/>
    <w:rsid w:val="00F94B48"/>
    <w:rsid w:val="00F96519"/>
    <w:rsid w:val="00F96B4A"/>
    <w:rsid w:val="00F9711F"/>
    <w:rsid w:val="00F971C6"/>
    <w:rsid w:val="00FA0458"/>
    <w:rsid w:val="00FA09EE"/>
    <w:rsid w:val="00FA4BC4"/>
    <w:rsid w:val="00FA5421"/>
    <w:rsid w:val="00FA5C01"/>
    <w:rsid w:val="00FA6F10"/>
    <w:rsid w:val="00FA741E"/>
    <w:rsid w:val="00FA748C"/>
    <w:rsid w:val="00FB09DF"/>
    <w:rsid w:val="00FB1245"/>
    <w:rsid w:val="00FB2509"/>
    <w:rsid w:val="00FB3AC9"/>
    <w:rsid w:val="00FB40E8"/>
    <w:rsid w:val="00FB47F0"/>
    <w:rsid w:val="00FB51AD"/>
    <w:rsid w:val="00FB7038"/>
    <w:rsid w:val="00FB723C"/>
    <w:rsid w:val="00FC1880"/>
    <w:rsid w:val="00FC1E37"/>
    <w:rsid w:val="00FC3220"/>
    <w:rsid w:val="00FC34EC"/>
    <w:rsid w:val="00FC4555"/>
    <w:rsid w:val="00FC615B"/>
    <w:rsid w:val="00FC772F"/>
    <w:rsid w:val="00FC7D20"/>
    <w:rsid w:val="00FD06B8"/>
    <w:rsid w:val="00FD14C2"/>
    <w:rsid w:val="00FD1D01"/>
    <w:rsid w:val="00FD2E11"/>
    <w:rsid w:val="00FD43DD"/>
    <w:rsid w:val="00FD5180"/>
    <w:rsid w:val="00FD5D14"/>
    <w:rsid w:val="00FD5F91"/>
    <w:rsid w:val="00FD6757"/>
    <w:rsid w:val="00FD7B68"/>
    <w:rsid w:val="00FD7E8D"/>
    <w:rsid w:val="00FE125B"/>
    <w:rsid w:val="00FE197F"/>
    <w:rsid w:val="00FE1B8F"/>
    <w:rsid w:val="00FE1E75"/>
    <w:rsid w:val="00FE2AF8"/>
    <w:rsid w:val="00FE2CD4"/>
    <w:rsid w:val="00FE2E48"/>
    <w:rsid w:val="00FE35CA"/>
    <w:rsid w:val="00FE3BCC"/>
    <w:rsid w:val="00FE41AD"/>
    <w:rsid w:val="00FE5DEA"/>
    <w:rsid w:val="00FE6C3B"/>
    <w:rsid w:val="00FE73FC"/>
    <w:rsid w:val="00FE7A9F"/>
    <w:rsid w:val="00FF07E6"/>
    <w:rsid w:val="00FF08CA"/>
    <w:rsid w:val="00FF14CF"/>
    <w:rsid w:val="00FF21A3"/>
    <w:rsid w:val="00FF263A"/>
    <w:rsid w:val="00FF36F5"/>
    <w:rsid w:val="00FF4451"/>
    <w:rsid w:val="00FF5428"/>
    <w:rsid w:val="2604BA06"/>
    <w:rsid w:val="2EDE7CCC"/>
    <w:rsid w:val="4787B810"/>
    <w:rsid w:val="4932A9B6"/>
    <w:rsid w:val="4D22C853"/>
    <w:rsid w:val="51D37E9D"/>
    <w:rsid w:val="7AD5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0C8D6"/>
  <w15:docId w15:val="{3E5A8A7D-DB0F-4808-91C2-1D796508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451CF4"/>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paragraph" w:styleId="BalloonText">
    <w:name w:val="Balloon Text"/>
    <w:basedOn w:val="Normal"/>
    <w:link w:val="BalloonTextChar"/>
    <w:unhideWhenUsed/>
    <w:rsid w:val="00451CF4"/>
    <w:rPr>
      <w:rFonts w:ascii="Tahoma" w:eastAsia="Calibri" w:hAnsi="Tahoma" w:cs="Tahoma"/>
      <w:sz w:val="16"/>
      <w:szCs w:val="16"/>
    </w:rPr>
  </w:style>
  <w:style w:type="character" w:customStyle="1" w:styleId="BalloonTextChar">
    <w:name w:val="Balloon Text Char"/>
    <w:basedOn w:val="DefaultParagraphFont"/>
    <w:link w:val="BalloonText"/>
    <w:rsid w:val="00451CF4"/>
    <w:rPr>
      <w:rFonts w:ascii="Tahoma" w:hAnsi="Tahoma" w:cs="Tahoma"/>
      <w:sz w:val="16"/>
      <w:szCs w:val="16"/>
    </w:rPr>
  </w:style>
  <w:style w:type="character" w:styleId="Hyperlink">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ListParagraph">
    <w:name w:val="List Paragraph"/>
    <w:basedOn w:val="Normal"/>
    <w:uiPriority w:val="34"/>
    <w:qFormat/>
    <w:rsid w:val="00997CEA"/>
    <w:pPr>
      <w:ind w:left="720"/>
      <w:contextualSpacing/>
    </w:pPr>
    <w:rPr>
      <w:rFonts w:ascii="Times New Roman" w:hAnsi="Times New Roman"/>
      <w:sz w:val="24"/>
    </w:rPr>
  </w:style>
  <w:style w:type="paragraph" w:styleId="FootnoteText">
    <w:name w:val="footnote text"/>
    <w:basedOn w:val="Normal"/>
    <w:link w:val="FootnoteTextChar"/>
    <w:uiPriority w:val="99"/>
    <w:semiHidden/>
    <w:unhideWhenUsed/>
    <w:rsid w:val="00F567D2"/>
    <w:rPr>
      <w:sz w:val="20"/>
      <w:szCs w:val="20"/>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1"/>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rsid w:val="00B62AB6"/>
    <w:pPr>
      <w:numPr>
        <w:ilvl w:val="7"/>
      </w:numPr>
      <w:spacing w:before="120" w:after="120"/>
      <w:outlineLvl w:val="7"/>
    </w:pPr>
    <w:rPr>
      <w:sz w:val="18"/>
    </w:rPr>
  </w:style>
  <w:style w:type="paragraph" w:customStyle="1" w:styleId="SecurityL9">
    <w:name w:val="Security_L9"/>
    <w:basedOn w:val="SecurityL8"/>
    <w:rsid w:val="00B62AB6"/>
    <w:pPr>
      <w:numPr>
        <w:ilvl w:val="8"/>
      </w:numPr>
      <w:spacing w:before="0" w:after="60"/>
      <w:outlineLvl w:val="8"/>
    </w:pPr>
    <w:rPr>
      <w:i/>
    </w:rPr>
  </w:style>
  <w:style w:type="paragraph" w:styleId="BodyText">
    <w:name w:val="Body Text"/>
    <w:aliases w:val="b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semiHidden/>
    <w:unhideWhenUsed/>
    <w:rsid w:val="004951CB"/>
    <w:rPr>
      <w:rFonts w:ascii="Arial" w:hAnsi="Arial"/>
      <w:sz w:val="20"/>
      <w:szCs w:val="20"/>
    </w:rPr>
  </w:style>
  <w:style w:type="character" w:customStyle="1" w:styleId="CommentTextChar">
    <w:name w:val="Comment Text Char"/>
    <w:basedOn w:val="DefaultParagraphFont"/>
    <w:link w:val="CommentText"/>
    <w:uiPriority w:val="99"/>
    <w:semiHidden/>
    <w:rsid w:val="004951CB"/>
    <w:rPr>
      <w:rFonts w:ascii="Arial" w:eastAsia="Times New Roman" w:hAnsi="Arial" w:cs="Times New Roman"/>
      <w:sz w:val="20"/>
      <w:szCs w:val="20"/>
    </w:rPr>
  </w:style>
  <w:style w:type="paragraph" w:styleId="BodyText2">
    <w:name w:val="Body Text 2"/>
    <w:basedOn w:val="Normal"/>
    <w:link w:val="BodyText2Char"/>
    <w:unhideWhenUsed/>
    <w:rsid w:val="003E2504"/>
    <w:pPr>
      <w:spacing w:after="120" w:line="480" w:lineRule="auto"/>
    </w:p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styleId="Revisio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rsid w:val="00810E7B"/>
    <w:pPr>
      <w:spacing w:after="240"/>
      <w:jc w:val="both"/>
    </w:pPr>
    <w:rPr>
      <w:rFonts w:ascii="Times New Roman" w:hAnsi="Times New Roman"/>
      <w:sz w:val="20"/>
      <w:szCs w:val="20"/>
      <w:lang w:val="en-CA"/>
    </w:rPr>
  </w:style>
  <w:style w:type="paragraph" w:styleId="NormalWeb">
    <w:name w:val="Normal (Web)"/>
    <w:basedOn w:val="Normal"/>
    <w:uiPriority w:val="99"/>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styleId="Emphasis">
    <w:name w:val="Emphasis"/>
    <w:uiPriority w:val="20"/>
    <w:qFormat/>
    <w:rsid w:val="003176C0"/>
    <w:rPr>
      <w:i/>
      <w:iCs/>
    </w:rPr>
  </w:style>
  <w:style w:type="paragraph" w:customStyle="1" w:styleId="Ne3">
    <w:name w:val="Ne3"/>
    <w:basedOn w:val="Normal"/>
    <w:link w:val="Ne3Char"/>
    <w:rsid w:val="005D19BE"/>
    <w:pPr>
      <w:overflowPunct w:val="0"/>
      <w:autoSpaceDE w:val="0"/>
      <w:autoSpaceDN w:val="0"/>
      <w:adjustRightInd w:val="0"/>
      <w:spacing w:before="120" w:line="280" w:lineRule="atLeast"/>
      <w:ind w:left="720"/>
      <w:jc w:val="both"/>
      <w:textAlignment w:val="baseline"/>
    </w:pPr>
    <w:rPr>
      <w:rFonts w:ascii="Arial" w:hAnsi="Arial"/>
      <w:sz w:val="20"/>
      <w:szCs w:val="20"/>
    </w:rPr>
  </w:style>
  <w:style w:type="character" w:customStyle="1" w:styleId="Ne3Char">
    <w:name w:val="Ne3 Char"/>
    <w:link w:val="Ne3"/>
    <w:rsid w:val="005D19BE"/>
    <w:rPr>
      <w:rFonts w:ascii="Arial" w:eastAsia="Times New Roman" w:hAnsi="Arial"/>
    </w:rPr>
  </w:style>
  <w:style w:type="paragraph" w:styleId="HTMLPreformatted">
    <w:name w:val="HTML Preformatted"/>
    <w:basedOn w:val="Normal"/>
    <w:link w:val="HTMLPreformattedChar"/>
    <w:uiPriority w:val="99"/>
    <w:rsid w:val="006429BF"/>
    <w:pPr>
      <w:jc w:val="both"/>
    </w:pPr>
    <w:rPr>
      <w:rFonts w:ascii="Courier New" w:hAnsi="Courier New"/>
      <w:sz w:val="20"/>
      <w:lang w:val="en-CA"/>
    </w:rPr>
  </w:style>
  <w:style w:type="character" w:customStyle="1" w:styleId="HTMLPreformattedChar">
    <w:name w:val="HTML Preformatted Char"/>
    <w:basedOn w:val="DefaultParagraphFont"/>
    <w:link w:val="HTMLPreformatted"/>
    <w:uiPriority w:val="99"/>
    <w:rsid w:val="006429BF"/>
    <w:rPr>
      <w:rFonts w:ascii="Courier New" w:eastAsia="Times New Roman" w:hAnsi="Courier New"/>
      <w:szCs w:val="24"/>
      <w:lang w:val="en-CA"/>
    </w:rPr>
  </w:style>
  <w:style w:type="paragraph" w:customStyle="1" w:styleId="Ne4">
    <w:name w:val="Ne4"/>
    <w:basedOn w:val="Normal"/>
    <w:rsid w:val="006B42DD"/>
    <w:pPr>
      <w:overflowPunct w:val="0"/>
      <w:autoSpaceDE w:val="0"/>
      <w:autoSpaceDN w:val="0"/>
      <w:adjustRightInd w:val="0"/>
      <w:spacing w:before="120" w:line="280" w:lineRule="atLeast"/>
      <w:ind w:left="1080"/>
      <w:jc w:val="both"/>
    </w:pPr>
    <w:rPr>
      <w:rFonts w:ascii="Arial" w:hAnsi="Arial"/>
      <w:sz w:val="20"/>
      <w:szCs w:val="20"/>
      <w:lang w:val="en-CA"/>
    </w:rPr>
  </w:style>
  <w:style w:type="paragraph" w:styleId="NoSpacing">
    <w:name w:val="No Spacing"/>
    <w:link w:val="NoSpacingChar"/>
    <w:qFormat/>
    <w:rsid w:val="00043F8E"/>
    <w:pPr>
      <w:jc w:val="both"/>
    </w:pPr>
    <w:rPr>
      <w:rFonts w:ascii="Times New Roman" w:eastAsia="Batang" w:hAnsi="Times New Roman"/>
      <w:sz w:val="22"/>
      <w:szCs w:val="24"/>
      <w:lang w:val="en-CA"/>
    </w:rPr>
  </w:style>
  <w:style w:type="character" w:customStyle="1" w:styleId="NoSpacingChar">
    <w:name w:val="No Spacing Char"/>
    <w:link w:val="NoSpacing"/>
    <w:rsid w:val="00043F8E"/>
    <w:rPr>
      <w:rFonts w:ascii="Times New Roman" w:eastAsia="Batang" w:hAnsi="Times New Roman"/>
      <w:sz w:val="22"/>
      <w:szCs w:val="24"/>
      <w:lang w:val="en-CA"/>
    </w:rPr>
  </w:style>
  <w:style w:type="paragraph" w:customStyle="1" w:styleId="LHFirmName">
    <w:name w:val="LH Firm Name"/>
    <w:basedOn w:val="Normal"/>
    <w:rsid w:val="00EE18BF"/>
    <w:pPr>
      <w:spacing w:after="120"/>
      <w:ind w:left="-720"/>
      <w:jc w:val="both"/>
    </w:pPr>
    <w:rPr>
      <w:rFonts w:ascii="EngravrsRoman BT" w:hAnsi="EngravrsRoman BT"/>
      <w:b/>
      <w:spacing w:val="10"/>
      <w:sz w:val="15"/>
      <w:lang w:val="en-CA"/>
    </w:rPr>
  </w:style>
  <w:style w:type="character" w:customStyle="1" w:styleId="FootnoteTextChar">
    <w:name w:val="Footnote Text Char"/>
    <w:basedOn w:val="DefaultParagraphFont"/>
    <w:link w:val="FootnoteText"/>
    <w:uiPriority w:val="99"/>
    <w:semiHidden/>
    <w:rsid w:val="00F567D2"/>
    <w:rPr>
      <w:rFonts w:ascii="Verdana" w:eastAsia="Times New Roman" w:hAnsi="Verdana"/>
    </w:rPr>
  </w:style>
  <w:style w:type="character" w:styleId="FootnoteReference">
    <w:name w:val="footnote reference"/>
    <w:basedOn w:val="DefaultParagraphFont"/>
    <w:uiPriority w:val="99"/>
    <w:semiHidden/>
    <w:unhideWhenUsed/>
    <w:rsid w:val="00F567D2"/>
    <w:rPr>
      <w:vertAlign w:val="superscript"/>
    </w:rPr>
  </w:style>
  <w:style w:type="character" w:styleId="UnresolvedMention">
    <w:name w:val="Unresolved Mention"/>
    <w:basedOn w:val="DefaultParagraphFont"/>
    <w:uiPriority w:val="99"/>
    <w:semiHidden/>
    <w:unhideWhenUsed/>
    <w:rsid w:val="00150304"/>
    <w:rPr>
      <w:color w:val="605E5C"/>
      <w:shd w:val="clear" w:color="auto" w:fill="E1DFDD"/>
    </w:rPr>
  </w:style>
  <w:style w:type="paragraph" w:customStyle="1" w:styleId="BDPDOCID">
    <w:name w:val="BDPDOCID"/>
    <w:basedOn w:val="Normal"/>
    <w:qFormat/>
    <w:rsid w:val="004217F4"/>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7787">
      <w:bodyDiv w:val="1"/>
      <w:marLeft w:val="0"/>
      <w:marRight w:val="0"/>
      <w:marTop w:val="0"/>
      <w:marBottom w:val="0"/>
      <w:divBdr>
        <w:top w:val="none" w:sz="0" w:space="0" w:color="auto"/>
        <w:left w:val="none" w:sz="0" w:space="0" w:color="auto"/>
        <w:bottom w:val="none" w:sz="0" w:space="0" w:color="auto"/>
        <w:right w:val="none" w:sz="0" w:space="0" w:color="auto"/>
      </w:divBdr>
    </w:div>
    <w:div w:id="79185962">
      <w:bodyDiv w:val="1"/>
      <w:marLeft w:val="0"/>
      <w:marRight w:val="0"/>
      <w:marTop w:val="0"/>
      <w:marBottom w:val="0"/>
      <w:divBdr>
        <w:top w:val="none" w:sz="0" w:space="0" w:color="auto"/>
        <w:left w:val="none" w:sz="0" w:space="0" w:color="auto"/>
        <w:bottom w:val="none" w:sz="0" w:space="0" w:color="auto"/>
        <w:right w:val="none" w:sz="0" w:space="0" w:color="auto"/>
      </w:divBdr>
    </w:div>
    <w:div w:id="147133153">
      <w:bodyDiv w:val="1"/>
      <w:marLeft w:val="0"/>
      <w:marRight w:val="0"/>
      <w:marTop w:val="0"/>
      <w:marBottom w:val="0"/>
      <w:divBdr>
        <w:top w:val="none" w:sz="0" w:space="0" w:color="auto"/>
        <w:left w:val="none" w:sz="0" w:space="0" w:color="auto"/>
        <w:bottom w:val="none" w:sz="0" w:space="0" w:color="auto"/>
        <w:right w:val="none" w:sz="0" w:space="0" w:color="auto"/>
      </w:divBdr>
    </w:div>
    <w:div w:id="408040677">
      <w:bodyDiv w:val="1"/>
      <w:marLeft w:val="0"/>
      <w:marRight w:val="0"/>
      <w:marTop w:val="0"/>
      <w:marBottom w:val="0"/>
      <w:divBdr>
        <w:top w:val="none" w:sz="0" w:space="0" w:color="auto"/>
        <w:left w:val="none" w:sz="0" w:space="0" w:color="auto"/>
        <w:bottom w:val="none" w:sz="0" w:space="0" w:color="auto"/>
        <w:right w:val="none" w:sz="0" w:space="0" w:color="auto"/>
      </w:divBdr>
    </w:div>
    <w:div w:id="464736846">
      <w:bodyDiv w:val="1"/>
      <w:marLeft w:val="0"/>
      <w:marRight w:val="0"/>
      <w:marTop w:val="0"/>
      <w:marBottom w:val="0"/>
      <w:divBdr>
        <w:top w:val="none" w:sz="0" w:space="0" w:color="auto"/>
        <w:left w:val="none" w:sz="0" w:space="0" w:color="auto"/>
        <w:bottom w:val="none" w:sz="0" w:space="0" w:color="auto"/>
        <w:right w:val="none" w:sz="0" w:space="0" w:color="auto"/>
      </w:divBdr>
    </w:div>
    <w:div w:id="557131380">
      <w:bodyDiv w:val="1"/>
      <w:marLeft w:val="0"/>
      <w:marRight w:val="0"/>
      <w:marTop w:val="0"/>
      <w:marBottom w:val="0"/>
      <w:divBdr>
        <w:top w:val="none" w:sz="0" w:space="0" w:color="auto"/>
        <w:left w:val="none" w:sz="0" w:space="0" w:color="auto"/>
        <w:bottom w:val="none" w:sz="0" w:space="0" w:color="auto"/>
        <w:right w:val="none" w:sz="0" w:space="0" w:color="auto"/>
      </w:divBdr>
    </w:div>
    <w:div w:id="724333277">
      <w:bodyDiv w:val="1"/>
      <w:marLeft w:val="0"/>
      <w:marRight w:val="0"/>
      <w:marTop w:val="0"/>
      <w:marBottom w:val="0"/>
      <w:divBdr>
        <w:top w:val="none" w:sz="0" w:space="0" w:color="auto"/>
        <w:left w:val="none" w:sz="0" w:space="0" w:color="auto"/>
        <w:bottom w:val="none" w:sz="0" w:space="0" w:color="auto"/>
        <w:right w:val="none" w:sz="0" w:space="0" w:color="auto"/>
      </w:divBdr>
    </w:div>
    <w:div w:id="731587472">
      <w:bodyDiv w:val="1"/>
      <w:marLeft w:val="0"/>
      <w:marRight w:val="0"/>
      <w:marTop w:val="0"/>
      <w:marBottom w:val="0"/>
      <w:divBdr>
        <w:top w:val="none" w:sz="0" w:space="0" w:color="auto"/>
        <w:left w:val="none" w:sz="0" w:space="0" w:color="auto"/>
        <w:bottom w:val="none" w:sz="0" w:space="0" w:color="auto"/>
        <w:right w:val="none" w:sz="0" w:space="0" w:color="auto"/>
      </w:divBdr>
    </w:div>
    <w:div w:id="829104532">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1045252995">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61718492">
      <w:bodyDiv w:val="1"/>
      <w:marLeft w:val="0"/>
      <w:marRight w:val="0"/>
      <w:marTop w:val="0"/>
      <w:marBottom w:val="0"/>
      <w:divBdr>
        <w:top w:val="none" w:sz="0" w:space="0" w:color="auto"/>
        <w:left w:val="none" w:sz="0" w:space="0" w:color="auto"/>
        <w:bottom w:val="none" w:sz="0" w:space="0" w:color="auto"/>
        <w:right w:val="none" w:sz="0" w:space="0" w:color="auto"/>
      </w:divBdr>
    </w:div>
    <w:div w:id="1286038537">
      <w:bodyDiv w:val="1"/>
      <w:marLeft w:val="0"/>
      <w:marRight w:val="0"/>
      <w:marTop w:val="0"/>
      <w:marBottom w:val="0"/>
      <w:divBdr>
        <w:top w:val="none" w:sz="0" w:space="0" w:color="auto"/>
        <w:left w:val="none" w:sz="0" w:space="0" w:color="auto"/>
        <w:bottom w:val="none" w:sz="0" w:space="0" w:color="auto"/>
        <w:right w:val="none" w:sz="0" w:space="0" w:color="auto"/>
      </w:divBdr>
    </w:div>
    <w:div w:id="1383479918">
      <w:bodyDiv w:val="1"/>
      <w:marLeft w:val="0"/>
      <w:marRight w:val="0"/>
      <w:marTop w:val="0"/>
      <w:marBottom w:val="0"/>
      <w:divBdr>
        <w:top w:val="none" w:sz="0" w:space="0" w:color="auto"/>
        <w:left w:val="none" w:sz="0" w:space="0" w:color="auto"/>
        <w:bottom w:val="none" w:sz="0" w:space="0" w:color="auto"/>
        <w:right w:val="none" w:sz="0" w:space="0" w:color="auto"/>
      </w:divBdr>
    </w:div>
    <w:div w:id="1386220001">
      <w:bodyDiv w:val="1"/>
      <w:marLeft w:val="0"/>
      <w:marRight w:val="0"/>
      <w:marTop w:val="0"/>
      <w:marBottom w:val="0"/>
      <w:divBdr>
        <w:top w:val="none" w:sz="0" w:space="0" w:color="auto"/>
        <w:left w:val="none" w:sz="0" w:space="0" w:color="auto"/>
        <w:bottom w:val="none" w:sz="0" w:space="0" w:color="auto"/>
        <w:right w:val="none" w:sz="0" w:space="0" w:color="auto"/>
      </w:divBdr>
    </w:div>
    <w:div w:id="1463039024">
      <w:bodyDiv w:val="1"/>
      <w:marLeft w:val="0"/>
      <w:marRight w:val="0"/>
      <w:marTop w:val="0"/>
      <w:marBottom w:val="0"/>
      <w:divBdr>
        <w:top w:val="none" w:sz="0" w:space="0" w:color="auto"/>
        <w:left w:val="none" w:sz="0" w:space="0" w:color="auto"/>
        <w:bottom w:val="none" w:sz="0" w:space="0" w:color="auto"/>
        <w:right w:val="none" w:sz="0" w:space="0" w:color="auto"/>
      </w:divBdr>
    </w:div>
    <w:div w:id="1570000882">
      <w:bodyDiv w:val="1"/>
      <w:marLeft w:val="0"/>
      <w:marRight w:val="0"/>
      <w:marTop w:val="0"/>
      <w:marBottom w:val="0"/>
      <w:divBdr>
        <w:top w:val="none" w:sz="0" w:space="0" w:color="auto"/>
        <w:left w:val="none" w:sz="0" w:space="0" w:color="auto"/>
        <w:bottom w:val="none" w:sz="0" w:space="0" w:color="auto"/>
        <w:right w:val="none" w:sz="0" w:space="0" w:color="auto"/>
      </w:divBdr>
    </w:div>
    <w:div w:id="1697074418">
      <w:bodyDiv w:val="1"/>
      <w:marLeft w:val="0"/>
      <w:marRight w:val="0"/>
      <w:marTop w:val="0"/>
      <w:marBottom w:val="0"/>
      <w:divBdr>
        <w:top w:val="none" w:sz="0" w:space="0" w:color="auto"/>
        <w:left w:val="none" w:sz="0" w:space="0" w:color="auto"/>
        <w:bottom w:val="none" w:sz="0" w:space="0" w:color="auto"/>
        <w:right w:val="none" w:sz="0" w:space="0" w:color="auto"/>
      </w:divBdr>
    </w:div>
    <w:div w:id="1708918851">
      <w:bodyDiv w:val="1"/>
      <w:marLeft w:val="0"/>
      <w:marRight w:val="0"/>
      <w:marTop w:val="0"/>
      <w:marBottom w:val="0"/>
      <w:divBdr>
        <w:top w:val="none" w:sz="0" w:space="0" w:color="auto"/>
        <w:left w:val="none" w:sz="0" w:space="0" w:color="auto"/>
        <w:bottom w:val="none" w:sz="0" w:space="0" w:color="auto"/>
        <w:right w:val="none" w:sz="0" w:space="0" w:color="auto"/>
      </w:divBdr>
    </w:div>
    <w:div w:id="1819490376">
      <w:bodyDiv w:val="1"/>
      <w:marLeft w:val="0"/>
      <w:marRight w:val="0"/>
      <w:marTop w:val="0"/>
      <w:marBottom w:val="0"/>
      <w:divBdr>
        <w:top w:val="none" w:sz="0" w:space="0" w:color="auto"/>
        <w:left w:val="none" w:sz="0" w:space="0" w:color="auto"/>
        <w:bottom w:val="none" w:sz="0" w:space="0" w:color="auto"/>
        <w:right w:val="none" w:sz="0" w:space="0" w:color="auto"/>
      </w:divBdr>
    </w:div>
    <w:div w:id="1868063230">
      <w:bodyDiv w:val="1"/>
      <w:marLeft w:val="0"/>
      <w:marRight w:val="0"/>
      <w:marTop w:val="0"/>
      <w:marBottom w:val="0"/>
      <w:divBdr>
        <w:top w:val="none" w:sz="0" w:space="0" w:color="auto"/>
        <w:left w:val="none" w:sz="0" w:space="0" w:color="auto"/>
        <w:bottom w:val="none" w:sz="0" w:space="0" w:color="auto"/>
        <w:right w:val="none" w:sz="0" w:space="0" w:color="auto"/>
      </w:divBdr>
    </w:div>
    <w:div w:id="1944531920">
      <w:bodyDiv w:val="1"/>
      <w:marLeft w:val="0"/>
      <w:marRight w:val="0"/>
      <w:marTop w:val="0"/>
      <w:marBottom w:val="0"/>
      <w:divBdr>
        <w:top w:val="none" w:sz="0" w:space="0" w:color="auto"/>
        <w:left w:val="none" w:sz="0" w:space="0" w:color="auto"/>
        <w:bottom w:val="none" w:sz="0" w:space="0" w:color="auto"/>
        <w:right w:val="none" w:sz="0" w:space="0" w:color="auto"/>
      </w:divBdr>
    </w:div>
    <w:div w:id="2057464658">
      <w:bodyDiv w:val="1"/>
      <w:marLeft w:val="0"/>
      <w:marRight w:val="0"/>
      <w:marTop w:val="0"/>
      <w:marBottom w:val="0"/>
      <w:divBdr>
        <w:top w:val="none" w:sz="0" w:space="0" w:color="auto"/>
        <w:left w:val="none" w:sz="0" w:space="0" w:color="auto"/>
        <w:bottom w:val="none" w:sz="0" w:space="0" w:color="auto"/>
        <w:right w:val="none" w:sz="0" w:space="0" w:color="auto"/>
      </w:divBdr>
    </w:div>
    <w:div w:id="21070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crownpointenergy.com" TargetMode="Externa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styles" Target="styles.xml" Id="rId7" /><Relationship Type="http://schemas.openxmlformats.org/officeDocument/2006/relationships/hyperlink" Target="http://www.sedarplus.ca"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www.sedarplus.ca"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customXml" Target="../customXml/item5.xml" Id="rId5" /><Relationship Type="http://schemas.openxmlformats.org/officeDocument/2006/relationships/hyperlink" Target="mailto:mtormakh@crownpointenergy.com"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 TargetMode="External" Id="rId14" /><Relationship Type="http://schemas.openxmlformats.org/officeDocument/2006/relationships/footer" Target="footer3.xml" Id="rId22" /><Relationship Type="http://schemas.openxmlformats.org/officeDocument/2006/relationships/customXml" Target="/customXML/item6.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6.xml.rels>&#65279;<?xml version="1.0" encoding="utf-8"?><Relationships xmlns="http://schemas.openxmlformats.org/package/2006/relationships"><Relationship Type="http://schemas.openxmlformats.org/officeDocument/2006/relationships/customXmlProps" Target="/customXML/itemProps6.xml" Id="iManageProps" /></Relationships>
</file>

<file path=customXML/item6.xml><?xml version="1.0" encoding="utf-8"?>
<properties xmlns="http://www.imanage.com/work/xmlschema">
  <documentid>Active!14553265.1</documentid>
  <senderid>SWELSH</senderid>
  <senderemail>SWELSH@BDPLAW.COM</senderemail>
  <lastmodified>2025-08-11T11:48:00.0000000-06:00</lastmodified>
  <database>Active</database>
</properties>
</file>

<file path=customXML/itemProps6.xml><?xml version="1.0" encoding="utf-8"?>
<ds:datastoreItem xmlns:ds="http://schemas.openxmlformats.org/officeDocument/2006/customXml" ds:itemID="{18DE9573-E8C4-43AE-8117-D63E8EFFE0A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04C4A-571E-43A8-9E21-EC28313B176E}">
  <ds:schemaRefs>
    <ds:schemaRef ds:uri="http://schemas.openxmlformats.org/officeDocument/2006/bibliography"/>
  </ds:schemaRefs>
</ds:datastoreItem>
</file>

<file path=customXml/itemProps2.xml><?xml version="1.0" encoding="utf-8"?>
<ds:datastoreItem xmlns:ds="http://schemas.openxmlformats.org/officeDocument/2006/customXml" ds:itemID="{0AC2C7A9-84F2-400E-A4F6-945A279FAADD}">
  <ds:schemaRefs>
    <ds:schemaRef ds:uri="http://schemas.openxmlformats.org/officeDocument/2006/bibliography"/>
  </ds:schemaRefs>
</ds:datastoreItem>
</file>

<file path=customXml/itemProps4.xml><?xml version="1.0" encoding="utf-8"?>
<ds:datastoreItem xmlns:ds="http://schemas.openxmlformats.org/officeDocument/2006/customXml" ds:itemID="{D684B844-A9FF-4F4C-8854-89CFC3637090}">
  <ds:schemaRefs>
    <ds:schemaRef ds:uri="http://schemas.openxmlformats.org/officeDocument/2006/bibliography"/>
  </ds:schemaRefs>
</ds:datastoreItem>
</file>

<file path=customXml/itemProps5.xml><?xml version="1.0" encoding="utf-8"?>
<ds:datastoreItem xmlns:ds="http://schemas.openxmlformats.org/officeDocument/2006/customXml" ds:itemID="{20234826-1A70-4D6C-9B99-A92B5DE0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3171</Words>
  <Characters>17444</Characters>
  <Application>Microsoft Office Word</Application>
  <DocSecurity>0</DocSecurity>
  <Lines>145</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Company>
  <LinksUpToDate>false</LinksUpToDate>
  <CharactersWithSpaces>20574</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c:description/>
  <cp:lastModifiedBy>Natalia de Brito Ferra</cp:lastModifiedBy>
  <cp:revision>6</cp:revision>
  <cp:lastPrinted>2022-11-09T19:38:00Z</cp:lastPrinted>
  <dcterms:created xsi:type="dcterms:W3CDTF">2025-08-08T16:00:00Z</dcterms:created>
  <dcterms:modified xsi:type="dcterms:W3CDTF">2025-08-11T17:48:00Z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14548990.1</vt:lpwstr>
  </property>
  <property fmtid="{D5CDD505-2E9C-101B-9397-08002B2CF9AE}" pid="3" name="DocXFormat">
    <vt:lpwstr>BDP DOCID</vt:lpwstr>
  </property>
  <property fmtid="{D5CDD505-2E9C-101B-9397-08002B2CF9AE}" pid="4" name="DocXLocation">
    <vt:lpwstr>NoDocId</vt:lpwstr>
  </property>
</Properties>
</file>