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3FC73" w14:textId="77777777" w:rsidR="00257631" w:rsidRPr="007B6295" w:rsidRDefault="00257631" w:rsidP="00257631">
      <w:pPr>
        <w:autoSpaceDE w:val="0"/>
        <w:autoSpaceDN w:val="0"/>
        <w:adjustRightInd w:val="0"/>
        <w:jc w:val="right"/>
        <w:rPr>
          <w:rFonts w:ascii="Times New Roman" w:hAnsi="Times New Roman"/>
          <w:szCs w:val="22"/>
        </w:rPr>
      </w:pPr>
    </w:p>
    <w:p w14:paraId="1058A6A4" w14:textId="77777777" w:rsidR="00997CEA" w:rsidRPr="00A2786A" w:rsidRDefault="00997CEA" w:rsidP="00997CEA">
      <w:pPr>
        <w:tabs>
          <w:tab w:val="right" w:pos="8640"/>
        </w:tabs>
        <w:jc w:val="both"/>
        <w:rPr>
          <w:sz w:val="20"/>
          <w:szCs w:val="20"/>
        </w:rPr>
      </w:pPr>
      <w:r w:rsidRPr="00A2786A">
        <w:rPr>
          <w:sz w:val="20"/>
          <w:szCs w:val="20"/>
        </w:rPr>
        <w:t xml:space="preserve">FOR IMMEDIATE RELEASE </w:t>
      </w:r>
      <w:r w:rsidRPr="00A2786A">
        <w:rPr>
          <w:sz w:val="20"/>
          <w:szCs w:val="20"/>
        </w:rPr>
        <w:tab/>
        <w:t>CWV: TSX.V</w:t>
      </w:r>
    </w:p>
    <w:p w14:paraId="33FD9368" w14:textId="53D78A03" w:rsidR="00997CEA" w:rsidRPr="00A2786A" w:rsidRDefault="00560C30" w:rsidP="00997CEA">
      <w:pPr>
        <w:rPr>
          <w:sz w:val="20"/>
          <w:szCs w:val="20"/>
        </w:rPr>
      </w:pPr>
      <w:r>
        <w:rPr>
          <w:sz w:val="20"/>
          <w:szCs w:val="20"/>
        </w:rPr>
        <w:t>September</w:t>
      </w:r>
      <w:r w:rsidRPr="00A2786A">
        <w:rPr>
          <w:sz w:val="20"/>
          <w:szCs w:val="20"/>
        </w:rPr>
        <w:t xml:space="preserve"> </w:t>
      </w:r>
      <w:r w:rsidR="00815C2A">
        <w:rPr>
          <w:sz w:val="20"/>
          <w:szCs w:val="20"/>
        </w:rPr>
        <w:t>30</w:t>
      </w:r>
      <w:r w:rsidR="00C06107" w:rsidRPr="00A2786A">
        <w:rPr>
          <w:sz w:val="20"/>
          <w:szCs w:val="20"/>
        </w:rPr>
        <w:t xml:space="preserve">, </w:t>
      </w:r>
      <w:r w:rsidR="004F3C63" w:rsidRPr="00A2786A">
        <w:rPr>
          <w:sz w:val="20"/>
          <w:szCs w:val="20"/>
        </w:rPr>
        <w:t>202</w:t>
      </w:r>
      <w:r w:rsidR="004C7A74" w:rsidRPr="00A2786A">
        <w:rPr>
          <w:sz w:val="20"/>
          <w:szCs w:val="20"/>
        </w:rPr>
        <w:t>5</w:t>
      </w:r>
    </w:p>
    <w:p w14:paraId="220CCE9B" w14:textId="77777777" w:rsidR="00997CEA" w:rsidRPr="00A2786A" w:rsidRDefault="00997CEA" w:rsidP="00997CEA">
      <w:pPr>
        <w:rPr>
          <w:b/>
          <w:sz w:val="20"/>
          <w:szCs w:val="20"/>
        </w:rPr>
      </w:pPr>
    </w:p>
    <w:p w14:paraId="308F306A" w14:textId="5A79762E" w:rsidR="00E66412" w:rsidRPr="00A2786A" w:rsidRDefault="00E5435D" w:rsidP="00E5435D">
      <w:pPr>
        <w:ind w:left="720"/>
        <w:jc w:val="center"/>
        <w:outlineLvl w:val="0"/>
        <w:rPr>
          <w:b/>
          <w:sz w:val="20"/>
          <w:szCs w:val="20"/>
        </w:rPr>
      </w:pPr>
      <w:r w:rsidRPr="00A2786A">
        <w:rPr>
          <w:b/>
          <w:sz w:val="20"/>
          <w:szCs w:val="20"/>
        </w:rPr>
        <w:t xml:space="preserve">Crown Point </w:t>
      </w:r>
      <w:r w:rsidR="007E5F3F" w:rsidRPr="00A2786A">
        <w:rPr>
          <w:b/>
          <w:sz w:val="20"/>
          <w:szCs w:val="20"/>
        </w:rPr>
        <w:t xml:space="preserve">Provides Update on Acquisition of </w:t>
      </w:r>
      <w:r w:rsidR="004C7A74" w:rsidRPr="00A2786A">
        <w:rPr>
          <w:b/>
          <w:sz w:val="20"/>
          <w:szCs w:val="20"/>
        </w:rPr>
        <w:t>El Tordillo, La Tapera</w:t>
      </w:r>
      <w:r w:rsidR="00783885" w:rsidRPr="00A2786A">
        <w:rPr>
          <w:b/>
          <w:sz w:val="20"/>
          <w:szCs w:val="20"/>
        </w:rPr>
        <w:t xml:space="preserve"> &amp; </w:t>
      </w:r>
      <w:r w:rsidR="004C7A74" w:rsidRPr="00A2786A">
        <w:rPr>
          <w:b/>
          <w:sz w:val="20"/>
          <w:szCs w:val="20"/>
        </w:rPr>
        <w:t>Puesto Quiroga</w:t>
      </w:r>
      <w:r w:rsidR="00783885" w:rsidRPr="00A2786A">
        <w:rPr>
          <w:b/>
          <w:sz w:val="20"/>
          <w:szCs w:val="20"/>
        </w:rPr>
        <w:t xml:space="preserve"> </w:t>
      </w:r>
      <w:r w:rsidR="007E5F3F" w:rsidRPr="00A2786A">
        <w:rPr>
          <w:b/>
          <w:sz w:val="20"/>
          <w:szCs w:val="20"/>
        </w:rPr>
        <w:t xml:space="preserve">Concessions and Discloses </w:t>
      </w:r>
      <w:r w:rsidR="00F11C6C" w:rsidRPr="00A2786A">
        <w:rPr>
          <w:b/>
          <w:sz w:val="20"/>
          <w:szCs w:val="20"/>
        </w:rPr>
        <w:t xml:space="preserve">Reserve Information </w:t>
      </w:r>
    </w:p>
    <w:p w14:paraId="00411F04" w14:textId="77777777" w:rsidR="00997CEA" w:rsidRPr="00A2786A" w:rsidRDefault="00997CEA" w:rsidP="00997CEA">
      <w:pPr>
        <w:outlineLvl w:val="0"/>
        <w:rPr>
          <w:b/>
          <w:sz w:val="20"/>
          <w:szCs w:val="20"/>
        </w:rPr>
      </w:pPr>
    </w:p>
    <w:p w14:paraId="5D4F7B06" w14:textId="6F31CD4A" w:rsidR="00335EAB" w:rsidRPr="00A2786A" w:rsidRDefault="00997CEA" w:rsidP="00AF42C9">
      <w:pPr>
        <w:tabs>
          <w:tab w:val="left" w:pos="1440"/>
        </w:tabs>
        <w:jc w:val="both"/>
        <w:rPr>
          <w:sz w:val="20"/>
          <w:szCs w:val="20"/>
          <w:lang w:eastAsia="es-AR"/>
        </w:rPr>
      </w:pPr>
      <w:r w:rsidRPr="00A2786A">
        <w:rPr>
          <w:b/>
          <w:sz w:val="20"/>
          <w:szCs w:val="20"/>
        </w:rPr>
        <w:t xml:space="preserve">TSX-V:  CWV: Crown Point </w:t>
      </w:r>
      <w:r w:rsidR="001A4EF4" w:rsidRPr="00A2786A">
        <w:rPr>
          <w:b/>
          <w:sz w:val="20"/>
          <w:szCs w:val="20"/>
        </w:rPr>
        <w:t>Energy Inc</w:t>
      </w:r>
      <w:r w:rsidRPr="00A2786A">
        <w:rPr>
          <w:b/>
          <w:sz w:val="20"/>
          <w:szCs w:val="20"/>
        </w:rPr>
        <w:t xml:space="preserve">. </w:t>
      </w:r>
      <w:r w:rsidRPr="00A2786A">
        <w:rPr>
          <w:bCs/>
          <w:sz w:val="20"/>
          <w:szCs w:val="20"/>
        </w:rPr>
        <w:t>(</w:t>
      </w:r>
      <w:r w:rsidR="008E16E3" w:rsidRPr="00A2786A">
        <w:rPr>
          <w:bCs/>
          <w:sz w:val="20"/>
          <w:szCs w:val="20"/>
        </w:rPr>
        <w:t>“</w:t>
      </w:r>
      <w:r w:rsidRPr="00A2786A">
        <w:rPr>
          <w:b/>
          <w:sz w:val="20"/>
          <w:szCs w:val="20"/>
        </w:rPr>
        <w:t>Crown Point</w:t>
      </w:r>
      <w:r w:rsidR="008E16E3" w:rsidRPr="00A2786A">
        <w:rPr>
          <w:bCs/>
          <w:sz w:val="20"/>
          <w:szCs w:val="20"/>
        </w:rPr>
        <w:t>”</w:t>
      </w:r>
      <w:r w:rsidR="00A12697" w:rsidRPr="00A2786A">
        <w:rPr>
          <w:bCs/>
          <w:sz w:val="20"/>
          <w:szCs w:val="20"/>
        </w:rPr>
        <w:t xml:space="preserve">, </w:t>
      </w:r>
      <w:r w:rsidRPr="00A2786A">
        <w:rPr>
          <w:sz w:val="20"/>
          <w:szCs w:val="20"/>
        </w:rPr>
        <w:t xml:space="preserve">the </w:t>
      </w:r>
      <w:r w:rsidR="008E16E3" w:rsidRPr="00A2786A">
        <w:rPr>
          <w:sz w:val="20"/>
          <w:szCs w:val="20"/>
        </w:rPr>
        <w:t>“</w:t>
      </w:r>
      <w:r w:rsidRPr="00A2786A">
        <w:rPr>
          <w:b/>
          <w:sz w:val="20"/>
          <w:szCs w:val="20"/>
        </w:rPr>
        <w:t>Company</w:t>
      </w:r>
      <w:r w:rsidR="008E16E3" w:rsidRPr="00A2786A">
        <w:rPr>
          <w:bCs/>
          <w:sz w:val="20"/>
          <w:szCs w:val="20"/>
        </w:rPr>
        <w:t>”</w:t>
      </w:r>
      <w:r w:rsidR="00640983" w:rsidRPr="00A2786A">
        <w:rPr>
          <w:bCs/>
          <w:sz w:val="20"/>
          <w:szCs w:val="20"/>
        </w:rPr>
        <w:t xml:space="preserve">, </w:t>
      </w:r>
      <w:r w:rsidR="00A12697" w:rsidRPr="00A2786A">
        <w:rPr>
          <w:bCs/>
          <w:sz w:val="20"/>
          <w:szCs w:val="20"/>
        </w:rPr>
        <w:t>"</w:t>
      </w:r>
      <w:r w:rsidR="00A12697" w:rsidRPr="00A2786A">
        <w:rPr>
          <w:b/>
          <w:sz w:val="20"/>
          <w:szCs w:val="20"/>
        </w:rPr>
        <w:t>we</w:t>
      </w:r>
      <w:r w:rsidR="00A12697" w:rsidRPr="00A2786A">
        <w:rPr>
          <w:sz w:val="20"/>
          <w:szCs w:val="20"/>
        </w:rPr>
        <w:t>"</w:t>
      </w:r>
      <w:r w:rsidR="00640983" w:rsidRPr="00A2786A">
        <w:rPr>
          <w:sz w:val="20"/>
          <w:szCs w:val="20"/>
        </w:rPr>
        <w:t xml:space="preserve"> or "</w:t>
      </w:r>
      <w:r w:rsidR="00640983" w:rsidRPr="00A2786A">
        <w:rPr>
          <w:b/>
          <w:sz w:val="20"/>
          <w:szCs w:val="20"/>
        </w:rPr>
        <w:t>our</w:t>
      </w:r>
      <w:r w:rsidR="00640983" w:rsidRPr="00A2786A">
        <w:rPr>
          <w:sz w:val="20"/>
          <w:szCs w:val="20"/>
        </w:rPr>
        <w:t>"</w:t>
      </w:r>
      <w:r w:rsidRPr="00A2786A">
        <w:rPr>
          <w:bCs/>
          <w:sz w:val="20"/>
          <w:szCs w:val="20"/>
        </w:rPr>
        <w:t xml:space="preserve">) </w:t>
      </w:r>
      <w:r w:rsidR="00AF42C9" w:rsidRPr="00A2786A">
        <w:rPr>
          <w:sz w:val="20"/>
          <w:szCs w:val="20"/>
        </w:rPr>
        <w:t xml:space="preserve">today announced </w:t>
      </w:r>
      <w:r w:rsidR="00F11C6C" w:rsidRPr="00A2786A">
        <w:rPr>
          <w:sz w:val="20"/>
          <w:szCs w:val="20"/>
        </w:rPr>
        <w:t>certain reserve information</w:t>
      </w:r>
      <w:r w:rsidR="00B22F7B" w:rsidRPr="00A2786A">
        <w:rPr>
          <w:sz w:val="20"/>
          <w:szCs w:val="20"/>
        </w:rPr>
        <w:t xml:space="preserve"> for the </w:t>
      </w:r>
      <w:r w:rsidR="004C7A74" w:rsidRPr="00A2786A">
        <w:rPr>
          <w:sz w:val="20"/>
          <w:szCs w:val="20"/>
          <w:lang w:eastAsia="es-AR"/>
        </w:rPr>
        <w:t>El Tordillo, La Tapera</w:t>
      </w:r>
      <w:r w:rsidR="00B22F7B" w:rsidRPr="00A2786A">
        <w:rPr>
          <w:sz w:val="20"/>
          <w:szCs w:val="20"/>
          <w:lang w:eastAsia="es-AR"/>
        </w:rPr>
        <w:t xml:space="preserve"> and </w:t>
      </w:r>
      <w:r w:rsidR="004C7A74" w:rsidRPr="00A2786A">
        <w:rPr>
          <w:sz w:val="20"/>
          <w:szCs w:val="20"/>
          <w:lang w:eastAsia="es-AR"/>
        </w:rPr>
        <w:t>Puesto Quiroga</w:t>
      </w:r>
      <w:r w:rsidR="00B22F7B" w:rsidRPr="00A2786A">
        <w:rPr>
          <w:sz w:val="20"/>
          <w:szCs w:val="20"/>
          <w:lang w:eastAsia="es-AR"/>
        </w:rPr>
        <w:t xml:space="preserve"> hydrocarbons exploitation concessions</w:t>
      </w:r>
      <w:r w:rsidR="00F11C6C" w:rsidRPr="00A2786A">
        <w:rPr>
          <w:sz w:val="20"/>
          <w:szCs w:val="20"/>
        </w:rPr>
        <w:t xml:space="preserve"> </w:t>
      </w:r>
      <w:r w:rsidR="00713A1E" w:rsidRPr="00A2786A">
        <w:rPr>
          <w:sz w:val="20"/>
          <w:szCs w:val="20"/>
        </w:rPr>
        <w:t>(the “</w:t>
      </w:r>
      <w:r w:rsidR="00713A1E" w:rsidRPr="00A2786A">
        <w:rPr>
          <w:b/>
          <w:bCs/>
          <w:sz w:val="20"/>
          <w:szCs w:val="20"/>
        </w:rPr>
        <w:t>Concessions</w:t>
      </w:r>
      <w:r w:rsidR="00713A1E" w:rsidRPr="00A2786A">
        <w:rPr>
          <w:sz w:val="20"/>
          <w:szCs w:val="20"/>
        </w:rPr>
        <w:t xml:space="preserve">”) </w:t>
      </w:r>
      <w:r w:rsidR="00AF42C9" w:rsidRPr="00A2786A">
        <w:rPr>
          <w:sz w:val="20"/>
          <w:szCs w:val="20"/>
        </w:rPr>
        <w:t xml:space="preserve">for the </w:t>
      </w:r>
      <w:r w:rsidR="00F11C6C" w:rsidRPr="00A2786A">
        <w:rPr>
          <w:sz w:val="20"/>
          <w:szCs w:val="20"/>
        </w:rPr>
        <w:t>year e</w:t>
      </w:r>
      <w:r w:rsidR="00AF42C9" w:rsidRPr="00A2786A">
        <w:rPr>
          <w:sz w:val="20"/>
          <w:szCs w:val="20"/>
        </w:rPr>
        <w:t xml:space="preserve">nded </w:t>
      </w:r>
      <w:r w:rsidR="00F11C6C" w:rsidRPr="00A2786A">
        <w:rPr>
          <w:sz w:val="20"/>
          <w:szCs w:val="20"/>
        </w:rPr>
        <w:t>December 31</w:t>
      </w:r>
      <w:r w:rsidR="00AF42C9" w:rsidRPr="00A2786A">
        <w:rPr>
          <w:sz w:val="20"/>
          <w:szCs w:val="20"/>
        </w:rPr>
        <w:t xml:space="preserve">, </w:t>
      </w:r>
      <w:r w:rsidR="00093AB9" w:rsidRPr="00A2786A">
        <w:rPr>
          <w:sz w:val="20"/>
          <w:szCs w:val="20"/>
        </w:rPr>
        <w:t>202</w:t>
      </w:r>
      <w:r w:rsidR="004C7A74" w:rsidRPr="00A2786A">
        <w:rPr>
          <w:sz w:val="20"/>
          <w:szCs w:val="20"/>
        </w:rPr>
        <w:t>4</w:t>
      </w:r>
      <w:r w:rsidR="007E0FF7" w:rsidRPr="00A2786A">
        <w:rPr>
          <w:sz w:val="20"/>
          <w:szCs w:val="20"/>
        </w:rPr>
        <w:t>.</w:t>
      </w:r>
      <w:r w:rsidR="00C201FA" w:rsidRPr="00A2786A">
        <w:rPr>
          <w:sz w:val="20"/>
          <w:szCs w:val="20"/>
        </w:rPr>
        <w:t xml:space="preserve">  </w:t>
      </w:r>
      <w:r w:rsidR="00B22F7B" w:rsidRPr="00A2786A">
        <w:rPr>
          <w:sz w:val="20"/>
          <w:szCs w:val="20"/>
        </w:rPr>
        <w:t xml:space="preserve">As previously announced on </w:t>
      </w:r>
      <w:r w:rsidR="00F82449" w:rsidRPr="00A2786A">
        <w:rPr>
          <w:sz w:val="20"/>
          <w:szCs w:val="20"/>
        </w:rPr>
        <w:t xml:space="preserve">June </w:t>
      </w:r>
      <w:r w:rsidR="00A27C2C" w:rsidRPr="00A2786A">
        <w:rPr>
          <w:sz w:val="20"/>
          <w:szCs w:val="20"/>
        </w:rPr>
        <w:t>9</w:t>
      </w:r>
      <w:r w:rsidR="00B22F7B" w:rsidRPr="00A2786A">
        <w:rPr>
          <w:sz w:val="20"/>
          <w:szCs w:val="20"/>
        </w:rPr>
        <w:t>, 202</w:t>
      </w:r>
      <w:r w:rsidR="00F82449" w:rsidRPr="00A2786A">
        <w:rPr>
          <w:sz w:val="20"/>
          <w:szCs w:val="20"/>
        </w:rPr>
        <w:t>5</w:t>
      </w:r>
      <w:r w:rsidR="00A27C2C" w:rsidRPr="00A2786A">
        <w:rPr>
          <w:sz w:val="20"/>
          <w:szCs w:val="20"/>
        </w:rPr>
        <w:t>,</w:t>
      </w:r>
      <w:r w:rsidR="00B22F7B" w:rsidRPr="00A2786A">
        <w:rPr>
          <w:sz w:val="20"/>
          <w:szCs w:val="20"/>
        </w:rPr>
        <w:t xml:space="preserve"> the Company’s wholly-owned subsidiary, Crown Point Energía S.A.</w:t>
      </w:r>
      <w:r w:rsidR="00A27C2C" w:rsidRPr="00A2786A">
        <w:rPr>
          <w:sz w:val="20"/>
          <w:szCs w:val="20"/>
        </w:rPr>
        <w:t>,</w:t>
      </w:r>
      <w:r w:rsidR="00B22F7B" w:rsidRPr="00A2786A">
        <w:rPr>
          <w:sz w:val="20"/>
          <w:szCs w:val="20"/>
        </w:rPr>
        <w:t xml:space="preserve"> entered into agreement</w:t>
      </w:r>
      <w:r w:rsidR="006529A8" w:rsidRPr="00A2786A">
        <w:rPr>
          <w:sz w:val="20"/>
          <w:szCs w:val="20"/>
        </w:rPr>
        <w:t>s</w:t>
      </w:r>
      <w:r w:rsidR="00B22F7B" w:rsidRPr="00A2786A">
        <w:rPr>
          <w:sz w:val="20"/>
          <w:szCs w:val="20"/>
        </w:rPr>
        <w:t xml:space="preserve"> with </w:t>
      </w:r>
      <w:r w:rsidR="006529A8" w:rsidRPr="00A2786A">
        <w:rPr>
          <w:sz w:val="20"/>
          <w:szCs w:val="20"/>
        </w:rPr>
        <w:t xml:space="preserve">each of </w:t>
      </w:r>
      <w:r w:rsidR="00255D66" w:rsidRPr="00A2786A">
        <w:rPr>
          <w:sz w:val="20"/>
          <w:szCs w:val="20"/>
          <w:lang w:eastAsia="es-AR"/>
        </w:rPr>
        <w:t>Tecpetrol S.A., YPF S.A. and Pampa Energía S.A.</w:t>
      </w:r>
      <w:r w:rsidR="00B22F7B" w:rsidRPr="00A2786A">
        <w:rPr>
          <w:sz w:val="20"/>
          <w:szCs w:val="20"/>
          <w:lang w:eastAsia="es-AR"/>
        </w:rPr>
        <w:t xml:space="preserve"> (the “</w:t>
      </w:r>
      <w:r w:rsidR="00B22F7B" w:rsidRPr="00A2786A">
        <w:rPr>
          <w:b/>
          <w:bCs/>
          <w:sz w:val="20"/>
          <w:szCs w:val="20"/>
          <w:bdr w:val="none" w:sz="0" w:space="0" w:color="auto" w:frame="1"/>
          <w:lang w:eastAsia="es-AR"/>
        </w:rPr>
        <w:t>Seller</w:t>
      </w:r>
      <w:r w:rsidR="00255D66" w:rsidRPr="00A2786A">
        <w:rPr>
          <w:b/>
          <w:bCs/>
          <w:sz w:val="20"/>
          <w:szCs w:val="20"/>
          <w:bdr w:val="none" w:sz="0" w:space="0" w:color="auto" w:frame="1"/>
          <w:lang w:eastAsia="es-AR"/>
        </w:rPr>
        <w:t>s</w:t>
      </w:r>
      <w:r w:rsidR="00B22F7B" w:rsidRPr="00A2786A">
        <w:rPr>
          <w:sz w:val="20"/>
          <w:szCs w:val="20"/>
          <w:lang w:eastAsia="es-AR"/>
        </w:rPr>
        <w:t xml:space="preserve">”) to acquire all of </w:t>
      </w:r>
      <w:r w:rsidR="00A27C2C" w:rsidRPr="00A2786A">
        <w:rPr>
          <w:sz w:val="20"/>
          <w:szCs w:val="20"/>
          <w:lang w:eastAsia="es-AR"/>
        </w:rPr>
        <w:t xml:space="preserve">the </w:t>
      </w:r>
      <w:r w:rsidR="00B22F7B" w:rsidRPr="00A2786A">
        <w:rPr>
          <w:sz w:val="20"/>
          <w:szCs w:val="20"/>
          <w:lang w:eastAsia="es-AR"/>
        </w:rPr>
        <w:t>Seller</w:t>
      </w:r>
      <w:r w:rsidR="00255D66" w:rsidRPr="00A2786A">
        <w:rPr>
          <w:sz w:val="20"/>
          <w:szCs w:val="20"/>
          <w:lang w:eastAsia="es-AR"/>
        </w:rPr>
        <w:t>s’</w:t>
      </w:r>
      <w:r w:rsidR="00B22F7B" w:rsidRPr="00A2786A">
        <w:rPr>
          <w:sz w:val="20"/>
          <w:szCs w:val="20"/>
          <w:lang w:eastAsia="es-AR"/>
        </w:rPr>
        <w:t xml:space="preserve"> right, title and interest in </w:t>
      </w:r>
      <w:r w:rsidR="00255D66" w:rsidRPr="00A2786A">
        <w:rPr>
          <w:sz w:val="20"/>
          <w:szCs w:val="20"/>
          <w:lang w:eastAsia="es-AR"/>
        </w:rPr>
        <w:t xml:space="preserve">the </w:t>
      </w:r>
      <w:r w:rsidR="00A27C2C" w:rsidRPr="00A2786A">
        <w:rPr>
          <w:sz w:val="20"/>
          <w:szCs w:val="20"/>
          <w:lang w:eastAsia="es-AR"/>
        </w:rPr>
        <w:t>C</w:t>
      </w:r>
      <w:r w:rsidR="00B22F7B" w:rsidRPr="00A2786A">
        <w:rPr>
          <w:sz w:val="20"/>
          <w:szCs w:val="20"/>
          <w:lang w:eastAsia="es-AR"/>
        </w:rPr>
        <w:t>oncessions</w:t>
      </w:r>
      <w:r w:rsidR="00A27C2C" w:rsidRPr="00A2786A">
        <w:rPr>
          <w:sz w:val="20"/>
          <w:szCs w:val="20"/>
          <w:lang w:eastAsia="es-AR"/>
        </w:rPr>
        <w:t xml:space="preserve"> and certain related infrastructure</w:t>
      </w:r>
      <w:r w:rsidR="006529A8" w:rsidRPr="00A2786A">
        <w:rPr>
          <w:sz w:val="20"/>
          <w:szCs w:val="20"/>
          <w:lang w:eastAsia="es-AR"/>
        </w:rPr>
        <w:t xml:space="preserve"> (the "</w:t>
      </w:r>
      <w:r w:rsidR="006529A8" w:rsidRPr="00A2786A">
        <w:rPr>
          <w:b/>
          <w:bCs/>
          <w:sz w:val="20"/>
          <w:szCs w:val="20"/>
          <w:lang w:eastAsia="es-AR"/>
        </w:rPr>
        <w:t>Acquisitions</w:t>
      </w:r>
      <w:r w:rsidR="006529A8" w:rsidRPr="00A2786A">
        <w:rPr>
          <w:sz w:val="20"/>
          <w:szCs w:val="20"/>
          <w:lang w:eastAsia="es-AR"/>
        </w:rPr>
        <w:t>")</w:t>
      </w:r>
      <w:r w:rsidR="00B22F7B" w:rsidRPr="00A2786A">
        <w:rPr>
          <w:sz w:val="20"/>
          <w:szCs w:val="20"/>
          <w:lang w:eastAsia="es-AR"/>
        </w:rPr>
        <w:t xml:space="preserve">.  </w:t>
      </w:r>
    </w:p>
    <w:p w14:paraId="44CC4D66" w14:textId="77777777" w:rsidR="00A27C2C" w:rsidRPr="00A2786A" w:rsidRDefault="00A27C2C" w:rsidP="00AF42C9">
      <w:pPr>
        <w:tabs>
          <w:tab w:val="left" w:pos="1440"/>
        </w:tabs>
        <w:jc w:val="both"/>
        <w:rPr>
          <w:sz w:val="20"/>
          <w:szCs w:val="20"/>
          <w:lang w:eastAsia="es-AR"/>
        </w:rPr>
      </w:pPr>
    </w:p>
    <w:p w14:paraId="6BB828C0" w14:textId="2A5FC866" w:rsidR="00A27C2C" w:rsidRPr="00A2786A" w:rsidRDefault="0012443E" w:rsidP="00AF42C9">
      <w:pPr>
        <w:tabs>
          <w:tab w:val="left" w:pos="1440"/>
        </w:tabs>
        <w:jc w:val="both"/>
        <w:rPr>
          <w:sz w:val="20"/>
          <w:szCs w:val="20"/>
        </w:rPr>
      </w:pPr>
      <w:r w:rsidRPr="00A2786A">
        <w:rPr>
          <w:sz w:val="20"/>
          <w:szCs w:val="20"/>
          <w:lang w:eastAsia="es-AR"/>
        </w:rPr>
        <w:t>Completion of the Acquisitions remains subject to, among other things, the receipt of all necessary regulatory and Provincial approvals, including the approval of the TSX Venture Exchange ("</w:t>
      </w:r>
      <w:r w:rsidRPr="00A2786A">
        <w:rPr>
          <w:b/>
          <w:bCs/>
          <w:sz w:val="20"/>
          <w:szCs w:val="20"/>
          <w:lang w:eastAsia="es-AR"/>
        </w:rPr>
        <w:t>TSXV</w:t>
      </w:r>
      <w:r w:rsidRPr="00A2786A">
        <w:rPr>
          <w:sz w:val="20"/>
          <w:szCs w:val="20"/>
          <w:lang w:eastAsia="es-AR"/>
        </w:rPr>
        <w:t>"), and the satisfaction of other customary closing conditions. The acquisition of assets from Pampa Energía S.A</w:t>
      </w:r>
      <w:r w:rsidR="00490E8A">
        <w:rPr>
          <w:sz w:val="20"/>
          <w:szCs w:val="20"/>
          <w:lang w:eastAsia="es-AR"/>
        </w:rPr>
        <w:t xml:space="preserve"> is expected to close in early October and the acquisition of assets from</w:t>
      </w:r>
      <w:r w:rsidRPr="00A2786A">
        <w:rPr>
          <w:sz w:val="20"/>
          <w:szCs w:val="20"/>
          <w:lang w:eastAsia="es-AR"/>
        </w:rPr>
        <w:t xml:space="preserve"> Tecpetrol S.A. and YPF S.A. is expected to close </w:t>
      </w:r>
      <w:r w:rsidR="00490E8A">
        <w:rPr>
          <w:sz w:val="20"/>
          <w:szCs w:val="20"/>
          <w:lang w:eastAsia="es-AR"/>
        </w:rPr>
        <w:t xml:space="preserve">later </w:t>
      </w:r>
      <w:r w:rsidRPr="00A2786A">
        <w:rPr>
          <w:sz w:val="20"/>
          <w:szCs w:val="20"/>
          <w:lang w:eastAsia="es-AR"/>
        </w:rPr>
        <w:t xml:space="preserve">in the </w:t>
      </w:r>
      <w:r w:rsidR="00560C30">
        <w:rPr>
          <w:sz w:val="20"/>
          <w:szCs w:val="20"/>
          <w:lang w:eastAsia="es-AR"/>
        </w:rPr>
        <w:t>fourth</w:t>
      </w:r>
      <w:r w:rsidR="00560C30" w:rsidRPr="00A2786A">
        <w:rPr>
          <w:sz w:val="20"/>
          <w:szCs w:val="20"/>
          <w:lang w:eastAsia="es-AR"/>
        </w:rPr>
        <w:t xml:space="preserve"> </w:t>
      </w:r>
      <w:r w:rsidRPr="00A2786A">
        <w:rPr>
          <w:sz w:val="20"/>
          <w:szCs w:val="20"/>
          <w:lang w:eastAsia="es-AR"/>
        </w:rPr>
        <w:t xml:space="preserve">quarter of 2025. </w:t>
      </w:r>
      <w:r w:rsidRPr="00A2786A">
        <w:rPr>
          <w:sz w:val="20"/>
          <w:szCs w:val="20"/>
        </w:rPr>
        <w:t xml:space="preserve"> The Company is currently in the process of obtaining the approval of the Province of Chubut and arranging the necessary financing to fund the purchase price</w:t>
      </w:r>
      <w:r w:rsidR="00AD7AFC" w:rsidRPr="00A2786A">
        <w:rPr>
          <w:sz w:val="20"/>
          <w:szCs w:val="20"/>
        </w:rPr>
        <w:t>.</w:t>
      </w:r>
      <w:r w:rsidR="00D4342D">
        <w:rPr>
          <w:sz w:val="20"/>
          <w:szCs w:val="20"/>
        </w:rPr>
        <w:t xml:space="preserve"> </w:t>
      </w:r>
    </w:p>
    <w:p w14:paraId="1979F1AB" w14:textId="77777777" w:rsidR="00AD7AFC" w:rsidRPr="00A2786A" w:rsidRDefault="00AD7AFC" w:rsidP="00AF42C9">
      <w:pPr>
        <w:tabs>
          <w:tab w:val="left" w:pos="1440"/>
        </w:tabs>
        <w:jc w:val="both"/>
        <w:rPr>
          <w:sz w:val="20"/>
          <w:szCs w:val="20"/>
        </w:rPr>
      </w:pPr>
    </w:p>
    <w:p w14:paraId="0163045C" w14:textId="2C168DBE" w:rsidR="00AD7AFC" w:rsidRPr="00A2786A" w:rsidRDefault="00AD7AFC" w:rsidP="00AF42C9">
      <w:pPr>
        <w:tabs>
          <w:tab w:val="left" w:pos="1440"/>
        </w:tabs>
        <w:jc w:val="both"/>
        <w:rPr>
          <w:sz w:val="20"/>
          <w:szCs w:val="20"/>
        </w:rPr>
      </w:pPr>
      <w:r w:rsidRPr="00A2786A">
        <w:rPr>
          <w:sz w:val="20"/>
          <w:szCs w:val="20"/>
        </w:rPr>
        <w:t xml:space="preserve">The Company's common shares </w:t>
      </w:r>
      <w:r w:rsidR="00F035B3" w:rsidRPr="00A2786A">
        <w:rPr>
          <w:sz w:val="20"/>
          <w:szCs w:val="20"/>
        </w:rPr>
        <w:t>were</w:t>
      </w:r>
      <w:r w:rsidRPr="00A2786A">
        <w:rPr>
          <w:sz w:val="20"/>
          <w:szCs w:val="20"/>
        </w:rPr>
        <w:t xml:space="preserve"> halted </w:t>
      </w:r>
      <w:r w:rsidR="00F035B3" w:rsidRPr="00A2786A">
        <w:rPr>
          <w:sz w:val="20"/>
          <w:szCs w:val="20"/>
        </w:rPr>
        <w:t xml:space="preserve">on June 5, 2025 </w:t>
      </w:r>
      <w:r w:rsidRPr="00A2786A">
        <w:rPr>
          <w:sz w:val="20"/>
          <w:szCs w:val="20"/>
        </w:rPr>
        <w:t xml:space="preserve">until the Company provided the TSXV with applicable documentation.  The Company has been advised by the TSXV that the halt will be lifted and the Company's common shares will commence trading </w:t>
      </w:r>
      <w:r w:rsidR="00DF1F04" w:rsidRPr="00A2786A">
        <w:rPr>
          <w:sz w:val="20"/>
          <w:szCs w:val="20"/>
        </w:rPr>
        <w:t xml:space="preserve">on </w:t>
      </w:r>
      <w:r w:rsidR="00DF1F04">
        <w:rPr>
          <w:sz w:val="20"/>
          <w:szCs w:val="20"/>
        </w:rPr>
        <w:t xml:space="preserve">or about </w:t>
      </w:r>
      <w:r w:rsidRPr="00A2786A">
        <w:rPr>
          <w:sz w:val="20"/>
          <w:szCs w:val="20"/>
        </w:rPr>
        <w:t xml:space="preserve">the </w:t>
      </w:r>
      <w:r w:rsidR="00B51339">
        <w:rPr>
          <w:sz w:val="20"/>
          <w:szCs w:val="20"/>
        </w:rPr>
        <w:t>first week of October</w:t>
      </w:r>
      <w:r w:rsidRPr="00A2786A">
        <w:rPr>
          <w:sz w:val="20"/>
          <w:szCs w:val="20"/>
        </w:rPr>
        <w:t>.</w:t>
      </w:r>
    </w:p>
    <w:p w14:paraId="0CE31083" w14:textId="77777777" w:rsidR="00AD7AFC" w:rsidRPr="00A2786A" w:rsidRDefault="00AD7AFC" w:rsidP="00AF42C9">
      <w:pPr>
        <w:tabs>
          <w:tab w:val="left" w:pos="1440"/>
        </w:tabs>
        <w:jc w:val="both"/>
        <w:rPr>
          <w:sz w:val="20"/>
          <w:szCs w:val="20"/>
        </w:rPr>
      </w:pPr>
    </w:p>
    <w:p w14:paraId="4D2F7337" w14:textId="7B97F2C8" w:rsidR="006E2E70" w:rsidRPr="00A2786A" w:rsidRDefault="00255D66" w:rsidP="00EF2948">
      <w:pPr>
        <w:tabs>
          <w:tab w:val="left" w:pos="1440"/>
        </w:tabs>
        <w:spacing w:line="240" w:lineRule="atLeast"/>
        <w:jc w:val="both"/>
        <w:rPr>
          <w:sz w:val="20"/>
          <w:szCs w:val="20"/>
        </w:rPr>
      </w:pPr>
      <w:r w:rsidRPr="00A2786A">
        <w:rPr>
          <w:sz w:val="20"/>
          <w:szCs w:val="20"/>
        </w:rPr>
        <w:t xml:space="preserve">GaffneyCline </w:t>
      </w:r>
      <w:r w:rsidR="00B51001">
        <w:rPr>
          <w:sz w:val="20"/>
          <w:szCs w:val="20"/>
        </w:rPr>
        <w:t>energy advisory</w:t>
      </w:r>
      <w:r w:rsidR="00715B39" w:rsidRPr="00A2786A">
        <w:rPr>
          <w:sz w:val="20"/>
          <w:szCs w:val="20"/>
        </w:rPr>
        <w:t xml:space="preserve"> </w:t>
      </w:r>
      <w:r w:rsidR="006E2E70" w:rsidRPr="00A2786A">
        <w:rPr>
          <w:sz w:val="20"/>
          <w:szCs w:val="20"/>
        </w:rPr>
        <w:t>(“</w:t>
      </w:r>
      <w:r w:rsidRPr="00A2786A">
        <w:rPr>
          <w:b/>
          <w:sz w:val="20"/>
          <w:szCs w:val="20"/>
        </w:rPr>
        <w:t>GC</w:t>
      </w:r>
      <w:r w:rsidR="00B51001">
        <w:rPr>
          <w:b/>
          <w:sz w:val="20"/>
          <w:szCs w:val="20"/>
        </w:rPr>
        <w:t>ea</w:t>
      </w:r>
      <w:r w:rsidR="006E2E70" w:rsidRPr="00A2786A">
        <w:rPr>
          <w:sz w:val="20"/>
          <w:szCs w:val="20"/>
        </w:rPr>
        <w:t xml:space="preserve">”), an independent qualified reserves </w:t>
      </w:r>
      <w:r w:rsidR="00F1118B" w:rsidRPr="00A2786A">
        <w:rPr>
          <w:sz w:val="20"/>
          <w:szCs w:val="20"/>
        </w:rPr>
        <w:t>engineer</w:t>
      </w:r>
      <w:r w:rsidR="006E2E70" w:rsidRPr="00A2786A">
        <w:rPr>
          <w:sz w:val="20"/>
          <w:szCs w:val="20"/>
        </w:rPr>
        <w:t xml:space="preserve">, </w:t>
      </w:r>
      <w:r w:rsidRPr="00A2786A">
        <w:rPr>
          <w:sz w:val="20"/>
          <w:szCs w:val="20"/>
        </w:rPr>
        <w:t xml:space="preserve">audited </w:t>
      </w:r>
      <w:r w:rsidR="006E2E70" w:rsidRPr="00A2786A">
        <w:rPr>
          <w:sz w:val="20"/>
          <w:szCs w:val="20"/>
        </w:rPr>
        <w:t xml:space="preserve">the oil and natural gas reserves attributable to </w:t>
      </w:r>
      <w:r w:rsidR="00B22F7B" w:rsidRPr="00A2786A">
        <w:rPr>
          <w:sz w:val="20"/>
          <w:szCs w:val="20"/>
        </w:rPr>
        <w:t xml:space="preserve">the </w:t>
      </w:r>
      <w:r w:rsidR="00307501" w:rsidRPr="00A2786A">
        <w:rPr>
          <w:sz w:val="20"/>
          <w:szCs w:val="20"/>
        </w:rPr>
        <w:t xml:space="preserve">Sellers' </w:t>
      </w:r>
      <w:r w:rsidR="00537A2C" w:rsidRPr="00A2786A">
        <w:rPr>
          <w:sz w:val="20"/>
          <w:szCs w:val="20"/>
        </w:rPr>
        <w:t>working</w:t>
      </w:r>
      <w:r w:rsidR="00307501" w:rsidRPr="00A2786A">
        <w:rPr>
          <w:sz w:val="20"/>
          <w:szCs w:val="20"/>
        </w:rPr>
        <w:t xml:space="preserve"> interests in the </w:t>
      </w:r>
      <w:r w:rsidR="00307501" w:rsidRPr="00A2786A">
        <w:rPr>
          <w:sz w:val="20"/>
          <w:szCs w:val="20"/>
          <w:lang w:eastAsia="es-AR"/>
        </w:rPr>
        <w:t>C</w:t>
      </w:r>
      <w:r w:rsidR="00F17A92" w:rsidRPr="00A2786A">
        <w:rPr>
          <w:sz w:val="20"/>
          <w:szCs w:val="20"/>
          <w:lang w:eastAsia="es-AR"/>
        </w:rPr>
        <w:t xml:space="preserve">oncessions </w:t>
      </w:r>
      <w:r w:rsidR="00F17A92" w:rsidRPr="00A2786A">
        <w:rPr>
          <w:sz w:val="20"/>
          <w:szCs w:val="20"/>
        </w:rPr>
        <w:t>as</w:t>
      </w:r>
      <w:r w:rsidR="006E2E70" w:rsidRPr="00A2786A">
        <w:rPr>
          <w:sz w:val="20"/>
          <w:szCs w:val="20"/>
        </w:rPr>
        <w:t xml:space="preserve"> at December 31, </w:t>
      </w:r>
      <w:r w:rsidR="00093AB9" w:rsidRPr="00A2786A">
        <w:rPr>
          <w:sz w:val="20"/>
          <w:szCs w:val="20"/>
        </w:rPr>
        <w:t>202</w:t>
      </w:r>
      <w:r w:rsidRPr="00A2786A">
        <w:rPr>
          <w:sz w:val="20"/>
          <w:szCs w:val="20"/>
        </w:rPr>
        <w:t>4</w:t>
      </w:r>
      <w:r w:rsidR="00093AB9" w:rsidRPr="00A2786A">
        <w:rPr>
          <w:sz w:val="20"/>
          <w:szCs w:val="20"/>
        </w:rPr>
        <w:t xml:space="preserve"> </w:t>
      </w:r>
      <w:r w:rsidR="006E2E70" w:rsidRPr="00A2786A">
        <w:rPr>
          <w:sz w:val="20"/>
          <w:szCs w:val="20"/>
        </w:rPr>
        <w:t xml:space="preserve">based on </w:t>
      </w:r>
      <w:r w:rsidR="00AF33D4" w:rsidRPr="00A2786A">
        <w:rPr>
          <w:sz w:val="20"/>
          <w:szCs w:val="20"/>
        </w:rPr>
        <w:t xml:space="preserve">forecast </w:t>
      </w:r>
      <w:r w:rsidR="006E2E70" w:rsidRPr="00A2786A">
        <w:rPr>
          <w:sz w:val="20"/>
          <w:szCs w:val="20"/>
        </w:rPr>
        <w:t xml:space="preserve">prices and costs and in accordance with </w:t>
      </w:r>
      <w:r w:rsidR="00715152" w:rsidRPr="00A2786A">
        <w:rPr>
          <w:sz w:val="20"/>
          <w:szCs w:val="20"/>
        </w:rPr>
        <w:t xml:space="preserve">National Instrument </w:t>
      </w:r>
      <w:r w:rsidR="006E2E70" w:rsidRPr="00A2786A">
        <w:rPr>
          <w:sz w:val="20"/>
          <w:szCs w:val="20"/>
        </w:rPr>
        <w:t xml:space="preserve">51-101 </w:t>
      </w:r>
      <w:r w:rsidR="00715152" w:rsidRPr="00A2786A">
        <w:rPr>
          <w:sz w:val="20"/>
          <w:szCs w:val="20"/>
        </w:rPr>
        <w:t>("</w:t>
      </w:r>
      <w:r w:rsidR="00715152" w:rsidRPr="00A2786A">
        <w:rPr>
          <w:b/>
          <w:sz w:val="20"/>
          <w:szCs w:val="20"/>
        </w:rPr>
        <w:t>NI 51-101</w:t>
      </w:r>
      <w:r w:rsidR="00715152" w:rsidRPr="00A2786A">
        <w:rPr>
          <w:sz w:val="20"/>
          <w:szCs w:val="20"/>
        </w:rPr>
        <w:t xml:space="preserve">") </w:t>
      </w:r>
      <w:r w:rsidR="006E2E70" w:rsidRPr="00A2786A">
        <w:rPr>
          <w:sz w:val="20"/>
          <w:szCs w:val="20"/>
        </w:rPr>
        <w:t>and the Canadian Oil and Gas Evaluation Handbook</w:t>
      </w:r>
      <w:r w:rsidR="00DB3F3C" w:rsidRPr="00A2786A">
        <w:rPr>
          <w:sz w:val="20"/>
          <w:szCs w:val="20"/>
        </w:rPr>
        <w:t xml:space="preserve"> (the "</w:t>
      </w:r>
      <w:r w:rsidR="00DB3F3C" w:rsidRPr="00A2786A">
        <w:rPr>
          <w:b/>
          <w:sz w:val="20"/>
          <w:szCs w:val="20"/>
        </w:rPr>
        <w:t>COGE Handbook</w:t>
      </w:r>
      <w:r w:rsidR="00DB3F3C" w:rsidRPr="00A2786A">
        <w:rPr>
          <w:sz w:val="20"/>
          <w:szCs w:val="20"/>
        </w:rPr>
        <w:t>")</w:t>
      </w:r>
      <w:r w:rsidR="006E2E70" w:rsidRPr="00A2786A">
        <w:rPr>
          <w:sz w:val="20"/>
          <w:szCs w:val="20"/>
        </w:rPr>
        <w:t xml:space="preserve">. </w:t>
      </w:r>
      <w:proofErr w:type="spellStart"/>
      <w:r w:rsidRPr="00A2786A">
        <w:rPr>
          <w:sz w:val="20"/>
          <w:szCs w:val="20"/>
        </w:rPr>
        <w:t>GC</w:t>
      </w:r>
      <w:r w:rsidR="00B51001">
        <w:rPr>
          <w:sz w:val="20"/>
          <w:szCs w:val="20"/>
        </w:rPr>
        <w:t>ea</w:t>
      </w:r>
      <w:r w:rsidRPr="00A2786A">
        <w:rPr>
          <w:sz w:val="20"/>
          <w:szCs w:val="20"/>
        </w:rPr>
        <w:t>’s</w:t>
      </w:r>
      <w:proofErr w:type="spellEnd"/>
      <w:r w:rsidRPr="00A2786A">
        <w:rPr>
          <w:sz w:val="20"/>
          <w:szCs w:val="20"/>
        </w:rPr>
        <w:t xml:space="preserve"> audit </w:t>
      </w:r>
      <w:r w:rsidR="002926E3" w:rsidRPr="00A2786A">
        <w:rPr>
          <w:sz w:val="20"/>
          <w:szCs w:val="20"/>
        </w:rPr>
        <w:t>report (the "</w:t>
      </w:r>
      <w:r w:rsidRPr="00A2786A">
        <w:rPr>
          <w:b/>
          <w:sz w:val="20"/>
          <w:szCs w:val="20"/>
        </w:rPr>
        <w:t>GC</w:t>
      </w:r>
      <w:r w:rsidR="00B51001">
        <w:rPr>
          <w:b/>
          <w:sz w:val="20"/>
          <w:szCs w:val="20"/>
        </w:rPr>
        <w:t>ea</w:t>
      </w:r>
      <w:r w:rsidRPr="00A2786A">
        <w:rPr>
          <w:b/>
          <w:sz w:val="20"/>
          <w:szCs w:val="20"/>
        </w:rPr>
        <w:t xml:space="preserve"> </w:t>
      </w:r>
      <w:r w:rsidR="002926E3" w:rsidRPr="00A2786A">
        <w:rPr>
          <w:b/>
          <w:sz w:val="20"/>
          <w:szCs w:val="20"/>
        </w:rPr>
        <w:t>Report</w:t>
      </w:r>
      <w:r w:rsidR="002926E3" w:rsidRPr="00A2786A">
        <w:rPr>
          <w:sz w:val="20"/>
          <w:szCs w:val="20"/>
        </w:rPr>
        <w:t xml:space="preserve">") </w:t>
      </w:r>
      <w:r w:rsidR="006E2E70" w:rsidRPr="00A2786A">
        <w:rPr>
          <w:sz w:val="20"/>
          <w:szCs w:val="20"/>
        </w:rPr>
        <w:t xml:space="preserve">also presents the estimated net present value of future net revenue associated with </w:t>
      </w:r>
      <w:r w:rsidR="00713A1E" w:rsidRPr="00A2786A">
        <w:rPr>
          <w:sz w:val="20"/>
          <w:szCs w:val="20"/>
        </w:rPr>
        <w:t xml:space="preserve">the </w:t>
      </w:r>
      <w:r w:rsidR="006E2E70" w:rsidRPr="00A2786A">
        <w:rPr>
          <w:sz w:val="20"/>
          <w:szCs w:val="20"/>
        </w:rPr>
        <w:t xml:space="preserve">reserves. A summary of </w:t>
      </w:r>
      <w:r w:rsidR="00713A1E" w:rsidRPr="00A2786A">
        <w:rPr>
          <w:sz w:val="20"/>
          <w:szCs w:val="20"/>
        </w:rPr>
        <w:t>the Concessions’</w:t>
      </w:r>
      <w:r w:rsidR="006E2E70" w:rsidRPr="00A2786A">
        <w:rPr>
          <w:sz w:val="20"/>
          <w:szCs w:val="20"/>
        </w:rPr>
        <w:t xml:space="preserve"> crude oil</w:t>
      </w:r>
      <w:r w:rsidR="00537A2C" w:rsidRPr="00A2786A">
        <w:rPr>
          <w:sz w:val="20"/>
          <w:szCs w:val="20"/>
        </w:rPr>
        <w:t xml:space="preserve"> and</w:t>
      </w:r>
      <w:r w:rsidR="006E2E70" w:rsidRPr="00A2786A">
        <w:rPr>
          <w:sz w:val="20"/>
          <w:szCs w:val="20"/>
        </w:rPr>
        <w:t xml:space="preserve"> natural gas reserves, as </w:t>
      </w:r>
      <w:r w:rsidR="00F82449" w:rsidRPr="00A2786A">
        <w:rPr>
          <w:sz w:val="20"/>
          <w:szCs w:val="20"/>
        </w:rPr>
        <w:t xml:space="preserve">audited </w:t>
      </w:r>
      <w:r w:rsidR="006E2E70" w:rsidRPr="00A2786A">
        <w:rPr>
          <w:sz w:val="20"/>
          <w:szCs w:val="20"/>
        </w:rPr>
        <w:t xml:space="preserve">by </w:t>
      </w:r>
      <w:r w:rsidRPr="00A2786A">
        <w:rPr>
          <w:sz w:val="20"/>
          <w:szCs w:val="20"/>
        </w:rPr>
        <w:t>GC</w:t>
      </w:r>
      <w:r w:rsidR="00B51001">
        <w:rPr>
          <w:sz w:val="20"/>
          <w:szCs w:val="20"/>
        </w:rPr>
        <w:t>ea</w:t>
      </w:r>
      <w:r w:rsidR="006E2E70" w:rsidRPr="00A2786A">
        <w:rPr>
          <w:sz w:val="20"/>
          <w:szCs w:val="20"/>
        </w:rPr>
        <w:t>, and the associated net present value of future net revenue</w:t>
      </w:r>
      <w:r w:rsidR="00F17A92" w:rsidRPr="00A2786A">
        <w:rPr>
          <w:sz w:val="20"/>
          <w:szCs w:val="20"/>
        </w:rPr>
        <w:t xml:space="preserve"> before and after tax</w:t>
      </w:r>
      <w:r w:rsidR="006E2E70" w:rsidRPr="00A2786A">
        <w:rPr>
          <w:sz w:val="20"/>
          <w:szCs w:val="20"/>
        </w:rPr>
        <w:t xml:space="preserve"> associated therewith as at December 31, </w:t>
      </w:r>
      <w:r w:rsidR="002F1371" w:rsidRPr="00A2786A">
        <w:rPr>
          <w:sz w:val="20"/>
          <w:szCs w:val="20"/>
        </w:rPr>
        <w:t>202</w:t>
      </w:r>
      <w:r w:rsidRPr="00A2786A">
        <w:rPr>
          <w:sz w:val="20"/>
          <w:szCs w:val="20"/>
        </w:rPr>
        <w:t>4</w:t>
      </w:r>
      <w:r w:rsidR="002F1371" w:rsidRPr="00A2786A">
        <w:rPr>
          <w:sz w:val="20"/>
          <w:szCs w:val="20"/>
        </w:rPr>
        <w:t xml:space="preserve"> </w:t>
      </w:r>
      <w:r w:rsidR="006E2E70" w:rsidRPr="00A2786A">
        <w:rPr>
          <w:sz w:val="20"/>
          <w:szCs w:val="20"/>
        </w:rPr>
        <w:t xml:space="preserve">is </w:t>
      </w:r>
      <w:r w:rsidR="00715152" w:rsidRPr="00A2786A">
        <w:rPr>
          <w:sz w:val="20"/>
          <w:szCs w:val="20"/>
        </w:rPr>
        <w:t>presented</w:t>
      </w:r>
      <w:r w:rsidR="006E2E70" w:rsidRPr="00A2786A">
        <w:rPr>
          <w:sz w:val="20"/>
          <w:szCs w:val="20"/>
        </w:rPr>
        <w:t xml:space="preserve"> below. </w:t>
      </w:r>
      <w:r w:rsidR="00A27C2C" w:rsidRPr="00A2786A">
        <w:rPr>
          <w:sz w:val="20"/>
          <w:szCs w:val="20"/>
        </w:rPr>
        <w:t>All dollar figures are expressed in United States dollars ("</w:t>
      </w:r>
      <w:r w:rsidR="00A27C2C" w:rsidRPr="00A2786A">
        <w:rPr>
          <w:b/>
          <w:sz w:val="20"/>
          <w:szCs w:val="20"/>
        </w:rPr>
        <w:t>USD</w:t>
      </w:r>
      <w:r w:rsidR="00A27C2C" w:rsidRPr="00A2786A">
        <w:rPr>
          <w:sz w:val="20"/>
          <w:szCs w:val="20"/>
        </w:rPr>
        <w:t>" or "</w:t>
      </w:r>
      <w:r w:rsidR="00A27C2C" w:rsidRPr="00A2786A">
        <w:rPr>
          <w:b/>
          <w:sz w:val="20"/>
          <w:szCs w:val="20"/>
        </w:rPr>
        <w:t>US$</w:t>
      </w:r>
      <w:r w:rsidR="00A27C2C" w:rsidRPr="00A2786A">
        <w:rPr>
          <w:sz w:val="20"/>
          <w:szCs w:val="20"/>
        </w:rPr>
        <w:t>") unless otherwise stated, and "</w:t>
      </w:r>
      <w:r w:rsidR="00A27C2C" w:rsidRPr="00A2786A">
        <w:rPr>
          <w:b/>
          <w:sz w:val="20"/>
          <w:szCs w:val="20"/>
        </w:rPr>
        <w:t>MMUS$</w:t>
      </w:r>
      <w:r w:rsidR="00A27C2C" w:rsidRPr="00A2786A">
        <w:rPr>
          <w:sz w:val="20"/>
          <w:szCs w:val="20"/>
        </w:rPr>
        <w:t xml:space="preserve">" means millions of USD. </w:t>
      </w:r>
    </w:p>
    <w:p w14:paraId="7450C926" w14:textId="5A41AC84" w:rsidR="001C3296" w:rsidRPr="00A2786A" w:rsidRDefault="00767618" w:rsidP="001C3296">
      <w:pPr>
        <w:keepNext/>
        <w:tabs>
          <w:tab w:val="left" w:pos="1440"/>
        </w:tabs>
        <w:spacing w:before="120" w:line="240" w:lineRule="atLeast"/>
        <w:jc w:val="both"/>
        <w:rPr>
          <w:sz w:val="20"/>
          <w:szCs w:val="20"/>
        </w:rPr>
      </w:pPr>
      <w:r w:rsidRPr="00A2786A">
        <w:rPr>
          <w:sz w:val="20"/>
          <w:szCs w:val="20"/>
        </w:rPr>
        <w:t xml:space="preserve">The following table </w:t>
      </w:r>
      <w:r w:rsidR="00E1716A" w:rsidRPr="00A2786A">
        <w:rPr>
          <w:sz w:val="20"/>
          <w:szCs w:val="20"/>
        </w:rPr>
        <w:t>present</w:t>
      </w:r>
      <w:r w:rsidR="00382199" w:rsidRPr="00A2786A">
        <w:rPr>
          <w:sz w:val="20"/>
          <w:szCs w:val="20"/>
        </w:rPr>
        <w:t>s</w:t>
      </w:r>
      <w:r w:rsidRPr="00A2786A">
        <w:rPr>
          <w:sz w:val="20"/>
          <w:szCs w:val="20"/>
        </w:rPr>
        <w:t xml:space="preserve">, in the aggregate, the gross </w:t>
      </w:r>
      <w:r w:rsidR="00382199" w:rsidRPr="00A2786A">
        <w:rPr>
          <w:sz w:val="20"/>
          <w:szCs w:val="20"/>
        </w:rPr>
        <w:t xml:space="preserve">and net </w:t>
      </w:r>
      <w:r w:rsidRPr="00A2786A">
        <w:rPr>
          <w:sz w:val="20"/>
          <w:szCs w:val="20"/>
        </w:rPr>
        <w:t>proved</w:t>
      </w:r>
      <w:r w:rsidR="00E53B93" w:rsidRPr="00A2786A">
        <w:rPr>
          <w:sz w:val="20"/>
          <w:szCs w:val="20"/>
        </w:rPr>
        <w:t xml:space="preserve"> and</w:t>
      </w:r>
      <w:r w:rsidRPr="00A2786A">
        <w:rPr>
          <w:sz w:val="20"/>
          <w:szCs w:val="20"/>
        </w:rPr>
        <w:t xml:space="preserve"> probable reserves</w:t>
      </w:r>
      <w:r w:rsidR="001C3296" w:rsidRPr="00A2786A">
        <w:rPr>
          <w:sz w:val="20"/>
          <w:szCs w:val="20"/>
        </w:rPr>
        <w:t xml:space="preserve"> attributable to the Sellers' working interests in the </w:t>
      </w:r>
      <w:r w:rsidR="001C3296" w:rsidRPr="00A2786A">
        <w:rPr>
          <w:sz w:val="20"/>
          <w:szCs w:val="20"/>
          <w:lang w:eastAsia="es-AR"/>
        </w:rPr>
        <w:t>Concessions</w:t>
      </w:r>
      <w:r w:rsidRPr="00A2786A">
        <w:rPr>
          <w:sz w:val="20"/>
          <w:szCs w:val="20"/>
        </w:rPr>
        <w:t xml:space="preserve">, estimated using </w:t>
      </w:r>
      <w:r w:rsidR="00AF33D4" w:rsidRPr="00A2786A">
        <w:rPr>
          <w:sz w:val="20"/>
          <w:szCs w:val="20"/>
        </w:rPr>
        <w:t xml:space="preserve">forecast </w:t>
      </w:r>
      <w:r w:rsidRPr="00A2786A">
        <w:rPr>
          <w:sz w:val="20"/>
          <w:szCs w:val="20"/>
        </w:rPr>
        <w:t>prices and costs, by product type</w:t>
      </w:r>
      <w:r w:rsidR="00E1716A" w:rsidRPr="00A2786A">
        <w:rPr>
          <w:sz w:val="20"/>
          <w:szCs w:val="20"/>
        </w:rPr>
        <w:t xml:space="preserve"> and </w:t>
      </w:r>
      <w:r w:rsidR="001C3296" w:rsidRPr="00A2786A">
        <w:rPr>
          <w:sz w:val="20"/>
          <w:szCs w:val="20"/>
        </w:rPr>
        <w:t xml:space="preserve">in total (in </w:t>
      </w:r>
      <w:r w:rsidR="00E1716A" w:rsidRPr="00A2786A">
        <w:rPr>
          <w:sz w:val="20"/>
          <w:szCs w:val="20"/>
        </w:rPr>
        <w:t>barrel</w:t>
      </w:r>
      <w:r w:rsidR="001C3296" w:rsidRPr="00A2786A">
        <w:rPr>
          <w:sz w:val="20"/>
          <w:szCs w:val="20"/>
        </w:rPr>
        <w:t>s</w:t>
      </w:r>
      <w:r w:rsidR="00E1716A" w:rsidRPr="00A2786A">
        <w:rPr>
          <w:sz w:val="20"/>
          <w:szCs w:val="20"/>
        </w:rPr>
        <w:t xml:space="preserve"> of oil equivalent</w:t>
      </w:r>
      <w:r w:rsidR="001C3296" w:rsidRPr="00A2786A">
        <w:rPr>
          <w:sz w:val="20"/>
          <w:szCs w:val="20"/>
        </w:rPr>
        <w:t>)</w:t>
      </w:r>
      <w:r w:rsidR="00E53B93" w:rsidRPr="00A2786A">
        <w:rPr>
          <w:sz w:val="20"/>
          <w:szCs w:val="20"/>
        </w:rPr>
        <w:t>,</w:t>
      </w:r>
      <w:r w:rsidR="00E1716A" w:rsidRPr="00A2786A">
        <w:rPr>
          <w:sz w:val="20"/>
          <w:szCs w:val="20"/>
        </w:rPr>
        <w:t xml:space="preserve"> as of December 31</w:t>
      </w:r>
      <w:r w:rsidR="001257B2" w:rsidRPr="00A2786A">
        <w:rPr>
          <w:sz w:val="20"/>
          <w:szCs w:val="20"/>
        </w:rPr>
        <w:t>,</w:t>
      </w:r>
      <w:r w:rsidR="00E1716A" w:rsidRPr="00A2786A">
        <w:rPr>
          <w:sz w:val="20"/>
          <w:szCs w:val="20"/>
        </w:rPr>
        <w:t xml:space="preserve"> </w:t>
      </w:r>
      <w:r w:rsidR="00E03127" w:rsidRPr="00A2786A">
        <w:rPr>
          <w:sz w:val="20"/>
          <w:szCs w:val="20"/>
        </w:rPr>
        <w:t>20</w:t>
      </w:r>
      <w:r w:rsidR="008867EC" w:rsidRPr="00A2786A">
        <w:rPr>
          <w:sz w:val="20"/>
          <w:szCs w:val="20"/>
        </w:rPr>
        <w:t>2</w:t>
      </w:r>
      <w:r w:rsidR="00255D66" w:rsidRPr="00A2786A">
        <w:rPr>
          <w:sz w:val="20"/>
          <w:szCs w:val="20"/>
        </w:rPr>
        <w:t>4</w:t>
      </w:r>
      <w:r w:rsidRPr="00A2786A">
        <w:rPr>
          <w:sz w:val="20"/>
          <w:szCs w:val="20"/>
        </w:rPr>
        <w:t>.</w:t>
      </w:r>
      <w:r w:rsidR="001C3296" w:rsidRPr="00A2786A">
        <w:rPr>
          <w:sz w:val="20"/>
          <w:szCs w:val="20"/>
        </w:rPr>
        <w:br w:type="page"/>
      </w:r>
    </w:p>
    <w:p w14:paraId="5A0821E1" w14:textId="71F85825" w:rsidR="00387333" w:rsidRPr="00A2786A" w:rsidRDefault="00387333" w:rsidP="00387333">
      <w:pPr>
        <w:keepNext/>
        <w:jc w:val="center"/>
        <w:rPr>
          <w:b/>
          <w:sz w:val="20"/>
          <w:szCs w:val="20"/>
          <w:lang w:val="en-CA"/>
        </w:rPr>
      </w:pPr>
      <w:bookmarkStart w:id="0" w:name="OLE_LINK1"/>
      <w:r w:rsidRPr="00A2786A">
        <w:rPr>
          <w:b/>
          <w:sz w:val="20"/>
          <w:szCs w:val="20"/>
          <w:lang w:val="en-CA"/>
        </w:rPr>
        <w:lastRenderedPageBreak/>
        <w:t>SUMMARY OF RESERVES AS OF DECEMBER 31, 202</w:t>
      </w:r>
      <w:r w:rsidR="00F82449" w:rsidRPr="00A2786A">
        <w:rPr>
          <w:b/>
          <w:sz w:val="20"/>
          <w:szCs w:val="20"/>
          <w:lang w:val="en-CA"/>
        </w:rPr>
        <w:t>4</w:t>
      </w:r>
    </w:p>
    <w:p w14:paraId="35160CA5" w14:textId="744FFE7B" w:rsidR="00387333" w:rsidRPr="00A2786A" w:rsidRDefault="00387333" w:rsidP="001C3296">
      <w:pPr>
        <w:keepNext/>
        <w:spacing w:after="120" w:line="276" w:lineRule="auto"/>
        <w:jc w:val="center"/>
        <w:rPr>
          <w:sz w:val="20"/>
          <w:szCs w:val="20"/>
          <w:lang w:val="en-CA"/>
        </w:rPr>
      </w:pPr>
      <w:r w:rsidRPr="00A2786A">
        <w:rPr>
          <w:b/>
          <w:sz w:val="20"/>
          <w:szCs w:val="20"/>
          <w:lang w:val="en-CA"/>
        </w:rPr>
        <w:t>(</w:t>
      </w:r>
      <w:r w:rsidR="00AF33D4" w:rsidRPr="00A2786A">
        <w:rPr>
          <w:b/>
          <w:sz w:val="20"/>
          <w:szCs w:val="20"/>
          <w:lang w:val="en-CA"/>
        </w:rPr>
        <w:t xml:space="preserve">Forecast </w:t>
      </w:r>
      <w:r w:rsidRPr="00A2786A">
        <w:rPr>
          <w:b/>
          <w:sz w:val="20"/>
          <w:szCs w:val="20"/>
          <w:lang w:val="en-CA"/>
        </w:rPr>
        <w:t>Prices &amp; Costs)</w:t>
      </w:r>
    </w:p>
    <w:tbl>
      <w:tblPr>
        <w:tblW w:w="8810" w:type="dxa"/>
        <w:tblInd w:w="-417" w:type="dxa"/>
        <w:tblCellMar>
          <w:left w:w="70" w:type="dxa"/>
          <w:right w:w="70" w:type="dxa"/>
        </w:tblCellMar>
        <w:tblLook w:val="04A0" w:firstRow="1" w:lastRow="0" w:firstColumn="1" w:lastColumn="0" w:noHBand="0" w:noVBand="1"/>
      </w:tblPr>
      <w:tblGrid>
        <w:gridCol w:w="2610"/>
        <w:gridCol w:w="1280"/>
        <w:gridCol w:w="960"/>
        <w:gridCol w:w="960"/>
        <w:gridCol w:w="960"/>
        <w:gridCol w:w="1040"/>
        <w:gridCol w:w="1000"/>
      </w:tblGrid>
      <w:tr w:rsidR="00DB41A8" w:rsidRPr="00A2786A" w14:paraId="4416C414" w14:textId="77777777" w:rsidTr="00DB41A8">
        <w:trPr>
          <w:trHeight w:val="645"/>
        </w:trPr>
        <w:tc>
          <w:tcPr>
            <w:tcW w:w="2610" w:type="dxa"/>
            <w:vMerge w:val="restart"/>
            <w:tcBorders>
              <w:top w:val="nil"/>
              <w:left w:val="nil"/>
              <w:bottom w:val="nil"/>
              <w:right w:val="nil"/>
            </w:tcBorders>
            <w:vAlign w:val="center"/>
            <w:hideMark/>
          </w:tcPr>
          <w:p w14:paraId="29EFE3A5" w14:textId="77777777" w:rsidR="00DB41A8" w:rsidRPr="00A2786A" w:rsidRDefault="00DB41A8" w:rsidP="0031753C">
            <w:pPr>
              <w:rPr>
                <w:sz w:val="16"/>
                <w:szCs w:val="16"/>
                <w:lang w:val="es-AR" w:eastAsia="es-AR"/>
              </w:rPr>
            </w:pPr>
          </w:p>
        </w:tc>
        <w:tc>
          <w:tcPr>
            <w:tcW w:w="2240" w:type="dxa"/>
            <w:gridSpan w:val="2"/>
            <w:tcBorders>
              <w:top w:val="nil"/>
              <w:left w:val="nil"/>
              <w:bottom w:val="nil"/>
              <w:right w:val="nil"/>
            </w:tcBorders>
            <w:vAlign w:val="center"/>
            <w:hideMark/>
          </w:tcPr>
          <w:p w14:paraId="72FCF247" w14:textId="2467A297" w:rsidR="00DB41A8" w:rsidRPr="00A2786A" w:rsidRDefault="00DB41A8" w:rsidP="0031753C">
            <w:pPr>
              <w:jc w:val="center"/>
              <w:rPr>
                <w:b/>
                <w:bCs/>
                <w:color w:val="000000"/>
                <w:sz w:val="16"/>
                <w:szCs w:val="16"/>
                <w:lang w:eastAsia="es-AR"/>
              </w:rPr>
            </w:pPr>
            <w:r w:rsidRPr="00A2786A">
              <w:rPr>
                <w:b/>
                <w:bCs/>
                <w:color w:val="000000"/>
                <w:sz w:val="16"/>
                <w:szCs w:val="16"/>
                <w:lang w:eastAsia="es-AR"/>
              </w:rPr>
              <w:t xml:space="preserve">Light &amp; Medium Crude Oil </w:t>
            </w:r>
          </w:p>
        </w:tc>
        <w:tc>
          <w:tcPr>
            <w:tcW w:w="1920" w:type="dxa"/>
            <w:gridSpan w:val="2"/>
            <w:tcBorders>
              <w:top w:val="nil"/>
              <w:left w:val="nil"/>
              <w:bottom w:val="nil"/>
              <w:right w:val="nil"/>
            </w:tcBorders>
            <w:vAlign w:val="center"/>
            <w:hideMark/>
          </w:tcPr>
          <w:p w14:paraId="6CE7769E"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Conventional Natural Gas</w:t>
            </w:r>
          </w:p>
        </w:tc>
        <w:tc>
          <w:tcPr>
            <w:tcW w:w="2040" w:type="dxa"/>
            <w:gridSpan w:val="2"/>
            <w:tcBorders>
              <w:top w:val="nil"/>
              <w:left w:val="nil"/>
              <w:bottom w:val="nil"/>
              <w:right w:val="nil"/>
            </w:tcBorders>
            <w:vAlign w:val="center"/>
            <w:hideMark/>
          </w:tcPr>
          <w:p w14:paraId="51EB1F26"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Total Reserves</w:t>
            </w:r>
          </w:p>
        </w:tc>
      </w:tr>
      <w:tr w:rsidR="00DB41A8" w:rsidRPr="00A2786A" w14:paraId="673E7094" w14:textId="77777777" w:rsidTr="00DB41A8">
        <w:trPr>
          <w:trHeight w:val="315"/>
        </w:trPr>
        <w:tc>
          <w:tcPr>
            <w:tcW w:w="2610" w:type="dxa"/>
            <w:vMerge/>
            <w:tcBorders>
              <w:top w:val="nil"/>
              <w:left w:val="nil"/>
              <w:bottom w:val="nil"/>
              <w:right w:val="nil"/>
            </w:tcBorders>
            <w:vAlign w:val="center"/>
            <w:hideMark/>
          </w:tcPr>
          <w:p w14:paraId="386D13D9" w14:textId="77777777" w:rsidR="00DB41A8" w:rsidRPr="00A2786A" w:rsidRDefault="00DB41A8" w:rsidP="0031753C">
            <w:pPr>
              <w:rPr>
                <w:sz w:val="16"/>
                <w:szCs w:val="16"/>
                <w:lang w:val="es-AR" w:eastAsia="es-AR"/>
              </w:rPr>
            </w:pPr>
          </w:p>
        </w:tc>
        <w:tc>
          <w:tcPr>
            <w:tcW w:w="2240" w:type="dxa"/>
            <w:gridSpan w:val="2"/>
            <w:tcBorders>
              <w:top w:val="nil"/>
              <w:left w:val="nil"/>
              <w:bottom w:val="single" w:sz="8" w:space="0" w:color="auto"/>
              <w:right w:val="nil"/>
            </w:tcBorders>
            <w:vAlign w:val="center"/>
            <w:hideMark/>
          </w:tcPr>
          <w:p w14:paraId="4B9F4AD7"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(Mbbl)</w:t>
            </w:r>
          </w:p>
        </w:tc>
        <w:tc>
          <w:tcPr>
            <w:tcW w:w="1920" w:type="dxa"/>
            <w:gridSpan w:val="2"/>
            <w:tcBorders>
              <w:top w:val="nil"/>
              <w:left w:val="nil"/>
              <w:bottom w:val="single" w:sz="8" w:space="0" w:color="auto"/>
              <w:right w:val="nil"/>
            </w:tcBorders>
            <w:vAlign w:val="center"/>
            <w:hideMark/>
          </w:tcPr>
          <w:p w14:paraId="3907003C"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(MMcf)</w:t>
            </w:r>
          </w:p>
        </w:tc>
        <w:tc>
          <w:tcPr>
            <w:tcW w:w="2040" w:type="dxa"/>
            <w:gridSpan w:val="2"/>
            <w:tcBorders>
              <w:top w:val="nil"/>
              <w:left w:val="nil"/>
              <w:bottom w:val="single" w:sz="8" w:space="0" w:color="auto"/>
              <w:right w:val="nil"/>
            </w:tcBorders>
            <w:noWrap/>
            <w:vAlign w:val="bottom"/>
            <w:hideMark/>
          </w:tcPr>
          <w:p w14:paraId="1F0D95F4"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MBOE</w:t>
            </w:r>
          </w:p>
        </w:tc>
      </w:tr>
      <w:tr w:rsidR="00301DD1" w:rsidRPr="00A2786A" w14:paraId="3BE41B3B" w14:textId="77777777" w:rsidTr="00DB41A8">
        <w:trPr>
          <w:trHeight w:val="300"/>
        </w:trPr>
        <w:tc>
          <w:tcPr>
            <w:tcW w:w="2610" w:type="dxa"/>
            <w:tcBorders>
              <w:top w:val="nil"/>
              <w:left w:val="nil"/>
              <w:bottom w:val="nil"/>
              <w:right w:val="nil"/>
            </w:tcBorders>
            <w:vAlign w:val="center"/>
            <w:hideMark/>
          </w:tcPr>
          <w:p w14:paraId="6171CDC8" w14:textId="05FA9BAE" w:rsidR="00DB41A8" w:rsidRPr="00A2786A" w:rsidRDefault="00DB41A8" w:rsidP="0031753C">
            <w:pPr>
              <w:rPr>
                <w:b/>
                <w:bCs/>
                <w:color w:val="000000"/>
                <w:sz w:val="16"/>
                <w:szCs w:val="16"/>
                <w:vertAlign w:val="superscript"/>
                <w:lang w:val="es-AR" w:eastAsia="es-AR"/>
              </w:rPr>
            </w:pPr>
            <w:r w:rsidRPr="00A2786A">
              <w:rPr>
                <w:b/>
                <w:bCs/>
                <w:color w:val="000000"/>
                <w:sz w:val="16"/>
                <w:szCs w:val="16"/>
                <w:lang w:val="es-AR" w:eastAsia="es-AR"/>
              </w:rPr>
              <w:t>Reserves Category</w:t>
            </w:r>
            <w:r w:rsidRPr="00A2786A">
              <w:rPr>
                <w:b/>
                <w:bCs/>
                <w:color w:val="000000"/>
                <w:sz w:val="16"/>
                <w:szCs w:val="16"/>
                <w:vertAlign w:val="superscript"/>
                <w:lang w:val="es-AR" w:eastAsia="es-AR"/>
              </w:rPr>
              <w:t xml:space="preserve"> (2)</w:t>
            </w:r>
          </w:p>
        </w:tc>
        <w:tc>
          <w:tcPr>
            <w:tcW w:w="1280" w:type="dxa"/>
            <w:tcBorders>
              <w:top w:val="nil"/>
              <w:left w:val="nil"/>
              <w:bottom w:val="nil"/>
              <w:right w:val="nil"/>
            </w:tcBorders>
            <w:vAlign w:val="center"/>
            <w:hideMark/>
          </w:tcPr>
          <w:p w14:paraId="65F060B3"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Gross</w:t>
            </w:r>
          </w:p>
        </w:tc>
        <w:tc>
          <w:tcPr>
            <w:tcW w:w="960" w:type="dxa"/>
            <w:tcBorders>
              <w:top w:val="nil"/>
              <w:left w:val="nil"/>
              <w:bottom w:val="nil"/>
              <w:right w:val="nil"/>
            </w:tcBorders>
            <w:vAlign w:val="center"/>
            <w:hideMark/>
          </w:tcPr>
          <w:p w14:paraId="51BA9435"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Net</w:t>
            </w:r>
          </w:p>
        </w:tc>
        <w:tc>
          <w:tcPr>
            <w:tcW w:w="960" w:type="dxa"/>
            <w:tcBorders>
              <w:top w:val="nil"/>
              <w:left w:val="nil"/>
              <w:bottom w:val="nil"/>
              <w:right w:val="nil"/>
            </w:tcBorders>
            <w:vAlign w:val="center"/>
            <w:hideMark/>
          </w:tcPr>
          <w:p w14:paraId="7DD4A5A5"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Gross</w:t>
            </w:r>
          </w:p>
        </w:tc>
        <w:tc>
          <w:tcPr>
            <w:tcW w:w="960" w:type="dxa"/>
            <w:tcBorders>
              <w:top w:val="nil"/>
              <w:left w:val="nil"/>
              <w:bottom w:val="nil"/>
              <w:right w:val="nil"/>
            </w:tcBorders>
            <w:vAlign w:val="center"/>
            <w:hideMark/>
          </w:tcPr>
          <w:p w14:paraId="61E39676"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Net</w:t>
            </w:r>
          </w:p>
        </w:tc>
        <w:tc>
          <w:tcPr>
            <w:tcW w:w="1040" w:type="dxa"/>
            <w:tcBorders>
              <w:top w:val="nil"/>
              <w:left w:val="nil"/>
              <w:bottom w:val="nil"/>
              <w:right w:val="nil"/>
            </w:tcBorders>
            <w:vAlign w:val="center"/>
            <w:hideMark/>
          </w:tcPr>
          <w:p w14:paraId="48D36D66"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Gross</w:t>
            </w:r>
          </w:p>
        </w:tc>
        <w:tc>
          <w:tcPr>
            <w:tcW w:w="1000" w:type="dxa"/>
            <w:tcBorders>
              <w:top w:val="single" w:sz="8" w:space="0" w:color="auto"/>
              <w:left w:val="nil"/>
              <w:bottom w:val="nil"/>
              <w:right w:val="nil"/>
            </w:tcBorders>
            <w:vAlign w:val="center"/>
            <w:hideMark/>
          </w:tcPr>
          <w:p w14:paraId="7218C901" w14:textId="77777777" w:rsidR="00DB41A8" w:rsidRPr="00A2786A" w:rsidRDefault="00DB41A8" w:rsidP="0031753C">
            <w:pPr>
              <w:jc w:val="center"/>
              <w:rPr>
                <w:b/>
                <w:bCs/>
                <w:color w:val="000000"/>
                <w:sz w:val="16"/>
                <w:szCs w:val="16"/>
                <w:lang w:val="es-AR" w:eastAsia="es-AR"/>
              </w:rPr>
            </w:pPr>
            <w:r w:rsidRPr="00A2786A">
              <w:rPr>
                <w:b/>
                <w:bCs/>
                <w:color w:val="000000"/>
                <w:sz w:val="16"/>
                <w:szCs w:val="16"/>
                <w:lang w:val="es-AR" w:eastAsia="es-AR"/>
              </w:rPr>
              <w:t>Net</w:t>
            </w:r>
          </w:p>
        </w:tc>
      </w:tr>
      <w:tr w:rsidR="00301DD1" w:rsidRPr="00A2786A" w14:paraId="49CDCD72" w14:textId="77777777" w:rsidTr="00DB41A8">
        <w:trPr>
          <w:trHeight w:val="300"/>
        </w:trPr>
        <w:tc>
          <w:tcPr>
            <w:tcW w:w="2610" w:type="dxa"/>
            <w:tcBorders>
              <w:top w:val="nil"/>
              <w:left w:val="nil"/>
              <w:bottom w:val="nil"/>
              <w:right w:val="nil"/>
            </w:tcBorders>
            <w:vAlign w:val="center"/>
            <w:hideMark/>
          </w:tcPr>
          <w:p w14:paraId="38F5879E" w14:textId="77777777" w:rsidR="00DB41A8" w:rsidRPr="00A2786A" w:rsidRDefault="00DB41A8" w:rsidP="0031753C">
            <w:pPr>
              <w:rPr>
                <w:color w:val="000000"/>
                <w:sz w:val="16"/>
                <w:szCs w:val="16"/>
                <w:lang w:val="es-AR" w:eastAsia="es-AR"/>
              </w:rPr>
            </w:pPr>
            <w:r w:rsidRPr="00A2786A">
              <w:rPr>
                <w:color w:val="000000"/>
                <w:sz w:val="16"/>
                <w:szCs w:val="16"/>
                <w:lang w:val="es-AR" w:eastAsia="es-AR"/>
              </w:rPr>
              <w:t>Proved:</w:t>
            </w:r>
          </w:p>
        </w:tc>
        <w:tc>
          <w:tcPr>
            <w:tcW w:w="1280" w:type="dxa"/>
            <w:tcBorders>
              <w:top w:val="nil"/>
              <w:left w:val="nil"/>
              <w:bottom w:val="nil"/>
              <w:right w:val="nil"/>
            </w:tcBorders>
            <w:vAlign w:val="center"/>
            <w:hideMark/>
          </w:tcPr>
          <w:p w14:paraId="3E60826E" w14:textId="77777777" w:rsidR="00DB41A8" w:rsidRPr="00A2786A" w:rsidRDefault="00DB41A8" w:rsidP="0031753C">
            <w:pPr>
              <w:rPr>
                <w:color w:val="000000"/>
                <w:sz w:val="16"/>
                <w:szCs w:val="16"/>
                <w:lang w:val="es-AR" w:eastAsia="es-AR"/>
              </w:rPr>
            </w:pPr>
          </w:p>
        </w:tc>
        <w:tc>
          <w:tcPr>
            <w:tcW w:w="960" w:type="dxa"/>
            <w:tcBorders>
              <w:top w:val="nil"/>
              <w:left w:val="nil"/>
              <w:bottom w:val="nil"/>
              <w:right w:val="nil"/>
            </w:tcBorders>
            <w:vAlign w:val="center"/>
            <w:hideMark/>
          </w:tcPr>
          <w:p w14:paraId="17787B1F" w14:textId="77777777" w:rsidR="00DB41A8" w:rsidRPr="00A2786A" w:rsidRDefault="00DB41A8" w:rsidP="0031753C">
            <w:pPr>
              <w:jc w:val="both"/>
              <w:rPr>
                <w:sz w:val="16"/>
                <w:szCs w:val="16"/>
                <w:lang w:val="es-AR" w:eastAsia="es-AR"/>
              </w:rPr>
            </w:pPr>
          </w:p>
        </w:tc>
        <w:tc>
          <w:tcPr>
            <w:tcW w:w="960" w:type="dxa"/>
            <w:tcBorders>
              <w:top w:val="nil"/>
              <w:left w:val="nil"/>
              <w:bottom w:val="nil"/>
              <w:right w:val="nil"/>
            </w:tcBorders>
            <w:vAlign w:val="center"/>
            <w:hideMark/>
          </w:tcPr>
          <w:p w14:paraId="041820D8" w14:textId="77777777" w:rsidR="00DB41A8" w:rsidRPr="00A2786A" w:rsidRDefault="00DB41A8" w:rsidP="0031753C">
            <w:pPr>
              <w:jc w:val="both"/>
              <w:rPr>
                <w:sz w:val="16"/>
                <w:szCs w:val="16"/>
                <w:lang w:val="es-AR" w:eastAsia="es-AR"/>
              </w:rPr>
            </w:pPr>
          </w:p>
        </w:tc>
        <w:tc>
          <w:tcPr>
            <w:tcW w:w="960" w:type="dxa"/>
            <w:tcBorders>
              <w:top w:val="nil"/>
              <w:left w:val="nil"/>
              <w:bottom w:val="nil"/>
              <w:right w:val="nil"/>
            </w:tcBorders>
            <w:vAlign w:val="center"/>
            <w:hideMark/>
          </w:tcPr>
          <w:p w14:paraId="2CB0A402" w14:textId="77777777" w:rsidR="00DB41A8" w:rsidRPr="00A2786A" w:rsidRDefault="00DB41A8" w:rsidP="0031753C">
            <w:pPr>
              <w:jc w:val="both"/>
              <w:rPr>
                <w:sz w:val="16"/>
                <w:szCs w:val="16"/>
                <w:lang w:val="es-AR" w:eastAsia="es-AR"/>
              </w:rPr>
            </w:pPr>
          </w:p>
        </w:tc>
        <w:tc>
          <w:tcPr>
            <w:tcW w:w="1040" w:type="dxa"/>
            <w:tcBorders>
              <w:top w:val="nil"/>
              <w:left w:val="nil"/>
              <w:bottom w:val="nil"/>
              <w:right w:val="nil"/>
            </w:tcBorders>
            <w:noWrap/>
            <w:vAlign w:val="bottom"/>
            <w:hideMark/>
          </w:tcPr>
          <w:p w14:paraId="5DA97F9C" w14:textId="77777777" w:rsidR="00DB41A8" w:rsidRPr="00A2786A" w:rsidRDefault="00DB41A8" w:rsidP="0031753C">
            <w:pPr>
              <w:jc w:val="both"/>
              <w:rPr>
                <w:sz w:val="16"/>
                <w:szCs w:val="16"/>
                <w:lang w:val="es-AR" w:eastAsia="es-AR"/>
              </w:rPr>
            </w:pPr>
          </w:p>
        </w:tc>
        <w:tc>
          <w:tcPr>
            <w:tcW w:w="1000" w:type="dxa"/>
            <w:tcBorders>
              <w:top w:val="nil"/>
              <w:left w:val="nil"/>
              <w:bottom w:val="nil"/>
              <w:right w:val="nil"/>
            </w:tcBorders>
            <w:noWrap/>
            <w:vAlign w:val="bottom"/>
            <w:hideMark/>
          </w:tcPr>
          <w:p w14:paraId="4A9178A2" w14:textId="77777777" w:rsidR="00DB41A8" w:rsidRPr="00A2786A" w:rsidRDefault="00DB41A8" w:rsidP="0031753C">
            <w:pPr>
              <w:rPr>
                <w:sz w:val="16"/>
                <w:szCs w:val="16"/>
                <w:lang w:val="es-AR" w:eastAsia="es-AR"/>
              </w:rPr>
            </w:pPr>
          </w:p>
        </w:tc>
      </w:tr>
      <w:tr w:rsidR="00301DD1" w:rsidRPr="00A2786A" w14:paraId="191AB70F" w14:textId="77777777" w:rsidTr="00B73C3C">
        <w:trPr>
          <w:trHeight w:val="300"/>
        </w:trPr>
        <w:tc>
          <w:tcPr>
            <w:tcW w:w="2610" w:type="dxa"/>
            <w:tcBorders>
              <w:top w:val="nil"/>
              <w:left w:val="nil"/>
              <w:bottom w:val="nil"/>
              <w:right w:val="nil"/>
            </w:tcBorders>
            <w:vAlign w:val="center"/>
            <w:hideMark/>
          </w:tcPr>
          <w:p w14:paraId="774F6C25" w14:textId="63BAEEF1" w:rsidR="00DB41A8" w:rsidRPr="00A2786A" w:rsidRDefault="00DB41A8" w:rsidP="00DD6EC8">
            <w:pPr>
              <w:rPr>
                <w:color w:val="000000"/>
                <w:sz w:val="16"/>
                <w:szCs w:val="16"/>
                <w:lang w:val="es-AR" w:eastAsia="es-AR"/>
              </w:rPr>
            </w:pPr>
            <w:r w:rsidRPr="00A2786A">
              <w:rPr>
                <w:color w:val="000000"/>
                <w:sz w:val="16"/>
                <w:szCs w:val="16"/>
                <w:lang w:val="es-AR" w:eastAsia="es-AR"/>
              </w:rPr>
              <w:t xml:space="preserve"> </w:t>
            </w:r>
            <w:r w:rsidR="00BF1271" w:rsidRPr="00A2786A">
              <w:rPr>
                <w:color w:val="000000"/>
                <w:sz w:val="16"/>
                <w:szCs w:val="16"/>
                <w:lang w:val="es-AR" w:eastAsia="es-AR"/>
              </w:rPr>
              <w:t xml:space="preserve">    </w:t>
            </w:r>
            <w:r w:rsidRPr="00A2786A">
              <w:rPr>
                <w:color w:val="000000"/>
                <w:sz w:val="16"/>
                <w:szCs w:val="16"/>
                <w:lang w:val="es-AR" w:eastAsia="es-AR"/>
              </w:rPr>
              <w:t xml:space="preserve">Developed </w:t>
            </w:r>
            <w:r w:rsidR="00AA64DD" w:rsidRPr="00A2786A">
              <w:rPr>
                <w:color w:val="000000"/>
                <w:sz w:val="16"/>
                <w:szCs w:val="16"/>
                <w:lang w:val="es-AR" w:eastAsia="es-AR"/>
              </w:rPr>
              <w:t>Producing</w:t>
            </w:r>
          </w:p>
        </w:tc>
        <w:tc>
          <w:tcPr>
            <w:tcW w:w="1280" w:type="dxa"/>
            <w:tcBorders>
              <w:top w:val="nil"/>
              <w:left w:val="nil"/>
              <w:bottom w:val="nil"/>
              <w:right w:val="nil"/>
            </w:tcBorders>
            <w:hideMark/>
          </w:tcPr>
          <w:p w14:paraId="3CF4D090" w14:textId="0870BED6" w:rsidR="00DB41A8" w:rsidRPr="00A2786A" w:rsidRDefault="006A4716" w:rsidP="00B73C3C">
            <w:pPr>
              <w:jc w:val="center"/>
              <w:rPr>
                <w:sz w:val="16"/>
                <w:szCs w:val="16"/>
              </w:rPr>
            </w:pPr>
            <w:r w:rsidRPr="00A2786A">
              <w:rPr>
                <w:sz w:val="16"/>
                <w:szCs w:val="16"/>
              </w:rPr>
              <w:t>7,</w:t>
            </w:r>
            <w:r w:rsidR="00301DD1" w:rsidRPr="00A2786A">
              <w:rPr>
                <w:sz w:val="16"/>
                <w:szCs w:val="16"/>
              </w:rPr>
              <w:t>537</w:t>
            </w:r>
          </w:p>
        </w:tc>
        <w:tc>
          <w:tcPr>
            <w:tcW w:w="960" w:type="dxa"/>
            <w:tcBorders>
              <w:top w:val="nil"/>
              <w:left w:val="nil"/>
              <w:bottom w:val="nil"/>
              <w:right w:val="nil"/>
            </w:tcBorders>
            <w:hideMark/>
          </w:tcPr>
          <w:p w14:paraId="16F1E760" w14:textId="6855D39C" w:rsidR="00DB41A8" w:rsidRPr="00A2786A" w:rsidRDefault="00301DD1" w:rsidP="00B73C3C">
            <w:pPr>
              <w:jc w:val="center"/>
              <w:rPr>
                <w:sz w:val="16"/>
                <w:szCs w:val="16"/>
              </w:rPr>
            </w:pPr>
            <w:r w:rsidRPr="00A2786A">
              <w:rPr>
                <w:sz w:val="16"/>
                <w:szCs w:val="16"/>
              </w:rPr>
              <w:t>6,061</w:t>
            </w:r>
          </w:p>
        </w:tc>
        <w:tc>
          <w:tcPr>
            <w:tcW w:w="960" w:type="dxa"/>
            <w:tcBorders>
              <w:top w:val="nil"/>
              <w:left w:val="nil"/>
              <w:bottom w:val="nil"/>
              <w:right w:val="nil"/>
            </w:tcBorders>
            <w:hideMark/>
          </w:tcPr>
          <w:p w14:paraId="59461727" w14:textId="3FA3E688" w:rsidR="00DB41A8" w:rsidRPr="00A2786A" w:rsidRDefault="00301DD1" w:rsidP="00B73C3C">
            <w:pPr>
              <w:jc w:val="center"/>
              <w:rPr>
                <w:sz w:val="16"/>
                <w:szCs w:val="16"/>
              </w:rPr>
            </w:pPr>
            <w:r w:rsidRPr="00A2786A">
              <w:rPr>
                <w:sz w:val="16"/>
                <w:szCs w:val="16"/>
              </w:rPr>
              <w:t>275</w:t>
            </w:r>
          </w:p>
        </w:tc>
        <w:tc>
          <w:tcPr>
            <w:tcW w:w="960" w:type="dxa"/>
            <w:tcBorders>
              <w:top w:val="nil"/>
              <w:left w:val="nil"/>
              <w:bottom w:val="nil"/>
              <w:right w:val="nil"/>
            </w:tcBorders>
            <w:hideMark/>
          </w:tcPr>
          <w:p w14:paraId="70F325BB" w14:textId="0DCFC79A" w:rsidR="00DB41A8" w:rsidRPr="00A2786A" w:rsidRDefault="00301DD1" w:rsidP="00B73C3C">
            <w:pPr>
              <w:jc w:val="center"/>
              <w:rPr>
                <w:sz w:val="16"/>
                <w:szCs w:val="16"/>
              </w:rPr>
            </w:pPr>
            <w:r w:rsidRPr="00A2786A">
              <w:rPr>
                <w:sz w:val="16"/>
                <w:szCs w:val="16"/>
              </w:rPr>
              <w:t>224</w:t>
            </w:r>
          </w:p>
        </w:tc>
        <w:tc>
          <w:tcPr>
            <w:tcW w:w="1040" w:type="dxa"/>
            <w:tcBorders>
              <w:top w:val="nil"/>
              <w:left w:val="nil"/>
              <w:bottom w:val="nil"/>
              <w:right w:val="nil"/>
            </w:tcBorders>
            <w:noWrap/>
            <w:hideMark/>
          </w:tcPr>
          <w:p w14:paraId="7E1B6F8C" w14:textId="7C80F8BE" w:rsidR="00DB41A8" w:rsidRPr="00A2786A" w:rsidRDefault="00301DD1" w:rsidP="00B73C3C">
            <w:pPr>
              <w:jc w:val="center"/>
              <w:rPr>
                <w:sz w:val="16"/>
                <w:szCs w:val="16"/>
              </w:rPr>
            </w:pPr>
            <w:r w:rsidRPr="00A2786A">
              <w:rPr>
                <w:sz w:val="16"/>
                <w:szCs w:val="16"/>
              </w:rPr>
              <w:t>7,583</w:t>
            </w:r>
          </w:p>
        </w:tc>
        <w:tc>
          <w:tcPr>
            <w:tcW w:w="1000" w:type="dxa"/>
            <w:tcBorders>
              <w:top w:val="nil"/>
              <w:left w:val="nil"/>
              <w:bottom w:val="nil"/>
              <w:right w:val="nil"/>
            </w:tcBorders>
            <w:noWrap/>
            <w:hideMark/>
          </w:tcPr>
          <w:p w14:paraId="7D935B19" w14:textId="7AD37D71" w:rsidR="00DB41A8" w:rsidRPr="00A2786A" w:rsidRDefault="00301DD1" w:rsidP="00B73C3C">
            <w:pPr>
              <w:jc w:val="center"/>
              <w:rPr>
                <w:sz w:val="16"/>
                <w:szCs w:val="16"/>
              </w:rPr>
            </w:pPr>
            <w:r w:rsidRPr="00A2786A">
              <w:rPr>
                <w:sz w:val="16"/>
                <w:szCs w:val="16"/>
              </w:rPr>
              <w:t>6,098</w:t>
            </w:r>
          </w:p>
        </w:tc>
      </w:tr>
      <w:tr w:rsidR="00301DD1" w:rsidRPr="00A2786A" w14:paraId="73CA0427" w14:textId="77777777" w:rsidTr="00B73C3C">
        <w:trPr>
          <w:trHeight w:val="300"/>
        </w:trPr>
        <w:tc>
          <w:tcPr>
            <w:tcW w:w="2610" w:type="dxa"/>
            <w:tcBorders>
              <w:top w:val="nil"/>
              <w:left w:val="nil"/>
              <w:bottom w:val="nil"/>
              <w:right w:val="nil"/>
            </w:tcBorders>
            <w:vAlign w:val="center"/>
          </w:tcPr>
          <w:p w14:paraId="0675920F" w14:textId="2FE8E7E2" w:rsidR="00AA64DD" w:rsidRPr="00A2786A" w:rsidRDefault="00AA64DD" w:rsidP="00DD6EC8">
            <w:pPr>
              <w:rPr>
                <w:color w:val="000000"/>
                <w:sz w:val="16"/>
                <w:szCs w:val="16"/>
                <w:lang w:val="es-AR" w:eastAsia="es-AR"/>
              </w:rPr>
            </w:pPr>
            <w:r w:rsidRPr="00A2786A">
              <w:rPr>
                <w:color w:val="000000"/>
                <w:sz w:val="16"/>
                <w:szCs w:val="16"/>
                <w:lang w:val="es-AR" w:eastAsia="es-AR"/>
              </w:rPr>
              <w:t xml:space="preserve"> </w:t>
            </w:r>
            <w:r w:rsidR="00BF1271" w:rsidRPr="00A2786A">
              <w:rPr>
                <w:color w:val="000000"/>
                <w:sz w:val="16"/>
                <w:szCs w:val="16"/>
                <w:lang w:val="es-AR" w:eastAsia="es-AR"/>
              </w:rPr>
              <w:t xml:space="preserve">    </w:t>
            </w:r>
            <w:r w:rsidRPr="00A2786A">
              <w:rPr>
                <w:color w:val="000000"/>
                <w:sz w:val="16"/>
                <w:szCs w:val="16"/>
                <w:lang w:val="es-AR" w:eastAsia="es-AR"/>
              </w:rPr>
              <w:t>Developed Non</w:t>
            </w:r>
            <w:r w:rsidR="00BF1271" w:rsidRPr="00A2786A">
              <w:rPr>
                <w:color w:val="000000"/>
                <w:sz w:val="16"/>
                <w:szCs w:val="16"/>
                <w:lang w:val="es-AR" w:eastAsia="es-AR"/>
              </w:rPr>
              <w:t>-</w:t>
            </w:r>
            <w:r w:rsidRPr="00A2786A">
              <w:rPr>
                <w:color w:val="000000"/>
                <w:sz w:val="16"/>
                <w:szCs w:val="16"/>
                <w:lang w:val="es-AR" w:eastAsia="es-AR"/>
              </w:rPr>
              <w:t>Producing</w:t>
            </w:r>
          </w:p>
        </w:tc>
        <w:tc>
          <w:tcPr>
            <w:tcW w:w="1280" w:type="dxa"/>
            <w:tcBorders>
              <w:top w:val="nil"/>
              <w:left w:val="nil"/>
              <w:bottom w:val="nil"/>
              <w:right w:val="nil"/>
            </w:tcBorders>
          </w:tcPr>
          <w:p w14:paraId="6770F2E2" w14:textId="1B721ECB" w:rsidR="00AA64DD" w:rsidRPr="00A2786A" w:rsidRDefault="00AA64DD" w:rsidP="00B73C3C">
            <w:pPr>
              <w:jc w:val="center"/>
              <w:rPr>
                <w:sz w:val="16"/>
                <w:szCs w:val="16"/>
              </w:rPr>
            </w:pPr>
            <w:r w:rsidRPr="00A2786A">
              <w:rPr>
                <w:sz w:val="16"/>
                <w:szCs w:val="16"/>
              </w:rPr>
              <w:t>-</w:t>
            </w:r>
          </w:p>
        </w:tc>
        <w:tc>
          <w:tcPr>
            <w:tcW w:w="960" w:type="dxa"/>
            <w:tcBorders>
              <w:top w:val="nil"/>
              <w:left w:val="nil"/>
              <w:bottom w:val="nil"/>
              <w:right w:val="nil"/>
            </w:tcBorders>
          </w:tcPr>
          <w:p w14:paraId="7322BE98" w14:textId="04141243" w:rsidR="00AA64DD" w:rsidRPr="00A2786A" w:rsidRDefault="00AA64DD" w:rsidP="00B73C3C">
            <w:pPr>
              <w:jc w:val="center"/>
              <w:rPr>
                <w:sz w:val="16"/>
                <w:szCs w:val="16"/>
              </w:rPr>
            </w:pPr>
            <w:r w:rsidRPr="00A2786A">
              <w:rPr>
                <w:sz w:val="16"/>
                <w:szCs w:val="16"/>
              </w:rPr>
              <w:t>-</w:t>
            </w:r>
          </w:p>
        </w:tc>
        <w:tc>
          <w:tcPr>
            <w:tcW w:w="960" w:type="dxa"/>
            <w:tcBorders>
              <w:top w:val="nil"/>
              <w:left w:val="nil"/>
              <w:bottom w:val="nil"/>
              <w:right w:val="nil"/>
            </w:tcBorders>
          </w:tcPr>
          <w:p w14:paraId="16F6BCCA" w14:textId="110D56E1" w:rsidR="00AA64DD" w:rsidRPr="00A2786A" w:rsidRDefault="00AA64DD" w:rsidP="00B73C3C">
            <w:pPr>
              <w:jc w:val="center"/>
              <w:rPr>
                <w:sz w:val="16"/>
                <w:szCs w:val="16"/>
              </w:rPr>
            </w:pPr>
            <w:r w:rsidRPr="00A2786A">
              <w:rPr>
                <w:sz w:val="16"/>
                <w:szCs w:val="16"/>
              </w:rPr>
              <w:t>-</w:t>
            </w:r>
          </w:p>
        </w:tc>
        <w:tc>
          <w:tcPr>
            <w:tcW w:w="960" w:type="dxa"/>
            <w:tcBorders>
              <w:top w:val="nil"/>
              <w:left w:val="nil"/>
              <w:bottom w:val="nil"/>
              <w:right w:val="nil"/>
            </w:tcBorders>
          </w:tcPr>
          <w:p w14:paraId="12B556B2" w14:textId="47CAB49A" w:rsidR="00AA64DD" w:rsidRPr="00A2786A" w:rsidRDefault="00AA64DD" w:rsidP="00B73C3C">
            <w:pPr>
              <w:jc w:val="center"/>
              <w:rPr>
                <w:sz w:val="16"/>
                <w:szCs w:val="16"/>
              </w:rPr>
            </w:pPr>
            <w:r w:rsidRPr="00A2786A">
              <w:rPr>
                <w:sz w:val="16"/>
                <w:szCs w:val="16"/>
              </w:rPr>
              <w:t>-</w:t>
            </w:r>
          </w:p>
        </w:tc>
        <w:tc>
          <w:tcPr>
            <w:tcW w:w="1040" w:type="dxa"/>
            <w:tcBorders>
              <w:top w:val="nil"/>
              <w:left w:val="nil"/>
              <w:bottom w:val="nil"/>
              <w:right w:val="nil"/>
            </w:tcBorders>
            <w:noWrap/>
          </w:tcPr>
          <w:p w14:paraId="51CB9ED0" w14:textId="467F60FF" w:rsidR="00AA64DD" w:rsidRPr="00A2786A" w:rsidRDefault="00AA64DD" w:rsidP="00B73C3C">
            <w:pPr>
              <w:jc w:val="center"/>
              <w:rPr>
                <w:sz w:val="16"/>
                <w:szCs w:val="16"/>
              </w:rPr>
            </w:pPr>
            <w:r w:rsidRPr="00A2786A">
              <w:rPr>
                <w:sz w:val="16"/>
                <w:szCs w:val="16"/>
              </w:rPr>
              <w:t>-</w:t>
            </w:r>
          </w:p>
        </w:tc>
        <w:tc>
          <w:tcPr>
            <w:tcW w:w="1000" w:type="dxa"/>
            <w:tcBorders>
              <w:top w:val="nil"/>
              <w:left w:val="nil"/>
              <w:bottom w:val="nil"/>
              <w:right w:val="nil"/>
            </w:tcBorders>
            <w:noWrap/>
          </w:tcPr>
          <w:p w14:paraId="0B987B97" w14:textId="1FB8E371" w:rsidR="00AA64DD" w:rsidRPr="00A2786A" w:rsidRDefault="00AA64DD" w:rsidP="00B73C3C">
            <w:pPr>
              <w:jc w:val="center"/>
              <w:rPr>
                <w:sz w:val="16"/>
                <w:szCs w:val="16"/>
              </w:rPr>
            </w:pPr>
            <w:r w:rsidRPr="00A2786A">
              <w:rPr>
                <w:sz w:val="16"/>
                <w:szCs w:val="16"/>
              </w:rPr>
              <w:t>-</w:t>
            </w:r>
          </w:p>
        </w:tc>
      </w:tr>
      <w:tr w:rsidR="00301DD1" w:rsidRPr="00A2786A" w14:paraId="63F7C7A8" w14:textId="77777777" w:rsidTr="00B73C3C">
        <w:trPr>
          <w:trHeight w:val="300"/>
        </w:trPr>
        <w:tc>
          <w:tcPr>
            <w:tcW w:w="2610" w:type="dxa"/>
            <w:tcBorders>
              <w:top w:val="nil"/>
              <w:left w:val="nil"/>
              <w:bottom w:val="nil"/>
              <w:right w:val="nil"/>
            </w:tcBorders>
            <w:vAlign w:val="center"/>
            <w:hideMark/>
          </w:tcPr>
          <w:p w14:paraId="2BB92FC2" w14:textId="137D1513" w:rsidR="00DB41A8" w:rsidRPr="00A2786A" w:rsidRDefault="00456D0C" w:rsidP="00DD6EC8">
            <w:pPr>
              <w:rPr>
                <w:color w:val="000000"/>
                <w:sz w:val="16"/>
                <w:szCs w:val="16"/>
                <w:lang w:val="es-AR" w:eastAsia="es-AR"/>
              </w:rPr>
            </w:pPr>
            <w:r w:rsidRPr="00A2786A">
              <w:rPr>
                <w:color w:val="000000"/>
                <w:sz w:val="16"/>
                <w:szCs w:val="16"/>
                <w:lang w:val="es-AR" w:eastAsia="es-AR"/>
              </w:rPr>
              <w:t xml:space="preserve"> </w:t>
            </w:r>
            <w:r w:rsidR="00BF1271" w:rsidRPr="00A2786A">
              <w:rPr>
                <w:color w:val="000000"/>
                <w:sz w:val="16"/>
                <w:szCs w:val="16"/>
                <w:lang w:val="es-AR" w:eastAsia="es-AR"/>
              </w:rPr>
              <w:t xml:space="preserve">    </w:t>
            </w:r>
            <w:r w:rsidRPr="00A2786A">
              <w:rPr>
                <w:color w:val="000000"/>
                <w:sz w:val="16"/>
                <w:szCs w:val="16"/>
                <w:lang w:val="es-AR" w:eastAsia="es-AR"/>
              </w:rPr>
              <w:t>Undeveloped</w:t>
            </w:r>
          </w:p>
        </w:tc>
        <w:tc>
          <w:tcPr>
            <w:tcW w:w="1280" w:type="dxa"/>
            <w:tcBorders>
              <w:top w:val="nil"/>
              <w:left w:val="nil"/>
              <w:bottom w:val="nil"/>
              <w:right w:val="nil"/>
            </w:tcBorders>
            <w:hideMark/>
          </w:tcPr>
          <w:p w14:paraId="7A69F905" w14:textId="1E8051F6" w:rsidR="00DB41A8" w:rsidRPr="00A2786A" w:rsidRDefault="00301DD1" w:rsidP="00B73C3C">
            <w:pPr>
              <w:jc w:val="center"/>
              <w:rPr>
                <w:sz w:val="16"/>
                <w:szCs w:val="16"/>
              </w:rPr>
            </w:pPr>
            <w:r w:rsidRPr="00A2786A">
              <w:rPr>
                <w:sz w:val="16"/>
                <w:szCs w:val="16"/>
              </w:rPr>
              <w:t>6,055</w:t>
            </w:r>
          </w:p>
        </w:tc>
        <w:tc>
          <w:tcPr>
            <w:tcW w:w="960" w:type="dxa"/>
            <w:tcBorders>
              <w:top w:val="nil"/>
              <w:left w:val="nil"/>
              <w:bottom w:val="nil"/>
              <w:right w:val="nil"/>
            </w:tcBorders>
            <w:hideMark/>
          </w:tcPr>
          <w:p w14:paraId="4E8322F6" w14:textId="560A3C5B" w:rsidR="00DB41A8" w:rsidRPr="00A2786A" w:rsidRDefault="00471F7B" w:rsidP="00B73C3C">
            <w:pPr>
              <w:jc w:val="center"/>
              <w:rPr>
                <w:sz w:val="16"/>
                <w:szCs w:val="16"/>
              </w:rPr>
            </w:pPr>
            <w:r w:rsidRPr="00A2786A">
              <w:rPr>
                <w:sz w:val="16"/>
                <w:szCs w:val="16"/>
              </w:rPr>
              <w:t>5,199</w:t>
            </w:r>
          </w:p>
        </w:tc>
        <w:tc>
          <w:tcPr>
            <w:tcW w:w="960" w:type="dxa"/>
            <w:tcBorders>
              <w:top w:val="nil"/>
              <w:left w:val="nil"/>
              <w:bottom w:val="nil"/>
              <w:right w:val="nil"/>
            </w:tcBorders>
            <w:hideMark/>
          </w:tcPr>
          <w:p w14:paraId="17E111CF" w14:textId="3BD51239" w:rsidR="00DB41A8" w:rsidRPr="00A2786A" w:rsidRDefault="00301DD1" w:rsidP="00B73C3C">
            <w:pPr>
              <w:jc w:val="center"/>
              <w:rPr>
                <w:sz w:val="16"/>
                <w:szCs w:val="16"/>
              </w:rPr>
            </w:pPr>
            <w:r w:rsidRPr="00A2786A">
              <w:rPr>
                <w:sz w:val="16"/>
                <w:szCs w:val="16"/>
              </w:rPr>
              <w:t>1,315</w:t>
            </w:r>
          </w:p>
        </w:tc>
        <w:tc>
          <w:tcPr>
            <w:tcW w:w="960" w:type="dxa"/>
            <w:tcBorders>
              <w:top w:val="nil"/>
              <w:left w:val="nil"/>
              <w:bottom w:val="nil"/>
              <w:right w:val="nil"/>
            </w:tcBorders>
            <w:hideMark/>
          </w:tcPr>
          <w:p w14:paraId="3074EEE4" w14:textId="7828F5F6" w:rsidR="00DB41A8" w:rsidRPr="00A2786A" w:rsidRDefault="00301DD1" w:rsidP="00B73C3C">
            <w:pPr>
              <w:jc w:val="center"/>
              <w:rPr>
                <w:sz w:val="16"/>
                <w:szCs w:val="16"/>
              </w:rPr>
            </w:pPr>
            <w:r w:rsidRPr="00A2786A">
              <w:rPr>
                <w:sz w:val="16"/>
                <w:szCs w:val="16"/>
              </w:rPr>
              <w:t>1,053</w:t>
            </w:r>
          </w:p>
        </w:tc>
        <w:tc>
          <w:tcPr>
            <w:tcW w:w="1040" w:type="dxa"/>
            <w:tcBorders>
              <w:top w:val="nil"/>
              <w:left w:val="nil"/>
              <w:bottom w:val="nil"/>
              <w:right w:val="nil"/>
            </w:tcBorders>
            <w:noWrap/>
            <w:hideMark/>
          </w:tcPr>
          <w:p w14:paraId="1B2668EC" w14:textId="5670D5BA" w:rsidR="00DB41A8" w:rsidRPr="00A2786A" w:rsidRDefault="00301DD1" w:rsidP="00B73C3C">
            <w:pPr>
              <w:jc w:val="center"/>
              <w:rPr>
                <w:sz w:val="16"/>
                <w:szCs w:val="16"/>
              </w:rPr>
            </w:pPr>
            <w:r w:rsidRPr="00A2786A">
              <w:rPr>
                <w:sz w:val="16"/>
                <w:szCs w:val="16"/>
              </w:rPr>
              <w:t>6,274</w:t>
            </w:r>
          </w:p>
        </w:tc>
        <w:tc>
          <w:tcPr>
            <w:tcW w:w="1000" w:type="dxa"/>
            <w:tcBorders>
              <w:top w:val="nil"/>
              <w:left w:val="nil"/>
              <w:bottom w:val="nil"/>
              <w:right w:val="nil"/>
            </w:tcBorders>
            <w:noWrap/>
            <w:hideMark/>
          </w:tcPr>
          <w:p w14:paraId="2B93E653" w14:textId="41C4280C" w:rsidR="00DB41A8" w:rsidRPr="00A2786A" w:rsidRDefault="00301DD1" w:rsidP="00B73C3C">
            <w:pPr>
              <w:jc w:val="center"/>
              <w:rPr>
                <w:sz w:val="16"/>
                <w:szCs w:val="16"/>
              </w:rPr>
            </w:pPr>
            <w:r w:rsidRPr="00A2786A">
              <w:rPr>
                <w:sz w:val="16"/>
                <w:szCs w:val="16"/>
              </w:rPr>
              <w:t>5,375</w:t>
            </w:r>
          </w:p>
        </w:tc>
      </w:tr>
      <w:tr w:rsidR="00301DD1" w:rsidRPr="00A2786A" w14:paraId="18D50F52" w14:textId="77777777" w:rsidTr="00B73C3C">
        <w:trPr>
          <w:trHeight w:val="300"/>
        </w:trPr>
        <w:tc>
          <w:tcPr>
            <w:tcW w:w="2610" w:type="dxa"/>
            <w:tcBorders>
              <w:top w:val="nil"/>
              <w:left w:val="nil"/>
              <w:bottom w:val="nil"/>
              <w:right w:val="nil"/>
            </w:tcBorders>
            <w:vAlign w:val="center"/>
            <w:hideMark/>
          </w:tcPr>
          <w:p w14:paraId="33B35924" w14:textId="77777777" w:rsidR="00DB41A8" w:rsidRPr="00A2786A" w:rsidRDefault="00DB41A8" w:rsidP="00DD6EC8">
            <w:pPr>
              <w:rPr>
                <w:color w:val="000000"/>
                <w:sz w:val="16"/>
                <w:szCs w:val="16"/>
                <w:lang w:val="es-AR" w:eastAsia="es-AR"/>
              </w:rPr>
            </w:pPr>
            <w:r w:rsidRPr="00A2786A">
              <w:rPr>
                <w:color w:val="000000"/>
                <w:sz w:val="16"/>
                <w:szCs w:val="16"/>
                <w:lang w:val="es-AR" w:eastAsia="es-AR"/>
              </w:rPr>
              <w:t>Total Proved</w:t>
            </w:r>
          </w:p>
        </w:tc>
        <w:tc>
          <w:tcPr>
            <w:tcW w:w="1280" w:type="dxa"/>
            <w:tcBorders>
              <w:top w:val="single" w:sz="4" w:space="0" w:color="auto"/>
              <w:left w:val="nil"/>
              <w:bottom w:val="nil"/>
              <w:right w:val="nil"/>
            </w:tcBorders>
            <w:hideMark/>
          </w:tcPr>
          <w:p w14:paraId="026F7D25" w14:textId="1D412848" w:rsidR="00DB41A8" w:rsidRPr="00A2786A" w:rsidRDefault="006A4716" w:rsidP="00B73C3C">
            <w:pPr>
              <w:jc w:val="center"/>
              <w:rPr>
                <w:sz w:val="16"/>
                <w:szCs w:val="16"/>
              </w:rPr>
            </w:pPr>
            <w:r w:rsidRPr="00A2786A">
              <w:rPr>
                <w:sz w:val="16"/>
                <w:szCs w:val="16"/>
              </w:rPr>
              <w:t>13,59</w:t>
            </w:r>
            <w:r w:rsidR="00301DD1" w:rsidRPr="00A2786A">
              <w:rPr>
                <w:sz w:val="16"/>
                <w:szCs w:val="16"/>
              </w:rPr>
              <w:t>2</w:t>
            </w:r>
          </w:p>
        </w:tc>
        <w:tc>
          <w:tcPr>
            <w:tcW w:w="960" w:type="dxa"/>
            <w:tcBorders>
              <w:top w:val="single" w:sz="4" w:space="0" w:color="auto"/>
              <w:left w:val="nil"/>
              <w:bottom w:val="nil"/>
              <w:right w:val="nil"/>
            </w:tcBorders>
            <w:hideMark/>
          </w:tcPr>
          <w:p w14:paraId="0A20975D" w14:textId="3AEF2D95" w:rsidR="00DB41A8" w:rsidRPr="00A2786A" w:rsidRDefault="00471F7B" w:rsidP="00B73C3C">
            <w:pPr>
              <w:jc w:val="center"/>
              <w:rPr>
                <w:sz w:val="16"/>
                <w:szCs w:val="16"/>
              </w:rPr>
            </w:pPr>
            <w:r w:rsidRPr="00A2786A">
              <w:rPr>
                <w:sz w:val="16"/>
                <w:szCs w:val="16"/>
              </w:rPr>
              <w:t>11,260</w:t>
            </w:r>
          </w:p>
        </w:tc>
        <w:tc>
          <w:tcPr>
            <w:tcW w:w="960" w:type="dxa"/>
            <w:tcBorders>
              <w:top w:val="single" w:sz="4" w:space="0" w:color="auto"/>
              <w:left w:val="nil"/>
              <w:bottom w:val="nil"/>
              <w:right w:val="nil"/>
            </w:tcBorders>
            <w:hideMark/>
          </w:tcPr>
          <w:p w14:paraId="1F5B70A1" w14:textId="67B3166A" w:rsidR="00DB41A8" w:rsidRPr="00A2786A" w:rsidRDefault="00301DD1" w:rsidP="00B73C3C">
            <w:pPr>
              <w:jc w:val="center"/>
              <w:rPr>
                <w:sz w:val="16"/>
                <w:szCs w:val="16"/>
              </w:rPr>
            </w:pPr>
            <w:r w:rsidRPr="00A2786A">
              <w:rPr>
                <w:sz w:val="16"/>
                <w:szCs w:val="16"/>
              </w:rPr>
              <w:t>1,590</w:t>
            </w:r>
          </w:p>
        </w:tc>
        <w:tc>
          <w:tcPr>
            <w:tcW w:w="960" w:type="dxa"/>
            <w:tcBorders>
              <w:top w:val="single" w:sz="4" w:space="0" w:color="auto"/>
              <w:left w:val="nil"/>
              <w:bottom w:val="nil"/>
              <w:right w:val="nil"/>
            </w:tcBorders>
            <w:hideMark/>
          </w:tcPr>
          <w:p w14:paraId="11FC908C" w14:textId="5C6FCC8E" w:rsidR="00DB41A8" w:rsidRPr="00A2786A" w:rsidRDefault="00B20E5D" w:rsidP="00B73C3C">
            <w:pPr>
              <w:jc w:val="center"/>
              <w:rPr>
                <w:sz w:val="16"/>
                <w:szCs w:val="16"/>
              </w:rPr>
            </w:pPr>
            <w:r w:rsidRPr="00A2786A">
              <w:rPr>
                <w:sz w:val="16"/>
                <w:szCs w:val="16"/>
              </w:rPr>
              <w:t>1,</w:t>
            </w:r>
            <w:r w:rsidR="00301DD1" w:rsidRPr="00A2786A">
              <w:rPr>
                <w:sz w:val="16"/>
                <w:szCs w:val="16"/>
              </w:rPr>
              <w:t>278</w:t>
            </w:r>
          </w:p>
        </w:tc>
        <w:tc>
          <w:tcPr>
            <w:tcW w:w="1040" w:type="dxa"/>
            <w:tcBorders>
              <w:top w:val="single" w:sz="4" w:space="0" w:color="auto"/>
              <w:left w:val="nil"/>
              <w:bottom w:val="nil"/>
              <w:right w:val="nil"/>
            </w:tcBorders>
            <w:noWrap/>
            <w:hideMark/>
          </w:tcPr>
          <w:p w14:paraId="373DACB3" w14:textId="48073A94" w:rsidR="00DB41A8" w:rsidRPr="00A2786A" w:rsidRDefault="00301DD1" w:rsidP="00B73C3C">
            <w:pPr>
              <w:jc w:val="center"/>
              <w:rPr>
                <w:sz w:val="16"/>
                <w:szCs w:val="16"/>
              </w:rPr>
            </w:pPr>
            <w:r w:rsidRPr="00A2786A">
              <w:rPr>
                <w:sz w:val="16"/>
                <w:szCs w:val="16"/>
              </w:rPr>
              <w:t>13,857</w:t>
            </w:r>
          </w:p>
        </w:tc>
        <w:tc>
          <w:tcPr>
            <w:tcW w:w="1000" w:type="dxa"/>
            <w:tcBorders>
              <w:top w:val="single" w:sz="4" w:space="0" w:color="auto"/>
              <w:left w:val="nil"/>
              <w:bottom w:val="nil"/>
              <w:right w:val="nil"/>
            </w:tcBorders>
            <w:noWrap/>
            <w:hideMark/>
          </w:tcPr>
          <w:p w14:paraId="5417318F" w14:textId="585F152F" w:rsidR="00DB41A8" w:rsidRPr="00A2786A" w:rsidRDefault="00301DD1" w:rsidP="00B73C3C">
            <w:pPr>
              <w:jc w:val="center"/>
              <w:rPr>
                <w:sz w:val="16"/>
                <w:szCs w:val="16"/>
              </w:rPr>
            </w:pPr>
            <w:r w:rsidRPr="00A2786A">
              <w:rPr>
                <w:sz w:val="16"/>
                <w:szCs w:val="16"/>
              </w:rPr>
              <w:t>11,473</w:t>
            </w:r>
          </w:p>
        </w:tc>
      </w:tr>
      <w:tr w:rsidR="00301DD1" w:rsidRPr="00A2786A" w14:paraId="6FDCB40D" w14:textId="77777777" w:rsidTr="00B73C3C">
        <w:trPr>
          <w:trHeight w:val="300"/>
        </w:trPr>
        <w:tc>
          <w:tcPr>
            <w:tcW w:w="2610" w:type="dxa"/>
            <w:tcBorders>
              <w:top w:val="nil"/>
              <w:left w:val="nil"/>
              <w:bottom w:val="nil"/>
              <w:right w:val="nil"/>
            </w:tcBorders>
            <w:vAlign w:val="center"/>
            <w:hideMark/>
          </w:tcPr>
          <w:p w14:paraId="40B9847F" w14:textId="77777777" w:rsidR="00DB41A8" w:rsidRPr="00A2786A" w:rsidRDefault="00DB41A8" w:rsidP="00DD6EC8">
            <w:pPr>
              <w:rPr>
                <w:color w:val="000000"/>
                <w:sz w:val="16"/>
                <w:szCs w:val="16"/>
                <w:lang w:val="es-AR" w:eastAsia="es-AR"/>
              </w:rPr>
            </w:pPr>
            <w:r w:rsidRPr="00A2786A">
              <w:rPr>
                <w:color w:val="000000"/>
                <w:sz w:val="16"/>
                <w:szCs w:val="16"/>
                <w:lang w:val="es-AR" w:eastAsia="es-AR"/>
              </w:rPr>
              <w:t>Total Probable</w:t>
            </w:r>
          </w:p>
        </w:tc>
        <w:tc>
          <w:tcPr>
            <w:tcW w:w="1280" w:type="dxa"/>
            <w:tcBorders>
              <w:top w:val="nil"/>
              <w:left w:val="nil"/>
              <w:bottom w:val="nil"/>
              <w:right w:val="nil"/>
            </w:tcBorders>
            <w:hideMark/>
          </w:tcPr>
          <w:p w14:paraId="281CCF75" w14:textId="52BC889C" w:rsidR="00DB41A8" w:rsidRPr="00A2786A" w:rsidRDefault="006A4716" w:rsidP="00B73C3C">
            <w:pPr>
              <w:jc w:val="center"/>
              <w:rPr>
                <w:sz w:val="16"/>
                <w:szCs w:val="16"/>
              </w:rPr>
            </w:pPr>
            <w:r w:rsidRPr="00A2786A">
              <w:rPr>
                <w:sz w:val="16"/>
                <w:szCs w:val="16"/>
              </w:rPr>
              <w:t>11,23</w:t>
            </w:r>
            <w:r w:rsidR="00301DD1" w:rsidRPr="00A2786A">
              <w:rPr>
                <w:sz w:val="16"/>
                <w:szCs w:val="16"/>
              </w:rPr>
              <w:t>4</w:t>
            </w:r>
          </w:p>
        </w:tc>
        <w:tc>
          <w:tcPr>
            <w:tcW w:w="960" w:type="dxa"/>
            <w:tcBorders>
              <w:top w:val="nil"/>
              <w:left w:val="nil"/>
              <w:bottom w:val="nil"/>
              <w:right w:val="nil"/>
            </w:tcBorders>
            <w:hideMark/>
          </w:tcPr>
          <w:p w14:paraId="744F94BE" w14:textId="25D1AF07" w:rsidR="00DB41A8" w:rsidRPr="00A2786A" w:rsidRDefault="00301DD1" w:rsidP="00B73C3C">
            <w:pPr>
              <w:jc w:val="center"/>
              <w:rPr>
                <w:sz w:val="16"/>
                <w:szCs w:val="16"/>
              </w:rPr>
            </w:pPr>
            <w:r w:rsidRPr="00A2786A">
              <w:rPr>
                <w:sz w:val="16"/>
                <w:szCs w:val="16"/>
              </w:rPr>
              <w:t>9,214</w:t>
            </w:r>
          </w:p>
        </w:tc>
        <w:tc>
          <w:tcPr>
            <w:tcW w:w="960" w:type="dxa"/>
            <w:tcBorders>
              <w:top w:val="nil"/>
              <w:left w:val="nil"/>
              <w:bottom w:val="nil"/>
              <w:right w:val="nil"/>
            </w:tcBorders>
            <w:hideMark/>
          </w:tcPr>
          <w:p w14:paraId="2C0A23AD" w14:textId="783457A9" w:rsidR="00DB41A8" w:rsidRPr="00A2786A" w:rsidRDefault="00301DD1" w:rsidP="00B73C3C">
            <w:pPr>
              <w:jc w:val="center"/>
              <w:rPr>
                <w:sz w:val="16"/>
                <w:szCs w:val="16"/>
              </w:rPr>
            </w:pPr>
            <w:r w:rsidRPr="00A2786A">
              <w:rPr>
                <w:sz w:val="16"/>
                <w:szCs w:val="16"/>
              </w:rPr>
              <w:t>3,802</w:t>
            </w:r>
          </w:p>
        </w:tc>
        <w:tc>
          <w:tcPr>
            <w:tcW w:w="960" w:type="dxa"/>
            <w:tcBorders>
              <w:top w:val="nil"/>
              <w:left w:val="nil"/>
              <w:bottom w:val="nil"/>
              <w:right w:val="nil"/>
            </w:tcBorders>
            <w:hideMark/>
          </w:tcPr>
          <w:p w14:paraId="1C0777FF" w14:textId="0B13F079" w:rsidR="00DB41A8" w:rsidRPr="00A2786A" w:rsidRDefault="00301DD1" w:rsidP="00B73C3C">
            <w:pPr>
              <w:jc w:val="center"/>
              <w:rPr>
                <w:sz w:val="16"/>
                <w:szCs w:val="16"/>
              </w:rPr>
            </w:pPr>
            <w:r w:rsidRPr="00A2786A">
              <w:rPr>
                <w:sz w:val="16"/>
                <w:szCs w:val="16"/>
              </w:rPr>
              <w:t>3,129</w:t>
            </w:r>
          </w:p>
        </w:tc>
        <w:tc>
          <w:tcPr>
            <w:tcW w:w="1040" w:type="dxa"/>
            <w:tcBorders>
              <w:top w:val="nil"/>
              <w:left w:val="nil"/>
              <w:bottom w:val="nil"/>
              <w:right w:val="nil"/>
            </w:tcBorders>
            <w:noWrap/>
            <w:hideMark/>
          </w:tcPr>
          <w:p w14:paraId="19EC60A1" w14:textId="16FD1206" w:rsidR="00DB41A8" w:rsidRPr="00A2786A" w:rsidRDefault="00301DD1" w:rsidP="00B73C3C">
            <w:pPr>
              <w:jc w:val="center"/>
              <w:rPr>
                <w:sz w:val="16"/>
                <w:szCs w:val="16"/>
              </w:rPr>
            </w:pPr>
            <w:r w:rsidRPr="00A2786A">
              <w:rPr>
                <w:sz w:val="16"/>
                <w:szCs w:val="16"/>
              </w:rPr>
              <w:t>11,868</w:t>
            </w:r>
          </w:p>
        </w:tc>
        <w:tc>
          <w:tcPr>
            <w:tcW w:w="1000" w:type="dxa"/>
            <w:tcBorders>
              <w:top w:val="nil"/>
              <w:left w:val="nil"/>
              <w:bottom w:val="nil"/>
              <w:right w:val="nil"/>
            </w:tcBorders>
            <w:noWrap/>
            <w:hideMark/>
          </w:tcPr>
          <w:p w14:paraId="1C43CB58" w14:textId="05A92F46" w:rsidR="00DB41A8" w:rsidRPr="00A2786A" w:rsidRDefault="00301DD1" w:rsidP="00B73C3C">
            <w:pPr>
              <w:jc w:val="center"/>
              <w:rPr>
                <w:sz w:val="16"/>
                <w:szCs w:val="16"/>
              </w:rPr>
            </w:pPr>
            <w:r w:rsidRPr="00A2786A">
              <w:rPr>
                <w:sz w:val="16"/>
                <w:szCs w:val="16"/>
              </w:rPr>
              <w:t>9,736</w:t>
            </w:r>
          </w:p>
        </w:tc>
      </w:tr>
      <w:tr w:rsidR="00301DD1" w:rsidRPr="00A2786A" w14:paraId="488B6AD6" w14:textId="77777777" w:rsidTr="00B73C3C">
        <w:trPr>
          <w:trHeight w:val="300"/>
        </w:trPr>
        <w:tc>
          <w:tcPr>
            <w:tcW w:w="2610" w:type="dxa"/>
            <w:tcBorders>
              <w:top w:val="nil"/>
              <w:left w:val="nil"/>
              <w:bottom w:val="nil"/>
              <w:right w:val="nil"/>
            </w:tcBorders>
            <w:vAlign w:val="center"/>
            <w:hideMark/>
          </w:tcPr>
          <w:p w14:paraId="00F442B3" w14:textId="77777777" w:rsidR="00DB41A8" w:rsidRPr="00A2786A" w:rsidRDefault="00DB41A8" w:rsidP="00DD6EC8">
            <w:pPr>
              <w:rPr>
                <w:color w:val="000000"/>
                <w:sz w:val="16"/>
                <w:szCs w:val="16"/>
                <w:lang w:val="es-AR" w:eastAsia="es-AR"/>
              </w:rPr>
            </w:pPr>
            <w:r w:rsidRPr="00A2786A">
              <w:rPr>
                <w:color w:val="000000"/>
                <w:sz w:val="16"/>
                <w:szCs w:val="16"/>
                <w:lang w:val="es-AR" w:eastAsia="es-AR"/>
              </w:rPr>
              <w:t>Total Proved plus Probable</w:t>
            </w:r>
          </w:p>
        </w:tc>
        <w:tc>
          <w:tcPr>
            <w:tcW w:w="1280" w:type="dxa"/>
            <w:tcBorders>
              <w:top w:val="single" w:sz="4" w:space="0" w:color="auto"/>
              <w:left w:val="nil"/>
              <w:bottom w:val="nil"/>
              <w:right w:val="nil"/>
            </w:tcBorders>
            <w:hideMark/>
          </w:tcPr>
          <w:p w14:paraId="35AF76C3" w14:textId="468741A8" w:rsidR="00DB41A8" w:rsidRPr="00A2786A" w:rsidRDefault="006A4716" w:rsidP="00B73C3C">
            <w:pPr>
              <w:jc w:val="center"/>
              <w:rPr>
                <w:sz w:val="16"/>
                <w:szCs w:val="16"/>
              </w:rPr>
            </w:pPr>
            <w:r w:rsidRPr="00A2786A">
              <w:rPr>
                <w:sz w:val="16"/>
                <w:szCs w:val="16"/>
              </w:rPr>
              <w:t>24,8</w:t>
            </w:r>
            <w:r w:rsidR="00301DD1" w:rsidRPr="00A2786A">
              <w:rPr>
                <w:sz w:val="16"/>
                <w:szCs w:val="16"/>
              </w:rPr>
              <w:t>27</w:t>
            </w:r>
          </w:p>
        </w:tc>
        <w:tc>
          <w:tcPr>
            <w:tcW w:w="960" w:type="dxa"/>
            <w:tcBorders>
              <w:top w:val="single" w:sz="4" w:space="0" w:color="auto"/>
              <w:left w:val="nil"/>
              <w:bottom w:val="nil"/>
              <w:right w:val="nil"/>
            </w:tcBorders>
            <w:hideMark/>
          </w:tcPr>
          <w:p w14:paraId="276BF75A" w14:textId="4DEEB0D5" w:rsidR="00DB41A8" w:rsidRPr="00A2786A" w:rsidRDefault="00471F7B" w:rsidP="00B73C3C">
            <w:pPr>
              <w:jc w:val="center"/>
              <w:rPr>
                <w:sz w:val="16"/>
                <w:szCs w:val="16"/>
              </w:rPr>
            </w:pPr>
            <w:r w:rsidRPr="00A2786A">
              <w:rPr>
                <w:sz w:val="16"/>
                <w:szCs w:val="16"/>
              </w:rPr>
              <w:t>20,47</w:t>
            </w:r>
            <w:r w:rsidR="00301DD1" w:rsidRPr="00A2786A">
              <w:rPr>
                <w:sz w:val="16"/>
                <w:szCs w:val="16"/>
              </w:rPr>
              <w:t>2</w:t>
            </w:r>
          </w:p>
        </w:tc>
        <w:tc>
          <w:tcPr>
            <w:tcW w:w="960" w:type="dxa"/>
            <w:tcBorders>
              <w:top w:val="single" w:sz="4" w:space="0" w:color="auto"/>
              <w:left w:val="nil"/>
              <w:bottom w:val="nil"/>
              <w:right w:val="nil"/>
            </w:tcBorders>
            <w:hideMark/>
          </w:tcPr>
          <w:p w14:paraId="73FCF4D5" w14:textId="5902BD4F" w:rsidR="00DB41A8" w:rsidRPr="00A2786A" w:rsidRDefault="00301DD1" w:rsidP="00B73C3C">
            <w:pPr>
              <w:jc w:val="center"/>
              <w:rPr>
                <w:sz w:val="16"/>
                <w:szCs w:val="16"/>
              </w:rPr>
            </w:pPr>
            <w:r w:rsidRPr="00A2786A">
              <w:rPr>
                <w:sz w:val="16"/>
                <w:szCs w:val="16"/>
              </w:rPr>
              <w:t>5,392</w:t>
            </w:r>
          </w:p>
        </w:tc>
        <w:tc>
          <w:tcPr>
            <w:tcW w:w="960" w:type="dxa"/>
            <w:tcBorders>
              <w:top w:val="single" w:sz="4" w:space="0" w:color="auto"/>
              <w:left w:val="nil"/>
              <w:bottom w:val="nil"/>
              <w:right w:val="nil"/>
            </w:tcBorders>
            <w:hideMark/>
          </w:tcPr>
          <w:p w14:paraId="4A4997F9" w14:textId="5925690C" w:rsidR="00DB41A8" w:rsidRPr="00A2786A" w:rsidRDefault="00301DD1" w:rsidP="00B73C3C">
            <w:pPr>
              <w:jc w:val="center"/>
              <w:rPr>
                <w:sz w:val="16"/>
                <w:szCs w:val="16"/>
              </w:rPr>
            </w:pPr>
            <w:r w:rsidRPr="00A2786A">
              <w:rPr>
                <w:sz w:val="16"/>
                <w:szCs w:val="16"/>
              </w:rPr>
              <w:t>4,407</w:t>
            </w:r>
          </w:p>
        </w:tc>
        <w:tc>
          <w:tcPr>
            <w:tcW w:w="1040" w:type="dxa"/>
            <w:tcBorders>
              <w:top w:val="single" w:sz="4" w:space="0" w:color="auto"/>
              <w:left w:val="nil"/>
              <w:bottom w:val="nil"/>
              <w:right w:val="nil"/>
            </w:tcBorders>
            <w:noWrap/>
            <w:hideMark/>
          </w:tcPr>
          <w:p w14:paraId="7541F21C" w14:textId="0B3BDA0A" w:rsidR="00DB41A8" w:rsidRPr="00A2786A" w:rsidRDefault="00301DD1" w:rsidP="00B73C3C">
            <w:pPr>
              <w:jc w:val="center"/>
              <w:rPr>
                <w:sz w:val="16"/>
                <w:szCs w:val="16"/>
              </w:rPr>
            </w:pPr>
            <w:r w:rsidRPr="00A2786A">
              <w:rPr>
                <w:sz w:val="16"/>
                <w:szCs w:val="16"/>
              </w:rPr>
              <w:t>25,726</w:t>
            </w:r>
          </w:p>
        </w:tc>
        <w:tc>
          <w:tcPr>
            <w:tcW w:w="1000" w:type="dxa"/>
            <w:tcBorders>
              <w:top w:val="single" w:sz="4" w:space="0" w:color="auto"/>
              <w:left w:val="nil"/>
              <w:bottom w:val="nil"/>
              <w:right w:val="nil"/>
            </w:tcBorders>
            <w:noWrap/>
            <w:hideMark/>
          </w:tcPr>
          <w:p w14:paraId="7DF203DF" w14:textId="12285B99" w:rsidR="00DB41A8" w:rsidRPr="00A2786A" w:rsidRDefault="00301DD1" w:rsidP="00B73C3C">
            <w:pPr>
              <w:jc w:val="center"/>
              <w:rPr>
                <w:sz w:val="16"/>
                <w:szCs w:val="16"/>
              </w:rPr>
            </w:pPr>
            <w:r w:rsidRPr="00A2786A">
              <w:rPr>
                <w:sz w:val="16"/>
                <w:szCs w:val="16"/>
              </w:rPr>
              <w:t>21,207</w:t>
            </w:r>
          </w:p>
        </w:tc>
      </w:tr>
    </w:tbl>
    <w:bookmarkEnd w:id="0"/>
    <w:p w14:paraId="33B99BAB" w14:textId="68483378" w:rsidR="004E7D42" w:rsidRPr="00A2786A" w:rsidRDefault="004E7D42" w:rsidP="00BF1271">
      <w:pPr>
        <w:tabs>
          <w:tab w:val="left" w:pos="1440"/>
        </w:tabs>
        <w:spacing w:before="240" w:line="240" w:lineRule="atLeast"/>
        <w:jc w:val="both"/>
        <w:rPr>
          <w:sz w:val="20"/>
          <w:szCs w:val="20"/>
        </w:rPr>
      </w:pPr>
      <w:r w:rsidRPr="00A2786A">
        <w:rPr>
          <w:sz w:val="20"/>
          <w:szCs w:val="20"/>
        </w:rPr>
        <w:t>The following table</w:t>
      </w:r>
      <w:r w:rsidR="003A1458" w:rsidRPr="00A2786A">
        <w:rPr>
          <w:sz w:val="20"/>
          <w:szCs w:val="20"/>
        </w:rPr>
        <w:t>s</w:t>
      </w:r>
      <w:r w:rsidRPr="00A2786A">
        <w:rPr>
          <w:sz w:val="20"/>
          <w:szCs w:val="20"/>
        </w:rPr>
        <w:t xml:space="preserve"> disclose, in the aggregate, the net present value of the future net revenue attributable to the reserves categories in the table</w:t>
      </w:r>
      <w:r w:rsidR="00196F60" w:rsidRPr="00A2786A">
        <w:rPr>
          <w:sz w:val="20"/>
          <w:szCs w:val="20"/>
        </w:rPr>
        <w:t xml:space="preserve"> above</w:t>
      </w:r>
      <w:r w:rsidRPr="00A2786A">
        <w:rPr>
          <w:sz w:val="20"/>
          <w:szCs w:val="20"/>
        </w:rPr>
        <w:t xml:space="preserve">, estimated using </w:t>
      </w:r>
      <w:r w:rsidR="00AF33D4" w:rsidRPr="00A2786A">
        <w:rPr>
          <w:sz w:val="20"/>
          <w:szCs w:val="20"/>
        </w:rPr>
        <w:t xml:space="preserve">forecast </w:t>
      </w:r>
      <w:r w:rsidRPr="00A2786A">
        <w:rPr>
          <w:sz w:val="20"/>
          <w:szCs w:val="20"/>
        </w:rPr>
        <w:t>prices and costs, before</w:t>
      </w:r>
      <w:r w:rsidR="003A1458" w:rsidRPr="00A2786A">
        <w:rPr>
          <w:sz w:val="20"/>
          <w:szCs w:val="20"/>
        </w:rPr>
        <w:t xml:space="preserve"> and after</w:t>
      </w:r>
      <w:r w:rsidRPr="00A2786A">
        <w:rPr>
          <w:sz w:val="20"/>
          <w:szCs w:val="20"/>
        </w:rPr>
        <w:t xml:space="preserve"> deducting future income tax expenses, and calculated without discount and using discount rates of </w:t>
      </w:r>
      <w:r w:rsidR="003A1458" w:rsidRPr="00A2786A">
        <w:rPr>
          <w:sz w:val="20"/>
          <w:szCs w:val="20"/>
        </w:rPr>
        <w:t xml:space="preserve">5%, 10%, 15% </w:t>
      </w:r>
      <w:r w:rsidRPr="00A2786A">
        <w:rPr>
          <w:sz w:val="20"/>
          <w:szCs w:val="20"/>
        </w:rPr>
        <w:t xml:space="preserve">and </w:t>
      </w:r>
      <w:r w:rsidR="003A1458" w:rsidRPr="00A2786A">
        <w:rPr>
          <w:sz w:val="20"/>
          <w:szCs w:val="20"/>
        </w:rPr>
        <w:t>2</w:t>
      </w:r>
      <w:r w:rsidRPr="00A2786A">
        <w:rPr>
          <w:sz w:val="20"/>
          <w:szCs w:val="20"/>
        </w:rPr>
        <w:t>0%.</w:t>
      </w:r>
    </w:p>
    <w:p w14:paraId="7295C0CA" w14:textId="72AC0771" w:rsidR="004A2E5D" w:rsidRPr="00A2786A" w:rsidRDefault="004E7D42" w:rsidP="004A2E5D">
      <w:pPr>
        <w:pStyle w:val="BodyText"/>
        <w:keepNext/>
        <w:keepLines/>
        <w:spacing w:before="240" w:after="120"/>
        <w:ind w:left="1080"/>
        <w:jc w:val="center"/>
        <w:rPr>
          <w:rFonts w:ascii="Verdana" w:hAnsi="Verdana"/>
          <w:b/>
          <w:sz w:val="16"/>
          <w:szCs w:val="16"/>
        </w:rPr>
      </w:pPr>
      <w:r w:rsidRPr="00A2786A">
        <w:rPr>
          <w:rFonts w:ascii="Verdana" w:hAnsi="Verdana"/>
          <w:b/>
          <w:sz w:val="16"/>
          <w:szCs w:val="16"/>
        </w:rPr>
        <w:t>SUMMARY OF NET PRESENT VALUE OF FUTURE NET REVENUE</w:t>
      </w:r>
      <w:r w:rsidRPr="00A2786A">
        <w:rPr>
          <w:rFonts w:ascii="Verdana" w:hAnsi="Verdana"/>
          <w:b/>
          <w:sz w:val="16"/>
          <w:szCs w:val="16"/>
        </w:rPr>
        <w:br/>
        <w:t xml:space="preserve">AS OF DECEMBER 31, </w:t>
      </w:r>
      <w:r w:rsidR="002F1371" w:rsidRPr="00A2786A">
        <w:rPr>
          <w:rFonts w:ascii="Verdana" w:hAnsi="Verdana"/>
          <w:b/>
          <w:sz w:val="16"/>
          <w:szCs w:val="16"/>
        </w:rPr>
        <w:t>202</w:t>
      </w:r>
      <w:r w:rsidR="00DB41A8" w:rsidRPr="00A2786A">
        <w:rPr>
          <w:rFonts w:ascii="Verdana" w:hAnsi="Verdana"/>
          <w:b/>
          <w:sz w:val="16"/>
          <w:szCs w:val="16"/>
        </w:rPr>
        <w:t>4</w:t>
      </w:r>
      <w:r w:rsidRPr="00A2786A">
        <w:rPr>
          <w:rFonts w:ascii="Verdana" w:hAnsi="Verdana"/>
          <w:b/>
          <w:sz w:val="16"/>
          <w:szCs w:val="16"/>
        </w:rPr>
        <w:br/>
        <w:t>(</w:t>
      </w:r>
      <w:r w:rsidR="00AF33D4" w:rsidRPr="00A2786A">
        <w:rPr>
          <w:rFonts w:ascii="Verdana" w:hAnsi="Verdana"/>
          <w:b/>
          <w:sz w:val="16"/>
          <w:szCs w:val="16"/>
        </w:rPr>
        <w:t xml:space="preserve">Forecast </w:t>
      </w:r>
      <w:r w:rsidRPr="00A2786A">
        <w:rPr>
          <w:rFonts w:ascii="Verdana" w:hAnsi="Verdana"/>
          <w:b/>
          <w:sz w:val="16"/>
          <w:szCs w:val="16"/>
        </w:rPr>
        <w:t>Prices &amp; Costs)</w:t>
      </w:r>
      <w:r w:rsidR="004A2E5D" w:rsidRPr="00A2786A">
        <w:rPr>
          <w:rFonts w:ascii="Verdana" w:hAnsi="Verdana"/>
          <w:sz w:val="16"/>
          <w:szCs w:val="16"/>
        </w:rPr>
        <w:fldChar w:fldCharType="begin"/>
      </w:r>
      <w:r w:rsidR="004A2E5D" w:rsidRPr="00A2786A">
        <w:rPr>
          <w:rFonts w:ascii="Verdana" w:hAnsi="Verdana"/>
          <w:sz w:val="16"/>
          <w:szCs w:val="16"/>
        </w:rPr>
        <w:instrText xml:space="preserve"> LINK </w:instrText>
      </w:r>
      <w:r w:rsidR="002F1371" w:rsidRPr="00A2786A">
        <w:rPr>
          <w:rFonts w:ascii="Verdana" w:hAnsi="Verdana"/>
          <w:sz w:val="16"/>
          <w:szCs w:val="16"/>
        </w:rPr>
        <w:instrText xml:space="preserve">Excel.Sheet.12 "C:\\Users\\bmoss\\Dropbox\\Reserve Tables Dec 2019 Mar 20.xlsx" "PR Tables!R36C18:R46C23" </w:instrText>
      </w:r>
      <w:r w:rsidR="004A2E5D" w:rsidRPr="00A2786A">
        <w:rPr>
          <w:rFonts w:ascii="Verdana" w:hAnsi="Verdana"/>
          <w:sz w:val="16"/>
          <w:szCs w:val="16"/>
        </w:rPr>
        <w:instrText xml:space="preserve">\a \f 4 \h </w:instrText>
      </w:r>
      <w:r w:rsidR="00BA6193" w:rsidRPr="00A2786A">
        <w:rPr>
          <w:rFonts w:ascii="Verdana" w:hAnsi="Verdana"/>
          <w:sz w:val="16"/>
          <w:szCs w:val="16"/>
        </w:rPr>
        <w:instrText xml:space="preserve"> \* MERGEFORMAT </w:instrText>
      </w:r>
      <w:r w:rsidR="004A2E5D" w:rsidRPr="00A2786A">
        <w:rPr>
          <w:rFonts w:ascii="Verdana" w:hAnsi="Verdana"/>
          <w:sz w:val="16"/>
          <w:szCs w:val="16"/>
        </w:rPr>
        <w:fldChar w:fldCharType="separate"/>
      </w:r>
    </w:p>
    <w:tbl>
      <w:tblPr>
        <w:tblW w:w="6591" w:type="dxa"/>
        <w:tblInd w:w="1395" w:type="dxa"/>
        <w:tblCellMar>
          <w:left w:w="70" w:type="dxa"/>
          <w:right w:w="70" w:type="dxa"/>
        </w:tblCellMar>
        <w:tblLook w:val="04A0" w:firstRow="1" w:lastRow="0" w:firstColumn="1" w:lastColumn="0" w:noHBand="0" w:noVBand="1"/>
      </w:tblPr>
      <w:tblGrid>
        <w:gridCol w:w="2473"/>
        <w:gridCol w:w="801"/>
        <w:gridCol w:w="801"/>
        <w:gridCol w:w="858"/>
        <w:gridCol w:w="819"/>
        <w:gridCol w:w="839"/>
      </w:tblGrid>
      <w:tr w:rsidR="00BA3DDD" w:rsidRPr="00A2786A" w14:paraId="5B61123F" w14:textId="77777777" w:rsidTr="00F17A92">
        <w:trPr>
          <w:trHeight w:val="495"/>
        </w:trPr>
        <w:tc>
          <w:tcPr>
            <w:tcW w:w="2473" w:type="dxa"/>
            <w:vMerge w:val="restart"/>
            <w:tcBorders>
              <w:top w:val="nil"/>
              <w:left w:val="nil"/>
              <w:bottom w:val="nil"/>
              <w:right w:val="nil"/>
            </w:tcBorders>
            <w:shd w:val="clear" w:color="auto" w:fill="FFFFFF" w:themeFill="background1"/>
            <w:vAlign w:val="center"/>
            <w:hideMark/>
          </w:tcPr>
          <w:p w14:paraId="76120522" w14:textId="77777777" w:rsidR="004A2E5D" w:rsidRPr="00A2786A" w:rsidRDefault="004A2E5D" w:rsidP="004A2E5D">
            <w:pPr>
              <w:rPr>
                <w:sz w:val="16"/>
                <w:szCs w:val="16"/>
                <w:lang w:eastAsia="es-AR"/>
              </w:rPr>
            </w:pPr>
          </w:p>
        </w:tc>
        <w:tc>
          <w:tcPr>
            <w:tcW w:w="4118" w:type="dxa"/>
            <w:gridSpan w:val="5"/>
            <w:tcBorders>
              <w:top w:val="nil"/>
              <w:left w:val="nil"/>
              <w:bottom w:val="nil"/>
              <w:right w:val="nil"/>
            </w:tcBorders>
            <w:shd w:val="clear" w:color="auto" w:fill="FFFFFF" w:themeFill="background1"/>
            <w:vAlign w:val="center"/>
            <w:hideMark/>
          </w:tcPr>
          <w:p w14:paraId="2C5BDE04" w14:textId="705795F9" w:rsidR="004A2E5D" w:rsidRPr="00A2786A" w:rsidRDefault="004A2E5D" w:rsidP="004A2E5D">
            <w:pPr>
              <w:jc w:val="center"/>
              <w:rPr>
                <w:b/>
                <w:bCs/>
                <w:color w:val="000000"/>
                <w:sz w:val="16"/>
                <w:szCs w:val="16"/>
                <w:lang w:eastAsia="es-AR"/>
              </w:rPr>
            </w:pPr>
            <w:r w:rsidRPr="00A2786A">
              <w:rPr>
                <w:b/>
                <w:bCs/>
                <w:color w:val="000000"/>
                <w:sz w:val="16"/>
                <w:szCs w:val="16"/>
                <w:lang w:eastAsia="es-AR"/>
              </w:rPr>
              <w:t xml:space="preserve">Net Present Values of Future Net Revenue Before Income </w:t>
            </w:r>
            <w:r w:rsidR="00250B90" w:rsidRPr="00A2786A">
              <w:rPr>
                <w:b/>
                <w:bCs/>
                <w:color w:val="000000"/>
                <w:sz w:val="16"/>
                <w:szCs w:val="16"/>
                <w:lang w:eastAsia="es-AR"/>
              </w:rPr>
              <w:t>Taxes</w:t>
            </w:r>
            <w:r w:rsidR="00250B90" w:rsidRPr="00A2786A">
              <w:rPr>
                <w:b/>
                <w:bCs/>
                <w:color w:val="000000"/>
                <w:sz w:val="16"/>
                <w:szCs w:val="16"/>
                <w:vertAlign w:val="superscript"/>
                <w:lang w:eastAsia="es-AR"/>
              </w:rPr>
              <w:t xml:space="preserve"> (</w:t>
            </w:r>
            <w:r w:rsidRPr="00A2786A">
              <w:rPr>
                <w:b/>
                <w:bCs/>
                <w:color w:val="000000"/>
                <w:sz w:val="16"/>
                <w:szCs w:val="16"/>
                <w:vertAlign w:val="superscript"/>
                <w:lang w:eastAsia="es-AR"/>
              </w:rPr>
              <w:t>1)</w:t>
            </w:r>
          </w:p>
        </w:tc>
      </w:tr>
      <w:tr w:rsidR="00BA3DDD" w:rsidRPr="00A2786A" w14:paraId="21A0DF02" w14:textId="77777777" w:rsidTr="00F17A92">
        <w:trPr>
          <w:trHeight w:val="300"/>
        </w:trPr>
        <w:tc>
          <w:tcPr>
            <w:tcW w:w="2473" w:type="dxa"/>
            <w:vMerge/>
            <w:tcBorders>
              <w:top w:val="nil"/>
              <w:left w:val="nil"/>
              <w:bottom w:val="nil"/>
              <w:right w:val="nil"/>
            </w:tcBorders>
            <w:shd w:val="clear" w:color="auto" w:fill="FFFFFF" w:themeFill="background1"/>
            <w:vAlign w:val="center"/>
            <w:hideMark/>
          </w:tcPr>
          <w:p w14:paraId="3605F013" w14:textId="77777777" w:rsidR="004A2E5D" w:rsidRPr="00A2786A" w:rsidRDefault="004A2E5D" w:rsidP="004A2E5D">
            <w:pPr>
              <w:rPr>
                <w:sz w:val="16"/>
                <w:szCs w:val="16"/>
                <w:lang w:eastAsia="es-AR"/>
              </w:rPr>
            </w:pPr>
          </w:p>
        </w:tc>
        <w:tc>
          <w:tcPr>
            <w:tcW w:w="4118" w:type="dxa"/>
            <w:gridSpan w:val="5"/>
            <w:tcBorders>
              <w:top w:val="nil"/>
              <w:left w:val="nil"/>
              <w:bottom w:val="nil"/>
              <w:right w:val="nil"/>
            </w:tcBorders>
            <w:shd w:val="clear" w:color="auto" w:fill="FFFFFF" w:themeFill="background1"/>
            <w:vAlign w:val="center"/>
            <w:hideMark/>
          </w:tcPr>
          <w:p w14:paraId="1CD7E60A"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Discounted at (%/year)</w:t>
            </w:r>
          </w:p>
        </w:tc>
      </w:tr>
      <w:tr w:rsidR="008E5F6C" w:rsidRPr="00A2786A" w14:paraId="42727D39" w14:textId="77777777" w:rsidTr="00F17A92">
        <w:trPr>
          <w:trHeight w:val="435"/>
        </w:trPr>
        <w:tc>
          <w:tcPr>
            <w:tcW w:w="2473" w:type="dxa"/>
            <w:vMerge w:val="restart"/>
            <w:tcBorders>
              <w:top w:val="nil"/>
              <w:left w:val="nil"/>
              <w:bottom w:val="nil"/>
              <w:right w:val="nil"/>
            </w:tcBorders>
            <w:shd w:val="clear" w:color="auto" w:fill="FFFFFF" w:themeFill="background1"/>
            <w:vAlign w:val="center"/>
            <w:hideMark/>
          </w:tcPr>
          <w:p w14:paraId="33980D3E" w14:textId="63F79A81" w:rsidR="004A2E5D" w:rsidRPr="00A2786A" w:rsidRDefault="004A2E5D" w:rsidP="004A2E5D">
            <w:pPr>
              <w:rPr>
                <w:b/>
                <w:bCs/>
                <w:color w:val="000000"/>
                <w:sz w:val="16"/>
                <w:szCs w:val="16"/>
                <w:lang w:val="es-AR" w:eastAsia="es-AR"/>
              </w:rPr>
            </w:pPr>
            <w:r w:rsidRPr="00A2786A">
              <w:rPr>
                <w:b/>
                <w:bCs/>
                <w:color w:val="000000"/>
                <w:sz w:val="16"/>
                <w:szCs w:val="16"/>
                <w:lang w:val="es-AR" w:eastAsia="es-AR"/>
              </w:rPr>
              <w:t xml:space="preserve">Reserves </w:t>
            </w:r>
            <w:r w:rsidR="00250B90" w:rsidRPr="00A2786A">
              <w:rPr>
                <w:b/>
                <w:bCs/>
                <w:color w:val="000000"/>
                <w:sz w:val="16"/>
                <w:szCs w:val="16"/>
                <w:lang w:val="es-AR" w:eastAsia="es-AR"/>
              </w:rPr>
              <w:t>Category</w:t>
            </w:r>
            <w:r w:rsidR="00250B90" w:rsidRPr="00A2786A">
              <w:rPr>
                <w:b/>
                <w:bCs/>
                <w:color w:val="000000"/>
                <w:sz w:val="16"/>
                <w:szCs w:val="16"/>
                <w:vertAlign w:val="superscript"/>
                <w:lang w:val="es-AR" w:eastAsia="es-AR"/>
              </w:rPr>
              <w:t xml:space="preserve"> (</w:t>
            </w:r>
            <w:r w:rsidRPr="00A2786A">
              <w:rPr>
                <w:b/>
                <w:bCs/>
                <w:color w:val="000000"/>
                <w:sz w:val="16"/>
                <w:szCs w:val="16"/>
                <w:vertAlign w:val="superscript"/>
                <w:lang w:val="es-AR" w:eastAsia="es-AR"/>
              </w:rPr>
              <w:t>2)</w:t>
            </w:r>
          </w:p>
        </w:tc>
        <w:tc>
          <w:tcPr>
            <w:tcW w:w="801" w:type="dxa"/>
            <w:tcBorders>
              <w:top w:val="nil"/>
              <w:left w:val="nil"/>
              <w:bottom w:val="nil"/>
              <w:right w:val="nil"/>
            </w:tcBorders>
            <w:shd w:val="clear" w:color="auto" w:fill="FFFFFF" w:themeFill="background1"/>
            <w:vAlign w:val="center"/>
            <w:hideMark/>
          </w:tcPr>
          <w:p w14:paraId="6B40E23B"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0%</w:t>
            </w:r>
          </w:p>
        </w:tc>
        <w:tc>
          <w:tcPr>
            <w:tcW w:w="801" w:type="dxa"/>
            <w:tcBorders>
              <w:top w:val="nil"/>
              <w:left w:val="nil"/>
              <w:bottom w:val="nil"/>
              <w:right w:val="nil"/>
            </w:tcBorders>
            <w:shd w:val="clear" w:color="auto" w:fill="FFFFFF" w:themeFill="background1"/>
            <w:vAlign w:val="center"/>
            <w:hideMark/>
          </w:tcPr>
          <w:p w14:paraId="3333E20D"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5%</w:t>
            </w:r>
          </w:p>
        </w:tc>
        <w:tc>
          <w:tcPr>
            <w:tcW w:w="858" w:type="dxa"/>
            <w:tcBorders>
              <w:top w:val="nil"/>
              <w:left w:val="nil"/>
              <w:bottom w:val="nil"/>
              <w:right w:val="nil"/>
            </w:tcBorders>
            <w:shd w:val="clear" w:color="auto" w:fill="FFFFFF" w:themeFill="background1"/>
            <w:vAlign w:val="center"/>
            <w:hideMark/>
          </w:tcPr>
          <w:p w14:paraId="6873E6DC"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10%</w:t>
            </w:r>
          </w:p>
        </w:tc>
        <w:tc>
          <w:tcPr>
            <w:tcW w:w="819" w:type="dxa"/>
            <w:tcBorders>
              <w:top w:val="nil"/>
              <w:left w:val="nil"/>
              <w:bottom w:val="nil"/>
              <w:right w:val="nil"/>
            </w:tcBorders>
            <w:shd w:val="clear" w:color="auto" w:fill="FFFFFF" w:themeFill="background1"/>
            <w:vAlign w:val="center"/>
            <w:hideMark/>
          </w:tcPr>
          <w:p w14:paraId="416C7378"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15%</w:t>
            </w:r>
          </w:p>
        </w:tc>
        <w:tc>
          <w:tcPr>
            <w:tcW w:w="839" w:type="dxa"/>
            <w:tcBorders>
              <w:top w:val="nil"/>
              <w:left w:val="nil"/>
              <w:bottom w:val="nil"/>
              <w:right w:val="nil"/>
            </w:tcBorders>
            <w:shd w:val="clear" w:color="auto" w:fill="FFFFFF" w:themeFill="background1"/>
            <w:vAlign w:val="center"/>
            <w:hideMark/>
          </w:tcPr>
          <w:p w14:paraId="78968B7F"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20%</w:t>
            </w:r>
          </w:p>
        </w:tc>
      </w:tr>
      <w:tr w:rsidR="008E5F6C" w:rsidRPr="00A2786A" w14:paraId="2A54EFED" w14:textId="77777777" w:rsidTr="00F17A92">
        <w:trPr>
          <w:trHeight w:val="315"/>
        </w:trPr>
        <w:tc>
          <w:tcPr>
            <w:tcW w:w="2473" w:type="dxa"/>
            <w:vMerge/>
            <w:tcBorders>
              <w:top w:val="nil"/>
              <w:left w:val="nil"/>
              <w:bottom w:val="nil"/>
              <w:right w:val="nil"/>
            </w:tcBorders>
            <w:shd w:val="clear" w:color="auto" w:fill="FFFFFF" w:themeFill="background1"/>
            <w:vAlign w:val="center"/>
            <w:hideMark/>
          </w:tcPr>
          <w:p w14:paraId="3D3AD7BD" w14:textId="77777777" w:rsidR="004A2E5D" w:rsidRPr="00A2786A" w:rsidRDefault="004A2E5D" w:rsidP="004A2E5D">
            <w:pPr>
              <w:rPr>
                <w:b/>
                <w:bCs/>
                <w:color w:val="000000"/>
                <w:sz w:val="16"/>
                <w:szCs w:val="16"/>
                <w:lang w:val="es-AR" w:eastAsia="es-AR"/>
              </w:rPr>
            </w:pPr>
          </w:p>
        </w:tc>
        <w:tc>
          <w:tcPr>
            <w:tcW w:w="801" w:type="dxa"/>
            <w:tcBorders>
              <w:top w:val="nil"/>
              <w:left w:val="nil"/>
              <w:bottom w:val="nil"/>
              <w:right w:val="nil"/>
            </w:tcBorders>
            <w:shd w:val="clear" w:color="auto" w:fill="FFFFFF" w:themeFill="background1"/>
            <w:vAlign w:val="center"/>
            <w:hideMark/>
          </w:tcPr>
          <w:p w14:paraId="157333F2"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MMUS$</w:t>
            </w:r>
          </w:p>
        </w:tc>
        <w:tc>
          <w:tcPr>
            <w:tcW w:w="801" w:type="dxa"/>
            <w:tcBorders>
              <w:top w:val="nil"/>
              <w:left w:val="nil"/>
              <w:bottom w:val="nil"/>
              <w:right w:val="nil"/>
            </w:tcBorders>
            <w:shd w:val="clear" w:color="auto" w:fill="FFFFFF" w:themeFill="background1"/>
            <w:vAlign w:val="center"/>
            <w:hideMark/>
          </w:tcPr>
          <w:p w14:paraId="7F9C8CEC"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MMUS$</w:t>
            </w:r>
          </w:p>
        </w:tc>
        <w:tc>
          <w:tcPr>
            <w:tcW w:w="858" w:type="dxa"/>
            <w:tcBorders>
              <w:top w:val="nil"/>
              <w:left w:val="nil"/>
              <w:bottom w:val="nil"/>
              <w:right w:val="nil"/>
            </w:tcBorders>
            <w:shd w:val="clear" w:color="auto" w:fill="FFFFFF" w:themeFill="background1"/>
            <w:vAlign w:val="center"/>
            <w:hideMark/>
          </w:tcPr>
          <w:p w14:paraId="33D73AE9"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MMUS$</w:t>
            </w:r>
          </w:p>
        </w:tc>
        <w:tc>
          <w:tcPr>
            <w:tcW w:w="819" w:type="dxa"/>
            <w:tcBorders>
              <w:top w:val="nil"/>
              <w:left w:val="nil"/>
              <w:bottom w:val="nil"/>
              <w:right w:val="nil"/>
            </w:tcBorders>
            <w:shd w:val="clear" w:color="auto" w:fill="FFFFFF" w:themeFill="background1"/>
            <w:vAlign w:val="center"/>
            <w:hideMark/>
          </w:tcPr>
          <w:p w14:paraId="62FBDC2D"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MMUS$</w:t>
            </w:r>
          </w:p>
        </w:tc>
        <w:tc>
          <w:tcPr>
            <w:tcW w:w="839" w:type="dxa"/>
            <w:tcBorders>
              <w:top w:val="nil"/>
              <w:left w:val="nil"/>
              <w:bottom w:val="nil"/>
              <w:right w:val="nil"/>
            </w:tcBorders>
            <w:shd w:val="clear" w:color="auto" w:fill="FFFFFF" w:themeFill="background1"/>
            <w:vAlign w:val="center"/>
            <w:hideMark/>
          </w:tcPr>
          <w:p w14:paraId="733A9AE3" w14:textId="77777777" w:rsidR="004A2E5D" w:rsidRPr="00A2786A" w:rsidRDefault="004A2E5D" w:rsidP="004A2E5D">
            <w:pPr>
              <w:jc w:val="center"/>
              <w:rPr>
                <w:b/>
                <w:bCs/>
                <w:color w:val="000000"/>
                <w:sz w:val="16"/>
                <w:szCs w:val="16"/>
                <w:lang w:val="es-AR" w:eastAsia="es-AR"/>
              </w:rPr>
            </w:pPr>
            <w:r w:rsidRPr="00A2786A">
              <w:rPr>
                <w:b/>
                <w:bCs/>
                <w:color w:val="000000"/>
                <w:sz w:val="16"/>
                <w:szCs w:val="16"/>
                <w:lang w:val="es-AR" w:eastAsia="es-AR"/>
              </w:rPr>
              <w:t>MMUS$</w:t>
            </w:r>
          </w:p>
        </w:tc>
      </w:tr>
      <w:tr w:rsidR="008E5F6C" w:rsidRPr="00A2786A" w14:paraId="5B192382" w14:textId="77777777" w:rsidTr="007919F2">
        <w:trPr>
          <w:trHeight w:val="300"/>
        </w:trPr>
        <w:tc>
          <w:tcPr>
            <w:tcW w:w="2473" w:type="dxa"/>
            <w:tcBorders>
              <w:top w:val="nil"/>
              <w:left w:val="nil"/>
              <w:bottom w:val="nil"/>
              <w:right w:val="nil"/>
            </w:tcBorders>
            <w:shd w:val="clear" w:color="auto" w:fill="FFFFFF" w:themeFill="background1"/>
            <w:vAlign w:val="center"/>
            <w:hideMark/>
          </w:tcPr>
          <w:p w14:paraId="17851B83" w14:textId="77777777" w:rsidR="004A2E5D" w:rsidRPr="00A2786A" w:rsidRDefault="004A2E5D" w:rsidP="007919F2">
            <w:pPr>
              <w:rPr>
                <w:color w:val="000000"/>
                <w:sz w:val="16"/>
                <w:szCs w:val="16"/>
                <w:lang w:val="es-AR" w:eastAsia="es-AR"/>
              </w:rPr>
            </w:pPr>
            <w:r w:rsidRPr="00A2786A">
              <w:rPr>
                <w:color w:val="000000"/>
                <w:sz w:val="16"/>
                <w:szCs w:val="16"/>
                <w:lang w:val="es-AR" w:eastAsia="es-AR"/>
              </w:rPr>
              <w:t>Proved:</w:t>
            </w:r>
          </w:p>
        </w:tc>
        <w:tc>
          <w:tcPr>
            <w:tcW w:w="801" w:type="dxa"/>
            <w:tcBorders>
              <w:top w:val="single" w:sz="4" w:space="0" w:color="auto"/>
              <w:left w:val="nil"/>
              <w:bottom w:val="nil"/>
              <w:right w:val="nil"/>
            </w:tcBorders>
            <w:shd w:val="clear" w:color="auto" w:fill="FFFFFF" w:themeFill="background1"/>
            <w:vAlign w:val="center"/>
            <w:hideMark/>
          </w:tcPr>
          <w:p w14:paraId="687D1DD8" w14:textId="77777777" w:rsidR="004A2E5D" w:rsidRPr="00A2786A" w:rsidRDefault="004A2E5D" w:rsidP="004A2E5D">
            <w:pPr>
              <w:jc w:val="both"/>
              <w:rPr>
                <w:color w:val="000000"/>
                <w:sz w:val="16"/>
                <w:szCs w:val="16"/>
                <w:lang w:val="es-AR" w:eastAsia="es-AR"/>
              </w:rPr>
            </w:pPr>
            <w:r w:rsidRPr="00A2786A">
              <w:rPr>
                <w:color w:val="000000"/>
                <w:sz w:val="16"/>
                <w:szCs w:val="16"/>
                <w:lang w:val="es-AR" w:eastAsia="es-AR"/>
              </w:rPr>
              <w:t> </w:t>
            </w:r>
          </w:p>
        </w:tc>
        <w:tc>
          <w:tcPr>
            <w:tcW w:w="801" w:type="dxa"/>
            <w:tcBorders>
              <w:top w:val="single" w:sz="4" w:space="0" w:color="auto"/>
              <w:left w:val="nil"/>
              <w:bottom w:val="nil"/>
              <w:right w:val="nil"/>
            </w:tcBorders>
            <w:shd w:val="clear" w:color="auto" w:fill="FFFFFF" w:themeFill="background1"/>
            <w:vAlign w:val="center"/>
            <w:hideMark/>
          </w:tcPr>
          <w:p w14:paraId="22EEDC95" w14:textId="77777777" w:rsidR="004A2E5D" w:rsidRPr="00A2786A" w:rsidRDefault="004A2E5D" w:rsidP="004A2E5D">
            <w:pPr>
              <w:jc w:val="both"/>
              <w:rPr>
                <w:color w:val="000000"/>
                <w:sz w:val="16"/>
                <w:szCs w:val="16"/>
                <w:lang w:val="es-AR" w:eastAsia="es-AR"/>
              </w:rPr>
            </w:pPr>
            <w:r w:rsidRPr="00A2786A">
              <w:rPr>
                <w:color w:val="000000"/>
                <w:sz w:val="16"/>
                <w:szCs w:val="16"/>
                <w:lang w:val="es-AR" w:eastAsia="es-AR"/>
              </w:rPr>
              <w:t> </w:t>
            </w:r>
          </w:p>
        </w:tc>
        <w:tc>
          <w:tcPr>
            <w:tcW w:w="858" w:type="dxa"/>
            <w:tcBorders>
              <w:top w:val="single" w:sz="4" w:space="0" w:color="auto"/>
              <w:left w:val="nil"/>
              <w:bottom w:val="nil"/>
              <w:right w:val="nil"/>
            </w:tcBorders>
            <w:shd w:val="clear" w:color="auto" w:fill="FFFFFF" w:themeFill="background1"/>
            <w:vAlign w:val="center"/>
            <w:hideMark/>
          </w:tcPr>
          <w:p w14:paraId="4091164C" w14:textId="77777777" w:rsidR="004A2E5D" w:rsidRPr="00A2786A" w:rsidRDefault="004A2E5D" w:rsidP="004A2E5D">
            <w:pPr>
              <w:jc w:val="both"/>
              <w:rPr>
                <w:color w:val="000000"/>
                <w:sz w:val="16"/>
                <w:szCs w:val="16"/>
                <w:lang w:val="es-AR" w:eastAsia="es-AR"/>
              </w:rPr>
            </w:pPr>
            <w:r w:rsidRPr="00A2786A">
              <w:rPr>
                <w:color w:val="000000"/>
                <w:sz w:val="16"/>
                <w:szCs w:val="16"/>
                <w:lang w:val="es-AR" w:eastAsia="es-AR"/>
              </w:rPr>
              <w:t> </w:t>
            </w:r>
          </w:p>
        </w:tc>
        <w:tc>
          <w:tcPr>
            <w:tcW w:w="819" w:type="dxa"/>
            <w:tcBorders>
              <w:top w:val="single" w:sz="4" w:space="0" w:color="auto"/>
              <w:left w:val="nil"/>
              <w:bottom w:val="nil"/>
              <w:right w:val="nil"/>
            </w:tcBorders>
            <w:shd w:val="clear" w:color="auto" w:fill="FFFFFF" w:themeFill="background1"/>
            <w:vAlign w:val="center"/>
            <w:hideMark/>
          </w:tcPr>
          <w:p w14:paraId="1911371B" w14:textId="77777777" w:rsidR="004A2E5D" w:rsidRPr="00A2786A" w:rsidRDefault="004A2E5D" w:rsidP="004A2E5D">
            <w:pPr>
              <w:jc w:val="both"/>
              <w:rPr>
                <w:color w:val="000000"/>
                <w:sz w:val="16"/>
                <w:szCs w:val="16"/>
                <w:lang w:val="es-AR" w:eastAsia="es-AR"/>
              </w:rPr>
            </w:pPr>
            <w:r w:rsidRPr="00A2786A">
              <w:rPr>
                <w:color w:val="000000"/>
                <w:sz w:val="16"/>
                <w:szCs w:val="16"/>
                <w:lang w:val="es-AR" w:eastAsia="es-AR"/>
              </w:rPr>
              <w:t> </w:t>
            </w:r>
          </w:p>
        </w:tc>
        <w:tc>
          <w:tcPr>
            <w:tcW w:w="839" w:type="dxa"/>
            <w:tcBorders>
              <w:top w:val="single" w:sz="4" w:space="0" w:color="auto"/>
              <w:left w:val="nil"/>
              <w:bottom w:val="nil"/>
              <w:right w:val="nil"/>
            </w:tcBorders>
            <w:shd w:val="clear" w:color="auto" w:fill="FFFFFF" w:themeFill="background1"/>
            <w:vAlign w:val="center"/>
            <w:hideMark/>
          </w:tcPr>
          <w:p w14:paraId="447BC3F3" w14:textId="77777777" w:rsidR="004A2E5D" w:rsidRPr="00A2786A" w:rsidRDefault="004A2E5D" w:rsidP="004A2E5D">
            <w:pPr>
              <w:jc w:val="both"/>
              <w:rPr>
                <w:color w:val="000000"/>
                <w:sz w:val="16"/>
                <w:szCs w:val="16"/>
                <w:lang w:val="es-AR" w:eastAsia="es-AR"/>
              </w:rPr>
            </w:pPr>
            <w:r w:rsidRPr="00A2786A">
              <w:rPr>
                <w:color w:val="000000"/>
                <w:sz w:val="16"/>
                <w:szCs w:val="16"/>
                <w:lang w:val="es-AR" w:eastAsia="es-AR"/>
              </w:rPr>
              <w:t> </w:t>
            </w:r>
          </w:p>
        </w:tc>
      </w:tr>
      <w:tr w:rsidR="008E5F6C" w:rsidRPr="00A2786A" w14:paraId="3E6CE1B8" w14:textId="77777777" w:rsidTr="007919F2">
        <w:trPr>
          <w:trHeight w:val="315"/>
        </w:trPr>
        <w:tc>
          <w:tcPr>
            <w:tcW w:w="2473" w:type="dxa"/>
            <w:tcBorders>
              <w:top w:val="nil"/>
              <w:left w:val="nil"/>
              <w:bottom w:val="nil"/>
              <w:right w:val="nil"/>
            </w:tcBorders>
            <w:shd w:val="clear" w:color="auto" w:fill="FFFFFF" w:themeFill="background1"/>
            <w:vAlign w:val="center"/>
            <w:hideMark/>
          </w:tcPr>
          <w:p w14:paraId="6E741115" w14:textId="1E100717" w:rsidR="00041033" w:rsidRPr="00A2786A" w:rsidRDefault="00041033" w:rsidP="007919F2">
            <w:pPr>
              <w:rPr>
                <w:color w:val="000000"/>
                <w:sz w:val="16"/>
                <w:szCs w:val="16"/>
                <w:lang w:val="es-AR" w:eastAsia="es-AR"/>
              </w:rPr>
            </w:pPr>
            <w:r w:rsidRPr="00A2786A">
              <w:rPr>
                <w:color w:val="000000"/>
                <w:sz w:val="16"/>
                <w:szCs w:val="16"/>
                <w:lang w:val="es-AR" w:eastAsia="es-AR"/>
              </w:rPr>
              <w:t xml:space="preserve">Developed </w:t>
            </w:r>
            <w:r w:rsidR="00AA64DD" w:rsidRPr="00A2786A">
              <w:rPr>
                <w:color w:val="000000"/>
                <w:sz w:val="16"/>
                <w:szCs w:val="16"/>
                <w:lang w:val="es-AR" w:eastAsia="es-AR"/>
              </w:rPr>
              <w:t>Producing</w:t>
            </w:r>
          </w:p>
        </w:tc>
        <w:tc>
          <w:tcPr>
            <w:tcW w:w="801" w:type="dxa"/>
            <w:tcBorders>
              <w:top w:val="nil"/>
              <w:left w:val="nil"/>
              <w:bottom w:val="nil"/>
              <w:right w:val="nil"/>
            </w:tcBorders>
            <w:shd w:val="clear" w:color="auto" w:fill="FFFFFF" w:themeFill="background1"/>
            <w:vAlign w:val="center"/>
            <w:hideMark/>
          </w:tcPr>
          <w:p w14:paraId="75C0512E" w14:textId="6F47E278" w:rsidR="00041033" w:rsidRPr="00A2786A" w:rsidRDefault="00456D0C" w:rsidP="00041033">
            <w:pPr>
              <w:jc w:val="center"/>
              <w:rPr>
                <w:color w:val="000000"/>
                <w:sz w:val="16"/>
                <w:szCs w:val="16"/>
                <w:lang w:val="es-AR" w:eastAsia="es-AR"/>
              </w:rPr>
            </w:pPr>
            <w:r w:rsidRPr="00A2786A">
              <w:rPr>
                <w:sz w:val="16"/>
                <w:szCs w:val="16"/>
              </w:rPr>
              <w:t>-87.7</w:t>
            </w:r>
          </w:p>
        </w:tc>
        <w:tc>
          <w:tcPr>
            <w:tcW w:w="801" w:type="dxa"/>
            <w:tcBorders>
              <w:top w:val="nil"/>
              <w:left w:val="nil"/>
              <w:bottom w:val="nil"/>
              <w:right w:val="nil"/>
            </w:tcBorders>
            <w:shd w:val="clear" w:color="auto" w:fill="FFFFFF" w:themeFill="background1"/>
            <w:vAlign w:val="center"/>
            <w:hideMark/>
          </w:tcPr>
          <w:p w14:paraId="6DF749F8" w14:textId="1E0B3E0E" w:rsidR="00041033" w:rsidRPr="00A2786A" w:rsidRDefault="00456D0C" w:rsidP="00041033">
            <w:pPr>
              <w:jc w:val="center"/>
              <w:rPr>
                <w:color w:val="000000"/>
                <w:sz w:val="16"/>
                <w:szCs w:val="16"/>
                <w:lang w:val="es-AR" w:eastAsia="es-AR"/>
              </w:rPr>
            </w:pPr>
            <w:r w:rsidRPr="00A2786A">
              <w:rPr>
                <w:sz w:val="16"/>
                <w:szCs w:val="16"/>
              </w:rPr>
              <w:t>-55.7</w:t>
            </w:r>
          </w:p>
        </w:tc>
        <w:tc>
          <w:tcPr>
            <w:tcW w:w="858" w:type="dxa"/>
            <w:tcBorders>
              <w:top w:val="nil"/>
              <w:left w:val="nil"/>
              <w:bottom w:val="nil"/>
              <w:right w:val="nil"/>
            </w:tcBorders>
            <w:shd w:val="clear" w:color="auto" w:fill="FFFFFF" w:themeFill="background1"/>
            <w:vAlign w:val="center"/>
            <w:hideMark/>
          </w:tcPr>
          <w:p w14:paraId="42DD9D77" w14:textId="4A05ECF0" w:rsidR="00041033" w:rsidRPr="00A2786A" w:rsidRDefault="00456D0C" w:rsidP="00041033">
            <w:pPr>
              <w:jc w:val="center"/>
              <w:rPr>
                <w:color w:val="000000"/>
                <w:sz w:val="16"/>
                <w:szCs w:val="16"/>
                <w:lang w:val="es-AR" w:eastAsia="es-AR"/>
              </w:rPr>
            </w:pPr>
            <w:r w:rsidRPr="00A2786A">
              <w:rPr>
                <w:sz w:val="16"/>
                <w:szCs w:val="16"/>
              </w:rPr>
              <w:t>-33.9</w:t>
            </w:r>
          </w:p>
        </w:tc>
        <w:tc>
          <w:tcPr>
            <w:tcW w:w="819" w:type="dxa"/>
            <w:tcBorders>
              <w:top w:val="nil"/>
              <w:left w:val="nil"/>
              <w:bottom w:val="nil"/>
              <w:right w:val="nil"/>
            </w:tcBorders>
            <w:shd w:val="clear" w:color="auto" w:fill="FFFFFF" w:themeFill="background1"/>
            <w:vAlign w:val="center"/>
            <w:hideMark/>
          </w:tcPr>
          <w:p w14:paraId="4AEEA723" w14:textId="605F9F28" w:rsidR="00041033" w:rsidRPr="00A2786A" w:rsidRDefault="00456D0C" w:rsidP="00041033">
            <w:pPr>
              <w:jc w:val="center"/>
              <w:rPr>
                <w:color w:val="000000"/>
                <w:sz w:val="16"/>
                <w:szCs w:val="16"/>
                <w:lang w:val="es-AR" w:eastAsia="es-AR"/>
              </w:rPr>
            </w:pPr>
            <w:r w:rsidRPr="00A2786A">
              <w:rPr>
                <w:sz w:val="16"/>
                <w:szCs w:val="16"/>
              </w:rPr>
              <w:t>-18.9</w:t>
            </w:r>
          </w:p>
        </w:tc>
        <w:tc>
          <w:tcPr>
            <w:tcW w:w="839" w:type="dxa"/>
            <w:tcBorders>
              <w:top w:val="nil"/>
              <w:left w:val="nil"/>
              <w:bottom w:val="nil"/>
              <w:right w:val="nil"/>
            </w:tcBorders>
            <w:shd w:val="clear" w:color="auto" w:fill="FFFFFF" w:themeFill="background1"/>
            <w:vAlign w:val="center"/>
            <w:hideMark/>
          </w:tcPr>
          <w:p w14:paraId="408EB970" w14:textId="4F69B7EB" w:rsidR="00041033" w:rsidRPr="00A2786A" w:rsidRDefault="00456D0C" w:rsidP="00041033">
            <w:pPr>
              <w:jc w:val="center"/>
              <w:rPr>
                <w:color w:val="000000"/>
                <w:sz w:val="16"/>
                <w:szCs w:val="16"/>
                <w:lang w:val="es-AR" w:eastAsia="es-AR"/>
              </w:rPr>
            </w:pPr>
            <w:r w:rsidRPr="00A2786A">
              <w:rPr>
                <w:sz w:val="16"/>
                <w:szCs w:val="16"/>
              </w:rPr>
              <w:t>-8.6</w:t>
            </w:r>
          </w:p>
        </w:tc>
      </w:tr>
      <w:tr w:rsidR="00AA64DD" w:rsidRPr="00A2786A" w14:paraId="2ECB9714" w14:textId="77777777" w:rsidTr="007919F2">
        <w:trPr>
          <w:trHeight w:val="315"/>
        </w:trPr>
        <w:tc>
          <w:tcPr>
            <w:tcW w:w="2473" w:type="dxa"/>
            <w:tcBorders>
              <w:top w:val="nil"/>
              <w:left w:val="nil"/>
              <w:bottom w:val="nil"/>
              <w:right w:val="nil"/>
            </w:tcBorders>
            <w:shd w:val="clear" w:color="auto" w:fill="FFFFFF" w:themeFill="background1"/>
            <w:vAlign w:val="center"/>
          </w:tcPr>
          <w:p w14:paraId="22D71045" w14:textId="4808D4AC" w:rsidR="00AA64DD" w:rsidRPr="00A2786A" w:rsidRDefault="00AA64DD" w:rsidP="007919F2">
            <w:pPr>
              <w:rPr>
                <w:color w:val="000000"/>
                <w:sz w:val="16"/>
                <w:szCs w:val="16"/>
                <w:lang w:val="es-AR" w:eastAsia="es-AR"/>
              </w:rPr>
            </w:pPr>
            <w:r w:rsidRPr="00A2786A">
              <w:rPr>
                <w:color w:val="000000"/>
                <w:sz w:val="16"/>
                <w:szCs w:val="16"/>
                <w:lang w:val="es-AR" w:eastAsia="es-AR"/>
              </w:rPr>
              <w:t>Developed Non</w:t>
            </w:r>
            <w:r w:rsidR="0040750F" w:rsidRPr="00A2786A">
              <w:rPr>
                <w:color w:val="000000"/>
                <w:sz w:val="16"/>
                <w:szCs w:val="16"/>
                <w:lang w:val="es-AR" w:eastAsia="es-AR"/>
              </w:rPr>
              <w:t>-</w:t>
            </w:r>
            <w:r w:rsidRPr="00A2786A">
              <w:rPr>
                <w:color w:val="000000"/>
                <w:sz w:val="16"/>
                <w:szCs w:val="16"/>
                <w:lang w:val="es-AR" w:eastAsia="es-AR"/>
              </w:rPr>
              <w:t>Producing</w:t>
            </w:r>
          </w:p>
        </w:tc>
        <w:tc>
          <w:tcPr>
            <w:tcW w:w="801" w:type="dxa"/>
            <w:tcBorders>
              <w:top w:val="nil"/>
              <w:left w:val="nil"/>
              <w:bottom w:val="nil"/>
              <w:right w:val="nil"/>
            </w:tcBorders>
            <w:shd w:val="clear" w:color="auto" w:fill="FFFFFF" w:themeFill="background1"/>
            <w:vAlign w:val="center"/>
          </w:tcPr>
          <w:p w14:paraId="2F97D958" w14:textId="1D6E548D" w:rsidR="00AA64DD" w:rsidRPr="00A2786A" w:rsidRDefault="00AA64DD" w:rsidP="002D7827">
            <w:pPr>
              <w:jc w:val="center"/>
              <w:rPr>
                <w:sz w:val="16"/>
                <w:szCs w:val="16"/>
              </w:rPr>
            </w:pPr>
            <w:r w:rsidRPr="00A2786A">
              <w:rPr>
                <w:sz w:val="16"/>
                <w:szCs w:val="16"/>
              </w:rPr>
              <w:t>-</w:t>
            </w:r>
          </w:p>
        </w:tc>
        <w:tc>
          <w:tcPr>
            <w:tcW w:w="801" w:type="dxa"/>
            <w:tcBorders>
              <w:top w:val="nil"/>
              <w:left w:val="nil"/>
              <w:bottom w:val="nil"/>
              <w:right w:val="nil"/>
            </w:tcBorders>
            <w:shd w:val="clear" w:color="auto" w:fill="FFFFFF" w:themeFill="background1"/>
            <w:vAlign w:val="center"/>
          </w:tcPr>
          <w:p w14:paraId="6F79DA3C" w14:textId="1152FCDF" w:rsidR="00AA64DD" w:rsidRPr="00A2786A" w:rsidRDefault="00AA64DD" w:rsidP="002D7827">
            <w:pPr>
              <w:jc w:val="center"/>
              <w:rPr>
                <w:sz w:val="16"/>
                <w:szCs w:val="16"/>
              </w:rPr>
            </w:pPr>
            <w:r w:rsidRPr="00A2786A">
              <w:rPr>
                <w:sz w:val="16"/>
                <w:szCs w:val="16"/>
              </w:rPr>
              <w:t>-</w:t>
            </w:r>
          </w:p>
        </w:tc>
        <w:tc>
          <w:tcPr>
            <w:tcW w:w="858" w:type="dxa"/>
            <w:tcBorders>
              <w:top w:val="nil"/>
              <w:left w:val="nil"/>
              <w:bottom w:val="nil"/>
              <w:right w:val="nil"/>
            </w:tcBorders>
            <w:shd w:val="clear" w:color="auto" w:fill="FFFFFF" w:themeFill="background1"/>
            <w:vAlign w:val="center"/>
          </w:tcPr>
          <w:p w14:paraId="30B624C3" w14:textId="327370B3" w:rsidR="00AA64DD" w:rsidRPr="00A2786A" w:rsidRDefault="00AA64DD" w:rsidP="002D7827">
            <w:pPr>
              <w:jc w:val="center"/>
              <w:rPr>
                <w:sz w:val="16"/>
                <w:szCs w:val="16"/>
              </w:rPr>
            </w:pPr>
            <w:r w:rsidRPr="00A2786A">
              <w:rPr>
                <w:sz w:val="16"/>
                <w:szCs w:val="16"/>
              </w:rPr>
              <w:t>-</w:t>
            </w:r>
          </w:p>
        </w:tc>
        <w:tc>
          <w:tcPr>
            <w:tcW w:w="819" w:type="dxa"/>
            <w:tcBorders>
              <w:top w:val="nil"/>
              <w:left w:val="nil"/>
              <w:bottom w:val="nil"/>
              <w:right w:val="nil"/>
            </w:tcBorders>
            <w:shd w:val="clear" w:color="auto" w:fill="FFFFFF" w:themeFill="background1"/>
            <w:vAlign w:val="center"/>
          </w:tcPr>
          <w:p w14:paraId="56AD1525" w14:textId="7BD62CB1" w:rsidR="00AA64DD" w:rsidRPr="00A2786A" w:rsidRDefault="00AA64DD" w:rsidP="002D7827">
            <w:pPr>
              <w:jc w:val="center"/>
              <w:rPr>
                <w:sz w:val="16"/>
                <w:szCs w:val="16"/>
              </w:rPr>
            </w:pPr>
            <w:r w:rsidRPr="00A2786A">
              <w:rPr>
                <w:sz w:val="16"/>
                <w:szCs w:val="16"/>
              </w:rPr>
              <w:t>-</w:t>
            </w:r>
          </w:p>
        </w:tc>
        <w:tc>
          <w:tcPr>
            <w:tcW w:w="839" w:type="dxa"/>
            <w:tcBorders>
              <w:top w:val="nil"/>
              <w:left w:val="nil"/>
              <w:bottom w:val="nil"/>
              <w:right w:val="nil"/>
            </w:tcBorders>
            <w:shd w:val="clear" w:color="auto" w:fill="FFFFFF" w:themeFill="background1"/>
            <w:vAlign w:val="center"/>
          </w:tcPr>
          <w:p w14:paraId="49111125" w14:textId="465FC2F7" w:rsidR="00AA64DD" w:rsidRPr="00A2786A" w:rsidRDefault="00AA64DD" w:rsidP="002D7827">
            <w:pPr>
              <w:jc w:val="center"/>
              <w:rPr>
                <w:sz w:val="16"/>
                <w:szCs w:val="16"/>
              </w:rPr>
            </w:pPr>
            <w:r w:rsidRPr="00A2786A">
              <w:rPr>
                <w:sz w:val="16"/>
                <w:szCs w:val="16"/>
              </w:rPr>
              <w:t>-</w:t>
            </w:r>
          </w:p>
        </w:tc>
      </w:tr>
      <w:tr w:rsidR="008E5F6C" w:rsidRPr="00A2786A" w14:paraId="58D53964" w14:textId="77777777" w:rsidTr="007919F2">
        <w:trPr>
          <w:trHeight w:val="315"/>
        </w:trPr>
        <w:tc>
          <w:tcPr>
            <w:tcW w:w="2473" w:type="dxa"/>
            <w:tcBorders>
              <w:top w:val="nil"/>
              <w:left w:val="nil"/>
              <w:bottom w:val="nil"/>
              <w:right w:val="nil"/>
            </w:tcBorders>
            <w:shd w:val="clear" w:color="auto" w:fill="FFFFFF" w:themeFill="background1"/>
            <w:vAlign w:val="center"/>
            <w:hideMark/>
          </w:tcPr>
          <w:p w14:paraId="721C1620" w14:textId="5021B51F" w:rsidR="002D7827" w:rsidRPr="00A2786A" w:rsidRDefault="00456D0C" w:rsidP="007919F2">
            <w:pPr>
              <w:rPr>
                <w:color w:val="000000"/>
                <w:sz w:val="16"/>
                <w:szCs w:val="16"/>
                <w:lang w:val="es-AR" w:eastAsia="es-AR"/>
              </w:rPr>
            </w:pPr>
            <w:r w:rsidRPr="00A2786A">
              <w:rPr>
                <w:color w:val="000000"/>
                <w:sz w:val="16"/>
                <w:szCs w:val="16"/>
                <w:lang w:val="es-AR" w:eastAsia="es-AR"/>
              </w:rPr>
              <w:t>Undeveloped</w:t>
            </w:r>
          </w:p>
        </w:tc>
        <w:tc>
          <w:tcPr>
            <w:tcW w:w="801" w:type="dxa"/>
            <w:tcBorders>
              <w:top w:val="nil"/>
              <w:left w:val="nil"/>
              <w:bottom w:val="nil"/>
              <w:right w:val="nil"/>
            </w:tcBorders>
            <w:shd w:val="clear" w:color="auto" w:fill="FFFFFF" w:themeFill="background1"/>
            <w:vAlign w:val="center"/>
            <w:hideMark/>
          </w:tcPr>
          <w:p w14:paraId="3A89B200" w14:textId="33C81832" w:rsidR="002D7827" w:rsidRPr="00A2786A" w:rsidRDefault="00456D0C" w:rsidP="002D7827">
            <w:pPr>
              <w:jc w:val="center"/>
              <w:rPr>
                <w:color w:val="000000"/>
                <w:sz w:val="16"/>
                <w:szCs w:val="16"/>
                <w:lang w:val="es-AR" w:eastAsia="es-AR"/>
              </w:rPr>
            </w:pPr>
            <w:r w:rsidRPr="00A2786A">
              <w:rPr>
                <w:sz w:val="16"/>
                <w:szCs w:val="16"/>
              </w:rPr>
              <w:t>57.4</w:t>
            </w:r>
          </w:p>
        </w:tc>
        <w:tc>
          <w:tcPr>
            <w:tcW w:w="801" w:type="dxa"/>
            <w:tcBorders>
              <w:top w:val="nil"/>
              <w:left w:val="nil"/>
              <w:bottom w:val="nil"/>
              <w:right w:val="nil"/>
            </w:tcBorders>
            <w:shd w:val="clear" w:color="auto" w:fill="FFFFFF" w:themeFill="background1"/>
            <w:vAlign w:val="center"/>
            <w:hideMark/>
          </w:tcPr>
          <w:p w14:paraId="4F7E84E3" w14:textId="744561A2" w:rsidR="002D7827" w:rsidRPr="00A2786A" w:rsidRDefault="00456D0C" w:rsidP="002D7827">
            <w:pPr>
              <w:jc w:val="center"/>
              <w:rPr>
                <w:color w:val="000000"/>
                <w:sz w:val="16"/>
                <w:szCs w:val="16"/>
                <w:lang w:val="es-AR" w:eastAsia="es-AR"/>
              </w:rPr>
            </w:pPr>
            <w:r w:rsidRPr="00A2786A">
              <w:rPr>
                <w:sz w:val="16"/>
                <w:szCs w:val="16"/>
              </w:rPr>
              <w:t>58.</w:t>
            </w:r>
            <w:r w:rsidR="00F552EA" w:rsidRPr="00A2786A">
              <w:rPr>
                <w:sz w:val="16"/>
                <w:szCs w:val="16"/>
              </w:rPr>
              <w:t>9</w:t>
            </w:r>
          </w:p>
        </w:tc>
        <w:tc>
          <w:tcPr>
            <w:tcW w:w="858" w:type="dxa"/>
            <w:tcBorders>
              <w:top w:val="nil"/>
              <w:left w:val="nil"/>
              <w:bottom w:val="nil"/>
              <w:right w:val="nil"/>
            </w:tcBorders>
            <w:shd w:val="clear" w:color="auto" w:fill="FFFFFF" w:themeFill="background1"/>
            <w:vAlign w:val="center"/>
            <w:hideMark/>
          </w:tcPr>
          <w:p w14:paraId="43BCDEF8" w14:textId="24BF6915" w:rsidR="002D7827" w:rsidRPr="00A2786A" w:rsidRDefault="00456D0C" w:rsidP="002D7827">
            <w:pPr>
              <w:jc w:val="center"/>
              <w:rPr>
                <w:color w:val="000000"/>
                <w:sz w:val="16"/>
                <w:szCs w:val="16"/>
                <w:lang w:val="es-AR" w:eastAsia="es-AR"/>
              </w:rPr>
            </w:pPr>
            <w:r w:rsidRPr="00A2786A">
              <w:rPr>
                <w:sz w:val="16"/>
                <w:szCs w:val="16"/>
              </w:rPr>
              <w:t>53.</w:t>
            </w:r>
            <w:r w:rsidR="00F552EA" w:rsidRPr="00A2786A">
              <w:rPr>
                <w:sz w:val="16"/>
                <w:szCs w:val="16"/>
              </w:rPr>
              <w:t>2</w:t>
            </w:r>
          </w:p>
        </w:tc>
        <w:tc>
          <w:tcPr>
            <w:tcW w:w="819" w:type="dxa"/>
            <w:tcBorders>
              <w:top w:val="nil"/>
              <w:left w:val="nil"/>
              <w:bottom w:val="nil"/>
              <w:right w:val="nil"/>
            </w:tcBorders>
            <w:shd w:val="clear" w:color="auto" w:fill="FFFFFF" w:themeFill="background1"/>
            <w:vAlign w:val="center"/>
            <w:hideMark/>
          </w:tcPr>
          <w:p w14:paraId="3FC29627" w14:textId="5E2F0D63" w:rsidR="002D7827" w:rsidRPr="00A2786A" w:rsidRDefault="00456D0C" w:rsidP="002D7827">
            <w:pPr>
              <w:jc w:val="center"/>
              <w:rPr>
                <w:color w:val="000000"/>
                <w:sz w:val="16"/>
                <w:szCs w:val="16"/>
                <w:lang w:val="es-AR" w:eastAsia="es-AR"/>
              </w:rPr>
            </w:pPr>
            <w:r w:rsidRPr="00A2786A">
              <w:rPr>
                <w:sz w:val="16"/>
                <w:szCs w:val="16"/>
              </w:rPr>
              <w:t>45.</w:t>
            </w:r>
            <w:r w:rsidR="00F552EA" w:rsidRPr="00A2786A">
              <w:rPr>
                <w:sz w:val="16"/>
                <w:szCs w:val="16"/>
              </w:rPr>
              <w:t>4</w:t>
            </w:r>
          </w:p>
        </w:tc>
        <w:tc>
          <w:tcPr>
            <w:tcW w:w="839" w:type="dxa"/>
            <w:tcBorders>
              <w:top w:val="nil"/>
              <w:left w:val="nil"/>
              <w:bottom w:val="nil"/>
              <w:right w:val="nil"/>
            </w:tcBorders>
            <w:shd w:val="clear" w:color="auto" w:fill="FFFFFF" w:themeFill="background1"/>
            <w:vAlign w:val="center"/>
            <w:hideMark/>
          </w:tcPr>
          <w:p w14:paraId="270729A4" w14:textId="507FD9B5" w:rsidR="002D7827" w:rsidRPr="00A2786A" w:rsidRDefault="00456D0C" w:rsidP="002D7827">
            <w:pPr>
              <w:jc w:val="center"/>
              <w:rPr>
                <w:color w:val="000000"/>
                <w:sz w:val="16"/>
                <w:szCs w:val="16"/>
                <w:lang w:val="es-AR" w:eastAsia="es-AR"/>
              </w:rPr>
            </w:pPr>
            <w:r w:rsidRPr="00A2786A">
              <w:rPr>
                <w:sz w:val="16"/>
                <w:szCs w:val="16"/>
              </w:rPr>
              <w:t>37.7</w:t>
            </w:r>
          </w:p>
        </w:tc>
      </w:tr>
      <w:tr w:rsidR="008E5F6C" w:rsidRPr="00A2786A" w14:paraId="0AE3EC91" w14:textId="77777777" w:rsidTr="007919F2">
        <w:trPr>
          <w:trHeight w:val="315"/>
        </w:trPr>
        <w:tc>
          <w:tcPr>
            <w:tcW w:w="2473" w:type="dxa"/>
            <w:tcBorders>
              <w:top w:val="nil"/>
              <w:left w:val="nil"/>
              <w:bottom w:val="nil"/>
              <w:right w:val="nil"/>
            </w:tcBorders>
            <w:shd w:val="clear" w:color="auto" w:fill="FFFFFF" w:themeFill="background1"/>
            <w:vAlign w:val="center"/>
            <w:hideMark/>
          </w:tcPr>
          <w:p w14:paraId="1CBFF11E" w14:textId="77777777" w:rsidR="002D7827" w:rsidRPr="00A2786A" w:rsidRDefault="002D7827" w:rsidP="007919F2">
            <w:pPr>
              <w:rPr>
                <w:color w:val="000000"/>
                <w:sz w:val="16"/>
                <w:szCs w:val="16"/>
                <w:lang w:val="es-AR" w:eastAsia="es-AR"/>
              </w:rPr>
            </w:pPr>
            <w:r w:rsidRPr="00A2786A">
              <w:rPr>
                <w:color w:val="000000"/>
                <w:sz w:val="16"/>
                <w:szCs w:val="16"/>
                <w:lang w:val="es-AR" w:eastAsia="es-AR"/>
              </w:rPr>
              <w:t>Total Proved</w:t>
            </w:r>
          </w:p>
        </w:tc>
        <w:tc>
          <w:tcPr>
            <w:tcW w:w="801" w:type="dxa"/>
            <w:tcBorders>
              <w:top w:val="single" w:sz="4" w:space="0" w:color="auto"/>
              <w:left w:val="nil"/>
              <w:bottom w:val="single" w:sz="4" w:space="0" w:color="auto"/>
              <w:right w:val="nil"/>
            </w:tcBorders>
            <w:shd w:val="clear" w:color="auto" w:fill="FFFFFF" w:themeFill="background1"/>
            <w:vAlign w:val="center"/>
            <w:hideMark/>
          </w:tcPr>
          <w:p w14:paraId="0A91BE07" w14:textId="18DDFB9B" w:rsidR="002D7827" w:rsidRPr="00A2786A" w:rsidRDefault="00456D0C" w:rsidP="002D7827">
            <w:pPr>
              <w:jc w:val="center"/>
              <w:rPr>
                <w:color w:val="000000"/>
                <w:sz w:val="16"/>
                <w:szCs w:val="16"/>
                <w:lang w:val="es-AR" w:eastAsia="es-AR"/>
              </w:rPr>
            </w:pPr>
            <w:r w:rsidRPr="00A2786A">
              <w:rPr>
                <w:sz w:val="16"/>
                <w:szCs w:val="16"/>
              </w:rPr>
              <w:t>-30.3</w:t>
            </w:r>
          </w:p>
        </w:tc>
        <w:tc>
          <w:tcPr>
            <w:tcW w:w="801" w:type="dxa"/>
            <w:tcBorders>
              <w:top w:val="single" w:sz="4" w:space="0" w:color="auto"/>
              <w:left w:val="nil"/>
              <w:bottom w:val="single" w:sz="4" w:space="0" w:color="auto"/>
              <w:right w:val="nil"/>
            </w:tcBorders>
            <w:shd w:val="clear" w:color="auto" w:fill="FFFFFF" w:themeFill="background1"/>
            <w:vAlign w:val="center"/>
            <w:hideMark/>
          </w:tcPr>
          <w:p w14:paraId="1433D9E1" w14:textId="4B6381F2" w:rsidR="002D7827" w:rsidRPr="00A2786A" w:rsidRDefault="00456D0C" w:rsidP="002D7827">
            <w:pPr>
              <w:jc w:val="center"/>
              <w:rPr>
                <w:color w:val="000000"/>
                <w:sz w:val="16"/>
                <w:szCs w:val="16"/>
                <w:lang w:val="es-AR" w:eastAsia="es-AR"/>
              </w:rPr>
            </w:pPr>
            <w:r w:rsidRPr="00A2786A">
              <w:rPr>
                <w:sz w:val="16"/>
                <w:szCs w:val="16"/>
              </w:rPr>
              <w:t>3.1</w:t>
            </w:r>
          </w:p>
        </w:tc>
        <w:tc>
          <w:tcPr>
            <w:tcW w:w="858" w:type="dxa"/>
            <w:tcBorders>
              <w:top w:val="single" w:sz="4" w:space="0" w:color="auto"/>
              <w:left w:val="nil"/>
              <w:bottom w:val="single" w:sz="4" w:space="0" w:color="auto"/>
              <w:right w:val="nil"/>
            </w:tcBorders>
            <w:shd w:val="clear" w:color="auto" w:fill="FFFFFF" w:themeFill="background1"/>
            <w:vAlign w:val="center"/>
            <w:hideMark/>
          </w:tcPr>
          <w:p w14:paraId="243A3D38" w14:textId="53CFE7D8" w:rsidR="002D7827" w:rsidRPr="00A2786A" w:rsidRDefault="00456D0C" w:rsidP="002D7827">
            <w:pPr>
              <w:jc w:val="center"/>
              <w:rPr>
                <w:color w:val="000000"/>
                <w:sz w:val="16"/>
                <w:szCs w:val="16"/>
                <w:lang w:val="es-AR" w:eastAsia="es-AR"/>
              </w:rPr>
            </w:pPr>
            <w:r w:rsidRPr="00A2786A">
              <w:rPr>
                <w:sz w:val="16"/>
                <w:szCs w:val="16"/>
              </w:rPr>
              <w:t>19.4</w:t>
            </w:r>
          </w:p>
        </w:tc>
        <w:tc>
          <w:tcPr>
            <w:tcW w:w="819" w:type="dxa"/>
            <w:tcBorders>
              <w:top w:val="single" w:sz="4" w:space="0" w:color="auto"/>
              <w:left w:val="nil"/>
              <w:bottom w:val="single" w:sz="4" w:space="0" w:color="auto"/>
              <w:right w:val="nil"/>
            </w:tcBorders>
            <w:shd w:val="clear" w:color="auto" w:fill="FFFFFF" w:themeFill="background1"/>
            <w:vAlign w:val="center"/>
            <w:hideMark/>
          </w:tcPr>
          <w:p w14:paraId="694B54D3" w14:textId="69FE234E" w:rsidR="002D7827" w:rsidRPr="00A2786A" w:rsidRDefault="00456D0C" w:rsidP="002D7827">
            <w:pPr>
              <w:jc w:val="center"/>
              <w:rPr>
                <w:color w:val="000000"/>
                <w:sz w:val="16"/>
                <w:szCs w:val="16"/>
                <w:lang w:val="es-AR" w:eastAsia="es-AR"/>
              </w:rPr>
            </w:pPr>
            <w:r w:rsidRPr="00A2786A">
              <w:rPr>
                <w:sz w:val="16"/>
                <w:szCs w:val="16"/>
              </w:rPr>
              <w:t>26.5</w:t>
            </w:r>
          </w:p>
        </w:tc>
        <w:tc>
          <w:tcPr>
            <w:tcW w:w="839" w:type="dxa"/>
            <w:tcBorders>
              <w:top w:val="single" w:sz="4" w:space="0" w:color="auto"/>
              <w:left w:val="nil"/>
              <w:bottom w:val="single" w:sz="4" w:space="0" w:color="auto"/>
              <w:right w:val="nil"/>
            </w:tcBorders>
            <w:shd w:val="clear" w:color="auto" w:fill="FFFFFF" w:themeFill="background1"/>
            <w:vAlign w:val="center"/>
            <w:hideMark/>
          </w:tcPr>
          <w:p w14:paraId="0A02076F" w14:textId="559D5F5F" w:rsidR="002D7827" w:rsidRPr="00A2786A" w:rsidRDefault="00456D0C" w:rsidP="002D7827">
            <w:pPr>
              <w:jc w:val="center"/>
              <w:rPr>
                <w:color w:val="000000"/>
                <w:sz w:val="16"/>
                <w:szCs w:val="16"/>
                <w:lang w:val="es-AR" w:eastAsia="es-AR"/>
              </w:rPr>
            </w:pPr>
            <w:r w:rsidRPr="00A2786A">
              <w:rPr>
                <w:sz w:val="16"/>
                <w:szCs w:val="16"/>
              </w:rPr>
              <w:t>29.1</w:t>
            </w:r>
          </w:p>
        </w:tc>
      </w:tr>
      <w:tr w:rsidR="008E5F6C" w:rsidRPr="00A2786A" w14:paraId="53A70DDE" w14:textId="77777777" w:rsidTr="007919F2">
        <w:trPr>
          <w:trHeight w:val="315"/>
        </w:trPr>
        <w:tc>
          <w:tcPr>
            <w:tcW w:w="2473" w:type="dxa"/>
            <w:tcBorders>
              <w:top w:val="nil"/>
              <w:left w:val="nil"/>
              <w:bottom w:val="nil"/>
              <w:right w:val="nil"/>
            </w:tcBorders>
            <w:shd w:val="clear" w:color="auto" w:fill="FFFFFF" w:themeFill="background1"/>
            <w:vAlign w:val="center"/>
          </w:tcPr>
          <w:p w14:paraId="2D755F19" w14:textId="07898B17" w:rsidR="008E5F6C" w:rsidRPr="00A2786A" w:rsidRDefault="008E5F6C" w:rsidP="007919F2">
            <w:pPr>
              <w:rPr>
                <w:color w:val="000000"/>
                <w:sz w:val="16"/>
                <w:szCs w:val="16"/>
                <w:lang w:val="es-AR" w:eastAsia="es-AR"/>
              </w:rPr>
            </w:pPr>
            <w:r w:rsidRPr="00A2786A">
              <w:rPr>
                <w:color w:val="000000"/>
                <w:sz w:val="16"/>
                <w:szCs w:val="16"/>
                <w:lang w:val="es-AR" w:eastAsia="es-AR"/>
              </w:rPr>
              <w:t>Total Probable</w:t>
            </w:r>
          </w:p>
        </w:tc>
        <w:tc>
          <w:tcPr>
            <w:tcW w:w="801" w:type="dxa"/>
            <w:tcBorders>
              <w:top w:val="single" w:sz="4" w:space="0" w:color="auto"/>
              <w:left w:val="nil"/>
              <w:bottom w:val="single" w:sz="4" w:space="0" w:color="auto"/>
              <w:right w:val="nil"/>
            </w:tcBorders>
            <w:shd w:val="clear" w:color="auto" w:fill="FFFFFF" w:themeFill="background1"/>
            <w:vAlign w:val="center"/>
          </w:tcPr>
          <w:p w14:paraId="0ACE0466" w14:textId="4E218919" w:rsidR="008E5F6C" w:rsidRPr="00A2786A" w:rsidRDefault="00456D0C" w:rsidP="002D7827">
            <w:pPr>
              <w:jc w:val="center"/>
              <w:rPr>
                <w:sz w:val="16"/>
                <w:szCs w:val="16"/>
              </w:rPr>
            </w:pPr>
            <w:r w:rsidRPr="00A2786A">
              <w:rPr>
                <w:sz w:val="16"/>
                <w:szCs w:val="16"/>
              </w:rPr>
              <w:t>152.</w:t>
            </w:r>
            <w:r w:rsidR="00F552EA" w:rsidRPr="00A2786A">
              <w:rPr>
                <w:sz w:val="16"/>
                <w:szCs w:val="16"/>
              </w:rPr>
              <w:t>4</w:t>
            </w:r>
          </w:p>
        </w:tc>
        <w:tc>
          <w:tcPr>
            <w:tcW w:w="801" w:type="dxa"/>
            <w:tcBorders>
              <w:top w:val="single" w:sz="4" w:space="0" w:color="auto"/>
              <w:left w:val="nil"/>
              <w:bottom w:val="single" w:sz="4" w:space="0" w:color="auto"/>
              <w:right w:val="nil"/>
            </w:tcBorders>
            <w:shd w:val="clear" w:color="auto" w:fill="FFFFFF" w:themeFill="background1"/>
            <w:vAlign w:val="center"/>
          </w:tcPr>
          <w:p w14:paraId="1C8B6704" w14:textId="779560C4" w:rsidR="008E5F6C" w:rsidRPr="00A2786A" w:rsidRDefault="00F552EA" w:rsidP="002D7827">
            <w:pPr>
              <w:jc w:val="center"/>
              <w:rPr>
                <w:sz w:val="16"/>
                <w:szCs w:val="16"/>
              </w:rPr>
            </w:pPr>
            <w:r w:rsidRPr="00A2786A">
              <w:rPr>
                <w:sz w:val="16"/>
                <w:szCs w:val="16"/>
              </w:rPr>
              <w:t>113.9</w:t>
            </w:r>
          </w:p>
        </w:tc>
        <w:tc>
          <w:tcPr>
            <w:tcW w:w="858" w:type="dxa"/>
            <w:tcBorders>
              <w:top w:val="single" w:sz="4" w:space="0" w:color="auto"/>
              <w:left w:val="nil"/>
              <w:bottom w:val="single" w:sz="4" w:space="0" w:color="auto"/>
              <w:right w:val="nil"/>
            </w:tcBorders>
            <w:shd w:val="clear" w:color="auto" w:fill="FFFFFF" w:themeFill="background1"/>
            <w:vAlign w:val="center"/>
          </w:tcPr>
          <w:p w14:paraId="2AFBD381" w14:textId="116098E8" w:rsidR="008E5F6C" w:rsidRPr="00A2786A" w:rsidRDefault="00456D0C" w:rsidP="002D7827">
            <w:pPr>
              <w:jc w:val="center"/>
              <w:rPr>
                <w:sz w:val="16"/>
                <w:szCs w:val="16"/>
              </w:rPr>
            </w:pPr>
            <w:r w:rsidRPr="00A2786A">
              <w:rPr>
                <w:sz w:val="16"/>
                <w:szCs w:val="16"/>
              </w:rPr>
              <w:t>78.8</w:t>
            </w:r>
          </w:p>
        </w:tc>
        <w:tc>
          <w:tcPr>
            <w:tcW w:w="819" w:type="dxa"/>
            <w:tcBorders>
              <w:top w:val="single" w:sz="4" w:space="0" w:color="auto"/>
              <w:left w:val="nil"/>
              <w:bottom w:val="single" w:sz="4" w:space="0" w:color="auto"/>
              <w:right w:val="nil"/>
            </w:tcBorders>
            <w:shd w:val="clear" w:color="auto" w:fill="FFFFFF" w:themeFill="background1"/>
            <w:vAlign w:val="center"/>
          </w:tcPr>
          <w:p w14:paraId="19EDC78B" w14:textId="41D6A425" w:rsidR="008E5F6C" w:rsidRPr="00A2786A" w:rsidRDefault="00456D0C" w:rsidP="002D7827">
            <w:pPr>
              <w:jc w:val="center"/>
              <w:rPr>
                <w:sz w:val="16"/>
                <w:szCs w:val="16"/>
              </w:rPr>
            </w:pPr>
            <w:r w:rsidRPr="00A2786A">
              <w:rPr>
                <w:sz w:val="16"/>
                <w:szCs w:val="16"/>
              </w:rPr>
              <w:t>52.3</w:t>
            </w:r>
          </w:p>
        </w:tc>
        <w:tc>
          <w:tcPr>
            <w:tcW w:w="839" w:type="dxa"/>
            <w:tcBorders>
              <w:top w:val="single" w:sz="4" w:space="0" w:color="auto"/>
              <w:left w:val="nil"/>
              <w:bottom w:val="single" w:sz="4" w:space="0" w:color="auto"/>
              <w:right w:val="nil"/>
            </w:tcBorders>
            <w:shd w:val="clear" w:color="auto" w:fill="FFFFFF" w:themeFill="background1"/>
            <w:vAlign w:val="center"/>
          </w:tcPr>
          <w:p w14:paraId="520CE481" w14:textId="6263EB31" w:rsidR="008E5F6C" w:rsidRPr="00A2786A" w:rsidRDefault="00456D0C" w:rsidP="002D7827">
            <w:pPr>
              <w:jc w:val="center"/>
              <w:rPr>
                <w:sz w:val="16"/>
                <w:szCs w:val="16"/>
              </w:rPr>
            </w:pPr>
            <w:r w:rsidRPr="00A2786A">
              <w:rPr>
                <w:sz w:val="16"/>
                <w:szCs w:val="16"/>
              </w:rPr>
              <w:t>33.7</w:t>
            </w:r>
          </w:p>
        </w:tc>
      </w:tr>
      <w:tr w:rsidR="008E5F6C" w:rsidRPr="00A2786A" w14:paraId="47F130A9" w14:textId="77777777" w:rsidTr="007919F2">
        <w:trPr>
          <w:trHeight w:val="315"/>
        </w:trPr>
        <w:tc>
          <w:tcPr>
            <w:tcW w:w="2473" w:type="dxa"/>
            <w:tcBorders>
              <w:top w:val="nil"/>
              <w:left w:val="nil"/>
              <w:bottom w:val="nil"/>
              <w:right w:val="nil"/>
            </w:tcBorders>
            <w:shd w:val="clear" w:color="auto" w:fill="FFFFFF" w:themeFill="background1"/>
            <w:vAlign w:val="center"/>
          </w:tcPr>
          <w:p w14:paraId="7E8A7AE8" w14:textId="47A84482" w:rsidR="008E5F6C" w:rsidRPr="00A2786A" w:rsidRDefault="008E5F6C" w:rsidP="007919F2">
            <w:pPr>
              <w:rPr>
                <w:color w:val="000000"/>
                <w:sz w:val="16"/>
                <w:szCs w:val="16"/>
                <w:lang w:val="es-AR" w:eastAsia="es-AR"/>
              </w:rPr>
            </w:pPr>
            <w:r w:rsidRPr="00A2786A">
              <w:rPr>
                <w:color w:val="000000"/>
                <w:sz w:val="16"/>
                <w:szCs w:val="16"/>
                <w:lang w:val="es-AR" w:eastAsia="es-AR"/>
              </w:rPr>
              <w:t>Total Proved + Probable</w:t>
            </w:r>
          </w:p>
        </w:tc>
        <w:tc>
          <w:tcPr>
            <w:tcW w:w="801" w:type="dxa"/>
            <w:tcBorders>
              <w:top w:val="single" w:sz="4" w:space="0" w:color="auto"/>
              <w:left w:val="nil"/>
              <w:bottom w:val="single" w:sz="4" w:space="0" w:color="auto"/>
              <w:right w:val="nil"/>
            </w:tcBorders>
            <w:shd w:val="clear" w:color="auto" w:fill="FFFFFF" w:themeFill="background1"/>
            <w:vAlign w:val="center"/>
          </w:tcPr>
          <w:p w14:paraId="219A0361" w14:textId="7DBC519F" w:rsidR="008E5F6C" w:rsidRPr="00A2786A" w:rsidRDefault="00456D0C" w:rsidP="002D7827">
            <w:pPr>
              <w:jc w:val="center"/>
              <w:rPr>
                <w:sz w:val="16"/>
                <w:szCs w:val="16"/>
              </w:rPr>
            </w:pPr>
            <w:r w:rsidRPr="00A2786A">
              <w:rPr>
                <w:sz w:val="16"/>
                <w:szCs w:val="16"/>
              </w:rPr>
              <w:t>122.2</w:t>
            </w:r>
          </w:p>
        </w:tc>
        <w:tc>
          <w:tcPr>
            <w:tcW w:w="801" w:type="dxa"/>
            <w:tcBorders>
              <w:top w:val="single" w:sz="4" w:space="0" w:color="auto"/>
              <w:left w:val="nil"/>
              <w:bottom w:val="single" w:sz="4" w:space="0" w:color="auto"/>
              <w:right w:val="nil"/>
            </w:tcBorders>
            <w:shd w:val="clear" w:color="auto" w:fill="FFFFFF" w:themeFill="background1"/>
            <w:vAlign w:val="center"/>
          </w:tcPr>
          <w:p w14:paraId="2C8065B3" w14:textId="2B36E099" w:rsidR="008E5F6C" w:rsidRPr="00A2786A" w:rsidRDefault="00456D0C" w:rsidP="002D7827">
            <w:pPr>
              <w:jc w:val="center"/>
              <w:rPr>
                <w:sz w:val="16"/>
                <w:szCs w:val="16"/>
              </w:rPr>
            </w:pPr>
            <w:r w:rsidRPr="00A2786A">
              <w:rPr>
                <w:sz w:val="16"/>
                <w:szCs w:val="16"/>
              </w:rPr>
              <w:t>117.1</w:t>
            </w:r>
          </w:p>
        </w:tc>
        <w:tc>
          <w:tcPr>
            <w:tcW w:w="858" w:type="dxa"/>
            <w:tcBorders>
              <w:top w:val="single" w:sz="4" w:space="0" w:color="auto"/>
              <w:left w:val="nil"/>
              <w:bottom w:val="single" w:sz="4" w:space="0" w:color="auto"/>
              <w:right w:val="nil"/>
            </w:tcBorders>
            <w:shd w:val="clear" w:color="auto" w:fill="FFFFFF" w:themeFill="background1"/>
            <w:vAlign w:val="center"/>
          </w:tcPr>
          <w:p w14:paraId="54CA461D" w14:textId="2E42A925" w:rsidR="008E5F6C" w:rsidRPr="00A2786A" w:rsidRDefault="00456D0C" w:rsidP="002D7827">
            <w:pPr>
              <w:jc w:val="center"/>
              <w:rPr>
                <w:sz w:val="16"/>
                <w:szCs w:val="16"/>
              </w:rPr>
            </w:pPr>
            <w:r w:rsidRPr="00A2786A">
              <w:rPr>
                <w:sz w:val="16"/>
                <w:szCs w:val="16"/>
              </w:rPr>
              <w:t>98.2</w:t>
            </w:r>
          </w:p>
        </w:tc>
        <w:tc>
          <w:tcPr>
            <w:tcW w:w="819" w:type="dxa"/>
            <w:tcBorders>
              <w:top w:val="single" w:sz="4" w:space="0" w:color="auto"/>
              <w:left w:val="nil"/>
              <w:bottom w:val="single" w:sz="4" w:space="0" w:color="auto"/>
              <w:right w:val="nil"/>
            </w:tcBorders>
            <w:shd w:val="clear" w:color="auto" w:fill="FFFFFF" w:themeFill="background1"/>
            <w:vAlign w:val="center"/>
          </w:tcPr>
          <w:p w14:paraId="6EF0A850" w14:textId="4E5FAAF6" w:rsidR="008E5F6C" w:rsidRPr="00A2786A" w:rsidRDefault="00456D0C" w:rsidP="002D7827">
            <w:pPr>
              <w:jc w:val="center"/>
              <w:rPr>
                <w:sz w:val="16"/>
                <w:szCs w:val="16"/>
              </w:rPr>
            </w:pPr>
            <w:r w:rsidRPr="00A2786A">
              <w:rPr>
                <w:sz w:val="16"/>
                <w:szCs w:val="16"/>
              </w:rPr>
              <w:t>78.8</w:t>
            </w:r>
          </w:p>
        </w:tc>
        <w:tc>
          <w:tcPr>
            <w:tcW w:w="839" w:type="dxa"/>
            <w:tcBorders>
              <w:top w:val="single" w:sz="4" w:space="0" w:color="auto"/>
              <w:left w:val="nil"/>
              <w:bottom w:val="single" w:sz="4" w:space="0" w:color="auto"/>
              <w:right w:val="nil"/>
            </w:tcBorders>
            <w:shd w:val="clear" w:color="auto" w:fill="FFFFFF" w:themeFill="background1"/>
            <w:vAlign w:val="center"/>
          </w:tcPr>
          <w:p w14:paraId="217606D7" w14:textId="472E73E3" w:rsidR="008E5F6C" w:rsidRPr="00A2786A" w:rsidRDefault="00456D0C" w:rsidP="002D7827">
            <w:pPr>
              <w:jc w:val="center"/>
              <w:rPr>
                <w:sz w:val="16"/>
                <w:szCs w:val="16"/>
              </w:rPr>
            </w:pPr>
            <w:r w:rsidRPr="00A2786A">
              <w:rPr>
                <w:sz w:val="16"/>
                <w:szCs w:val="16"/>
              </w:rPr>
              <w:t>62.8</w:t>
            </w:r>
          </w:p>
        </w:tc>
      </w:tr>
      <w:tr w:rsidR="008E5F6C" w:rsidRPr="00A2786A" w14:paraId="25806DDB" w14:textId="77777777" w:rsidTr="00F17A92">
        <w:trPr>
          <w:trHeight w:val="315"/>
        </w:trPr>
        <w:tc>
          <w:tcPr>
            <w:tcW w:w="2473" w:type="dxa"/>
            <w:tcBorders>
              <w:top w:val="nil"/>
              <w:left w:val="nil"/>
              <w:bottom w:val="nil"/>
              <w:right w:val="nil"/>
            </w:tcBorders>
            <w:shd w:val="clear" w:color="auto" w:fill="FFFFFF" w:themeFill="background1"/>
          </w:tcPr>
          <w:p w14:paraId="3E243FAA" w14:textId="77777777" w:rsidR="008E5F6C" w:rsidRPr="00A2786A" w:rsidRDefault="008E5F6C" w:rsidP="002D7827">
            <w:pPr>
              <w:rPr>
                <w:color w:val="000000"/>
                <w:sz w:val="16"/>
                <w:szCs w:val="16"/>
                <w:lang w:val="es-AR" w:eastAsia="es-AR"/>
              </w:rPr>
            </w:pPr>
          </w:p>
        </w:tc>
        <w:tc>
          <w:tcPr>
            <w:tcW w:w="801" w:type="dxa"/>
            <w:tcBorders>
              <w:top w:val="single" w:sz="4" w:space="0" w:color="auto"/>
              <w:left w:val="nil"/>
              <w:bottom w:val="nil"/>
              <w:right w:val="nil"/>
            </w:tcBorders>
            <w:shd w:val="clear" w:color="auto" w:fill="FFFFFF" w:themeFill="background1"/>
            <w:vAlign w:val="center"/>
          </w:tcPr>
          <w:p w14:paraId="0FAB3DA5" w14:textId="77777777" w:rsidR="008E5F6C" w:rsidRPr="00A2786A" w:rsidRDefault="008E5F6C" w:rsidP="002D7827">
            <w:pPr>
              <w:jc w:val="center"/>
              <w:rPr>
                <w:b/>
                <w:bCs/>
                <w:sz w:val="16"/>
                <w:szCs w:val="16"/>
              </w:rPr>
            </w:pPr>
          </w:p>
        </w:tc>
        <w:tc>
          <w:tcPr>
            <w:tcW w:w="801" w:type="dxa"/>
            <w:tcBorders>
              <w:top w:val="single" w:sz="4" w:space="0" w:color="auto"/>
              <w:left w:val="nil"/>
              <w:bottom w:val="nil"/>
              <w:right w:val="nil"/>
            </w:tcBorders>
            <w:shd w:val="clear" w:color="auto" w:fill="FFFFFF" w:themeFill="background1"/>
            <w:vAlign w:val="center"/>
          </w:tcPr>
          <w:p w14:paraId="37689119" w14:textId="77777777" w:rsidR="008E5F6C" w:rsidRPr="00A2786A" w:rsidRDefault="008E5F6C" w:rsidP="002D7827">
            <w:pPr>
              <w:jc w:val="center"/>
              <w:rPr>
                <w:b/>
                <w:bCs/>
                <w:sz w:val="16"/>
                <w:szCs w:val="16"/>
              </w:rPr>
            </w:pPr>
          </w:p>
        </w:tc>
        <w:tc>
          <w:tcPr>
            <w:tcW w:w="858" w:type="dxa"/>
            <w:tcBorders>
              <w:top w:val="single" w:sz="4" w:space="0" w:color="auto"/>
              <w:left w:val="nil"/>
              <w:bottom w:val="nil"/>
              <w:right w:val="nil"/>
            </w:tcBorders>
            <w:shd w:val="clear" w:color="auto" w:fill="FFFFFF" w:themeFill="background1"/>
            <w:vAlign w:val="center"/>
          </w:tcPr>
          <w:p w14:paraId="419341BA" w14:textId="77777777" w:rsidR="008E5F6C" w:rsidRPr="00A2786A" w:rsidRDefault="008E5F6C" w:rsidP="002D7827">
            <w:pPr>
              <w:jc w:val="center"/>
              <w:rPr>
                <w:b/>
                <w:bCs/>
                <w:sz w:val="16"/>
                <w:szCs w:val="16"/>
              </w:rPr>
            </w:pPr>
          </w:p>
        </w:tc>
        <w:tc>
          <w:tcPr>
            <w:tcW w:w="819" w:type="dxa"/>
            <w:tcBorders>
              <w:top w:val="single" w:sz="4" w:space="0" w:color="auto"/>
              <w:left w:val="nil"/>
              <w:bottom w:val="nil"/>
              <w:right w:val="nil"/>
            </w:tcBorders>
            <w:shd w:val="clear" w:color="auto" w:fill="FFFFFF" w:themeFill="background1"/>
            <w:vAlign w:val="center"/>
          </w:tcPr>
          <w:p w14:paraId="494D47A6" w14:textId="77777777" w:rsidR="008E5F6C" w:rsidRPr="00A2786A" w:rsidRDefault="008E5F6C" w:rsidP="002D7827">
            <w:pPr>
              <w:jc w:val="center"/>
              <w:rPr>
                <w:b/>
                <w:bCs/>
                <w:sz w:val="16"/>
                <w:szCs w:val="16"/>
              </w:rPr>
            </w:pPr>
          </w:p>
        </w:tc>
        <w:tc>
          <w:tcPr>
            <w:tcW w:w="839" w:type="dxa"/>
            <w:tcBorders>
              <w:top w:val="single" w:sz="4" w:space="0" w:color="auto"/>
              <w:left w:val="nil"/>
              <w:bottom w:val="nil"/>
              <w:right w:val="nil"/>
            </w:tcBorders>
            <w:shd w:val="clear" w:color="auto" w:fill="FFFFFF" w:themeFill="background1"/>
            <w:vAlign w:val="center"/>
          </w:tcPr>
          <w:p w14:paraId="34C2854B" w14:textId="77777777" w:rsidR="008E5F6C" w:rsidRPr="00A2786A" w:rsidRDefault="008E5F6C" w:rsidP="002D7827">
            <w:pPr>
              <w:jc w:val="center"/>
              <w:rPr>
                <w:b/>
                <w:bCs/>
                <w:sz w:val="16"/>
                <w:szCs w:val="16"/>
              </w:rPr>
            </w:pPr>
          </w:p>
        </w:tc>
      </w:tr>
    </w:tbl>
    <w:p w14:paraId="5026EEBB" w14:textId="77777777" w:rsidR="004A2E5D" w:rsidRPr="00A2786A" w:rsidRDefault="004A2E5D" w:rsidP="004A2E5D">
      <w:pPr>
        <w:numPr>
          <w:ilvl w:val="0"/>
          <w:numId w:val="1"/>
        </w:numPr>
        <w:spacing w:before="60"/>
        <w:ind w:left="425" w:hanging="425"/>
        <w:jc w:val="both"/>
        <w:rPr>
          <w:sz w:val="16"/>
          <w:szCs w:val="16"/>
          <w:lang w:val="en-CA"/>
        </w:rPr>
      </w:pPr>
      <w:r w:rsidRPr="00A2786A">
        <w:rPr>
          <w:b/>
          <w:sz w:val="16"/>
          <w:szCs w:val="16"/>
        </w:rPr>
        <w:fldChar w:fldCharType="end"/>
      </w:r>
      <w:r w:rsidRPr="00A2786A">
        <w:rPr>
          <w:sz w:val="16"/>
          <w:szCs w:val="16"/>
          <w:lang w:val="en-CA"/>
        </w:rPr>
        <w:t>The estimated net present values of future net revenues disclosed do not represent fair market value.</w:t>
      </w:r>
    </w:p>
    <w:p w14:paraId="00A15A92" w14:textId="77777777" w:rsidR="004A2E5D" w:rsidRPr="00A2786A" w:rsidRDefault="004A2E5D" w:rsidP="004A2E5D">
      <w:pPr>
        <w:numPr>
          <w:ilvl w:val="0"/>
          <w:numId w:val="1"/>
        </w:numPr>
        <w:spacing w:before="60"/>
        <w:ind w:left="425" w:hanging="425"/>
        <w:jc w:val="both"/>
        <w:rPr>
          <w:rFonts w:ascii="Times New Roman" w:hAnsi="Times New Roman"/>
          <w:sz w:val="16"/>
          <w:szCs w:val="16"/>
          <w:lang w:val="en-CA"/>
        </w:rPr>
      </w:pPr>
      <w:r w:rsidRPr="00A2786A">
        <w:rPr>
          <w:sz w:val="16"/>
          <w:szCs w:val="16"/>
          <w:lang w:val="en-CA"/>
        </w:rPr>
        <w:t xml:space="preserve">The </w:t>
      </w:r>
      <w:r w:rsidR="00E35476" w:rsidRPr="00A2786A">
        <w:rPr>
          <w:sz w:val="16"/>
          <w:szCs w:val="16"/>
          <w:lang w:val="en-CA"/>
        </w:rPr>
        <w:t>definitions of the various categories of reserves are those set out in NI 51-101 and the COGE Handbook</w:t>
      </w:r>
      <w:r w:rsidRPr="00A2786A">
        <w:rPr>
          <w:sz w:val="16"/>
          <w:szCs w:val="16"/>
          <w:lang w:val="en-CA"/>
        </w:rPr>
        <w:t>.</w:t>
      </w:r>
    </w:p>
    <w:p w14:paraId="2176BA75" w14:textId="408210CC" w:rsidR="00F17A92" w:rsidRPr="00A2786A" w:rsidRDefault="00F17A92" w:rsidP="00F17A92">
      <w:pPr>
        <w:pStyle w:val="BodyText"/>
        <w:keepNext/>
        <w:keepLines/>
        <w:spacing w:before="240" w:after="120"/>
        <w:ind w:left="1080"/>
        <w:jc w:val="center"/>
        <w:rPr>
          <w:rFonts w:ascii="Verdana" w:hAnsi="Verdana"/>
          <w:b/>
          <w:sz w:val="16"/>
          <w:szCs w:val="16"/>
        </w:rPr>
      </w:pPr>
      <w:r w:rsidRPr="00A2786A">
        <w:rPr>
          <w:rFonts w:ascii="Verdana" w:hAnsi="Verdana"/>
          <w:b/>
          <w:sz w:val="16"/>
          <w:szCs w:val="16"/>
        </w:rPr>
        <w:lastRenderedPageBreak/>
        <w:t>SUMMARY OF NET PRESENT VALUE OF FUTURE NET REVENUE</w:t>
      </w:r>
      <w:r w:rsidRPr="00A2786A">
        <w:rPr>
          <w:rFonts w:ascii="Verdana" w:hAnsi="Verdana"/>
          <w:b/>
          <w:sz w:val="16"/>
          <w:szCs w:val="16"/>
        </w:rPr>
        <w:br/>
        <w:t>AS OF DECEMBER 31, 202</w:t>
      </w:r>
      <w:r w:rsidR="00DB41A8" w:rsidRPr="00A2786A">
        <w:rPr>
          <w:rFonts w:ascii="Verdana" w:hAnsi="Verdana"/>
          <w:b/>
          <w:sz w:val="16"/>
          <w:szCs w:val="16"/>
        </w:rPr>
        <w:t>4</w:t>
      </w:r>
      <w:r w:rsidRPr="00A2786A">
        <w:rPr>
          <w:rFonts w:ascii="Verdana" w:hAnsi="Verdana"/>
          <w:b/>
          <w:sz w:val="16"/>
          <w:szCs w:val="16"/>
        </w:rPr>
        <w:br/>
        <w:t>(</w:t>
      </w:r>
      <w:r w:rsidR="00AF33D4" w:rsidRPr="00A2786A">
        <w:rPr>
          <w:rFonts w:ascii="Verdana" w:hAnsi="Verdana"/>
          <w:b/>
          <w:sz w:val="16"/>
          <w:szCs w:val="16"/>
        </w:rPr>
        <w:t xml:space="preserve">Forecast </w:t>
      </w:r>
      <w:r w:rsidRPr="00A2786A">
        <w:rPr>
          <w:rFonts w:ascii="Verdana" w:hAnsi="Verdana"/>
          <w:b/>
          <w:sz w:val="16"/>
          <w:szCs w:val="16"/>
        </w:rPr>
        <w:t>Prices &amp; Costs)</w:t>
      </w:r>
      <w:r w:rsidRPr="00A2786A">
        <w:rPr>
          <w:rFonts w:ascii="Verdana" w:hAnsi="Verdana"/>
          <w:sz w:val="16"/>
          <w:szCs w:val="16"/>
        </w:rPr>
        <w:fldChar w:fldCharType="begin"/>
      </w:r>
      <w:r w:rsidRPr="00A2786A">
        <w:rPr>
          <w:rFonts w:ascii="Verdana" w:hAnsi="Verdana"/>
          <w:sz w:val="16"/>
          <w:szCs w:val="16"/>
        </w:rPr>
        <w:instrText xml:space="preserve"> LINK Excel.Sheet.12 "C:\\Users\\bmoss\\Dropbox\\Reserve Tables Dec 2019 Mar 20.xlsx" "PR Tables!R36C18:R46C23" \a \f 4 \h  \* MERGEFORMAT </w:instrText>
      </w:r>
      <w:r w:rsidRPr="00A2786A">
        <w:rPr>
          <w:rFonts w:ascii="Verdana" w:hAnsi="Verdana"/>
          <w:sz w:val="16"/>
          <w:szCs w:val="16"/>
        </w:rPr>
        <w:fldChar w:fldCharType="separate"/>
      </w:r>
    </w:p>
    <w:tbl>
      <w:tblPr>
        <w:tblW w:w="7135" w:type="dxa"/>
        <w:tblInd w:w="851" w:type="dxa"/>
        <w:tblCellMar>
          <w:left w:w="70" w:type="dxa"/>
          <w:right w:w="70" w:type="dxa"/>
        </w:tblCellMar>
        <w:tblLook w:val="04A0" w:firstRow="1" w:lastRow="0" w:firstColumn="1" w:lastColumn="0" w:noHBand="0" w:noVBand="1"/>
      </w:tblPr>
      <w:tblGrid>
        <w:gridCol w:w="567"/>
        <w:gridCol w:w="1905"/>
        <w:gridCol w:w="505"/>
        <w:gridCol w:w="889"/>
        <w:gridCol w:w="801"/>
        <w:gridCol w:w="834"/>
        <w:gridCol w:w="811"/>
        <w:gridCol w:w="823"/>
      </w:tblGrid>
      <w:tr w:rsidR="00F17A92" w:rsidRPr="00A2786A" w14:paraId="6B9F490E" w14:textId="77777777" w:rsidTr="003223AE">
        <w:trPr>
          <w:trHeight w:val="495"/>
        </w:trPr>
        <w:tc>
          <w:tcPr>
            <w:tcW w:w="2472" w:type="dxa"/>
            <w:gridSpan w:val="2"/>
            <w:vMerge w:val="restart"/>
            <w:tcBorders>
              <w:top w:val="nil"/>
              <w:left w:val="nil"/>
              <w:bottom w:val="nil"/>
              <w:right w:val="nil"/>
            </w:tcBorders>
            <w:shd w:val="clear" w:color="auto" w:fill="FFFFFF" w:themeFill="background1"/>
            <w:vAlign w:val="center"/>
            <w:hideMark/>
          </w:tcPr>
          <w:p w14:paraId="62DBEA00" w14:textId="77777777" w:rsidR="00F17A92" w:rsidRPr="00A2786A" w:rsidRDefault="00F17A92" w:rsidP="00832936">
            <w:pPr>
              <w:rPr>
                <w:sz w:val="16"/>
                <w:szCs w:val="16"/>
                <w:lang w:eastAsia="es-AR"/>
              </w:rPr>
            </w:pPr>
          </w:p>
        </w:tc>
        <w:tc>
          <w:tcPr>
            <w:tcW w:w="4663" w:type="dxa"/>
            <w:gridSpan w:val="6"/>
            <w:tcBorders>
              <w:top w:val="nil"/>
              <w:left w:val="nil"/>
              <w:bottom w:val="nil"/>
              <w:right w:val="nil"/>
            </w:tcBorders>
            <w:shd w:val="clear" w:color="auto" w:fill="FFFFFF" w:themeFill="background1"/>
            <w:vAlign w:val="center"/>
            <w:hideMark/>
          </w:tcPr>
          <w:p w14:paraId="29ACF77D" w14:textId="3F146021" w:rsidR="00F17A92" w:rsidRPr="00A2786A" w:rsidRDefault="00F17A92" w:rsidP="00832936">
            <w:pPr>
              <w:jc w:val="center"/>
              <w:rPr>
                <w:b/>
                <w:bCs/>
                <w:color w:val="000000"/>
                <w:sz w:val="16"/>
                <w:szCs w:val="16"/>
                <w:lang w:eastAsia="es-AR"/>
              </w:rPr>
            </w:pPr>
            <w:r w:rsidRPr="00A2786A">
              <w:rPr>
                <w:b/>
                <w:bCs/>
                <w:color w:val="000000"/>
                <w:sz w:val="16"/>
                <w:szCs w:val="16"/>
                <w:lang w:eastAsia="es-AR"/>
              </w:rPr>
              <w:t>Net Present Values of Future Net Revenue After Income Taxes</w:t>
            </w:r>
            <w:r w:rsidRPr="00A2786A">
              <w:rPr>
                <w:b/>
                <w:bCs/>
                <w:color w:val="000000"/>
                <w:sz w:val="16"/>
                <w:szCs w:val="16"/>
                <w:vertAlign w:val="superscript"/>
                <w:lang w:eastAsia="es-AR"/>
              </w:rPr>
              <w:t xml:space="preserve"> (</w:t>
            </w:r>
            <w:r w:rsidR="003A1458" w:rsidRPr="00A2786A">
              <w:rPr>
                <w:b/>
                <w:bCs/>
                <w:color w:val="000000"/>
                <w:sz w:val="16"/>
                <w:szCs w:val="16"/>
                <w:vertAlign w:val="superscript"/>
                <w:lang w:eastAsia="es-AR"/>
              </w:rPr>
              <w:t>3</w:t>
            </w:r>
            <w:r w:rsidRPr="00A2786A">
              <w:rPr>
                <w:b/>
                <w:bCs/>
                <w:color w:val="000000"/>
                <w:sz w:val="16"/>
                <w:szCs w:val="16"/>
                <w:vertAlign w:val="superscript"/>
                <w:lang w:eastAsia="es-AR"/>
              </w:rPr>
              <w:t>)</w:t>
            </w:r>
          </w:p>
        </w:tc>
      </w:tr>
      <w:tr w:rsidR="00F17A92" w:rsidRPr="00A2786A" w14:paraId="4F237920" w14:textId="77777777" w:rsidTr="003223AE">
        <w:trPr>
          <w:trHeight w:val="300"/>
        </w:trPr>
        <w:tc>
          <w:tcPr>
            <w:tcW w:w="2472" w:type="dxa"/>
            <w:gridSpan w:val="2"/>
            <w:vMerge/>
            <w:tcBorders>
              <w:top w:val="nil"/>
              <w:left w:val="nil"/>
              <w:bottom w:val="nil"/>
              <w:right w:val="nil"/>
            </w:tcBorders>
            <w:shd w:val="clear" w:color="auto" w:fill="FFFFFF" w:themeFill="background1"/>
            <w:vAlign w:val="center"/>
            <w:hideMark/>
          </w:tcPr>
          <w:p w14:paraId="58C28556" w14:textId="77777777" w:rsidR="00F17A92" w:rsidRPr="00A2786A" w:rsidRDefault="00F17A92" w:rsidP="00832936">
            <w:pPr>
              <w:rPr>
                <w:sz w:val="16"/>
                <w:szCs w:val="16"/>
                <w:lang w:eastAsia="es-AR"/>
              </w:rPr>
            </w:pPr>
          </w:p>
        </w:tc>
        <w:tc>
          <w:tcPr>
            <w:tcW w:w="4663" w:type="dxa"/>
            <w:gridSpan w:val="6"/>
            <w:tcBorders>
              <w:top w:val="nil"/>
              <w:left w:val="nil"/>
              <w:bottom w:val="nil"/>
              <w:right w:val="nil"/>
            </w:tcBorders>
            <w:shd w:val="clear" w:color="auto" w:fill="FFFFFF" w:themeFill="background1"/>
            <w:vAlign w:val="center"/>
            <w:hideMark/>
          </w:tcPr>
          <w:p w14:paraId="398219C5"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Discounted at (%/year)</w:t>
            </w:r>
          </w:p>
        </w:tc>
      </w:tr>
      <w:tr w:rsidR="003223AE" w:rsidRPr="00A2786A" w14:paraId="1DA06019" w14:textId="77777777" w:rsidTr="003223AE">
        <w:trPr>
          <w:gridBefore w:val="1"/>
          <w:wBefore w:w="567" w:type="dxa"/>
          <w:trHeight w:val="435"/>
        </w:trPr>
        <w:tc>
          <w:tcPr>
            <w:tcW w:w="2410" w:type="dxa"/>
            <w:gridSpan w:val="2"/>
            <w:vMerge w:val="restart"/>
            <w:tcBorders>
              <w:top w:val="nil"/>
              <w:left w:val="nil"/>
              <w:bottom w:val="nil"/>
              <w:right w:val="nil"/>
            </w:tcBorders>
            <w:shd w:val="clear" w:color="auto" w:fill="FFFFFF" w:themeFill="background1"/>
            <w:vAlign w:val="center"/>
            <w:hideMark/>
          </w:tcPr>
          <w:p w14:paraId="1EEAA34F" w14:textId="213F4425" w:rsidR="00F17A92" w:rsidRPr="00A2786A" w:rsidRDefault="00F17A92" w:rsidP="00832936">
            <w:pPr>
              <w:rPr>
                <w:b/>
                <w:bCs/>
                <w:color w:val="000000"/>
                <w:sz w:val="16"/>
                <w:szCs w:val="16"/>
                <w:lang w:val="es-AR" w:eastAsia="es-AR"/>
              </w:rPr>
            </w:pPr>
            <w:r w:rsidRPr="00A2786A">
              <w:rPr>
                <w:b/>
                <w:bCs/>
                <w:color w:val="000000"/>
                <w:sz w:val="16"/>
                <w:szCs w:val="16"/>
                <w:lang w:val="es-AR" w:eastAsia="es-AR"/>
              </w:rPr>
              <w:t>Reserves Category</w:t>
            </w:r>
            <w:r w:rsidRPr="00A2786A">
              <w:rPr>
                <w:b/>
                <w:bCs/>
                <w:color w:val="000000"/>
                <w:sz w:val="16"/>
                <w:szCs w:val="16"/>
                <w:vertAlign w:val="superscript"/>
                <w:lang w:val="es-AR" w:eastAsia="es-AR"/>
              </w:rPr>
              <w:t xml:space="preserve"> (</w:t>
            </w:r>
            <w:r w:rsidR="003A1458" w:rsidRPr="00A2786A">
              <w:rPr>
                <w:b/>
                <w:bCs/>
                <w:color w:val="000000"/>
                <w:sz w:val="16"/>
                <w:szCs w:val="16"/>
                <w:vertAlign w:val="superscript"/>
                <w:lang w:val="es-AR" w:eastAsia="es-AR"/>
              </w:rPr>
              <w:t>4</w:t>
            </w:r>
            <w:r w:rsidRPr="00A2786A">
              <w:rPr>
                <w:b/>
                <w:bCs/>
                <w:color w:val="000000"/>
                <w:sz w:val="16"/>
                <w:szCs w:val="16"/>
                <w:vertAlign w:val="superscript"/>
                <w:lang w:val="es-AR" w:eastAsia="es-AR"/>
              </w:rPr>
              <w:t>)</w:t>
            </w:r>
          </w:p>
        </w:tc>
        <w:tc>
          <w:tcPr>
            <w:tcW w:w="889" w:type="dxa"/>
            <w:tcBorders>
              <w:top w:val="nil"/>
              <w:left w:val="nil"/>
              <w:bottom w:val="nil"/>
              <w:right w:val="nil"/>
            </w:tcBorders>
            <w:shd w:val="clear" w:color="auto" w:fill="FFFFFF" w:themeFill="background1"/>
            <w:vAlign w:val="center"/>
            <w:hideMark/>
          </w:tcPr>
          <w:p w14:paraId="2A87C9A5"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0%</w:t>
            </w:r>
          </w:p>
        </w:tc>
        <w:tc>
          <w:tcPr>
            <w:tcW w:w="801" w:type="dxa"/>
            <w:tcBorders>
              <w:top w:val="nil"/>
              <w:left w:val="nil"/>
              <w:bottom w:val="nil"/>
              <w:right w:val="nil"/>
            </w:tcBorders>
            <w:shd w:val="clear" w:color="auto" w:fill="FFFFFF" w:themeFill="background1"/>
            <w:vAlign w:val="center"/>
            <w:hideMark/>
          </w:tcPr>
          <w:p w14:paraId="364F7E68"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5%</w:t>
            </w:r>
          </w:p>
        </w:tc>
        <w:tc>
          <w:tcPr>
            <w:tcW w:w="834" w:type="dxa"/>
            <w:tcBorders>
              <w:top w:val="nil"/>
              <w:left w:val="nil"/>
              <w:bottom w:val="nil"/>
              <w:right w:val="nil"/>
            </w:tcBorders>
            <w:shd w:val="clear" w:color="auto" w:fill="FFFFFF" w:themeFill="background1"/>
            <w:vAlign w:val="center"/>
            <w:hideMark/>
          </w:tcPr>
          <w:p w14:paraId="22B12FDA"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10%</w:t>
            </w:r>
          </w:p>
        </w:tc>
        <w:tc>
          <w:tcPr>
            <w:tcW w:w="811" w:type="dxa"/>
            <w:tcBorders>
              <w:top w:val="nil"/>
              <w:left w:val="nil"/>
              <w:bottom w:val="nil"/>
              <w:right w:val="nil"/>
            </w:tcBorders>
            <w:shd w:val="clear" w:color="auto" w:fill="FFFFFF" w:themeFill="background1"/>
            <w:vAlign w:val="center"/>
            <w:hideMark/>
          </w:tcPr>
          <w:p w14:paraId="02859065"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15%</w:t>
            </w:r>
          </w:p>
        </w:tc>
        <w:tc>
          <w:tcPr>
            <w:tcW w:w="823" w:type="dxa"/>
            <w:tcBorders>
              <w:top w:val="nil"/>
              <w:left w:val="nil"/>
              <w:bottom w:val="nil"/>
              <w:right w:val="nil"/>
            </w:tcBorders>
            <w:shd w:val="clear" w:color="auto" w:fill="FFFFFF" w:themeFill="background1"/>
            <w:vAlign w:val="center"/>
            <w:hideMark/>
          </w:tcPr>
          <w:p w14:paraId="59013022"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20%</w:t>
            </w:r>
          </w:p>
        </w:tc>
      </w:tr>
      <w:tr w:rsidR="003223AE" w:rsidRPr="00A2786A" w14:paraId="1C10E000" w14:textId="77777777" w:rsidTr="003223AE">
        <w:trPr>
          <w:gridBefore w:val="1"/>
          <w:wBefore w:w="567" w:type="dxa"/>
          <w:trHeight w:val="315"/>
        </w:trPr>
        <w:tc>
          <w:tcPr>
            <w:tcW w:w="2410" w:type="dxa"/>
            <w:gridSpan w:val="2"/>
            <w:vMerge/>
            <w:tcBorders>
              <w:top w:val="nil"/>
              <w:left w:val="nil"/>
              <w:bottom w:val="nil"/>
              <w:right w:val="nil"/>
            </w:tcBorders>
            <w:shd w:val="clear" w:color="auto" w:fill="FFFFFF" w:themeFill="background1"/>
            <w:vAlign w:val="center"/>
            <w:hideMark/>
          </w:tcPr>
          <w:p w14:paraId="2C935E19" w14:textId="77777777" w:rsidR="00F17A92" w:rsidRPr="00A2786A" w:rsidRDefault="00F17A92" w:rsidP="00832936">
            <w:pPr>
              <w:rPr>
                <w:b/>
                <w:bCs/>
                <w:color w:val="000000"/>
                <w:sz w:val="16"/>
                <w:szCs w:val="16"/>
                <w:lang w:val="es-AR" w:eastAsia="es-AR"/>
              </w:rPr>
            </w:pPr>
          </w:p>
        </w:tc>
        <w:tc>
          <w:tcPr>
            <w:tcW w:w="889" w:type="dxa"/>
            <w:tcBorders>
              <w:top w:val="nil"/>
              <w:left w:val="nil"/>
              <w:bottom w:val="nil"/>
              <w:right w:val="nil"/>
            </w:tcBorders>
            <w:shd w:val="clear" w:color="auto" w:fill="FFFFFF" w:themeFill="background1"/>
            <w:vAlign w:val="center"/>
            <w:hideMark/>
          </w:tcPr>
          <w:p w14:paraId="2C8DB5B5"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MMUS$</w:t>
            </w:r>
          </w:p>
        </w:tc>
        <w:tc>
          <w:tcPr>
            <w:tcW w:w="801" w:type="dxa"/>
            <w:tcBorders>
              <w:top w:val="nil"/>
              <w:left w:val="nil"/>
              <w:bottom w:val="nil"/>
              <w:right w:val="nil"/>
            </w:tcBorders>
            <w:shd w:val="clear" w:color="auto" w:fill="FFFFFF" w:themeFill="background1"/>
            <w:vAlign w:val="center"/>
            <w:hideMark/>
          </w:tcPr>
          <w:p w14:paraId="5380A550"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MMUS$</w:t>
            </w:r>
          </w:p>
        </w:tc>
        <w:tc>
          <w:tcPr>
            <w:tcW w:w="834" w:type="dxa"/>
            <w:tcBorders>
              <w:top w:val="nil"/>
              <w:left w:val="nil"/>
              <w:bottom w:val="nil"/>
              <w:right w:val="nil"/>
            </w:tcBorders>
            <w:shd w:val="clear" w:color="auto" w:fill="FFFFFF" w:themeFill="background1"/>
            <w:vAlign w:val="center"/>
            <w:hideMark/>
          </w:tcPr>
          <w:p w14:paraId="0952CF9F"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MMUS$</w:t>
            </w:r>
          </w:p>
        </w:tc>
        <w:tc>
          <w:tcPr>
            <w:tcW w:w="811" w:type="dxa"/>
            <w:tcBorders>
              <w:top w:val="nil"/>
              <w:left w:val="nil"/>
              <w:bottom w:val="nil"/>
              <w:right w:val="nil"/>
            </w:tcBorders>
            <w:shd w:val="clear" w:color="auto" w:fill="FFFFFF" w:themeFill="background1"/>
            <w:vAlign w:val="center"/>
            <w:hideMark/>
          </w:tcPr>
          <w:p w14:paraId="48F3CD45"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MMUS$</w:t>
            </w:r>
          </w:p>
        </w:tc>
        <w:tc>
          <w:tcPr>
            <w:tcW w:w="823" w:type="dxa"/>
            <w:tcBorders>
              <w:top w:val="nil"/>
              <w:left w:val="nil"/>
              <w:bottom w:val="nil"/>
              <w:right w:val="nil"/>
            </w:tcBorders>
            <w:shd w:val="clear" w:color="auto" w:fill="FFFFFF" w:themeFill="background1"/>
            <w:vAlign w:val="center"/>
            <w:hideMark/>
          </w:tcPr>
          <w:p w14:paraId="4C16A6FC" w14:textId="77777777" w:rsidR="00F17A92" w:rsidRPr="00A2786A" w:rsidRDefault="00F17A92" w:rsidP="00832936">
            <w:pPr>
              <w:jc w:val="center"/>
              <w:rPr>
                <w:b/>
                <w:bCs/>
                <w:color w:val="000000"/>
                <w:sz w:val="16"/>
                <w:szCs w:val="16"/>
                <w:lang w:val="es-AR" w:eastAsia="es-AR"/>
              </w:rPr>
            </w:pPr>
            <w:r w:rsidRPr="00A2786A">
              <w:rPr>
                <w:b/>
                <w:bCs/>
                <w:color w:val="000000"/>
                <w:sz w:val="16"/>
                <w:szCs w:val="16"/>
                <w:lang w:val="es-AR" w:eastAsia="es-AR"/>
              </w:rPr>
              <w:t>MMUS$</w:t>
            </w:r>
          </w:p>
        </w:tc>
      </w:tr>
      <w:tr w:rsidR="003223AE" w:rsidRPr="00A2786A" w14:paraId="5B285D37" w14:textId="77777777" w:rsidTr="007919F2">
        <w:trPr>
          <w:gridBefore w:val="1"/>
          <w:wBefore w:w="567" w:type="dxa"/>
          <w:trHeight w:val="300"/>
        </w:trPr>
        <w:tc>
          <w:tcPr>
            <w:tcW w:w="2410" w:type="dxa"/>
            <w:gridSpan w:val="2"/>
            <w:tcBorders>
              <w:top w:val="nil"/>
              <w:left w:val="nil"/>
              <w:bottom w:val="nil"/>
              <w:right w:val="nil"/>
            </w:tcBorders>
            <w:shd w:val="clear" w:color="auto" w:fill="FFFFFF" w:themeFill="background1"/>
            <w:vAlign w:val="center"/>
            <w:hideMark/>
          </w:tcPr>
          <w:p w14:paraId="4E6E1A4B" w14:textId="77777777" w:rsidR="00F17A92" w:rsidRPr="00A2786A" w:rsidRDefault="00F17A92" w:rsidP="007919F2">
            <w:pPr>
              <w:rPr>
                <w:color w:val="000000"/>
                <w:sz w:val="16"/>
                <w:szCs w:val="16"/>
                <w:lang w:val="es-AR" w:eastAsia="es-AR"/>
              </w:rPr>
            </w:pPr>
            <w:r w:rsidRPr="00A2786A">
              <w:rPr>
                <w:color w:val="000000"/>
                <w:sz w:val="16"/>
                <w:szCs w:val="16"/>
                <w:lang w:val="es-AR" w:eastAsia="es-AR"/>
              </w:rPr>
              <w:t>Proved:</w:t>
            </w:r>
          </w:p>
        </w:tc>
        <w:tc>
          <w:tcPr>
            <w:tcW w:w="889" w:type="dxa"/>
            <w:tcBorders>
              <w:top w:val="single" w:sz="4" w:space="0" w:color="auto"/>
              <w:left w:val="nil"/>
              <w:bottom w:val="nil"/>
              <w:right w:val="nil"/>
            </w:tcBorders>
            <w:shd w:val="clear" w:color="auto" w:fill="FFFFFF" w:themeFill="background1"/>
            <w:vAlign w:val="center"/>
            <w:hideMark/>
          </w:tcPr>
          <w:p w14:paraId="70F39539" w14:textId="77777777" w:rsidR="00F17A92" w:rsidRPr="00A2786A" w:rsidRDefault="00F17A92" w:rsidP="00832936">
            <w:pPr>
              <w:jc w:val="both"/>
              <w:rPr>
                <w:color w:val="000000"/>
                <w:sz w:val="16"/>
                <w:szCs w:val="16"/>
                <w:lang w:val="es-AR" w:eastAsia="es-AR"/>
              </w:rPr>
            </w:pPr>
            <w:r w:rsidRPr="00A2786A">
              <w:rPr>
                <w:color w:val="000000"/>
                <w:sz w:val="16"/>
                <w:szCs w:val="16"/>
                <w:lang w:val="es-AR" w:eastAsia="es-AR"/>
              </w:rPr>
              <w:t> </w:t>
            </w:r>
          </w:p>
        </w:tc>
        <w:tc>
          <w:tcPr>
            <w:tcW w:w="801" w:type="dxa"/>
            <w:tcBorders>
              <w:top w:val="single" w:sz="4" w:space="0" w:color="auto"/>
              <w:left w:val="nil"/>
              <w:bottom w:val="nil"/>
              <w:right w:val="nil"/>
            </w:tcBorders>
            <w:shd w:val="clear" w:color="auto" w:fill="FFFFFF" w:themeFill="background1"/>
            <w:vAlign w:val="center"/>
            <w:hideMark/>
          </w:tcPr>
          <w:p w14:paraId="4BB08DB6" w14:textId="77777777" w:rsidR="00F17A92" w:rsidRPr="00A2786A" w:rsidRDefault="00F17A92" w:rsidP="00832936">
            <w:pPr>
              <w:jc w:val="both"/>
              <w:rPr>
                <w:color w:val="000000"/>
                <w:sz w:val="16"/>
                <w:szCs w:val="16"/>
                <w:lang w:val="es-AR" w:eastAsia="es-AR"/>
              </w:rPr>
            </w:pPr>
            <w:r w:rsidRPr="00A2786A">
              <w:rPr>
                <w:color w:val="000000"/>
                <w:sz w:val="16"/>
                <w:szCs w:val="16"/>
                <w:lang w:val="es-AR" w:eastAsia="es-AR"/>
              </w:rPr>
              <w:t> </w:t>
            </w:r>
          </w:p>
        </w:tc>
        <w:tc>
          <w:tcPr>
            <w:tcW w:w="834" w:type="dxa"/>
            <w:tcBorders>
              <w:top w:val="single" w:sz="4" w:space="0" w:color="auto"/>
              <w:left w:val="nil"/>
              <w:bottom w:val="nil"/>
              <w:right w:val="nil"/>
            </w:tcBorders>
            <w:shd w:val="clear" w:color="auto" w:fill="FFFFFF" w:themeFill="background1"/>
            <w:vAlign w:val="center"/>
            <w:hideMark/>
          </w:tcPr>
          <w:p w14:paraId="4F396F6F" w14:textId="77777777" w:rsidR="00F17A92" w:rsidRPr="00A2786A" w:rsidRDefault="00F17A92" w:rsidP="00832936">
            <w:pPr>
              <w:jc w:val="both"/>
              <w:rPr>
                <w:color w:val="000000"/>
                <w:sz w:val="16"/>
                <w:szCs w:val="16"/>
                <w:lang w:val="es-AR" w:eastAsia="es-AR"/>
              </w:rPr>
            </w:pPr>
            <w:r w:rsidRPr="00A2786A">
              <w:rPr>
                <w:color w:val="000000"/>
                <w:sz w:val="16"/>
                <w:szCs w:val="16"/>
                <w:lang w:val="es-AR" w:eastAsia="es-AR"/>
              </w:rPr>
              <w:t> </w:t>
            </w:r>
          </w:p>
        </w:tc>
        <w:tc>
          <w:tcPr>
            <w:tcW w:w="811" w:type="dxa"/>
            <w:tcBorders>
              <w:top w:val="single" w:sz="4" w:space="0" w:color="auto"/>
              <w:left w:val="nil"/>
              <w:bottom w:val="nil"/>
              <w:right w:val="nil"/>
            </w:tcBorders>
            <w:shd w:val="clear" w:color="auto" w:fill="FFFFFF" w:themeFill="background1"/>
            <w:vAlign w:val="center"/>
            <w:hideMark/>
          </w:tcPr>
          <w:p w14:paraId="6974D9E0" w14:textId="77777777" w:rsidR="00F17A92" w:rsidRPr="00A2786A" w:rsidRDefault="00F17A92" w:rsidP="00832936">
            <w:pPr>
              <w:jc w:val="both"/>
              <w:rPr>
                <w:color w:val="000000"/>
                <w:sz w:val="16"/>
                <w:szCs w:val="16"/>
                <w:lang w:val="es-AR" w:eastAsia="es-AR"/>
              </w:rPr>
            </w:pPr>
            <w:r w:rsidRPr="00A2786A">
              <w:rPr>
                <w:color w:val="000000"/>
                <w:sz w:val="16"/>
                <w:szCs w:val="16"/>
                <w:lang w:val="es-AR" w:eastAsia="es-AR"/>
              </w:rPr>
              <w:t> </w:t>
            </w:r>
          </w:p>
        </w:tc>
        <w:tc>
          <w:tcPr>
            <w:tcW w:w="823" w:type="dxa"/>
            <w:tcBorders>
              <w:top w:val="single" w:sz="4" w:space="0" w:color="auto"/>
              <w:left w:val="nil"/>
              <w:bottom w:val="nil"/>
              <w:right w:val="nil"/>
            </w:tcBorders>
            <w:shd w:val="clear" w:color="auto" w:fill="FFFFFF" w:themeFill="background1"/>
            <w:vAlign w:val="center"/>
            <w:hideMark/>
          </w:tcPr>
          <w:p w14:paraId="42D75D70" w14:textId="77777777" w:rsidR="00F17A92" w:rsidRPr="00A2786A" w:rsidRDefault="00F17A92" w:rsidP="00832936">
            <w:pPr>
              <w:jc w:val="both"/>
              <w:rPr>
                <w:color w:val="000000"/>
                <w:sz w:val="16"/>
                <w:szCs w:val="16"/>
                <w:lang w:val="es-AR" w:eastAsia="es-AR"/>
              </w:rPr>
            </w:pPr>
            <w:r w:rsidRPr="00A2786A">
              <w:rPr>
                <w:color w:val="000000"/>
                <w:sz w:val="16"/>
                <w:szCs w:val="16"/>
                <w:lang w:val="es-AR" w:eastAsia="es-AR"/>
              </w:rPr>
              <w:t> </w:t>
            </w:r>
          </w:p>
        </w:tc>
      </w:tr>
      <w:tr w:rsidR="00DB41A8" w:rsidRPr="00A2786A" w14:paraId="2F3DA42B" w14:textId="77777777" w:rsidTr="00F552EA">
        <w:trPr>
          <w:gridBefore w:val="1"/>
          <w:wBefore w:w="567" w:type="dxa"/>
          <w:trHeight w:val="315"/>
        </w:trPr>
        <w:tc>
          <w:tcPr>
            <w:tcW w:w="2410" w:type="dxa"/>
            <w:gridSpan w:val="2"/>
            <w:tcBorders>
              <w:top w:val="nil"/>
              <w:left w:val="nil"/>
              <w:bottom w:val="nil"/>
              <w:right w:val="nil"/>
            </w:tcBorders>
            <w:shd w:val="clear" w:color="auto" w:fill="FFFFFF" w:themeFill="background1"/>
            <w:vAlign w:val="center"/>
            <w:hideMark/>
          </w:tcPr>
          <w:p w14:paraId="368CE46B" w14:textId="77777777" w:rsidR="00DB41A8" w:rsidRPr="00A2786A" w:rsidRDefault="00DB41A8" w:rsidP="00DB41A8">
            <w:pPr>
              <w:rPr>
                <w:color w:val="000000"/>
                <w:sz w:val="16"/>
                <w:szCs w:val="16"/>
                <w:lang w:val="es-AR" w:eastAsia="es-AR"/>
              </w:rPr>
            </w:pPr>
            <w:r w:rsidRPr="00A2786A">
              <w:rPr>
                <w:color w:val="000000"/>
                <w:sz w:val="16"/>
                <w:szCs w:val="16"/>
                <w:lang w:val="es-AR" w:eastAsia="es-AR"/>
              </w:rPr>
              <w:t>Developed Producing</w:t>
            </w:r>
          </w:p>
        </w:tc>
        <w:tc>
          <w:tcPr>
            <w:tcW w:w="889" w:type="dxa"/>
            <w:tcBorders>
              <w:top w:val="nil"/>
              <w:left w:val="nil"/>
              <w:bottom w:val="nil"/>
              <w:right w:val="nil"/>
            </w:tcBorders>
            <w:shd w:val="clear" w:color="auto" w:fill="FFFFFF" w:themeFill="background1"/>
            <w:hideMark/>
          </w:tcPr>
          <w:p w14:paraId="5623A3C1" w14:textId="5E2CCCDC" w:rsidR="00DB41A8" w:rsidRPr="00A2786A" w:rsidRDefault="009C33AD" w:rsidP="00F552EA">
            <w:pPr>
              <w:jc w:val="center"/>
              <w:rPr>
                <w:color w:val="000000"/>
                <w:sz w:val="16"/>
                <w:szCs w:val="16"/>
                <w:lang w:val="es-AR" w:eastAsia="es-AR"/>
              </w:rPr>
            </w:pPr>
            <w:r w:rsidRPr="00A2786A">
              <w:rPr>
                <w:b/>
                <w:bCs/>
                <w:sz w:val="16"/>
                <w:szCs w:val="16"/>
              </w:rPr>
              <w:t>-104.9</w:t>
            </w:r>
          </w:p>
        </w:tc>
        <w:tc>
          <w:tcPr>
            <w:tcW w:w="801" w:type="dxa"/>
            <w:tcBorders>
              <w:top w:val="nil"/>
              <w:left w:val="nil"/>
              <w:bottom w:val="nil"/>
              <w:right w:val="nil"/>
            </w:tcBorders>
            <w:shd w:val="clear" w:color="auto" w:fill="FFFFFF" w:themeFill="background1"/>
            <w:hideMark/>
          </w:tcPr>
          <w:p w14:paraId="304DF682" w14:textId="77BBFFAA" w:rsidR="00DB41A8" w:rsidRPr="00A2786A" w:rsidRDefault="009C33AD" w:rsidP="00DB41A8">
            <w:pPr>
              <w:jc w:val="center"/>
              <w:rPr>
                <w:color w:val="000000"/>
                <w:sz w:val="16"/>
                <w:szCs w:val="16"/>
                <w:lang w:val="es-AR" w:eastAsia="es-AR"/>
              </w:rPr>
            </w:pPr>
            <w:r w:rsidRPr="00A2786A">
              <w:rPr>
                <w:b/>
                <w:bCs/>
                <w:sz w:val="16"/>
                <w:szCs w:val="16"/>
              </w:rPr>
              <w:t>-71.4</w:t>
            </w:r>
          </w:p>
        </w:tc>
        <w:tc>
          <w:tcPr>
            <w:tcW w:w="834" w:type="dxa"/>
            <w:tcBorders>
              <w:top w:val="nil"/>
              <w:left w:val="nil"/>
              <w:bottom w:val="nil"/>
              <w:right w:val="nil"/>
            </w:tcBorders>
            <w:shd w:val="clear" w:color="auto" w:fill="FFFFFF" w:themeFill="background1"/>
            <w:hideMark/>
          </w:tcPr>
          <w:p w14:paraId="39F6B96F" w14:textId="024C249B" w:rsidR="00DB41A8" w:rsidRPr="00A2786A" w:rsidRDefault="009C33AD" w:rsidP="00DB41A8">
            <w:pPr>
              <w:jc w:val="center"/>
              <w:rPr>
                <w:color w:val="000000"/>
                <w:sz w:val="16"/>
                <w:szCs w:val="16"/>
                <w:lang w:val="es-AR" w:eastAsia="es-AR"/>
              </w:rPr>
            </w:pPr>
            <w:r w:rsidRPr="00A2786A">
              <w:rPr>
                <w:b/>
                <w:bCs/>
                <w:sz w:val="16"/>
                <w:szCs w:val="16"/>
              </w:rPr>
              <w:t>-48.4</w:t>
            </w:r>
          </w:p>
        </w:tc>
        <w:tc>
          <w:tcPr>
            <w:tcW w:w="811" w:type="dxa"/>
            <w:tcBorders>
              <w:top w:val="nil"/>
              <w:left w:val="nil"/>
              <w:bottom w:val="nil"/>
              <w:right w:val="nil"/>
            </w:tcBorders>
            <w:shd w:val="clear" w:color="auto" w:fill="FFFFFF" w:themeFill="background1"/>
            <w:hideMark/>
          </w:tcPr>
          <w:p w14:paraId="4934B9DB" w14:textId="3E250DEC" w:rsidR="00DB41A8" w:rsidRPr="00A2786A" w:rsidRDefault="009C33AD" w:rsidP="00DB41A8">
            <w:pPr>
              <w:jc w:val="center"/>
              <w:rPr>
                <w:color w:val="000000"/>
                <w:sz w:val="16"/>
                <w:szCs w:val="16"/>
                <w:lang w:val="es-AR" w:eastAsia="es-AR"/>
              </w:rPr>
            </w:pPr>
            <w:r w:rsidRPr="00A2786A">
              <w:rPr>
                <w:b/>
                <w:bCs/>
                <w:sz w:val="16"/>
                <w:szCs w:val="16"/>
              </w:rPr>
              <w:t>-32.4</w:t>
            </w:r>
          </w:p>
        </w:tc>
        <w:tc>
          <w:tcPr>
            <w:tcW w:w="823" w:type="dxa"/>
            <w:tcBorders>
              <w:top w:val="nil"/>
              <w:left w:val="nil"/>
              <w:bottom w:val="nil"/>
              <w:right w:val="nil"/>
            </w:tcBorders>
            <w:shd w:val="clear" w:color="auto" w:fill="FFFFFF" w:themeFill="background1"/>
            <w:hideMark/>
          </w:tcPr>
          <w:p w14:paraId="06CADAEF" w14:textId="2E93F8BF" w:rsidR="00DB41A8" w:rsidRPr="00A2786A" w:rsidRDefault="009C33AD" w:rsidP="00DB41A8">
            <w:pPr>
              <w:jc w:val="center"/>
              <w:rPr>
                <w:color w:val="000000"/>
                <w:sz w:val="16"/>
                <w:szCs w:val="16"/>
                <w:lang w:val="es-AR" w:eastAsia="es-AR"/>
              </w:rPr>
            </w:pPr>
            <w:r w:rsidRPr="00A2786A">
              <w:rPr>
                <w:b/>
                <w:bCs/>
                <w:sz w:val="16"/>
                <w:szCs w:val="16"/>
              </w:rPr>
              <w:t>-21.0</w:t>
            </w:r>
          </w:p>
        </w:tc>
      </w:tr>
      <w:tr w:rsidR="00DB41A8" w:rsidRPr="00A2786A" w14:paraId="529144B3" w14:textId="77777777" w:rsidTr="00DB41A8">
        <w:trPr>
          <w:gridBefore w:val="1"/>
          <w:wBefore w:w="567" w:type="dxa"/>
          <w:trHeight w:val="315"/>
        </w:trPr>
        <w:tc>
          <w:tcPr>
            <w:tcW w:w="2410" w:type="dxa"/>
            <w:gridSpan w:val="2"/>
            <w:tcBorders>
              <w:top w:val="nil"/>
              <w:left w:val="nil"/>
              <w:bottom w:val="nil"/>
              <w:right w:val="nil"/>
            </w:tcBorders>
            <w:shd w:val="clear" w:color="auto" w:fill="FFFFFF" w:themeFill="background1"/>
            <w:vAlign w:val="center"/>
            <w:hideMark/>
          </w:tcPr>
          <w:p w14:paraId="6ACFD8F0" w14:textId="77777777" w:rsidR="00DB41A8" w:rsidRPr="00A2786A" w:rsidRDefault="00DB41A8" w:rsidP="00DB41A8">
            <w:pPr>
              <w:rPr>
                <w:color w:val="000000"/>
                <w:sz w:val="16"/>
                <w:szCs w:val="16"/>
                <w:lang w:val="es-AR" w:eastAsia="es-AR"/>
              </w:rPr>
            </w:pPr>
            <w:r w:rsidRPr="00A2786A">
              <w:rPr>
                <w:color w:val="000000"/>
                <w:sz w:val="16"/>
                <w:szCs w:val="16"/>
                <w:lang w:val="es-AR" w:eastAsia="es-AR"/>
              </w:rPr>
              <w:t>Developed Non-Producing</w:t>
            </w:r>
          </w:p>
        </w:tc>
        <w:tc>
          <w:tcPr>
            <w:tcW w:w="889" w:type="dxa"/>
            <w:tcBorders>
              <w:top w:val="nil"/>
              <w:left w:val="nil"/>
              <w:bottom w:val="nil"/>
              <w:right w:val="nil"/>
            </w:tcBorders>
            <w:shd w:val="clear" w:color="auto" w:fill="FFFFFF" w:themeFill="background1"/>
            <w:hideMark/>
          </w:tcPr>
          <w:p w14:paraId="42C26ECA" w14:textId="7878801A" w:rsidR="00DB41A8" w:rsidRPr="00A2786A" w:rsidRDefault="00DB41A8" w:rsidP="00DB41A8">
            <w:pPr>
              <w:jc w:val="center"/>
              <w:rPr>
                <w:color w:val="000000"/>
                <w:sz w:val="16"/>
                <w:szCs w:val="16"/>
                <w:lang w:val="es-AR" w:eastAsia="es-AR"/>
              </w:rPr>
            </w:pPr>
            <w:r w:rsidRPr="00A2786A">
              <w:rPr>
                <w:b/>
                <w:bCs/>
                <w:sz w:val="16"/>
                <w:szCs w:val="16"/>
              </w:rPr>
              <w:t>-</w:t>
            </w:r>
          </w:p>
        </w:tc>
        <w:tc>
          <w:tcPr>
            <w:tcW w:w="801" w:type="dxa"/>
            <w:tcBorders>
              <w:top w:val="nil"/>
              <w:left w:val="nil"/>
              <w:bottom w:val="nil"/>
              <w:right w:val="nil"/>
            </w:tcBorders>
            <w:shd w:val="clear" w:color="auto" w:fill="FFFFFF" w:themeFill="background1"/>
            <w:hideMark/>
          </w:tcPr>
          <w:p w14:paraId="3821221C" w14:textId="41D75B28" w:rsidR="00DB41A8" w:rsidRPr="00A2786A" w:rsidRDefault="00DB41A8" w:rsidP="00DB41A8">
            <w:pPr>
              <w:jc w:val="center"/>
              <w:rPr>
                <w:color w:val="000000"/>
                <w:sz w:val="16"/>
                <w:szCs w:val="16"/>
                <w:lang w:val="es-AR" w:eastAsia="es-AR"/>
              </w:rPr>
            </w:pPr>
            <w:r w:rsidRPr="00A2786A">
              <w:rPr>
                <w:b/>
                <w:bCs/>
                <w:sz w:val="16"/>
                <w:szCs w:val="16"/>
              </w:rPr>
              <w:t>-</w:t>
            </w:r>
          </w:p>
        </w:tc>
        <w:tc>
          <w:tcPr>
            <w:tcW w:w="834" w:type="dxa"/>
            <w:tcBorders>
              <w:top w:val="nil"/>
              <w:left w:val="nil"/>
              <w:bottom w:val="nil"/>
              <w:right w:val="nil"/>
            </w:tcBorders>
            <w:shd w:val="clear" w:color="auto" w:fill="FFFFFF" w:themeFill="background1"/>
            <w:hideMark/>
          </w:tcPr>
          <w:p w14:paraId="6A266722" w14:textId="7DD0F527" w:rsidR="00DB41A8" w:rsidRPr="00A2786A" w:rsidRDefault="00DB41A8" w:rsidP="00DB41A8">
            <w:pPr>
              <w:jc w:val="center"/>
              <w:rPr>
                <w:color w:val="000000"/>
                <w:sz w:val="16"/>
                <w:szCs w:val="16"/>
                <w:lang w:val="es-AR" w:eastAsia="es-AR"/>
              </w:rPr>
            </w:pPr>
            <w:r w:rsidRPr="00A2786A">
              <w:rPr>
                <w:b/>
                <w:bCs/>
                <w:sz w:val="16"/>
                <w:szCs w:val="16"/>
              </w:rPr>
              <w:t>-</w:t>
            </w:r>
          </w:p>
        </w:tc>
        <w:tc>
          <w:tcPr>
            <w:tcW w:w="811" w:type="dxa"/>
            <w:tcBorders>
              <w:top w:val="nil"/>
              <w:left w:val="nil"/>
              <w:bottom w:val="nil"/>
              <w:right w:val="nil"/>
            </w:tcBorders>
            <w:shd w:val="clear" w:color="auto" w:fill="FFFFFF" w:themeFill="background1"/>
            <w:hideMark/>
          </w:tcPr>
          <w:p w14:paraId="5E4F70D2" w14:textId="17287580" w:rsidR="00DB41A8" w:rsidRPr="00A2786A" w:rsidRDefault="00DB41A8" w:rsidP="00DB41A8">
            <w:pPr>
              <w:jc w:val="center"/>
              <w:rPr>
                <w:color w:val="000000"/>
                <w:sz w:val="16"/>
                <w:szCs w:val="16"/>
                <w:lang w:val="es-AR" w:eastAsia="es-AR"/>
              </w:rPr>
            </w:pPr>
            <w:r w:rsidRPr="00A2786A">
              <w:rPr>
                <w:b/>
                <w:bCs/>
                <w:sz w:val="16"/>
                <w:szCs w:val="16"/>
              </w:rPr>
              <w:t>-</w:t>
            </w:r>
          </w:p>
        </w:tc>
        <w:tc>
          <w:tcPr>
            <w:tcW w:w="823" w:type="dxa"/>
            <w:tcBorders>
              <w:top w:val="nil"/>
              <w:left w:val="nil"/>
              <w:bottom w:val="nil"/>
              <w:right w:val="nil"/>
            </w:tcBorders>
            <w:shd w:val="clear" w:color="auto" w:fill="FFFFFF" w:themeFill="background1"/>
            <w:hideMark/>
          </w:tcPr>
          <w:p w14:paraId="28A81097" w14:textId="06305D83" w:rsidR="00DB41A8" w:rsidRPr="00A2786A" w:rsidRDefault="00DB41A8" w:rsidP="00DB41A8">
            <w:pPr>
              <w:jc w:val="center"/>
              <w:rPr>
                <w:color w:val="000000"/>
                <w:sz w:val="16"/>
                <w:szCs w:val="16"/>
                <w:lang w:val="es-AR" w:eastAsia="es-AR"/>
              </w:rPr>
            </w:pPr>
            <w:r w:rsidRPr="00A2786A">
              <w:rPr>
                <w:b/>
                <w:bCs/>
                <w:sz w:val="16"/>
                <w:szCs w:val="16"/>
              </w:rPr>
              <w:t>-</w:t>
            </w:r>
          </w:p>
        </w:tc>
      </w:tr>
      <w:tr w:rsidR="00DB41A8" w:rsidRPr="00A2786A" w14:paraId="5C023228" w14:textId="77777777" w:rsidTr="00DB41A8">
        <w:trPr>
          <w:gridBefore w:val="1"/>
          <w:wBefore w:w="567" w:type="dxa"/>
          <w:trHeight w:val="315"/>
        </w:trPr>
        <w:tc>
          <w:tcPr>
            <w:tcW w:w="2410" w:type="dxa"/>
            <w:gridSpan w:val="2"/>
            <w:tcBorders>
              <w:top w:val="nil"/>
              <w:left w:val="nil"/>
              <w:bottom w:val="nil"/>
              <w:right w:val="nil"/>
            </w:tcBorders>
            <w:shd w:val="clear" w:color="auto" w:fill="FFFFFF" w:themeFill="background1"/>
            <w:vAlign w:val="center"/>
            <w:hideMark/>
          </w:tcPr>
          <w:p w14:paraId="2A056AAF" w14:textId="77777777" w:rsidR="00DB41A8" w:rsidRPr="00A2786A" w:rsidRDefault="00DB41A8" w:rsidP="00DB41A8">
            <w:pPr>
              <w:rPr>
                <w:color w:val="000000"/>
                <w:sz w:val="16"/>
                <w:szCs w:val="16"/>
                <w:lang w:val="es-AR" w:eastAsia="es-AR"/>
              </w:rPr>
            </w:pPr>
            <w:r w:rsidRPr="00A2786A">
              <w:rPr>
                <w:color w:val="000000"/>
                <w:sz w:val="16"/>
                <w:szCs w:val="16"/>
                <w:lang w:val="es-AR" w:eastAsia="es-AR"/>
              </w:rPr>
              <w:t>Undeveloped</w:t>
            </w:r>
          </w:p>
        </w:tc>
        <w:tc>
          <w:tcPr>
            <w:tcW w:w="889" w:type="dxa"/>
            <w:tcBorders>
              <w:top w:val="nil"/>
              <w:left w:val="nil"/>
              <w:bottom w:val="nil"/>
              <w:right w:val="nil"/>
            </w:tcBorders>
            <w:shd w:val="clear" w:color="auto" w:fill="FFFFFF" w:themeFill="background1"/>
            <w:hideMark/>
          </w:tcPr>
          <w:p w14:paraId="2CDA8561" w14:textId="6A5564AF" w:rsidR="00DB41A8" w:rsidRPr="00A2786A" w:rsidRDefault="009C33AD" w:rsidP="00DB41A8">
            <w:pPr>
              <w:jc w:val="center"/>
              <w:rPr>
                <w:color w:val="000000"/>
                <w:sz w:val="16"/>
                <w:szCs w:val="16"/>
                <w:lang w:val="es-AR" w:eastAsia="es-AR"/>
              </w:rPr>
            </w:pPr>
            <w:r w:rsidRPr="00A2786A">
              <w:rPr>
                <w:b/>
                <w:bCs/>
                <w:sz w:val="16"/>
                <w:szCs w:val="16"/>
              </w:rPr>
              <w:t>36.</w:t>
            </w:r>
            <w:r w:rsidR="00F552EA" w:rsidRPr="00A2786A">
              <w:rPr>
                <w:b/>
                <w:bCs/>
                <w:sz w:val="16"/>
                <w:szCs w:val="16"/>
              </w:rPr>
              <w:t>2</w:t>
            </w:r>
          </w:p>
        </w:tc>
        <w:tc>
          <w:tcPr>
            <w:tcW w:w="801" w:type="dxa"/>
            <w:tcBorders>
              <w:top w:val="nil"/>
              <w:left w:val="nil"/>
              <w:bottom w:val="nil"/>
              <w:right w:val="nil"/>
            </w:tcBorders>
            <w:shd w:val="clear" w:color="auto" w:fill="FFFFFF" w:themeFill="background1"/>
            <w:hideMark/>
          </w:tcPr>
          <w:p w14:paraId="563BB0DB" w14:textId="69047F9D" w:rsidR="00DB41A8" w:rsidRPr="00A2786A" w:rsidRDefault="009C33AD" w:rsidP="00DB41A8">
            <w:pPr>
              <w:jc w:val="center"/>
              <w:rPr>
                <w:color w:val="000000"/>
                <w:sz w:val="16"/>
                <w:szCs w:val="16"/>
                <w:lang w:val="es-AR" w:eastAsia="es-AR"/>
              </w:rPr>
            </w:pPr>
            <w:r w:rsidRPr="00A2786A">
              <w:rPr>
                <w:b/>
                <w:bCs/>
                <w:sz w:val="16"/>
                <w:szCs w:val="16"/>
              </w:rPr>
              <w:t>42.</w:t>
            </w:r>
            <w:r w:rsidR="00F552EA" w:rsidRPr="00A2786A">
              <w:rPr>
                <w:b/>
                <w:bCs/>
                <w:sz w:val="16"/>
                <w:szCs w:val="16"/>
              </w:rPr>
              <w:t>3</w:t>
            </w:r>
          </w:p>
        </w:tc>
        <w:tc>
          <w:tcPr>
            <w:tcW w:w="834" w:type="dxa"/>
            <w:tcBorders>
              <w:top w:val="nil"/>
              <w:left w:val="nil"/>
              <w:bottom w:val="nil"/>
              <w:right w:val="nil"/>
            </w:tcBorders>
            <w:shd w:val="clear" w:color="auto" w:fill="FFFFFF" w:themeFill="background1"/>
            <w:hideMark/>
          </w:tcPr>
          <w:p w14:paraId="4AFC9A80" w14:textId="261BE915" w:rsidR="00DB41A8" w:rsidRPr="00A2786A" w:rsidRDefault="009C33AD" w:rsidP="00DB41A8">
            <w:pPr>
              <w:jc w:val="center"/>
              <w:rPr>
                <w:color w:val="000000"/>
                <w:sz w:val="16"/>
                <w:szCs w:val="16"/>
                <w:lang w:val="es-AR" w:eastAsia="es-AR"/>
              </w:rPr>
            </w:pPr>
            <w:r w:rsidRPr="00A2786A">
              <w:rPr>
                <w:b/>
                <w:bCs/>
                <w:sz w:val="16"/>
                <w:szCs w:val="16"/>
              </w:rPr>
              <w:t>39.9</w:t>
            </w:r>
          </w:p>
        </w:tc>
        <w:tc>
          <w:tcPr>
            <w:tcW w:w="811" w:type="dxa"/>
            <w:tcBorders>
              <w:top w:val="nil"/>
              <w:left w:val="nil"/>
              <w:bottom w:val="nil"/>
              <w:right w:val="nil"/>
            </w:tcBorders>
            <w:shd w:val="clear" w:color="auto" w:fill="FFFFFF" w:themeFill="background1"/>
            <w:hideMark/>
          </w:tcPr>
          <w:p w14:paraId="57BFEB47" w14:textId="17C99D21" w:rsidR="00DB41A8" w:rsidRPr="00A2786A" w:rsidRDefault="009C33AD" w:rsidP="00DB41A8">
            <w:pPr>
              <w:jc w:val="center"/>
              <w:rPr>
                <w:color w:val="000000"/>
                <w:sz w:val="16"/>
                <w:szCs w:val="16"/>
                <w:lang w:val="es-AR" w:eastAsia="es-AR"/>
              </w:rPr>
            </w:pPr>
            <w:r w:rsidRPr="00A2786A">
              <w:rPr>
                <w:b/>
                <w:bCs/>
                <w:sz w:val="16"/>
                <w:szCs w:val="16"/>
              </w:rPr>
              <w:t>34.4</w:t>
            </w:r>
          </w:p>
        </w:tc>
        <w:tc>
          <w:tcPr>
            <w:tcW w:w="823" w:type="dxa"/>
            <w:tcBorders>
              <w:top w:val="nil"/>
              <w:left w:val="nil"/>
              <w:bottom w:val="nil"/>
              <w:right w:val="nil"/>
            </w:tcBorders>
            <w:shd w:val="clear" w:color="auto" w:fill="FFFFFF" w:themeFill="background1"/>
            <w:hideMark/>
          </w:tcPr>
          <w:p w14:paraId="78B1E745" w14:textId="6CA09568" w:rsidR="00DB41A8" w:rsidRPr="00A2786A" w:rsidRDefault="009C33AD" w:rsidP="00DB41A8">
            <w:pPr>
              <w:jc w:val="center"/>
              <w:rPr>
                <w:color w:val="000000"/>
                <w:sz w:val="16"/>
                <w:szCs w:val="16"/>
                <w:lang w:val="es-AR" w:eastAsia="es-AR"/>
              </w:rPr>
            </w:pPr>
            <w:r w:rsidRPr="00A2786A">
              <w:rPr>
                <w:b/>
                <w:bCs/>
                <w:sz w:val="16"/>
                <w:szCs w:val="16"/>
              </w:rPr>
              <w:t>28.</w:t>
            </w:r>
            <w:r w:rsidR="00F552EA" w:rsidRPr="00A2786A">
              <w:rPr>
                <w:b/>
                <w:bCs/>
                <w:sz w:val="16"/>
                <w:szCs w:val="16"/>
              </w:rPr>
              <w:t>3</w:t>
            </w:r>
          </w:p>
        </w:tc>
      </w:tr>
      <w:tr w:rsidR="00DB41A8" w:rsidRPr="00A2786A" w14:paraId="2F7E47A4" w14:textId="77777777" w:rsidTr="00DB41A8">
        <w:trPr>
          <w:gridBefore w:val="1"/>
          <w:wBefore w:w="567" w:type="dxa"/>
          <w:trHeight w:val="315"/>
        </w:trPr>
        <w:tc>
          <w:tcPr>
            <w:tcW w:w="2410" w:type="dxa"/>
            <w:gridSpan w:val="2"/>
            <w:tcBorders>
              <w:top w:val="nil"/>
              <w:left w:val="nil"/>
              <w:bottom w:val="nil"/>
              <w:right w:val="nil"/>
            </w:tcBorders>
            <w:shd w:val="clear" w:color="auto" w:fill="FFFFFF" w:themeFill="background1"/>
            <w:vAlign w:val="center"/>
            <w:hideMark/>
          </w:tcPr>
          <w:p w14:paraId="5B4B1E8B" w14:textId="77777777" w:rsidR="00DB41A8" w:rsidRPr="00A2786A" w:rsidRDefault="00DB41A8" w:rsidP="00DB41A8">
            <w:pPr>
              <w:rPr>
                <w:color w:val="000000"/>
                <w:sz w:val="16"/>
                <w:szCs w:val="16"/>
                <w:lang w:val="es-AR" w:eastAsia="es-AR"/>
              </w:rPr>
            </w:pPr>
            <w:r w:rsidRPr="00A2786A">
              <w:rPr>
                <w:color w:val="000000"/>
                <w:sz w:val="16"/>
                <w:szCs w:val="16"/>
                <w:lang w:val="es-AR" w:eastAsia="es-AR"/>
              </w:rPr>
              <w:t>Total Proved</w:t>
            </w:r>
          </w:p>
        </w:tc>
        <w:tc>
          <w:tcPr>
            <w:tcW w:w="889" w:type="dxa"/>
            <w:tcBorders>
              <w:top w:val="single" w:sz="4" w:space="0" w:color="auto"/>
              <w:left w:val="nil"/>
              <w:bottom w:val="single" w:sz="4" w:space="0" w:color="auto"/>
              <w:right w:val="nil"/>
            </w:tcBorders>
            <w:shd w:val="clear" w:color="auto" w:fill="FFFFFF" w:themeFill="background1"/>
            <w:hideMark/>
          </w:tcPr>
          <w:p w14:paraId="6BDF978E" w14:textId="3826BDCF" w:rsidR="00DB41A8" w:rsidRPr="00A2786A" w:rsidRDefault="009C33AD" w:rsidP="00DB41A8">
            <w:pPr>
              <w:jc w:val="center"/>
              <w:rPr>
                <w:b/>
                <w:bCs/>
                <w:color w:val="000000"/>
                <w:sz w:val="16"/>
                <w:szCs w:val="16"/>
                <w:lang w:val="es-AR" w:eastAsia="es-AR"/>
              </w:rPr>
            </w:pPr>
            <w:r w:rsidRPr="00A2786A">
              <w:rPr>
                <w:b/>
                <w:bCs/>
                <w:sz w:val="16"/>
                <w:szCs w:val="16"/>
              </w:rPr>
              <w:t>-68.8</w:t>
            </w:r>
          </w:p>
        </w:tc>
        <w:tc>
          <w:tcPr>
            <w:tcW w:w="801" w:type="dxa"/>
            <w:tcBorders>
              <w:top w:val="single" w:sz="4" w:space="0" w:color="auto"/>
              <w:left w:val="nil"/>
              <w:bottom w:val="single" w:sz="4" w:space="0" w:color="auto"/>
              <w:right w:val="nil"/>
            </w:tcBorders>
            <w:shd w:val="clear" w:color="auto" w:fill="FFFFFF" w:themeFill="background1"/>
            <w:hideMark/>
          </w:tcPr>
          <w:p w14:paraId="7BC6135A" w14:textId="414C7E13" w:rsidR="00DB41A8" w:rsidRPr="00A2786A" w:rsidRDefault="009C33AD" w:rsidP="00DB41A8">
            <w:pPr>
              <w:jc w:val="center"/>
              <w:rPr>
                <w:b/>
                <w:bCs/>
                <w:color w:val="000000"/>
                <w:sz w:val="16"/>
                <w:szCs w:val="16"/>
                <w:lang w:val="es-AR" w:eastAsia="es-AR"/>
              </w:rPr>
            </w:pPr>
            <w:r w:rsidRPr="00A2786A">
              <w:rPr>
                <w:b/>
                <w:bCs/>
                <w:sz w:val="16"/>
                <w:szCs w:val="16"/>
              </w:rPr>
              <w:t>-29.2</w:t>
            </w:r>
          </w:p>
        </w:tc>
        <w:tc>
          <w:tcPr>
            <w:tcW w:w="834" w:type="dxa"/>
            <w:tcBorders>
              <w:top w:val="single" w:sz="4" w:space="0" w:color="auto"/>
              <w:left w:val="nil"/>
              <w:bottom w:val="single" w:sz="4" w:space="0" w:color="auto"/>
              <w:right w:val="nil"/>
            </w:tcBorders>
            <w:shd w:val="clear" w:color="auto" w:fill="FFFFFF" w:themeFill="background1"/>
            <w:hideMark/>
          </w:tcPr>
          <w:p w14:paraId="78E14BC4" w14:textId="2E8D6A82" w:rsidR="00DB41A8" w:rsidRPr="00A2786A" w:rsidRDefault="009C33AD" w:rsidP="00DB41A8">
            <w:pPr>
              <w:jc w:val="center"/>
              <w:rPr>
                <w:b/>
                <w:bCs/>
                <w:color w:val="000000"/>
                <w:sz w:val="16"/>
                <w:szCs w:val="16"/>
                <w:lang w:val="es-AR" w:eastAsia="es-AR"/>
              </w:rPr>
            </w:pPr>
            <w:r w:rsidRPr="00A2786A">
              <w:rPr>
                <w:b/>
                <w:bCs/>
                <w:sz w:val="16"/>
                <w:szCs w:val="16"/>
              </w:rPr>
              <w:t>-8.5</w:t>
            </w:r>
          </w:p>
        </w:tc>
        <w:tc>
          <w:tcPr>
            <w:tcW w:w="811" w:type="dxa"/>
            <w:tcBorders>
              <w:top w:val="single" w:sz="4" w:space="0" w:color="auto"/>
              <w:left w:val="nil"/>
              <w:bottom w:val="single" w:sz="4" w:space="0" w:color="auto"/>
              <w:right w:val="nil"/>
            </w:tcBorders>
            <w:shd w:val="clear" w:color="auto" w:fill="FFFFFF" w:themeFill="background1"/>
            <w:hideMark/>
          </w:tcPr>
          <w:p w14:paraId="7624A9F1" w14:textId="023BBB45" w:rsidR="00DB41A8" w:rsidRPr="00A2786A" w:rsidRDefault="009C33AD" w:rsidP="00DB41A8">
            <w:pPr>
              <w:jc w:val="center"/>
              <w:rPr>
                <w:b/>
                <w:bCs/>
                <w:color w:val="000000"/>
                <w:sz w:val="16"/>
                <w:szCs w:val="16"/>
                <w:lang w:val="es-AR" w:eastAsia="es-AR"/>
              </w:rPr>
            </w:pPr>
            <w:r w:rsidRPr="00A2786A">
              <w:rPr>
                <w:b/>
                <w:bCs/>
                <w:sz w:val="16"/>
                <w:szCs w:val="16"/>
              </w:rPr>
              <w:t>2.0</w:t>
            </w:r>
          </w:p>
        </w:tc>
        <w:tc>
          <w:tcPr>
            <w:tcW w:w="823" w:type="dxa"/>
            <w:tcBorders>
              <w:top w:val="single" w:sz="4" w:space="0" w:color="auto"/>
              <w:left w:val="nil"/>
              <w:bottom w:val="single" w:sz="4" w:space="0" w:color="auto"/>
              <w:right w:val="nil"/>
            </w:tcBorders>
            <w:shd w:val="clear" w:color="auto" w:fill="FFFFFF" w:themeFill="background1"/>
            <w:hideMark/>
          </w:tcPr>
          <w:p w14:paraId="7798799C" w14:textId="67909BC8" w:rsidR="00DB41A8" w:rsidRPr="00A2786A" w:rsidRDefault="009C33AD" w:rsidP="00DB41A8">
            <w:pPr>
              <w:jc w:val="center"/>
              <w:rPr>
                <w:b/>
                <w:bCs/>
                <w:color w:val="000000"/>
                <w:sz w:val="16"/>
                <w:szCs w:val="16"/>
                <w:lang w:val="es-AR" w:eastAsia="es-AR"/>
              </w:rPr>
            </w:pPr>
            <w:r w:rsidRPr="00A2786A">
              <w:rPr>
                <w:b/>
                <w:bCs/>
                <w:sz w:val="16"/>
                <w:szCs w:val="16"/>
              </w:rPr>
              <w:t>7.</w:t>
            </w:r>
            <w:r w:rsidR="00F552EA" w:rsidRPr="00A2786A">
              <w:rPr>
                <w:b/>
                <w:bCs/>
                <w:sz w:val="16"/>
                <w:szCs w:val="16"/>
              </w:rPr>
              <w:t>2</w:t>
            </w:r>
          </w:p>
        </w:tc>
      </w:tr>
      <w:tr w:rsidR="00DB41A8" w:rsidRPr="00A2786A" w14:paraId="14652A64" w14:textId="77777777" w:rsidTr="00DB41A8">
        <w:trPr>
          <w:gridBefore w:val="1"/>
          <w:wBefore w:w="567" w:type="dxa"/>
          <w:trHeight w:val="315"/>
        </w:trPr>
        <w:tc>
          <w:tcPr>
            <w:tcW w:w="2410" w:type="dxa"/>
            <w:gridSpan w:val="2"/>
            <w:tcBorders>
              <w:top w:val="nil"/>
              <w:left w:val="nil"/>
              <w:bottom w:val="nil"/>
              <w:right w:val="nil"/>
            </w:tcBorders>
            <w:shd w:val="clear" w:color="auto" w:fill="FFFFFF" w:themeFill="background1"/>
            <w:vAlign w:val="center"/>
          </w:tcPr>
          <w:p w14:paraId="02AA9DB4" w14:textId="67D793DF" w:rsidR="00DB41A8" w:rsidRPr="00A2786A" w:rsidRDefault="00DB41A8" w:rsidP="00DB41A8">
            <w:pPr>
              <w:rPr>
                <w:color w:val="000000"/>
                <w:sz w:val="16"/>
                <w:szCs w:val="16"/>
                <w:lang w:val="es-AR" w:eastAsia="es-AR"/>
              </w:rPr>
            </w:pPr>
            <w:r w:rsidRPr="00A2786A">
              <w:rPr>
                <w:color w:val="000000"/>
                <w:sz w:val="16"/>
                <w:szCs w:val="16"/>
                <w:lang w:val="es-AR" w:eastAsia="es-AR"/>
              </w:rPr>
              <w:t>Total Probable</w:t>
            </w:r>
          </w:p>
        </w:tc>
        <w:tc>
          <w:tcPr>
            <w:tcW w:w="889" w:type="dxa"/>
            <w:tcBorders>
              <w:top w:val="single" w:sz="4" w:space="0" w:color="auto"/>
              <w:left w:val="nil"/>
              <w:bottom w:val="single" w:sz="4" w:space="0" w:color="auto"/>
              <w:right w:val="nil"/>
            </w:tcBorders>
            <w:shd w:val="clear" w:color="auto" w:fill="FFFFFF" w:themeFill="background1"/>
          </w:tcPr>
          <w:p w14:paraId="6670A48E" w14:textId="3F3B80CA" w:rsidR="00DB41A8" w:rsidRPr="00A2786A" w:rsidRDefault="009C33AD" w:rsidP="00DB41A8">
            <w:pPr>
              <w:jc w:val="center"/>
              <w:rPr>
                <w:sz w:val="16"/>
                <w:szCs w:val="16"/>
              </w:rPr>
            </w:pPr>
            <w:r w:rsidRPr="00A2786A">
              <w:rPr>
                <w:b/>
                <w:bCs/>
                <w:sz w:val="16"/>
                <w:szCs w:val="16"/>
              </w:rPr>
              <w:t>95.2</w:t>
            </w:r>
          </w:p>
        </w:tc>
        <w:tc>
          <w:tcPr>
            <w:tcW w:w="801" w:type="dxa"/>
            <w:tcBorders>
              <w:top w:val="single" w:sz="4" w:space="0" w:color="auto"/>
              <w:left w:val="nil"/>
              <w:bottom w:val="single" w:sz="4" w:space="0" w:color="auto"/>
              <w:right w:val="nil"/>
            </w:tcBorders>
            <w:shd w:val="clear" w:color="auto" w:fill="FFFFFF" w:themeFill="background1"/>
          </w:tcPr>
          <w:p w14:paraId="0A65D533" w14:textId="31B5422A" w:rsidR="00DB41A8" w:rsidRPr="00A2786A" w:rsidRDefault="009C33AD" w:rsidP="00DB41A8">
            <w:pPr>
              <w:jc w:val="center"/>
              <w:rPr>
                <w:sz w:val="16"/>
                <w:szCs w:val="16"/>
              </w:rPr>
            </w:pPr>
            <w:r w:rsidRPr="00A2786A">
              <w:rPr>
                <w:b/>
                <w:bCs/>
                <w:sz w:val="16"/>
                <w:szCs w:val="16"/>
              </w:rPr>
              <w:t>75.</w:t>
            </w:r>
            <w:r w:rsidR="00F552EA" w:rsidRPr="00A2786A">
              <w:rPr>
                <w:b/>
                <w:bCs/>
                <w:sz w:val="16"/>
                <w:szCs w:val="16"/>
              </w:rPr>
              <w:t>0</w:t>
            </w:r>
          </w:p>
        </w:tc>
        <w:tc>
          <w:tcPr>
            <w:tcW w:w="834" w:type="dxa"/>
            <w:tcBorders>
              <w:top w:val="single" w:sz="4" w:space="0" w:color="auto"/>
              <w:left w:val="nil"/>
              <w:bottom w:val="single" w:sz="4" w:space="0" w:color="auto"/>
              <w:right w:val="nil"/>
            </w:tcBorders>
            <w:shd w:val="clear" w:color="auto" w:fill="FFFFFF" w:themeFill="background1"/>
          </w:tcPr>
          <w:p w14:paraId="7FB0C86F" w14:textId="71B114F9" w:rsidR="00DB41A8" w:rsidRPr="00A2786A" w:rsidRDefault="009C33AD" w:rsidP="00DB41A8">
            <w:pPr>
              <w:jc w:val="center"/>
              <w:rPr>
                <w:sz w:val="16"/>
                <w:szCs w:val="16"/>
              </w:rPr>
            </w:pPr>
            <w:r w:rsidRPr="00A2786A">
              <w:rPr>
                <w:b/>
                <w:bCs/>
                <w:sz w:val="16"/>
                <w:szCs w:val="16"/>
              </w:rPr>
              <w:t>51.1</w:t>
            </w:r>
          </w:p>
        </w:tc>
        <w:tc>
          <w:tcPr>
            <w:tcW w:w="811" w:type="dxa"/>
            <w:tcBorders>
              <w:top w:val="single" w:sz="4" w:space="0" w:color="auto"/>
              <w:left w:val="nil"/>
              <w:bottom w:val="single" w:sz="4" w:space="0" w:color="auto"/>
              <w:right w:val="nil"/>
            </w:tcBorders>
            <w:shd w:val="clear" w:color="auto" w:fill="FFFFFF" w:themeFill="background1"/>
          </w:tcPr>
          <w:p w14:paraId="3C065265" w14:textId="317E91E3" w:rsidR="00DB41A8" w:rsidRPr="00A2786A" w:rsidRDefault="009C33AD" w:rsidP="00DB41A8">
            <w:pPr>
              <w:jc w:val="center"/>
              <w:rPr>
                <w:sz w:val="16"/>
                <w:szCs w:val="16"/>
              </w:rPr>
            </w:pPr>
            <w:r w:rsidRPr="00A2786A">
              <w:rPr>
                <w:b/>
                <w:bCs/>
                <w:sz w:val="16"/>
                <w:szCs w:val="16"/>
              </w:rPr>
              <w:t>31.7</w:t>
            </w:r>
          </w:p>
        </w:tc>
        <w:tc>
          <w:tcPr>
            <w:tcW w:w="823" w:type="dxa"/>
            <w:tcBorders>
              <w:top w:val="single" w:sz="4" w:space="0" w:color="auto"/>
              <w:left w:val="nil"/>
              <w:bottom w:val="single" w:sz="4" w:space="0" w:color="auto"/>
              <w:right w:val="nil"/>
            </w:tcBorders>
            <w:shd w:val="clear" w:color="auto" w:fill="FFFFFF" w:themeFill="background1"/>
          </w:tcPr>
          <w:p w14:paraId="5993C122" w14:textId="11B81E6D" w:rsidR="00DB41A8" w:rsidRPr="00A2786A" w:rsidRDefault="009C33AD" w:rsidP="00DB41A8">
            <w:pPr>
              <w:jc w:val="center"/>
              <w:rPr>
                <w:sz w:val="16"/>
                <w:szCs w:val="16"/>
              </w:rPr>
            </w:pPr>
            <w:r w:rsidRPr="00A2786A">
              <w:rPr>
                <w:b/>
                <w:bCs/>
                <w:sz w:val="16"/>
                <w:szCs w:val="16"/>
              </w:rPr>
              <w:t>17.</w:t>
            </w:r>
            <w:r w:rsidR="00F552EA" w:rsidRPr="00A2786A">
              <w:rPr>
                <w:b/>
                <w:bCs/>
                <w:sz w:val="16"/>
                <w:szCs w:val="16"/>
              </w:rPr>
              <w:t>6</w:t>
            </w:r>
          </w:p>
        </w:tc>
      </w:tr>
      <w:tr w:rsidR="00DB41A8" w:rsidRPr="00A2786A" w14:paraId="7C4A81BE" w14:textId="77777777" w:rsidTr="00DB41A8">
        <w:trPr>
          <w:gridBefore w:val="1"/>
          <w:wBefore w:w="567" w:type="dxa"/>
          <w:trHeight w:val="315"/>
        </w:trPr>
        <w:tc>
          <w:tcPr>
            <w:tcW w:w="2410" w:type="dxa"/>
            <w:gridSpan w:val="2"/>
            <w:tcBorders>
              <w:top w:val="nil"/>
              <w:left w:val="nil"/>
              <w:bottom w:val="nil"/>
              <w:right w:val="nil"/>
            </w:tcBorders>
            <w:shd w:val="clear" w:color="auto" w:fill="FFFFFF" w:themeFill="background1"/>
            <w:vAlign w:val="center"/>
          </w:tcPr>
          <w:p w14:paraId="4FB135A6" w14:textId="5ACFFF72" w:rsidR="00DB41A8" w:rsidRPr="00A2786A" w:rsidRDefault="00DB41A8" w:rsidP="00DB41A8">
            <w:pPr>
              <w:rPr>
                <w:color w:val="000000"/>
                <w:sz w:val="16"/>
                <w:szCs w:val="16"/>
                <w:lang w:val="es-AR" w:eastAsia="es-AR"/>
              </w:rPr>
            </w:pPr>
            <w:r w:rsidRPr="00A2786A">
              <w:rPr>
                <w:color w:val="000000"/>
                <w:sz w:val="16"/>
                <w:szCs w:val="16"/>
                <w:lang w:val="es-AR" w:eastAsia="es-AR"/>
              </w:rPr>
              <w:t>Total Proved + Probable</w:t>
            </w:r>
          </w:p>
        </w:tc>
        <w:tc>
          <w:tcPr>
            <w:tcW w:w="889" w:type="dxa"/>
            <w:tcBorders>
              <w:top w:val="single" w:sz="4" w:space="0" w:color="auto"/>
              <w:left w:val="nil"/>
              <w:bottom w:val="nil"/>
              <w:right w:val="nil"/>
            </w:tcBorders>
            <w:shd w:val="clear" w:color="auto" w:fill="FFFFFF" w:themeFill="background1"/>
          </w:tcPr>
          <w:p w14:paraId="5C63F227" w14:textId="6CE77C5A" w:rsidR="00DB41A8" w:rsidRPr="00A2786A" w:rsidRDefault="009C33AD" w:rsidP="00DB41A8">
            <w:pPr>
              <w:jc w:val="center"/>
              <w:rPr>
                <w:b/>
                <w:bCs/>
                <w:sz w:val="16"/>
                <w:szCs w:val="16"/>
              </w:rPr>
            </w:pPr>
            <w:r w:rsidRPr="00A2786A">
              <w:rPr>
                <w:b/>
                <w:bCs/>
                <w:sz w:val="16"/>
                <w:szCs w:val="16"/>
              </w:rPr>
              <w:t>26.4</w:t>
            </w:r>
          </w:p>
        </w:tc>
        <w:tc>
          <w:tcPr>
            <w:tcW w:w="801" w:type="dxa"/>
            <w:tcBorders>
              <w:top w:val="single" w:sz="4" w:space="0" w:color="auto"/>
              <w:left w:val="nil"/>
              <w:bottom w:val="nil"/>
              <w:right w:val="nil"/>
            </w:tcBorders>
            <w:shd w:val="clear" w:color="auto" w:fill="FFFFFF" w:themeFill="background1"/>
          </w:tcPr>
          <w:p w14:paraId="014D9BA3" w14:textId="079A672F" w:rsidR="00DB41A8" w:rsidRPr="00A2786A" w:rsidRDefault="009C33AD" w:rsidP="00DB41A8">
            <w:pPr>
              <w:jc w:val="center"/>
              <w:rPr>
                <w:b/>
                <w:bCs/>
                <w:sz w:val="16"/>
                <w:szCs w:val="16"/>
              </w:rPr>
            </w:pPr>
            <w:r w:rsidRPr="00A2786A">
              <w:rPr>
                <w:b/>
                <w:bCs/>
                <w:sz w:val="16"/>
                <w:szCs w:val="16"/>
              </w:rPr>
              <w:t>45.9</w:t>
            </w:r>
          </w:p>
        </w:tc>
        <w:tc>
          <w:tcPr>
            <w:tcW w:w="834" w:type="dxa"/>
            <w:tcBorders>
              <w:top w:val="single" w:sz="4" w:space="0" w:color="auto"/>
              <w:left w:val="nil"/>
              <w:bottom w:val="nil"/>
              <w:right w:val="nil"/>
            </w:tcBorders>
            <w:shd w:val="clear" w:color="auto" w:fill="FFFFFF" w:themeFill="background1"/>
          </w:tcPr>
          <w:p w14:paraId="19586B0C" w14:textId="49752B7F" w:rsidR="00DB41A8" w:rsidRPr="00A2786A" w:rsidRDefault="009C33AD" w:rsidP="00DB41A8">
            <w:pPr>
              <w:jc w:val="center"/>
              <w:rPr>
                <w:b/>
                <w:bCs/>
                <w:sz w:val="16"/>
                <w:szCs w:val="16"/>
              </w:rPr>
            </w:pPr>
            <w:r w:rsidRPr="00A2786A">
              <w:rPr>
                <w:b/>
                <w:bCs/>
                <w:sz w:val="16"/>
                <w:szCs w:val="16"/>
              </w:rPr>
              <w:t>42.6</w:t>
            </w:r>
          </w:p>
        </w:tc>
        <w:tc>
          <w:tcPr>
            <w:tcW w:w="811" w:type="dxa"/>
            <w:tcBorders>
              <w:top w:val="single" w:sz="4" w:space="0" w:color="auto"/>
              <w:left w:val="nil"/>
              <w:bottom w:val="nil"/>
              <w:right w:val="nil"/>
            </w:tcBorders>
            <w:shd w:val="clear" w:color="auto" w:fill="FFFFFF" w:themeFill="background1"/>
          </w:tcPr>
          <w:p w14:paraId="700F72FD" w14:textId="2F129489" w:rsidR="00DB41A8" w:rsidRPr="00A2786A" w:rsidRDefault="009C33AD" w:rsidP="00DB41A8">
            <w:pPr>
              <w:jc w:val="center"/>
              <w:rPr>
                <w:b/>
                <w:bCs/>
                <w:sz w:val="16"/>
                <w:szCs w:val="16"/>
              </w:rPr>
            </w:pPr>
            <w:r w:rsidRPr="00A2786A">
              <w:rPr>
                <w:b/>
                <w:bCs/>
                <w:sz w:val="16"/>
                <w:szCs w:val="16"/>
              </w:rPr>
              <w:t>33.7</w:t>
            </w:r>
          </w:p>
        </w:tc>
        <w:tc>
          <w:tcPr>
            <w:tcW w:w="823" w:type="dxa"/>
            <w:tcBorders>
              <w:top w:val="single" w:sz="4" w:space="0" w:color="auto"/>
              <w:left w:val="nil"/>
              <w:bottom w:val="nil"/>
              <w:right w:val="nil"/>
            </w:tcBorders>
            <w:shd w:val="clear" w:color="auto" w:fill="FFFFFF" w:themeFill="background1"/>
          </w:tcPr>
          <w:p w14:paraId="1BBB5221" w14:textId="76D906BC" w:rsidR="00DB41A8" w:rsidRPr="00A2786A" w:rsidRDefault="009C33AD" w:rsidP="00DB41A8">
            <w:pPr>
              <w:jc w:val="center"/>
              <w:rPr>
                <w:b/>
                <w:bCs/>
                <w:sz w:val="16"/>
                <w:szCs w:val="16"/>
              </w:rPr>
            </w:pPr>
            <w:r w:rsidRPr="00A2786A">
              <w:rPr>
                <w:b/>
                <w:bCs/>
                <w:sz w:val="16"/>
                <w:szCs w:val="16"/>
              </w:rPr>
              <w:t>24.8</w:t>
            </w:r>
          </w:p>
        </w:tc>
      </w:tr>
    </w:tbl>
    <w:p w14:paraId="1A8F1CB2" w14:textId="77777777" w:rsidR="00F17A92" w:rsidRPr="00A2786A" w:rsidRDefault="00F17A92" w:rsidP="00F17A92">
      <w:pPr>
        <w:numPr>
          <w:ilvl w:val="0"/>
          <w:numId w:val="1"/>
        </w:numPr>
        <w:spacing w:before="60"/>
        <w:ind w:left="425" w:hanging="425"/>
        <w:jc w:val="both"/>
        <w:rPr>
          <w:rFonts w:ascii="Times New Roman" w:hAnsi="Times New Roman"/>
          <w:sz w:val="18"/>
          <w:szCs w:val="16"/>
          <w:lang w:val="en-CA"/>
        </w:rPr>
      </w:pPr>
      <w:r w:rsidRPr="00A2786A">
        <w:rPr>
          <w:b/>
          <w:sz w:val="16"/>
          <w:szCs w:val="16"/>
        </w:rPr>
        <w:fldChar w:fldCharType="end"/>
      </w:r>
      <w:r w:rsidRPr="00A2786A">
        <w:rPr>
          <w:rFonts w:ascii="Times New Roman" w:hAnsi="Times New Roman"/>
          <w:sz w:val="18"/>
          <w:szCs w:val="16"/>
          <w:lang w:val="en-CA"/>
        </w:rPr>
        <w:t>The estimated net present values of future net revenues disclosed do not represent fair market value.</w:t>
      </w:r>
    </w:p>
    <w:p w14:paraId="7F4CA264" w14:textId="77777777" w:rsidR="00F17A92" w:rsidRPr="00A2786A" w:rsidRDefault="00F17A92" w:rsidP="00F17A92">
      <w:pPr>
        <w:numPr>
          <w:ilvl w:val="0"/>
          <w:numId w:val="1"/>
        </w:numPr>
        <w:spacing w:before="60"/>
        <w:ind w:left="425" w:hanging="425"/>
        <w:jc w:val="both"/>
        <w:rPr>
          <w:rFonts w:ascii="Times New Roman" w:hAnsi="Times New Roman"/>
          <w:sz w:val="18"/>
          <w:szCs w:val="16"/>
          <w:lang w:val="en-CA"/>
        </w:rPr>
      </w:pPr>
      <w:r w:rsidRPr="00A2786A">
        <w:rPr>
          <w:rFonts w:ascii="Times New Roman" w:hAnsi="Times New Roman"/>
          <w:sz w:val="18"/>
          <w:szCs w:val="16"/>
          <w:lang w:val="en-CA"/>
        </w:rPr>
        <w:t>The definitions of the various categories of reserves are those set out in NI 51-101 and the COGE Handbook.</w:t>
      </w:r>
    </w:p>
    <w:p w14:paraId="66EF417D" w14:textId="32A21392" w:rsidR="00CD4697" w:rsidRPr="00A2786A" w:rsidRDefault="00CD4697" w:rsidP="00BA282F">
      <w:pPr>
        <w:pStyle w:val="BodyText"/>
        <w:keepNext/>
        <w:keepLines/>
        <w:spacing w:before="240"/>
        <w:rPr>
          <w:rFonts w:ascii="Verdana" w:hAnsi="Verdana"/>
          <w:sz w:val="20"/>
          <w:szCs w:val="20"/>
        </w:rPr>
      </w:pPr>
      <w:r w:rsidRPr="00A2786A">
        <w:rPr>
          <w:rFonts w:ascii="Verdana" w:hAnsi="Verdana"/>
          <w:sz w:val="20"/>
          <w:szCs w:val="20"/>
        </w:rPr>
        <w:t xml:space="preserve">The following table sets forth, for each product type, the pricing assumptions used by </w:t>
      </w:r>
      <w:r w:rsidR="00DB41A8" w:rsidRPr="00A2786A">
        <w:rPr>
          <w:rFonts w:ascii="Verdana" w:hAnsi="Verdana"/>
          <w:sz w:val="20"/>
          <w:szCs w:val="20"/>
        </w:rPr>
        <w:t>GC</w:t>
      </w:r>
      <w:r w:rsidR="00B51001">
        <w:rPr>
          <w:rFonts w:ascii="Verdana" w:hAnsi="Verdana"/>
          <w:sz w:val="20"/>
          <w:szCs w:val="20"/>
        </w:rPr>
        <w:t>ea</w:t>
      </w:r>
      <w:r w:rsidR="00DB41A8" w:rsidRPr="00A2786A">
        <w:rPr>
          <w:rFonts w:ascii="Verdana" w:hAnsi="Verdana"/>
          <w:sz w:val="20"/>
          <w:szCs w:val="20"/>
        </w:rPr>
        <w:t xml:space="preserve"> </w:t>
      </w:r>
      <w:r w:rsidRPr="00A2786A">
        <w:rPr>
          <w:rFonts w:ascii="Verdana" w:hAnsi="Verdana"/>
          <w:sz w:val="20"/>
          <w:szCs w:val="20"/>
        </w:rPr>
        <w:t xml:space="preserve">in estimating the reserves data disclosed herein as at December 31, </w:t>
      </w:r>
      <w:r w:rsidR="001E2298" w:rsidRPr="00A2786A">
        <w:rPr>
          <w:rFonts w:ascii="Verdana" w:hAnsi="Verdana"/>
          <w:sz w:val="20"/>
          <w:szCs w:val="20"/>
        </w:rPr>
        <w:t>20</w:t>
      </w:r>
      <w:r w:rsidR="00D86B45" w:rsidRPr="00A2786A">
        <w:rPr>
          <w:rFonts w:ascii="Verdana" w:hAnsi="Verdana"/>
          <w:sz w:val="20"/>
          <w:szCs w:val="20"/>
        </w:rPr>
        <w:t>2</w:t>
      </w:r>
      <w:r w:rsidR="00DB41A8" w:rsidRPr="00A2786A">
        <w:rPr>
          <w:rFonts w:ascii="Verdana" w:hAnsi="Verdana"/>
          <w:sz w:val="20"/>
          <w:szCs w:val="20"/>
        </w:rPr>
        <w:t>4</w:t>
      </w:r>
      <w:r w:rsidRPr="00A2786A">
        <w:rPr>
          <w:rFonts w:ascii="Verdana" w:hAnsi="Verdana"/>
          <w:sz w:val="20"/>
          <w:szCs w:val="20"/>
        </w:rPr>
        <w:t xml:space="preserve">. </w:t>
      </w:r>
    </w:p>
    <w:p w14:paraId="03B04330" w14:textId="193BB7E4" w:rsidR="007E75DC" w:rsidRPr="00A2786A" w:rsidRDefault="007E75DC" w:rsidP="007E75DC">
      <w:pPr>
        <w:pStyle w:val="SecurityCont2"/>
        <w:keepNext/>
        <w:spacing w:after="0"/>
        <w:jc w:val="center"/>
        <w:rPr>
          <w:rFonts w:ascii="Verdana" w:hAnsi="Verdana" w:cs="Arial"/>
          <w:b/>
        </w:rPr>
      </w:pPr>
      <w:r w:rsidRPr="00A2786A">
        <w:rPr>
          <w:rFonts w:ascii="Verdana" w:hAnsi="Verdana" w:cs="Arial"/>
          <w:b/>
        </w:rPr>
        <w:t>SUMMARY OF PRICING ASSUMPTIONS</w:t>
      </w:r>
    </w:p>
    <w:p w14:paraId="1C0E4CB3" w14:textId="01670EBE" w:rsidR="007E75DC" w:rsidRPr="00A2786A" w:rsidRDefault="007E75DC" w:rsidP="007E75DC">
      <w:pPr>
        <w:pStyle w:val="SecurityCont2"/>
        <w:keepNext/>
        <w:jc w:val="center"/>
        <w:rPr>
          <w:rFonts w:ascii="Verdana" w:hAnsi="Verdana" w:cs="Arial"/>
          <w:b/>
          <w:sz w:val="18"/>
          <w:szCs w:val="18"/>
        </w:rPr>
      </w:pPr>
      <w:r w:rsidRPr="00A2786A">
        <w:rPr>
          <w:rFonts w:ascii="Verdana" w:hAnsi="Verdana" w:cs="Arial"/>
          <w:b/>
        </w:rPr>
        <w:t>AS OF DECEMBER 31, 202</w:t>
      </w:r>
      <w:r w:rsidR="00F82449" w:rsidRPr="00A2786A">
        <w:rPr>
          <w:rFonts w:ascii="Verdana" w:hAnsi="Verdana" w:cs="Arial"/>
          <w:b/>
        </w:rPr>
        <w:t>4</w:t>
      </w:r>
      <w:r w:rsidRPr="00A2786A">
        <w:rPr>
          <w:rFonts w:ascii="Verdana" w:hAnsi="Verdana" w:cs="Arial"/>
          <w:b/>
        </w:rPr>
        <w:t xml:space="preserve"> (</w:t>
      </w:r>
      <w:r w:rsidR="003223AE" w:rsidRPr="00A2786A">
        <w:rPr>
          <w:rFonts w:ascii="Verdana" w:hAnsi="Verdana" w:cs="Arial"/>
          <w:b/>
        </w:rPr>
        <w:t>Forecast</w:t>
      </w:r>
      <w:r w:rsidR="00F17A92" w:rsidRPr="00A2786A">
        <w:rPr>
          <w:rFonts w:ascii="Verdana" w:hAnsi="Verdana" w:cs="Arial"/>
          <w:b/>
        </w:rPr>
        <w:t xml:space="preserve"> </w:t>
      </w:r>
      <w:r w:rsidRPr="00A2786A">
        <w:rPr>
          <w:rFonts w:ascii="Verdana" w:hAnsi="Verdana" w:cs="Arial"/>
          <w:b/>
        </w:rPr>
        <w:t>Prices</w:t>
      </w:r>
      <w:r w:rsidR="00F17A92" w:rsidRPr="00A2786A">
        <w:rPr>
          <w:rFonts w:ascii="Verdana" w:hAnsi="Verdana" w:cs="Arial"/>
          <w:b/>
        </w:rPr>
        <w:t xml:space="preserve"> &amp; Costs</w:t>
      </w:r>
      <w:r w:rsidRPr="00A2786A">
        <w:rPr>
          <w:rFonts w:ascii="Verdana" w:hAnsi="Verdana" w:cs="Arial"/>
          <w:b/>
        </w:rPr>
        <w:t>)</w:t>
      </w:r>
    </w:p>
    <w:tbl>
      <w:tblPr>
        <w:tblW w:w="3125" w:type="pct"/>
        <w:tblInd w:w="1710" w:type="dxa"/>
        <w:tblLook w:val="0000" w:firstRow="0" w:lastRow="0" w:firstColumn="0" w:lastColumn="0" w:noHBand="0" w:noVBand="0"/>
      </w:tblPr>
      <w:tblGrid>
        <w:gridCol w:w="1170"/>
        <w:gridCol w:w="2340"/>
        <w:gridCol w:w="2340"/>
      </w:tblGrid>
      <w:tr w:rsidR="004B63B7" w:rsidRPr="00A2786A" w14:paraId="796B0983" w14:textId="063545F6" w:rsidTr="004B63B7">
        <w:tc>
          <w:tcPr>
            <w:tcW w:w="1000" w:type="pct"/>
            <w:tcBorders>
              <w:top w:val="nil"/>
              <w:left w:val="nil"/>
              <w:bottom w:val="nil"/>
              <w:right w:val="nil"/>
            </w:tcBorders>
            <w:vAlign w:val="bottom"/>
          </w:tcPr>
          <w:p w14:paraId="6BA134B5" w14:textId="77777777" w:rsidR="004B63B7" w:rsidRPr="00A2786A" w:rsidRDefault="004B63B7" w:rsidP="001133C0">
            <w:pPr>
              <w:pStyle w:val="SecurityCont2"/>
              <w:keepNext/>
              <w:pBdr>
                <w:bottom w:val="single" w:sz="4" w:space="1" w:color="auto"/>
              </w:pBdr>
              <w:spacing w:after="0"/>
              <w:jc w:val="center"/>
              <w:rPr>
                <w:rFonts w:ascii="Verdana" w:hAnsi="Verdana" w:cs="Arial"/>
                <w:b/>
                <w:sz w:val="16"/>
                <w:szCs w:val="16"/>
              </w:rPr>
            </w:pPr>
            <w:r w:rsidRPr="00A2786A">
              <w:rPr>
                <w:rFonts w:ascii="Verdana" w:hAnsi="Verdana" w:cs="Arial"/>
                <w:b/>
                <w:sz w:val="16"/>
                <w:szCs w:val="16"/>
              </w:rPr>
              <w:t>Year</w:t>
            </w:r>
          </w:p>
        </w:tc>
        <w:tc>
          <w:tcPr>
            <w:tcW w:w="2000" w:type="pct"/>
            <w:tcBorders>
              <w:top w:val="nil"/>
              <w:left w:val="nil"/>
              <w:bottom w:val="nil"/>
              <w:right w:val="nil"/>
            </w:tcBorders>
            <w:vAlign w:val="bottom"/>
          </w:tcPr>
          <w:p w14:paraId="710DB143" w14:textId="6752C249" w:rsidR="004B63B7" w:rsidRPr="00A2786A" w:rsidRDefault="004B63B7" w:rsidP="001133C0">
            <w:pPr>
              <w:pStyle w:val="SecurityCont2"/>
              <w:keepNext/>
              <w:pBdr>
                <w:bottom w:val="single" w:sz="4" w:space="1" w:color="auto"/>
              </w:pBdr>
              <w:spacing w:after="0"/>
              <w:jc w:val="center"/>
              <w:rPr>
                <w:rFonts w:ascii="Verdana" w:hAnsi="Verdana" w:cs="Arial"/>
                <w:b/>
                <w:sz w:val="16"/>
                <w:szCs w:val="16"/>
              </w:rPr>
            </w:pPr>
            <w:r w:rsidRPr="00A2786A">
              <w:rPr>
                <w:rFonts w:ascii="Verdana" w:hAnsi="Verdana" w:cs="Arial"/>
                <w:b/>
                <w:sz w:val="16"/>
                <w:szCs w:val="16"/>
              </w:rPr>
              <w:t>Crude Oil Price</w:t>
            </w:r>
            <w:r w:rsidRPr="00A2786A">
              <w:rPr>
                <w:rFonts w:ascii="Verdana" w:hAnsi="Verdana" w:cs="Arial"/>
                <w:b/>
                <w:sz w:val="16"/>
                <w:szCs w:val="16"/>
                <w:vertAlign w:val="superscript"/>
              </w:rPr>
              <w:t xml:space="preserve"> (1)</w:t>
            </w:r>
          </w:p>
          <w:p w14:paraId="35563992" w14:textId="77777777" w:rsidR="004B63B7" w:rsidRPr="00A2786A" w:rsidRDefault="004B63B7" w:rsidP="001133C0">
            <w:pPr>
              <w:pStyle w:val="SecurityCont2"/>
              <w:keepNext/>
              <w:pBdr>
                <w:bottom w:val="single" w:sz="4" w:space="1" w:color="auto"/>
              </w:pBdr>
              <w:spacing w:after="0"/>
              <w:jc w:val="center"/>
              <w:rPr>
                <w:rFonts w:ascii="Verdana" w:hAnsi="Verdana" w:cs="Arial"/>
                <w:b/>
                <w:sz w:val="16"/>
                <w:szCs w:val="16"/>
              </w:rPr>
            </w:pPr>
            <w:r w:rsidRPr="00A2786A">
              <w:rPr>
                <w:rFonts w:ascii="Verdana" w:hAnsi="Verdana" w:cs="Arial"/>
                <w:b/>
                <w:sz w:val="16"/>
                <w:szCs w:val="16"/>
              </w:rPr>
              <w:t>US$/bbl</w:t>
            </w:r>
          </w:p>
        </w:tc>
        <w:tc>
          <w:tcPr>
            <w:tcW w:w="2000" w:type="pct"/>
            <w:tcBorders>
              <w:top w:val="nil"/>
              <w:left w:val="nil"/>
              <w:bottom w:val="nil"/>
              <w:right w:val="nil"/>
            </w:tcBorders>
            <w:vAlign w:val="bottom"/>
          </w:tcPr>
          <w:p w14:paraId="58E7617B" w14:textId="5FFD7DE0" w:rsidR="004B63B7" w:rsidRPr="00A2786A" w:rsidRDefault="004B63B7" w:rsidP="001133C0">
            <w:pPr>
              <w:pStyle w:val="SecurityCont2"/>
              <w:keepNext/>
              <w:pBdr>
                <w:bottom w:val="single" w:sz="4" w:space="1" w:color="auto"/>
              </w:pBdr>
              <w:spacing w:after="0"/>
              <w:jc w:val="center"/>
              <w:rPr>
                <w:rFonts w:ascii="Verdana" w:hAnsi="Verdana" w:cs="Arial"/>
                <w:b/>
                <w:sz w:val="16"/>
                <w:szCs w:val="16"/>
                <w:vertAlign w:val="superscript"/>
              </w:rPr>
            </w:pPr>
            <w:r w:rsidRPr="00A2786A">
              <w:rPr>
                <w:rFonts w:ascii="Verdana" w:hAnsi="Verdana" w:cs="Arial"/>
                <w:b/>
                <w:sz w:val="16"/>
                <w:szCs w:val="16"/>
              </w:rPr>
              <w:t>Natural Gas Price</w:t>
            </w:r>
            <w:r w:rsidRPr="00A2786A">
              <w:rPr>
                <w:rFonts w:ascii="Verdana" w:hAnsi="Verdana" w:cs="Arial"/>
                <w:b/>
                <w:sz w:val="16"/>
                <w:szCs w:val="16"/>
                <w:vertAlign w:val="superscript"/>
              </w:rPr>
              <w:t xml:space="preserve"> (1)</w:t>
            </w:r>
          </w:p>
          <w:p w14:paraId="3F9389F2" w14:textId="77777777" w:rsidR="004B63B7" w:rsidRPr="00A2786A" w:rsidRDefault="004B63B7" w:rsidP="001133C0">
            <w:pPr>
              <w:pStyle w:val="SecurityCont2"/>
              <w:keepNext/>
              <w:pBdr>
                <w:bottom w:val="single" w:sz="4" w:space="1" w:color="auto"/>
              </w:pBdr>
              <w:spacing w:after="0"/>
              <w:jc w:val="center"/>
              <w:rPr>
                <w:rFonts w:ascii="Verdana" w:hAnsi="Verdana" w:cs="Arial"/>
                <w:b/>
                <w:sz w:val="16"/>
                <w:szCs w:val="16"/>
              </w:rPr>
            </w:pPr>
            <w:r w:rsidRPr="00A2786A">
              <w:rPr>
                <w:rFonts w:ascii="Verdana" w:hAnsi="Verdana" w:cs="Arial"/>
                <w:b/>
                <w:sz w:val="16"/>
                <w:szCs w:val="16"/>
              </w:rPr>
              <w:t>US$/Mcf</w:t>
            </w:r>
          </w:p>
        </w:tc>
      </w:tr>
      <w:tr w:rsidR="004B63B7" w:rsidRPr="00A2786A" w14:paraId="3A5B75B9" w14:textId="266C7B83" w:rsidTr="004B63B7">
        <w:tc>
          <w:tcPr>
            <w:tcW w:w="1000" w:type="pct"/>
            <w:tcBorders>
              <w:top w:val="nil"/>
              <w:left w:val="nil"/>
              <w:bottom w:val="nil"/>
              <w:right w:val="nil"/>
            </w:tcBorders>
          </w:tcPr>
          <w:p w14:paraId="09FF27C9" w14:textId="36D2C8CD"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2025</w:t>
            </w:r>
          </w:p>
        </w:tc>
        <w:tc>
          <w:tcPr>
            <w:tcW w:w="2000" w:type="pct"/>
            <w:tcBorders>
              <w:top w:val="nil"/>
              <w:left w:val="nil"/>
              <w:bottom w:val="nil"/>
              <w:right w:val="nil"/>
            </w:tcBorders>
          </w:tcPr>
          <w:p w14:paraId="254E8195" w14:textId="08B9F5A1" w:rsidR="004B63B7" w:rsidRPr="00A2786A" w:rsidRDefault="004B63B7" w:rsidP="00581F71">
            <w:pPr>
              <w:pStyle w:val="SecurityCont2"/>
              <w:keepNext/>
              <w:spacing w:after="0"/>
              <w:jc w:val="center"/>
              <w:rPr>
                <w:rFonts w:ascii="Verdana" w:hAnsi="Verdana" w:cs="Arial"/>
                <w:color w:val="D9D9D9" w:themeColor="background1" w:themeShade="D9"/>
                <w:sz w:val="16"/>
                <w:szCs w:val="16"/>
                <w:lang w:val="en-US"/>
              </w:rPr>
            </w:pPr>
            <w:r w:rsidRPr="00A2786A">
              <w:rPr>
                <w:rFonts w:ascii="Verdana" w:hAnsi="Verdana" w:cs="Arial"/>
                <w:sz w:val="16"/>
                <w:szCs w:val="16"/>
              </w:rPr>
              <w:t>66.60</w:t>
            </w:r>
          </w:p>
        </w:tc>
        <w:tc>
          <w:tcPr>
            <w:tcW w:w="2000" w:type="pct"/>
            <w:tcBorders>
              <w:top w:val="nil"/>
              <w:left w:val="nil"/>
              <w:bottom w:val="nil"/>
              <w:right w:val="nil"/>
            </w:tcBorders>
          </w:tcPr>
          <w:p w14:paraId="2AF13716" w14:textId="4B1FA4E7"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color w:val="D9D9D9" w:themeColor="background1" w:themeShade="D9"/>
                <w:sz w:val="16"/>
                <w:szCs w:val="16"/>
              </w:rPr>
            </w:pPr>
            <w:r w:rsidRPr="00A2786A">
              <w:rPr>
                <w:rFonts w:ascii="Verdana" w:hAnsi="Verdana" w:cs="Arial"/>
                <w:sz w:val="16"/>
                <w:szCs w:val="16"/>
              </w:rPr>
              <w:t>5.64</w:t>
            </w:r>
          </w:p>
        </w:tc>
      </w:tr>
      <w:tr w:rsidR="004B63B7" w:rsidRPr="00A2786A" w14:paraId="737D96FE" w14:textId="4CE009E3" w:rsidTr="004B63B7">
        <w:tc>
          <w:tcPr>
            <w:tcW w:w="1000" w:type="pct"/>
            <w:tcBorders>
              <w:top w:val="nil"/>
              <w:left w:val="nil"/>
              <w:bottom w:val="nil"/>
              <w:right w:val="nil"/>
            </w:tcBorders>
          </w:tcPr>
          <w:p w14:paraId="61BFFB18" w14:textId="54C7478D"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2026</w:t>
            </w:r>
          </w:p>
        </w:tc>
        <w:tc>
          <w:tcPr>
            <w:tcW w:w="2000" w:type="pct"/>
            <w:tcBorders>
              <w:top w:val="nil"/>
              <w:left w:val="nil"/>
              <w:bottom w:val="nil"/>
              <w:right w:val="nil"/>
            </w:tcBorders>
          </w:tcPr>
          <w:p w14:paraId="23CD68B5" w14:textId="6110E825" w:rsidR="004B63B7" w:rsidRPr="00A2786A" w:rsidRDefault="004B63B7" w:rsidP="00581F71">
            <w:pPr>
              <w:pStyle w:val="SecurityCont2"/>
              <w:keepNext/>
              <w:spacing w:after="0"/>
              <w:jc w:val="center"/>
              <w:rPr>
                <w:rFonts w:ascii="Verdana" w:hAnsi="Verdana" w:cs="Arial"/>
                <w:color w:val="D9D9D9" w:themeColor="background1" w:themeShade="D9"/>
                <w:sz w:val="16"/>
                <w:szCs w:val="16"/>
                <w:lang w:val="en-US"/>
              </w:rPr>
            </w:pPr>
            <w:r w:rsidRPr="00A2786A">
              <w:rPr>
                <w:rFonts w:ascii="Verdana" w:hAnsi="Verdana" w:cs="Arial"/>
                <w:sz w:val="16"/>
                <w:szCs w:val="16"/>
              </w:rPr>
              <w:t>65.80</w:t>
            </w:r>
          </w:p>
        </w:tc>
        <w:tc>
          <w:tcPr>
            <w:tcW w:w="2000" w:type="pct"/>
            <w:tcBorders>
              <w:top w:val="nil"/>
              <w:left w:val="nil"/>
              <w:bottom w:val="nil"/>
              <w:right w:val="nil"/>
            </w:tcBorders>
          </w:tcPr>
          <w:p w14:paraId="3E7D5A9F" w14:textId="60A02C69"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color w:val="D9D9D9" w:themeColor="background1" w:themeShade="D9"/>
                <w:sz w:val="16"/>
                <w:szCs w:val="16"/>
              </w:rPr>
            </w:pPr>
            <w:r w:rsidRPr="00A2786A">
              <w:rPr>
                <w:rFonts w:ascii="Verdana" w:hAnsi="Verdana" w:cs="Arial"/>
                <w:sz w:val="16"/>
                <w:szCs w:val="16"/>
              </w:rPr>
              <w:t>5.87</w:t>
            </w:r>
          </w:p>
        </w:tc>
      </w:tr>
      <w:tr w:rsidR="004B63B7" w:rsidRPr="00A2786A" w14:paraId="017D7BBB" w14:textId="68716696" w:rsidTr="004B63B7">
        <w:tc>
          <w:tcPr>
            <w:tcW w:w="1000" w:type="pct"/>
            <w:tcBorders>
              <w:top w:val="nil"/>
              <w:left w:val="nil"/>
              <w:bottom w:val="nil"/>
              <w:right w:val="nil"/>
            </w:tcBorders>
          </w:tcPr>
          <w:p w14:paraId="3416954C" w14:textId="66A18ADD"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2027</w:t>
            </w:r>
          </w:p>
        </w:tc>
        <w:tc>
          <w:tcPr>
            <w:tcW w:w="2000" w:type="pct"/>
            <w:tcBorders>
              <w:top w:val="nil"/>
              <w:left w:val="nil"/>
              <w:bottom w:val="nil"/>
              <w:right w:val="nil"/>
            </w:tcBorders>
          </w:tcPr>
          <w:p w14:paraId="44CDE074" w14:textId="60A6B84B" w:rsidR="004B63B7" w:rsidRPr="00A2786A" w:rsidRDefault="004B63B7" w:rsidP="00581F71">
            <w:pPr>
              <w:pStyle w:val="SecurityCont2"/>
              <w:keepNext/>
              <w:spacing w:after="0"/>
              <w:jc w:val="center"/>
              <w:rPr>
                <w:rFonts w:ascii="Verdana" w:hAnsi="Verdana" w:cs="Arial"/>
                <w:color w:val="D9D9D9" w:themeColor="background1" w:themeShade="D9"/>
                <w:sz w:val="16"/>
                <w:szCs w:val="16"/>
                <w:lang w:val="en-US"/>
              </w:rPr>
            </w:pPr>
            <w:r w:rsidRPr="00A2786A">
              <w:rPr>
                <w:rFonts w:ascii="Verdana" w:hAnsi="Verdana" w:cs="Arial"/>
                <w:sz w:val="16"/>
                <w:szCs w:val="16"/>
              </w:rPr>
              <w:t>65.60</w:t>
            </w:r>
          </w:p>
        </w:tc>
        <w:tc>
          <w:tcPr>
            <w:tcW w:w="2000" w:type="pct"/>
            <w:tcBorders>
              <w:top w:val="nil"/>
              <w:left w:val="nil"/>
              <w:bottom w:val="nil"/>
              <w:right w:val="nil"/>
            </w:tcBorders>
          </w:tcPr>
          <w:p w14:paraId="1816E549" w14:textId="24B20511"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color w:val="D9D9D9" w:themeColor="background1" w:themeShade="D9"/>
                <w:sz w:val="16"/>
                <w:szCs w:val="16"/>
              </w:rPr>
            </w:pPr>
            <w:r w:rsidRPr="00A2786A">
              <w:rPr>
                <w:rFonts w:ascii="Verdana" w:hAnsi="Verdana" w:cs="Arial"/>
                <w:sz w:val="16"/>
                <w:szCs w:val="16"/>
              </w:rPr>
              <w:t>5.87</w:t>
            </w:r>
          </w:p>
        </w:tc>
      </w:tr>
      <w:tr w:rsidR="004B63B7" w:rsidRPr="00A2786A" w14:paraId="24E39AEF" w14:textId="0A47F6D6" w:rsidTr="004B63B7">
        <w:tc>
          <w:tcPr>
            <w:tcW w:w="1000" w:type="pct"/>
            <w:tcBorders>
              <w:top w:val="nil"/>
              <w:left w:val="nil"/>
              <w:bottom w:val="nil"/>
              <w:right w:val="nil"/>
            </w:tcBorders>
          </w:tcPr>
          <w:p w14:paraId="46005899" w14:textId="1E290E52"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2028</w:t>
            </w:r>
          </w:p>
        </w:tc>
        <w:tc>
          <w:tcPr>
            <w:tcW w:w="2000" w:type="pct"/>
            <w:tcBorders>
              <w:top w:val="nil"/>
              <w:left w:val="nil"/>
              <w:bottom w:val="nil"/>
              <w:right w:val="nil"/>
            </w:tcBorders>
          </w:tcPr>
          <w:p w14:paraId="2889D0DA" w14:textId="76F901D0"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65.60</w:t>
            </w:r>
          </w:p>
        </w:tc>
        <w:tc>
          <w:tcPr>
            <w:tcW w:w="2000" w:type="pct"/>
            <w:tcBorders>
              <w:top w:val="nil"/>
              <w:left w:val="nil"/>
              <w:bottom w:val="nil"/>
              <w:right w:val="nil"/>
            </w:tcBorders>
          </w:tcPr>
          <w:p w14:paraId="7BCF91D5" w14:textId="2D861110"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5.87</w:t>
            </w:r>
          </w:p>
        </w:tc>
      </w:tr>
      <w:tr w:rsidR="004B63B7" w:rsidRPr="00A2786A" w14:paraId="00F71C28" w14:textId="5E447B0A" w:rsidTr="004B63B7">
        <w:tc>
          <w:tcPr>
            <w:tcW w:w="1000" w:type="pct"/>
            <w:tcBorders>
              <w:top w:val="nil"/>
              <w:left w:val="nil"/>
              <w:bottom w:val="nil"/>
              <w:right w:val="nil"/>
            </w:tcBorders>
          </w:tcPr>
          <w:p w14:paraId="4ABB76C0" w14:textId="1BB7A1EF"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2029</w:t>
            </w:r>
          </w:p>
        </w:tc>
        <w:tc>
          <w:tcPr>
            <w:tcW w:w="2000" w:type="pct"/>
            <w:tcBorders>
              <w:top w:val="nil"/>
              <w:left w:val="nil"/>
              <w:bottom w:val="nil"/>
              <w:right w:val="nil"/>
            </w:tcBorders>
          </w:tcPr>
          <w:p w14:paraId="4374C3AD" w14:textId="49C79055"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5FDDEAC6" w14:textId="5478C72A"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437497C6" w14:textId="687237E0" w:rsidTr="004B63B7">
        <w:tc>
          <w:tcPr>
            <w:tcW w:w="1000" w:type="pct"/>
            <w:tcBorders>
              <w:top w:val="nil"/>
              <w:left w:val="nil"/>
              <w:bottom w:val="nil"/>
              <w:right w:val="nil"/>
            </w:tcBorders>
          </w:tcPr>
          <w:p w14:paraId="22FFD5EB" w14:textId="13040FA4"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2030</w:t>
            </w:r>
          </w:p>
        </w:tc>
        <w:tc>
          <w:tcPr>
            <w:tcW w:w="2000" w:type="pct"/>
            <w:tcBorders>
              <w:top w:val="nil"/>
              <w:left w:val="nil"/>
              <w:bottom w:val="nil"/>
              <w:right w:val="nil"/>
            </w:tcBorders>
          </w:tcPr>
          <w:p w14:paraId="5F6AB5C1" w14:textId="07F8EBD1"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65.80</w:t>
            </w:r>
          </w:p>
        </w:tc>
        <w:tc>
          <w:tcPr>
            <w:tcW w:w="2000" w:type="pct"/>
            <w:tcBorders>
              <w:top w:val="nil"/>
              <w:left w:val="nil"/>
              <w:bottom w:val="nil"/>
              <w:right w:val="nil"/>
            </w:tcBorders>
          </w:tcPr>
          <w:p w14:paraId="6A2A6EA1" w14:textId="387D6742"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66E4D22B" w14:textId="412103D8" w:rsidTr="004B63B7">
        <w:tc>
          <w:tcPr>
            <w:tcW w:w="1000" w:type="pct"/>
            <w:tcBorders>
              <w:top w:val="nil"/>
              <w:left w:val="nil"/>
              <w:bottom w:val="nil"/>
              <w:right w:val="nil"/>
            </w:tcBorders>
          </w:tcPr>
          <w:p w14:paraId="6AEF5A8C" w14:textId="1EAE5987"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2031</w:t>
            </w:r>
          </w:p>
        </w:tc>
        <w:tc>
          <w:tcPr>
            <w:tcW w:w="2000" w:type="pct"/>
            <w:tcBorders>
              <w:top w:val="nil"/>
              <w:left w:val="nil"/>
              <w:bottom w:val="nil"/>
              <w:right w:val="nil"/>
            </w:tcBorders>
          </w:tcPr>
          <w:p w14:paraId="515FA3B3" w14:textId="737B69B8"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78F508A9" w14:textId="3DEF1004"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2647394A" w14:textId="6FCD48C6" w:rsidTr="004B63B7">
        <w:tc>
          <w:tcPr>
            <w:tcW w:w="1000" w:type="pct"/>
            <w:tcBorders>
              <w:top w:val="nil"/>
              <w:left w:val="nil"/>
              <w:bottom w:val="nil"/>
              <w:right w:val="nil"/>
            </w:tcBorders>
          </w:tcPr>
          <w:p w14:paraId="735FA3EC" w14:textId="10C1A2F2"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2032</w:t>
            </w:r>
          </w:p>
        </w:tc>
        <w:tc>
          <w:tcPr>
            <w:tcW w:w="2000" w:type="pct"/>
            <w:tcBorders>
              <w:top w:val="nil"/>
              <w:left w:val="nil"/>
              <w:bottom w:val="nil"/>
              <w:right w:val="nil"/>
            </w:tcBorders>
          </w:tcPr>
          <w:p w14:paraId="7380C0A9" w14:textId="6093ABE8"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2704BD39" w14:textId="17463668"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2AF59D31" w14:textId="59EF1672" w:rsidTr="004B63B7">
        <w:tc>
          <w:tcPr>
            <w:tcW w:w="1000" w:type="pct"/>
            <w:tcBorders>
              <w:top w:val="nil"/>
              <w:left w:val="nil"/>
              <w:bottom w:val="nil"/>
              <w:right w:val="nil"/>
            </w:tcBorders>
          </w:tcPr>
          <w:p w14:paraId="156D929E" w14:textId="3D2304A1"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2033</w:t>
            </w:r>
          </w:p>
        </w:tc>
        <w:tc>
          <w:tcPr>
            <w:tcW w:w="2000" w:type="pct"/>
            <w:tcBorders>
              <w:top w:val="nil"/>
              <w:left w:val="nil"/>
              <w:bottom w:val="nil"/>
              <w:right w:val="nil"/>
            </w:tcBorders>
          </w:tcPr>
          <w:p w14:paraId="0628C603" w14:textId="1C36CB0F"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0DEF82A4" w14:textId="7BA1FC29"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739A9978" w14:textId="74579AE4" w:rsidTr="004B63B7">
        <w:tc>
          <w:tcPr>
            <w:tcW w:w="1000" w:type="pct"/>
            <w:tcBorders>
              <w:top w:val="nil"/>
              <w:left w:val="nil"/>
              <w:bottom w:val="nil"/>
              <w:right w:val="nil"/>
            </w:tcBorders>
          </w:tcPr>
          <w:p w14:paraId="2B9C2F54" w14:textId="47AC8581"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2034</w:t>
            </w:r>
          </w:p>
        </w:tc>
        <w:tc>
          <w:tcPr>
            <w:tcW w:w="2000" w:type="pct"/>
            <w:tcBorders>
              <w:top w:val="nil"/>
              <w:left w:val="nil"/>
              <w:bottom w:val="nil"/>
              <w:right w:val="nil"/>
            </w:tcBorders>
          </w:tcPr>
          <w:p w14:paraId="539D3626" w14:textId="7D18C7E0" w:rsidR="004B63B7" w:rsidRPr="00A2786A" w:rsidRDefault="004B63B7" w:rsidP="00581F71">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341921DF" w14:textId="10539C92" w:rsidR="004B63B7" w:rsidRPr="00A2786A" w:rsidRDefault="004B63B7" w:rsidP="00581F71">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7A1AA363" w14:textId="62ED9D0A" w:rsidTr="004B63B7">
        <w:tc>
          <w:tcPr>
            <w:tcW w:w="1000" w:type="pct"/>
            <w:tcBorders>
              <w:top w:val="nil"/>
              <w:left w:val="nil"/>
              <w:bottom w:val="nil"/>
              <w:right w:val="nil"/>
            </w:tcBorders>
          </w:tcPr>
          <w:p w14:paraId="0CFE7A2C" w14:textId="1A46C59A"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2035</w:t>
            </w:r>
          </w:p>
        </w:tc>
        <w:tc>
          <w:tcPr>
            <w:tcW w:w="2000" w:type="pct"/>
            <w:tcBorders>
              <w:top w:val="nil"/>
              <w:left w:val="nil"/>
              <w:bottom w:val="nil"/>
              <w:right w:val="nil"/>
            </w:tcBorders>
          </w:tcPr>
          <w:p w14:paraId="67C0CDEF" w14:textId="3AB8DCE1"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7978D802" w14:textId="72AA4143" w:rsidR="004B63B7" w:rsidRPr="00A2786A" w:rsidRDefault="004B63B7" w:rsidP="009D76B0">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297DFB38" w14:textId="4F631257" w:rsidTr="004B63B7">
        <w:tc>
          <w:tcPr>
            <w:tcW w:w="1000" w:type="pct"/>
            <w:tcBorders>
              <w:top w:val="nil"/>
              <w:left w:val="nil"/>
              <w:bottom w:val="nil"/>
              <w:right w:val="nil"/>
            </w:tcBorders>
          </w:tcPr>
          <w:p w14:paraId="6AFAF497" w14:textId="25C15537"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2036</w:t>
            </w:r>
          </w:p>
        </w:tc>
        <w:tc>
          <w:tcPr>
            <w:tcW w:w="2000" w:type="pct"/>
            <w:tcBorders>
              <w:top w:val="nil"/>
              <w:left w:val="nil"/>
              <w:bottom w:val="nil"/>
              <w:right w:val="nil"/>
            </w:tcBorders>
          </w:tcPr>
          <w:p w14:paraId="0D8AD672" w14:textId="60FE6AFE"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2FF524DE" w14:textId="08969856" w:rsidR="004B63B7" w:rsidRPr="00A2786A" w:rsidRDefault="004B63B7" w:rsidP="009D76B0">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2EDCFE67" w14:textId="3424CAC0" w:rsidTr="004B63B7">
        <w:tc>
          <w:tcPr>
            <w:tcW w:w="1000" w:type="pct"/>
            <w:tcBorders>
              <w:top w:val="nil"/>
              <w:left w:val="nil"/>
              <w:bottom w:val="nil"/>
              <w:right w:val="nil"/>
            </w:tcBorders>
          </w:tcPr>
          <w:p w14:paraId="611B53DB" w14:textId="5B00CDAC"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2037</w:t>
            </w:r>
          </w:p>
        </w:tc>
        <w:tc>
          <w:tcPr>
            <w:tcW w:w="2000" w:type="pct"/>
            <w:tcBorders>
              <w:top w:val="nil"/>
              <w:left w:val="nil"/>
              <w:bottom w:val="nil"/>
              <w:right w:val="nil"/>
            </w:tcBorders>
          </w:tcPr>
          <w:p w14:paraId="1C122ABC" w14:textId="1B5B8883"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55ACE038" w14:textId="145ECB6D" w:rsidR="004B63B7" w:rsidRPr="00A2786A" w:rsidRDefault="004B63B7" w:rsidP="009D76B0">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r w:rsidR="004B63B7" w:rsidRPr="00A2786A" w14:paraId="2E945C42" w14:textId="72A52048" w:rsidTr="004B63B7">
        <w:tc>
          <w:tcPr>
            <w:tcW w:w="1000" w:type="pct"/>
            <w:tcBorders>
              <w:top w:val="nil"/>
              <w:left w:val="nil"/>
              <w:bottom w:val="nil"/>
              <w:right w:val="nil"/>
            </w:tcBorders>
          </w:tcPr>
          <w:p w14:paraId="0A006C25" w14:textId="6E261350" w:rsidR="004B63B7" w:rsidRPr="00A2786A" w:rsidRDefault="004B63B7" w:rsidP="00BA282F">
            <w:pPr>
              <w:pStyle w:val="SecurityCont2"/>
              <w:keepNext/>
              <w:spacing w:after="0"/>
              <w:jc w:val="center"/>
              <w:rPr>
                <w:rFonts w:ascii="Verdana" w:hAnsi="Verdana" w:cs="Arial"/>
                <w:sz w:val="16"/>
                <w:szCs w:val="16"/>
              </w:rPr>
            </w:pPr>
            <w:r w:rsidRPr="00A2786A">
              <w:rPr>
                <w:rFonts w:ascii="Verdana" w:hAnsi="Verdana" w:cs="Arial"/>
                <w:sz w:val="16"/>
                <w:szCs w:val="16"/>
              </w:rPr>
              <w:t>2038</w:t>
            </w:r>
          </w:p>
        </w:tc>
        <w:tc>
          <w:tcPr>
            <w:tcW w:w="2000" w:type="pct"/>
            <w:tcBorders>
              <w:top w:val="nil"/>
              <w:left w:val="nil"/>
              <w:bottom w:val="nil"/>
              <w:right w:val="nil"/>
            </w:tcBorders>
          </w:tcPr>
          <w:p w14:paraId="66A1DDAF" w14:textId="2190D532" w:rsidR="004B63B7" w:rsidRPr="00A2786A" w:rsidRDefault="004B63B7" w:rsidP="009D76B0">
            <w:pPr>
              <w:pStyle w:val="SecurityCont2"/>
              <w:keepNext/>
              <w:spacing w:after="0"/>
              <w:jc w:val="center"/>
              <w:rPr>
                <w:rFonts w:ascii="Verdana" w:hAnsi="Verdana" w:cs="Arial"/>
                <w:sz w:val="16"/>
                <w:szCs w:val="16"/>
              </w:rPr>
            </w:pPr>
            <w:r w:rsidRPr="00A2786A">
              <w:rPr>
                <w:rFonts w:ascii="Verdana" w:hAnsi="Verdana" w:cs="Arial"/>
                <w:sz w:val="16"/>
                <w:szCs w:val="16"/>
              </w:rPr>
              <w:t>65.70</w:t>
            </w:r>
          </w:p>
        </w:tc>
        <w:tc>
          <w:tcPr>
            <w:tcW w:w="2000" w:type="pct"/>
            <w:tcBorders>
              <w:top w:val="nil"/>
              <w:left w:val="nil"/>
              <w:bottom w:val="nil"/>
              <w:right w:val="nil"/>
            </w:tcBorders>
          </w:tcPr>
          <w:p w14:paraId="40D85838" w14:textId="13AEC035" w:rsidR="004B63B7" w:rsidRPr="00A2786A" w:rsidRDefault="004B63B7" w:rsidP="009D76B0">
            <w:pPr>
              <w:pStyle w:val="SecurityCont2"/>
              <w:keepNext/>
              <w:numPr>
                <w:ilvl w:val="2"/>
                <w:numId w:val="40"/>
              </w:numPr>
              <w:autoSpaceDE w:val="0"/>
              <w:autoSpaceDN w:val="0"/>
              <w:adjustRightInd w:val="0"/>
              <w:spacing w:after="0"/>
              <w:jc w:val="center"/>
              <w:outlineLvl w:val="2"/>
              <w:rPr>
                <w:rFonts w:ascii="Verdana" w:hAnsi="Verdana" w:cs="Arial"/>
                <w:sz w:val="16"/>
                <w:szCs w:val="16"/>
              </w:rPr>
            </w:pPr>
            <w:r w:rsidRPr="00A2786A">
              <w:rPr>
                <w:rFonts w:ascii="Verdana" w:hAnsi="Verdana" w:cs="Arial"/>
                <w:sz w:val="16"/>
                <w:szCs w:val="16"/>
              </w:rPr>
              <w:t>3.99</w:t>
            </w:r>
          </w:p>
        </w:tc>
      </w:tr>
    </w:tbl>
    <w:p w14:paraId="1CBE02D5" w14:textId="77777777" w:rsidR="00CD4697" w:rsidRPr="00A2786A" w:rsidRDefault="00CD4697" w:rsidP="008C4159">
      <w:pPr>
        <w:pStyle w:val="SecurityL8"/>
        <w:keepNext/>
        <w:numPr>
          <w:ilvl w:val="0"/>
          <w:numId w:val="0"/>
        </w:numPr>
        <w:autoSpaceDE w:val="0"/>
        <w:autoSpaceDN w:val="0"/>
        <w:adjustRightInd w:val="0"/>
        <w:spacing w:after="0"/>
        <w:rPr>
          <w:sz w:val="16"/>
          <w:szCs w:val="16"/>
        </w:rPr>
      </w:pPr>
    </w:p>
    <w:p w14:paraId="06D11714" w14:textId="745D1957" w:rsidR="00CD4697" w:rsidRPr="00A2786A" w:rsidRDefault="00F03A81" w:rsidP="00262D96">
      <w:pPr>
        <w:pStyle w:val="SecurityL9"/>
        <w:numPr>
          <w:ilvl w:val="8"/>
          <w:numId w:val="40"/>
        </w:numPr>
        <w:autoSpaceDE w:val="0"/>
        <w:autoSpaceDN w:val="0"/>
        <w:adjustRightInd w:val="0"/>
        <w:spacing w:after="0"/>
        <w:rPr>
          <w:rFonts w:ascii="Verdana" w:hAnsi="Verdana"/>
          <w:i w:val="0"/>
          <w:iCs/>
          <w:sz w:val="16"/>
          <w:szCs w:val="16"/>
        </w:rPr>
      </w:pPr>
      <w:bookmarkStart w:id="1" w:name="_Hlk128393278"/>
      <w:r w:rsidRPr="00A2786A">
        <w:rPr>
          <w:rFonts w:ascii="Verdana" w:hAnsi="Verdana"/>
          <w:i w:val="0"/>
          <w:sz w:val="16"/>
          <w:szCs w:val="16"/>
        </w:rPr>
        <w:t>The crude oil and natural gas forecast prices were estimated by Tecpetrol S.A. and were considered reasonable by GC</w:t>
      </w:r>
      <w:r w:rsidR="00B51001">
        <w:rPr>
          <w:rFonts w:ascii="Verdana" w:hAnsi="Verdana"/>
          <w:i w:val="0"/>
          <w:sz w:val="16"/>
          <w:szCs w:val="16"/>
        </w:rPr>
        <w:t>ea</w:t>
      </w:r>
      <w:r w:rsidRPr="00A2786A">
        <w:rPr>
          <w:rFonts w:ascii="Verdana" w:hAnsi="Verdana"/>
          <w:i w:val="0"/>
          <w:sz w:val="16"/>
          <w:szCs w:val="16"/>
        </w:rPr>
        <w:t>.  Natural g</w:t>
      </w:r>
      <w:r w:rsidR="00247710" w:rsidRPr="00A2786A">
        <w:rPr>
          <w:rFonts w:ascii="Verdana" w:hAnsi="Verdana"/>
          <w:i w:val="0"/>
          <w:iCs/>
          <w:sz w:val="16"/>
          <w:szCs w:val="16"/>
        </w:rPr>
        <w:t xml:space="preserve">as </w:t>
      </w:r>
      <w:r w:rsidR="008E39AD" w:rsidRPr="00A2786A">
        <w:rPr>
          <w:rFonts w:ascii="Verdana" w:hAnsi="Verdana"/>
          <w:i w:val="0"/>
          <w:iCs/>
          <w:sz w:val="16"/>
          <w:szCs w:val="16"/>
        </w:rPr>
        <w:t>price</w:t>
      </w:r>
      <w:r w:rsidRPr="00A2786A">
        <w:rPr>
          <w:rFonts w:ascii="Verdana" w:hAnsi="Verdana"/>
          <w:i w:val="0"/>
          <w:iCs/>
          <w:sz w:val="16"/>
          <w:szCs w:val="16"/>
        </w:rPr>
        <w:t>s</w:t>
      </w:r>
      <w:r w:rsidR="008E39AD" w:rsidRPr="00A2786A">
        <w:rPr>
          <w:rFonts w:ascii="Verdana" w:hAnsi="Verdana"/>
          <w:i w:val="0"/>
          <w:iCs/>
          <w:sz w:val="16"/>
          <w:szCs w:val="16"/>
        </w:rPr>
        <w:t xml:space="preserve"> </w:t>
      </w:r>
      <w:r w:rsidR="00F82449" w:rsidRPr="00A2786A">
        <w:rPr>
          <w:rFonts w:ascii="Verdana" w:hAnsi="Verdana"/>
          <w:i w:val="0"/>
          <w:iCs/>
          <w:sz w:val="16"/>
          <w:szCs w:val="16"/>
        </w:rPr>
        <w:t xml:space="preserve">decrease in 2029 due to </w:t>
      </w:r>
      <w:r w:rsidR="00247710" w:rsidRPr="00A2786A">
        <w:rPr>
          <w:rFonts w:ascii="Verdana" w:hAnsi="Verdana"/>
          <w:i w:val="0"/>
          <w:iCs/>
          <w:sz w:val="16"/>
          <w:szCs w:val="16"/>
        </w:rPr>
        <w:t xml:space="preserve">the </w:t>
      </w:r>
      <w:r w:rsidR="00F82449" w:rsidRPr="00A2786A">
        <w:rPr>
          <w:rFonts w:ascii="Verdana" w:hAnsi="Verdana"/>
          <w:i w:val="0"/>
          <w:iCs/>
          <w:sz w:val="16"/>
          <w:szCs w:val="16"/>
        </w:rPr>
        <w:t xml:space="preserve">end of Argentina’s Gas Plan which includes </w:t>
      </w:r>
      <w:r w:rsidRPr="00A2786A">
        <w:rPr>
          <w:rFonts w:ascii="Verdana" w:hAnsi="Verdana"/>
          <w:i w:val="0"/>
          <w:iCs/>
          <w:sz w:val="16"/>
          <w:szCs w:val="16"/>
        </w:rPr>
        <w:t xml:space="preserve">natural </w:t>
      </w:r>
      <w:r w:rsidR="00F82449" w:rsidRPr="00A2786A">
        <w:rPr>
          <w:rFonts w:ascii="Verdana" w:hAnsi="Verdana"/>
          <w:i w:val="0"/>
          <w:iCs/>
          <w:sz w:val="16"/>
          <w:szCs w:val="16"/>
        </w:rPr>
        <w:t>gas price incentives.</w:t>
      </w:r>
    </w:p>
    <w:bookmarkEnd w:id="1"/>
    <w:p w14:paraId="320F64AC" w14:textId="77777777" w:rsidR="00B51001" w:rsidRDefault="00B51001">
      <w:pPr>
        <w:rPr>
          <w:sz w:val="20"/>
          <w:szCs w:val="20"/>
        </w:rPr>
      </w:pPr>
      <w:r>
        <w:rPr>
          <w:sz w:val="20"/>
          <w:szCs w:val="20"/>
        </w:rPr>
        <w:br w:type="page"/>
      </w:r>
    </w:p>
    <w:p w14:paraId="6CD4ED96" w14:textId="0ED59059" w:rsidR="00997CEA" w:rsidRPr="00A2786A" w:rsidRDefault="00997CEA" w:rsidP="004B63B7">
      <w:pPr>
        <w:keepNext/>
        <w:spacing w:before="240"/>
        <w:rPr>
          <w:sz w:val="20"/>
          <w:szCs w:val="20"/>
        </w:rPr>
      </w:pPr>
      <w:r w:rsidRPr="00A2786A">
        <w:rPr>
          <w:sz w:val="20"/>
          <w:szCs w:val="20"/>
        </w:rPr>
        <w:lastRenderedPageBreak/>
        <w:t>For inquiries please contact</w:t>
      </w:r>
      <w:r w:rsidR="00F87807" w:rsidRPr="00A2786A">
        <w:rPr>
          <w:sz w:val="20"/>
          <w:szCs w:val="20"/>
        </w:rPr>
        <w:t>:</w:t>
      </w:r>
    </w:p>
    <w:p w14:paraId="3FAB80E3" w14:textId="77777777" w:rsidR="00997CEA" w:rsidRPr="00A2786A" w:rsidRDefault="00997CEA" w:rsidP="004B63B7">
      <w:pPr>
        <w:keepNext/>
        <w:rPr>
          <w:sz w:val="20"/>
          <w:szCs w:val="20"/>
        </w:rPr>
      </w:pPr>
    </w:p>
    <w:p w14:paraId="317C65CC" w14:textId="00F61F9A" w:rsidR="00997CEA" w:rsidRPr="00A2786A" w:rsidRDefault="00FB5E48" w:rsidP="004B63B7">
      <w:pPr>
        <w:keepNext/>
        <w:outlineLvl w:val="0"/>
        <w:rPr>
          <w:sz w:val="20"/>
          <w:szCs w:val="20"/>
        </w:rPr>
      </w:pPr>
      <w:r>
        <w:rPr>
          <w:sz w:val="20"/>
          <w:szCs w:val="20"/>
        </w:rPr>
        <w:t>Brian Moss</w:t>
      </w:r>
      <w:r w:rsidR="00CA3FA0" w:rsidRPr="00A2786A">
        <w:rPr>
          <w:sz w:val="20"/>
          <w:szCs w:val="20"/>
        </w:rPr>
        <w:tab/>
      </w:r>
      <w:r w:rsidR="000B260D" w:rsidRPr="00A2786A">
        <w:rPr>
          <w:sz w:val="20"/>
          <w:szCs w:val="20"/>
        </w:rPr>
        <w:tab/>
      </w:r>
      <w:r w:rsidR="00997CEA" w:rsidRPr="00A2786A">
        <w:rPr>
          <w:sz w:val="20"/>
          <w:szCs w:val="20"/>
        </w:rPr>
        <w:t xml:space="preserve"> </w:t>
      </w:r>
      <w:r w:rsidR="00997CEA" w:rsidRPr="00A2786A">
        <w:rPr>
          <w:sz w:val="20"/>
          <w:szCs w:val="20"/>
        </w:rPr>
        <w:tab/>
      </w:r>
      <w:r w:rsidR="00997CEA" w:rsidRPr="00A2786A">
        <w:rPr>
          <w:sz w:val="20"/>
          <w:szCs w:val="20"/>
        </w:rPr>
        <w:tab/>
      </w:r>
      <w:r w:rsidR="00997CEA" w:rsidRPr="00A2786A">
        <w:rPr>
          <w:sz w:val="20"/>
          <w:szCs w:val="20"/>
        </w:rPr>
        <w:tab/>
      </w:r>
      <w:r w:rsidR="003E78A4" w:rsidRPr="00A2786A">
        <w:rPr>
          <w:sz w:val="20"/>
          <w:szCs w:val="20"/>
        </w:rPr>
        <w:t>Marisa Tormakh</w:t>
      </w:r>
    </w:p>
    <w:p w14:paraId="0C5A1B14" w14:textId="126D1420" w:rsidR="00997CEA" w:rsidRPr="00A2786A" w:rsidRDefault="00FB5E48" w:rsidP="00997CEA">
      <w:pPr>
        <w:outlineLvl w:val="0"/>
        <w:rPr>
          <w:sz w:val="20"/>
          <w:szCs w:val="20"/>
        </w:rPr>
      </w:pPr>
      <w:r>
        <w:rPr>
          <w:sz w:val="20"/>
          <w:szCs w:val="20"/>
        </w:rPr>
        <w:t>Director</w:t>
      </w:r>
      <w:r w:rsidR="00997CEA" w:rsidRPr="00A2786A">
        <w:rPr>
          <w:sz w:val="20"/>
          <w:szCs w:val="20"/>
        </w:rPr>
        <w:tab/>
      </w:r>
      <w:r w:rsidR="00997CEA" w:rsidRPr="00A2786A">
        <w:rPr>
          <w:sz w:val="20"/>
          <w:szCs w:val="20"/>
        </w:rPr>
        <w:tab/>
      </w:r>
      <w:r w:rsidR="00997CEA" w:rsidRPr="00A2786A">
        <w:rPr>
          <w:sz w:val="20"/>
          <w:szCs w:val="20"/>
        </w:rPr>
        <w:tab/>
      </w:r>
      <w:r w:rsidR="00997CEA" w:rsidRPr="00A2786A">
        <w:rPr>
          <w:sz w:val="20"/>
          <w:szCs w:val="20"/>
        </w:rPr>
        <w:tab/>
      </w:r>
      <w:r w:rsidR="00BD6877" w:rsidRPr="00A2786A">
        <w:rPr>
          <w:sz w:val="20"/>
          <w:szCs w:val="20"/>
        </w:rPr>
        <w:t xml:space="preserve">          </w:t>
      </w:r>
      <w:r w:rsidR="00997CEA" w:rsidRPr="00A2786A">
        <w:rPr>
          <w:sz w:val="20"/>
          <w:szCs w:val="20"/>
        </w:rPr>
        <w:t>Vice-President</w:t>
      </w:r>
      <w:r w:rsidR="000A1C47" w:rsidRPr="00A2786A">
        <w:rPr>
          <w:sz w:val="20"/>
          <w:szCs w:val="20"/>
        </w:rPr>
        <w:t>, Finance</w:t>
      </w:r>
      <w:r w:rsidR="00997CEA" w:rsidRPr="00A2786A">
        <w:rPr>
          <w:sz w:val="20"/>
          <w:szCs w:val="20"/>
        </w:rPr>
        <w:t xml:space="preserve"> &amp; CFO</w:t>
      </w:r>
    </w:p>
    <w:p w14:paraId="77CD8B2E" w14:textId="3FC1CE55" w:rsidR="00997CEA" w:rsidRPr="00A2786A" w:rsidRDefault="00997CEA" w:rsidP="00997CEA">
      <w:pPr>
        <w:rPr>
          <w:sz w:val="20"/>
          <w:szCs w:val="20"/>
        </w:rPr>
      </w:pPr>
      <w:r w:rsidRPr="00A2786A">
        <w:rPr>
          <w:sz w:val="20"/>
          <w:szCs w:val="20"/>
        </w:rPr>
        <w:t>Ph: (403) 232-1150</w:t>
      </w:r>
      <w:r w:rsidRPr="00A2786A">
        <w:rPr>
          <w:sz w:val="20"/>
          <w:szCs w:val="20"/>
        </w:rPr>
        <w:tab/>
      </w:r>
      <w:r w:rsidRPr="00A2786A">
        <w:rPr>
          <w:sz w:val="20"/>
          <w:szCs w:val="20"/>
        </w:rPr>
        <w:tab/>
      </w:r>
      <w:r w:rsidRPr="00A2786A">
        <w:rPr>
          <w:sz w:val="20"/>
          <w:szCs w:val="20"/>
        </w:rPr>
        <w:tab/>
      </w:r>
      <w:r w:rsidR="005671AA">
        <w:rPr>
          <w:sz w:val="20"/>
          <w:szCs w:val="20"/>
        </w:rPr>
        <w:t xml:space="preserve">         </w:t>
      </w:r>
      <w:r w:rsidR="00BD6877" w:rsidRPr="00A2786A">
        <w:rPr>
          <w:sz w:val="20"/>
          <w:szCs w:val="20"/>
        </w:rPr>
        <w:t xml:space="preserve"> </w:t>
      </w:r>
      <w:r w:rsidRPr="00A2786A">
        <w:rPr>
          <w:sz w:val="20"/>
          <w:szCs w:val="20"/>
        </w:rPr>
        <w:t>Ph: (403) 232-1150</w:t>
      </w:r>
    </w:p>
    <w:p w14:paraId="23615767" w14:textId="0915653B" w:rsidR="00997CEA" w:rsidRPr="00A2786A" w:rsidRDefault="00997CEA" w:rsidP="00997CEA">
      <w:pPr>
        <w:rPr>
          <w:sz w:val="20"/>
          <w:szCs w:val="20"/>
        </w:rPr>
      </w:pPr>
      <w:r w:rsidRPr="00A2786A">
        <w:rPr>
          <w:sz w:val="20"/>
          <w:szCs w:val="20"/>
        </w:rPr>
        <w:t xml:space="preserve">Crown Point </w:t>
      </w:r>
      <w:r w:rsidR="001A4EF4" w:rsidRPr="00A2786A">
        <w:rPr>
          <w:sz w:val="20"/>
          <w:szCs w:val="20"/>
        </w:rPr>
        <w:t>Energy Inc</w:t>
      </w:r>
      <w:r w:rsidRPr="00A2786A">
        <w:rPr>
          <w:sz w:val="20"/>
          <w:szCs w:val="20"/>
        </w:rPr>
        <w:t>.</w:t>
      </w:r>
      <w:r w:rsidRPr="00A2786A">
        <w:rPr>
          <w:sz w:val="20"/>
          <w:szCs w:val="20"/>
        </w:rPr>
        <w:tab/>
      </w:r>
      <w:r w:rsidRPr="00A2786A">
        <w:rPr>
          <w:sz w:val="20"/>
          <w:szCs w:val="20"/>
        </w:rPr>
        <w:tab/>
      </w:r>
      <w:r w:rsidRPr="00A2786A">
        <w:rPr>
          <w:sz w:val="20"/>
          <w:szCs w:val="20"/>
        </w:rPr>
        <w:tab/>
        <w:t xml:space="preserve">Crown Point </w:t>
      </w:r>
      <w:r w:rsidR="001A4EF4" w:rsidRPr="00A2786A">
        <w:rPr>
          <w:sz w:val="20"/>
          <w:szCs w:val="20"/>
        </w:rPr>
        <w:t>Energy Inc</w:t>
      </w:r>
      <w:r w:rsidRPr="00A2786A">
        <w:rPr>
          <w:sz w:val="20"/>
          <w:szCs w:val="20"/>
        </w:rPr>
        <w:t>.</w:t>
      </w:r>
    </w:p>
    <w:p w14:paraId="6862CF46" w14:textId="609E07F2" w:rsidR="00997CEA" w:rsidRPr="00A2786A" w:rsidRDefault="005671AA" w:rsidP="00997CEA">
      <w:pPr>
        <w:rPr>
          <w:sz w:val="20"/>
          <w:szCs w:val="20"/>
        </w:rPr>
      </w:pPr>
      <w:hyperlink r:id="rId12" w:history="1">
        <w:r w:rsidRPr="008229C8">
          <w:rPr>
            <w:rStyle w:val="Hyperlink"/>
            <w:sz w:val="20"/>
            <w:szCs w:val="20"/>
          </w:rPr>
          <w:t>bmoss@crownpointenergy.com</w:t>
        </w:r>
      </w:hyperlink>
      <w:r w:rsidR="00997CEA" w:rsidRPr="00A2786A">
        <w:rPr>
          <w:sz w:val="20"/>
          <w:szCs w:val="20"/>
        </w:rPr>
        <w:tab/>
      </w:r>
      <w:r w:rsidR="00997CEA" w:rsidRPr="00A2786A">
        <w:rPr>
          <w:sz w:val="20"/>
          <w:szCs w:val="20"/>
        </w:rPr>
        <w:tab/>
      </w:r>
      <w:hyperlink r:id="rId13" w:history="1">
        <w:r w:rsidRPr="008229C8">
          <w:rPr>
            <w:rStyle w:val="Hyperlink"/>
            <w:sz w:val="20"/>
            <w:szCs w:val="20"/>
          </w:rPr>
          <w:t>mtormakh@crownpointenergy.com</w:t>
        </w:r>
      </w:hyperlink>
      <w:r w:rsidR="00997CEA" w:rsidRPr="00A2786A">
        <w:rPr>
          <w:sz w:val="20"/>
          <w:szCs w:val="20"/>
        </w:rPr>
        <w:t xml:space="preserve"> </w:t>
      </w:r>
    </w:p>
    <w:p w14:paraId="31B6ADDC" w14:textId="77777777" w:rsidR="00A36152" w:rsidRPr="00A2786A" w:rsidRDefault="00A36152" w:rsidP="00997CEA">
      <w:pPr>
        <w:rPr>
          <w:rFonts w:ascii="Times New Roman" w:hAnsi="Times New Roman"/>
          <w:sz w:val="20"/>
          <w:szCs w:val="20"/>
        </w:rPr>
      </w:pPr>
    </w:p>
    <w:p w14:paraId="4838AD4F" w14:textId="77777777" w:rsidR="00997CEA" w:rsidRPr="00A2786A" w:rsidRDefault="00997CEA" w:rsidP="00997CEA">
      <w:pPr>
        <w:rPr>
          <w:rFonts w:ascii="Times New Roman" w:hAnsi="Times New Roman"/>
          <w:sz w:val="20"/>
          <w:szCs w:val="20"/>
        </w:rPr>
      </w:pPr>
    </w:p>
    <w:p w14:paraId="415D881D" w14:textId="77777777" w:rsidR="00997CEA" w:rsidRPr="00A2786A" w:rsidRDefault="00193809" w:rsidP="00FF4E54">
      <w:pPr>
        <w:keepNext/>
        <w:keepLines/>
        <w:rPr>
          <w:b/>
          <w:i/>
          <w:sz w:val="20"/>
          <w:szCs w:val="20"/>
        </w:rPr>
      </w:pPr>
      <w:r w:rsidRPr="00A2786A">
        <w:rPr>
          <w:b/>
          <w:i/>
          <w:sz w:val="20"/>
          <w:szCs w:val="20"/>
        </w:rPr>
        <w:t>About Crown Point</w:t>
      </w:r>
    </w:p>
    <w:p w14:paraId="3C3BA743" w14:textId="77777777" w:rsidR="001757BE" w:rsidRPr="00A2786A" w:rsidRDefault="001757BE" w:rsidP="001757BE">
      <w:pPr>
        <w:rPr>
          <w:b/>
          <w:i/>
          <w:sz w:val="20"/>
          <w:szCs w:val="20"/>
        </w:rPr>
      </w:pPr>
    </w:p>
    <w:p w14:paraId="578C904D" w14:textId="7144AFF7" w:rsidR="00843B59" w:rsidRPr="00A2786A" w:rsidRDefault="00843B59" w:rsidP="00843B59">
      <w:pPr>
        <w:pStyle w:val="MICONHEADER1"/>
        <w:widowControl w:val="0"/>
        <w:spacing w:line="240" w:lineRule="atLeast"/>
        <w:ind w:left="0"/>
        <w:rPr>
          <w:rFonts w:ascii="Verdana" w:hAnsi="Verdana"/>
          <w:b w:val="0"/>
          <w:bCs/>
          <w:caps w:val="0"/>
          <w:sz w:val="20"/>
          <w:szCs w:val="20"/>
        </w:rPr>
      </w:pPr>
      <w:r w:rsidRPr="00A2786A">
        <w:rPr>
          <w:rFonts w:ascii="Verdana" w:hAnsi="Verdana"/>
          <w:b w:val="0"/>
          <w:bCs/>
          <w:caps w:val="0"/>
          <w:sz w:val="20"/>
          <w:szCs w:val="20"/>
        </w:rPr>
        <w:t xml:space="preserve">Crown Point Energy Inc. is an international oil and gas exploration and development company headquartered in </w:t>
      </w:r>
      <w:r w:rsidR="00492810" w:rsidRPr="00A2786A">
        <w:rPr>
          <w:rFonts w:ascii="Verdana" w:hAnsi="Verdana"/>
          <w:b w:val="0"/>
          <w:bCs/>
          <w:caps w:val="0"/>
          <w:sz w:val="20"/>
          <w:szCs w:val="20"/>
        </w:rPr>
        <w:t>Buenos Aires, Argentina</w:t>
      </w:r>
      <w:r w:rsidRPr="00A2786A">
        <w:rPr>
          <w:rFonts w:ascii="Verdana" w:hAnsi="Verdana"/>
          <w:b w:val="0"/>
          <w:bCs/>
          <w:caps w:val="0"/>
          <w:sz w:val="20"/>
          <w:szCs w:val="20"/>
        </w:rPr>
        <w:t xml:space="preserve">, incorporated in Canada, trading on the TSX Venture Exchange and </w:t>
      </w:r>
      <w:r w:rsidR="00F159ED" w:rsidRPr="00A2786A">
        <w:rPr>
          <w:rFonts w:ascii="Verdana" w:hAnsi="Verdana"/>
          <w:b w:val="0"/>
          <w:bCs/>
          <w:caps w:val="0"/>
          <w:sz w:val="20"/>
          <w:szCs w:val="20"/>
        </w:rPr>
        <w:t>operating</w:t>
      </w:r>
      <w:r w:rsidR="00CE1D64" w:rsidRPr="00A2786A">
        <w:rPr>
          <w:rFonts w:ascii="Verdana" w:hAnsi="Verdana"/>
          <w:b w:val="0"/>
          <w:bCs/>
          <w:caps w:val="0"/>
          <w:sz w:val="20"/>
          <w:szCs w:val="20"/>
        </w:rPr>
        <w:t xml:space="preserve"> in Argentina</w:t>
      </w:r>
      <w:r w:rsidRPr="00A2786A">
        <w:rPr>
          <w:rFonts w:ascii="Verdana" w:hAnsi="Verdana"/>
          <w:b w:val="0"/>
          <w:bCs/>
          <w:caps w:val="0"/>
          <w:sz w:val="20"/>
          <w:szCs w:val="20"/>
        </w:rPr>
        <w:t xml:space="preserve">. </w:t>
      </w:r>
      <w:r w:rsidR="00A0701B" w:rsidRPr="00A2786A">
        <w:rPr>
          <w:rFonts w:ascii="Verdana" w:hAnsi="Verdana"/>
          <w:b w:val="0"/>
          <w:caps w:val="0"/>
          <w:sz w:val="20"/>
          <w:szCs w:val="20"/>
        </w:rPr>
        <w:t xml:space="preserve">Crown Point's exploration and development activities are focused in </w:t>
      </w:r>
      <w:r w:rsidR="00492810" w:rsidRPr="00A2786A">
        <w:rPr>
          <w:rFonts w:ascii="Verdana" w:hAnsi="Verdana"/>
          <w:b w:val="0"/>
          <w:caps w:val="0"/>
          <w:sz w:val="20"/>
          <w:szCs w:val="20"/>
        </w:rPr>
        <w:t>four</w:t>
      </w:r>
      <w:r w:rsidR="00A0701B" w:rsidRPr="00A2786A">
        <w:rPr>
          <w:rFonts w:ascii="Verdana" w:hAnsi="Verdana"/>
          <w:b w:val="0"/>
          <w:caps w:val="0"/>
          <w:sz w:val="20"/>
          <w:szCs w:val="20"/>
        </w:rPr>
        <w:t xml:space="preserve"> producing basins in Argentina, </w:t>
      </w:r>
      <w:r w:rsidR="00492810" w:rsidRPr="00A2786A">
        <w:rPr>
          <w:rFonts w:ascii="Verdana" w:hAnsi="Verdana"/>
          <w:b w:val="0"/>
          <w:caps w:val="0"/>
          <w:sz w:val="20"/>
          <w:szCs w:val="20"/>
        </w:rPr>
        <w:t xml:space="preserve">the Golfo San Jorge basin in the Province of Santa Cruz, </w:t>
      </w:r>
      <w:r w:rsidR="00A0701B" w:rsidRPr="00A2786A">
        <w:rPr>
          <w:rFonts w:ascii="Verdana" w:hAnsi="Verdana"/>
          <w:b w:val="0"/>
          <w:caps w:val="0"/>
          <w:sz w:val="20"/>
          <w:szCs w:val="20"/>
        </w:rPr>
        <w:t>the Austral basin in the province of Tierra del Fuego, and the Neuquén and Cuyo basins in the province of Mendoza.</w:t>
      </w:r>
      <w:r w:rsidR="00A0701B" w:rsidRPr="00A2786A">
        <w:rPr>
          <w:rFonts w:ascii="Verdana" w:hAnsi="Verdana"/>
          <w:b w:val="0"/>
          <w:sz w:val="20"/>
          <w:szCs w:val="20"/>
        </w:rPr>
        <w:t xml:space="preserve"> </w:t>
      </w:r>
      <w:r w:rsidRPr="00A2786A">
        <w:rPr>
          <w:rFonts w:ascii="Verdana" w:hAnsi="Verdana"/>
          <w:b w:val="0"/>
          <w:bCs/>
          <w:caps w:val="0"/>
          <w:sz w:val="20"/>
          <w:szCs w:val="20"/>
        </w:rPr>
        <w:t>Crown Point has a strategy that focuses on establishing a portfolio of producing properties, plus production enhancement and exploration opportunities to provide a basis for future growth.</w:t>
      </w:r>
    </w:p>
    <w:p w14:paraId="4688C771" w14:textId="77777777" w:rsidR="001757BE" w:rsidRPr="00A2786A" w:rsidRDefault="001757BE" w:rsidP="001757BE">
      <w:pPr>
        <w:pStyle w:val="MICONHEADER1"/>
        <w:widowControl w:val="0"/>
        <w:spacing w:line="240" w:lineRule="atLeast"/>
        <w:ind w:left="0"/>
        <w:rPr>
          <w:rFonts w:ascii="Verdana" w:hAnsi="Verdana"/>
          <w:b w:val="0"/>
          <w:bCs/>
          <w:caps w:val="0"/>
          <w:sz w:val="22"/>
          <w:szCs w:val="22"/>
        </w:rPr>
      </w:pPr>
    </w:p>
    <w:p w14:paraId="0858225B" w14:textId="0D04F513" w:rsidR="001757BE" w:rsidRPr="00A2786A" w:rsidRDefault="00CD3E93" w:rsidP="00CE1D64">
      <w:pPr>
        <w:keepNext/>
        <w:jc w:val="both"/>
        <w:rPr>
          <w:b/>
          <w:bCs/>
          <w:i/>
          <w:iCs/>
          <w:sz w:val="16"/>
          <w:szCs w:val="16"/>
        </w:rPr>
      </w:pPr>
      <w:r w:rsidRPr="00A2786A">
        <w:rPr>
          <w:b/>
          <w:bCs/>
          <w:i/>
          <w:iCs/>
          <w:sz w:val="16"/>
          <w:szCs w:val="16"/>
        </w:rPr>
        <w:t>Oil and Gas Advisories</w:t>
      </w:r>
    </w:p>
    <w:p w14:paraId="382AAA8A" w14:textId="77777777" w:rsidR="000601E1" w:rsidRPr="00A2786A" w:rsidRDefault="000601E1" w:rsidP="00CE1D64">
      <w:pPr>
        <w:keepNext/>
        <w:jc w:val="both"/>
        <w:rPr>
          <w:b/>
          <w:bCs/>
          <w:i/>
          <w:iCs/>
          <w:sz w:val="16"/>
          <w:szCs w:val="16"/>
        </w:rPr>
      </w:pPr>
    </w:p>
    <w:p w14:paraId="57DD53C9" w14:textId="77777777" w:rsidR="006F436B" w:rsidRPr="00A2786A" w:rsidRDefault="00CA24A5" w:rsidP="00CE1D64">
      <w:pPr>
        <w:keepNext/>
        <w:widowControl w:val="0"/>
        <w:jc w:val="both"/>
        <w:rPr>
          <w:rFonts w:eastAsia="Calibri"/>
          <w:i/>
          <w:sz w:val="16"/>
          <w:szCs w:val="16"/>
        </w:rPr>
      </w:pPr>
      <w:r w:rsidRPr="00A2786A">
        <w:rPr>
          <w:rFonts w:eastAsia="Calibri"/>
          <w:i/>
          <w:sz w:val="16"/>
          <w:szCs w:val="16"/>
        </w:rPr>
        <w:t>Barrels of oil equivalent (</w:t>
      </w:r>
      <w:r w:rsidR="00CD3E93" w:rsidRPr="00A2786A">
        <w:rPr>
          <w:rFonts w:eastAsia="Calibri"/>
          <w:i/>
          <w:sz w:val="16"/>
          <w:szCs w:val="16"/>
        </w:rPr>
        <w:t>"</w:t>
      </w:r>
      <w:r w:rsidRPr="00A2786A">
        <w:rPr>
          <w:rFonts w:eastAsia="Calibri"/>
          <w:b/>
          <w:i/>
          <w:sz w:val="16"/>
          <w:szCs w:val="16"/>
        </w:rPr>
        <w:t>BOE</w:t>
      </w:r>
      <w:r w:rsidR="00CD3E93" w:rsidRPr="00A2786A">
        <w:rPr>
          <w:rFonts w:eastAsia="Calibri"/>
          <w:i/>
          <w:sz w:val="16"/>
          <w:szCs w:val="16"/>
        </w:rPr>
        <w:t>"</w:t>
      </w:r>
      <w:r w:rsidRPr="00A2786A">
        <w:rPr>
          <w:rFonts w:eastAsia="Calibri"/>
          <w:i/>
          <w:sz w:val="16"/>
          <w:szCs w:val="16"/>
        </w:rPr>
        <w:t xml:space="preserve">) may be misleading, particularly if used in isolation. A </w:t>
      </w:r>
      <w:r w:rsidR="00CD3E93" w:rsidRPr="00A2786A">
        <w:rPr>
          <w:rFonts w:eastAsia="Calibri"/>
          <w:i/>
          <w:sz w:val="16"/>
          <w:szCs w:val="16"/>
        </w:rPr>
        <w:t>BOE</w:t>
      </w:r>
      <w:r w:rsidRPr="00A2786A">
        <w:rPr>
          <w:rFonts w:eastAsia="Calibri"/>
          <w:i/>
          <w:sz w:val="16"/>
          <w:szCs w:val="16"/>
        </w:rPr>
        <w:t xml:space="preserve"> conversion ratio of six thousand cubic feet (6 Mcf) to one barrel (1 bbl) is based on an energy equivalency conversion method primarily applicable at the burner tip and does not represent a value equivalency at the wellhead. In addition, given that the value ratio based on the current price of crude oil in Argentina as compared to the current price of natural gas in Argentina is significantly different from the energy equivalency of 6:1, utilizing a conversion on a 6:1 basis may be misleading as an indication of value.</w:t>
      </w:r>
    </w:p>
    <w:p w14:paraId="60E4362F" w14:textId="77777777" w:rsidR="000601E1" w:rsidRPr="00A2786A" w:rsidRDefault="000601E1" w:rsidP="00BC282F">
      <w:pPr>
        <w:widowControl w:val="0"/>
        <w:jc w:val="both"/>
        <w:rPr>
          <w:rFonts w:eastAsia="Calibri"/>
          <w:i/>
          <w:sz w:val="16"/>
          <w:szCs w:val="16"/>
        </w:rPr>
      </w:pPr>
    </w:p>
    <w:p w14:paraId="2DFFA60E" w14:textId="3C0370A0" w:rsidR="006F436B" w:rsidRPr="00A2786A" w:rsidRDefault="000E3366" w:rsidP="00BC282F">
      <w:pPr>
        <w:widowControl w:val="0"/>
        <w:jc w:val="both"/>
        <w:rPr>
          <w:rFonts w:eastAsia="Calibri"/>
          <w:i/>
          <w:sz w:val="16"/>
          <w:szCs w:val="16"/>
        </w:rPr>
      </w:pPr>
      <w:r w:rsidRPr="00A2786A">
        <w:rPr>
          <w:rFonts w:eastAsia="Calibri"/>
          <w:i/>
          <w:sz w:val="16"/>
          <w:szCs w:val="16"/>
        </w:rPr>
        <w:t xml:space="preserve">"MBOE" means thousands of barrels of oil equivalent.  </w:t>
      </w:r>
      <w:r w:rsidR="00CA24A5" w:rsidRPr="00A2786A">
        <w:rPr>
          <w:rFonts w:eastAsia="Calibri"/>
          <w:i/>
          <w:sz w:val="16"/>
          <w:szCs w:val="16"/>
        </w:rPr>
        <w:t>“Mcf” means thousand cubic feet.  “M</w:t>
      </w:r>
      <w:r w:rsidR="009F2D7A" w:rsidRPr="00A2786A">
        <w:rPr>
          <w:rFonts w:eastAsia="Calibri"/>
          <w:i/>
          <w:sz w:val="16"/>
          <w:szCs w:val="16"/>
        </w:rPr>
        <w:t>M</w:t>
      </w:r>
      <w:r w:rsidR="00CA24A5" w:rsidRPr="00A2786A">
        <w:rPr>
          <w:rFonts w:eastAsia="Calibri"/>
          <w:i/>
          <w:sz w:val="16"/>
          <w:szCs w:val="16"/>
        </w:rPr>
        <w:t xml:space="preserve">cf” </w:t>
      </w:r>
      <w:r w:rsidR="00220A43" w:rsidRPr="00A2786A">
        <w:rPr>
          <w:rFonts w:eastAsia="Calibri"/>
          <w:i/>
          <w:sz w:val="16"/>
          <w:szCs w:val="16"/>
        </w:rPr>
        <w:t>means million cubic feet.  "bbl</w:t>
      </w:r>
      <w:r w:rsidR="00CA24A5" w:rsidRPr="00A2786A">
        <w:rPr>
          <w:rFonts w:eastAsia="Calibri"/>
          <w:i/>
          <w:sz w:val="16"/>
          <w:szCs w:val="16"/>
        </w:rPr>
        <w:t xml:space="preserve">" means barrel.  </w:t>
      </w:r>
      <w:r w:rsidRPr="00A2786A">
        <w:rPr>
          <w:rFonts w:eastAsia="Calibri"/>
          <w:i/>
          <w:sz w:val="16"/>
          <w:szCs w:val="16"/>
        </w:rPr>
        <w:t xml:space="preserve">"Mbbl" means thousands of barrels.  </w:t>
      </w:r>
    </w:p>
    <w:p w14:paraId="43924007" w14:textId="77777777" w:rsidR="006F436B" w:rsidRPr="00A2786A" w:rsidRDefault="006F436B" w:rsidP="00BC282F">
      <w:pPr>
        <w:widowControl w:val="0"/>
        <w:jc w:val="both"/>
        <w:rPr>
          <w:rFonts w:eastAsia="Calibri"/>
          <w:i/>
          <w:sz w:val="16"/>
          <w:szCs w:val="16"/>
        </w:rPr>
      </w:pPr>
    </w:p>
    <w:p w14:paraId="5CAF1752" w14:textId="13E6CDDC" w:rsidR="00606739" w:rsidRPr="00A2786A" w:rsidRDefault="006F436B" w:rsidP="00BC282F">
      <w:pPr>
        <w:autoSpaceDE w:val="0"/>
        <w:autoSpaceDN w:val="0"/>
        <w:adjustRightInd w:val="0"/>
        <w:jc w:val="both"/>
        <w:rPr>
          <w:rFonts w:eastAsia="Calibri"/>
          <w:i/>
          <w:sz w:val="16"/>
          <w:szCs w:val="16"/>
        </w:rPr>
      </w:pPr>
      <w:r w:rsidRPr="00A2786A">
        <w:rPr>
          <w:rFonts w:eastAsia="Calibri"/>
          <w:i/>
          <w:sz w:val="16"/>
          <w:szCs w:val="16"/>
        </w:rPr>
        <w:t xml:space="preserve">The reserves </w:t>
      </w:r>
      <w:proofErr w:type="gramStart"/>
      <w:r w:rsidRPr="00A2786A">
        <w:rPr>
          <w:rFonts w:eastAsia="Calibri"/>
          <w:i/>
          <w:sz w:val="16"/>
          <w:szCs w:val="16"/>
        </w:rPr>
        <w:t>estimates</w:t>
      </w:r>
      <w:proofErr w:type="gramEnd"/>
      <w:r w:rsidRPr="00A2786A">
        <w:rPr>
          <w:rFonts w:eastAsia="Calibri"/>
          <w:i/>
          <w:sz w:val="16"/>
          <w:szCs w:val="16"/>
        </w:rPr>
        <w:t xml:space="preserve"> contained in this news release represent </w:t>
      </w:r>
      <w:r w:rsidR="0057563A" w:rsidRPr="00A2786A">
        <w:rPr>
          <w:rFonts w:eastAsia="Calibri"/>
          <w:i/>
          <w:sz w:val="16"/>
          <w:szCs w:val="16"/>
        </w:rPr>
        <w:t>the</w:t>
      </w:r>
      <w:r w:rsidRPr="00A2786A">
        <w:rPr>
          <w:rFonts w:eastAsia="Calibri"/>
          <w:i/>
          <w:sz w:val="16"/>
          <w:szCs w:val="16"/>
        </w:rPr>
        <w:t xml:space="preserve"> gross </w:t>
      </w:r>
      <w:r w:rsidR="004D6238" w:rsidRPr="00A2786A">
        <w:rPr>
          <w:rFonts w:eastAsia="Calibri"/>
          <w:i/>
          <w:sz w:val="16"/>
          <w:szCs w:val="16"/>
        </w:rPr>
        <w:t xml:space="preserve">and net </w:t>
      </w:r>
      <w:r w:rsidRPr="00A2786A">
        <w:rPr>
          <w:rFonts w:eastAsia="Calibri"/>
          <w:i/>
          <w:sz w:val="16"/>
          <w:szCs w:val="16"/>
        </w:rPr>
        <w:t xml:space="preserve">reserves </w:t>
      </w:r>
      <w:r w:rsidR="0057563A" w:rsidRPr="00A2786A">
        <w:rPr>
          <w:rFonts w:eastAsia="Calibri"/>
          <w:i/>
          <w:sz w:val="16"/>
          <w:szCs w:val="16"/>
        </w:rPr>
        <w:t xml:space="preserve">attributable to the Sellers' working interests in the Concessions </w:t>
      </w:r>
      <w:r w:rsidRPr="00A2786A">
        <w:rPr>
          <w:rFonts w:eastAsia="Calibri"/>
          <w:i/>
          <w:sz w:val="16"/>
          <w:szCs w:val="16"/>
        </w:rPr>
        <w:t xml:space="preserve">as at December 31, </w:t>
      </w:r>
      <w:r w:rsidR="00DC646E" w:rsidRPr="00A2786A">
        <w:rPr>
          <w:rFonts w:eastAsia="Calibri"/>
          <w:i/>
          <w:sz w:val="16"/>
          <w:szCs w:val="16"/>
        </w:rPr>
        <w:t>202</w:t>
      </w:r>
      <w:r w:rsidR="0057563A" w:rsidRPr="00A2786A">
        <w:rPr>
          <w:rFonts w:eastAsia="Calibri"/>
          <w:i/>
          <w:sz w:val="16"/>
          <w:szCs w:val="16"/>
        </w:rPr>
        <w:t>4</w:t>
      </w:r>
      <w:r w:rsidR="004D6238" w:rsidRPr="00A2786A">
        <w:rPr>
          <w:rFonts w:eastAsia="Calibri"/>
          <w:i/>
          <w:sz w:val="16"/>
          <w:szCs w:val="16"/>
        </w:rPr>
        <w:t xml:space="preserve">.  Gross reserves </w:t>
      </w:r>
      <w:r w:rsidRPr="00A2786A">
        <w:rPr>
          <w:rFonts w:eastAsia="Calibri"/>
          <w:i/>
          <w:sz w:val="16"/>
          <w:szCs w:val="16"/>
        </w:rPr>
        <w:t xml:space="preserve">are defined under NI 51-101 as </w:t>
      </w:r>
      <w:r w:rsidR="0057563A" w:rsidRPr="00A2786A">
        <w:rPr>
          <w:rFonts w:eastAsia="Calibri"/>
          <w:i/>
          <w:sz w:val="16"/>
          <w:szCs w:val="16"/>
        </w:rPr>
        <w:t>the</w:t>
      </w:r>
      <w:r w:rsidRPr="00A2786A">
        <w:rPr>
          <w:rFonts w:eastAsia="Calibri"/>
          <w:i/>
          <w:sz w:val="16"/>
          <w:szCs w:val="16"/>
        </w:rPr>
        <w:t xml:space="preserve"> </w:t>
      </w:r>
      <w:r w:rsidR="00DD2D22" w:rsidRPr="00A2786A">
        <w:rPr>
          <w:rFonts w:eastAsia="Calibri"/>
          <w:i/>
          <w:sz w:val="16"/>
          <w:szCs w:val="16"/>
        </w:rPr>
        <w:t xml:space="preserve">working </w:t>
      </w:r>
      <w:r w:rsidRPr="00A2786A">
        <w:rPr>
          <w:rFonts w:eastAsia="Calibri"/>
          <w:i/>
          <w:sz w:val="16"/>
          <w:szCs w:val="16"/>
        </w:rPr>
        <w:t xml:space="preserve">interest </w:t>
      </w:r>
      <w:r w:rsidR="00DD2D22" w:rsidRPr="00A2786A">
        <w:rPr>
          <w:rFonts w:eastAsia="Calibri"/>
          <w:i/>
          <w:sz w:val="16"/>
          <w:szCs w:val="16"/>
        </w:rPr>
        <w:t xml:space="preserve">(operating or non-operating) share </w:t>
      </w:r>
      <w:r w:rsidRPr="00A2786A">
        <w:rPr>
          <w:rFonts w:eastAsia="Calibri"/>
          <w:i/>
          <w:sz w:val="16"/>
          <w:szCs w:val="16"/>
        </w:rPr>
        <w:t xml:space="preserve">before deduction of royalties and without including any of </w:t>
      </w:r>
      <w:r w:rsidR="0057563A" w:rsidRPr="00A2786A">
        <w:rPr>
          <w:rFonts w:eastAsia="Calibri"/>
          <w:i/>
          <w:sz w:val="16"/>
          <w:szCs w:val="16"/>
        </w:rPr>
        <w:t>the</w:t>
      </w:r>
      <w:r w:rsidRPr="00A2786A">
        <w:rPr>
          <w:rFonts w:eastAsia="Calibri"/>
          <w:i/>
          <w:sz w:val="16"/>
          <w:szCs w:val="16"/>
        </w:rPr>
        <w:t xml:space="preserve"> royalty interests. </w:t>
      </w:r>
      <w:r w:rsidR="004D6238" w:rsidRPr="00A2786A">
        <w:rPr>
          <w:rFonts w:eastAsia="Calibri"/>
          <w:i/>
          <w:sz w:val="16"/>
          <w:szCs w:val="16"/>
        </w:rPr>
        <w:t xml:space="preserve"> Net reserves are defined under NI 51-101 as </w:t>
      </w:r>
      <w:r w:rsidR="0057563A" w:rsidRPr="00A2786A">
        <w:rPr>
          <w:rFonts w:eastAsia="Calibri"/>
          <w:i/>
          <w:sz w:val="16"/>
          <w:szCs w:val="16"/>
        </w:rPr>
        <w:t>the</w:t>
      </w:r>
      <w:r w:rsidR="004D6238" w:rsidRPr="00A2786A">
        <w:rPr>
          <w:rFonts w:eastAsia="Calibri"/>
          <w:i/>
          <w:sz w:val="16"/>
          <w:szCs w:val="16"/>
        </w:rPr>
        <w:t xml:space="preserve"> working interest (operating or non-operating) share after deduction of royalty obligations, plus </w:t>
      </w:r>
      <w:r w:rsidR="0057563A" w:rsidRPr="00A2786A">
        <w:rPr>
          <w:rFonts w:eastAsia="Calibri"/>
          <w:i/>
          <w:sz w:val="16"/>
          <w:szCs w:val="16"/>
        </w:rPr>
        <w:t>the</w:t>
      </w:r>
      <w:r w:rsidR="004D6238" w:rsidRPr="00A2786A">
        <w:rPr>
          <w:rFonts w:eastAsia="Calibri"/>
          <w:i/>
          <w:sz w:val="16"/>
          <w:szCs w:val="16"/>
        </w:rPr>
        <w:t xml:space="preserve"> royalty interests in reserves. </w:t>
      </w:r>
      <w:r w:rsidR="00A90531" w:rsidRPr="00A2786A">
        <w:rPr>
          <w:rFonts w:eastAsia="Calibri"/>
          <w:i/>
          <w:sz w:val="16"/>
          <w:szCs w:val="16"/>
        </w:rPr>
        <w:t xml:space="preserve"> </w:t>
      </w:r>
      <w:r w:rsidRPr="00A2786A">
        <w:rPr>
          <w:rFonts w:eastAsia="Calibri"/>
          <w:i/>
          <w:sz w:val="16"/>
          <w:szCs w:val="16"/>
        </w:rPr>
        <w:t xml:space="preserve">It should not be assumed that the present worth of estimated future net revenues presented in the tables above represents the fair market value of the reserves. There is no assurance that the forecast price and cost assumptions will be attained and variances could be material. The recovery and reserves </w:t>
      </w:r>
      <w:proofErr w:type="gramStart"/>
      <w:r w:rsidRPr="00A2786A">
        <w:rPr>
          <w:rFonts w:eastAsia="Calibri"/>
          <w:i/>
          <w:sz w:val="16"/>
          <w:szCs w:val="16"/>
        </w:rPr>
        <w:t>estimates</w:t>
      </w:r>
      <w:proofErr w:type="gramEnd"/>
      <w:r w:rsidRPr="00A2786A">
        <w:rPr>
          <w:rFonts w:eastAsia="Calibri"/>
          <w:i/>
          <w:sz w:val="16"/>
          <w:szCs w:val="16"/>
        </w:rPr>
        <w:t xml:space="preserve"> of </w:t>
      </w:r>
      <w:r w:rsidR="0057563A" w:rsidRPr="00A2786A">
        <w:rPr>
          <w:rFonts w:eastAsia="Calibri"/>
          <w:i/>
          <w:sz w:val="16"/>
          <w:szCs w:val="16"/>
        </w:rPr>
        <w:t>the</w:t>
      </w:r>
      <w:r w:rsidRPr="00A2786A">
        <w:rPr>
          <w:rFonts w:eastAsia="Calibri"/>
          <w:i/>
          <w:sz w:val="16"/>
          <w:szCs w:val="16"/>
        </w:rPr>
        <w:t xml:space="preserve"> crude oil and natural gas reserves provided herein are estimates only and there is no guarantee that the estimated reserves will be recovered. Actual crude oil</w:t>
      </w:r>
      <w:r w:rsidR="00537A2C" w:rsidRPr="00A2786A">
        <w:rPr>
          <w:rFonts w:eastAsia="Calibri"/>
          <w:i/>
          <w:sz w:val="16"/>
          <w:szCs w:val="16"/>
        </w:rPr>
        <w:t xml:space="preserve"> and</w:t>
      </w:r>
      <w:r w:rsidRPr="00A2786A">
        <w:rPr>
          <w:rFonts w:eastAsia="Calibri"/>
          <w:i/>
          <w:sz w:val="16"/>
          <w:szCs w:val="16"/>
        </w:rPr>
        <w:t xml:space="preserve"> natural gas reserves may be greater than or less than the estimates provided herein.</w:t>
      </w:r>
    </w:p>
    <w:p w14:paraId="441E8945" w14:textId="77777777" w:rsidR="006F436B" w:rsidRPr="00A2786A" w:rsidRDefault="006F436B" w:rsidP="00BC282F">
      <w:pPr>
        <w:autoSpaceDE w:val="0"/>
        <w:autoSpaceDN w:val="0"/>
        <w:adjustRightInd w:val="0"/>
        <w:jc w:val="both"/>
        <w:rPr>
          <w:rFonts w:eastAsia="Calibri"/>
          <w:i/>
          <w:sz w:val="16"/>
          <w:szCs w:val="16"/>
        </w:rPr>
      </w:pPr>
    </w:p>
    <w:p w14:paraId="6284E5CB" w14:textId="48423DA2" w:rsidR="006F436B" w:rsidRPr="00A2786A" w:rsidRDefault="006F436B" w:rsidP="00BC282F">
      <w:pPr>
        <w:autoSpaceDE w:val="0"/>
        <w:autoSpaceDN w:val="0"/>
        <w:adjustRightInd w:val="0"/>
        <w:jc w:val="both"/>
        <w:rPr>
          <w:rFonts w:eastAsia="Calibri"/>
          <w:i/>
          <w:sz w:val="16"/>
          <w:szCs w:val="16"/>
        </w:rPr>
      </w:pPr>
      <w:r w:rsidRPr="00A2786A">
        <w:rPr>
          <w:rFonts w:eastAsia="Calibri"/>
          <w:i/>
          <w:sz w:val="16"/>
          <w:szCs w:val="16"/>
        </w:rPr>
        <w:t xml:space="preserve">All future net revenues are estimated using forecast prices arising from the anticipated development and production of </w:t>
      </w:r>
      <w:r w:rsidR="005F3571" w:rsidRPr="00A2786A">
        <w:rPr>
          <w:rFonts w:eastAsia="Calibri"/>
          <w:i/>
          <w:sz w:val="16"/>
          <w:szCs w:val="16"/>
        </w:rPr>
        <w:t>the</w:t>
      </w:r>
      <w:r w:rsidRPr="00A2786A">
        <w:rPr>
          <w:rFonts w:eastAsia="Calibri"/>
          <w:i/>
          <w:sz w:val="16"/>
          <w:szCs w:val="16"/>
        </w:rPr>
        <w:t xml:space="preserve"> reserves, net of the associated royalties, operating costs, development costs, and abandonment and reclamation costs and are stated prior to provision for interest and general and administrative expenses. Future net revenues have been presented on a before </w:t>
      </w:r>
      <w:r w:rsidR="005F3571" w:rsidRPr="00A2786A">
        <w:rPr>
          <w:rFonts w:eastAsia="Calibri"/>
          <w:i/>
          <w:sz w:val="16"/>
          <w:szCs w:val="16"/>
        </w:rPr>
        <w:t xml:space="preserve">and after </w:t>
      </w:r>
      <w:r w:rsidRPr="00A2786A">
        <w:rPr>
          <w:rFonts w:eastAsia="Calibri"/>
          <w:i/>
          <w:sz w:val="16"/>
          <w:szCs w:val="16"/>
        </w:rPr>
        <w:t xml:space="preserve">tax basis.  </w:t>
      </w:r>
    </w:p>
    <w:p w14:paraId="1F7092C3" w14:textId="77777777" w:rsidR="000601E1" w:rsidRPr="00A2786A" w:rsidRDefault="000601E1" w:rsidP="00BC282F">
      <w:pPr>
        <w:autoSpaceDE w:val="0"/>
        <w:autoSpaceDN w:val="0"/>
        <w:adjustRightInd w:val="0"/>
        <w:jc w:val="both"/>
        <w:rPr>
          <w:rFonts w:eastAsia="Calibri"/>
          <w:i/>
          <w:sz w:val="16"/>
          <w:szCs w:val="16"/>
        </w:rPr>
      </w:pPr>
    </w:p>
    <w:p w14:paraId="3CBAF98A" w14:textId="77777777" w:rsidR="00AB6DBB" w:rsidRPr="00A2786A" w:rsidRDefault="00606739" w:rsidP="00BC282F">
      <w:pPr>
        <w:autoSpaceDE w:val="0"/>
        <w:autoSpaceDN w:val="0"/>
        <w:adjustRightInd w:val="0"/>
        <w:jc w:val="both"/>
        <w:rPr>
          <w:rFonts w:eastAsia="Calibri"/>
          <w:i/>
          <w:sz w:val="16"/>
          <w:szCs w:val="16"/>
        </w:rPr>
      </w:pPr>
      <w:r w:rsidRPr="00A2786A">
        <w:rPr>
          <w:rFonts w:eastAsia="Calibri"/>
          <w:i/>
          <w:sz w:val="16"/>
          <w:szCs w:val="16"/>
        </w:rPr>
        <w:t>The estimates of reserves and future net revenue for individual properties may not reflect the same confidence level as estimates of reserves and future net revenue for all properties, due to the effects of aggregation.</w:t>
      </w:r>
    </w:p>
    <w:p w14:paraId="6C03ED89" w14:textId="77777777" w:rsidR="00BC282F" w:rsidRPr="00A2786A" w:rsidRDefault="00BC282F" w:rsidP="00BC282F">
      <w:pPr>
        <w:autoSpaceDE w:val="0"/>
        <w:autoSpaceDN w:val="0"/>
        <w:adjustRightInd w:val="0"/>
        <w:jc w:val="both"/>
        <w:rPr>
          <w:rFonts w:eastAsia="Calibri"/>
          <w:i/>
          <w:sz w:val="16"/>
          <w:szCs w:val="16"/>
        </w:rPr>
      </w:pPr>
    </w:p>
    <w:p w14:paraId="6DBC88C4" w14:textId="77777777" w:rsidR="00E30FD5" w:rsidRPr="00A2786A" w:rsidRDefault="00CA24A5" w:rsidP="005F3571">
      <w:pPr>
        <w:keepNext/>
        <w:jc w:val="both"/>
        <w:rPr>
          <w:rFonts w:eastAsia="Calibri"/>
          <w:b/>
          <w:i/>
          <w:sz w:val="16"/>
          <w:szCs w:val="16"/>
        </w:rPr>
      </w:pPr>
      <w:r w:rsidRPr="00A2786A">
        <w:rPr>
          <w:rFonts w:eastAsia="Calibri"/>
          <w:b/>
          <w:i/>
          <w:sz w:val="16"/>
          <w:szCs w:val="16"/>
        </w:rPr>
        <w:t xml:space="preserve">Forward </w:t>
      </w:r>
      <w:r w:rsidR="00E30FD5" w:rsidRPr="00A2786A">
        <w:rPr>
          <w:rFonts w:eastAsia="Calibri"/>
          <w:b/>
          <w:i/>
          <w:sz w:val="16"/>
          <w:szCs w:val="16"/>
        </w:rPr>
        <w:t>L</w:t>
      </w:r>
      <w:r w:rsidRPr="00A2786A">
        <w:rPr>
          <w:rFonts w:eastAsia="Calibri"/>
          <w:b/>
          <w:i/>
          <w:sz w:val="16"/>
          <w:szCs w:val="16"/>
        </w:rPr>
        <w:t xml:space="preserve">ooking </w:t>
      </w:r>
      <w:r w:rsidR="00E30FD5" w:rsidRPr="00A2786A">
        <w:rPr>
          <w:rFonts w:eastAsia="Calibri"/>
          <w:b/>
          <w:i/>
          <w:sz w:val="16"/>
          <w:szCs w:val="16"/>
        </w:rPr>
        <w:t>Statements</w:t>
      </w:r>
    </w:p>
    <w:p w14:paraId="74D7CBE6" w14:textId="77777777" w:rsidR="00BC282F" w:rsidRPr="00A2786A" w:rsidRDefault="00BC282F" w:rsidP="005F3571">
      <w:pPr>
        <w:keepNext/>
        <w:jc w:val="both"/>
        <w:rPr>
          <w:rFonts w:eastAsia="Calibri"/>
          <w:b/>
          <w:i/>
          <w:sz w:val="16"/>
          <w:szCs w:val="16"/>
        </w:rPr>
      </w:pPr>
    </w:p>
    <w:p w14:paraId="15B62AC5" w14:textId="19265D46" w:rsidR="00CA24A5" w:rsidRPr="00A2786A" w:rsidRDefault="00CA24A5" w:rsidP="005F3571">
      <w:pPr>
        <w:keepNext/>
        <w:jc w:val="both"/>
        <w:rPr>
          <w:i/>
          <w:iCs/>
          <w:sz w:val="16"/>
          <w:szCs w:val="16"/>
        </w:rPr>
      </w:pPr>
      <w:r w:rsidRPr="00A2786A">
        <w:rPr>
          <w:rFonts w:eastAsia="Calibri"/>
          <w:i/>
          <w:sz w:val="16"/>
          <w:szCs w:val="16"/>
        </w:rPr>
        <w:t>Certain information set forth in this document</w:t>
      </w:r>
      <w:r w:rsidR="00016F54" w:rsidRPr="00A2786A">
        <w:rPr>
          <w:rFonts w:eastAsia="Calibri"/>
          <w:i/>
          <w:sz w:val="16"/>
          <w:szCs w:val="16"/>
        </w:rPr>
        <w:t xml:space="preserve"> is considered forward-looking information, and necessarily involves risks and uncertainties, certain of which are beyond Crown Point’s control</w:t>
      </w:r>
      <w:r w:rsidR="009E6B86" w:rsidRPr="00A2786A">
        <w:rPr>
          <w:i/>
          <w:iCs/>
          <w:sz w:val="16"/>
          <w:szCs w:val="16"/>
        </w:rPr>
        <w:t xml:space="preserve">.  </w:t>
      </w:r>
      <w:r w:rsidR="00C96E92" w:rsidRPr="00A2786A">
        <w:rPr>
          <w:i/>
          <w:iCs/>
          <w:sz w:val="16"/>
          <w:szCs w:val="16"/>
        </w:rPr>
        <w:t>Forward-looking information herein includes</w:t>
      </w:r>
      <w:r w:rsidR="00A33F5E" w:rsidRPr="00A2786A">
        <w:rPr>
          <w:i/>
          <w:iCs/>
          <w:sz w:val="16"/>
          <w:szCs w:val="16"/>
        </w:rPr>
        <w:t>:</w:t>
      </w:r>
      <w:r w:rsidR="00C96E92" w:rsidRPr="00A2786A">
        <w:rPr>
          <w:i/>
          <w:iCs/>
          <w:sz w:val="16"/>
          <w:szCs w:val="16"/>
        </w:rPr>
        <w:t xml:space="preserve"> </w:t>
      </w:r>
      <w:r w:rsidR="005F3571" w:rsidRPr="00A2786A">
        <w:rPr>
          <w:i/>
          <w:iCs/>
          <w:sz w:val="16"/>
          <w:szCs w:val="16"/>
        </w:rPr>
        <w:t>our expectations regarding the terms, conditions and timing for closing the proposed Acquisitions</w:t>
      </w:r>
      <w:r w:rsidR="00A33F5E" w:rsidRPr="00A2786A">
        <w:rPr>
          <w:i/>
          <w:sz w:val="16"/>
          <w:szCs w:val="16"/>
        </w:rPr>
        <w:t xml:space="preserve">; and the forecast pricing assumptions set forth herein. </w:t>
      </w:r>
      <w:r w:rsidR="00A33F5E" w:rsidRPr="00A2786A">
        <w:rPr>
          <w:i/>
          <w:iCs/>
          <w:sz w:val="16"/>
          <w:szCs w:val="16"/>
        </w:rPr>
        <w:t xml:space="preserve"> </w:t>
      </w:r>
      <w:r w:rsidR="00033EA2" w:rsidRPr="00A2786A">
        <w:rPr>
          <w:rFonts w:eastAsia="Calibri"/>
          <w:i/>
          <w:sz w:val="16"/>
          <w:szCs w:val="16"/>
        </w:rPr>
        <w:t xml:space="preserve">In addition, information relating to </w:t>
      </w:r>
      <w:r w:rsidR="005F3571" w:rsidRPr="00A2786A">
        <w:rPr>
          <w:rFonts w:eastAsia="Calibri"/>
          <w:i/>
          <w:sz w:val="16"/>
          <w:szCs w:val="16"/>
        </w:rPr>
        <w:t>the</w:t>
      </w:r>
      <w:r w:rsidR="00C96E92" w:rsidRPr="00A2786A">
        <w:rPr>
          <w:rFonts w:eastAsia="Calibri"/>
          <w:i/>
          <w:sz w:val="16"/>
          <w:szCs w:val="16"/>
        </w:rPr>
        <w:t xml:space="preserve"> </w:t>
      </w:r>
      <w:r w:rsidR="00033EA2" w:rsidRPr="00A2786A">
        <w:rPr>
          <w:rFonts w:eastAsia="Calibri"/>
          <w:i/>
          <w:sz w:val="16"/>
          <w:szCs w:val="16"/>
        </w:rPr>
        <w:t xml:space="preserve">reserves </w:t>
      </w:r>
      <w:r w:rsidR="005F3571" w:rsidRPr="00A2786A">
        <w:rPr>
          <w:rFonts w:eastAsia="Calibri"/>
          <w:i/>
          <w:sz w:val="16"/>
          <w:szCs w:val="16"/>
        </w:rPr>
        <w:t xml:space="preserve">attributable to the Sellers' working interests in the Concessions </w:t>
      </w:r>
      <w:r w:rsidR="00033EA2" w:rsidRPr="00A2786A">
        <w:rPr>
          <w:rFonts w:eastAsia="Calibri"/>
          <w:i/>
          <w:sz w:val="16"/>
          <w:szCs w:val="16"/>
        </w:rPr>
        <w:t xml:space="preserve">is deemed to be forward-looking information, as it involves the implied </w:t>
      </w:r>
      <w:r w:rsidR="00033EA2" w:rsidRPr="00A2786A">
        <w:rPr>
          <w:rFonts w:eastAsia="Calibri"/>
          <w:i/>
          <w:sz w:val="16"/>
          <w:szCs w:val="16"/>
        </w:rPr>
        <w:lastRenderedPageBreak/>
        <w:t xml:space="preserve">assessment, based on certain estimates and assumptions, that the reserves described can be economically produced in the future.  </w:t>
      </w:r>
      <w:r w:rsidRPr="00A2786A">
        <w:rPr>
          <w:rFonts w:eastAsia="Calibri"/>
          <w:i/>
          <w:sz w:val="16"/>
          <w:szCs w:val="16"/>
        </w:rPr>
        <w:t xml:space="preserve">Such risks include but are not limited to: </w:t>
      </w:r>
      <w:r w:rsidR="005F3571" w:rsidRPr="00A2786A">
        <w:rPr>
          <w:rFonts w:eastAsia="Calibri"/>
          <w:i/>
          <w:sz w:val="16"/>
          <w:szCs w:val="16"/>
        </w:rPr>
        <w:t>that the Company is unable to complete the proposed Acquisitions on the terms described herein or at all, whether due to the inability of the Company to obtain financing to fund the purchase price, obtain requisite regulatory or governmental approvals, satisfy applicable conditions precedent, or otherwise</w:t>
      </w:r>
      <w:r w:rsidR="003064A3" w:rsidRPr="00A2786A">
        <w:rPr>
          <w:i/>
          <w:sz w:val="16"/>
          <w:szCs w:val="16"/>
        </w:rPr>
        <w:t xml:space="preserve">; </w:t>
      </w:r>
      <w:r w:rsidR="00017ACE" w:rsidRPr="00A2786A">
        <w:rPr>
          <w:rFonts w:eastAsia="Calibri"/>
          <w:i/>
          <w:sz w:val="16"/>
          <w:szCs w:val="16"/>
        </w:rPr>
        <w:t xml:space="preserve">the risks that </w:t>
      </w:r>
      <w:r w:rsidR="00C96E92" w:rsidRPr="00A2786A">
        <w:rPr>
          <w:rFonts w:eastAsia="Calibri"/>
          <w:i/>
          <w:sz w:val="16"/>
          <w:szCs w:val="16"/>
        </w:rPr>
        <w:t xml:space="preserve">pandemics and outbreaks of communicable disease such as </w:t>
      </w:r>
      <w:r w:rsidR="00017ACE" w:rsidRPr="00A2786A">
        <w:rPr>
          <w:rFonts w:eastAsia="Calibri"/>
          <w:i/>
          <w:sz w:val="16"/>
          <w:szCs w:val="16"/>
        </w:rPr>
        <w:t>COVID-19 pose to the oil and gas industry generally and our business in particular</w:t>
      </w:r>
      <w:r w:rsidR="00FA3D08" w:rsidRPr="00A2786A">
        <w:rPr>
          <w:rFonts w:eastAsia="Calibri"/>
          <w:i/>
          <w:sz w:val="16"/>
          <w:szCs w:val="16"/>
        </w:rPr>
        <w:t>;</w:t>
      </w:r>
      <w:r w:rsidR="00017ACE" w:rsidRPr="00A2786A">
        <w:rPr>
          <w:rFonts w:eastAsia="Calibri"/>
          <w:i/>
          <w:sz w:val="16"/>
          <w:szCs w:val="16"/>
        </w:rPr>
        <w:t xml:space="preserve"> </w:t>
      </w:r>
      <w:r w:rsidRPr="00A2786A">
        <w:rPr>
          <w:rFonts w:eastAsia="Calibri"/>
          <w:i/>
          <w:sz w:val="16"/>
          <w:szCs w:val="16"/>
        </w:rPr>
        <w:t>risks associated with oil and gas exploration, development, exploitation, production, marketing and transportation</w:t>
      </w:r>
      <w:r w:rsidR="00B122B0" w:rsidRPr="00A2786A">
        <w:rPr>
          <w:rFonts w:eastAsia="Calibri"/>
          <w:i/>
          <w:sz w:val="16"/>
          <w:szCs w:val="16"/>
        </w:rPr>
        <w:t xml:space="preserve">, including the risk that the infrastructure on which we rely to produce, transport and sell our products breaks down and requires parts that are not readily available or repairs that </w:t>
      </w:r>
      <w:r w:rsidR="00A00271" w:rsidRPr="00A2786A">
        <w:rPr>
          <w:rFonts w:eastAsia="Calibri"/>
          <w:i/>
          <w:sz w:val="16"/>
          <w:szCs w:val="16"/>
        </w:rPr>
        <w:t>cannot be made on a timely basis, and which impair our ability to operate and/or sell our products</w:t>
      </w:r>
      <w:r w:rsidRPr="00A2786A">
        <w:rPr>
          <w:rFonts w:eastAsia="Calibri"/>
          <w:i/>
          <w:sz w:val="16"/>
          <w:szCs w:val="16"/>
        </w:rPr>
        <w:t xml:space="preserve">; risks associated with operating in Argentina, including risks of changing government regulations (including the adoption of, amendments to, or the cancellation of government incentive programs or other laws and regulations relating to commodity prices, taxation, currency controls and export restrictions, in each case that may adversely impact Crown Point), risks that new government initiatives will not have the consequences the Company believes (including the benefits to be derived therefrom), expropriation/nationalization of assets, price controls on commodity prices, inability to enforce contracts in certain circumstances, the potential for a hyperinflationary economic environment, </w:t>
      </w:r>
      <w:r w:rsidR="00621C66" w:rsidRPr="00A2786A">
        <w:rPr>
          <w:rFonts w:eastAsia="Calibri"/>
          <w:i/>
          <w:sz w:val="16"/>
          <w:szCs w:val="16"/>
        </w:rPr>
        <w:t xml:space="preserve">the imposition of currency controls, risks associated with a default on Argentine government debt, </w:t>
      </w:r>
      <w:r w:rsidRPr="00A2786A">
        <w:rPr>
          <w:rFonts w:eastAsia="Calibri"/>
          <w:i/>
          <w:sz w:val="16"/>
          <w:szCs w:val="16"/>
        </w:rPr>
        <w:t>and other economic and political risks; volatility of commodity prices; currency fluctuations; imprecision of reserve estimates; environmental risks; competition from other producers; inability to retain drilling services; incorrect assessment of value of acquisitions and failure to realize the benefits therefrom; delays resulting from or inability to obtain required regulatory approvals; the lack of availability</w:t>
      </w:r>
      <w:r w:rsidRPr="00A2786A">
        <w:rPr>
          <w:i/>
          <w:sz w:val="16"/>
          <w:szCs w:val="16"/>
        </w:rPr>
        <w:t xml:space="preserve"> of qualified personnel or management; stock market volatility</w:t>
      </w:r>
      <w:r w:rsidR="00621C66" w:rsidRPr="00A2786A">
        <w:rPr>
          <w:i/>
          <w:sz w:val="16"/>
          <w:szCs w:val="16"/>
        </w:rPr>
        <w:t>;</w:t>
      </w:r>
      <w:r w:rsidRPr="00A2786A">
        <w:rPr>
          <w:i/>
          <w:sz w:val="16"/>
          <w:szCs w:val="16"/>
        </w:rPr>
        <w:t xml:space="preserve"> </w:t>
      </w:r>
      <w:r w:rsidR="00621C66" w:rsidRPr="00A2786A">
        <w:rPr>
          <w:i/>
          <w:sz w:val="16"/>
          <w:szCs w:val="16"/>
        </w:rPr>
        <w:t>in</w:t>
      </w:r>
      <w:r w:rsidRPr="00A2786A">
        <w:rPr>
          <w:i/>
          <w:sz w:val="16"/>
          <w:szCs w:val="16"/>
        </w:rPr>
        <w:t xml:space="preserve">ability to access sufficient capital from internal and external sources; </w:t>
      </w:r>
      <w:r w:rsidR="00621C66" w:rsidRPr="00A2786A">
        <w:rPr>
          <w:i/>
          <w:sz w:val="16"/>
          <w:szCs w:val="16"/>
        </w:rPr>
        <w:t xml:space="preserve">the need to shut-in, flare and/or curtail production as a result of a lack of infrastructure and/or damage to existing infrastructure; </w:t>
      </w:r>
      <w:r w:rsidRPr="00A2786A">
        <w:rPr>
          <w:i/>
          <w:sz w:val="16"/>
          <w:szCs w:val="16"/>
        </w:rPr>
        <w:t xml:space="preserve">and economic or industry condition changes. Actual results, performance or achievements could differ materially from those expressed in, or implied by, the forward-looking information and, accordingly, no assurance can be given that any events anticipated by the forward-looking information will transpire or occur, or if any of them do so, what benefits that Crown Point will derive therefrom. With respect to forward-looking information contained herein, the Company has made assumptions regarding: </w:t>
      </w:r>
      <w:r w:rsidR="006B0C23" w:rsidRPr="00A2786A">
        <w:rPr>
          <w:i/>
          <w:sz w:val="16"/>
          <w:szCs w:val="16"/>
        </w:rPr>
        <w:t>that the Company will complete the proposed Acquisition on the terms described herein on a timely basis, including the ability of the Company to obtain the requisite financing to fund the purchase price on acceptable terms, obtain all requisite regulatory and governmental approvals and satisfy all applicable conditions precedent</w:t>
      </w:r>
      <w:r w:rsidR="003064A3" w:rsidRPr="00A2786A">
        <w:rPr>
          <w:i/>
          <w:sz w:val="16"/>
          <w:szCs w:val="16"/>
        </w:rPr>
        <w:t xml:space="preserve">; </w:t>
      </w:r>
      <w:r w:rsidRPr="00A2786A">
        <w:rPr>
          <w:i/>
          <w:sz w:val="16"/>
          <w:szCs w:val="16"/>
        </w:rPr>
        <w:t xml:space="preserve">the impact of increasing competition; the general stability of the economic and political environment in Argentina; the timely receipt of any required regulatory approvals; the ability of the Company to obtain qualified staff, equipment and services in a timely and cost efficient manner; drilling results; the costs of obtaining equipment and personnel to complete the Company’s capital expenditure program; the ability of the Company to obtain financing on acceptable terms when and if needed; </w:t>
      </w:r>
      <w:r w:rsidR="0071743C" w:rsidRPr="00A2786A">
        <w:rPr>
          <w:i/>
          <w:sz w:val="16"/>
          <w:szCs w:val="16"/>
        </w:rPr>
        <w:t xml:space="preserve">the ability of the Company to service its debt repayments when required; </w:t>
      </w:r>
      <w:r w:rsidRPr="00A2786A">
        <w:rPr>
          <w:i/>
          <w:sz w:val="16"/>
          <w:szCs w:val="16"/>
        </w:rPr>
        <w:t>field production rates and decline rates; the ability to replace and expand oil and natural gas reserves through acquisition, development and exploration activities; the timing and costs of pipeline, storage</w:t>
      </w:r>
      <w:r w:rsidR="00A00271" w:rsidRPr="00A2786A">
        <w:rPr>
          <w:i/>
          <w:sz w:val="16"/>
          <w:szCs w:val="16"/>
        </w:rPr>
        <w:t>, transportation</w:t>
      </w:r>
      <w:r w:rsidRPr="00A2786A">
        <w:rPr>
          <w:i/>
          <w:sz w:val="16"/>
          <w:szCs w:val="16"/>
        </w:rPr>
        <w:t xml:space="preserve"> and facility </w:t>
      </w:r>
      <w:r w:rsidR="00FB7261" w:rsidRPr="00A2786A">
        <w:rPr>
          <w:i/>
          <w:sz w:val="16"/>
          <w:szCs w:val="16"/>
        </w:rPr>
        <w:t xml:space="preserve">repair, </w:t>
      </w:r>
      <w:r w:rsidRPr="00A2786A">
        <w:rPr>
          <w:i/>
          <w:sz w:val="16"/>
          <w:szCs w:val="16"/>
        </w:rPr>
        <w:t>construction</w:t>
      </w:r>
      <w:r w:rsidR="00A00271" w:rsidRPr="00A2786A">
        <w:rPr>
          <w:i/>
          <w:sz w:val="16"/>
          <w:szCs w:val="16"/>
        </w:rPr>
        <w:t xml:space="preserve"> and</w:t>
      </w:r>
      <w:r w:rsidR="00FB7261" w:rsidRPr="00A2786A">
        <w:rPr>
          <w:i/>
          <w:sz w:val="16"/>
          <w:szCs w:val="16"/>
        </w:rPr>
        <w:t xml:space="preserve"> </w:t>
      </w:r>
      <w:r w:rsidRPr="00A2786A">
        <w:rPr>
          <w:i/>
          <w:sz w:val="16"/>
          <w:szCs w:val="16"/>
        </w:rPr>
        <w:t>expansion and the ability of the Company to secure adequate product transportation; future oil and natural gas prices; costs of operational activities in Argentina; currency, exchange</w:t>
      </w:r>
      <w:r w:rsidR="001360F8" w:rsidRPr="00A2786A">
        <w:rPr>
          <w:i/>
          <w:sz w:val="16"/>
          <w:szCs w:val="16"/>
        </w:rPr>
        <w:t>, inflation</w:t>
      </w:r>
      <w:r w:rsidRPr="00A2786A">
        <w:rPr>
          <w:i/>
          <w:sz w:val="16"/>
          <w:szCs w:val="16"/>
        </w:rPr>
        <w:t xml:space="preserve"> and interest rates; the regulatory framework regarding royalties, commodity price controls, </w:t>
      </w:r>
      <w:r w:rsidR="00FB7261" w:rsidRPr="00A2786A">
        <w:rPr>
          <w:i/>
          <w:sz w:val="16"/>
          <w:szCs w:val="16"/>
        </w:rPr>
        <w:t xml:space="preserve">currency controls, </w:t>
      </w:r>
      <w:r w:rsidRPr="00A2786A">
        <w:rPr>
          <w:i/>
          <w:sz w:val="16"/>
          <w:szCs w:val="16"/>
        </w:rPr>
        <w:t>import/export matters, taxes and environmental matters in Argentina; and the ability of the Company to successfully market its oil and natural gas products.  Additional information on these and other factors that could affect Crown Point are included in reports on file with Canadian securities regulatory authorities, including under the heading “Risk Factors” in the Company’s most recent annual information form, and may be accessed through the SEDAR</w:t>
      </w:r>
      <w:r w:rsidR="007139C6" w:rsidRPr="00A2786A">
        <w:rPr>
          <w:i/>
          <w:sz w:val="16"/>
          <w:szCs w:val="16"/>
        </w:rPr>
        <w:t>+</w:t>
      </w:r>
      <w:r w:rsidRPr="00A2786A">
        <w:rPr>
          <w:i/>
          <w:sz w:val="16"/>
          <w:szCs w:val="16"/>
        </w:rPr>
        <w:t xml:space="preserve"> website (www.sedar</w:t>
      </w:r>
      <w:r w:rsidR="007139C6" w:rsidRPr="00A2786A">
        <w:rPr>
          <w:i/>
          <w:sz w:val="16"/>
          <w:szCs w:val="16"/>
        </w:rPr>
        <w:t>plus</w:t>
      </w:r>
      <w:r w:rsidRPr="00A2786A">
        <w:rPr>
          <w:i/>
          <w:sz w:val="16"/>
          <w:szCs w:val="16"/>
        </w:rPr>
        <w:t>.c</w:t>
      </w:r>
      <w:r w:rsidR="007139C6" w:rsidRPr="00A2786A">
        <w:rPr>
          <w:i/>
          <w:sz w:val="16"/>
          <w:szCs w:val="16"/>
        </w:rPr>
        <w:t>a</w:t>
      </w:r>
      <w:r w:rsidRPr="00A2786A">
        <w:rPr>
          <w:i/>
          <w:sz w:val="16"/>
          <w:szCs w:val="16"/>
        </w:rPr>
        <w:t>). Furthermore, the forward-looking information contained in this document are made as of the date of this document, and Crown Point does not undertake any obligation to update publicly or to revise any of the included forward looking information, whether as a result of new information, future events or otherwise, except as may be expressly required by applicable securities law.</w:t>
      </w:r>
      <w:r w:rsidRPr="00A2786A">
        <w:rPr>
          <w:i/>
          <w:iCs/>
          <w:sz w:val="16"/>
          <w:szCs w:val="16"/>
        </w:rPr>
        <w:t> </w:t>
      </w:r>
    </w:p>
    <w:p w14:paraId="089396EB" w14:textId="77777777" w:rsidR="00BC282F" w:rsidRPr="00A2786A" w:rsidRDefault="00BC282F" w:rsidP="00BC282F">
      <w:pPr>
        <w:widowControl w:val="0"/>
        <w:jc w:val="both"/>
        <w:rPr>
          <w:sz w:val="16"/>
          <w:szCs w:val="16"/>
        </w:rPr>
      </w:pPr>
    </w:p>
    <w:p w14:paraId="21117690" w14:textId="77777777" w:rsidR="00CA24A5" w:rsidRPr="00120232" w:rsidRDefault="00CA24A5" w:rsidP="00BC282F">
      <w:pPr>
        <w:jc w:val="both"/>
        <w:rPr>
          <w:b/>
          <w:bCs/>
          <w:i/>
          <w:iCs/>
          <w:szCs w:val="22"/>
        </w:rPr>
      </w:pPr>
      <w:r w:rsidRPr="00A2786A">
        <w:rPr>
          <w:b/>
          <w:bCs/>
          <w:i/>
          <w:iCs/>
          <w:sz w:val="16"/>
          <w:szCs w:val="16"/>
        </w:rPr>
        <w:t>Neither TSX Venture Exchange nor its Regulation Services Provider (as that term is defined in the policies of the TSX Venture Exchange) accepts responsibility for the adequacy or accuracy of this news release.</w:t>
      </w:r>
    </w:p>
    <w:sectPr w:rsidR="00CA24A5" w:rsidRPr="00120232" w:rsidSect="00FE393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60" w:left="1440" w:header="36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D5B5" w14:textId="77777777" w:rsidR="00000E60" w:rsidRDefault="00000E60" w:rsidP="00451CF4">
      <w:r>
        <w:separator/>
      </w:r>
    </w:p>
  </w:endnote>
  <w:endnote w:type="continuationSeparator" w:id="0">
    <w:p w14:paraId="0FF514ED" w14:textId="77777777" w:rsidR="00000E60" w:rsidRDefault="00000E60" w:rsidP="00451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172F" w14:textId="77777777" w:rsidR="00FE71F6" w:rsidRDefault="00FE71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1FFB" w14:textId="77777777" w:rsidR="001133C0" w:rsidRDefault="001133C0" w:rsidP="00F768A1">
    <w:pPr>
      <w:pStyle w:val="Footer"/>
      <w:jc w:val="center"/>
      <w:rPr>
        <w:rFonts w:ascii="Arial Narrow" w:hAnsi="Arial Narrow"/>
        <w:color w:val="002060"/>
        <w:sz w:val="20"/>
        <w:szCs w:val="20"/>
        <w:lang w:val="fr-CA"/>
      </w:rPr>
    </w:pPr>
    <w:r>
      <w:rPr>
        <w:rFonts w:ascii="Arial Narrow" w:hAnsi="Arial Narrow"/>
        <w:color w:val="002060"/>
        <w:sz w:val="20"/>
        <w:szCs w:val="20"/>
        <w:lang w:val="fr-CA"/>
      </w:rPr>
      <w:t>PO Box 1562 Station M</w:t>
    </w:r>
    <w:r w:rsidRPr="005E10D3">
      <w:rPr>
        <w:rFonts w:ascii="Arial Narrow" w:hAnsi="Arial Narrow"/>
        <w:color w:val="002060"/>
        <w:sz w:val="20"/>
        <w:szCs w:val="20"/>
        <w:lang w:val="fr-CA"/>
      </w:rPr>
      <w:t xml:space="preserve">., Calgary, Alberta, Canada T2P </w:t>
    </w:r>
    <w:r w:rsidRPr="00F11C6C">
      <w:rPr>
        <w:rFonts w:ascii="Arial Narrow" w:hAnsi="Arial Narrow"/>
        <w:color w:val="002060"/>
        <w:sz w:val="20"/>
        <w:szCs w:val="20"/>
        <w:lang w:val="fr-CA"/>
      </w:rPr>
      <w:t>3B</w:t>
    </w:r>
    <w:proofErr w:type="gramStart"/>
    <w:r w:rsidRPr="00F11C6C">
      <w:rPr>
        <w:rFonts w:ascii="Arial Narrow" w:hAnsi="Arial Narrow"/>
        <w:color w:val="002060"/>
        <w:sz w:val="20"/>
        <w:szCs w:val="20"/>
        <w:lang w:val="fr-CA"/>
      </w:rPr>
      <w:t xml:space="preserve">9  </w:t>
    </w:r>
    <w:r w:rsidRPr="00F11C6C">
      <w:rPr>
        <w:rFonts w:ascii="Arial Narrow" w:hAnsi="Arial Narrow"/>
        <w:b/>
        <w:color w:val="002060"/>
        <w:sz w:val="20"/>
        <w:szCs w:val="20"/>
        <w:lang w:val="fr-CA"/>
      </w:rPr>
      <w:t>T</w:t>
    </w:r>
    <w:proofErr w:type="gramEnd"/>
    <w:r w:rsidRPr="00F11C6C">
      <w:rPr>
        <w:rFonts w:ascii="Arial Narrow" w:hAnsi="Arial Narrow"/>
        <w:color w:val="002060"/>
        <w:sz w:val="20"/>
        <w:szCs w:val="20"/>
        <w:lang w:val="fr-CA"/>
      </w:rPr>
      <w:t xml:space="preserve"> </w:t>
    </w:r>
    <w:proofErr w:type="gramStart"/>
    <w:r w:rsidRPr="00F11C6C">
      <w:rPr>
        <w:rFonts w:ascii="Arial Narrow" w:hAnsi="Arial Narrow"/>
        <w:color w:val="002060"/>
        <w:sz w:val="20"/>
        <w:szCs w:val="20"/>
        <w:lang w:val="fr-CA"/>
      </w:rPr>
      <w:t xml:space="preserve">403.232.1150  </w:t>
    </w:r>
    <w:r w:rsidRPr="00F11C6C">
      <w:rPr>
        <w:rFonts w:ascii="Arial Narrow" w:hAnsi="Arial Narrow"/>
        <w:b/>
        <w:color w:val="002060"/>
        <w:sz w:val="20"/>
        <w:szCs w:val="20"/>
        <w:lang w:val="fr-CA"/>
      </w:rPr>
      <w:t>F</w:t>
    </w:r>
    <w:proofErr w:type="gramEnd"/>
    <w:r w:rsidRPr="00F11C6C">
      <w:rPr>
        <w:rFonts w:ascii="Arial Narrow" w:hAnsi="Arial Narrow"/>
        <w:color w:val="002060"/>
        <w:sz w:val="20"/>
        <w:szCs w:val="20"/>
        <w:lang w:val="fr-CA"/>
      </w:rPr>
      <w:t xml:space="preserve">  403.232.1158</w:t>
    </w:r>
  </w:p>
  <w:p w14:paraId="1424B17C" w14:textId="77777777" w:rsidR="001133C0" w:rsidRDefault="001133C0" w:rsidP="00F768A1">
    <w:pPr>
      <w:pStyle w:val="Footer"/>
      <w:jc w:val="center"/>
      <w:rPr>
        <w:rFonts w:ascii="Arial Narrow" w:hAnsi="Arial Narrow"/>
        <w:b/>
        <w:color w:val="002060"/>
        <w:sz w:val="20"/>
        <w:szCs w:val="20"/>
        <w:lang w:val="fr-CA"/>
      </w:rPr>
    </w:pPr>
    <w:r w:rsidRPr="005E10D3">
      <w:rPr>
        <w:rFonts w:ascii="Arial Narrow" w:hAnsi="Arial Narrow"/>
        <w:b/>
        <w:color w:val="002060"/>
        <w:sz w:val="20"/>
        <w:szCs w:val="20"/>
        <w:lang w:val="fr-CA"/>
      </w:rPr>
      <w:t>www.crownpointenergy.com</w:t>
    </w:r>
  </w:p>
  <w:p w14:paraId="5EB99898" w14:textId="77777777" w:rsidR="001133C0" w:rsidRPr="005E10D3" w:rsidRDefault="001133C0" w:rsidP="00FD5D14">
    <w:pPr>
      <w:pStyle w:val="Footer"/>
      <w:spacing w:line="200" w:lineRule="exact"/>
      <w:rPr>
        <w:rFonts w:ascii="Arial Narrow" w:hAnsi="Arial Narrow"/>
        <w:b/>
        <w:color w:val="002060"/>
        <w:sz w:val="20"/>
        <w:szCs w:val="20"/>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CB23" w14:textId="77777777" w:rsidR="00FE71F6" w:rsidRDefault="00FE7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2704C" w14:textId="77777777" w:rsidR="00000E60" w:rsidRDefault="00000E60" w:rsidP="00451CF4">
      <w:r>
        <w:separator/>
      </w:r>
    </w:p>
  </w:footnote>
  <w:footnote w:type="continuationSeparator" w:id="0">
    <w:p w14:paraId="7042E739" w14:textId="77777777" w:rsidR="00000E60" w:rsidRDefault="00000E60" w:rsidP="00451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98AF4" w14:textId="77777777" w:rsidR="00FE71F6" w:rsidRDefault="00FE7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A71E" w14:textId="77777777" w:rsidR="001133C0" w:rsidRDefault="001133C0" w:rsidP="00451CF4">
    <w:pPr>
      <w:pStyle w:val="Header"/>
      <w:ind w:left="540" w:hanging="540"/>
      <w:jc w:val="right"/>
    </w:pPr>
    <w:r>
      <w:rPr>
        <w:noProof/>
        <w:lang w:val="en-CA" w:eastAsia="en-CA"/>
      </w:rPr>
      <w:drawing>
        <wp:inline distT="0" distB="0" distL="0" distR="0" wp14:anchorId="3948AF88" wp14:editId="3482C93A">
          <wp:extent cx="1697355" cy="1038860"/>
          <wp:effectExtent l="19050" t="0" r="0" b="0"/>
          <wp:docPr id="1" name="Picture 0" descr="CWV_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WV_new logo.jpg"/>
                  <pic:cNvPicPr>
                    <a:picLocks noChangeAspect="1" noChangeArrowheads="1"/>
                  </pic:cNvPicPr>
                </pic:nvPicPr>
                <pic:blipFill>
                  <a:blip r:embed="rId1"/>
                  <a:srcRect t="6818"/>
                  <a:stretch>
                    <a:fillRect/>
                  </a:stretch>
                </pic:blipFill>
                <pic:spPr bwMode="auto">
                  <a:xfrm>
                    <a:off x="0" y="0"/>
                    <a:ext cx="1697355" cy="1038860"/>
                  </a:xfrm>
                  <a:prstGeom prst="rect">
                    <a:avLst/>
                  </a:prstGeom>
                  <a:noFill/>
                  <a:ln w="9525">
                    <a:noFill/>
                    <a:miter lim="800000"/>
                    <a:headEnd/>
                    <a:tailEnd/>
                  </a:ln>
                </pic:spPr>
              </pic:pic>
            </a:graphicData>
          </a:graphic>
        </wp:inline>
      </w:drawing>
    </w:r>
  </w:p>
  <w:p w14:paraId="058E13B3" w14:textId="77777777" w:rsidR="001133C0" w:rsidRDefault="001133C0" w:rsidP="00451CF4">
    <w:pPr>
      <w:pStyle w:val="Header"/>
      <w:ind w:left="540" w:hanging="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9A1D" w14:textId="77777777" w:rsidR="00FE71F6" w:rsidRDefault="00FE71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multilevel"/>
    <w:tmpl w:val="85686D40"/>
    <w:lvl w:ilvl="0">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1">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2">
      <w:start w:val="1"/>
      <w:numFmt w:val="none"/>
      <w:lvlRestart w:val="0"/>
      <w:suff w:val="nothing"/>
      <w:lvlText w:val=""/>
      <w:lvlJc w:val="left"/>
      <w:pPr>
        <w:tabs>
          <w:tab w:val="num" w:pos="720"/>
        </w:tabs>
      </w:pPr>
      <w:rPr>
        <w:rFonts w:ascii="Times New Roman" w:hAnsi="Times New Roman" w:cs="Times New Roman"/>
        <w:b w:val="0"/>
        <w:i w:val="0"/>
        <w:caps w:val="0"/>
        <w:color w:val="auto"/>
        <w:sz w:val="22"/>
        <w:u w:val="none"/>
      </w:rPr>
    </w:lvl>
    <w:lvl w:ilvl="3">
      <w:start w:val="1"/>
      <w:numFmt w:val="none"/>
      <w:lvlRestart w:val="0"/>
      <w:suff w:val="nothing"/>
      <w:lvlText w:val=""/>
      <w:lvlJc w:val="left"/>
      <w:pPr>
        <w:tabs>
          <w:tab w:val="num" w:pos="1440"/>
        </w:tabs>
        <w:ind w:left="720"/>
      </w:pPr>
      <w:rPr>
        <w:rFonts w:ascii="Times New Roman" w:hAnsi="Times New Roman" w:cs="Times New Roman"/>
        <w:b w:val="0"/>
        <w:i w:val="0"/>
        <w:caps w:val="0"/>
        <w:color w:val="auto"/>
        <w:sz w:val="22"/>
        <w:u w:val="none"/>
      </w:rPr>
    </w:lvl>
    <w:lvl w:ilvl="4">
      <w:start w:val="1"/>
      <w:numFmt w:val="decimal"/>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suff w:val="nothing"/>
      <w:lvlText w:val=""/>
      <w:lvlJc w:val="left"/>
      <w:pPr>
        <w:tabs>
          <w:tab w:val="num" w:pos="720"/>
        </w:tabs>
      </w:pPr>
      <w:rPr>
        <w:rFonts w:ascii="Times New Roman" w:hAnsi="Times New Roman" w:cs="Times New Roman"/>
        <w:b w:val="0"/>
        <w:i w:val="0"/>
        <w:caps w:val="0"/>
        <w:color w:val="auto"/>
        <w:sz w:val="18"/>
        <w:u w:val="none"/>
      </w:rPr>
    </w:lvl>
    <w:lvl w:ilvl="8">
      <w:start w:val="1"/>
      <w:numFmt w:val="decimal"/>
      <w:lvlText w:val="(%9)"/>
      <w:lvlJc w:val="left"/>
      <w:pPr>
        <w:tabs>
          <w:tab w:val="num" w:pos="900"/>
        </w:tabs>
        <w:ind w:left="720" w:hanging="720"/>
      </w:pPr>
      <w:rPr>
        <w:rFonts w:ascii="Arial" w:eastAsia="Times New Roman" w:hAnsi="Arial" w:cs="Arial"/>
        <w:b w:val="0"/>
        <w:i w:val="0"/>
        <w:caps w:val="0"/>
        <w:color w:val="auto"/>
        <w:sz w:val="16"/>
        <w:szCs w:val="16"/>
        <w:u w:val="none"/>
      </w:rPr>
    </w:lvl>
  </w:abstractNum>
  <w:abstractNum w:abstractNumId="1" w15:restartNumberingAfterBreak="0">
    <w:nsid w:val="05067914"/>
    <w:multiLevelType w:val="hybridMultilevel"/>
    <w:tmpl w:val="87764B36"/>
    <w:lvl w:ilvl="0" w:tplc="E16C8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E5863"/>
    <w:multiLevelType w:val="hybridMultilevel"/>
    <w:tmpl w:val="11B0CD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BE5D24"/>
    <w:multiLevelType w:val="hybridMultilevel"/>
    <w:tmpl w:val="7E7E1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2B3237"/>
    <w:multiLevelType w:val="multilevel"/>
    <w:tmpl w:val="E2B49FE0"/>
    <w:name w:val="zzmpSecurity||Security|2|3|0|0|0|41||0|0|33||0|0|35||0|0|34||1|0|32||1|0|32||1|0|32||0|0|32||1|0|34||"/>
    <w:lvl w:ilvl="0">
      <w:start w:val="1"/>
      <w:numFmt w:val="none"/>
      <w:lvlRestart w:val="0"/>
      <w:pStyle w:val="SecurityL1"/>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1">
      <w:start w:val="1"/>
      <w:numFmt w:val="none"/>
      <w:lvlRestart w:val="0"/>
      <w:pStyle w:val="SecurityL2"/>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2">
      <w:start w:val="1"/>
      <w:numFmt w:val="none"/>
      <w:lvlRestart w:val="0"/>
      <w:pStyle w:val="SecurityL3"/>
      <w:suff w:val="nothing"/>
      <w:lvlText w:val=""/>
      <w:lvlJc w:val="left"/>
      <w:pPr>
        <w:tabs>
          <w:tab w:val="num" w:pos="720"/>
        </w:tabs>
        <w:ind w:left="0" w:firstLine="0"/>
      </w:pPr>
      <w:rPr>
        <w:rFonts w:ascii="Times New Roman" w:hAnsi="Times New Roman" w:cs="Times New Roman"/>
        <w:b w:val="0"/>
        <w:i w:val="0"/>
        <w:caps w:val="0"/>
        <w:color w:val="auto"/>
        <w:sz w:val="22"/>
        <w:u w:val="none"/>
      </w:rPr>
    </w:lvl>
    <w:lvl w:ilvl="3">
      <w:start w:val="1"/>
      <w:numFmt w:val="none"/>
      <w:lvlRestart w:val="0"/>
      <w:pStyle w:val="SecurityL4"/>
      <w:suff w:val="nothing"/>
      <w:lvlText w:val=""/>
      <w:lvlJc w:val="left"/>
      <w:pPr>
        <w:tabs>
          <w:tab w:val="num" w:pos="1440"/>
        </w:tabs>
        <w:ind w:left="720" w:firstLine="0"/>
      </w:pPr>
      <w:rPr>
        <w:rFonts w:ascii="Times New Roman" w:hAnsi="Times New Roman" w:cs="Times New Roman"/>
        <w:b w:val="0"/>
        <w:i w:val="0"/>
        <w:caps w:val="0"/>
        <w:color w:val="auto"/>
        <w:sz w:val="22"/>
        <w:u w:val="none"/>
      </w:rPr>
    </w:lvl>
    <w:lvl w:ilvl="4">
      <w:start w:val="1"/>
      <w:numFmt w:val="decimal"/>
      <w:pStyle w:val="SecurityL5"/>
      <w:lvlText w:val="%5."/>
      <w:lvlJc w:val="left"/>
      <w:pPr>
        <w:tabs>
          <w:tab w:val="num" w:pos="720"/>
        </w:tabs>
        <w:ind w:left="720" w:hanging="720"/>
      </w:pPr>
      <w:rPr>
        <w:rFonts w:ascii="Times New Roman" w:hAnsi="Times New Roman" w:cs="Times New Roman"/>
        <w:b w:val="0"/>
        <w:i w:val="0"/>
        <w:caps w:val="0"/>
        <w:color w:val="auto"/>
        <w:sz w:val="20"/>
        <w:u w:val="none"/>
      </w:rPr>
    </w:lvl>
    <w:lvl w:ilvl="5">
      <w:start w:val="1"/>
      <w:numFmt w:val="lowerLetter"/>
      <w:pStyle w:val="SecurityL6"/>
      <w:lvlText w:val="(%6)"/>
      <w:lvlJc w:val="left"/>
      <w:pPr>
        <w:tabs>
          <w:tab w:val="num" w:pos="1440"/>
        </w:tabs>
        <w:ind w:left="1440" w:hanging="720"/>
      </w:pPr>
      <w:rPr>
        <w:rFonts w:ascii="Times New Roman" w:hAnsi="Times New Roman" w:cs="Times New Roman"/>
        <w:b w:val="0"/>
        <w:i w:val="0"/>
        <w:caps w:val="0"/>
        <w:color w:val="auto"/>
        <w:sz w:val="20"/>
        <w:u w:val="none"/>
      </w:rPr>
    </w:lvl>
    <w:lvl w:ilvl="6">
      <w:start w:val="1"/>
      <w:numFmt w:val="lowerRoman"/>
      <w:pStyle w:val="SecurityL7"/>
      <w:lvlText w:val="(%7)"/>
      <w:lvlJc w:val="left"/>
      <w:pPr>
        <w:tabs>
          <w:tab w:val="num" w:pos="2160"/>
        </w:tabs>
        <w:ind w:left="2160" w:hanging="720"/>
      </w:pPr>
      <w:rPr>
        <w:rFonts w:ascii="Times New Roman" w:hAnsi="Times New Roman" w:cs="Times New Roman"/>
        <w:b w:val="0"/>
        <w:i w:val="0"/>
        <w:caps w:val="0"/>
        <w:color w:val="auto"/>
        <w:sz w:val="20"/>
        <w:u w:val="none"/>
      </w:rPr>
    </w:lvl>
    <w:lvl w:ilvl="7">
      <w:start w:val="1"/>
      <w:numFmt w:val="none"/>
      <w:lvlRestart w:val="0"/>
      <w:pStyle w:val="SecurityL8"/>
      <w:suff w:val="nothing"/>
      <w:lvlText w:val=""/>
      <w:lvlJc w:val="left"/>
      <w:pPr>
        <w:tabs>
          <w:tab w:val="num" w:pos="720"/>
        </w:tabs>
        <w:ind w:left="0" w:firstLine="0"/>
      </w:pPr>
      <w:rPr>
        <w:rFonts w:ascii="Times New Roman" w:hAnsi="Times New Roman" w:cs="Times New Roman"/>
        <w:b w:val="0"/>
        <w:i w:val="0"/>
        <w:caps w:val="0"/>
        <w:color w:val="auto"/>
        <w:sz w:val="18"/>
        <w:u w:val="none"/>
      </w:rPr>
    </w:lvl>
    <w:lvl w:ilvl="8">
      <w:start w:val="1"/>
      <w:numFmt w:val="decimal"/>
      <w:pStyle w:val="SecurityL9"/>
      <w:lvlText w:val="(%9)"/>
      <w:lvlJc w:val="left"/>
      <w:pPr>
        <w:tabs>
          <w:tab w:val="num" w:pos="720"/>
        </w:tabs>
        <w:ind w:left="720" w:hanging="720"/>
      </w:pPr>
      <w:rPr>
        <w:rFonts w:ascii="Times New Roman" w:hAnsi="Times New Roman" w:cs="Times New Roman"/>
        <w:b w:val="0"/>
        <w:i/>
        <w:caps w:val="0"/>
        <w:color w:val="auto"/>
        <w:sz w:val="18"/>
        <w:u w:val="none"/>
      </w:rPr>
    </w:lvl>
  </w:abstractNum>
  <w:abstractNum w:abstractNumId="5" w15:restartNumberingAfterBreak="0">
    <w:nsid w:val="12B556C4"/>
    <w:multiLevelType w:val="hybridMultilevel"/>
    <w:tmpl w:val="B09863D2"/>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6" w15:restartNumberingAfterBreak="0">
    <w:nsid w:val="14577A96"/>
    <w:multiLevelType w:val="hybridMultilevel"/>
    <w:tmpl w:val="8D3A53C0"/>
    <w:lvl w:ilvl="0" w:tplc="10090001">
      <w:start w:val="1"/>
      <w:numFmt w:val="bullet"/>
      <w:lvlText w:val=""/>
      <w:lvlJc w:val="left"/>
      <w:pPr>
        <w:ind w:left="720" w:hanging="360"/>
      </w:pPr>
      <w:rPr>
        <w:rFonts w:ascii="Symbol" w:hAnsi="Symbol" w:hint="default"/>
      </w:rPr>
    </w:lvl>
    <w:lvl w:ilvl="1" w:tplc="5F8258F0">
      <w:numFmt w:val="bullet"/>
      <w:lvlText w:val="-"/>
      <w:lvlJc w:val="left"/>
      <w:pPr>
        <w:ind w:left="1440" w:hanging="36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A46E63"/>
    <w:multiLevelType w:val="hybridMultilevel"/>
    <w:tmpl w:val="10BA31D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1B902948"/>
    <w:multiLevelType w:val="hybridMultilevel"/>
    <w:tmpl w:val="CD7C8C8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D617EC"/>
    <w:multiLevelType w:val="hybridMultilevel"/>
    <w:tmpl w:val="EC2E311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4B04C5"/>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FE10E4"/>
    <w:multiLevelType w:val="hybridMultilevel"/>
    <w:tmpl w:val="6802883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20980EAD"/>
    <w:multiLevelType w:val="hybridMultilevel"/>
    <w:tmpl w:val="84C04322"/>
    <w:lvl w:ilvl="0" w:tplc="5F8258F0">
      <w:numFmt w:val="bullet"/>
      <w:lvlText w:val="-"/>
      <w:lvlJc w:val="left"/>
      <w:pPr>
        <w:ind w:left="1004" w:hanging="360"/>
      </w:pPr>
      <w:rPr>
        <w:rFonts w:ascii="Arial" w:eastAsia="Times New Roman" w:hAnsi="Arial" w:cs="Aria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23510409"/>
    <w:multiLevelType w:val="hybridMultilevel"/>
    <w:tmpl w:val="0BD099FA"/>
    <w:lvl w:ilvl="0" w:tplc="10090005">
      <w:start w:val="1"/>
      <w:numFmt w:val="bullet"/>
      <w:lvlText w:val=""/>
      <w:lvlJc w:val="left"/>
      <w:pPr>
        <w:ind w:left="1004" w:hanging="360"/>
      </w:pPr>
      <w:rPr>
        <w:rFonts w:ascii="Wingdings" w:hAnsi="Wingdings"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15:restartNumberingAfterBreak="0">
    <w:nsid w:val="3DD71138"/>
    <w:multiLevelType w:val="hybridMultilevel"/>
    <w:tmpl w:val="7EF2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C77F0F"/>
    <w:multiLevelType w:val="hybridMultilevel"/>
    <w:tmpl w:val="8F368B92"/>
    <w:lvl w:ilvl="0" w:tplc="10090003">
      <w:start w:val="1"/>
      <w:numFmt w:val="bullet"/>
      <w:lvlText w:val="o"/>
      <w:lvlJc w:val="left"/>
      <w:pPr>
        <w:ind w:left="1004" w:hanging="360"/>
      </w:pPr>
      <w:rPr>
        <w:rFonts w:ascii="Courier New" w:hAnsi="Courier New" w:cs="Courier New"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6" w15:restartNumberingAfterBreak="0">
    <w:nsid w:val="43060989"/>
    <w:multiLevelType w:val="hybridMultilevel"/>
    <w:tmpl w:val="E890588E"/>
    <w:lvl w:ilvl="0" w:tplc="0C0A0001">
      <w:start w:val="1"/>
      <w:numFmt w:val="bullet"/>
      <w:lvlText w:val=""/>
      <w:lvlJc w:val="left"/>
      <w:pPr>
        <w:ind w:left="1800" w:hanging="360"/>
      </w:pPr>
      <w:rPr>
        <w:rFonts w:ascii="Symbol" w:hAnsi="Symbol" w:hint="default"/>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15:restartNumberingAfterBreak="0">
    <w:nsid w:val="45CF493B"/>
    <w:multiLevelType w:val="hybridMultilevel"/>
    <w:tmpl w:val="4E3CE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9A0421F"/>
    <w:multiLevelType w:val="hybridMultilevel"/>
    <w:tmpl w:val="B7F49D6C"/>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A27161"/>
    <w:multiLevelType w:val="hybridMultilevel"/>
    <w:tmpl w:val="CFF8D5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E5A0A38"/>
    <w:multiLevelType w:val="hybridMultilevel"/>
    <w:tmpl w:val="4D7CFA60"/>
    <w:lvl w:ilvl="0" w:tplc="3CF05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FC6DD3"/>
    <w:multiLevelType w:val="hybridMultilevel"/>
    <w:tmpl w:val="F4E0B88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5624EAB"/>
    <w:multiLevelType w:val="hybridMultilevel"/>
    <w:tmpl w:val="545A7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6AD6472"/>
    <w:multiLevelType w:val="hybridMultilevel"/>
    <w:tmpl w:val="4FC6D7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7C6162F"/>
    <w:multiLevelType w:val="hybridMultilevel"/>
    <w:tmpl w:val="82D0C30E"/>
    <w:lvl w:ilvl="0" w:tplc="7F264F6E">
      <w:start w:val="1"/>
      <w:numFmt w:val="decimal"/>
      <w:lvlText w:val="(%1)"/>
      <w:lvlJc w:val="left"/>
      <w:pPr>
        <w:ind w:left="1080" w:hanging="360"/>
      </w:pPr>
      <w:rPr>
        <w:rFonts w:hint="default"/>
        <w:sz w:val="16"/>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9E7C79"/>
    <w:multiLevelType w:val="hybridMultilevel"/>
    <w:tmpl w:val="257A3E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981771C"/>
    <w:multiLevelType w:val="hybridMultilevel"/>
    <w:tmpl w:val="5F443A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02D5D06"/>
    <w:multiLevelType w:val="hybridMultilevel"/>
    <w:tmpl w:val="E99245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3A87E83"/>
    <w:multiLevelType w:val="hybridMultilevel"/>
    <w:tmpl w:val="70EA4B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7EA5528"/>
    <w:multiLevelType w:val="hybridMultilevel"/>
    <w:tmpl w:val="D5E2E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BB9618F"/>
    <w:multiLevelType w:val="hybridMultilevel"/>
    <w:tmpl w:val="00528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C4733F0"/>
    <w:multiLevelType w:val="hybridMultilevel"/>
    <w:tmpl w:val="9C722DB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AB15B3"/>
    <w:multiLevelType w:val="multilevel"/>
    <w:tmpl w:val="8D80E1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EAD222E"/>
    <w:multiLevelType w:val="hybridMultilevel"/>
    <w:tmpl w:val="148CA5C0"/>
    <w:lvl w:ilvl="0" w:tplc="10090003">
      <w:start w:val="1"/>
      <w:numFmt w:val="bullet"/>
      <w:lvlText w:val="o"/>
      <w:lvlJc w:val="left"/>
      <w:pPr>
        <w:ind w:left="360" w:hanging="360"/>
      </w:pPr>
      <w:rPr>
        <w:rFonts w:ascii="Courier New" w:hAnsi="Courier New" w:cs="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39E44B9"/>
    <w:multiLevelType w:val="hybridMultilevel"/>
    <w:tmpl w:val="3D4011C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3B819FB"/>
    <w:multiLevelType w:val="hybridMultilevel"/>
    <w:tmpl w:val="BB3A1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A5025C1"/>
    <w:multiLevelType w:val="hybridMultilevel"/>
    <w:tmpl w:val="4F143D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CB4464E"/>
    <w:multiLevelType w:val="hybridMultilevel"/>
    <w:tmpl w:val="9EE2C10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F2D22EE"/>
    <w:multiLevelType w:val="hybridMultilevel"/>
    <w:tmpl w:val="8D80E1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08559198">
    <w:abstractNumId w:val="24"/>
  </w:num>
  <w:num w:numId="2" w16cid:durableId="471094494">
    <w:abstractNumId w:val="30"/>
  </w:num>
  <w:num w:numId="3" w16cid:durableId="471093050">
    <w:abstractNumId w:val="11"/>
  </w:num>
  <w:num w:numId="4" w16cid:durableId="1122923267">
    <w:abstractNumId w:val="6"/>
  </w:num>
  <w:num w:numId="5" w16cid:durableId="382799234">
    <w:abstractNumId w:val="21"/>
  </w:num>
  <w:num w:numId="6" w16cid:durableId="1820926523">
    <w:abstractNumId w:val="36"/>
  </w:num>
  <w:num w:numId="7" w16cid:durableId="660503495">
    <w:abstractNumId w:val="4"/>
  </w:num>
  <w:num w:numId="8" w16cid:durableId="591862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0979783">
    <w:abstractNumId w:val="16"/>
  </w:num>
  <w:num w:numId="10" w16cid:durableId="340397957">
    <w:abstractNumId w:val="2"/>
  </w:num>
  <w:num w:numId="11" w16cid:durableId="597257872">
    <w:abstractNumId w:val="31"/>
  </w:num>
  <w:num w:numId="12" w16cid:durableId="651983060">
    <w:abstractNumId w:val="14"/>
  </w:num>
  <w:num w:numId="13" w16cid:durableId="986711152">
    <w:abstractNumId w:val="1"/>
  </w:num>
  <w:num w:numId="14" w16cid:durableId="1404184502">
    <w:abstractNumId w:val="22"/>
  </w:num>
  <w:num w:numId="15" w16cid:durableId="845632355">
    <w:abstractNumId w:val="18"/>
  </w:num>
  <w:num w:numId="16" w16cid:durableId="2086684472">
    <w:abstractNumId w:val="34"/>
  </w:num>
  <w:num w:numId="17" w16cid:durableId="578255091">
    <w:abstractNumId w:val="3"/>
  </w:num>
  <w:num w:numId="18" w16cid:durableId="797843417">
    <w:abstractNumId w:val="25"/>
  </w:num>
  <w:num w:numId="19" w16cid:durableId="484052358">
    <w:abstractNumId w:val="7"/>
  </w:num>
  <w:num w:numId="20" w16cid:durableId="1883514337">
    <w:abstractNumId w:val="28"/>
  </w:num>
  <w:num w:numId="21" w16cid:durableId="1193227937">
    <w:abstractNumId w:val="5"/>
  </w:num>
  <w:num w:numId="22" w16cid:durableId="1549875467">
    <w:abstractNumId w:val="12"/>
  </w:num>
  <w:num w:numId="23" w16cid:durableId="1392803070">
    <w:abstractNumId w:val="13"/>
  </w:num>
  <w:num w:numId="24" w16cid:durableId="2094929741">
    <w:abstractNumId w:val="15"/>
  </w:num>
  <w:num w:numId="25" w16cid:durableId="1217623196">
    <w:abstractNumId w:val="26"/>
  </w:num>
  <w:num w:numId="26" w16cid:durableId="599336517">
    <w:abstractNumId w:val="23"/>
  </w:num>
  <w:num w:numId="27" w16cid:durableId="331377285">
    <w:abstractNumId w:val="8"/>
  </w:num>
  <w:num w:numId="28" w16cid:durableId="883256299">
    <w:abstractNumId w:val="29"/>
  </w:num>
  <w:num w:numId="29" w16cid:durableId="1982687951">
    <w:abstractNumId w:val="17"/>
  </w:num>
  <w:num w:numId="30" w16cid:durableId="892079998">
    <w:abstractNumId w:val="9"/>
  </w:num>
  <w:num w:numId="31" w16cid:durableId="309600259">
    <w:abstractNumId w:val="37"/>
  </w:num>
  <w:num w:numId="32" w16cid:durableId="300621201">
    <w:abstractNumId w:val="33"/>
  </w:num>
  <w:num w:numId="33" w16cid:durableId="1380477239">
    <w:abstractNumId w:val="38"/>
  </w:num>
  <w:num w:numId="34" w16cid:durableId="1080177211">
    <w:abstractNumId w:val="35"/>
  </w:num>
  <w:num w:numId="35" w16cid:durableId="292058970">
    <w:abstractNumId w:val="20"/>
  </w:num>
  <w:num w:numId="36" w16cid:durableId="1319572812">
    <w:abstractNumId w:val="10"/>
  </w:num>
  <w:num w:numId="37" w16cid:durableId="475756151">
    <w:abstractNumId w:val="32"/>
  </w:num>
  <w:num w:numId="38" w16cid:durableId="1958633025">
    <w:abstractNumId w:val="27"/>
  </w:num>
  <w:num w:numId="39" w16cid:durableId="2137941804">
    <w:abstractNumId w:val="19"/>
  </w:num>
  <w:num w:numId="40" w16cid:durableId="234978851">
    <w:abstractNumId w:val="0"/>
  </w:num>
  <w:num w:numId="41" w16cid:durableId="853960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AR" w:vendorID="64" w:dllVersion="6" w:nlCheck="1" w:checkStyle="0"/>
  <w:activeWritingStyle w:appName="MSWord" w:lang="en-CA"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CA" w:vendorID="64" w:dllVersion="4096" w:nlCheck="1" w:checkStyle="0"/>
  <w:activeWritingStyle w:appName="MSWord" w:lang="es-AR" w:vendorID="64" w:dllVersion="4096" w:nlCheck="1" w:checkStyle="0"/>
  <w:activeWritingStyle w:appName="MSWord" w:lang="fr-CA" w:vendorID="64" w:dllVersion="4096" w:nlCheck="1" w:checkStyle="0"/>
  <w:activeWritingStyle w:appName="MSWord" w:lang="en-CA" w:vendorID="64" w:dllVersion="0" w:nlCheck="1" w:checkStyle="0"/>
  <w:activeWritingStyle w:appName="MSWord" w:lang="es-AR" w:vendorID="64" w:dllVersion="0" w:nlCheck="1" w:checkStyle="0"/>
  <w:activeWritingStyle w:appName="MSWord" w:lang="en-US" w:vendorID="64" w:dllVersion="0" w:nlCheck="1" w:checkStyle="0"/>
  <w:activeWritingStyle w:appName="MSWord" w:lang="fr-CA" w:vendorID="64" w:dllVersion="0" w:nlCheck="1" w:checkStyle="0"/>
  <w:proofState w:spelling="clean" w:grammar="clean"/>
  <w:doNotTrackFormattin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Óa"/>
    <w:docVar w:name="85TrailerDateField" w:val="~}œÓh"/>
    <w:docVar w:name="85TrailerDraft" w:val="~}˜Ól"/>
    <w:docVar w:name="85TrailerTime" w:val="~}˜Ól"/>
    <w:docVar w:name="DMS_Work10" w:val="0~ACTIVE||1~14691592||2~3||3~ET-LT-PQ YE 2024 Reserves News Release - Sept 26 draft||5~JTO||6~JTO||8~DOCUMENTS||10~9/25/2025 9:32:44 PM||11~9/25/2025 9:27:27 PM||13~414313||14~False||17~public||18~JTO||19~JTO||21~True||22~True||25~069295||26~00030||27~317||28~SEC||29~GS||30~ACTIV||60~Crown Point Energy Inc.||61~M&amp;A and Financings||62~Oke, Jeffrey T.||63~Securities||64~General Securities||65~Active matter||74~Jeff Oke||75~Jeff Oke||76~WORD 2007||77~Documents||80~Jeff Oke||82~docx||85~9/25/2025 9:32:45 PM||99~1/1/0001 7:00:00 AM||102~False||106~C:\Users\jto\AppData\Roaming\iManage\Work\Recent\069295-00030-Crown Point Energy Inc.-M_A and Financings\ET-LT-PQ YE 2024 Reserves News Release - Sept 26 draft(14691592.3).docx||107~1/1/0001 7:00:00 AM||109~9/26/2025 6:07:28 PM||112~1/1/0001 12:00:00 AM||113~9/25/2025 9:27:23 PM||114~9/25/2025 9:32:10 PM||117~True||118~False||124~False||"/>
    <w:docVar w:name="DocStamp_1_OptionalControlValues" w:val="~}•Ó"/>
    <w:docVar w:name="MPDocID" w:val="~}—Ónosqumsqnn"/>
    <w:docVar w:name="MPDocIDTemplate" w:val="~}•Ó"/>
    <w:docVar w:name="MPDocIDTemplateDefault" w:val="~}‘Óh²sk¸"/>
    <w:docVar w:name="NewDocStampType" w:val="~}žÓm"/>
    <w:docVar w:name="zzmp10NoTrailerPromptID" w:val="ACTIVE.13745135.6"/>
  </w:docVars>
  <w:rsids>
    <w:rsidRoot w:val="00451CF4"/>
    <w:rsid w:val="00000E60"/>
    <w:rsid w:val="00002052"/>
    <w:rsid w:val="000025E2"/>
    <w:rsid w:val="00003873"/>
    <w:rsid w:val="00004044"/>
    <w:rsid w:val="00010F36"/>
    <w:rsid w:val="00013941"/>
    <w:rsid w:val="00016F54"/>
    <w:rsid w:val="00017090"/>
    <w:rsid w:val="00017ACE"/>
    <w:rsid w:val="0002124D"/>
    <w:rsid w:val="00021BB6"/>
    <w:rsid w:val="00023706"/>
    <w:rsid w:val="00023BC5"/>
    <w:rsid w:val="00024990"/>
    <w:rsid w:val="00025614"/>
    <w:rsid w:val="00025949"/>
    <w:rsid w:val="0002742B"/>
    <w:rsid w:val="000328AA"/>
    <w:rsid w:val="00033EA2"/>
    <w:rsid w:val="00034F7D"/>
    <w:rsid w:val="000359CC"/>
    <w:rsid w:val="00036D51"/>
    <w:rsid w:val="00041033"/>
    <w:rsid w:val="0004206D"/>
    <w:rsid w:val="00042B65"/>
    <w:rsid w:val="00043586"/>
    <w:rsid w:val="00043C17"/>
    <w:rsid w:val="0004484E"/>
    <w:rsid w:val="0004588D"/>
    <w:rsid w:val="00050A9F"/>
    <w:rsid w:val="00050DBD"/>
    <w:rsid w:val="0005109A"/>
    <w:rsid w:val="000535A7"/>
    <w:rsid w:val="00054D4A"/>
    <w:rsid w:val="00057387"/>
    <w:rsid w:val="000601E1"/>
    <w:rsid w:val="00061671"/>
    <w:rsid w:val="00061FDB"/>
    <w:rsid w:val="000627A5"/>
    <w:rsid w:val="00064773"/>
    <w:rsid w:val="000673AF"/>
    <w:rsid w:val="000716D5"/>
    <w:rsid w:val="00076237"/>
    <w:rsid w:val="00077A03"/>
    <w:rsid w:val="00080A8A"/>
    <w:rsid w:val="00087241"/>
    <w:rsid w:val="000927E7"/>
    <w:rsid w:val="000932B1"/>
    <w:rsid w:val="00093AB9"/>
    <w:rsid w:val="00097196"/>
    <w:rsid w:val="00097F5E"/>
    <w:rsid w:val="000A1C47"/>
    <w:rsid w:val="000A218D"/>
    <w:rsid w:val="000A677E"/>
    <w:rsid w:val="000A7CE8"/>
    <w:rsid w:val="000B18A4"/>
    <w:rsid w:val="000B2104"/>
    <w:rsid w:val="000B226F"/>
    <w:rsid w:val="000B260D"/>
    <w:rsid w:val="000B4702"/>
    <w:rsid w:val="000B492D"/>
    <w:rsid w:val="000B6726"/>
    <w:rsid w:val="000C124D"/>
    <w:rsid w:val="000C3157"/>
    <w:rsid w:val="000C5953"/>
    <w:rsid w:val="000C7807"/>
    <w:rsid w:val="000D0E50"/>
    <w:rsid w:val="000D3E93"/>
    <w:rsid w:val="000D45D4"/>
    <w:rsid w:val="000D4C62"/>
    <w:rsid w:val="000D74F7"/>
    <w:rsid w:val="000D7DDC"/>
    <w:rsid w:val="000E1597"/>
    <w:rsid w:val="000E30DB"/>
    <w:rsid w:val="000E3366"/>
    <w:rsid w:val="000E565B"/>
    <w:rsid w:val="000F076D"/>
    <w:rsid w:val="000F2EBB"/>
    <w:rsid w:val="000F3D8F"/>
    <w:rsid w:val="000F4F65"/>
    <w:rsid w:val="000F5DC2"/>
    <w:rsid w:val="000F5ECD"/>
    <w:rsid w:val="00100490"/>
    <w:rsid w:val="0010536B"/>
    <w:rsid w:val="00105738"/>
    <w:rsid w:val="00105A4A"/>
    <w:rsid w:val="001069EF"/>
    <w:rsid w:val="00106A1F"/>
    <w:rsid w:val="00111510"/>
    <w:rsid w:val="00111924"/>
    <w:rsid w:val="00111F93"/>
    <w:rsid w:val="001122C6"/>
    <w:rsid w:val="001133C0"/>
    <w:rsid w:val="00120232"/>
    <w:rsid w:val="001221DA"/>
    <w:rsid w:val="00122D06"/>
    <w:rsid w:val="0012443E"/>
    <w:rsid w:val="00124B40"/>
    <w:rsid w:val="001253DF"/>
    <w:rsid w:val="001257B2"/>
    <w:rsid w:val="0012698E"/>
    <w:rsid w:val="00130191"/>
    <w:rsid w:val="00130CE8"/>
    <w:rsid w:val="00133EFB"/>
    <w:rsid w:val="001340CF"/>
    <w:rsid w:val="001350B6"/>
    <w:rsid w:val="001360F8"/>
    <w:rsid w:val="001448D4"/>
    <w:rsid w:val="00144A36"/>
    <w:rsid w:val="00145BC9"/>
    <w:rsid w:val="00150D8D"/>
    <w:rsid w:val="001511F9"/>
    <w:rsid w:val="00151262"/>
    <w:rsid w:val="00151537"/>
    <w:rsid w:val="001518DF"/>
    <w:rsid w:val="00152632"/>
    <w:rsid w:val="001548FF"/>
    <w:rsid w:val="00155A21"/>
    <w:rsid w:val="0015763C"/>
    <w:rsid w:val="0016148F"/>
    <w:rsid w:val="00162128"/>
    <w:rsid w:val="00163CC7"/>
    <w:rsid w:val="00163F57"/>
    <w:rsid w:val="00165DB6"/>
    <w:rsid w:val="00165FD0"/>
    <w:rsid w:val="0016764C"/>
    <w:rsid w:val="001720C2"/>
    <w:rsid w:val="00174365"/>
    <w:rsid w:val="001757BE"/>
    <w:rsid w:val="00177A20"/>
    <w:rsid w:val="00180591"/>
    <w:rsid w:val="00181F6E"/>
    <w:rsid w:val="0018209F"/>
    <w:rsid w:val="00183B25"/>
    <w:rsid w:val="0018437C"/>
    <w:rsid w:val="0019349D"/>
    <w:rsid w:val="00193809"/>
    <w:rsid w:val="0019396D"/>
    <w:rsid w:val="001959BF"/>
    <w:rsid w:val="001967AF"/>
    <w:rsid w:val="00196924"/>
    <w:rsid w:val="00196F60"/>
    <w:rsid w:val="00197745"/>
    <w:rsid w:val="001A0FBE"/>
    <w:rsid w:val="001A2143"/>
    <w:rsid w:val="001A4EF4"/>
    <w:rsid w:val="001A6102"/>
    <w:rsid w:val="001A750D"/>
    <w:rsid w:val="001B1E7F"/>
    <w:rsid w:val="001B1ED2"/>
    <w:rsid w:val="001B3527"/>
    <w:rsid w:val="001B3DD2"/>
    <w:rsid w:val="001B5749"/>
    <w:rsid w:val="001C3296"/>
    <w:rsid w:val="001C3302"/>
    <w:rsid w:val="001C5423"/>
    <w:rsid w:val="001C57CC"/>
    <w:rsid w:val="001D2046"/>
    <w:rsid w:val="001D3C6E"/>
    <w:rsid w:val="001D4E4B"/>
    <w:rsid w:val="001D50E7"/>
    <w:rsid w:val="001D60AF"/>
    <w:rsid w:val="001E04EC"/>
    <w:rsid w:val="001E2298"/>
    <w:rsid w:val="001E33A6"/>
    <w:rsid w:val="001E4463"/>
    <w:rsid w:val="001E52F0"/>
    <w:rsid w:val="001E7429"/>
    <w:rsid w:val="001F53BB"/>
    <w:rsid w:val="001F70CE"/>
    <w:rsid w:val="001F719A"/>
    <w:rsid w:val="00201A1C"/>
    <w:rsid w:val="0020498C"/>
    <w:rsid w:val="00205E97"/>
    <w:rsid w:val="0021022C"/>
    <w:rsid w:val="0021127D"/>
    <w:rsid w:val="00214319"/>
    <w:rsid w:val="00214E4D"/>
    <w:rsid w:val="002155C3"/>
    <w:rsid w:val="002165B7"/>
    <w:rsid w:val="00216E19"/>
    <w:rsid w:val="00220A43"/>
    <w:rsid w:val="002215DE"/>
    <w:rsid w:val="00221DD0"/>
    <w:rsid w:val="00224562"/>
    <w:rsid w:val="00224989"/>
    <w:rsid w:val="00226AF8"/>
    <w:rsid w:val="00227D59"/>
    <w:rsid w:val="002300CD"/>
    <w:rsid w:val="002335EE"/>
    <w:rsid w:val="00235FED"/>
    <w:rsid w:val="00237BD0"/>
    <w:rsid w:val="00237C47"/>
    <w:rsid w:val="0024282E"/>
    <w:rsid w:val="00242953"/>
    <w:rsid w:val="00243DE1"/>
    <w:rsid w:val="00244EDD"/>
    <w:rsid w:val="00245E11"/>
    <w:rsid w:val="00246E99"/>
    <w:rsid w:val="00247710"/>
    <w:rsid w:val="00250B90"/>
    <w:rsid w:val="00251D5C"/>
    <w:rsid w:val="0025538B"/>
    <w:rsid w:val="00255D66"/>
    <w:rsid w:val="00255FB2"/>
    <w:rsid w:val="00256865"/>
    <w:rsid w:val="00257531"/>
    <w:rsid w:val="00257631"/>
    <w:rsid w:val="00260D80"/>
    <w:rsid w:val="00261E3B"/>
    <w:rsid w:val="0026227D"/>
    <w:rsid w:val="002646A4"/>
    <w:rsid w:val="002649E7"/>
    <w:rsid w:val="00265833"/>
    <w:rsid w:val="00270E00"/>
    <w:rsid w:val="00271987"/>
    <w:rsid w:val="00271DD1"/>
    <w:rsid w:val="002729B8"/>
    <w:rsid w:val="002755B9"/>
    <w:rsid w:val="002763BB"/>
    <w:rsid w:val="00276834"/>
    <w:rsid w:val="00276D5A"/>
    <w:rsid w:val="00282271"/>
    <w:rsid w:val="00282EE9"/>
    <w:rsid w:val="00286D4C"/>
    <w:rsid w:val="00287FB4"/>
    <w:rsid w:val="00290BF2"/>
    <w:rsid w:val="00290FAF"/>
    <w:rsid w:val="00291F01"/>
    <w:rsid w:val="002926E3"/>
    <w:rsid w:val="00292BEA"/>
    <w:rsid w:val="0029305F"/>
    <w:rsid w:val="002939E6"/>
    <w:rsid w:val="00294A5A"/>
    <w:rsid w:val="002955AA"/>
    <w:rsid w:val="002A1C6F"/>
    <w:rsid w:val="002A1F7D"/>
    <w:rsid w:val="002A2079"/>
    <w:rsid w:val="002A49FB"/>
    <w:rsid w:val="002A5742"/>
    <w:rsid w:val="002A65CC"/>
    <w:rsid w:val="002A6EF0"/>
    <w:rsid w:val="002A7212"/>
    <w:rsid w:val="002A7277"/>
    <w:rsid w:val="002B0AA5"/>
    <w:rsid w:val="002B3F93"/>
    <w:rsid w:val="002B4E83"/>
    <w:rsid w:val="002C35DF"/>
    <w:rsid w:val="002C476A"/>
    <w:rsid w:val="002C5375"/>
    <w:rsid w:val="002D00A1"/>
    <w:rsid w:val="002D12FD"/>
    <w:rsid w:val="002D2464"/>
    <w:rsid w:val="002D2B1A"/>
    <w:rsid w:val="002D2CA8"/>
    <w:rsid w:val="002D437E"/>
    <w:rsid w:val="002D4B6B"/>
    <w:rsid w:val="002D7827"/>
    <w:rsid w:val="002D7E84"/>
    <w:rsid w:val="002E0780"/>
    <w:rsid w:val="002E10DF"/>
    <w:rsid w:val="002E1BE1"/>
    <w:rsid w:val="002E28A9"/>
    <w:rsid w:val="002E3BD6"/>
    <w:rsid w:val="002E696C"/>
    <w:rsid w:val="002F1211"/>
    <w:rsid w:val="002F1371"/>
    <w:rsid w:val="002F1F48"/>
    <w:rsid w:val="002F3F82"/>
    <w:rsid w:val="002F58C1"/>
    <w:rsid w:val="00300A6A"/>
    <w:rsid w:val="00301DD1"/>
    <w:rsid w:val="00302DB2"/>
    <w:rsid w:val="003064A3"/>
    <w:rsid w:val="00306C05"/>
    <w:rsid w:val="00307501"/>
    <w:rsid w:val="00311088"/>
    <w:rsid w:val="003111C0"/>
    <w:rsid w:val="0031193A"/>
    <w:rsid w:val="0031322E"/>
    <w:rsid w:val="0031396D"/>
    <w:rsid w:val="00314734"/>
    <w:rsid w:val="00315C11"/>
    <w:rsid w:val="00317357"/>
    <w:rsid w:val="003223AE"/>
    <w:rsid w:val="003223CF"/>
    <w:rsid w:val="00322D06"/>
    <w:rsid w:val="003300CB"/>
    <w:rsid w:val="00330EAF"/>
    <w:rsid w:val="00331A4F"/>
    <w:rsid w:val="00331B5F"/>
    <w:rsid w:val="00331FEE"/>
    <w:rsid w:val="00331FFF"/>
    <w:rsid w:val="00332516"/>
    <w:rsid w:val="00333C9D"/>
    <w:rsid w:val="003349FE"/>
    <w:rsid w:val="00335EAB"/>
    <w:rsid w:val="0033680E"/>
    <w:rsid w:val="003409BA"/>
    <w:rsid w:val="0034165A"/>
    <w:rsid w:val="0034194B"/>
    <w:rsid w:val="00344314"/>
    <w:rsid w:val="00347778"/>
    <w:rsid w:val="00347D43"/>
    <w:rsid w:val="00352472"/>
    <w:rsid w:val="00353346"/>
    <w:rsid w:val="003535B4"/>
    <w:rsid w:val="00355AA9"/>
    <w:rsid w:val="00356261"/>
    <w:rsid w:val="00360903"/>
    <w:rsid w:val="00360B79"/>
    <w:rsid w:val="00361D69"/>
    <w:rsid w:val="00362B55"/>
    <w:rsid w:val="003633C5"/>
    <w:rsid w:val="00363E05"/>
    <w:rsid w:val="0036598D"/>
    <w:rsid w:val="00366F03"/>
    <w:rsid w:val="003713CB"/>
    <w:rsid w:val="0037205E"/>
    <w:rsid w:val="003735BF"/>
    <w:rsid w:val="00373A5A"/>
    <w:rsid w:val="00375815"/>
    <w:rsid w:val="00376229"/>
    <w:rsid w:val="0038118E"/>
    <w:rsid w:val="00381F14"/>
    <w:rsid w:val="00381F7A"/>
    <w:rsid w:val="00382199"/>
    <w:rsid w:val="003828A1"/>
    <w:rsid w:val="00382FD1"/>
    <w:rsid w:val="003834ED"/>
    <w:rsid w:val="003871F4"/>
    <w:rsid w:val="00387333"/>
    <w:rsid w:val="0039117D"/>
    <w:rsid w:val="003911F5"/>
    <w:rsid w:val="0039484A"/>
    <w:rsid w:val="00394A3E"/>
    <w:rsid w:val="00395319"/>
    <w:rsid w:val="00396201"/>
    <w:rsid w:val="00397E30"/>
    <w:rsid w:val="003A1458"/>
    <w:rsid w:val="003A153C"/>
    <w:rsid w:val="003A2584"/>
    <w:rsid w:val="003A2F45"/>
    <w:rsid w:val="003A3F09"/>
    <w:rsid w:val="003A53F2"/>
    <w:rsid w:val="003A6999"/>
    <w:rsid w:val="003A6B2A"/>
    <w:rsid w:val="003A7A6F"/>
    <w:rsid w:val="003A7F98"/>
    <w:rsid w:val="003B10AC"/>
    <w:rsid w:val="003B161A"/>
    <w:rsid w:val="003B3C41"/>
    <w:rsid w:val="003B3C88"/>
    <w:rsid w:val="003B51FA"/>
    <w:rsid w:val="003B6B71"/>
    <w:rsid w:val="003C03F5"/>
    <w:rsid w:val="003D0414"/>
    <w:rsid w:val="003D3CB8"/>
    <w:rsid w:val="003D46D7"/>
    <w:rsid w:val="003D6FD4"/>
    <w:rsid w:val="003E1653"/>
    <w:rsid w:val="003E2504"/>
    <w:rsid w:val="003E749F"/>
    <w:rsid w:val="003E7896"/>
    <w:rsid w:val="003E78A4"/>
    <w:rsid w:val="003E7BB8"/>
    <w:rsid w:val="003F11B9"/>
    <w:rsid w:val="003F2629"/>
    <w:rsid w:val="003F390F"/>
    <w:rsid w:val="003F6225"/>
    <w:rsid w:val="003F6502"/>
    <w:rsid w:val="0040122E"/>
    <w:rsid w:val="00406594"/>
    <w:rsid w:val="0040750F"/>
    <w:rsid w:val="00407E0D"/>
    <w:rsid w:val="00410349"/>
    <w:rsid w:val="00411ECA"/>
    <w:rsid w:val="004162E7"/>
    <w:rsid w:val="0042016C"/>
    <w:rsid w:val="0042130F"/>
    <w:rsid w:val="0042133D"/>
    <w:rsid w:val="00421439"/>
    <w:rsid w:val="004226A6"/>
    <w:rsid w:val="00424546"/>
    <w:rsid w:val="00424A32"/>
    <w:rsid w:val="004251A2"/>
    <w:rsid w:val="00425CF4"/>
    <w:rsid w:val="00427A41"/>
    <w:rsid w:val="00431AE5"/>
    <w:rsid w:val="0043296F"/>
    <w:rsid w:val="00433408"/>
    <w:rsid w:val="004365FF"/>
    <w:rsid w:val="00440915"/>
    <w:rsid w:val="00440BB5"/>
    <w:rsid w:val="00442A8E"/>
    <w:rsid w:val="00443D0D"/>
    <w:rsid w:val="0044467D"/>
    <w:rsid w:val="00444BB3"/>
    <w:rsid w:val="004478B6"/>
    <w:rsid w:val="00451504"/>
    <w:rsid w:val="00451CF4"/>
    <w:rsid w:val="004524AF"/>
    <w:rsid w:val="00454408"/>
    <w:rsid w:val="00454EB4"/>
    <w:rsid w:val="004561FE"/>
    <w:rsid w:val="00456BA5"/>
    <w:rsid w:val="00456D0C"/>
    <w:rsid w:val="004601F2"/>
    <w:rsid w:val="004607BF"/>
    <w:rsid w:val="0046307D"/>
    <w:rsid w:val="004634A6"/>
    <w:rsid w:val="00463BEA"/>
    <w:rsid w:val="004660B5"/>
    <w:rsid w:val="00467343"/>
    <w:rsid w:val="00471F7B"/>
    <w:rsid w:val="00472F63"/>
    <w:rsid w:val="00473983"/>
    <w:rsid w:val="004765E0"/>
    <w:rsid w:val="0048008B"/>
    <w:rsid w:val="00481185"/>
    <w:rsid w:val="0048294A"/>
    <w:rsid w:val="004835F9"/>
    <w:rsid w:val="004837E0"/>
    <w:rsid w:val="00490DA2"/>
    <w:rsid w:val="00490E8A"/>
    <w:rsid w:val="00491207"/>
    <w:rsid w:val="004915EA"/>
    <w:rsid w:val="0049181C"/>
    <w:rsid w:val="00492810"/>
    <w:rsid w:val="004940F9"/>
    <w:rsid w:val="004946E4"/>
    <w:rsid w:val="004951CB"/>
    <w:rsid w:val="004A125B"/>
    <w:rsid w:val="004A2E5D"/>
    <w:rsid w:val="004A4911"/>
    <w:rsid w:val="004A56D3"/>
    <w:rsid w:val="004A5E44"/>
    <w:rsid w:val="004A72E9"/>
    <w:rsid w:val="004A74D4"/>
    <w:rsid w:val="004B1C8B"/>
    <w:rsid w:val="004B227C"/>
    <w:rsid w:val="004B2F96"/>
    <w:rsid w:val="004B3239"/>
    <w:rsid w:val="004B3350"/>
    <w:rsid w:val="004B5193"/>
    <w:rsid w:val="004B63B7"/>
    <w:rsid w:val="004C1BB0"/>
    <w:rsid w:val="004C41BA"/>
    <w:rsid w:val="004C4CB0"/>
    <w:rsid w:val="004C6404"/>
    <w:rsid w:val="004C7547"/>
    <w:rsid w:val="004C7A74"/>
    <w:rsid w:val="004D007F"/>
    <w:rsid w:val="004D1773"/>
    <w:rsid w:val="004D53DC"/>
    <w:rsid w:val="004D5DBD"/>
    <w:rsid w:val="004D6238"/>
    <w:rsid w:val="004E275F"/>
    <w:rsid w:val="004E3226"/>
    <w:rsid w:val="004E6BAB"/>
    <w:rsid w:val="004E7D42"/>
    <w:rsid w:val="004F14A0"/>
    <w:rsid w:val="004F3AF4"/>
    <w:rsid w:val="004F3C63"/>
    <w:rsid w:val="004F5C6B"/>
    <w:rsid w:val="004F5DE7"/>
    <w:rsid w:val="005020B1"/>
    <w:rsid w:val="00502794"/>
    <w:rsid w:val="005031C4"/>
    <w:rsid w:val="00503790"/>
    <w:rsid w:val="00505026"/>
    <w:rsid w:val="00505674"/>
    <w:rsid w:val="00510753"/>
    <w:rsid w:val="00511BFC"/>
    <w:rsid w:val="005125B4"/>
    <w:rsid w:val="00512967"/>
    <w:rsid w:val="00514159"/>
    <w:rsid w:val="005148FD"/>
    <w:rsid w:val="00521406"/>
    <w:rsid w:val="00525A77"/>
    <w:rsid w:val="00526C37"/>
    <w:rsid w:val="00527E54"/>
    <w:rsid w:val="00534994"/>
    <w:rsid w:val="00537A2C"/>
    <w:rsid w:val="005439AF"/>
    <w:rsid w:val="005439D0"/>
    <w:rsid w:val="00550A1A"/>
    <w:rsid w:val="00554BA3"/>
    <w:rsid w:val="00555BC4"/>
    <w:rsid w:val="00557B5A"/>
    <w:rsid w:val="00557EF1"/>
    <w:rsid w:val="00560BF7"/>
    <w:rsid w:val="00560C30"/>
    <w:rsid w:val="0056212D"/>
    <w:rsid w:val="005635F2"/>
    <w:rsid w:val="00564F26"/>
    <w:rsid w:val="005671AA"/>
    <w:rsid w:val="005677EF"/>
    <w:rsid w:val="005702A7"/>
    <w:rsid w:val="0057563A"/>
    <w:rsid w:val="00575A34"/>
    <w:rsid w:val="00575CCA"/>
    <w:rsid w:val="00576FAF"/>
    <w:rsid w:val="00580163"/>
    <w:rsid w:val="005808F2"/>
    <w:rsid w:val="00581F71"/>
    <w:rsid w:val="0058270B"/>
    <w:rsid w:val="00584B29"/>
    <w:rsid w:val="00585291"/>
    <w:rsid w:val="00585434"/>
    <w:rsid w:val="00585A15"/>
    <w:rsid w:val="00586159"/>
    <w:rsid w:val="005902F6"/>
    <w:rsid w:val="00590381"/>
    <w:rsid w:val="00592C42"/>
    <w:rsid w:val="0059524E"/>
    <w:rsid w:val="00595CFF"/>
    <w:rsid w:val="005A1F11"/>
    <w:rsid w:val="005A3BED"/>
    <w:rsid w:val="005A60CE"/>
    <w:rsid w:val="005A6A62"/>
    <w:rsid w:val="005B0CA0"/>
    <w:rsid w:val="005B0EFE"/>
    <w:rsid w:val="005B3A0F"/>
    <w:rsid w:val="005B3B95"/>
    <w:rsid w:val="005B3FE8"/>
    <w:rsid w:val="005B5DEC"/>
    <w:rsid w:val="005B66FF"/>
    <w:rsid w:val="005B6E81"/>
    <w:rsid w:val="005C2CAA"/>
    <w:rsid w:val="005C51FA"/>
    <w:rsid w:val="005C5F09"/>
    <w:rsid w:val="005D0998"/>
    <w:rsid w:val="005D4AE2"/>
    <w:rsid w:val="005D4DC4"/>
    <w:rsid w:val="005D577A"/>
    <w:rsid w:val="005D661B"/>
    <w:rsid w:val="005D6CDC"/>
    <w:rsid w:val="005D7A7F"/>
    <w:rsid w:val="005E10D3"/>
    <w:rsid w:val="005E150A"/>
    <w:rsid w:val="005E3D56"/>
    <w:rsid w:val="005E47B1"/>
    <w:rsid w:val="005E5C39"/>
    <w:rsid w:val="005E6FD2"/>
    <w:rsid w:val="005E7AAE"/>
    <w:rsid w:val="005F2B3F"/>
    <w:rsid w:val="005F3571"/>
    <w:rsid w:val="005F3BD4"/>
    <w:rsid w:val="005F75A7"/>
    <w:rsid w:val="00600E2C"/>
    <w:rsid w:val="00606739"/>
    <w:rsid w:val="006107E9"/>
    <w:rsid w:val="006142F6"/>
    <w:rsid w:val="00614D39"/>
    <w:rsid w:val="00615ABC"/>
    <w:rsid w:val="00615EEE"/>
    <w:rsid w:val="00620130"/>
    <w:rsid w:val="00620320"/>
    <w:rsid w:val="006205E9"/>
    <w:rsid w:val="00621433"/>
    <w:rsid w:val="00621BDE"/>
    <w:rsid w:val="00621C66"/>
    <w:rsid w:val="00622E1F"/>
    <w:rsid w:val="0062427C"/>
    <w:rsid w:val="00627052"/>
    <w:rsid w:val="00631EE4"/>
    <w:rsid w:val="0063258B"/>
    <w:rsid w:val="00632BD2"/>
    <w:rsid w:val="00634146"/>
    <w:rsid w:val="00640983"/>
    <w:rsid w:val="00643A42"/>
    <w:rsid w:val="006440C6"/>
    <w:rsid w:val="00650B31"/>
    <w:rsid w:val="00651667"/>
    <w:rsid w:val="00651DB8"/>
    <w:rsid w:val="006529A8"/>
    <w:rsid w:val="00652FDE"/>
    <w:rsid w:val="00653D82"/>
    <w:rsid w:val="00657FED"/>
    <w:rsid w:val="00661CFF"/>
    <w:rsid w:val="00662E9C"/>
    <w:rsid w:val="00664558"/>
    <w:rsid w:val="00665CD8"/>
    <w:rsid w:val="00667169"/>
    <w:rsid w:val="006674CF"/>
    <w:rsid w:val="00673AE9"/>
    <w:rsid w:val="00674C25"/>
    <w:rsid w:val="006765D3"/>
    <w:rsid w:val="00680B0F"/>
    <w:rsid w:val="00680E46"/>
    <w:rsid w:val="0068141D"/>
    <w:rsid w:val="0068268A"/>
    <w:rsid w:val="00687575"/>
    <w:rsid w:val="0069094C"/>
    <w:rsid w:val="00691764"/>
    <w:rsid w:val="00691ED6"/>
    <w:rsid w:val="006969D6"/>
    <w:rsid w:val="006A4716"/>
    <w:rsid w:val="006B0C23"/>
    <w:rsid w:val="006B19DD"/>
    <w:rsid w:val="006B55F6"/>
    <w:rsid w:val="006B76F6"/>
    <w:rsid w:val="006C0048"/>
    <w:rsid w:val="006C10A7"/>
    <w:rsid w:val="006C3195"/>
    <w:rsid w:val="006C31C2"/>
    <w:rsid w:val="006C5430"/>
    <w:rsid w:val="006C5BF7"/>
    <w:rsid w:val="006D2446"/>
    <w:rsid w:val="006D58DE"/>
    <w:rsid w:val="006E01EA"/>
    <w:rsid w:val="006E2E70"/>
    <w:rsid w:val="006E3DAB"/>
    <w:rsid w:val="006E679E"/>
    <w:rsid w:val="006F436B"/>
    <w:rsid w:val="006F459E"/>
    <w:rsid w:val="006F49B6"/>
    <w:rsid w:val="006F574E"/>
    <w:rsid w:val="007017C7"/>
    <w:rsid w:val="007035D8"/>
    <w:rsid w:val="00704C4B"/>
    <w:rsid w:val="00705876"/>
    <w:rsid w:val="007068A8"/>
    <w:rsid w:val="00710E87"/>
    <w:rsid w:val="00711BEA"/>
    <w:rsid w:val="00711DB1"/>
    <w:rsid w:val="007139C6"/>
    <w:rsid w:val="00713A1E"/>
    <w:rsid w:val="00713E06"/>
    <w:rsid w:val="00714855"/>
    <w:rsid w:val="00715152"/>
    <w:rsid w:val="00715B39"/>
    <w:rsid w:val="0071743C"/>
    <w:rsid w:val="007176BE"/>
    <w:rsid w:val="007207C4"/>
    <w:rsid w:val="00723A6C"/>
    <w:rsid w:val="00727F6C"/>
    <w:rsid w:val="00730692"/>
    <w:rsid w:val="00731862"/>
    <w:rsid w:val="0073215F"/>
    <w:rsid w:val="00732D37"/>
    <w:rsid w:val="00733B9A"/>
    <w:rsid w:val="007359BD"/>
    <w:rsid w:val="0073723B"/>
    <w:rsid w:val="00737588"/>
    <w:rsid w:val="00742571"/>
    <w:rsid w:val="0074570F"/>
    <w:rsid w:val="0074582F"/>
    <w:rsid w:val="00745E50"/>
    <w:rsid w:val="007476F4"/>
    <w:rsid w:val="00752C93"/>
    <w:rsid w:val="00760643"/>
    <w:rsid w:val="007623D2"/>
    <w:rsid w:val="00762A46"/>
    <w:rsid w:val="00764D43"/>
    <w:rsid w:val="00767618"/>
    <w:rsid w:val="007706BB"/>
    <w:rsid w:val="007718C9"/>
    <w:rsid w:val="00772EDD"/>
    <w:rsid w:val="00774F93"/>
    <w:rsid w:val="00776A3B"/>
    <w:rsid w:val="0078054D"/>
    <w:rsid w:val="00780C91"/>
    <w:rsid w:val="00782B0E"/>
    <w:rsid w:val="00783885"/>
    <w:rsid w:val="00784275"/>
    <w:rsid w:val="00786A50"/>
    <w:rsid w:val="0079101C"/>
    <w:rsid w:val="007919F2"/>
    <w:rsid w:val="00792DE7"/>
    <w:rsid w:val="007943B5"/>
    <w:rsid w:val="00794553"/>
    <w:rsid w:val="00794ABF"/>
    <w:rsid w:val="007959FA"/>
    <w:rsid w:val="007965EC"/>
    <w:rsid w:val="00796733"/>
    <w:rsid w:val="00796FBE"/>
    <w:rsid w:val="0079743B"/>
    <w:rsid w:val="00797677"/>
    <w:rsid w:val="00797947"/>
    <w:rsid w:val="007A0BC2"/>
    <w:rsid w:val="007A237B"/>
    <w:rsid w:val="007A2C0E"/>
    <w:rsid w:val="007A4E95"/>
    <w:rsid w:val="007B09A8"/>
    <w:rsid w:val="007B0F5C"/>
    <w:rsid w:val="007B1463"/>
    <w:rsid w:val="007B278E"/>
    <w:rsid w:val="007B2A35"/>
    <w:rsid w:val="007B3434"/>
    <w:rsid w:val="007B3EA0"/>
    <w:rsid w:val="007B6295"/>
    <w:rsid w:val="007C0668"/>
    <w:rsid w:val="007C0984"/>
    <w:rsid w:val="007C2985"/>
    <w:rsid w:val="007C5641"/>
    <w:rsid w:val="007C77D3"/>
    <w:rsid w:val="007D2C63"/>
    <w:rsid w:val="007D3FA8"/>
    <w:rsid w:val="007D4AFB"/>
    <w:rsid w:val="007D4BB5"/>
    <w:rsid w:val="007D50C0"/>
    <w:rsid w:val="007D55DC"/>
    <w:rsid w:val="007D5944"/>
    <w:rsid w:val="007E0FF7"/>
    <w:rsid w:val="007E40A1"/>
    <w:rsid w:val="007E51B9"/>
    <w:rsid w:val="007E5F3F"/>
    <w:rsid w:val="007E627B"/>
    <w:rsid w:val="007E74E0"/>
    <w:rsid w:val="007E75DC"/>
    <w:rsid w:val="007E7C6B"/>
    <w:rsid w:val="007F24D4"/>
    <w:rsid w:val="007F32C9"/>
    <w:rsid w:val="007F60DD"/>
    <w:rsid w:val="007F7102"/>
    <w:rsid w:val="007F7668"/>
    <w:rsid w:val="008021B5"/>
    <w:rsid w:val="00810613"/>
    <w:rsid w:val="00810B9B"/>
    <w:rsid w:val="00810E7B"/>
    <w:rsid w:val="008120DC"/>
    <w:rsid w:val="0081326E"/>
    <w:rsid w:val="00813ACB"/>
    <w:rsid w:val="008152FC"/>
    <w:rsid w:val="00815A2C"/>
    <w:rsid w:val="00815C2A"/>
    <w:rsid w:val="00816866"/>
    <w:rsid w:val="008202A6"/>
    <w:rsid w:val="00820C86"/>
    <w:rsid w:val="00821524"/>
    <w:rsid w:val="0082234E"/>
    <w:rsid w:val="00823705"/>
    <w:rsid w:val="00824B0A"/>
    <w:rsid w:val="00825BA2"/>
    <w:rsid w:val="00826004"/>
    <w:rsid w:val="008275CC"/>
    <w:rsid w:val="00833C86"/>
    <w:rsid w:val="00834882"/>
    <w:rsid w:val="0083503B"/>
    <w:rsid w:val="00835906"/>
    <w:rsid w:val="00836849"/>
    <w:rsid w:val="0083782D"/>
    <w:rsid w:val="008438D6"/>
    <w:rsid w:val="00843B59"/>
    <w:rsid w:val="00846F58"/>
    <w:rsid w:val="008509D7"/>
    <w:rsid w:val="008534A0"/>
    <w:rsid w:val="0085380D"/>
    <w:rsid w:val="008562E0"/>
    <w:rsid w:val="0085729C"/>
    <w:rsid w:val="008573AF"/>
    <w:rsid w:val="00857CD0"/>
    <w:rsid w:val="00860011"/>
    <w:rsid w:val="00860260"/>
    <w:rsid w:val="00861EBD"/>
    <w:rsid w:val="008624FE"/>
    <w:rsid w:val="00862703"/>
    <w:rsid w:val="00875D8F"/>
    <w:rsid w:val="00880816"/>
    <w:rsid w:val="008809C0"/>
    <w:rsid w:val="00880E48"/>
    <w:rsid w:val="00881F96"/>
    <w:rsid w:val="00882412"/>
    <w:rsid w:val="008867EC"/>
    <w:rsid w:val="008872D7"/>
    <w:rsid w:val="00887B03"/>
    <w:rsid w:val="00890D71"/>
    <w:rsid w:val="0089545E"/>
    <w:rsid w:val="00895F23"/>
    <w:rsid w:val="008A1CC1"/>
    <w:rsid w:val="008A2CA1"/>
    <w:rsid w:val="008A4513"/>
    <w:rsid w:val="008A49FA"/>
    <w:rsid w:val="008A56D8"/>
    <w:rsid w:val="008A624E"/>
    <w:rsid w:val="008A75ED"/>
    <w:rsid w:val="008B69C7"/>
    <w:rsid w:val="008C0F33"/>
    <w:rsid w:val="008C1295"/>
    <w:rsid w:val="008C20EC"/>
    <w:rsid w:val="008C20ED"/>
    <w:rsid w:val="008C25F7"/>
    <w:rsid w:val="008C2B4E"/>
    <w:rsid w:val="008C2CEF"/>
    <w:rsid w:val="008C4159"/>
    <w:rsid w:val="008D091D"/>
    <w:rsid w:val="008D1042"/>
    <w:rsid w:val="008D2C84"/>
    <w:rsid w:val="008D350A"/>
    <w:rsid w:val="008D78E5"/>
    <w:rsid w:val="008D7CA9"/>
    <w:rsid w:val="008E0951"/>
    <w:rsid w:val="008E16E3"/>
    <w:rsid w:val="008E35B6"/>
    <w:rsid w:val="008E39AD"/>
    <w:rsid w:val="008E49CD"/>
    <w:rsid w:val="008E5C92"/>
    <w:rsid w:val="008E5F6C"/>
    <w:rsid w:val="008E764C"/>
    <w:rsid w:val="008F120E"/>
    <w:rsid w:val="008F51EB"/>
    <w:rsid w:val="00900F80"/>
    <w:rsid w:val="00902D65"/>
    <w:rsid w:val="00905C1B"/>
    <w:rsid w:val="00911C65"/>
    <w:rsid w:val="00913021"/>
    <w:rsid w:val="0091593A"/>
    <w:rsid w:val="00916488"/>
    <w:rsid w:val="009202BA"/>
    <w:rsid w:val="00920EEF"/>
    <w:rsid w:val="009238DC"/>
    <w:rsid w:val="0092574E"/>
    <w:rsid w:val="00925A81"/>
    <w:rsid w:val="009272EA"/>
    <w:rsid w:val="00930A9B"/>
    <w:rsid w:val="00930BAD"/>
    <w:rsid w:val="00934BBA"/>
    <w:rsid w:val="00934D3A"/>
    <w:rsid w:val="00937CED"/>
    <w:rsid w:val="00944821"/>
    <w:rsid w:val="00947E38"/>
    <w:rsid w:val="0095091C"/>
    <w:rsid w:val="00950AA0"/>
    <w:rsid w:val="00950B69"/>
    <w:rsid w:val="00951EC6"/>
    <w:rsid w:val="00953B3F"/>
    <w:rsid w:val="00954D47"/>
    <w:rsid w:val="00955565"/>
    <w:rsid w:val="00956111"/>
    <w:rsid w:val="00957300"/>
    <w:rsid w:val="00961051"/>
    <w:rsid w:val="00963AA7"/>
    <w:rsid w:val="0096680F"/>
    <w:rsid w:val="0096744F"/>
    <w:rsid w:val="0097313E"/>
    <w:rsid w:val="00975DCF"/>
    <w:rsid w:val="00975DE5"/>
    <w:rsid w:val="009802D9"/>
    <w:rsid w:val="00980614"/>
    <w:rsid w:val="00982437"/>
    <w:rsid w:val="00982DAA"/>
    <w:rsid w:val="00982DAE"/>
    <w:rsid w:val="009839F3"/>
    <w:rsid w:val="009841FB"/>
    <w:rsid w:val="0098509E"/>
    <w:rsid w:val="009857AA"/>
    <w:rsid w:val="00987041"/>
    <w:rsid w:val="00990C4D"/>
    <w:rsid w:val="00995198"/>
    <w:rsid w:val="00995269"/>
    <w:rsid w:val="009963AA"/>
    <w:rsid w:val="00997C3F"/>
    <w:rsid w:val="00997CEA"/>
    <w:rsid w:val="009A1FA6"/>
    <w:rsid w:val="009A6AD7"/>
    <w:rsid w:val="009A6CC7"/>
    <w:rsid w:val="009A6E28"/>
    <w:rsid w:val="009B2468"/>
    <w:rsid w:val="009B2F2C"/>
    <w:rsid w:val="009B438D"/>
    <w:rsid w:val="009B45DF"/>
    <w:rsid w:val="009C0586"/>
    <w:rsid w:val="009C0C7C"/>
    <w:rsid w:val="009C0E26"/>
    <w:rsid w:val="009C3391"/>
    <w:rsid w:val="009C33AD"/>
    <w:rsid w:val="009C4DB6"/>
    <w:rsid w:val="009C5269"/>
    <w:rsid w:val="009C60DE"/>
    <w:rsid w:val="009C61D9"/>
    <w:rsid w:val="009C7150"/>
    <w:rsid w:val="009D0A2C"/>
    <w:rsid w:val="009D2DAF"/>
    <w:rsid w:val="009D3481"/>
    <w:rsid w:val="009D7168"/>
    <w:rsid w:val="009D76B0"/>
    <w:rsid w:val="009E0261"/>
    <w:rsid w:val="009E3C33"/>
    <w:rsid w:val="009E3CE6"/>
    <w:rsid w:val="009E4841"/>
    <w:rsid w:val="009E59C4"/>
    <w:rsid w:val="009E6B86"/>
    <w:rsid w:val="009F0147"/>
    <w:rsid w:val="009F2D7A"/>
    <w:rsid w:val="009F2F45"/>
    <w:rsid w:val="009F4905"/>
    <w:rsid w:val="009F4DF7"/>
    <w:rsid w:val="009F4FE5"/>
    <w:rsid w:val="00A00271"/>
    <w:rsid w:val="00A00681"/>
    <w:rsid w:val="00A016C1"/>
    <w:rsid w:val="00A0323B"/>
    <w:rsid w:val="00A046EE"/>
    <w:rsid w:val="00A0701B"/>
    <w:rsid w:val="00A07EAA"/>
    <w:rsid w:val="00A12697"/>
    <w:rsid w:val="00A12C92"/>
    <w:rsid w:val="00A12CF6"/>
    <w:rsid w:val="00A147FA"/>
    <w:rsid w:val="00A212BB"/>
    <w:rsid w:val="00A213E0"/>
    <w:rsid w:val="00A21573"/>
    <w:rsid w:val="00A218C5"/>
    <w:rsid w:val="00A21C71"/>
    <w:rsid w:val="00A22450"/>
    <w:rsid w:val="00A2445B"/>
    <w:rsid w:val="00A24966"/>
    <w:rsid w:val="00A2750B"/>
    <w:rsid w:val="00A2786A"/>
    <w:rsid w:val="00A27C2C"/>
    <w:rsid w:val="00A31745"/>
    <w:rsid w:val="00A326BF"/>
    <w:rsid w:val="00A33F5E"/>
    <w:rsid w:val="00A344A6"/>
    <w:rsid w:val="00A36152"/>
    <w:rsid w:val="00A36368"/>
    <w:rsid w:val="00A36397"/>
    <w:rsid w:val="00A4393E"/>
    <w:rsid w:val="00A43EDF"/>
    <w:rsid w:val="00A46D20"/>
    <w:rsid w:val="00A47572"/>
    <w:rsid w:val="00A476CC"/>
    <w:rsid w:val="00A500C5"/>
    <w:rsid w:val="00A50EBE"/>
    <w:rsid w:val="00A52F91"/>
    <w:rsid w:val="00A53AD2"/>
    <w:rsid w:val="00A54154"/>
    <w:rsid w:val="00A5477B"/>
    <w:rsid w:val="00A548E4"/>
    <w:rsid w:val="00A54FD7"/>
    <w:rsid w:val="00A70C35"/>
    <w:rsid w:val="00A72D81"/>
    <w:rsid w:val="00A73130"/>
    <w:rsid w:val="00A734A8"/>
    <w:rsid w:val="00A75E12"/>
    <w:rsid w:val="00A762A3"/>
    <w:rsid w:val="00A76848"/>
    <w:rsid w:val="00A77C94"/>
    <w:rsid w:val="00A82B43"/>
    <w:rsid w:val="00A841B8"/>
    <w:rsid w:val="00A84391"/>
    <w:rsid w:val="00A8504D"/>
    <w:rsid w:val="00A85457"/>
    <w:rsid w:val="00A90531"/>
    <w:rsid w:val="00A9353F"/>
    <w:rsid w:val="00AA4346"/>
    <w:rsid w:val="00AA64DD"/>
    <w:rsid w:val="00AB3CC8"/>
    <w:rsid w:val="00AB40F4"/>
    <w:rsid w:val="00AB42B3"/>
    <w:rsid w:val="00AB5A43"/>
    <w:rsid w:val="00AB6DBB"/>
    <w:rsid w:val="00AB7895"/>
    <w:rsid w:val="00AC0EB7"/>
    <w:rsid w:val="00AC4EEE"/>
    <w:rsid w:val="00AC53DA"/>
    <w:rsid w:val="00AC59F9"/>
    <w:rsid w:val="00AD38C1"/>
    <w:rsid w:val="00AD7AFC"/>
    <w:rsid w:val="00AE1F2E"/>
    <w:rsid w:val="00AE2331"/>
    <w:rsid w:val="00AE4BF0"/>
    <w:rsid w:val="00AE5142"/>
    <w:rsid w:val="00AF1090"/>
    <w:rsid w:val="00AF1A68"/>
    <w:rsid w:val="00AF23D5"/>
    <w:rsid w:val="00AF2EE9"/>
    <w:rsid w:val="00AF33D4"/>
    <w:rsid w:val="00AF42C9"/>
    <w:rsid w:val="00AF66E4"/>
    <w:rsid w:val="00B0030C"/>
    <w:rsid w:val="00B00BA3"/>
    <w:rsid w:val="00B02AAA"/>
    <w:rsid w:val="00B02E3F"/>
    <w:rsid w:val="00B03885"/>
    <w:rsid w:val="00B045FB"/>
    <w:rsid w:val="00B10579"/>
    <w:rsid w:val="00B1057A"/>
    <w:rsid w:val="00B122B0"/>
    <w:rsid w:val="00B1286D"/>
    <w:rsid w:val="00B129BD"/>
    <w:rsid w:val="00B145D2"/>
    <w:rsid w:val="00B14E53"/>
    <w:rsid w:val="00B2026E"/>
    <w:rsid w:val="00B208CB"/>
    <w:rsid w:val="00B20A89"/>
    <w:rsid w:val="00B20E5D"/>
    <w:rsid w:val="00B20E9D"/>
    <w:rsid w:val="00B21464"/>
    <w:rsid w:val="00B21FD1"/>
    <w:rsid w:val="00B22F7B"/>
    <w:rsid w:val="00B27F82"/>
    <w:rsid w:val="00B30C85"/>
    <w:rsid w:val="00B30EEA"/>
    <w:rsid w:val="00B32A34"/>
    <w:rsid w:val="00B378F2"/>
    <w:rsid w:val="00B37CCC"/>
    <w:rsid w:val="00B42312"/>
    <w:rsid w:val="00B43900"/>
    <w:rsid w:val="00B43C6B"/>
    <w:rsid w:val="00B44F03"/>
    <w:rsid w:val="00B46407"/>
    <w:rsid w:val="00B46621"/>
    <w:rsid w:val="00B47767"/>
    <w:rsid w:val="00B51001"/>
    <w:rsid w:val="00B51339"/>
    <w:rsid w:val="00B55CC7"/>
    <w:rsid w:val="00B56B58"/>
    <w:rsid w:val="00B604C4"/>
    <w:rsid w:val="00B6188C"/>
    <w:rsid w:val="00B62AB6"/>
    <w:rsid w:val="00B62CEA"/>
    <w:rsid w:val="00B6459F"/>
    <w:rsid w:val="00B65117"/>
    <w:rsid w:val="00B66255"/>
    <w:rsid w:val="00B67EB4"/>
    <w:rsid w:val="00B7057B"/>
    <w:rsid w:val="00B736F5"/>
    <w:rsid w:val="00B73C3C"/>
    <w:rsid w:val="00B7416F"/>
    <w:rsid w:val="00B744E9"/>
    <w:rsid w:val="00B7529F"/>
    <w:rsid w:val="00B755ED"/>
    <w:rsid w:val="00B75759"/>
    <w:rsid w:val="00B75916"/>
    <w:rsid w:val="00B75A8F"/>
    <w:rsid w:val="00B76485"/>
    <w:rsid w:val="00B80100"/>
    <w:rsid w:val="00B809DF"/>
    <w:rsid w:val="00B80FBF"/>
    <w:rsid w:val="00B81CCF"/>
    <w:rsid w:val="00B820F8"/>
    <w:rsid w:val="00B83946"/>
    <w:rsid w:val="00B8398E"/>
    <w:rsid w:val="00B83F6A"/>
    <w:rsid w:val="00B84147"/>
    <w:rsid w:val="00B85175"/>
    <w:rsid w:val="00B877E3"/>
    <w:rsid w:val="00B9156C"/>
    <w:rsid w:val="00B91B60"/>
    <w:rsid w:val="00B939F8"/>
    <w:rsid w:val="00B97AEF"/>
    <w:rsid w:val="00BA13A7"/>
    <w:rsid w:val="00BA2647"/>
    <w:rsid w:val="00BA282F"/>
    <w:rsid w:val="00BA2BD6"/>
    <w:rsid w:val="00BA3DDD"/>
    <w:rsid w:val="00BA6193"/>
    <w:rsid w:val="00BA6974"/>
    <w:rsid w:val="00BA6EB7"/>
    <w:rsid w:val="00BA74B6"/>
    <w:rsid w:val="00BB0385"/>
    <w:rsid w:val="00BB068F"/>
    <w:rsid w:val="00BB18A0"/>
    <w:rsid w:val="00BB2CFE"/>
    <w:rsid w:val="00BB2EDC"/>
    <w:rsid w:val="00BB411D"/>
    <w:rsid w:val="00BB5EFE"/>
    <w:rsid w:val="00BB6649"/>
    <w:rsid w:val="00BB733D"/>
    <w:rsid w:val="00BB73D8"/>
    <w:rsid w:val="00BC038A"/>
    <w:rsid w:val="00BC1CE6"/>
    <w:rsid w:val="00BC2667"/>
    <w:rsid w:val="00BC282F"/>
    <w:rsid w:val="00BC2840"/>
    <w:rsid w:val="00BC4A4C"/>
    <w:rsid w:val="00BD48C2"/>
    <w:rsid w:val="00BD6877"/>
    <w:rsid w:val="00BD7B62"/>
    <w:rsid w:val="00BE044F"/>
    <w:rsid w:val="00BE0E62"/>
    <w:rsid w:val="00BE2386"/>
    <w:rsid w:val="00BE2BD1"/>
    <w:rsid w:val="00BE3F49"/>
    <w:rsid w:val="00BE57BF"/>
    <w:rsid w:val="00BE5C12"/>
    <w:rsid w:val="00BF11EB"/>
    <w:rsid w:val="00BF1271"/>
    <w:rsid w:val="00BF16F1"/>
    <w:rsid w:val="00BF301E"/>
    <w:rsid w:val="00BF5175"/>
    <w:rsid w:val="00BF685C"/>
    <w:rsid w:val="00C001D5"/>
    <w:rsid w:val="00C024AD"/>
    <w:rsid w:val="00C0284D"/>
    <w:rsid w:val="00C03807"/>
    <w:rsid w:val="00C05133"/>
    <w:rsid w:val="00C051EA"/>
    <w:rsid w:val="00C06107"/>
    <w:rsid w:val="00C1193D"/>
    <w:rsid w:val="00C11D3E"/>
    <w:rsid w:val="00C125DE"/>
    <w:rsid w:val="00C15BEC"/>
    <w:rsid w:val="00C1690E"/>
    <w:rsid w:val="00C17CB1"/>
    <w:rsid w:val="00C201FA"/>
    <w:rsid w:val="00C21F05"/>
    <w:rsid w:val="00C23FE6"/>
    <w:rsid w:val="00C2478F"/>
    <w:rsid w:val="00C25EC1"/>
    <w:rsid w:val="00C27448"/>
    <w:rsid w:val="00C31778"/>
    <w:rsid w:val="00C31CFF"/>
    <w:rsid w:val="00C337AE"/>
    <w:rsid w:val="00C35452"/>
    <w:rsid w:val="00C35BEC"/>
    <w:rsid w:val="00C36EF0"/>
    <w:rsid w:val="00C3730E"/>
    <w:rsid w:val="00C40849"/>
    <w:rsid w:val="00C40942"/>
    <w:rsid w:val="00C439FA"/>
    <w:rsid w:val="00C46FF0"/>
    <w:rsid w:val="00C4796D"/>
    <w:rsid w:val="00C508C1"/>
    <w:rsid w:val="00C522C0"/>
    <w:rsid w:val="00C551D6"/>
    <w:rsid w:val="00C60DD9"/>
    <w:rsid w:val="00C6135D"/>
    <w:rsid w:val="00C6173E"/>
    <w:rsid w:val="00C61838"/>
    <w:rsid w:val="00C6310B"/>
    <w:rsid w:val="00C64F6E"/>
    <w:rsid w:val="00C65BCB"/>
    <w:rsid w:val="00C65F29"/>
    <w:rsid w:val="00C67CBE"/>
    <w:rsid w:val="00C70175"/>
    <w:rsid w:val="00C70AC2"/>
    <w:rsid w:val="00C70EF5"/>
    <w:rsid w:val="00C71323"/>
    <w:rsid w:val="00C7270D"/>
    <w:rsid w:val="00C728EF"/>
    <w:rsid w:val="00C73157"/>
    <w:rsid w:val="00C75AAF"/>
    <w:rsid w:val="00C76C0B"/>
    <w:rsid w:val="00C76DC8"/>
    <w:rsid w:val="00C809F7"/>
    <w:rsid w:val="00C81606"/>
    <w:rsid w:val="00C83665"/>
    <w:rsid w:val="00C84483"/>
    <w:rsid w:val="00C84F36"/>
    <w:rsid w:val="00C85944"/>
    <w:rsid w:val="00C85965"/>
    <w:rsid w:val="00C86E04"/>
    <w:rsid w:val="00C90410"/>
    <w:rsid w:val="00C90D58"/>
    <w:rsid w:val="00C91C19"/>
    <w:rsid w:val="00C932FF"/>
    <w:rsid w:val="00C9330E"/>
    <w:rsid w:val="00C93607"/>
    <w:rsid w:val="00C93AFF"/>
    <w:rsid w:val="00C94C17"/>
    <w:rsid w:val="00C95348"/>
    <w:rsid w:val="00C95640"/>
    <w:rsid w:val="00C96E92"/>
    <w:rsid w:val="00CA15D4"/>
    <w:rsid w:val="00CA243A"/>
    <w:rsid w:val="00CA24A5"/>
    <w:rsid w:val="00CA3FA0"/>
    <w:rsid w:val="00CA63BD"/>
    <w:rsid w:val="00CA789A"/>
    <w:rsid w:val="00CA79AF"/>
    <w:rsid w:val="00CB0739"/>
    <w:rsid w:val="00CB0FB8"/>
    <w:rsid w:val="00CB19B4"/>
    <w:rsid w:val="00CB1DA8"/>
    <w:rsid w:val="00CB3577"/>
    <w:rsid w:val="00CB4013"/>
    <w:rsid w:val="00CB635A"/>
    <w:rsid w:val="00CC0828"/>
    <w:rsid w:val="00CC5A37"/>
    <w:rsid w:val="00CC64F1"/>
    <w:rsid w:val="00CC65A8"/>
    <w:rsid w:val="00CC6AE6"/>
    <w:rsid w:val="00CC6E94"/>
    <w:rsid w:val="00CC7F6D"/>
    <w:rsid w:val="00CD148F"/>
    <w:rsid w:val="00CD177E"/>
    <w:rsid w:val="00CD19BB"/>
    <w:rsid w:val="00CD2E31"/>
    <w:rsid w:val="00CD3E93"/>
    <w:rsid w:val="00CD4697"/>
    <w:rsid w:val="00CD57B9"/>
    <w:rsid w:val="00CD5EA2"/>
    <w:rsid w:val="00CE1740"/>
    <w:rsid w:val="00CE1D64"/>
    <w:rsid w:val="00CE1E27"/>
    <w:rsid w:val="00CE510F"/>
    <w:rsid w:val="00CF2A04"/>
    <w:rsid w:val="00CF2DFE"/>
    <w:rsid w:val="00CF6691"/>
    <w:rsid w:val="00CF672F"/>
    <w:rsid w:val="00CF7DC3"/>
    <w:rsid w:val="00D00130"/>
    <w:rsid w:val="00D01F85"/>
    <w:rsid w:val="00D03CF0"/>
    <w:rsid w:val="00D070DD"/>
    <w:rsid w:val="00D07811"/>
    <w:rsid w:val="00D10D0B"/>
    <w:rsid w:val="00D10FF0"/>
    <w:rsid w:val="00D11851"/>
    <w:rsid w:val="00D15F09"/>
    <w:rsid w:val="00D178B9"/>
    <w:rsid w:val="00D25E5A"/>
    <w:rsid w:val="00D30079"/>
    <w:rsid w:val="00D33471"/>
    <w:rsid w:val="00D33C6D"/>
    <w:rsid w:val="00D347E1"/>
    <w:rsid w:val="00D3561F"/>
    <w:rsid w:val="00D36880"/>
    <w:rsid w:val="00D40B65"/>
    <w:rsid w:val="00D4342D"/>
    <w:rsid w:val="00D4741F"/>
    <w:rsid w:val="00D52DA9"/>
    <w:rsid w:val="00D52DCE"/>
    <w:rsid w:val="00D53638"/>
    <w:rsid w:val="00D54876"/>
    <w:rsid w:val="00D54F6A"/>
    <w:rsid w:val="00D555B3"/>
    <w:rsid w:val="00D5656C"/>
    <w:rsid w:val="00D57427"/>
    <w:rsid w:val="00D5769E"/>
    <w:rsid w:val="00D57F52"/>
    <w:rsid w:val="00D602DD"/>
    <w:rsid w:val="00D645DA"/>
    <w:rsid w:val="00D6512F"/>
    <w:rsid w:val="00D65626"/>
    <w:rsid w:val="00D66AE0"/>
    <w:rsid w:val="00D67B09"/>
    <w:rsid w:val="00D734E1"/>
    <w:rsid w:val="00D73908"/>
    <w:rsid w:val="00D73D44"/>
    <w:rsid w:val="00D747D0"/>
    <w:rsid w:val="00D75DB3"/>
    <w:rsid w:val="00D80268"/>
    <w:rsid w:val="00D80B98"/>
    <w:rsid w:val="00D821DD"/>
    <w:rsid w:val="00D83897"/>
    <w:rsid w:val="00D84E60"/>
    <w:rsid w:val="00D858FC"/>
    <w:rsid w:val="00D86B45"/>
    <w:rsid w:val="00D86F16"/>
    <w:rsid w:val="00D87A46"/>
    <w:rsid w:val="00D91438"/>
    <w:rsid w:val="00D924DB"/>
    <w:rsid w:val="00D9394E"/>
    <w:rsid w:val="00D93D9F"/>
    <w:rsid w:val="00D94005"/>
    <w:rsid w:val="00D9493A"/>
    <w:rsid w:val="00D96670"/>
    <w:rsid w:val="00D97909"/>
    <w:rsid w:val="00DA3925"/>
    <w:rsid w:val="00DA5A04"/>
    <w:rsid w:val="00DA73C5"/>
    <w:rsid w:val="00DA7701"/>
    <w:rsid w:val="00DA7925"/>
    <w:rsid w:val="00DA79E0"/>
    <w:rsid w:val="00DB083B"/>
    <w:rsid w:val="00DB0BA4"/>
    <w:rsid w:val="00DB282D"/>
    <w:rsid w:val="00DB2CEE"/>
    <w:rsid w:val="00DB30EA"/>
    <w:rsid w:val="00DB36C0"/>
    <w:rsid w:val="00DB3F3C"/>
    <w:rsid w:val="00DB41A8"/>
    <w:rsid w:val="00DB4F42"/>
    <w:rsid w:val="00DB6774"/>
    <w:rsid w:val="00DB755B"/>
    <w:rsid w:val="00DC14CF"/>
    <w:rsid w:val="00DC299E"/>
    <w:rsid w:val="00DC2AB3"/>
    <w:rsid w:val="00DC2F69"/>
    <w:rsid w:val="00DC4A9C"/>
    <w:rsid w:val="00DC5FFB"/>
    <w:rsid w:val="00DC646E"/>
    <w:rsid w:val="00DC6A43"/>
    <w:rsid w:val="00DC72CD"/>
    <w:rsid w:val="00DC7778"/>
    <w:rsid w:val="00DC7989"/>
    <w:rsid w:val="00DD076F"/>
    <w:rsid w:val="00DD28F7"/>
    <w:rsid w:val="00DD2D22"/>
    <w:rsid w:val="00DD351A"/>
    <w:rsid w:val="00DD4275"/>
    <w:rsid w:val="00DD4691"/>
    <w:rsid w:val="00DD4A67"/>
    <w:rsid w:val="00DD6D6E"/>
    <w:rsid w:val="00DD6EC8"/>
    <w:rsid w:val="00DD7324"/>
    <w:rsid w:val="00DD7381"/>
    <w:rsid w:val="00DD7A06"/>
    <w:rsid w:val="00DE02A2"/>
    <w:rsid w:val="00DE05E3"/>
    <w:rsid w:val="00DE3B8E"/>
    <w:rsid w:val="00DE7180"/>
    <w:rsid w:val="00DE7D9E"/>
    <w:rsid w:val="00DF1F04"/>
    <w:rsid w:val="00DF27B2"/>
    <w:rsid w:val="00DF56ED"/>
    <w:rsid w:val="00DF6F5C"/>
    <w:rsid w:val="00E01E2D"/>
    <w:rsid w:val="00E03127"/>
    <w:rsid w:val="00E0378D"/>
    <w:rsid w:val="00E03B91"/>
    <w:rsid w:val="00E03CB6"/>
    <w:rsid w:val="00E057B5"/>
    <w:rsid w:val="00E06B73"/>
    <w:rsid w:val="00E11249"/>
    <w:rsid w:val="00E12977"/>
    <w:rsid w:val="00E137FE"/>
    <w:rsid w:val="00E14BCD"/>
    <w:rsid w:val="00E15BD1"/>
    <w:rsid w:val="00E16611"/>
    <w:rsid w:val="00E1716A"/>
    <w:rsid w:val="00E17544"/>
    <w:rsid w:val="00E179D5"/>
    <w:rsid w:val="00E21B53"/>
    <w:rsid w:val="00E2266C"/>
    <w:rsid w:val="00E25E23"/>
    <w:rsid w:val="00E26C31"/>
    <w:rsid w:val="00E27E41"/>
    <w:rsid w:val="00E30FD5"/>
    <w:rsid w:val="00E31AF3"/>
    <w:rsid w:val="00E32976"/>
    <w:rsid w:val="00E35476"/>
    <w:rsid w:val="00E372D8"/>
    <w:rsid w:val="00E40952"/>
    <w:rsid w:val="00E41E6D"/>
    <w:rsid w:val="00E41E79"/>
    <w:rsid w:val="00E42633"/>
    <w:rsid w:val="00E473CA"/>
    <w:rsid w:val="00E47784"/>
    <w:rsid w:val="00E479EC"/>
    <w:rsid w:val="00E53B93"/>
    <w:rsid w:val="00E53CE7"/>
    <w:rsid w:val="00E5435D"/>
    <w:rsid w:val="00E55168"/>
    <w:rsid w:val="00E55499"/>
    <w:rsid w:val="00E56F01"/>
    <w:rsid w:val="00E60ECE"/>
    <w:rsid w:val="00E63BC0"/>
    <w:rsid w:val="00E65E38"/>
    <w:rsid w:val="00E66412"/>
    <w:rsid w:val="00E66532"/>
    <w:rsid w:val="00E66B43"/>
    <w:rsid w:val="00E70C95"/>
    <w:rsid w:val="00E71D2F"/>
    <w:rsid w:val="00E724F0"/>
    <w:rsid w:val="00E72AFE"/>
    <w:rsid w:val="00E777A0"/>
    <w:rsid w:val="00E81BD7"/>
    <w:rsid w:val="00E842E7"/>
    <w:rsid w:val="00E84A4C"/>
    <w:rsid w:val="00E90E87"/>
    <w:rsid w:val="00E91FCF"/>
    <w:rsid w:val="00E92930"/>
    <w:rsid w:val="00E95796"/>
    <w:rsid w:val="00EA0222"/>
    <w:rsid w:val="00EA4883"/>
    <w:rsid w:val="00EA5589"/>
    <w:rsid w:val="00EA7716"/>
    <w:rsid w:val="00EB1650"/>
    <w:rsid w:val="00EB3B30"/>
    <w:rsid w:val="00EB5BB2"/>
    <w:rsid w:val="00EB6E8D"/>
    <w:rsid w:val="00EC1D34"/>
    <w:rsid w:val="00EC2F77"/>
    <w:rsid w:val="00EC5540"/>
    <w:rsid w:val="00EC57AF"/>
    <w:rsid w:val="00EC5899"/>
    <w:rsid w:val="00EC714A"/>
    <w:rsid w:val="00ED13DE"/>
    <w:rsid w:val="00ED1647"/>
    <w:rsid w:val="00ED1955"/>
    <w:rsid w:val="00ED38C5"/>
    <w:rsid w:val="00ED3AE5"/>
    <w:rsid w:val="00ED5D29"/>
    <w:rsid w:val="00EE11C7"/>
    <w:rsid w:val="00EE4B85"/>
    <w:rsid w:val="00EE4E4F"/>
    <w:rsid w:val="00EE79E4"/>
    <w:rsid w:val="00EE7F3B"/>
    <w:rsid w:val="00EF06DB"/>
    <w:rsid w:val="00EF19D3"/>
    <w:rsid w:val="00EF1A5C"/>
    <w:rsid w:val="00EF2948"/>
    <w:rsid w:val="00EF2C76"/>
    <w:rsid w:val="00EF35F1"/>
    <w:rsid w:val="00EF5943"/>
    <w:rsid w:val="00F00375"/>
    <w:rsid w:val="00F01240"/>
    <w:rsid w:val="00F035B3"/>
    <w:rsid w:val="00F03A81"/>
    <w:rsid w:val="00F04F95"/>
    <w:rsid w:val="00F0556D"/>
    <w:rsid w:val="00F05EE7"/>
    <w:rsid w:val="00F05FDE"/>
    <w:rsid w:val="00F067EE"/>
    <w:rsid w:val="00F1118B"/>
    <w:rsid w:val="00F11C6C"/>
    <w:rsid w:val="00F14E87"/>
    <w:rsid w:val="00F1501D"/>
    <w:rsid w:val="00F154FC"/>
    <w:rsid w:val="00F159ED"/>
    <w:rsid w:val="00F17968"/>
    <w:rsid w:val="00F17A92"/>
    <w:rsid w:val="00F21838"/>
    <w:rsid w:val="00F223FF"/>
    <w:rsid w:val="00F22961"/>
    <w:rsid w:val="00F261C1"/>
    <w:rsid w:val="00F26419"/>
    <w:rsid w:val="00F26B93"/>
    <w:rsid w:val="00F276B7"/>
    <w:rsid w:val="00F35EC7"/>
    <w:rsid w:val="00F36937"/>
    <w:rsid w:val="00F402CE"/>
    <w:rsid w:val="00F434A0"/>
    <w:rsid w:val="00F45E89"/>
    <w:rsid w:val="00F45F5D"/>
    <w:rsid w:val="00F47FE6"/>
    <w:rsid w:val="00F5214C"/>
    <w:rsid w:val="00F552EA"/>
    <w:rsid w:val="00F55596"/>
    <w:rsid w:val="00F734E1"/>
    <w:rsid w:val="00F7445D"/>
    <w:rsid w:val="00F7624C"/>
    <w:rsid w:val="00F768A1"/>
    <w:rsid w:val="00F772B5"/>
    <w:rsid w:val="00F77CE9"/>
    <w:rsid w:val="00F82408"/>
    <w:rsid w:val="00F82449"/>
    <w:rsid w:val="00F839F3"/>
    <w:rsid w:val="00F87807"/>
    <w:rsid w:val="00F90B7A"/>
    <w:rsid w:val="00F9219A"/>
    <w:rsid w:val="00F9338B"/>
    <w:rsid w:val="00F94487"/>
    <w:rsid w:val="00F94B48"/>
    <w:rsid w:val="00F96519"/>
    <w:rsid w:val="00F96B4A"/>
    <w:rsid w:val="00F971C6"/>
    <w:rsid w:val="00FA0458"/>
    <w:rsid w:val="00FA1610"/>
    <w:rsid w:val="00FA3D08"/>
    <w:rsid w:val="00FA5421"/>
    <w:rsid w:val="00FA6F10"/>
    <w:rsid w:val="00FA741E"/>
    <w:rsid w:val="00FA748C"/>
    <w:rsid w:val="00FA7BFF"/>
    <w:rsid w:val="00FB09DF"/>
    <w:rsid w:val="00FB1218"/>
    <w:rsid w:val="00FB2509"/>
    <w:rsid w:val="00FB3AC9"/>
    <w:rsid w:val="00FB51AD"/>
    <w:rsid w:val="00FB53E6"/>
    <w:rsid w:val="00FB5E48"/>
    <w:rsid w:val="00FB723C"/>
    <w:rsid w:val="00FB7261"/>
    <w:rsid w:val="00FC0E13"/>
    <w:rsid w:val="00FC5597"/>
    <w:rsid w:val="00FD083E"/>
    <w:rsid w:val="00FD14C2"/>
    <w:rsid w:val="00FD1D01"/>
    <w:rsid w:val="00FD4516"/>
    <w:rsid w:val="00FD5180"/>
    <w:rsid w:val="00FD58EA"/>
    <w:rsid w:val="00FD5D14"/>
    <w:rsid w:val="00FD5F91"/>
    <w:rsid w:val="00FD7B68"/>
    <w:rsid w:val="00FE125B"/>
    <w:rsid w:val="00FE197F"/>
    <w:rsid w:val="00FE22F3"/>
    <w:rsid w:val="00FE2CD4"/>
    <w:rsid w:val="00FE326A"/>
    <w:rsid w:val="00FE3935"/>
    <w:rsid w:val="00FE3BCC"/>
    <w:rsid w:val="00FE427C"/>
    <w:rsid w:val="00FE71F6"/>
    <w:rsid w:val="00FE73FC"/>
    <w:rsid w:val="00FE7622"/>
    <w:rsid w:val="00FF08CA"/>
    <w:rsid w:val="00FF14CF"/>
    <w:rsid w:val="00FF36F5"/>
    <w:rsid w:val="00FF4E54"/>
    <w:rsid w:val="00FF509E"/>
    <w:rsid w:val="00FF5428"/>
    <w:rsid w:val="00FF71F5"/>
    <w:rsid w:val="00FF7943"/>
    <w:rsid w:val="00FF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048AA"/>
  <w15:docId w15:val="{DC4ADFE8-CF9E-44F1-BA99-3109BAAB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631"/>
    <w:rPr>
      <w:rFonts w:ascii="Verdana" w:eastAsia="Times New Roman" w:hAnsi="Verdana"/>
      <w:sz w:val="22"/>
      <w:szCs w:val="24"/>
    </w:rPr>
  </w:style>
  <w:style w:type="paragraph" w:styleId="Heading8">
    <w:name w:val="heading 8"/>
    <w:basedOn w:val="Normal"/>
    <w:next w:val="Normal"/>
    <w:link w:val="Heading8Char"/>
    <w:qFormat/>
    <w:rsid w:val="004951CB"/>
    <w:pPr>
      <w:keepNext/>
      <w:jc w:val="both"/>
      <w:outlineLvl w:val="7"/>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CF4"/>
    <w:pPr>
      <w:tabs>
        <w:tab w:val="center" w:pos="4680"/>
        <w:tab w:val="right" w:pos="9360"/>
      </w:tabs>
    </w:pPr>
    <w:rPr>
      <w:rFonts w:ascii="Calibri" w:eastAsia="Calibri" w:hAnsi="Calibri"/>
      <w:szCs w:val="22"/>
    </w:rPr>
  </w:style>
  <w:style w:type="character" w:customStyle="1" w:styleId="HeaderChar">
    <w:name w:val="Header Char"/>
    <w:basedOn w:val="DefaultParagraphFont"/>
    <w:link w:val="Header"/>
    <w:uiPriority w:val="99"/>
    <w:rsid w:val="00451CF4"/>
  </w:style>
  <w:style w:type="paragraph" w:styleId="Footer">
    <w:name w:val="footer"/>
    <w:basedOn w:val="Normal"/>
    <w:link w:val="FooterChar"/>
    <w:uiPriority w:val="99"/>
    <w:unhideWhenUsed/>
    <w:rsid w:val="00451CF4"/>
    <w:pPr>
      <w:tabs>
        <w:tab w:val="center" w:pos="4680"/>
        <w:tab w:val="right" w:pos="9360"/>
      </w:tabs>
    </w:pPr>
    <w:rPr>
      <w:rFonts w:ascii="Calibri" w:eastAsia="Calibri" w:hAnsi="Calibri"/>
      <w:szCs w:val="22"/>
    </w:rPr>
  </w:style>
  <w:style w:type="character" w:customStyle="1" w:styleId="FooterChar">
    <w:name w:val="Footer Char"/>
    <w:basedOn w:val="DefaultParagraphFont"/>
    <w:link w:val="Footer"/>
    <w:uiPriority w:val="99"/>
    <w:rsid w:val="00451CF4"/>
  </w:style>
  <w:style w:type="paragraph" w:styleId="BalloonText">
    <w:name w:val="Balloon Text"/>
    <w:basedOn w:val="Normal"/>
    <w:link w:val="BalloonTextChar"/>
    <w:unhideWhenUsed/>
    <w:rsid w:val="00451CF4"/>
    <w:rPr>
      <w:rFonts w:ascii="Tahoma" w:eastAsia="Calibri" w:hAnsi="Tahoma" w:cs="Tahoma"/>
      <w:sz w:val="16"/>
      <w:szCs w:val="16"/>
    </w:rPr>
  </w:style>
  <w:style w:type="character" w:customStyle="1" w:styleId="BalloonTextChar">
    <w:name w:val="Balloon Text Char"/>
    <w:basedOn w:val="DefaultParagraphFont"/>
    <w:link w:val="BalloonText"/>
    <w:rsid w:val="00451CF4"/>
    <w:rPr>
      <w:rFonts w:ascii="Tahoma" w:hAnsi="Tahoma" w:cs="Tahoma"/>
      <w:sz w:val="16"/>
      <w:szCs w:val="16"/>
    </w:rPr>
  </w:style>
  <w:style w:type="character" w:styleId="Hyperlink">
    <w:name w:val="Hyperlink"/>
    <w:rsid w:val="00997CEA"/>
    <w:rPr>
      <w:color w:val="0000FF"/>
      <w:u w:val="single"/>
    </w:rPr>
  </w:style>
  <w:style w:type="paragraph" w:customStyle="1" w:styleId="MICONHEADER1">
    <w:name w:val="MICON HEADER1"/>
    <w:basedOn w:val="Normal"/>
    <w:rsid w:val="00997CEA"/>
    <w:pPr>
      <w:tabs>
        <w:tab w:val="left" w:pos="720"/>
      </w:tabs>
      <w:ind w:left="1080"/>
      <w:jc w:val="both"/>
    </w:pPr>
    <w:rPr>
      <w:rFonts w:ascii="Times New Roman" w:eastAsia="Calibri" w:hAnsi="Times New Roman"/>
      <w:b/>
      <w:caps/>
      <w:sz w:val="24"/>
    </w:rPr>
  </w:style>
  <w:style w:type="paragraph" w:styleId="ListParagraph">
    <w:name w:val="List Paragraph"/>
    <w:basedOn w:val="Normal"/>
    <w:qFormat/>
    <w:rsid w:val="00997CEA"/>
    <w:pPr>
      <w:ind w:left="720"/>
      <w:contextualSpacing/>
    </w:pPr>
    <w:rPr>
      <w:rFonts w:ascii="Times New Roman" w:hAnsi="Times New Roman"/>
      <w:sz w:val="24"/>
    </w:rPr>
  </w:style>
  <w:style w:type="paragraph" w:styleId="PlainText">
    <w:name w:val="Plain Text"/>
    <w:basedOn w:val="Normal"/>
    <w:link w:val="PlainTextChar"/>
    <w:uiPriority w:val="99"/>
    <w:unhideWhenUsed/>
    <w:rsid w:val="00431AE5"/>
    <w:rPr>
      <w:rFonts w:ascii="Consolas" w:eastAsia="Calibri" w:hAnsi="Consolas" w:cs="Consolas"/>
      <w:sz w:val="21"/>
      <w:szCs w:val="21"/>
      <w:lang w:val="en-CA"/>
    </w:rPr>
  </w:style>
  <w:style w:type="character" w:customStyle="1" w:styleId="PlainTextChar">
    <w:name w:val="Plain Text Char"/>
    <w:basedOn w:val="DefaultParagraphFont"/>
    <w:link w:val="PlainText"/>
    <w:uiPriority w:val="99"/>
    <w:rsid w:val="00431AE5"/>
    <w:rPr>
      <w:rFonts w:ascii="Consolas" w:hAnsi="Consolas" w:cs="Consolas"/>
      <w:sz w:val="21"/>
      <w:szCs w:val="21"/>
      <w:lang w:val="en-CA"/>
    </w:rPr>
  </w:style>
  <w:style w:type="paragraph" w:customStyle="1" w:styleId="Default">
    <w:name w:val="Default"/>
    <w:rsid w:val="00B62AB6"/>
    <w:pPr>
      <w:widowControl w:val="0"/>
      <w:autoSpaceDE w:val="0"/>
      <w:autoSpaceDN w:val="0"/>
      <w:adjustRightInd w:val="0"/>
      <w:jc w:val="both"/>
    </w:pPr>
    <w:rPr>
      <w:rFonts w:ascii="Arial" w:eastAsia="Times New Roman" w:hAnsi="Arial" w:cs="Arial"/>
      <w:color w:val="000000"/>
      <w:sz w:val="24"/>
      <w:szCs w:val="24"/>
    </w:rPr>
  </w:style>
  <w:style w:type="paragraph" w:customStyle="1" w:styleId="tabletext">
    <w:name w:val="table text"/>
    <w:aliases w:val="tt,Table Text,table tex"/>
    <w:basedOn w:val="Normal"/>
    <w:link w:val="TableTextChar"/>
    <w:qFormat/>
    <w:rsid w:val="00B62AB6"/>
    <w:pPr>
      <w:keepNext/>
      <w:jc w:val="both"/>
    </w:pPr>
    <w:rPr>
      <w:rFonts w:ascii="Times New Roman" w:hAnsi="Times New Roman"/>
      <w:sz w:val="20"/>
      <w:lang w:val="en-CA"/>
    </w:rPr>
  </w:style>
  <w:style w:type="paragraph" w:customStyle="1" w:styleId="SecurityL1">
    <w:name w:val="Security_L1"/>
    <w:basedOn w:val="Normal"/>
    <w:next w:val="Normal"/>
    <w:rsid w:val="00B62AB6"/>
    <w:pPr>
      <w:keepNext/>
      <w:numPr>
        <w:numId w:val="7"/>
      </w:numPr>
      <w:spacing w:after="240"/>
      <w:jc w:val="center"/>
      <w:outlineLvl w:val="0"/>
    </w:pPr>
    <w:rPr>
      <w:rFonts w:ascii="Times New Roman" w:hAnsi="Times New Roman"/>
      <w:b/>
      <w:caps/>
      <w:szCs w:val="20"/>
      <w:lang w:val="en-CA"/>
    </w:rPr>
  </w:style>
  <w:style w:type="paragraph" w:customStyle="1" w:styleId="SecurityL2">
    <w:name w:val="Security_L2"/>
    <w:basedOn w:val="SecurityL1"/>
    <w:next w:val="Normal"/>
    <w:rsid w:val="00B62AB6"/>
    <w:pPr>
      <w:numPr>
        <w:ilvl w:val="1"/>
      </w:numPr>
      <w:tabs>
        <w:tab w:val="left" w:pos="1440"/>
      </w:tabs>
      <w:jc w:val="both"/>
      <w:outlineLvl w:val="1"/>
    </w:pPr>
    <w:rPr>
      <w:caps w:val="0"/>
    </w:rPr>
  </w:style>
  <w:style w:type="paragraph" w:customStyle="1" w:styleId="SecurityL3">
    <w:name w:val="Security_L3"/>
    <w:basedOn w:val="SecurityL2"/>
    <w:next w:val="Normal"/>
    <w:rsid w:val="00B62AB6"/>
    <w:pPr>
      <w:numPr>
        <w:ilvl w:val="2"/>
      </w:numPr>
      <w:outlineLvl w:val="2"/>
    </w:pPr>
    <w:rPr>
      <w:i/>
    </w:rPr>
  </w:style>
  <w:style w:type="paragraph" w:customStyle="1" w:styleId="SecurityL4">
    <w:name w:val="Security_L4"/>
    <w:basedOn w:val="SecurityL3"/>
    <w:next w:val="Normal"/>
    <w:rsid w:val="00B62AB6"/>
    <w:pPr>
      <w:numPr>
        <w:ilvl w:val="3"/>
      </w:numPr>
      <w:outlineLvl w:val="3"/>
    </w:pPr>
    <w:rPr>
      <w:b w:val="0"/>
    </w:rPr>
  </w:style>
  <w:style w:type="paragraph" w:customStyle="1" w:styleId="SecurityL5">
    <w:name w:val="Security_L5"/>
    <w:basedOn w:val="SecurityL4"/>
    <w:rsid w:val="00B62AB6"/>
    <w:pPr>
      <w:keepNext w:val="0"/>
      <w:numPr>
        <w:ilvl w:val="4"/>
      </w:numPr>
      <w:outlineLvl w:val="4"/>
    </w:pPr>
    <w:rPr>
      <w:i w:val="0"/>
      <w:sz w:val="20"/>
    </w:rPr>
  </w:style>
  <w:style w:type="paragraph" w:customStyle="1" w:styleId="SecurityL6">
    <w:name w:val="Security_L6"/>
    <w:basedOn w:val="SecurityL5"/>
    <w:rsid w:val="00B62AB6"/>
    <w:pPr>
      <w:numPr>
        <w:ilvl w:val="5"/>
      </w:numPr>
      <w:outlineLvl w:val="5"/>
    </w:pPr>
  </w:style>
  <w:style w:type="paragraph" w:customStyle="1" w:styleId="SecurityL7">
    <w:name w:val="Security_L7"/>
    <w:basedOn w:val="SecurityL6"/>
    <w:rsid w:val="00B62AB6"/>
    <w:pPr>
      <w:numPr>
        <w:ilvl w:val="6"/>
      </w:numPr>
      <w:outlineLvl w:val="6"/>
    </w:pPr>
  </w:style>
  <w:style w:type="paragraph" w:customStyle="1" w:styleId="SecurityL8">
    <w:name w:val="Security_L8"/>
    <w:basedOn w:val="SecurityL7"/>
    <w:next w:val="Normal"/>
    <w:link w:val="SecurityL8Char"/>
    <w:rsid w:val="00B62AB6"/>
    <w:pPr>
      <w:numPr>
        <w:ilvl w:val="7"/>
      </w:numPr>
      <w:spacing w:before="120" w:after="120"/>
      <w:outlineLvl w:val="7"/>
    </w:pPr>
    <w:rPr>
      <w:sz w:val="18"/>
    </w:rPr>
  </w:style>
  <w:style w:type="paragraph" w:customStyle="1" w:styleId="SecurityL9">
    <w:name w:val="Security_L9"/>
    <w:basedOn w:val="SecurityL8"/>
    <w:link w:val="SecurityL9Char"/>
    <w:rsid w:val="00B62AB6"/>
    <w:pPr>
      <w:numPr>
        <w:ilvl w:val="8"/>
      </w:numPr>
      <w:spacing w:before="0" w:after="60"/>
      <w:outlineLvl w:val="8"/>
    </w:pPr>
    <w:rPr>
      <w:i/>
    </w:rPr>
  </w:style>
  <w:style w:type="paragraph" w:styleId="BodyText">
    <w:name w:val="Body Text"/>
    <w:aliases w:val="bt"/>
    <w:basedOn w:val="Normal"/>
    <w:link w:val="BodyTextChar"/>
    <w:rsid w:val="00B62AB6"/>
    <w:pPr>
      <w:spacing w:after="240" w:line="240" w:lineRule="atLeast"/>
      <w:jc w:val="both"/>
    </w:pPr>
    <w:rPr>
      <w:rFonts w:ascii="Times New Roman" w:hAnsi="Times New Roman"/>
      <w:lang w:val="en-CA"/>
    </w:rPr>
  </w:style>
  <w:style w:type="character" w:customStyle="1" w:styleId="BodyTextChar">
    <w:name w:val="Body Text Char"/>
    <w:aliases w:val="bt Char"/>
    <w:basedOn w:val="DefaultParagraphFont"/>
    <w:link w:val="BodyText"/>
    <w:rsid w:val="00B62AB6"/>
    <w:rPr>
      <w:rFonts w:ascii="Times New Roman" w:eastAsia="Times New Roman" w:hAnsi="Times New Roman" w:cs="Times New Roman"/>
      <w:szCs w:val="24"/>
      <w:lang w:val="en-CA"/>
    </w:rPr>
  </w:style>
  <w:style w:type="character" w:customStyle="1" w:styleId="TableTextChar">
    <w:name w:val="Table Text Char"/>
    <w:aliases w:val="tt Char"/>
    <w:basedOn w:val="DefaultParagraphFont"/>
    <w:link w:val="tabletext"/>
    <w:rsid w:val="00B62AB6"/>
    <w:rPr>
      <w:rFonts w:ascii="Times New Roman" w:eastAsia="Times New Roman" w:hAnsi="Times New Roman" w:cs="Times New Roman"/>
      <w:sz w:val="20"/>
      <w:szCs w:val="24"/>
      <w:lang w:val="en-CA"/>
    </w:rPr>
  </w:style>
  <w:style w:type="character" w:customStyle="1" w:styleId="Heading8Char">
    <w:name w:val="Heading 8 Char"/>
    <w:basedOn w:val="DefaultParagraphFont"/>
    <w:link w:val="Heading8"/>
    <w:rsid w:val="004951CB"/>
    <w:rPr>
      <w:rFonts w:ascii="Arial" w:eastAsia="Times New Roman" w:hAnsi="Arial" w:cs="Times New Roman"/>
      <w:b/>
      <w:bCs/>
      <w:sz w:val="20"/>
      <w:szCs w:val="20"/>
    </w:rPr>
  </w:style>
  <w:style w:type="character" w:styleId="CommentReference">
    <w:name w:val="annotation reference"/>
    <w:unhideWhenUsed/>
    <w:rsid w:val="004951CB"/>
    <w:rPr>
      <w:sz w:val="16"/>
      <w:szCs w:val="16"/>
    </w:rPr>
  </w:style>
  <w:style w:type="paragraph" w:styleId="CommentText">
    <w:name w:val="annotation text"/>
    <w:basedOn w:val="Normal"/>
    <w:link w:val="CommentTextChar"/>
    <w:uiPriority w:val="99"/>
    <w:unhideWhenUsed/>
    <w:rsid w:val="004951CB"/>
    <w:rPr>
      <w:rFonts w:ascii="Arial" w:hAnsi="Arial"/>
      <w:sz w:val="20"/>
      <w:szCs w:val="20"/>
    </w:rPr>
  </w:style>
  <w:style w:type="character" w:customStyle="1" w:styleId="CommentTextChar">
    <w:name w:val="Comment Text Char"/>
    <w:basedOn w:val="DefaultParagraphFont"/>
    <w:link w:val="CommentText"/>
    <w:uiPriority w:val="99"/>
    <w:rsid w:val="004951CB"/>
    <w:rPr>
      <w:rFonts w:ascii="Arial" w:eastAsia="Times New Roman" w:hAnsi="Arial" w:cs="Times New Roman"/>
      <w:sz w:val="20"/>
      <w:szCs w:val="20"/>
    </w:rPr>
  </w:style>
  <w:style w:type="paragraph" w:styleId="BodyText2">
    <w:name w:val="Body Text 2"/>
    <w:basedOn w:val="Normal"/>
    <w:link w:val="BodyText2Char"/>
    <w:unhideWhenUsed/>
    <w:rsid w:val="003E2504"/>
    <w:pPr>
      <w:spacing w:after="120" w:line="480" w:lineRule="auto"/>
    </w:pPr>
  </w:style>
  <w:style w:type="character" w:customStyle="1" w:styleId="BodyText2Char">
    <w:name w:val="Body Text 2 Char"/>
    <w:basedOn w:val="DefaultParagraphFont"/>
    <w:link w:val="BodyText2"/>
    <w:rsid w:val="003E2504"/>
    <w:rPr>
      <w:rFonts w:ascii="Verdana" w:eastAsia="Times New Roman" w:hAnsi="Verdana" w:cs="Times New Roman"/>
      <w:szCs w:val="24"/>
    </w:rPr>
  </w:style>
  <w:style w:type="paragraph" w:styleId="BodyTextIndent">
    <w:name w:val="Body Text Indent"/>
    <w:basedOn w:val="Normal"/>
    <w:link w:val="BodyTextIndentChar"/>
    <w:uiPriority w:val="99"/>
    <w:semiHidden/>
    <w:unhideWhenUsed/>
    <w:rsid w:val="002A7212"/>
    <w:pPr>
      <w:spacing w:after="120"/>
      <w:ind w:left="283"/>
    </w:pPr>
  </w:style>
  <w:style w:type="character" w:customStyle="1" w:styleId="BodyTextIndentChar">
    <w:name w:val="Body Text Indent Char"/>
    <w:basedOn w:val="DefaultParagraphFont"/>
    <w:link w:val="BodyTextIndent"/>
    <w:uiPriority w:val="99"/>
    <w:semiHidden/>
    <w:rsid w:val="002A7212"/>
    <w:rPr>
      <w:rFonts w:ascii="Verdana" w:eastAsia="Times New Roman" w:hAnsi="Verdana"/>
      <w:sz w:val="22"/>
      <w:szCs w:val="24"/>
    </w:rPr>
  </w:style>
  <w:style w:type="paragraph" w:styleId="CommentSubject">
    <w:name w:val="annotation subject"/>
    <w:basedOn w:val="CommentText"/>
    <w:next w:val="CommentText"/>
    <w:link w:val="CommentSubjectChar"/>
    <w:uiPriority w:val="99"/>
    <w:semiHidden/>
    <w:unhideWhenUsed/>
    <w:rsid w:val="008A56D8"/>
    <w:rPr>
      <w:rFonts w:ascii="Verdana" w:hAnsi="Verdana"/>
      <w:b/>
      <w:bCs/>
    </w:rPr>
  </w:style>
  <w:style w:type="character" w:customStyle="1" w:styleId="CommentSubjectChar">
    <w:name w:val="Comment Subject Char"/>
    <w:basedOn w:val="CommentTextChar"/>
    <w:link w:val="CommentSubject"/>
    <w:uiPriority w:val="99"/>
    <w:semiHidden/>
    <w:rsid w:val="008A56D8"/>
    <w:rPr>
      <w:rFonts w:ascii="Verdana" w:eastAsia="Times New Roman" w:hAnsi="Verdana" w:cs="Times New Roman"/>
      <w:b/>
      <w:bCs/>
      <w:sz w:val="20"/>
      <w:szCs w:val="20"/>
    </w:rPr>
  </w:style>
  <w:style w:type="paragraph" w:styleId="Revision">
    <w:name w:val="Revision"/>
    <w:hidden/>
    <w:uiPriority w:val="99"/>
    <w:semiHidden/>
    <w:rsid w:val="008A56D8"/>
    <w:rPr>
      <w:rFonts w:ascii="Verdana" w:eastAsia="Times New Roman" w:hAnsi="Verdana"/>
      <w:sz w:val="22"/>
      <w:szCs w:val="24"/>
    </w:rPr>
  </w:style>
  <w:style w:type="paragraph" w:customStyle="1" w:styleId="AuditBody">
    <w:name w:val="AuditBody"/>
    <w:aliases w:val="ab,Audit Body"/>
    <w:basedOn w:val="Normal"/>
    <w:rsid w:val="002B0AA5"/>
    <w:pPr>
      <w:overflowPunct w:val="0"/>
      <w:autoSpaceDE w:val="0"/>
      <w:autoSpaceDN w:val="0"/>
      <w:adjustRightInd w:val="0"/>
      <w:spacing w:before="120" w:line="280" w:lineRule="atLeast"/>
      <w:jc w:val="both"/>
      <w:textAlignment w:val="baseline"/>
    </w:pPr>
    <w:rPr>
      <w:rFonts w:ascii="Arial" w:hAnsi="Arial"/>
      <w:sz w:val="20"/>
      <w:szCs w:val="20"/>
    </w:rPr>
  </w:style>
  <w:style w:type="paragraph" w:customStyle="1" w:styleId="FS2">
    <w:name w:val="FS2"/>
    <w:basedOn w:val="Normal"/>
    <w:link w:val="FS2Char"/>
    <w:rsid w:val="00810E7B"/>
    <w:pPr>
      <w:tabs>
        <w:tab w:val="decimal" w:pos="7280"/>
        <w:tab w:val="decimal" w:pos="9000"/>
      </w:tabs>
      <w:overflowPunct w:val="0"/>
      <w:autoSpaceDE w:val="0"/>
      <w:autoSpaceDN w:val="0"/>
      <w:adjustRightInd w:val="0"/>
      <w:ind w:left="540" w:hanging="180"/>
      <w:textAlignment w:val="baseline"/>
    </w:pPr>
    <w:rPr>
      <w:rFonts w:ascii="Arial" w:hAnsi="Arial"/>
      <w:sz w:val="20"/>
      <w:szCs w:val="20"/>
    </w:rPr>
  </w:style>
  <w:style w:type="character" w:customStyle="1" w:styleId="FS2Char">
    <w:name w:val="FS2 Char"/>
    <w:link w:val="FS2"/>
    <w:rsid w:val="00810E7B"/>
    <w:rPr>
      <w:rFonts w:ascii="Arial" w:eastAsia="Times New Roman" w:hAnsi="Arial"/>
    </w:rPr>
  </w:style>
  <w:style w:type="paragraph" w:customStyle="1" w:styleId="SecurityCont2">
    <w:name w:val="Security Cont 2"/>
    <w:aliases w:val="s2"/>
    <w:basedOn w:val="Normal"/>
    <w:link w:val="SecurityCont2Char"/>
    <w:rsid w:val="00810E7B"/>
    <w:pPr>
      <w:spacing w:after="240"/>
      <w:jc w:val="both"/>
    </w:pPr>
    <w:rPr>
      <w:rFonts w:ascii="Times New Roman" w:hAnsi="Times New Roman"/>
      <w:sz w:val="20"/>
      <w:szCs w:val="20"/>
      <w:lang w:val="en-CA"/>
    </w:rPr>
  </w:style>
  <w:style w:type="paragraph" w:styleId="NormalWeb">
    <w:name w:val="Normal (Web)"/>
    <w:basedOn w:val="Normal"/>
    <w:uiPriority w:val="99"/>
    <w:semiHidden/>
    <w:unhideWhenUsed/>
    <w:rsid w:val="0098509E"/>
    <w:pPr>
      <w:spacing w:before="100" w:beforeAutospacing="1" w:after="100" w:afterAutospacing="1"/>
    </w:pPr>
    <w:rPr>
      <w:rFonts w:ascii="Times New Roman" w:eastAsiaTheme="minorHAnsi" w:hAnsi="Times New Roman"/>
      <w:sz w:val="24"/>
      <w:lang w:val="es-AR" w:eastAsia="es-AR"/>
    </w:rPr>
  </w:style>
  <w:style w:type="paragraph" w:customStyle="1" w:styleId="SecurityCont3">
    <w:name w:val="Security Cont 3"/>
    <w:aliases w:val="s3"/>
    <w:basedOn w:val="SecurityCont2"/>
    <w:link w:val="SecurityCont3Char"/>
    <w:uiPriority w:val="99"/>
    <w:rsid w:val="00427A41"/>
  </w:style>
  <w:style w:type="character" w:customStyle="1" w:styleId="SecurityCont3Char">
    <w:name w:val="Security Cont 3 Char"/>
    <w:aliases w:val="s3 Char"/>
    <w:link w:val="SecurityCont3"/>
    <w:uiPriority w:val="99"/>
    <w:locked/>
    <w:rsid w:val="00427A41"/>
    <w:rPr>
      <w:rFonts w:ascii="Times New Roman" w:eastAsia="Times New Roman" w:hAnsi="Times New Roman"/>
      <w:lang w:val="en-CA"/>
    </w:rPr>
  </w:style>
  <w:style w:type="character" w:customStyle="1" w:styleId="SecurityCont2Char">
    <w:name w:val="Security Cont 2 Char"/>
    <w:aliases w:val="s2 Char"/>
    <w:basedOn w:val="DefaultParagraphFont"/>
    <w:link w:val="SecurityCont2"/>
    <w:rsid w:val="00CD4697"/>
    <w:rPr>
      <w:rFonts w:ascii="Times New Roman" w:eastAsia="Times New Roman" w:hAnsi="Times New Roman"/>
      <w:lang w:val="en-CA"/>
    </w:rPr>
  </w:style>
  <w:style w:type="character" w:customStyle="1" w:styleId="SecurityL8Char">
    <w:name w:val="Security_L8 Char"/>
    <w:basedOn w:val="DefaultParagraphFont"/>
    <w:link w:val="SecurityL8"/>
    <w:rsid w:val="00CD4697"/>
    <w:rPr>
      <w:rFonts w:ascii="Times New Roman" w:eastAsia="Times New Roman" w:hAnsi="Times New Roman"/>
      <w:sz w:val="18"/>
      <w:lang w:val="en-CA"/>
    </w:rPr>
  </w:style>
  <w:style w:type="character" w:customStyle="1" w:styleId="SecurityL9Char">
    <w:name w:val="Security_L9 Char"/>
    <w:basedOn w:val="DefaultParagraphFont"/>
    <w:link w:val="SecurityL9"/>
    <w:rsid w:val="00CD4697"/>
    <w:rPr>
      <w:rFonts w:ascii="Times New Roman" w:eastAsia="Times New Roman" w:hAnsi="Times New Roman"/>
      <w:i/>
      <w:sz w:val="18"/>
      <w:lang w:val="en-CA"/>
    </w:rPr>
  </w:style>
  <w:style w:type="character" w:customStyle="1" w:styleId="UnresolvedMention1">
    <w:name w:val="Unresolved Mention1"/>
    <w:basedOn w:val="DefaultParagraphFont"/>
    <w:uiPriority w:val="99"/>
    <w:semiHidden/>
    <w:unhideWhenUsed/>
    <w:rsid w:val="002D4B6B"/>
    <w:rPr>
      <w:color w:val="605E5C"/>
      <w:shd w:val="clear" w:color="auto" w:fill="E1DFDD"/>
    </w:rPr>
  </w:style>
  <w:style w:type="paragraph" w:styleId="FootnoteText">
    <w:name w:val="footnote text"/>
    <w:basedOn w:val="Normal"/>
    <w:link w:val="FootnoteTextChar"/>
    <w:uiPriority w:val="99"/>
    <w:unhideWhenUsed/>
    <w:rsid w:val="00EE79E4"/>
    <w:rPr>
      <w:sz w:val="20"/>
      <w:szCs w:val="20"/>
    </w:rPr>
  </w:style>
  <w:style w:type="character" w:customStyle="1" w:styleId="FootnoteTextChar">
    <w:name w:val="Footnote Text Char"/>
    <w:basedOn w:val="DefaultParagraphFont"/>
    <w:link w:val="FootnoteText"/>
    <w:uiPriority w:val="99"/>
    <w:rsid w:val="00EE79E4"/>
    <w:rPr>
      <w:rFonts w:ascii="Verdana" w:eastAsia="Times New Roman" w:hAnsi="Verdana"/>
    </w:rPr>
  </w:style>
  <w:style w:type="character" w:styleId="FootnoteReference">
    <w:name w:val="footnote reference"/>
    <w:basedOn w:val="DefaultParagraphFont"/>
    <w:uiPriority w:val="99"/>
    <w:semiHidden/>
    <w:unhideWhenUsed/>
    <w:rsid w:val="00EE79E4"/>
    <w:rPr>
      <w:vertAlign w:val="superscript"/>
    </w:rPr>
  </w:style>
  <w:style w:type="table" w:styleId="GridTable1Light">
    <w:name w:val="Grid Table 1 Light"/>
    <w:basedOn w:val="TableNormal"/>
    <w:uiPriority w:val="46"/>
    <w:rsid w:val="00631EE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631EE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631E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cimalAligned">
    <w:name w:val="Decimal Aligned"/>
    <w:basedOn w:val="Normal"/>
    <w:uiPriority w:val="40"/>
    <w:qFormat/>
    <w:rsid w:val="00631EE4"/>
    <w:pPr>
      <w:tabs>
        <w:tab w:val="decimal" w:pos="360"/>
      </w:tabs>
      <w:spacing w:after="200" w:line="276" w:lineRule="auto"/>
    </w:pPr>
    <w:rPr>
      <w:rFonts w:asciiTheme="minorHAnsi" w:eastAsiaTheme="minorEastAsia" w:hAnsiTheme="minorHAnsi"/>
      <w:szCs w:val="22"/>
    </w:rPr>
  </w:style>
  <w:style w:type="character" w:styleId="SubtleEmphasis">
    <w:name w:val="Subtle Emphasis"/>
    <w:basedOn w:val="DefaultParagraphFont"/>
    <w:uiPriority w:val="19"/>
    <w:qFormat/>
    <w:rsid w:val="00631EE4"/>
    <w:rPr>
      <w:i/>
      <w:iCs/>
    </w:rPr>
  </w:style>
  <w:style w:type="table" w:styleId="MediumShading2-Accent5">
    <w:name w:val="Medium Shading 2 Accent 5"/>
    <w:basedOn w:val="TableNormal"/>
    <w:uiPriority w:val="64"/>
    <w:rsid w:val="00631EE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48008B"/>
    <w:rPr>
      <w:color w:val="605E5C"/>
      <w:shd w:val="clear" w:color="auto" w:fill="E1DFDD"/>
    </w:rPr>
  </w:style>
  <w:style w:type="paragraph" w:customStyle="1" w:styleId="BDPDOCID">
    <w:name w:val="BDPDOCID"/>
    <w:basedOn w:val="Normal"/>
    <w:qFormat/>
    <w:rsid w:val="004478B6"/>
    <w:pPr>
      <w:spacing w:after="240"/>
      <w:jc w:val="both"/>
    </w:pPr>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115">
      <w:bodyDiv w:val="1"/>
      <w:marLeft w:val="0"/>
      <w:marRight w:val="0"/>
      <w:marTop w:val="0"/>
      <w:marBottom w:val="0"/>
      <w:divBdr>
        <w:top w:val="none" w:sz="0" w:space="0" w:color="auto"/>
        <w:left w:val="none" w:sz="0" w:space="0" w:color="auto"/>
        <w:bottom w:val="none" w:sz="0" w:space="0" w:color="auto"/>
        <w:right w:val="none" w:sz="0" w:space="0" w:color="auto"/>
      </w:divBdr>
    </w:div>
    <w:div w:id="470825882">
      <w:bodyDiv w:val="1"/>
      <w:marLeft w:val="0"/>
      <w:marRight w:val="0"/>
      <w:marTop w:val="0"/>
      <w:marBottom w:val="0"/>
      <w:divBdr>
        <w:top w:val="none" w:sz="0" w:space="0" w:color="auto"/>
        <w:left w:val="none" w:sz="0" w:space="0" w:color="auto"/>
        <w:bottom w:val="none" w:sz="0" w:space="0" w:color="auto"/>
        <w:right w:val="none" w:sz="0" w:space="0" w:color="auto"/>
      </w:divBdr>
    </w:div>
    <w:div w:id="506552879">
      <w:bodyDiv w:val="1"/>
      <w:marLeft w:val="0"/>
      <w:marRight w:val="0"/>
      <w:marTop w:val="0"/>
      <w:marBottom w:val="0"/>
      <w:divBdr>
        <w:top w:val="none" w:sz="0" w:space="0" w:color="auto"/>
        <w:left w:val="none" w:sz="0" w:space="0" w:color="auto"/>
        <w:bottom w:val="none" w:sz="0" w:space="0" w:color="auto"/>
        <w:right w:val="none" w:sz="0" w:space="0" w:color="auto"/>
      </w:divBdr>
    </w:div>
    <w:div w:id="693533190">
      <w:bodyDiv w:val="1"/>
      <w:marLeft w:val="0"/>
      <w:marRight w:val="0"/>
      <w:marTop w:val="0"/>
      <w:marBottom w:val="0"/>
      <w:divBdr>
        <w:top w:val="none" w:sz="0" w:space="0" w:color="auto"/>
        <w:left w:val="none" w:sz="0" w:space="0" w:color="auto"/>
        <w:bottom w:val="none" w:sz="0" w:space="0" w:color="auto"/>
        <w:right w:val="none" w:sz="0" w:space="0" w:color="auto"/>
      </w:divBdr>
    </w:div>
    <w:div w:id="830370901">
      <w:bodyDiv w:val="1"/>
      <w:marLeft w:val="0"/>
      <w:marRight w:val="0"/>
      <w:marTop w:val="0"/>
      <w:marBottom w:val="0"/>
      <w:divBdr>
        <w:top w:val="none" w:sz="0" w:space="0" w:color="auto"/>
        <w:left w:val="none" w:sz="0" w:space="0" w:color="auto"/>
        <w:bottom w:val="none" w:sz="0" w:space="0" w:color="auto"/>
        <w:right w:val="none" w:sz="0" w:space="0" w:color="auto"/>
      </w:divBdr>
    </w:div>
    <w:div w:id="842625594">
      <w:bodyDiv w:val="1"/>
      <w:marLeft w:val="0"/>
      <w:marRight w:val="0"/>
      <w:marTop w:val="0"/>
      <w:marBottom w:val="0"/>
      <w:divBdr>
        <w:top w:val="none" w:sz="0" w:space="0" w:color="auto"/>
        <w:left w:val="none" w:sz="0" w:space="0" w:color="auto"/>
        <w:bottom w:val="none" w:sz="0" w:space="0" w:color="auto"/>
        <w:right w:val="none" w:sz="0" w:space="0" w:color="auto"/>
      </w:divBdr>
    </w:div>
    <w:div w:id="848372547">
      <w:bodyDiv w:val="1"/>
      <w:marLeft w:val="0"/>
      <w:marRight w:val="0"/>
      <w:marTop w:val="0"/>
      <w:marBottom w:val="0"/>
      <w:divBdr>
        <w:top w:val="none" w:sz="0" w:space="0" w:color="auto"/>
        <w:left w:val="none" w:sz="0" w:space="0" w:color="auto"/>
        <w:bottom w:val="none" w:sz="0" w:space="0" w:color="auto"/>
        <w:right w:val="none" w:sz="0" w:space="0" w:color="auto"/>
      </w:divBdr>
    </w:div>
    <w:div w:id="944459396">
      <w:bodyDiv w:val="1"/>
      <w:marLeft w:val="0"/>
      <w:marRight w:val="0"/>
      <w:marTop w:val="0"/>
      <w:marBottom w:val="0"/>
      <w:divBdr>
        <w:top w:val="none" w:sz="0" w:space="0" w:color="auto"/>
        <w:left w:val="none" w:sz="0" w:space="0" w:color="auto"/>
        <w:bottom w:val="none" w:sz="0" w:space="0" w:color="auto"/>
        <w:right w:val="none" w:sz="0" w:space="0" w:color="auto"/>
      </w:divBdr>
    </w:div>
    <w:div w:id="1073091310">
      <w:bodyDiv w:val="1"/>
      <w:marLeft w:val="0"/>
      <w:marRight w:val="0"/>
      <w:marTop w:val="0"/>
      <w:marBottom w:val="0"/>
      <w:divBdr>
        <w:top w:val="none" w:sz="0" w:space="0" w:color="auto"/>
        <w:left w:val="none" w:sz="0" w:space="0" w:color="auto"/>
        <w:bottom w:val="none" w:sz="0" w:space="0" w:color="auto"/>
        <w:right w:val="none" w:sz="0" w:space="0" w:color="auto"/>
      </w:divBdr>
    </w:div>
    <w:div w:id="1239635053">
      <w:bodyDiv w:val="1"/>
      <w:marLeft w:val="0"/>
      <w:marRight w:val="0"/>
      <w:marTop w:val="0"/>
      <w:marBottom w:val="0"/>
      <w:divBdr>
        <w:top w:val="none" w:sz="0" w:space="0" w:color="auto"/>
        <w:left w:val="none" w:sz="0" w:space="0" w:color="auto"/>
        <w:bottom w:val="none" w:sz="0" w:space="0" w:color="auto"/>
        <w:right w:val="none" w:sz="0" w:space="0" w:color="auto"/>
      </w:divBdr>
    </w:div>
    <w:div w:id="1378121507">
      <w:bodyDiv w:val="1"/>
      <w:marLeft w:val="0"/>
      <w:marRight w:val="0"/>
      <w:marTop w:val="0"/>
      <w:marBottom w:val="0"/>
      <w:divBdr>
        <w:top w:val="none" w:sz="0" w:space="0" w:color="auto"/>
        <w:left w:val="none" w:sz="0" w:space="0" w:color="auto"/>
        <w:bottom w:val="none" w:sz="0" w:space="0" w:color="auto"/>
        <w:right w:val="none" w:sz="0" w:space="0" w:color="auto"/>
      </w:divBdr>
    </w:div>
    <w:div w:id="1459641473">
      <w:bodyDiv w:val="1"/>
      <w:marLeft w:val="0"/>
      <w:marRight w:val="0"/>
      <w:marTop w:val="0"/>
      <w:marBottom w:val="0"/>
      <w:divBdr>
        <w:top w:val="none" w:sz="0" w:space="0" w:color="auto"/>
        <w:left w:val="none" w:sz="0" w:space="0" w:color="auto"/>
        <w:bottom w:val="none" w:sz="0" w:space="0" w:color="auto"/>
        <w:right w:val="none" w:sz="0" w:space="0" w:color="auto"/>
      </w:divBdr>
    </w:div>
    <w:div w:id="1565018774">
      <w:bodyDiv w:val="1"/>
      <w:marLeft w:val="0"/>
      <w:marRight w:val="0"/>
      <w:marTop w:val="0"/>
      <w:marBottom w:val="0"/>
      <w:divBdr>
        <w:top w:val="none" w:sz="0" w:space="0" w:color="auto"/>
        <w:left w:val="none" w:sz="0" w:space="0" w:color="auto"/>
        <w:bottom w:val="none" w:sz="0" w:space="0" w:color="auto"/>
        <w:right w:val="none" w:sz="0" w:space="0" w:color="auto"/>
      </w:divBdr>
    </w:div>
    <w:div w:id="1577931113">
      <w:bodyDiv w:val="1"/>
      <w:marLeft w:val="0"/>
      <w:marRight w:val="0"/>
      <w:marTop w:val="0"/>
      <w:marBottom w:val="0"/>
      <w:divBdr>
        <w:top w:val="none" w:sz="0" w:space="0" w:color="auto"/>
        <w:left w:val="none" w:sz="0" w:space="0" w:color="auto"/>
        <w:bottom w:val="none" w:sz="0" w:space="0" w:color="auto"/>
        <w:right w:val="none" w:sz="0" w:space="0" w:color="auto"/>
      </w:divBdr>
    </w:div>
    <w:div w:id="1882936674">
      <w:bodyDiv w:val="1"/>
      <w:marLeft w:val="0"/>
      <w:marRight w:val="0"/>
      <w:marTop w:val="0"/>
      <w:marBottom w:val="0"/>
      <w:divBdr>
        <w:top w:val="none" w:sz="0" w:space="0" w:color="auto"/>
        <w:left w:val="none" w:sz="0" w:space="0" w:color="auto"/>
        <w:bottom w:val="none" w:sz="0" w:space="0" w:color="auto"/>
        <w:right w:val="none" w:sz="0" w:space="0" w:color="auto"/>
      </w:divBdr>
    </w:div>
    <w:div w:id="2005009590">
      <w:bodyDiv w:val="1"/>
      <w:marLeft w:val="0"/>
      <w:marRight w:val="0"/>
      <w:marTop w:val="0"/>
      <w:marBottom w:val="0"/>
      <w:divBdr>
        <w:top w:val="none" w:sz="0" w:space="0" w:color="auto"/>
        <w:left w:val="none" w:sz="0" w:space="0" w:color="auto"/>
        <w:bottom w:val="none" w:sz="0" w:space="0" w:color="auto"/>
        <w:right w:val="none" w:sz="0" w:space="0" w:color="auto"/>
      </w:divBdr>
    </w:div>
    <w:div w:id="213636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tormakh@crownpointenergy.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bmoss@crownpointenerg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roperties xmlns="http://www.imanage.com/work/xmlschema">
  <documentid>Active!14691592.3</documentid>
  <senderid>JTO</senderid>
  <senderemail>JTO@BDPLAW.COM</senderemail>
  <lastmodified>2025-09-26T12:10:00.0000000-06:00</lastmodified>
  <database>Active</database>
</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B9A83-2A70-4BB1-AA3E-FE9AEB341219}">
  <ds:schemaRefs>
    <ds:schemaRef ds:uri="http://schemas.openxmlformats.org/officeDocument/2006/bibliography"/>
  </ds:schemaRefs>
</ds:datastoreItem>
</file>

<file path=customXml/itemProps2.xml><?xml version="1.0" encoding="utf-8"?>
<ds:datastoreItem xmlns:ds="http://schemas.openxmlformats.org/officeDocument/2006/customXml" ds:itemID="{CD450D1C-C704-4948-8EAB-134D70BE500C}">
  <ds:schemaRefs>
    <ds:schemaRef ds:uri="http://schemas.openxmlformats.org/officeDocument/2006/bibliography"/>
  </ds:schemaRefs>
</ds:datastoreItem>
</file>

<file path=customXml/itemProps3.xml><?xml version="1.0" encoding="utf-8"?>
<ds:datastoreItem xmlns:ds="http://schemas.openxmlformats.org/officeDocument/2006/customXml" ds:itemID="{701006C0-AB5C-40FD-844C-94469B6910C8}">
  <ds:schemaRefs>
    <ds:schemaRef ds:uri="http://www.imanage.com/work/xmlschema"/>
  </ds:schemaRefs>
</ds:datastoreItem>
</file>

<file path=customXml/itemProps4.xml><?xml version="1.0" encoding="utf-8"?>
<ds:datastoreItem xmlns:ds="http://schemas.openxmlformats.org/officeDocument/2006/customXml" ds:itemID="{7DE09A3E-1119-4AF3-9302-ADEA0421F121}">
  <ds:schemaRefs>
    <ds:schemaRef ds:uri="http://schemas.openxmlformats.org/officeDocument/2006/bibliography"/>
  </ds:schemaRefs>
</ds:datastoreItem>
</file>

<file path=customXml/itemProps5.xml><?xml version="1.0" encoding="utf-8"?>
<ds:datastoreItem xmlns:ds="http://schemas.openxmlformats.org/officeDocument/2006/customXml" ds:itemID="{87DF92FF-F4BB-42C0-A258-297DD733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2418</Words>
  <Characters>13784</Characters>
  <Application>Microsoft Office Word</Application>
  <DocSecurity>0</DocSecurity>
  <Lines>114</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Company</Company>
  <LinksUpToDate>false</LinksUpToDate>
  <CharactersWithSpaces>16170</CharactersWithSpaces>
  <SharedDoc>false</SharedDoc>
  <HLinks>
    <vt:vector size="48" baseType="variant">
      <vt:variant>
        <vt:i4>4259923</vt:i4>
      </vt:variant>
      <vt:variant>
        <vt:i4>21</vt:i4>
      </vt:variant>
      <vt:variant>
        <vt:i4>0</vt:i4>
      </vt:variant>
      <vt:variant>
        <vt:i4>5</vt:i4>
      </vt:variant>
      <vt:variant>
        <vt:lpwstr>http://www.crownpointenergy.com/</vt:lpwstr>
      </vt:variant>
      <vt:variant>
        <vt:lpwstr/>
      </vt:variant>
      <vt:variant>
        <vt:i4>2949128</vt:i4>
      </vt:variant>
      <vt:variant>
        <vt:i4>18</vt:i4>
      </vt:variant>
      <vt:variant>
        <vt:i4>0</vt:i4>
      </vt:variant>
      <vt:variant>
        <vt:i4>5</vt:i4>
      </vt:variant>
      <vt:variant>
        <vt:lpwstr>mailto:amadden@crownpointenergy.com</vt:lpwstr>
      </vt:variant>
      <vt:variant>
        <vt:lpwstr/>
      </vt:variant>
      <vt:variant>
        <vt:i4>2162777</vt:i4>
      </vt:variant>
      <vt:variant>
        <vt:i4>15</vt:i4>
      </vt:variant>
      <vt:variant>
        <vt:i4>0</vt:i4>
      </vt:variant>
      <vt:variant>
        <vt:i4>5</vt:i4>
      </vt:variant>
      <vt:variant>
        <vt:lpwstr>mailto:m.mccartney@crownpointenergy.com</vt:lpwstr>
      </vt:variant>
      <vt:variant>
        <vt:lpwstr/>
      </vt:variant>
      <vt:variant>
        <vt:i4>4259923</vt:i4>
      </vt:variant>
      <vt:variant>
        <vt:i4>12</vt:i4>
      </vt:variant>
      <vt:variant>
        <vt:i4>0</vt:i4>
      </vt:variant>
      <vt:variant>
        <vt:i4>5</vt:i4>
      </vt:variant>
      <vt:variant>
        <vt:lpwstr>http://www.crownpointenergy.com/</vt:lpwstr>
      </vt:variant>
      <vt:variant>
        <vt:lpwstr/>
      </vt:variant>
      <vt:variant>
        <vt:i4>4194325</vt:i4>
      </vt:variant>
      <vt:variant>
        <vt:i4>9</vt:i4>
      </vt:variant>
      <vt:variant>
        <vt:i4>0</vt:i4>
      </vt:variant>
      <vt:variant>
        <vt:i4>5</vt:i4>
      </vt:variant>
      <vt:variant>
        <vt:lpwstr>http://www.sedar.com/</vt:lpwstr>
      </vt:variant>
      <vt:variant>
        <vt:lpwstr/>
      </vt:variant>
      <vt:variant>
        <vt:i4>4259923</vt:i4>
      </vt:variant>
      <vt:variant>
        <vt:i4>6</vt:i4>
      </vt:variant>
      <vt:variant>
        <vt:i4>0</vt:i4>
      </vt:variant>
      <vt:variant>
        <vt:i4>5</vt:i4>
      </vt:variant>
      <vt:variant>
        <vt:lpwstr>http://www.crownpointenergy.com/</vt:lpwstr>
      </vt:variant>
      <vt:variant>
        <vt:lpwstr/>
      </vt:variant>
      <vt:variant>
        <vt:i4>4194325</vt:i4>
      </vt:variant>
      <vt:variant>
        <vt:i4>3</vt:i4>
      </vt:variant>
      <vt:variant>
        <vt:i4>0</vt:i4>
      </vt:variant>
      <vt:variant>
        <vt:i4>5</vt:i4>
      </vt:variant>
      <vt:variant>
        <vt:lpwstr>http://www.sedar.com/</vt:lpwstr>
      </vt:variant>
      <vt:variant>
        <vt:lpwstr/>
      </vt:variant>
      <vt:variant>
        <vt:i4>4259923</vt:i4>
      </vt:variant>
      <vt:variant>
        <vt:i4>0</vt:i4>
      </vt:variant>
      <vt:variant>
        <vt:i4>0</vt:i4>
      </vt:variant>
      <vt:variant>
        <vt:i4>5</vt:i4>
      </vt:variant>
      <vt:variant>
        <vt:lpwstr>http://www.crownpointenergy.com/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Seifert</dc:creator>
  <cp:keywords/>
  <dc:description/>
  <cp:lastModifiedBy>Brian Moss</cp:lastModifiedBy>
  <cp:revision>2</cp:revision>
  <cp:lastPrinted>2024-03-06T22:41:00Z</cp:lastPrinted>
  <dcterms:created xsi:type="dcterms:W3CDTF">2025-10-01T21:20:00Z</dcterms:created>
  <dcterms:modified xsi:type="dcterms:W3CDTF">2025-10-01T21:20:00Z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14691592.2</vt:lpwstr>
  </property>
  <property fmtid="{D5CDD505-2E9C-101B-9397-08002B2CF9AE}" pid="3" name="DocXFormat">
    <vt:lpwstr>BDP DOCID</vt:lpwstr>
  </property>
  <property fmtid="{D5CDD505-2E9C-101B-9397-08002B2CF9AE}" pid="4" name="DocXLocation">
    <vt:lpwstr>NoDocId</vt:lpwstr>
  </property>
</Properties>
</file>