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62D0" w14:textId="63E96C89" w:rsidR="00997CEA" w:rsidRPr="00902562" w:rsidRDefault="00997CEA" w:rsidP="0070547D">
      <w:pPr>
        <w:widowControl w:val="0"/>
        <w:tabs>
          <w:tab w:val="right" w:pos="9360"/>
        </w:tabs>
        <w:jc w:val="both"/>
        <w:rPr>
          <w:rFonts w:ascii="Arial" w:hAnsi="Arial" w:cs="Arial"/>
          <w:sz w:val="24"/>
        </w:rPr>
      </w:pPr>
      <w:r>
        <w:rPr>
          <w:rFonts w:ascii="Arial" w:hAnsi="Arial" w:cs="Arial"/>
          <w:sz w:val="24"/>
        </w:rPr>
        <w:t xml:space="preserve">FOR IMMEDIATE RELEASE </w:t>
      </w:r>
      <w:r>
        <w:rPr>
          <w:rFonts w:ascii="Arial" w:hAnsi="Arial" w:cs="Arial"/>
          <w:sz w:val="24"/>
        </w:rPr>
        <w:tab/>
        <w:t>CWV: TSX.V</w:t>
      </w:r>
    </w:p>
    <w:p w14:paraId="4B02A0D3" w14:textId="1A6F04B4" w:rsidR="00997CEA" w:rsidRPr="00902562" w:rsidRDefault="00DF4E30" w:rsidP="00D17181">
      <w:pPr>
        <w:widowControl w:val="0"/>
        <w:rPr>
          <w:rFonts w:ascii="Arial" w:hAnsi="Arial" w:cs="Arial"/>
          <w:sz w:val="24"/>
        </w:rPr>
      </w:pPr>
      <w:r>
        <w:rPr>
          <w:rFonts w:ascii="Arial" w:hAnsi="Arial" w:cs="Arial"/>
          <w:sz w:val="24"/>
        </w:rPr>
        <w:t>March</w:t>
      </w:r>
      <w:r w:rsidR="00411AD2">
        <w:rPr>
          <w:rFonts w:ascii="Arial" w:hAnsi="Arial" w:cs="Arial"/>
          <w:sz w:val="24"/>
        </w:rPr>
        <w:t xml:space="preserve"> 11</w:t>
      </w:r>
      <w:r w:rsidR="00E46032">
        <w:rPr>
          <w:rFonts w:ascii="Arial" w:hAnsi="Arial" w:cs="Arial"/>
          <w:sz w:val="24"/>
        </w:rPr>
        <w:t xml:space="preserve">, </w:t>
      </w:r>
      <w:r w:rsidR="00CD751F">
        <w:rPr>
          <w:rFonts w:ascii="Arial" w:hAnsi="Arial" w:cs="Arial"/>
          <w:sz w:val="24"/>
        </w:rPr>
        <w:t>202</w:t>
      </w:r>
      <w:r>
        <w:rPr>
          <w:rFonts w:ascii="Arial" w:hAnsi="Arial" w:cs="Arial"/>
          <w:sz w:val="24"/>
        </w:rPr>
        <w:t>5</w:t>
      </w:r>
    </w:p>
    <w:p w14:paraId="3EE0A1A2" w14:textId="77777777" w:rsidR="00043229" w:rsidRPr="00902562" w:rsidRDefault="00043229" w:rsidP="00D17181">
      <w:pPr>
        <w:widowControl w:val="0"/>
        <w:rPr>
          <w:rFonts w:ascii="Arial" w:hAnsi="Arial" w:cs="Arial"/>
          <w:b/>
          <w:sz w:val="24"/>
        </w:rPr>
      </w:pPr>
    </w:p>
    <w:p w14:paraId="57F2805D" w14:textId="101CE42E" w:rsidR="00DF4E30" w:rsidRDefault="00DF4E30" w:rsidP="00DF4E30">
      <w:pPr>
        <w:widowControl w:val="0"/>
        <w:ind w:left="720"/>
        <w:jc w:val="center"/>
        <w:outlineLvl w:val="0"/>
        <w:rPr>
          <w:rFonts w:ascii="Arial" w:hAnsi="Arial" w:cs="Arial"/>
          <w:b/>
          <w:sz w:val="24"/>
        </w:rPr>
      </w:pPr>
      <w:r>
        <w:rPr>
          <w:rFonts w:ascii="Arial" w:hAnsi="Arial" w:cs="Arial"/>
          <w:b/>
          <w:sz w:val="24"/>
        </w:rPr>
        <w:t xml:space="preserve">Crown Point Announces </w:t>
      </w:r>
      <w:r w:rsidR="00F439AE">
        <w:rPr>
          <w:rFonts w:ascii="Arial" w:hAnsi="Arial" w:cs="Arial"/>
          <w:b/>
          <w:sz w:val="24"/>
        </w:rPr>
        <w:t>Unaudited Financial</w:t>
      </w:r>
      <w:r>
        <w:rPr>
          <w:rFonts w:ascii="Arial" w:hAnsi="Arial" w:cs="Arial"/>
          <w:b/>
          <w:sz w:val="24"/>
        </w:rPr>
        <w:t xml:space="preserve"> and </w:t>
      </w:r>
      <w:r w:rsidR="00F439AE">
        <w:rPr>
          <w:rFonts w:ascii="Arial" w:hAnsi="Arial" w:cs="Arial"/>
          <w:b/>
          <w:sz w:val="24"/>
        </w:rPr>
        <w:t>Operating</w:t>
      </w:r>
      <w:r>
        <w:rPr>
          <w:rFonts w:ascii="Arial" w:hAnsi="Arial" w:cs="Arial"/>
          <w:b/>
          <w:sz w:val="24"/>
        </w:rPr>
        <w:t xml:space="preserve"> Results</w:t>
      </w:r>
    </w:p>
    <w:p w14:paraId="0D334D39" w14:textId="421B26F0" w:rsidR="00DF4E30" w:rsidRDefault="00DF4E30" w:rsidP="00DF4E30">
      <w:pPr>
        <w:widowControl w:val="0"/>
        <w:ind w:left="720"/>
        <w:jc w:val="center"/>
        <w:outlineLvl w:val="0"/>
        <w:rPr>
          <w:rFonts w:ascii="Arial" w:hAnsi="Arial" w:cs="Arial"/>
          <w:b/>
          <w:sz w:val="24"/>
        </w:rPr>
      </w:pPr>
      <w:r>
        <w:rPr>
          <w:rFonts w:ascii="Arial" w:hAnsi="Arial" w:cs="Arial"/>
          <w:b/>
          <w:sz w:val="24"/>
        </w:rPr>
        <w:t>for the Three Months and Year Ended December 31, 2024</w:t>
      </w:r>
    </w:p>
    <w:p w14:paraId="33C941BF" w14:textId="709C1681" w:rsidR="00DF4E30" w:rsidRDefault="00997CEA" w:rsidP="00F439AE">
      <w:pPr>
        <w:widowControl w:val="0"/>
        <w:tabs>
          <w:tab w:val="left" w:pos="1440"/>
        </w:tabs>
        <w:spacing w:before="120" w:line="240" w:lineRule="atLeast"/>
        <w:jc w:val="both"/>
        <w:rPr>
          <w:rFonts w:ascii="Arial" w:hAnsi="Arial" w:cs="Arial"/>
          <w:b/>
          <w:sz w:val="20"/>
          <w:szCs w:val="20"/>
        </w:rPr>
      </w:pPr>
      <w:r>
        <w:rPr>
          <w:rFonts w:ascii="Arial" w:hAnsi="Arial" w:cs="Arial"/>
          <w:b/>
          <w:sz w:val="20"/>
          <w:szCs w:val="20"/>
        </w:rPr>
        <w:t xml:space="preserve">TSX-V:  CWV: Crown Point Energy Inc. (“Crown Point”, </w:t>
      </w:r>
      <w:r>
        <w:rPr>
          <w:rFonts w:ascii="Arial" w:hAnsi="Arial" w:cs="Arial"/>
          <w:sz w:val="20"/>
          <w:szCs w:val="20"/>
        </w:rPr>
        <w:t>the</w:t>
      </w:r>
      <w:r>
        <w:rPr>
          <w:rFonts w:ascii="Arial" w:hAnsi="Arial" w:cs="Arial"/>
          <w:b/>
          <w:sz w:val="20"/>
          <w:szCs w:val="20"/>
        </w:rPr>
        <w:t xml:space="preserve"> “Company” </w:t>
      </w:r>
      <w:r>
        <w:rPr>
          <w:rFonts w:ascii="Arial" w:hAnsi="Arial" w:cs="Arial"/>
          <w:sz w:val="20"/>
          <w:szCs w:val="20"/>
        </w:rPr>
        <w:t>or</w:t>
      </w:r>
      <w:r>
        <w:rPr>
          <w:rFonts w:ascii="Arial" w:hAnsi="Arial" w:cs="Arial"/>
          <w:b/>
          <w:sz w:val="20"/>
          <w:szCs w:val="20"/>
        </w:rPr>
        <w:t xml:space="preserve"> </w:t>
      </w:r>
      <w:r w:rsidR="003760A5">
        <w:rPr>
          <w:rFonts w:ascii="Arial" w:hAnsi="Arial" w:cs="Arial"/>
          <w:b/>
          <w:sz w:val="20"/>
          <w:szCs w:val="20"/>
        </w:rPr>
        <w:t>“</w:t>
      </w:r>
      <w:r>
        <w:rPr>
          <w:rFonts w:ascii="Arial" w:hAnsi="Arial" w:cs="Arial"/>
          <w:b/>
          <w:sz w:val="20"/>
          <w:szCs w:val="20"/>
        </w:rPr>
        <w:t>we</w:t>
      </w:r>
      <w:r w:rsidR="003760A5">
        <w:rPr>
          <w:rFonts w:ascii="Arial" w:hAnsi="Arial" w:cs="Arial"/>
          <w:b/>
          <w:sz w:val="20"/>
          <w:szCs w:val="20"/>
        </w:rPr>
        <w:t>”</w:t>
      </w:r>
      <w:r>
        <w:rPr>
          <w:rFonts w:ascii="Arial" w:hAnsi="Arial" w:cs="Arial"/>
          <w:b/>
          <w:sz w:val="20"/>
          <w:szCs w:val="20"/>
        </w:rPr>
        <w:t>)</w:t>
      </w:r>
      <w:r>
        <w:rPr>
          <w:rFonts w:ascii="Arial" w:hAnsi="Arial" w:cs="Arial"/>
          <w:sz w:val="20"/>
          <w:szCs w:val="20"/>
        </w:rPr>
        <w:t xml:space="preserve"> today announced its </w:t>
      </w:r>
      <w:r w:rsidR="00F439AE">
        <w:rPr>
          <w:rFonts w:ascii="Arial" w:hAnsi="Arial" w:cs="Arial"/>
          <w:sz w:val="20"/>
          <w:szCs w:val="20"/>
        </w:rPr>
        <w:t xml:space="preserve">unaudited </w:t>
      </w:r>
      <w:r w:rsidR="00DF4E30">
        <w:rPr>
          <w:rFonts w:ascii="Arial" w:hAnsi="Arial" w:cs="Arial"/>
          <w:sz w:val="20"/>
          <w:szCs w:val="20"/>
        </w:rPr>
        <w:t>financial and operating results for the three months and year ended December 31, 2024.</w:t>
      </w:r>
      <w:r w:rsidR="00F439AE">
        <w:rPr>
          <w:rFonts w:ascii="Arial" w:hAnsi="Arial" w:cs="Arial"/>
          <w:sz w:val="20"/>
          <w:szCs w:val="20"/>
        </w:rPr>
        <w:t xml:space="preserve">  </w:t>
      </w:r>
      <w:r w:rsidR="00DF4E30">
        <w:rPr>
          <w:rFonts w:ascii="Arial" w:hAnsi="Arial" w:cs="Arial"/>
          <w:b/>
          <w:sz w:val="20"/>
          <w:szCs w:val="20"/>
        </w:rPr>
        <w:t>All dollar figures are expressed in United States dollars (</w:t>
      </w:r>
      <w:r w:rsidR="003760A5">
        <w:rPr>
          <w:rFonts w:ascii="Arial" w:hAnsi="Arial" w:cs="Arial"/>
          <w:b/>
          <w:sz w:val="20"/>
          <w:szCs w:val="20"/>
        </w:rPr>
        <w:t>“</w:t>
      </w:r>
      <w:r w:rsidR="00DF4E30">
        <w:rPr>
          <w:rFonts w:ascii="Arial" w:hAnsi="Arial" w:cs="Arial"/>
          <w:b/>
          <w:sz w:val="20"/>
          <w:szCs w:val="20"/>
        </w:rPr>
        <w:t>USD</w:t>
      </w:r>
      <w:r w:rsidR="003760A5">
        <w:rPr>
          <w:rFonts w:ascii="Arial" w:hAnsi="Arial" w:cs="Arial"/>
          <w:b/>
          <w:sz w:val="20"/>
          <w:szCs w:val="20"/>
        </w:rPr>
        <w:t>”</w:t>
      </w:r>
      <w:r w:rsidR="00DF4E30">
        <w:rPr>
          <w:rFonts w:ascii="Arial" w:hAnsi="Arial" w:cs="Arial"/>
          <w:b/>
          <w:sz w:val="20"/>
          <w:szCs w:val="20"/>
        </w:rPr>
        <w:t>) unless otherwise stated.</w:t>
      </w:r>
    </w:p>
    <w:p w14:paraId="2098ECF8" w14:textId="62142444" w:rsidR="00DF4E30" w:rsidRDefault="00DF4E30" w:rsidP="00DF4E30">
      <w:pPr>
        <w:widowControl w:val="0"/>
        <w:spacing w:before="120"/>
        <w:jc w:val="both"/>
        <w:rPr>
          <w:rFonts w:ascii="Arial" w:hAnsi="Arial" w:cs="Arial"/>
          <w:sz w:val="20"/>
          <w:szCs w:val="20"/>
        </w:rPr>
      </w:pPr>
      <w:r>
        <w:rPr>
          <w:rFonts w:ascii="Arial" w:hAnsi="Arial" w:cs="Arial"/>
          <w:sz w:val="20"/>
          <w:szCs w:val="20"/>
        </w:rPr>
        <w:t>In the following discussion, the three months and the year ended December 31, 2024 may be referred to as “Q4 2024” and “2024”, respectively.  The comparative three months and year ended December 31, 2023 may be referred to as “Q4 2023” and “2023”, respectively.</w:t>
      </w:r>
    </w:p>
    <w:p w14:paraId="0FC864BC" w14:textId="1D0F8D43" w:rsidR="002D3101" w:rsidRPr="00902562" w:rsidRDefault="00411AD2" w:rsidP="002D3101">
      <w:pPr>
        <w:widowControl w:val="0"/>
        <w:spacing w:before="120"/>
        <w:jc w:val="both"/>
        <w:rPr>
          <w:rFonts w:ascii="Arial" w:hAnsi="Arial" w:cs="Arial"/>
          <w:b/>
          <w:bCs/>
          <w:caps/>
          <w:color w:val="000000"/>
          <w:sz w:val="20"/>
          <w:szCs w:val="20"/>
        </w:rPr>
      </w:pPr>
      <w:r>
        <w:rPr>
          <w:rFonts w:ascii="Arial" w:hAnsi="Arial" w:cs="Arial"/>
          <w:b/>
          <w:bCs/>
          <w:caps/>
          <w:color w:val="000000"/>
          <w:sz w:val="20"/>
          <w:szCs w:val="20"/>
        </w:rPr>
        <w:t>Q</w:t>
      </w:r>
      <w:r w:rsidR="00DF4E30">
        <w:rPr>
          <w:rFonts w:ascii="Arial" w:hAnsi="Arial" w:cs="Arial"/>
          <w:b/>
          <w:bCs/>
          <w:caps/>
          <w:color w:val="000000"/>
          <w:sz w:val="20"/>
          <w:szCs w:val="20"/>
        </w:rPr>
        <w:t>4</w:t>
      </w:r>
      <w:r>
        <w:rPr>
          <w:rFonts w:ascii="Arial" w:hAnsi="Arial" w:cs="Arial"/>
          <w:b/>
          <w:bCs/>
          <w:caps/>
          <w:color w:val="000000"/>
          <w:sz w:val="20"/>
          <w:szCs w:val="20"/>
        </w:rPr>
        <w:t xml:space="preserve"> </w:t>
      </w:r>
      <w:r w:rsidR="002D3101">
        <w:rPr>
          <w:rFonts w:ascii="Arial" w:hAnsi="Arial" w:cs="Arial"/>
          <w:b/>
          <w:bCs/>
          <w:caps/>
          <w:color w:val="000000"/>
          <w:sz w:val="20"/>
          <w:szCs w:val="20"/>
        </w:rPr>
        <w:t>202</w:t>
      </w:r>
      <w:r w:rsidR="00C47CAE">
        <w:rPr>
          <w:rFonts w:ascii="Arial" w:hAnsi="Arial" w:cs="Arial"/>
          <w:b/>
          <w:bCs/>
          <w:caps/>
          <w:color w:val="000000"/>
          <w:sz w:val="20"/>
          <w:szCs w:val="20"/>
        </w:rPr>
        <w:t>4</w:t>
      </w:r>
      <w:r w:rsidR="002D3101">
        <w:rPr>
          <w:rFonts w:ascii="Arial" w:hAnsi="Arial" w:cs="Arial"/>
          <w:b/>
          <w:bCs/>
          <w:caps/>
          <w:color w:val="000000"/>
          <w:sz w:val="20"/>
          <w:szCs w:val="20"/>
        </w:rPr>
        <w:t xml:space="preserve"> SUMMARY</w:t>
      </w:r>
    </w:p>
    <w:p w14:paraId="15CD3FC4" w14:textId="539A4CC6" w:rsidR="002D3101" w:rsidRPr="00902562" w:rsidRDefault="002D3101" w:rsidP="002D3101">
      <w:pPr>
        <w:widowControl w:val="0"/>
        <w:autoSpaceDE w:val="0"/>
        <w:autoSpaceDN w:val="0"/>
        <w:adjustRightInd w:val="0"/>
        <w:spacing w:before="120" w:line="240" w:lineRule="atLeast"/>
        <w:jc w:val="both"/>
        <w:rPr>
          <w:rFonts w:ascii="Arial" w:hAnsi="Arial" w:cs="Arial"/>
          <w:sz w:val="20"/>
          <w:szCs w:val="20"/>
        </w:rPr>
      </w:pPr>
      <w:r>
        <w:rPr>
          <w:rFonts w:ascii="Arial" w:hAnsi="Arial" w:cs="Arial"/>
          <w:sz w:val="20"/>
          <w:szCs w:val="20"/>
        </w:rPr>
        <w:t xml:space="preserve">During </w:t>
      </w:r>
      <w:r w:rsidR="00411AD2">
        <w:rPr>
          <w:rFonts w:ascii="Arial" w:hAnsi="Arial" w:cs="Arial"/>
          <w:sz w:val="20"/>
          <w:szCs w:val="20"/>
        </w:rPr>
        <w:t>Q</w:t>
      </w:r>
      <w:r w:rsidR="00DF4E30">
        <w:rPr>
          <w:rFonts w:ascii="Arial" w:hAnsi="Arial" w:cs="Arial"/>
          <w:sz w:val="20"/>
          <w:szCs w:val="20"/>
        </w:rPr>
        <w:t>4</w:t>
      </w:r>
      <w:r w:rsidR="00411AD2">
        <w:rPr>
          <w:rFonts w:ascii="Arial" w:hAnsi="Arial" w:cs="Arial"/>
          <w:sz w:val="20"/>
          <w:szCs w:val="20"/>
        </w:rPr>
        <w:t xml:space="preserve"> </w:t>
      </w:r>
      <w:r>
        <w:rPr>
          <w:rFonts w:ascii="Arial" w:hAnsi="Arial" w:cs="Arial"/>
          <w:sz w:val="20"/>
          <w:szCs w:val="20"/>
        </w:rPr>
        <w:t>202</w:t>
      </w:r>
      <w:r w:rsidR="00C47CAE">
        <w:rPr>
          <w:rFonts w:ascii="Arial" w:hAnsi="Arial" w:cs="Arial"/>
          <w:sz w:val="20"/>
          <w:szCs w:val="20"/>
        </w:rPr>
        <w:t>4</w:t>
      </w:r>
      <w:r>
        <w:rPr>
          <w:rFonts w:ascii="Arial" w:hAnsi="Arial" w:cs="Arial"/>
          <w:sz w:val="20"/>
          <w:szCs w:val="20"/>
        </w:rPr>
        <w:t>, the Company:</w:t>
      </w:r>
    </w:p>
    <w:p w14:paraId="7E13EFE8" w14:textId="712D2FCE" w:rsidR="002D3101" w:rsidRPr="007513DE" w:rsidRDefault="002D3101" w:rsidP="002D310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sidRPr="007513DE">
        <w:rPr>
          <w:rFonts w:ascii="Arial" w:hAnsi="Arial" w:cs="Arial"/>
          <w:sz w:val="20"/>
          <w:szCs w:val="20"/>
        </w:rPr>
        <w:t xml:space="preserve">Reported net </w:t>
      </w:r>
      <w:r w:rsidRPr="003B2E4F">
        <w:rPr>
          <w:rFonts w:ascii="Arial" w:hAnsi="Arial" w:cs="Arial"/>
          <w:sz w:val="20"/>
          <w:szCs w:val="20"/>
        </w:rPr>
        <w:t xml:space="preserve">cash </w:t>
      </w:r>
      <w:r w:rsidR="00080951" w:rsidRPr="003B2E4F">
        <w:rPr>
          <w:rFonts w:ascii="Arial" w:hAnsi="Arial" w:cs="Arial"/>
          <w:sz w:val="20"/>
          <w:szCs w:val="20"/>
        </w:rPr>
        <w:t>used in</w:t>
      </w:r>
      <w:r w:rsidRPr="003B2E4F">
        <w:rPr>
          <w:rFonts w:ascii="Arial" w:hAnsi="Arial" w:cs="Arial"/>
          <w:sz w:val="20"/>
          <w:szCs w:val="20"/>
        </w:rPr>
        <w:t xml:space="preserve"> operating activities </w:t>
      </w:r>
      <w:r w:rsidR="00080951" w:rsidRPr="003B2E4F">
        <w:rPr>
          <w:rFonts w:ascii="Arial" w:hAnsi="Arial" w:cs="Arial"/>
          <w:sz w:val="20"/>
          <w:szCs w:val="20"/>
        </w:rPr>
        <w:t xml:space="preserve">of </w:t>
      </w:r>
      <w:r w:rsidR="004A129C" w:rsidRPr="003B2E4F">
        <w:rPr>
          <w:rFonts w:ascii="Arial" w:hAnsi="Arial" w:cs="Arial"/>
          <w:sz w:val="20"/>
          <w:szCs w:val="20"/>
        </w:rPr>
        <w:t>$</w:t>
      </w:r>
      <w:r w:rsidR="004A129C">
        <w:rPr>
          <w:rFonts w:ascii="Arial" w:hAnsi="Arial" w:cs="Arial"/>
          <w:sz w:val="20"/>
          <w:szCs w:val="20"/>
        </w:rPr>
        <w:t xml:space="preserve">1.5 </w:t>
      </w:r>
      <w:r w:rsidR="00080951" w:rsidRPr="003B2E4F">
        <w:rPr>
          <w:rFonts w:ascii="Arial" w:hAnsi="Arial" w:cs="Arial"/>
          <w:sz w:val="20"/>
          <w:szCs w:val="20"/>
        </w:rPr>
        <w:t xml:space="preserve">million </w:t>
      </w:r>
      <w:r w:rsidRPr="003B2E4F">
        <w:rPr>
          <w:rFonts w:ascii="Arial" w:hAnsi="Arial" w:cs="Arial"/>
          <w:sz w:val="20"/>
          <w:szCs w:val="20"/>
        </w:rPr>
        <w:t xml:space="preserve">and funds flow </w:t>
      </w:r>
      <w:r w:rsidR="00F739B4">
        <w:rPr>
          <w:rFonts w:ascii="Arial" w:hAnsi="Arial" w:cs="Arial"/>
          <w:sz w:val="20"/>
          <w:szCs w:val="20"/>
        </w:rPr>
        <w:t>provided</w:t>
      </w:r>
      <w:r w:rsidR="00776BE8">
        <w:rPr>
          <w:rFonts w:ascii="Arial" w:hAnsi="Arial" w:cs="Arial"/>
          <w:sz w:val="20"/>
          <w:szCs w:val="20"/>
        </w:rPr>
        <w:t xml:space="preserve"> </w:t>
      </w:r>
      <w:r w:rsidR="00DF4E30">
        <w:rPr>
          <w:rFonts w:ascii="Arial" w:hAnsi="Arial" w:cs="Arial"/>
          <w:sz w:val="20"/>
          <w:szCs w:val="20"/>
        </w:rPr>
        <w:t>by</w:t>
      </w:r>
      <w:r w:rsidRPr="003B2E4F">
        <w:rPr>
          <w:rFonts w:ascii="Arial" w:hAnsi="Arial" w:cs="Arial"/>
          <w:sz w:val="20"/>
          <w:szCs w:val="20"/>
        </w:rPr>
        <w:t xml:space="preserve"> operating activities of $</w:t>
      </w:r>
      <w:r w:rsidR="00DF4E30">
        <w:rPr>
          <w:rFonts w:ascii="Arial" w:hAnsi="Arial" w:cs="Arial"/>
          <w:sz w:val="20"/>
          <w:szCs w:val="20"/>
        </w:rPr>
        <w:t>1</w:t>
      </w:r>
      <w:r w:rsidR="00776BE8">
        <w:rPr>
          <w:rFonts w:ascii="Arial" w:hAnsi="Arial" w:cs="Arial"/>
          <w:sz w:val="20"/>
          <w:szCs w:val="20"/>
        </w:rPr>
        <w:t>.</w:t>
      </w:r>
      <w:r w:rsidR="00F739B4">
        <w:rPr>
          <w:rFonts w:ascii="Arial" w:hAnsi="Arial" w:cs="Arial"/>
          <w:sz w:val="20"/>
          <w:szCs w:val="20"/>
        </w:rPr>
        <w:t>0</w:t>
      </w:r>
      <w:r w:rsidR="00411AD2" w:rsidRPr="003B2E4F">
        <w:rPr>
          <w:rFonts w:ascii="Arial" w:hAnsi="Arial" w:cs="Arial"/>
          <w:sz w:val="20"/>
          <w:szCs w:val="20"/>
        </w:rPr>
        <w:t xml:space="preserve"> </w:t>
      </w:r>
      <w:r w:rsidRPr="003B2E4F">
        <w:rPr>
          <w:rFonts w:ascii="Arial" w:hAnsi="Arial" w:cs="Arial"/>
          <w:sz w:val="20"/>
          <w:szCs w:val="20"/>
        </w:rPr>
        <w:t>million;</w:t>
      </w:r>
      <w:r w:rsidRPr="007513DE">
        <w:rPr>
          <w:rFonts w:ascii="Arial" w:hAnsi="Arial" w:cs="Arial"/>
          <w:sz w:val="20"/>
          <w:szCs w:val="20"/>
        </w:rPr>
        <w:t xml:space="preserve"> </w:t>
      </w:r>
    </w:p>
    <w:p w14:paraId="5DE78FD7" w14:textId="768AD847" w:rsidR="002D3101" w:rsidRDefault="002D3101" w:rsidP="002D310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Earned $</w:t>
      </w:r>
      <w:r w:rsidR="00DF4E30">
        <w:rPr>
          <w:rFonts w:ascii="Arial" w:hAnsi="Arial" w:cs="Arial"/>
          <w:sz w:val="20"/>
          <w:szCs w:val="20"/>
        </w:rPr>
        <w:t>19.6</w:t>
      </w:r>
      <w:r>
        <w:rPr>
          <w:rFonts w:ascii="Arial" w:hAnsi="Arial" w:cs="Arial"/>
          <w:sz w:val="20"/>
          <w:szCs w:val="20"/>
        </w:rPr>
        <w:t xml:space="preserve"> million of oil and natural gas sales revenue on total average daily sales volumes of </w:t>
      </w:r>
      <w:r w:rsidR="00DF4E30">
        <w:rPr>
          <w:rFonts w:ascii="Arial" w:hAnsi="Arial" w:cs="Arial"/>
          <w:sz w:val="20"/>
          <w:szCs w:val="20"/>
        </w:rPr>
        <w:t>3,335</w:t>
      </w:r>
      <w:r w:rsidR="00411AD2">
        <w:rPr>
          <w:rFonts w:ascii="Arial" w:hAnsi="Arial" w:cs="Arial"/>
          <w:sz w:val="20"/>
          <w:szCs w:val="20"/>
        </w:rPr>
        <w:t xml:space="preserve"> </w:t>
      </w:r>
      <w:r>
        <w:rPr>
          <w:rFonts w:ascii="Arial" w:hAnsi="Arial" w:cs="Arial"/>
          <w:sz w:val="20"/>
          <w:szCs w:val="20"/>
        </w:rPr>
        <w:t>BOE per day</w:t>
      </w:r>
      <w:r w:rsidR="00B9212F">
        <w:rPr>
          <w:rFonts w:ascii="Arial" w:hAnsi="Arial" w:cs="Arial"/>
          <w:sz w:val="20"/>
          <w:szCs w:val="20"/>
        </w:rPr>
        <w:t xml:space="preserve">. The increase in comparison to previous quarters is </w:t>
      </w:r>
      <w:r w:rsidR="000F4E28">
        <w:rPr>
          <w:rFonts w:ascii="Arial" w:hAnsi="Arial" w:cs="Arial"/>
          <w:sz w:val="20"/>
          <w:szCs w:val="20"/>
        </w:rPr>
        <w:t>due</w:t>
      </w:r>
      <w:r w:rsidR="00BE4A40">
        <w:rPr>
          <w:rFonts w:ascii="Arial" w:hAnsi="Arial" w:cs="Arial"/>
          <w:sz w:val="20"/>
          <w:szCs w:val="20"/>
        </w:rPr>
        <w:t xml:space="preserve"> </w:t>
      </w:r>
      <w:r w:rsidR="000F4E28" w:rsidRPr="000F4E28">
        <w:rPr>
          <w:rFonts w:ascii="Arial" w:hAnsi="Arial" w:cs="Arial"/>
          <w:sz w:val="20"/>
          <w:szCs w:val="20"/>
        </w:rPr>
        <w:t>to</w:t>
      </w:r>
      <w:r w:rsidR="00DF4E30">
        <w:rPr>
          <w:rFonts w:ascii="Arial" w:hAnsi="Arial" w:cs="Arial"/>
          <w:sz w:val="20"/>
          <w:szCs w:val="20"/>
        </w:rPr>
        <w:t xml:space="preserve"> the</w:t>
      </w:r>
      <w:r w:rsidR="000F4E28" w:rsidRPr="000F4E28">
        <w:rPr>
          <w:rFonts w:ascii="Arial" w:hAnsi="Arial" w:cs="Arial"/>
          <w:sz w:val="20"/>
          <w:szCs w:val="20"/>
        </w:rPr>
        <w:t xml:space="preserve"> </w:t>
      </w:r>
      <w:r w:rsidR="00080951">
        <w:rPr>
          <w:rFonts w:ascii="Arial" w:hAnsi="Arial" w:cs="Arial"/>
          <w:sz w:val="20"/>
          <w:szCs w:val="20"/>
        </w:rPr>
        <w:t>oil</w:t>
      </w:r>
      <w:r w:rsidR="000F4E28" w:rsidRPr="000F4E28">
        <w:rPr>
          <w:rFonts w:ascii="Arial" w:hAnsi="Arial" w:cs="Arial"/>
          <w:sz w:val="20"/>
          <w:szCs w:val="20"/>
        </w:rPr>
        <w:t xml:space="preserve"> sales volumes </w:t>
      </w:r>
      <w:r w:rsidR="00DF4E30">
        <w:rPr>
          <w:rFonts w:ascii="Arial" w:hAnsi="Arial" w:cs="Arial"/>
          <w:sz w:val="20"/>
          <w:szCs w:val="20"/>
        </w:rPr>
        <w:t xml:space="preserve">from the Santa Cruz Concessions </w:t>
      </w:r>
      <w:r w:rsidR="0018409C">
        <w:rPr>
          <w:rFonts w:ascii="Arial" w:hAnsi="Arial" w:cs="Arial"/>
          <w:sz w:val="20"/>
          <w:szCs w:val="20"/>
        </w:rPr>
        <w:t xml:space="preserve">(as defined below) </w:t>
      </w:r>
      <w:r w:rsidR="00DF4E30">
        <w:rPr>
          <w:rFonts w:ascii="Arial" w:hAnsi="Arial" w:cs="Arial"/>
          <w:sz w:val="20"/>
          <w:szCs w:val="20"/>
        </w:rPr>
        <w:t>since the closing date on October 31, 2024</w:t>
      </w:r>
      <w:r w:rsidR="00545595">
        <w:rPr>
          <w:rFonts w:ascii="Arial" w:hAnsi="Arial" w:cs="Arial"/>
          <w:sz w:val="20"/>
          <w:szCs w:val="20"/>
        </w:rPr>
        <w:t>;</w:t>
      </w:r>
    </w:p>
    <w:p w14:paraId="17860EFD" w14:textId="7381BDEA" w:rsidR="002D3101" w:rsidRDefault="002D3101" w:rsidP="002D310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Received an average of $</w:t>
      </w:r>
      <w:r w:rsidR="00DF4E30">
        <w:rPr>
          <w:rFonts w:ascii="Arial" w:hAnsi="Arial" w:cs="Arial"/>
          <w:sz w:val="20"/>
          <w:szCs w:val="20"/>
        </w:rPr>
        <w:t>2.52</w:t>
      </w:r>
      <w:r w:rsidR="00BE4A40">
        <w:rPr>
          <w:rFonts w:ascii="Arial" w:hAnsi="Arial" w:cs="Arial"/>
          <w:sz w:val="20"/>
          <w:szCs w:val="20"/>
        </w:rPr>
        <w:t xml:space="preserve"> </w:t>
      </w:r>
      <w:r>
        <w:rPr>
          <w:rFonts w:ascii="Arial" w:hAnsi="Arial" w:cs="Arial"/>
          <w:sz w:val="20"/>
          <w:szCs w:val="20"/>
        </w:rPr>
        <w:t>per mcf for natural gas and $</w:t>
      </w:r>
      <w:r w:rsidR="00DF4E30">
        <w:rPr>
          <w:rFonts w:ascii="Arial" w:hAnsi="Arial" w:cs="Arial"/>
          <w:sz w:val="20"/>
          <w:szCs w:val="20"/>
        </w:rPr>
        <w:t>71.67</w:t>
      </w:r>
      <w:r>
        <w:rPr>
          <w:rFonts w:ascii="Arial" w:hAnsi="Arial" w:cs="Arial"/>
          <w:sz w:val="20"/>
          <w:szCs w:val="20"/>
        </w:rPr>
        <w:t xml:space="preserve"> per bbl for oil;</w:t>
      </w:r>
    </w:p>
    <w:p w14:paraId="0CF9B842" w14:textId="1BD3FDF0" w:rsidR="002D3101" w:rsidRDefault="002D3101" w:rsidP="002D310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Reported a</w:t>
      </w:r>
      <w:r w:rsidR="00315F52">
        <w:rPr>
          <w:rFonts w:ascii="Arial" w:hAnsi="Arial" w:cs="Arial"/>
          <w:sz w:val="20"/>
          <w:szCs w:val="20"/>
        </w:rPr>
        <w:t>n</w:t>
      </w:r>
      <w:r w:rsidR="00722FAB">
        <w:rPr>
          <w:rFonts w:ascii="Arial" w:hAnsi="Arial" w:cs="Arial"/>
          <w:sz w:val="20"/>
          <w:szCs w:val="20"/>
        </w:rPr>
        <w:t xml:space="preserve"> </w:t>
      </w:r>
      <w:r>
        <w:rPr>
          <w:rFonts w:ascii="Arial" w:hAnsi="Arial" w:cs="Arial"/>
          <w:sz w:val="20"/>
          <w:szCs w:val="20"/>
        </w:rPr>
        <w:t>operating netback of $</w:t>
      </w:r>
      <w:r w:rsidR="00DF4E30">
        <w:rPr>
          <w:rFonts w:ascii="Arial" w:hAnsi="Arial" w:cs="Arial"/>
          <w:sz w:val="20"/>
          <w:szCs w:val="20"/>
        </w:rPr>
        <w:t>3.96</w:t>
      </w:r>
      <w:r>
        <w:rPr>
          <w:rFonts w:ascii="Arial" w:hAnsi="Arial" w:cs="Arial"/>
          <w:sz w:val="20"/>
          <w:szCs w:val="20"/>
        </w:rPr>
        <w:t xml:space="preserve"> per BOE</w:t>
      </w:r>
      <w:r>
        <w:rPr>
          <w:rStyle w:val="FootnoteReference"/>
          <w:rFonts w:ascii="Arial" w:hAnsi="Arial" w:cs="Arial"/>
          <w:sz w:val="20"/>
          <w:szCs w:val="20"/>
        </w:rPr>
        <w:footnoteReference w:id="2"/>
      </w:r>
      <w:r>
        <w:rPr>
          <w:rFonts w:ascii="Arial" w:hAnsi="Arial" w:cs="Arial"/>
          <w:sz w:val="20"/>
          <w:szCs w:val="20"/>
        </w:rPr>
        <w:t xml:space="preserve">; </w:t>
      </w:r>
    </w:p>
    <w:p w14:paraId="737C1EDC" w14:textId="7D015B9F" w:rsidR="009D02A2" w:rsidRPr="00C218C9" w:rsidRDefault="002D3101" w:rsidP="00426ED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sidRPr="00C218C9">
        <w:rPr>
          <w:rFonts w:ascii="Arial" w:hAnsi="Arial" w:cs="Arial"/>
          <w:sz w:val="20"/>
          <w:szCs w:val="20"/>
        </w:rPr>
        <w:t>Obtained $</w:t>
      </w:r>
      <w:r w:rsidR="00C218C9" w:rsidRPr="00C218C9">
        <w:rPr>
          <w:rFonts w:ascii="Arial" w:hAnsi="Arial" w:cs="Arial"/>
          <w:sz w:val="20"/>
          <w:szCs w:val="20"/>
        </w:rPr>
        <w:t>13.9</w:t>
      </w:r>
      <w:r w:rsidR="00BE4A40" w:rsidRPr="00C218C9">
        <w:rPr>
          <w:rFonts w:ascii="Arial" w:hAnsi="Arial" w:cs="Arial"/>
          <w:sz w:val="20"/>
          <w:szCs w:val="20"/>
        </w:rPr>
        <w:t xml:space="preserve"> </w:t>
      </w:r>
      <w:r w:rsidRPr="00C218C9">
        <w:rPr>
          <w:rFonts w:ascii="Arial" w:hAnsi="Arial" w:cs="Arial"/>
          <w:sz w:val="20"/>
          <w:szCs w:val="20"/>
        </w:rPr>
        <w:t>million</w:t>
      </w:r>
      <w:r w:rsidR="007E4CAF" w:rsidRPr="00C218C9">
        <w:rPr>
          <w:rFonts w:ascii="Arial" w:hAnsi="Arial" w:cs="Arial"/>
          <w:sz w:val="20"/>
          <w:szCs w:val="20"/>
        </w:rPr>
        <w:t xml:space="preserve"> </w:t>
      </w:r>
      <w:r w:rsidRPr="00C218C9">
        <w:rPr>
          <w:rFonts w:ascii="Arial" w:hAnsi="Arial" w:cs="Arial"/>
          <w:sz w:val="20"/>
          <w:szCs w:val="20"/>
        </w:rPr>
        <w:t>of working capital</w:t>
      </w:r>
      <w:r w:rsidR="009D02A2" w:rsidRPr="00C218C9">
        <w:rPr>
          <w:rFonts w:ascii="Arial" w:hAnsi="Arial" w:cs="Arial"/>
          <w:sz w:val="20"/>
          <w:szCs w:val="20"/>
        </w:rPr>
        <w:t xml:space="preserve"> and </w:t>
      </w:r>
      <w:r w:rsidRPr="00C218C9">
        <w:rPr>
          <w:rFonts w:ascii="Arial" w:hAnsi="Arial" w:cs="Arial"/>
          <w:sz w:val="20"/>
          <w:szCs w:val="20"/>
        </w:rPr>
        <w:t>overdraft loans</w:t>
      </w:r>
      <w:r w:rsidR="001D58C0" w:rsidRPr="00C218C9">
        <w:rPr>
          <w:rFonts w:ascii="Arial" w:hAnsi="Arial" w:cs="Arial"/>
          <w:sz w:val="20"/>
          <w:szCs w:val="20"/>
        </w:rPr>
        <w:t>, i</w:t>
      </w:r>
      <w:r w:rsidR="001D58C0" w:rsidRPr="00C218C9">
        <w:rPr>
          <w:rFonts w:ascii="Arial" w:eastAsia="Arial" w:hAnsi="Arial" w:cs="Arial"/>
          <w:sz w:val="20"/>
          <w:szCs w:val="20"/>
        </w:rPr>
        <w:t xml:space="preserve">ssued </w:t>
      </w:r>
      <w:r w:rsidR="001D58C0" w:rsidRPr="00C218C9">
        <w:rPr>
          <w:rFonts w:ascii="Arial" w:hAnsi="Arial" w:cs="Arial"/>
          <w:sz w:val="20"/>
          <w:szCs w:val="20"/>
        </w:rPr>
        <w:t>$</w:t>
      </w:r>
      <w:r w:rsidR="00C218C9" w:rsidRPr="00C218C9">
        <w:rPr>
          <w:rFonts w:ascii="Arial" w:hAnsi="Arial" w:cs="Arial"/>
          <w:sz w:val="20"/>
          <w:szCs w:val="20"/>
        </w:rPr>
        <w:t>22</w:t>
      </w:r>
      <w:r w:rsidR="001D58C0" w:rsidRPr="00C218C9">
        <w:rPr>
          <w:rFonts w:ascii="Arial" w:hAnsi="Arial" w:cs="Arial"/>
          <w:sz w:val="20"/>
          <w:szCs w:val="20"/>
        </w:rPr>
        <w:t xml:space="preserve"> million principal amount of unsecured fixed-rate Series V</w:t>
      </w:r>
      <w:r w:rsidR="00C218C9" w:rsidRPr="00C218C9">
        <w:rPr>
          <w:rFonts w:ascii="Arial" w:hAnsi="Arial" w:cs="Arial"/>
          <w:sz w:val="20"/>
          <w:szCs w:val="20"/>
        </w:rPr>
        <w:t>I</w:t>
      </w:r>
      <w:r w:rsidR="001D58C0" w:rsidRPr="00C218C9">
        <w:rPr>
          <w:rFonts w:ascii="Arial" w:hAnsi="Arial" w:cs="Arial"/>
          <w:sz w:val="20"/>
          <w:szCs w:val="20"/>
        </w:rPr>
        <w:t xml:space="preserve"> Notes</w:t>
      </w:r>
      <w:r w:rsidR="00C218C9">
        <w:rPr>
          <w:rFonts w:ascii="Arial" w:hAnsi="Arial" w:cs="Arial"/>
          <w:sz w:val="20"/>
          <w:szCs w:val="20"/>
        </w:rPr>
        <w:t xml:space="preserve"> payable</w:t>
      </w:r>
      <w:r w:rsidR="001D58C0" w:rsidRPr="00C218C9">
        <w:rPr>
          <w:rFonts w:ascii="Arial" w:hAnsi="Arial" w:cs="Arial"/>
          <w:sz w:val="20"/>
          <w:szCs w:val="20"/>
        </w:rPr>
        <w:t xml:space="preserve"> </w:t>
      </w:r>
      <w:r w:rsidR="00545595" w:rsidRPr="00C218C9">
        <w:rPr>
          <w:rFonts w:ascii="Arial" w:hAnsi="Arial" w:cs="Arial"/>
          <w:sz w:val="20"/>
          <w:szCs w:val="20"/>
        </w:rPr>
        <w:t xml:space="preserve">and </w:t>
      </w:r>
      <w:r w:rsidR="009D02A2" w:rsidRPr="00C218C9">
        <w:rPr>
          <w:rFonts w:ascii="Arial" w:hAnsi="Arial" w:cs="Arial"/>
          <w:sz w:val="20"/>
          <w:szCs w:val="20"/>
        </w:rPr>
        <w:t>repaid $</w:t>
      </w:r>
      <w:r w:rsidR="00C218C9" w:rsidRPr="00C218C9">
        <w:rPr>
          <w:rFonts w:ascii="Arial" w:hAnsi="Arial" w:cs="Arial"/>
          <w:sz w:val="20"/>
          <w:szCs w:val="20"/>
        </w:rPr>
        <w:t>5.</w:t>
      </w:r>
      <w:r w:rsidR="00C218C9">
        <w:rPr>
          <w:rFonts w:ascii="Arial" w:hAnsi="Arial" w:cs="Arial"/>
          <w:sz w:val="20"/>
          <w:szCs w:val="20"/>
        </w:rPr>
        <w:t>5</w:t>
      </w:r>
      <w:r w:rsidR="009D02A2" w:rsidRPr="00C218C9">
        <w:rPr>
          <w:rFonts w:ascii="Arial" w:hAnsi="Arial" w:cs="Arial"/>
          <w:sz w:val="20"/>
          <w:szCs w:val="20"/>
        </w:rPr>
        <w:t xml:space="preserve"> million of notes payable and $</w:t>
      </w:r>
      <w:r w:rsidR="00C218C9" w:rsidRPr="00C218C9">
        <w:rPr>
          <w:rFonts w:ascii="Arial" w:hAnsi="Arial" w:cs="Arial"/>
          <w:sz w:val="20"/>
          <w:szCs w:val="20"/>
        </w:rPr>
        <w:t>1.2</w:t>
      </w:r>
      <w:r w:rsidR="009D02A2" w:rsidRPr="00C218C9">
        <w:rPr>
          <w:rFonts w:ascii="Arial" w:hAnsi="Arial" w:cs="Arial"/>
          <w:sz w:val="20"/>
          <w:szCs w:val="20"/>
        </w:rPr>
        <w:t xml:space="preserve"> million of working capital and </w:t>
      </w:r>
      <w:r w:rsidR="00C218C9" w:rsidRPr="00C218C9">
        <w:rPr>
          <w:rFonts w:ascii="Arial" w:hAnsi="Arial" w:cs="Arial"/>
          <w:sz w:val="20"/>
          <w:szCs w:val="20"/>
        </w:rPr>
        <w:t>overdraft loans;</w:t>
      </w:r>
    </w:p>
    <w:p w14:paraId="25105F80" w14:textId="02940B9C" w:rsidR="002D3101" w:rsidRPr="009D02A2" w:rsidRDefault="002D3101" w:rsidP="00426ED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sidRPr="009D02A2">
        <w:rPr>
          <w:rFonts w:ascii="Arial" w:hAnsi="Arial" w:cs="Arial"/>
          <w:sz w:val="20"/>
          <w:szCs w:val="20"/>
        </w:rPr>
        <w:t>Reported loss before taxes of $</w:t>
      </w:r>
      <w:r w:rsidR="005834CF">
        <w:rPr>
          <w:rFonts w:ascii="Arial" w:hAnsi="Arial" w:cs="Arial"/>
          <w:sz w:val="20"/>
          <w:szCs w:val="20"/>
        </w:rPr>
        <w:t>3</w:t>
      </w:r>
      <w:r w:rsidR="00570628" w:rsidRPr="009D02A2">
        <w:rPr>
          <w:rFonts w:ascii="Arial" w:hAnsi="Arial" w:cs="Arial"/>
          <w:sz w:val="20"/>
          <w:szCs w:val="20"/>
        </w:rPr>
        <w:t xml:space="preserve"> </w:t>
      </w:r>
      <w:r w:rsidRPr="009D02A2">
        <w:rPr>
          <w:rFonts w:ascii="Arial" w:hAnsi="Arial" w:cs="Arial"/>
          <w:sz w:val="20"/>
          <w:szCs w:val="20"/>
        </w:rPr>
        <w:t>millio</w:t>
      </w:r>
      <w:r w:rsidR="009D02A2">
        <w:rPr>
          <w:rFonts w:ascii="Arial" w:hAnsi="Arial" w:cs="Arial"/>
          <w:sz w:val="20"/>
          <w:szCs w:val="20"/>
        </w:rPr>
        <w:t xml:space="preserve">n </w:t>
      </w:r>
      <w:r w:rsidRPr="009D02A2">
        <w:rPr>
          <w:rFonts w:ascii="Arial" w:hAnsi="Arial" w:cs="Arial"/>
          <w:sz w:val="20"/>
          <w:szCs w:val="20"/>
        </w:rPr>
        <w:t>and a net loss of $</w:t>
      </w:r>
      <w:r w:rsidR="005834CF">
        <w:rPr>
          <w:rFonts w:ascii="Arial" w:hAnsi="Arial" w:cs="Arial"/>
          <w:sz w:val="20"/>
          <w:szCs w:val="20"/>
        </w:rPr>
        <w:t>3.1</w:t>
      </w:r>
      <w:r w:rsidRPr="009D02A2">
        <w:rPr>
          <w:rFonts w:ascii="Arial" w:hAnsi="Arial" w:cs="Arial"/>
          <w:sz w:val="20"/>
          <w:szCs w:val="20"/>
        </w:rPr>
        <w:t xml:space="preserve"> million;</w:t>
      </w:r>
    </w:p>
    <w:p w14:paraId="3E4A0F01" w14:textId="6BA2062C" w:rsidR="00964D5E" w:rsidRPr="00432167" w:rsidRDefault="002D3101" w:rsidP="002D3101">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 xml:space="preserve">Reported </w:t>
      </w:r>
      <w:r w:rsidRPr="00432167">
        <w:rPr>
          <w:rFonts w:ascii="Arial" w:hAnsi="Arial" w:cs="Arial"/>
          <w:sz w:val="20"/>
          <w:szCs w:val="20"/>
        </w:rPr>
        <w:t>a working capital deficit</w:t>
      </w:r>
      <w:r w:rsidRPr="00432167">
        <w:rPr>
          <w:rStyle w:val="FootnoteReference"/>
          <w:rFonts w:ascii="Arial" w:hAnsi="Arial" w:cs="Arial"/>
          <w:sz w:val="20"/>
          <w:szCs w:val="20"/>
        </w:rPr>
        <w:footnoteReference w:id="3"/>
      </w:r>
      <w:r w:rsidRPr="00432167">
        <w:rPr>
          <w:rFonts w:ascii="Arial" w:hAnsi="Arial" w:cs="Arial"/>
          <w:sz w:val="20"/>
          <w:szCs w:val="20"/>
        </w:rPr>
        <w:t xml:space="preserve"> of $</w:t>
      </w:r>
      <w:r w:rsidR="005834CF">
        <w:rPr>
          <w:rFonts w:ascii="Arial" w:hAnsi="Arial" w:cs="Arial"/>
          <w:sz w:val="20"/>
          <w:szCs w:val="20"/>
        </w:rPr>
        <w:t>28.8</w:t>
      </w:r>
      <w:r w:rsidRPr="00432167">
        <w:rPr>
          <w:rFonts w:ascii="Arial" w:hAnsi="Arial" w:cs="Arial"/>
          <w:sz w:val="20"/>
          <w:szCs w:val="20"/>
        </w:rPr>
        <w:t xml:space="preserve"> million</w:t>
      </w:r>
      <w:r w:rsidR="001575D5">
        <w:rPr>
          <w:rFonts w:ascii="Arial" w:hAnsi="Arial" w:cs="Arial"/>
          <w:sz w:val="20"/>
          <w:szCs w:val="20"/>
        </w:rPr>
        <w:t xml:space="preserve">; </w:t>
      </w:r>
    </w:p>
    <w:p w14:paraId="6C5CC0AD" w14:textId="2F184C40" w:rsidR="005834CF" w:rsidRPr="005834CF" w:rsidRDefault="005834CF" w:rsidP="005834CF">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color w:val="000000"/>
          <w:sz w:val="20"/>
          <w:szCs w:val="20"/>
        </w:rPr>
        <w:t>Completed</w:t>
      </w:r>
      <w:r w:rsidRPr="005834CF">
        <w:rPr>
          <w:rFonts w:ascii="Arial" w:hAnsi="Arial" w:cs="Arial"/>
          <w:color w:val="000000"/>
          <w:sz w:val="20"/>
          <w:szCs w:val="20"/>
        </w:rPr>
        <w:t xml:space="preserve"> the acquisition of a 100% operating interest in the Piedra Clavada and Koluel Kaike hydrocarbon exploitation concessions (the </w:t>
      </w:r>
      <w:r w:rsidR="00294150" w:rsidRPr="005834CF">
        <w:rPr>
          <w:rFonts w:ascii="Arial" w:hAnsi="Arial" w:cs="Arial"/>
          <w:color w:val="000000"/>
          <w:sz w:val="20"/>
          <w:szCs w:val="20"/>
        </w:rPr>
        <w:t>“</w:t>
      </w:r>
      <w:r w:rsidRPr="005834CF">
        <w:rPr>
          <w:rFonts w:ascii="Arial" w:hAnsi="Arial" w:cs="Arial"/>
          <w:color w:val="000000"/>
          <w:sz w:val="20"/>
          <w:szCs w:val="20"/>
        </w:rPr>
        <w:t>Santa Cruz Concessions”) from Pan American Energy S.L., Sucursal Argentina for $</w:t>
      </w:r>
      <w:r w:rsidR="00FB65E9">
        <w:rPr>
          <w:rFonts w:ascii="Arial" w:hAnsi="Arial" w:cs="Arial"/>
          <w:color w:val="000000"/>
          <w:sz w:val="20"/>
          <w:szCs w:val="20"/>
        </w:rPr>
        <w:t>25</w:t>
      </w:r>
      <w:r w:rsidRPr="005834CF">
        <w:rPr>
          <w:rFonts w:ascii="Arial" w:hAnsi="Arial" w:cs="Arial"/>
          <w:color w:val="000000"/>
          <w:sz w:val="20"/>
          <w:szCs w:val="20"/>
        </w:rPr>
        <w:t>.</w:t>
      </w:r>
      <w:r w:rsidR="00FB65E9">
        <w:rPr>
          <w:rFonts w:ascii="Arial" w:hAnsi="Arial" w:cs="Arial"/>
          <w:color w:val="000000"/>
          <w:sz w:val="20"/>
          <w:szCs w:val="20"/>
        </w:rPr>
        <w:t>8</w:t>
      </w:r>
      <w:r w:rsidRPr="005834CF">
        <w:rPr>
          <w:rFonts w:ascii="Arial" w:hAnsi="Arial" w:cs="Arial"/>
          <w:color w:val="000000"/>
          <w:sz w:val="20"/>
          <w:szCs w:val="20"/>
        </w:rPr>
        <w:t xml:space="preserve"> million in cash payments plus in-kind contingent consideration payable over a 14-year period</w:t>
      </w:r>
      <w:r w:rsidR="00AC380C">
        <w:rPr>
          <w:rFonts w:ascii="Arial" w:hAnsi="Arial" w:cs="Arial"/>
          <w:color w:val="000000"/>
          <w:sz w:val="20"/>
          <w:szCs w:val="20"/>
        </w:rPr>
        <w:t>; and</w:t>
      </w:r>
    </w:p>
    <w:p w14:paraId="75345A8C" w14:textId="4C2321AB" w:rsidR="00432167" w:rsidRPr="00432167" w:rsidRDefault="005834CF" w:rsidP="005834CF">
      <w:pPr>
        <w:pStyle w:val="ListParagraph"/>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color w:val="000000"/>
          <w:sz w:val="20"/>
          <w:szCs w:val="20"/>
        </w:rPr>
        <w:t xml:space="preserve">Completed the acquisition </w:t>
      </w:r>
      <w:r w:rsidRPr="005834CF">
        <w:rPr>
          <w:rFonts w:ascii="Arial" w:hAnsi="Arial" w:cs="Arial"/>
          <w:color w:val="000000"/>
          <w:sz w:val="20"/>
          <w:szCs w:val="20"/>
        </w:rPr>
        <w:t xml:space="preserve">of a 13.5926% non-operating participating interest </w:t>
      </w:r>
      <w:r>
        <w:rPr>
          <w:rFonts w:ascii="Arial" w:hAnsi="Arial" w:cs="Arial"/>
          <w:color w:val="000000"/>
          <w:sz w:val="20"/>
          <w:szCs w:val="20"/>
        </w:rPr>
        <w:t>i</w:t>
      </w:r>
      <w:r w:rsidRPr="005834CF">
        <w:rPr>
          <w:rFonts w:ascii="Arial" w:hAnsi="Arial" w:cs="Arial"/>
          <w:color w:val="000000"/>
          <w:sz w:val="20"/>
          <w:szCs w:val="20"/>
        </w:rPr>
        <w:t xml:space="preserve">n </w:t>
      </w:r>
      <w:r w:rsidR="00AC380C">
        <w:rPr>
          <w:rFonts w:ascii="Arial" w:hAnsi="Arial" w:cs="Arial"/>
          <w:color w:val="000000"/>
          <w:sz w:val="20"/>
          <w:szCs w:val="20"/>
        </w:rPr>
        <w:t xml:space="preserve">the </w:t>
      </w:r>
      <w:r w:rsidRPr="005834CF">
        <w:rPr>
          <w:rFonts w:ascii="Arial" w:hAnsi="Arial" w:cs="Arial"/>
          <w:color w:val="000000"/>
          <w:sz w:val="20"/>
          <w:szCs w:val="20"/>
        </w:rPr>
        <w:t xml:space="preserve">TDF Concessions </w:t>
      </w:r>
      <w:r w:rsidR="00294150">
        <w:rPr>
          <w:rFonts w:ascii="Arial" w:hAnsi="Arial" w:cs="Arial"/>
          <w:color w:val="000000"/>
          <w:sz w:val="20"/>
          <w:szCs w:val="20"/>
        </w:rPr>
        <w:t xml:space="preserve">(as defined below) </w:t>
      </w:r>
      <w:r w:rsidRPr="005834CF">
        <w:rPr>
          <w:rFonts w:ascii="Arial" w:hAnsi="Arial" w:cs="Arial"/>
          <w:color w:val="000000"/>
          <w:sz w:val="20"/>
          <w:szCs w:val="20"/>
        </w:rPr>
        <w:t>from an arm’s length party for $0.8 million in cash payments</w:t>
      </w:r>
      <w:r>
        <w:rPr>
          <w:rFonts w:ascii="Arial" w:hAnsi="Arial" w:cs="Arial"/>
          <w:color w:val="000000"/>
          <w:sz w:val="20"/>
          <w:szCs w:val="20"/>
        </w:rPr>
        <w:t>.</w:t>
      </w:r>
    </w:p>
    <w:p w14:paraId="44134682" w14:textId="77777777" w:rsidR="002D3101" w:rsidRPr="00432167" w:rsidRDefault="002D3101" w:rsidP="002D3101">
      <w:pPr>
        <w:rPr>
          <w:rFonts w:ascii="Arial" w:hAnsi="Arial" w:cs="Arial"/>
          <w:b/>
          <w:bCs/>
          <w:caps/>
          <w:color w:val="000000"/>
          <w:sz w:val="20"/>
          <w:szCs w:val="20"/>
        </w:rPr>
      </w:pPr>
    </w:p>
    <w:p w14:paraId="3284B894" w14:textId="77777777" w:rsidR="002D3101" w:rsidRPr="00432167" w:rsidRDefault="002D3101" w:rsidP="002D3101">
      <w:pPr>
        <w:widowControl w:val="0"/>
        <w:rPr>
          <w:rFonts w:ascii="Arial" w:hAnsi="Arial" w:cs="Arial"/>
          <w:b/>
          <w:bCs/>
          <w:caps/>
          <w:color w:val="000000"/>
          <w:sz w:val="20"/>
          <w:szCs w:val="20"/>
        </w:rPr>
      </w:pPr>
      <w:r w:rsidRPr="00432167">
        <w:rPr>
          <w:rFonts w:ascii="Arial" w:hAnsi="Arial" w:cs="Arial"/>
          <w:b/>
          <w:bCs/>
          <w:caps/>
          <w:color w:val="000000"/>
          <w:sz w:val="20"/>
          <w:szCs w:val="20"/>
        </w:rPr>
        <w:t>SUBSEQUENT EVENTS</w:t>
      </w:r>
    </w:p>
    <w:p w14:paraId="28A9D557" w14:textId="484FD916" w:rsidR="002D3101" w:rsidRDefault="002D3101" w:rsidP="002D3101">
      <w:pPr>
        <w:widowControl w:val="0"/>
        <w:autoSpaceDE w:val="0"/>
        <w:autoSpaceDN w:val="0"/>
        <w:adjustRightInd w:val="0"/>
        <w:spacing w:before="120" w:line="240" w:lineRule="atLeast"/>
        <w:jc w:val="both"/>
        <w:rPr>
          <w:rFonts w:ascii="Arial" w:hAnsi="Arial" w:cs="Arial"/>
          <w:sz w:val="20"/>
          <w:szCs w:val="20"/>
        </w:rPr>
      </w:pPr>
      <w:r w:rsidRPr="00432167">
        <w:rPr>
          <w:rFonts w:ascii="Arial" w:hAnsi="Arial" w:cs="Arial"/>
          <w:sz w:val="20"/>
          <w:szCs w:val="20"/>
        </w:rPr>
        <w:t xml:space="preserve">Subsequent to </w:t>
      </w:r>
      <w:r w:rsidR="005834CF">
        <w:rPr>
          <w:rFonts w:ascii="Arial" w:hAnsi="Arial" w:cs="Arial"/>
          <w:sz w:val="20"/>
          <w:szCs w:val="20"/>
        </w:rPr>
        <w:t>December</w:t>
      </w:r>
      <w:r w:rsidR="00767960">
        <w:rPr>
          <w:rFonts w:ascii="Arial" w:hAnsi="Arial" w:cs="Arial"/>
          <w:sz w:val="20"/>
          <w:szCs w:val="20"/>
        </w:rPr>
        <w:t xml:space="preserve"> </w:t>
      </w:r>
      <w:r w:rsidR="005834CF">
        <w:rPr>
          <w:rFonts w:ascii="Arial" w:hAnsi="Arial" w:cs="Arial"/>
          <w:sz w:val="20"/>
          <w:szCs w:val="20"/>
        </w:rPr>
        <w:t>31</w:t>
      </w:r>
      <w:r>
        <w:rPr>
          <w:rFonts w:ascii="Arial" w:hAnsi="Arial" w:cs="Arial"/>
          <w:sz w:val="20"/>
          <w:szCs w:val="20"/>
        </w:rPr>
        <w:t>,</w:t>
      </w:r>
      <w:r w:rsidR="001B40D9">
        <w:rPr>
          <w:rFonts w:ascii="Arial" w:hAnsi="Arial" w:cs="Arial"/>
          <w:sz w:val="20"/>
          <w:szCs w:val="20"/>
        </w:rPr>
        <w:t xml:space="preserve"> 202</w:t>
      </w:r>
      <w:r w:rsidR="007E266C">
        <w:rPr>
          <w:rFonts w:ascii="Arial" w:hAnsi="Arial" w:cs="Arial"/>
          <w:sz w:val="20"/>
          <w:szCs w:val="20"/>
        </w:rPr>
        <w:t>4</w:t>
      </w:r>
      <w:r>
        <w:rPr>
          <w:rFonts w:ascii="Arial" w:hAnsi="Arial" w:cs="Arial"/>
          <w:sz w:val="20"/>
          <w:szCs w:val="20"/>
        </w:rPr>
        <w:t xml:space="preserve"> the Company:</w:t>
      </w:r>
    </w:p>
    <w:p w14:paraId="166A40B3" w14:textId="6C58EF71" w:rsidR="002D3101" w:rsidRPr="006761DF" w:rsidRDefault="002D3101" w:rsidP="00114048">
      <w:pPr>
        <w:pStyle w:val="ListParagraph"/>
        <w:widowControl w:val="0"/>
        <w:numPr>
          <w:ilvl w:val="0"/>
          <w:numId w:val="43"/>
        </w:numPr>
        <w:autoSpaceDE w:val="0"/>
        <w:autoSpaceDN w:val="0"/>
        <w:adjustRightInd w:val="0"/>
        <w:spacing w:before="60" w:line="240" w:lineRule="atLeast"/>
        <w:ind w:left="547"/>
        <w:contextualSpacing w:val="0"/>
        <w:jc w:val="both"/>
        <w:rPr>
          <w:rFonts w:ascii="Arial" w:hAnsi="Arial" w:cs="Arial"/>
          <w:b/>
          <w:bCs/>
          <w:caps/>
          <w:color w:val="000000"/>
          <w:sz w:val="20"/>
          <w:szCs w:val="20"/>
        </w:rPr>
      </w:pPr>
      <w:bookmarkStart w:id="0" w:name="_Hlk127447650"/>
      <w:bookmarkStart w:id="1" w:name="_Hlk95858902"/>
      <w:r w:rsidRPr="006761DF">
        <w:rPr>
          <w:rFonts w:ascii="Arial" w:hAnsi="Arial" w:cs="Arial"/>
          <w:sz w:val="20"/>
          <w:szCs w:val="20"/>
        </w:rPr>
        <w:t>Obtained</w:t>
      </w:r>
      <w:r w:rsidR="00932E22" w:rsidRPr="006761DF">
        <w:rPr>
          <w:rFonts w:ascii="Arial" w:hAnsi="Arial" w:cs="Arial"/>
          <w:sz w:val="20"/>
          <w:szCs w:val="20"/>
        </w:rPr>
        <w:t xml:space="preserve"> </w:t>
      </w:r>
      <w:r w:rsidR="00276378" w:rsidRPr="006761DF">
        <w:rPr>
          <w:rFonts w:ascii="Arial" w:hAnsi="Arial" w:cs="Arial"/>
          <w:sz w:val="20"/>
          <w:szCs w:val="20"/>
        </w:rPr>
        <w:t>working capital and overdraft</w:t>
      </w:r>
      <w:r w:rsidR="00932E22" w:rsidRPr="006761DF">
        <w:rPr>
          <w:rFonts w:ascii="Arial" w:hAnsi="Arial" w:cs="Arial"/>
          <w:sz w:val="20"/>
          <w:szCs w:val="20"/>
        </w:rPr>
        <w:t xml:space="preserve"> loans for a total amount of </w:t>
      </w:r>
      <w:r w:rsidRPr="006761DF">
        <w:rPr>
          <w:rFonts w:ascii="Arial" w:hAnsi="Arial" w:cs="Arial"/>
          <w:sz w:val="20"/>
          <w:szCs w:val="20"/>
        </w:rPr>
        <w:t>$</w:t>
      </w:r>
      <w:r w:rsidR="00BC0E3E">
        <w:rPr>
          <w:rFonts w:ascii="Arial" w:hAnsi="Arial" w:cs="Arial"/>
          <w:sz w:val="20"/>
          <w:szCs w:val="20"/>
        </w:rPr>
        <w:t>6.06</w:t>
      </w:r>
      <w:r w:rsidRPr="006761DF">
        <w:rPr>
          <w:rFonts w:ascii="Arial" w:hAnsi="Arial" w:cs="Arial"/>
          <w:sz w:val="20"/>
          <w:szCs w:val="20"/>
        </w:rPr>
        <w:t xml:space="preserve"> million</w:t>
      </w:r>
      <w:bookmarkEnd w:id="0"/>
      <w:bookmarkEnd w:id="1"/>
      <w:r w:rsidR="00BC0E3E">
        <w:rPr>
          <w:rFonts w:ascii="Arial" w:hAnsi="Arial" w:cs="Arial"/>
          <w:sz w:val="20"/>
          <w:szCs w:val="20"/>
        </w:rPr>
        <w:t xml:space="preserve">, </w:t>
      </w:r>
      <w:r w:rsidR="000D51F0" w:rsidRPr="006761DF">
        <w:rPr>
          <w:rFonts w:ascii="Arial" w:hAnsi="Arial" w:cs="Arial"/>
          <w:sz w:val="20"/>
          <w:szCs w:val="20"/>
        </w:rPr>
        <w:t>repaid $</w:t>
      </w:r>
      <w:r w:rsidR="00BC0E3E">
        <w:rPr>
          <w:rFonts w:ascii="Arial" w:hAnsi="Arial" w:cs="Arial"/>
          <w:sz w:val="20"/>
          <w:szCs w:val="20"/>
        </w:rPr>
        <w:t>4.14</w:t>
      </w:r>
      <w:r w:rsidR="00276378" w:rsidRPr="006761DF">
        <w:rPr>
          <w:rFonts w:ascii="Arial" w:hAnsi="Arial" w:cs="Arial"/>
          <w:sz w:val="20"/>
          <w:szCs w:val="20"/>
        </w:rPr>
        <w:t xml:space="preserve"> </w:t>
      </w:r>
      <w:r w:rsidR="000D51F0" w:rsidRPr="006761DF">
        <w:rPr>
          <w:rFonts w:ascii="Arial" w:hAnsi="Arial" w:cs="Arial"/>
          <w:sz w:val="20"/>
          <w:szCs w:val="20"/>
        </w:rPr>
        <w:t>million on working capital loans</w:t>
      </w:r>
      <w:r w:rsidR="00BC0E3E">
        <w:rPr>
          <w:rFonts w:ascii="Arial" w:hAnsi="Arial" w:cs="Arial"/>
          <w:sz w:val="20"/>
          <w:szCs w:val="20"/>
        </w:rPr>
        <w:t xml:space="preserve"> and </w:t>
      </w:r>
      <w:r w:rsidR="00C218C9">
        <w:rPr>
          <w:rFonts w:ascii="Arial" w:hAnsi="Arial" w:cs="Arial"/>
          <w:sz w:val="20"/>
          <w:szCs w:val="20"/>
        </w:rPr>
        <w:t>renewed</w:t>
      </w:r>
      <w:r w:rsidR="00BC0E3E">
        <w:rPr>
          <w:rFonts w:ascii="Arial" w:hAnsi="Arial" w:cs="Arial"/>
          <w:sz w:val="20"/>
          <w:szCs w:val="20"/>
        </w:rPr>
        <w:t xml:space="preserve"> a loan for $1 million.</w:t>
      </w:r>
    </w:p>
    <w:p w14:paraId="541F21FC" w14:textId="61C348B7" w:rsidR="00946DA2" w:rsidRPr="005834CF" w:rsidRDefault="005834CF" w:rsidP="00014255">
      <w:pPr>
        <w:pStyle w:val="ListParagraph"/>
        <w:widowControl w:val="0"/>
        <w:numPr>
          <w:ilvl w:val="0"/>
          <w:numId w:val="43"/>
        </w:numPr>
        <w:autoSpaceDE w:val="0"/>
        <w:autoSpaceDN w:val="0"/>
        <w:adjustRightInd w:val="0"/>
        <w:spacing w:before="60" w:line="240" w:lineRule="atLeast"/>
        <w:ind w:left="547"/>
        <w:contextualSpacing w:val="0"/>
        <w:jc w:val="both"/>
        <w:rPr>
          <w:rFonts w:ascii="Arial" w:hAnsi="Arial" w:cs="Arial"/>
          <w:b/>
          <w:bCs/>
          <w:caps/>
          <w:color w:val="000000"/>
          <w:sz w:val="20"/>
          <w:szCs w:val="20"/>
        </w:rPr>
      </w:pPr>
      <w:r w:rsidRPr="005834CF">
        <w:rPr>
          <w:rFonts w:ascii="Arial" w:hAnsi="Arial" w:cs="Arial"/>
          <w:sz w:val="20"/>
          <w:szCs w:val="20"/>
        </w:rPr>
        <w:t xml:space="preserve">Repaid </w:t>
      </w:r>
      <w:r w:rsidR="00BC0E3E">
        <w:rPr>
          <w:rFonts w:ascii="Arial" w:hAnsi="Arial" w:cs="Arial"/>
          <w:sz w:val="20"/>
          <w:szCs w:val="20"/>
        </w:rPr>
        <w:t xml:space="preserve">$5.5 million of principal </w:t>
      </w:r>
      <w:r w:rsidRPr="005834CF">
        <w:rPr>
          <w:rFonts w:ascii="Arial" w:hAnsi="Arial" w:cs="Arial"/>
          <w:sz w:val="20"/>
          <w:szCs w:val="20"/>
        </w:rPr>
        <w:t>installment</w:t>
      </w:r>
      <w:r w:rsidR="00AC380C">
        <w:rPr>
          <w:rFonts w:ascii="Arial" w:hAnsi="Arial" w:cs="Arial"/>
          <w:sz w:val="20"/>
          <w:szCs w:val="20"/>
        </w:rPr>
        <w:t>s</w:t>
      </w:r>
      <w:r w:rsidRPr="005834CF">
        <w:rPr>
          <w:rFonts w:ascii="Arial" w:hAnsi="Arial" w:cs="Arial"/>
          <w:sz w:val="20"/>
          <w:szCs w:val="20"/>
        </w:rPr>
        <w:t xml:space="preserve"> </w:t>
      </w:r>
      <w:r w:rsidR="00AC380C">
        <w:rPr>
          <w:rFonts w:ascii="Arial" w:hAnsi="Arial" w:cs="Arial"/>
          <w:sz w:val="20"/>
          <w:szCs w:val="20"/>
        </w:rPr>
        <w:t>on the</w:t>
      </w:r>
      <w:r w:rsidRPr="005834CF">
        <w:rPr>
          <w:rFonts w:ascii="Arial" w:hAnsi="Arial" w:cs="Arial"/>
          <w:sz w:val="20"/>
          <w:szCs w:val="20"/>
        </w:rPr>
        <w:t xml:space="preserve"> Series IV</w:t>
      </w:r>
      <w:r w:rsidR="00BC0E3E">
        <w:rPr>
          <w:rFonts w:ascii="Arial" w:hAnsi="Arial" w:cs="Arial"/>
          <w:sz w:val="20"/>
          <w:szCs w:val="20"/>
        </w:rPr>
        <w:t xml:space="preserve"> and Series III</w:t>
      </w:r>
      <w:r w:rsidRPr="005834CF">
        <w:rPr>
          <w:rFonts w:ascii="Arial" w:hAnsi="Arial" w:cs="Arial"/>
          <w:sz w:val="20"/>
          <w:szCs w:val="20"/>
        </w:rPr>
        <w:t xml:space="preserve"> Notes</w:t>
      </w:r>
      <w:r w:rsidR="00BC0E3E">
        <w:rPr>
          <w:rFonts w:ascii="Arial" w:hAnsi="Arial" w:cs="Arial"/>
          <w:sz w:val="20"/>
          <w:szCs w:val="20"/>
        </w:rPr>
        <w:t>.</w:t>
      </w:r>
    </w:p>
    <w:p w14:paraId="734994C6" w14:textId="77777777" w:rsidR="003003D6" w:rsidRDefault="003003D6" w:rsidP="001B40D9">
      <w:pPr>
        <w:widowControl w:val="0"/>
        <w:rPr>
          <w:rFonts w:ascii="Arial" w:hAnsi="Arial" w:cs="Arial"/>
          <w:b/>
          <w:bCs/>
          <w:caps/>
          <w:color w:val="000000"/>
          <w:sz w:val="20"/>
          <w:szCs w:val="20"/>
        </w:rPr>
      </w:pPr>
    </w:p>
    <w:p w14:paraId="25496980" w14:textId="5C138105" w:rsidR="001B40D9" w:rsidRPr="009D04E0" w:rsidRDefault="001B40D9" w:rsidP="001B40D9">
      <w:pPr>
        <w:widowControl w:val="0"/>
        <w:rPr>
          <w:rFonts w:ascii="Arial" w:hAnsi="Arial" w:cs="Arial"/>
          <w:b/>
          <w:bCs/>
          <w:caps/>
          <w:color w:val="000000"/>
          <w:sz w:val="20"/>
          <w:szCs w:val="20"/>
        </w:rPr>
      </w:pPr>
      <w:r w:rsidRPr="009D04E0">
        <w:rPr>
          <w:rFonts w:ascii="Arial" w:hAnsi="Arial" w:cs="Arial"/>
          <w:b/>
          <w:bCs/>
          <w:caps/>
          <w:color w:val="000000"/>
          <w:sz w:val="20"/>
          <w:szCs w:val="20"/>
        </w:rPr>
        <w:t>Operational update</w:t>
      </w:r>
    </w:p>
    <w:p w14:paraId="489DE032" w14:textId="1E807801" w:rsidR="00B76C56" w:rsidRPr="00B76C56" w:rsidRDefault="00B76C56" w:rsidP="00B76C56">
      <w:pPr>
        <w:widowControl w:val="0"/>
        <w:autoSpaceDE w:val="0"/>
        <w:autoSpaceDN w:val="0"/>
        <w:spacing w:before="120" w:line="240" w:lineRule="atLeast"/>
        <w:jc w:val="both"/>
        <w:rPr>
          <w:rFonts w:ascii="Arial" w:hAnsi="Arial" w:cs="Arial"/>
          <w:b/>
          <w:sz w:val="20"/>
          <w:szCs w:val="20"/>
          <w:lang w:val="it-IT"/>
        </w:rPr>
      </w:pPr>
      <w:r w:rsidRPr="00B76C56">
        <w:rPr>
          <w:rFonts w:ascii="Arial" w:hAnsi="Arial" w:cs="Arial"/>
          <w:b/>
          <w:sz w:val="20"/>
          <w:szCs w:val="20"/>
          <w:lang w:val="it-IT"/>
        </w:rPr>
        <w:t>Santa Cruz Concessions</w:t>
      </w:r>
      <w:r>
        <w:rPr>
          <w:rFonts w:ascii="Arial" w:hAnsi="Arial" w:cs="Arial"/>
          <w:b/>
          <w:sz w:val="20"/>
          <w:szCs w:val="20"/>
          <w:lang w:val="it-IT"/>
        </w:rPr>
        <w:t xml:space="preserve"> </w:t>
      </w:r>
    </w:p>
    <w:p w14:paraId="6BAEB980" w14:textId="1BC97D02" w:rsidR="00B76C56" w:rsidRPr="00B76C56" w:rsidRDefault="00B76C56" w:rsidP="00B76C56">
      <w:pPr>
        <w:widowControl w:val="0"/>
        <w:autoSpaceDE w:val="0"/>
        <w:autoSpaceDN w:val="0"/>
        <w:spacing w:before="120" w:line="240" w:lineRule="atLeast"/>
        <w:jc w:val="both"/>
        <w:rPr>
          <w:rFonts w:ascii="Arial" w:hAnsi="Arial" w:cs="Arial"/>
          <w:sz w:val="20"/>
          <w:szCs w:val="20"/>
        </w:rPr>
      </w:pPr>
      <w:r w:rsidRPr="00B76C56">
        <w:rPr>
          <w:rFonts w:ascii="Arial" w:hAnsi="Arial" w:cs="Arial"/>
          <w:sz w:val="20"/>
          <w:szCs w:val="20"/>
        </w:rPr>
        <w:t>During Q4 2024, Piedra Clavada Concession oil production averaged 2,043 bbls of oil per day and Koluel Kaike concession oil production averaged 1,187 bbls of oil per day.</w:t>
      </w:r>
    </w:p>
    <w:p w14:paraId="17A00BEB" w14:textId="118F41F8" w:rsidR="004F58B8" w:rsidRPr="009D04E0" w:rsidRDefault="00083073" w:rsidP="004F58B8">
      <w:pPr>
        <w:widowControl w:val="0"/>
        <w:autoSpaceDE w:val="0"/>
        <w:autoSpaceDN w:val="0"/>
        <w:spacing w:before="120" w:line="240" w:lineRule="atLeast"/>
        <w:jc w:val="both"/>
        <w:rPr>
          <w:rFonts w:ascii="Arial" w:hAnsi="Arial" w:cs="Arial"/>
          <w:b/>
          <w:sz w:val="20"/>
          <w:szCs w:val="20"/>
          <w:lang w:val="it-IT"/>
        </w:rPr>
      </w:pPr>
      <w:r w:rsidRPr="009D04E0">
        <w:rPr>
          <w:rFonts w:ascii="Arial" w:hAnsi="Arial" w:cs="Arial"/>
          <w:b/>
          <w:sz w:val="20"/>
          <w:szCs w:val="20"/>
          <w:lang w:val="it-IT"/>
        </w:rPr>
        <w:lastRenderedPageBreak/>
        <w:t xml:space="preserve">Tierra del Fuego </w:t>
      </w:r>
      <w:r w:rsidR="004F58B8" w:rsidRPr="009D04E0">
        <w:rPr>
          <w:rFonts w:ascii="Arial" w:hAnsi="Arial" w:cs="Arial"/>
          <w:b/>
          <w:sz w:val="20"/>
          <w:szCs w:val="20"/>
          <w:lang w:val="it-IT"/>
        </w:rPr>
        <w:t>Concessions</w:t>
      </w:r>
      <w:r w:rsidR="009D04E0">
        <w:rPr>
          <w:rFonts w:ascii="Arial" w:hAnsi="Arial" w:cs="Arial"/>
          <w:b/>
          <w:sz w:val="20"/>
          <w:szCs w:val="20"/>
          <w:lang w:val="it-IT"/>
        </w:rPr>
        <w:t xml:space="preserve"> </w:t>
      </w:r>
      <w:r w:rsidR="009D04E0" w:rsidRPr="009D04E0">
        <w:rPr>
          <w:rFonts w:ascii="Arial" w:hAnsi="Arial" w:cs="Arial"/>
          <w:b/>
          <w:sz w:val="20"/>
          <w:szCs w:val="20"/>
          <w:lang w:val="it-IT"/>
        </w:rPr>
        <w:t>(</w:t>
      </w:r>
      <w:r w:rsidR="00294150" w:rsidRPr="00294150">
        <w:rPr>
          <w:rFonts w:ascii="Arial" w:hAnsi="Arial" w:cs="Arial"/>
          <w:b/>
          <w:sz w:val="20"/>
          <w:szCs w:val="20"/>
          <w:lang w:val="it-IT"/>
        </w:rPr>
        <w:t>“</w:t>
      </w:r>
      <w:r w:rsidR="009D04E0" w:rsidRPr="009D04E0">
        <w:rPr>
          <w:rFonts w:ascii="Arial" w:hAnsi="Arial" w:cs="Arial"/>
          <w:b/>
          <w:sz w:val="20"/>
          <w:szCs w:val="20"/>
          <w:lang w:val="it-IT"/>
        </w:rPr>
        <w:t>TDF</w:t>
      </w:r>
      <w:r w:rsidR="00294150" w:rsidRPr="00294150">
        <w:rPr>
          <w:rFonts w:ascii="Arial" w:hAnsi="Arial" w:cs="Arial"/>
          <w:b/>
          <w:sz w:val="20"/>
          <w:szCs w:val="20"/>
          <w:lang w:val="it-IT"/>
        </w:rPr>
        <w:t>”</w:t>
      </w:r>
      <w:r w:rsidR="009D04E0">
        <w:rPr>
          <w:rFonts w:ascii="Arial" w:hAnsi="Arial" w:cs="Arial"/>
          <w:b/>
          <w:sz w:val="20"/>
          <w:szCs w:val="20"/>
          <w:lang w:val="it-IT"/>
        </w:rPr>
        <w:t xml:space="preserve"> or </w:t>
      </w:r>
      <w:r w:rsidR="00294150" w:rsidRPr="00294150">
        <w:rPr>
          <w:rFonts w:ascii="Arial" w:hAnsi="Arial" w:cs="Arial"/>
          <w:b/>
          <w:sz w:val="20"/>
          <w:szCs w:val="20"/>
          <w:lang w:val="it-IT"/>
        </w:rPr>
        <w:t>“</w:t>
      </w:r>
      <w:r w:rsidR="009D04E0">
        <w:rPr>
          <w:rFonts w:ascii="Arial" w:hAnsi="Arial" w:cs="Arial"/>
          <w:b/>
          <w:sz w:val="20"/>
          <w:szCs w:val="20"/>
          <w:lang w:val="it-IT"/>
        </w:rPr>
        <w:t>TDF Concessions</w:t>
      </w:r>
      <w:r w:rsidR="00294150" w:rsidRPr="00294150">
        <w:rPr>
          <w:rFonts w:ascii="Arial" w:hAnsi="Arial" w:cs="Arial"/>
          <w:b/>
          <w:sz w:val="20"/>
          <w:szCs w:val="20"/>
          <w:lang w:val="it-IT"/>
        </w:rPr>
        <w:t>”</w:t>
      </w:r>
      <w:r w:rsidR="009D04E0" w:rsidRPr="009D04E0">
        <w:rPr>
          <w:rFonts w:ascii="Arial" w:hAnsi="Arial" w:cs="Arial"/>
          <w:b/>
          <w:sz w:val="20"/>
          <w:szCs w:val="20"/>
          <w:lang w:val="it-IT"/>
        </w:rPr>
        <w:t xml:space="preserve">) </w:t>
      </w:r>
    </w:p>
    <w:p w14:paraId="0C142D8A" w14:textId="3FE28895" w:rsidR="00B76C56" w:rsidRDefault="00B76C56" w:rsidP="004F58B8">
      <w:pPr>
        <w:widowControl w:val="0"/>
        <w:autoSpaceDE w:val="0"/>
        <w:autoSpaceDN w:val="0"/>
        <w:spacing w:before="120" w:line="240" w:lineRule="atLeast"/>
        <w:jc w:val="both"/>
        <w:rPr>
          <w:rFonts w:ascii="Arial" w:hAnsi="Arial" w:cs="Arial"/>
          <w:sz w:val="20"/>
          <w:szCs w:val="20"/>
        </w:rPr>
      </w:pPr>
      <w:r w:rsidRPr="00B76C56">
        <w:rPr>
          <w:rFonts w:ascii="Arial" w:hAnsi="Arial" w:cs="Arial"/>
          <w:sz w:val="20"/>
          <w:szCs w:val="20"/>
        </w:rPr>
        <w:t>During Q4 2024, San Martin oil production averaged 464 (net 224) bbls of oil per day; Las Violetas concession natural gas production averaged 8,290 (net 4,007) mcf per day and associated oil production averaged 218 (net 76) bbls of oil per day.</w:t>
      </w:r>
    </w:p>
    <w:p w14:paraId="3E64FCB2" w14:textId="20021CB6" w:rsidR="004F58B8" w:rsidRPr="009D04E0" w:rsidRDefault="004F58B8" w:rsidP="004F58B8">
      <w:pPr>
        <w:widowControl w:val="0"/>
        <w:autoSpaceDE w:val="0"/>
        <w:autoSpaceDN w:val="0"/>
        <w:spacing w:before="120" w:line="240" w:lineRule="atLeast"/>
        <w:jc w:val="both"/>
        <w:rPr>
          <w:rFonts w:ascii="Arial" w:hAnsi="Arial" w:cs="Arial"/>
          <w:b/>
          <w:sz w:val="20"/>
          <w:szCs w:val="20"/>
          <w:lang w:val="it-IT"/>
        </w:rPr>
      </w:pPr>
      <w:r w:rsidRPr="009D04E0">
        <w:rPr>
          <w:rFonts w:ascii="Arial" w:hAnsi="Arial" w:cs="Arial"/>
          <w:b/>
          <w:sz w:val="20"/>
          <w:szCs w:val="20"/>
          <w:lang w:val="it-IT"/>
        </w:rPr>
        <w:t>Mendoza Concessions</w:t>
      </w:r>
      <w:r w:rsidRPr="009D04E0">
        <w:rPr>
          <w:rFonts w:ascii="Arial" w:hAnsi="Arial" w:cs="Arial"/>
          <w:b/>
          <w:sz w:val="20"/>
          <w:szCs w:val="20"/>
          <w:lang w:val="it-IT"/>
        </w:rPr>
        <w:tab/>
      </w:r>
    </w:p>
    <w:p w14:paraId="50B7665B" w14:textId="1374BA0D" w:rsidR="00B76C56" w:rsidRPr="00B76C56" w:rsidRDefault="00B76C56" w:rsidP="009825E3">
      <w:pPr>
        <w:pStyle w:val="Ne4"/>
        <w:widowControl w:val="0"/>
        <w:spacing w:before="240" w:line="240" w:lineRule="atLeast"/>
        <w:ind w:left="0"/>
        <w:rPr>
          <w:rFonts w:cs="Arial"/>
          <w:b/>
          <w:lang w:val="en-US"/>
        </w:rPr>
      </w:pPr>
      <w:r w:rsidRPr="00B76C56">
        <w:rPr>
          <w:rFonts w:cs="Arial"/>
          <w:bCs/>
          <w:lang w:val="it-IT"/>
        </w:rPr>
        <w:t>During Q4 2024, the UTE carried out three workovers on oil wells and one workover in an injector well in the CH Concession. Oil production for Q4 2024 averaged 884 (net 442) bbls of oil per day from the CH Concession and 125 (net 62) bbls of oil per day from the PPCO Concession.</w:t>
      </w:r>
    </w:p>
    <w:p w14:paraId="6D4BBB4B" w14:textId="26DE9311" w:rsidR="009825E3" w:rsidRPr="009D04E0" w:rsidRDefault="009825E3" w:rsidP="009825E3">
      <w:pPr>
        <w:pStyle w:val="Ne4"/>
        <w:widowControl w:val="0"/>
        <w:spacing w:before="240" w:line="240" w:lineRule="atLeast"/>
        <w:ind w:left="0"/>
        <w:rPr>
          <w:rFonts w:cs="Arial"/>
        </w:rPr>
      </w:pPr>
      <w:r w:rsidRPr="009D04E0">
        <w:rPr>
          <w:rFonts w:cs="Arial"/>
          <w:b/>
        </w:rPr>
        <w:t>OUTLOOK</w:t>
      </w:r>
    </w:p>
    <w:p w14:paraId="7C28B336" w14:textId="4C70465E" w:rsidR="009825E3" w:rsidRPr="00B76C56" w:rsidRDefault="00042E43" w:rsidP="00F439AE">
      <w:pPr>
        <w:pStyle w:val="HTMLPreformatte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40" w:lineRule="atLeast"/>
        <w:rPr>
          <w:rFonts w:ascii="Arial" w:hAnsi="Arial" w:cs="Arial"/>
          <w:bCs/>
          <w:szCs w:val="20"/>
        </w:rPr>
      </w:pPr>
      <w:r w:rsidRPr="00B76C56">
        <w:rPr>
          <w:rFonts w:ascii="Arial" w:hAnsi="Arial" w:cs="Arial"/>
          <w:bCs/>
          <w:szCs w:val="20"/>
        </w:rPr>
        <w:t>The Company’s capital spending for fiscal 202</w:t>
      </w:r>
      <w:r w:rsidR="00B76C56" w:rsidRPr="00B76C56">
        <w:rPr>
          <w:rFonts w:ascii="Arial" w:hAnsi="Arial" w:cs="Arial"/>
          <w:bCs/>
          <w:szCs w:val="20"/>
        </w:rPr>
        <w:t>5</w:t>
      </w:r>
      <w:r w:rsidRPr="00B76C56">
        <w:rPr>
          <w:rFonts w:ascii="Arial" w:hAnsi="Arial" w:cs="Arial"/>
          <w:bCs/>
          <w:szCs w:val="20"/>
        </w:rPr>
        <w:t xml:space="preserve"> is budgeted at approximately $</w:t>
      </w:r>
      <w:r w:rsidR="00B76C56" w:rsidRPr="00B76C56">
        <w:rPr>
          <w:rFonts w:ascii="Arial" w:hAnsi="Arial" w:cs="Arial"/>
          <w:bCs/>
          <w:szCs w:val="20"/>
        </w:rPr>
        <w:t>28.2</w:t>
      </w:r>
      <w:r w:rsidR="00257237" w:rsidRPr="00B76C56">
        <w:rPr>
          <w:rFonts w:ascii="Arial" w:hAnsi="Arial" w:cs="Arial"/>
          <w:bCs/>
          <w:szCs w:val="20"/>
        </w:rPr>
        <w:t xml:space="preserve"> </w:t>
      </w:r>
      <w:r w:rsidRPr="00B76C56">
        <w:rPr>
          <w:rFonts w:ascii="Arial" w:hAnsi="Arial" w:cs="Arial"/>
          <w:bCs/>
          <w:szCs w:val="20"/>
        </w:rPr>
        <w:t>million</w:t>
      </w:r>
      <w:r w:rsidR="009F1003">
        <w:rPr>
          <w:rFonts w:ascii="Arial" w:hAnsi="Arial" w:cs="Arial"/>
          <w:bCs/>
          <w:szCs w:val="20"/>
        </w:rPr>
        <w:t>,</w:t>
      </w:r>
      <w:r w:rsidRPr="00B76C56">
        <w:rPr>
          <w:rFonts w:ascii="Arial" w:hAnsi="Arial" w:cs="Arial"/>
          <w:bCs/>
          <w:szCs w:val="20"/>
        </w:rPr>
        <w:t xml:space="preserve"> of which</w:t>
      </w:r>
      <w:r w:rsidR="00B76C56" w:rsidRPr="00B76C56">
        <w:rPr>
          <w:rFonts w:ascii="Arial" w:hAnsi="Arial" w:cs="Arial"/>
          <w:bCs/>
          <w:szCs w:val="20"/>
        </w:rPr>
        <w:t xml:space="preserve"> </w:t>
      </w:r>
      <w:r w:rsidR="00B76C56" w:rsidRPr="00B76C56">
        <w:rPr>
          <w:rFonts w:ascii="Arial" w:hAnsi="Arial"/>
          <w:color w:val="000000" w:themeColor="text1"/>
        </w:rPr>
        <w:t xml:space="preserve">$25.5 million </w:t>
      </w:r>
      <w:r w:rsidR="00376445">
        <w:rPr>
          <w:rFonts w:ascii="Arial" w:hAnsi="Arial"/>
          <w:color w:val="000000" w:themeColor="text1"/>
        </w:rPr>
        <w:t xml:space="preserve">is allocated </w:t>
      </w:r>
      <w:r w:rsidR="00FD5B0D">
        <w:rPr>
          <w:rFonts w:ascii="Arial" w:hAnsi="Arial"/>
          <w:color w:val="000000" w:themeColor="text1"/>
        </w:rPr>
        <w:t xml:space="preserve">to </w:t>
      </w:r>
      <w:r w:rsidR="00B76C56" w:rsidRPr="00B76C56">
        <w:rPr>
          <w:rFonts w:ascii="Arial" w:hAnsi="Arial"/>
          <w:color w:val="000000" w:themeColor="text1"/>
        </w:rPr>
        <w:t xml:space="preserve">the Santa Cruz Concessions for well workovers, facilities improvements and a drilling campaign comprised of 7 wells; </w:t>
      </w:r>
      <w:r w:rsidRPr="00B76C56">
        <w:rPr>
          <w:rFonts w:ascii="Arial" w:hAnsi="Arial" w:cs="Arial"/>
          <w:bCs/>
          <w:szCs w:val="20"/>
        </w:rPr>
        <w:t>$</w:t>
      </w:r>
      <w:r w:rsidR="00257237" w:rsidRPr="00B76C56">
        <w:rPr>
          <w:rFonts w:ascii="Arial" w:hAnsi="Arial" w:cs="Arial"/>
          <w:bCs/>
          <w:szCs w:val="20"/>
        </w:rPr>
        <w:t>0.</w:t>
      </w:r>
      <w:r w:rsidR="00B76C56" w:rsidRPr="00B76C56">
        <w:rPr>
          <w:rFonts w:ascii="Arial" w:hAnsi="Arial" w:cs="Arial"/>
          <w:bCs/>
          <w:szCs w:val="20"/>
        </w:rPr>
        <w:t>7</w:t>
      </w:r>
      <w:r w:rsidRPr="00B76C56">
        <w:rPr>
          <w:rFonts w:ascii="Arial" w:hAnsi="Arial" w:cs="Arial"/>
          <w:bCs/>
          <w:szCs w:val="20"/>
        </w:rPr>
        <w:t xml:space="preserve"> million is for</w:t>
      </w:r>
      <w:r w:rsidR="00391063" w:rsidRPr="00B76C56">
        <w:rPr>
          <w:rFonts w:ascii="Arial" w:hAnsi="Arial" w:cs="Arial"/>
          <w:bCs/>
          <w:szCs w:val="20"/>
        </w:rPr>
        <w:t xml:space="preserve"> </w:t>
      </w:r>
      <w:r w:rsidRPr="00B76C56">
        <w:rPr>
          <w:rFonts w:ascii="Arial" w:hAnsi="Arial" w:cs="Arial"/>
          <w:bCs/>
          <w:szCs w:val="20"/>
        </w:rPr>
        <w:t xml:space="preserve">improvements </w:t>
      </w:r>
      <w:r w:rsidR="002D77D7" w:rsidRPr="00B76C56">
        <w:rPr>
          <w:rFonts w:ascii="Arial" w:hAnsi="Arial" w:cs="Arial"/>
          <w:bCs/>
          <w:szCs w:val="20"/>
        </w:rPr>
        <w:t xml:space="preserve">to facilities </w:t>
      </w:r>
      <w:r w:rsidRPr="00B76C56">
        <w:rPr>
          <w:rFonts w:ascii="Arial" w:hAnsi="Arial" w:cs="Arial"/>
          <w:bCs/>
          <w:szCs w:val="20"/>
        </w:rPr>
        <w:t>in the TDF Concessions</w:t>
      </w:r>
      <w:r w:rsidR="00376445">
        <w:rPr>
          <w:rFonts w:ascii="Arial" w:hAnsi="Arial" w:cs="Arial"/>
          <w:bCs/>
          <w:szCs w:val="20"/>
        </w:rPr>
        <w:t>,</w:t>
      </w:r>
      <w:r w:rsidRPr="00B76C56">
        <w:rPr>
          <w:rFonts w:ascii="Arial" w:hAnsi="Arial" w:cs="Arial"/>
          <w:bCs/>
          <w:szCs w:val="20"/>
        </w:rPr>
        <w:t xml:space="preserve"> $</w:t>
      </w:r>
      <w:r w:rsidR="00B76C56" w:rsidRPr="00B76C56">
        <w:rPr>
          <w:rFonts w:ascii="Arial" w:hAnsi="Arial" w:cs="Arial"/>
          <w:bCs/>
          <w:szCs w:val="20"/>
        </w:rPr>
        <w:t>1.2</w:t>
      </w:r>
      <w:r w:rsidRPr="00B76C56">
        <w:rPr>
          <w:rFonts w:ascii="Arial" w:hAnsi="Arial" w:cs="Arial"/>
          <w:bCs/>
          <w:szCs w:val="20"/>
        </w:rPr>
        <w:t xml:space="preserve"> million is</w:t>
      </w:r>
      <w:r w:rsidR="00D76676" w:rsidRPr="00B76C56">
        <w:rPr>
          <w:rFonts w:ascii="Arial" w:hAnsi="Arial" w:cs="Arial"/>
          <w:bCs/>
          <w:szCs w:val="20"/>
        </w:rPr>
        <w:t xml:space="preserve"> for</w:t>
      </w:r>
      <w:r w:rsidRPr="00B76C56">
        <w:rPr>
          <w:rFonts w:ascii="Arial" w:hAnsi="Arial" w:cs="Arial"/>
          <w:bCs/>
          <w:szCs w:val="20"/>
        </w:rPr>
        <w:t xml:space="preserve"> well workovers</w:t>
      </w:r>
      <w:r w:rsidR="00D76676" w:rsidRPr="00B76C56">
        <w:rPr>
          <w:rFonts w:ascii="Arial" w:hAnsi="Arial" w:cs="Arial"/>
          <w:bCs/>
          <w:szCs w:val="20"/>
        </w:rPr>
        <w:t xml:space="preserve">, </w:t>
      </w:r>
      <w:r w:rsidRPr="00B76C56">
        <w:rPr>
          <w:rFonts w:ascii="Arial" w:hAnsi="Arial" w:cs="Arial"/>
          <w:bCs/>
          <w:szCs w:val="20"/>
        </w:rPr>
        <w:t xml:space="preserve">facilities improvements </w:t>
      </w:r>
      <w:r w:rsidR="00EF20A8" w:rsidRPr="00B76C56">
        <w:rPr>
          <w:rFonts w:ascii="Arial" w:hAnsi="Arial" w:cs="Arial"/>
          <w:bCs/>
          <w:szCs w:val="20"/>
        </w:rPr>
        <w:t xml:space="preserve">and optimization </w:t>
      </w:r>
      <w:r w:rsidRPr="00B76C56">
        <w:rPr>
          <w:rFonts w:ascii="Arial" w:hAnsi="Arial" w:cs="Arial"/>
          <w:bCs/>
          <w:szCs w:val="20"/>
        </w:rPr>
        <w:t>in the Mendoza Concessions</w:t>
      </w:r>
      <w:r w:rsidR="00376445">
        <w:rPr>
          <w:rFonts w:ascii="Arial" w:hAnsi="Arial" w:cs="Arial"/>
          <w:bCs/>
          <w:szCs w:val="20"/>
        </w:rPr>
        <w:t xml:space="preserve">, and $0.8 million is for </w:t>
      </w:r>
      <w:r w:rsidR="009F1003">
        <w:rPr>
          <w:rFonts w:ascii="Arial" w:hAnsi="Arial" w:cs="Arial"/>
          <w:bCs/>
          <w:szCs w:val="20"/>
        </w:rPr>
        <w:t>testing of the gas bearing sandstone layers of the Neuquen Group at CLL</w:t>
      </w:r>
      <w:r w:rsidRPr="00B76C56">
        <w:rPr>
          <w:rFonts w:ascii="Arial" w:hAnsi="Arial" w:cs="Arial"/>
          <w:bCs/>
          <w:szCs w:val="20"/>
        </w:rPr>
        <w:t>.</w:t>
      </w:r>
      <w:r w:rsidR="005D56F8" w:rsidRPr="00B76C56">
        <w:rPr>
          <w:rFonts w:ascii="Arial" w:hAnsi="Arial" w:cs="Arial"/>
          <w:color w:val="000000"/>
          <w:szCs w:val="20"/>
        </w:rPr>
        <w:t xml:space="preserve"> </w:t>
      </w:r>
    </w:p>
    <w:p w14:paraId="08E7FB91" w14:textId="3AE16631" w:rsidR="00EB4AAA" w:rsidRDefault="00EB4AAA">
      <w:pPr>
        <w:rPr>
          <w:rFonts w:ascii="Arial" w:hAnsi="Arial" w:cs="Arial"/>
          <w:sz w:val="20"/>
          <w:szCs w:val="20"/>
        </w:rPr>
      </w:pPr>
    </w:p>
    <w:p w14:paraId="3AA226CD" w14:textId="3C944624" w:rsidR="006429BF" w:rsidRDefault="006429BF" w:rsidP="00FE41AD">
      <w:pPr>
        <w:spacing w:before="120" w:line="240" w:lineRule="atLeast"/>
        <w:jc w:val="both"/>
        <w:rPr>
          <w:rFonts w:ascii="Arial" w:hAnsi="Arial" w:cs="Arial"/>
          <w:b/>
          <w:bCs/>
          <w:caps/>
          <w:color w:val="000000"/>
          <w:szCs w:val="22"/>
          <w:lang w:val="en-CA"/>
        </w:rPr>
      </w:pPr>
      <w:r>
        <w:rPr>
          <w:rFonts w:ascii="Arial" w:hAnsi="Arial" w:cs="Arial"/>
          <w:b/>
          <w:bCs/>
          <w:caps/>
          <w:color w:val="000000"/>
          <w:sz w:val="20"/>
          <w:szCs w:val="20"/>
        </w:rPr>
        <w:t xml:space="preserve">SUMMARY OF </w:t>
      </w:r>
      <w:r w:rsidR="00F439AE">
        <w:rPr>
          <w:rFonts w:ascii="Arial" w:hAnsi="Arial" w:cs="Arial"/>
          <w:b/>
          <w:bCs/>
          <w:caps/>
          <w:color w:val="000000"/>
          <w:sz w:val="20"/>
          <w:szCs w:val="20"/>
        </w:rPr>
        <w:t xml:space="preserve">unaudited </w:t>
      </w:r>
      <w:r>
        <w:rPr>
          <w:rFonts w:ascii="Arial" w:hAnsi="Arial" w:cs="Arial"/>
          <w:b/>
          <w:bCs/>
          <w:caps/>
          <w:color w:val="000000"/>
          <w:sz w:val="20"/>
          <w:szCs w:val="20"/>
        </w:rPr>
        <w:t>FINANCIAL INFORMATION</w:t>
      </w:r>
      <w:r>
        <w:rPr>
          <w:rFonts w:ascii="Arial" w:hAnsi="Arial" w:cs="Arial"/>
          <w:b/>
          <w:bCs/>
          <w:caps/>
          <w:color w:val="000000"/>
          <w:szCs w:val="22"/>
          <w:lang w:val="en-CA"/>
        </w:rPr>
        <w:t xml:space="preserve"> </w:t>
      </w:r>
    </w:p>
    <w:p w14:paraId="2CD4B29E" w14:textId="77777777" w:rsidR="00076D7D" w:rsidRPr="00076D7D" w:rsidRDefault="00076D7D" w:rsidP="00FE41AD">
      <w:pPr>
        <w:spacing w:before="120" w:line="240" w:lineRule="atLeast"/>
        <w:jc w:val="both"/>
        <w:rPr>
          <w:rFonts w:ascii="Arial" w:hAnsi="Arial" w:cs="Arial"/>
          <w:b/>
          <w:bCs/>
          <w:caps/>
          <w:color w:val="000000"/>
          <w:sz w:val="16"/>
          <w:szCs w:val="16"/>
          <w:lang w:val="en-CA"/>
        </w:rPr>
      </w:pPr>
    </w:p>
    <w:tbl>
      <w:tblPr>
        <w:tblW w:w="8760" w:type="dxa"/>
        <w:tblLayout w:type="fixed"/>
        <w:tblLook w:val="04A0" w:firstRow="1" w:lastRow="0" w:firstColumn="1" w:lastColumn="0" w:noHBand="0" w:noVBand="1"/>
      </w:tblPr>
      <w:tblGrid>
        <w:gridCol w:w="5872"/>
        <w:gridCol w:w="1398"/>
        <w:gridCol w:w="1490"/>
      </w:tblGrid>
      <w:tr w:rsidR="00144954" w:rsidRPr="00002555" w14:paraId="41B969B8" w14:textId="77777777" w:rsidTr="00F439AE">
        <w:trPr>
          <w:trHeight w:val="404"/>
        </w:trPr>
        <w:tc>
          <w:tcPr>
            <w:tcW w:w="5872" w:type="dxa"/>
            <w:tcBorders>
              <w:top w:val="single" w:sz="12" w:space="0" w:color="auto"/>
              <w:bottom w:val="single" w:sz="4" w:space="0" w:color="auto"/>
            </w:tcBorders>
          </w:tcPr>
          <w:p w14:paraId="6CA436DA" w14:textId="7A339487" w:rsidR="00144954" w:rsidRPr="00002555" w:rsidRDefault="00144954" w:rsidP="00144954">
            <w:pPr>
              <w:widowControl w:val="0"/>
              <w:jc w:val="both"/>
              <w:rPr>
                <w:rFonts w:ascii="Arial" w:hAnsi="Arial" w:cs="Arial"/>
                <w:bCs/>
                <w:sz w:val="18"/>
                <w:szCs w:val="18"/>
                <w:lang w:val="en-CA"/>
              </w:rPr>
            </w:pPr>
            <w:r w:rsidRPr="00002555">
              <w:rPr>
                <w:rFonts w:ascii="Arial" w:hAnsi="Arial" w:cs="Arial"/>
                <w:bCs/>
                <w:sz w:val="18"/>
                <w:szCs w:val="18"/>
                <w:lang w:val="en-CA"/>
              </w:rPr>
              <w:t>(expressed in $</w:t>
            </w:r>
            <w:r w:rsidR="00590F21" w:rsidRPr="00002555">
              <w:rPr>
                <w:rFonts w:ascii="Arial" w:hAnsi="Arial" w:cs="Arial"/>
                <w:bCs/>
                <w:sz w:val="18"/>
                <w:szCs w:val="18"/>
                <w:lang w:val="en-CA"/>
              </w:rPr>
              <w:t>, except shares outstanding</w:t>
            </w:r>
            <w:r w:rsidRPr="00002555">
              <w:rPr>
                <w:rFonts w:ascii="Arial" w:hAnsi="Arial" w:cs="Arial"/>
                <w:bCs/>
                <w:sz w:val="18"/>
                <w:szCs w:val="18"/>
                <w:lang w:val="en-CA"/>
              </w:rPr>
              <w:t>)</w:t>
            </w:r>
            <w:r w:rsidR="00F439AE">
              <w:rPr>
                <w:rFonts w:ascii="Arial" w:hAnsi="Arial" w:cs="Arial"/>
                <w:bCs/>
                <w:sz w:val="18"/>
                <w:szCs w:val="18"/>
                <w:lang w:val="en-CA"/>
              </w:rPr>
              <w:t xml:space="preserve"> </w:t>
            </w:r>
          </w:p>
        </w:tc>
        <w:tc>
          <w:tcPr>
            <w:tcW w:w="1398" w:type="dxa"/>
            <w:tcBorders>
              <w:top w:val="single" w:sz="12" w:space="0" w:color="auto"/>
              <w:bottom w:val="single" w:sz="4" w:space="0" w:color="auto"/>
            </w:tcBorders>
            <w:vAlign w:val="bottom"/>
          </w:tcPr>
          <w:p w14:paraId="72D94546" w14:textId="103B66C0" w:rsidR="00144954" w:rsidRPr="00002555" w:rsidRDefault="00FD5B0D" w:rsidP="00144954">
            <w:pPr>
              <w:widowControl w:val="0"/>
              <w:jc w:val="right"/>
              <w:rPr>
                <w:rFonts w:ascii="Arial" w:hAnsi="Arial" w:cs="Arial"/>
                <w:b/>
                <w:bCs/>
                <w:sz w:val="18"/>
                <w:szCs w:val="18"/>
                <w:lang w:val="en-CA"/>
              </w:rPr>
            </w:pPr>
            <w:r>
              <w:rPr>
                <w:rFonts w:ascii="Arial" w:hAnsi="Arial" w:cs="Arial"/>
                <w:b/>
                <w:bCs/>
                <w:sz w:val="18"/>
                <w:szCs w:val="18"/>
                <w:lang w:val="en-CA"/>
              </w:rPr>
              <w:t>December</w:t>
            </w:r>
            <w:r w:rsidR="00257237" w:rsidRPr="00002555">
              <w:rPr>
                <w:rFonts w:ascii="Arial" w:hAnsi="Arial" w:cs="Arial"/>
                <w:b/>
                <w:bCs/>
                <w:sz w:val="18"/>
                <w:szCs w:val="18"/>
                <w:lang w:val="en-CA"/>
              </w:rPr>
              <w:t xml:space="preserve"> </w:t>
            </w:r>
            <w:r w:rsidR="00391063" w:rsidRPr="00002555">
              <w:rPr>
                <w:rFonts w:ascii="Arial" w:hAnsi="Arial" w:cs="Arial"/>
                <w:b/>
                <w:bCs/>
                <w:sz w:val="18"/>
                <w:szCs w:val="18"/>
                <w:lang w:val="en-CA"/>
              </w:rPr>
              <w:t>3</w:t>
            </w:r>
            <w:r>
              <w:rPr>
                <w:rFonts w:ascii="Arial" w:hAnsi="Arial" w:cs="Arial"/>
                <w:b/>
                <w:bCs/>
                <w:sz w:val="18"/>
                <w:szCs w:val="18"/>
                <w:lang w:val="en-CA"/>
              </w:rPr>
              <w:t>1</w:t>
            </w:r>
          </w:p>
          <w:p w14:paraId="55D67AD8" w14:textId="77777777" w:rsidR="00144954" w:rsidRDefault="00144954" w:rsidP="00144954">
            <w:pPr>
              <w:widowControl w:val="0"/>
              <w:jc w:val="right"/>
              <w:rPr>
                <w:rFonts w:ascii="Arial" w:hAnsi="Arial" w:cs="Arial"/>
                <w:b/>
                <w:bCs/>
                <w:sz w:val="18"/>
                <w:szCs w:val="18"/>
                <w:lang w:val="en-CA"/>
              </w:rPr>
            </w:pPr>
            <w:r w:rsidRPr="00002555">
              <w:rPr>
                <w:rFonts w:ascii="Arial" w:hAnsi="Arial" w:cs="Arial"/>
                <w:b/>
                <w:bCs/>
                <w:sz w:val="18"/>
                <w:szCs w:val="18"/>
                <w:lang w:val="en-CA"/>
              </w:rPr>
              <w:t>202</w:t>
            </w:r>
            <w:r w:rsidR="00D76676" w:rsidRPr="00002555">
              <w:rPr>
                <w:rFonts w:ascii="Arial" w:hAnsi="Arial" w:cs="Arial"/>
                <w:b/>
                <w:bCs/>
                <w:sz w:val="18"/>
                <w:szCs w:val="18"/>
                <w:lang w:val="en-CA"/>
              </w:rPr>
              <w:t>4</w:t>
            </w:r>
          </w:p>
          <w:p w14:paraId="144386D8" w14:textId="602FDCDF" w:rsidR="00F439AE" w:rsidRPr="00F439AE" w:rsidRDefault="00F439AE" w:rsidP="00144954">
            <w:pPr>
              <w:widowControl w:val="0"/>
              <w:jc w:val="right"/>
              <w:rPr>
                <w:rFonts w:ascii="Arial" w:hAnsi="Arial" w:cs="Arial"/>
                <w:b/>
                <w:bCs/>
                <w:sz w:val="18"/>
                <w:szCs w:val="18"/>
                <w:lang w:val="en-CA"/>
              </w:rPr>
            </w:pPr>
            <w:r w:rsidRPr="00F439AE">
              <w:rPr>
                <w:rFonts w:ascii="Arial" w:hAnsi="Arial" w:cs="Arial"/>
                <w:b/>
                <w:bCs/>
                <w:sz w:val="18"/>
                <w:szCs w:val="18"/>
                <w:lang w:val="en-CA"/>
              </w:rPr>
              <w:t>(unaudited)</w:t>
            </w:r>
          </w:p>
        </w:tc>
        <w:tc>
          <w:tcPr>
            <w:tcW w:w="1490" w:type="dxa"/>
            <w:tcBorders>
              <w:top w:val="single" w:sz="12" w:space="0" w:color="auto"/>
              <w:bottom w:val="single" w:sz="4" w:space="0" w:color="auto"/>
            </w:tcBorders>
          </w:tcPr>
          <w:p w14:paraId="248A5F12" w14:textId="77777777" w:rsidR="00144954" w:rsidRPr="00002555" w:rsidRDefault="00144954" w:rsidP="00F439AE">
            <w:pPr>
              <w:widowControl w:val="0"/>
              <w:jc w:val="right"/>
              <w:rPr>
                <w:rFonts w:ascii="Arial" w:hAnsi="Arial" w:cs="Arial"/>
                <w:b/>
                <w:bCs/>
                <w:sz w:val="18"/>
                <w:szCs w:val="18"/>
                <w:lang w:val="en-CA"/>
              </w:rPr>
            </w:pPr>
            <w:r w:rsidRPr="00002555">
              <w:rPr>
                <w:rFonts w:ascii="Arial" w:hAnsi="Arial" w:cs="Arial"/>
                <w:b/>
                <w:bCs/>
                <w:sz w:val="18"/>
                <w:szCs w:val="18"/>
                <w:lang w:val="en-CA"/>
              </w:rPr>
              <w:t>December 31</w:t>
            </w:r>
          </w:p>
          <w:p w14:paraId="6772FF4F" w14:textId="610F76D5" w:rsidR="00144954" w:rsidRPr="00002555" w:rsidRDefault="00144954" w:rsidP="00F439AE">
            <w:pPr>
              <w:widowControl w:val="0"/>
              <w:jc w:val="right"/>
              <w:rPr>
                <w:rFonts w:ascii="Arial" w:hAnsi="Arial" w:cs="Arial"/>
                <w:b/>
                <w:bCs/>
                <w:sz w:val="18"/>
                <w:szCs w:val="18"/>
                <w:lang w:val="en-CA"/>
              </w:rPr>
            </w:pPr>
            <w:r w:rsidRPr="00002555">
              <w:rPr>
                <w:rFonts w:ascii="Arial" w:hAnsi="Arial" w:cs="Arial"/>
                <w:b/>
                <w:bCs/>
                <w:sz w:val="18"/>
                <w:szCs w:val="18"/>
                <w:lang w:val="en-CA"/>
              </w:rPr>
              <w:t>202</w:t>
            </w:r>
            <w:r w:rsidR="00002555">
              <w:rPr>
                <w:rFonts w:ascii="Arial" w:hAnsi="Arial" w:cs="Arial"/>
                <w:b/>
                <w:bCs/>
                <w:sz w:val="18"/>
                <w:szCs w:val="18"/>
                <w:lang w:val="en-CA"/>
              </w:rPr>
              <w:t>3</w:t>
            </w:r>
          </w:p>
        </w:tc>
      </w:tr>
      <w:tr w:rsidR="0015755E" w:rsidRPr="00002555" w14:paraId="021AF382" w14:textId="77777777" w:rsidTr="000140BC">
        <w:tblPrEx>
          <w:tblLook w:val="01E0" w:firstRow="1" w:lastRow="1" w:firstColumn="1" w:lastColumn="1" w:noHBand="0" w:noVBand="0"/>
        </w:tblPrEx>
        <w:trPr>
          <w:trHeight w:val="173"/>
        </w:trPr>
        <w:tc>
          <w:tcPr>
            <w:tcW w:w="5872" w:type="dxa"/>
            <w:tcBorders>
              <w:top w:val="single" w:sz="4" w:space="0" w:color="auto"/>
            </w:tcBorders>
          </w:tcPr>
          <w:p w14:paraId="26600CDA" w14:textId="7F159D74"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Current assets</w:t>
            </w:r>
          </w:p>
        </w:tc>
        <w:tc>
          <w:tcPr>
            <w:tcW w:w="1398" w:type="dxa"/>
            <w:tcBorders>
              <w:top w:val="single" w:sz="4" w:space="0" w:color="auto"/>
            </w:tcBorders>
            <w:vAlign w:val="bottom"/>
          </w:tcPr>
          <w:p w14:paraId="4DD9C071" w14:textId="2C8615BF"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28,129,766</w:t>
            </w:r>
          </w:p>
        </w:tc>
        <w:tc>
          <w:tcPr>
            <w:tcW w:w="1490" w:type="dxa"/>
            <w:tcBorders>
              <w:top w:val="single" w:sz="4" w:space="0" w:color="auto"/>
            </w:tcBorders>
          </w:tcPr>
          <w:p w14:paraId="35B88033" w14:textId="1AD0C088"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7,636,408</w:t>
            </w:r>
          </w:p>
        </w:tc>
      </w:tr>
      <w:tr w:rsidR="0015755E" w:rsidRPr="00002555" w14:paraId="049929D5" w14:textId="77777777" w:rsidTr="001D5736">
        <w:tblPrEx>
          <w:tblLook w:val="01E0" w:firstRow="1" w:lastRow="1" w:firstColumn="1" w:lastColumn="1" w:noHBand="0" w:noVBand="0"/>
        </w:tblPrEx>
        <w:trPr>
          <w:trHeight w:val="173"/>
        </w:trPr>
        <w:tc>
          <w:tcPr>
            <w:tcW w:w="5872" w:type="dxa"/>
            <w:tcBorders>
              <w:bottom w:val="single" w:sz="4" w:space="0" w:color="auto"/>
            </w:tcBorders>
          </w:tcPr>
          <w:p w14:paraId="5908CC48" w14:textId="77777777"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Current liabilities</w:t>
            </w:r>
          </w:p>
        </w:tc>
        <w:tc>
          <w:tcPr>
            <w:tcW w:w="1398" w:type="dxa"/>
            <w:tcBorders>
              <w:bottom w:val="single" w:sz="4" w:space="0" w:color="000000"/>
            </w:tcBorders>
            <w:vAlign w:val="bottom"/>
          </w:tcPr>
          <w:p w14:paraId="4191C7B7" w14:textId="2EFCFF07"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(56,945,822)</w:t>
            </w:r>
          </w:p>
        </w:tc>
        <w:tc>
          <w:tcPr>
            <w:tcW w:w="1490" w:type="dxa"/>
            <w:tcBorders>
              <w:bottom w:val="single" w:sz="4" w:space="0" w:color="auto"/>
            </w:tcBorders>
          </w:tcPr>
          <w:p w14:paraId="10A77DFE" w14:textId="4C41A338"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(19,422,342)</w:t>
            </w:r>
          </w:p>
        </w:tc>
      </w:tr>
      <w:tr w:rsidR="0015755E" w:rsidRPr="00002555" w14:paraId="77E25F0F" w14:textId="77777777" w:rsidTr="001D5736">
        <w:tblPrEx>
          <w:tblLook w:val="01E0" w:firstRow="1" w:lastRow="1" w:firstColumn="1" w:lastColumn="1" w:noHBand="0" w:noVBand="0"/>
        </w:tblPrEx>
        <w:trPr>
          <w:trHeight w:val="173"/>
        </w:trPr>
        <w:tc>
          <w:tcPr>
            <w:tcW w:w="5872" w:type="dxa"/>
            <w:tcBorders>
              <w:top w:val="single" w:sz="4" w:space="0" w:color="auto"/>
              <w:bottom w:val="single" w:sz="4" w:space="0" w:color="auto"/>
            </w:tcBorders>
            <w:vAlign w:val="bottom"/>
          </w:tcPr>
          <w:p w14:paraId="02E67878" w14:textId="294E8DFD"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 xml:space="preserve">Working capital </w:t>
            </w:r>
            <w:r w:rsidRPr="00002555">
              <w:rPr>
                <w:rFonts w:ascii="Arial" w:hAnsi="Arial" w:cs="Arial"/>
                <w:sz w:val="18"/>
                <w:szCs w:val="18"/>
                <w:vertAlign w:val="superscript"/>
                <w:lang w:val="en-CA"/>
              </w:rPr>
              <w:t>(1)</w:t>
            </w:r>
          </w:p>
        </w:tc>
        <w:tc>
          <w:tcPr>
            <w:tcW w:w="1398" w:type="dxa"/>
            <w:tcBorders>
              <w:top w:val="single" w:sz="4" w:space="0" w:color="000000"/>
              <w:bottom w:val="single" w:sz="4" w:space="0" w:color="000000"/>
            </w:tcBorders>
            <w:vAlign w:val="bottom"/>
          </w:tcPr>
          <w:p w14:paraId="5EA84DE3" w14:textId="3AD083B0"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(28,816,056)</w:t>
            </w:r>
          </w:p>
        </w:tc>
        <w:tc>
          <w:tcPr>
            <w:tcW w:w="1490" w:type="dxa"/>
            <w:tcBorders>
              <w:top w:val="single" w:sz="4" w:space="0" w:color="auto"/>
              <w:bottom w:val="single" w:sz="4" w:space="0" w:color="auto"/>
            </w:tcBorders>
          </w:tcPr>
          <w:p w14:paraId="79C0E371" w14:textId="0C3E0DF9"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(11,785,934)</w:t>
            </w:r>
          </w:p>
        </w:tc>
      </w:tr>
      <w:tr w:rsidR="0015755E" w:rsidRPr="00002555" w14:paraId="689B42CA" w14:textId="77777777" w:rsidTr="001D5736">
        <w:tblPrEx>
          <w:tblLook w:val="01E0" w:firstRow="1" w:lastRow="1" w:firstColumn="1" w:lastColumn="1" w:noHBand="0" w:noVBand="0"/>
        </w:tblPrEx>
        <w:trPr>
          <w:trHeight w:val="221"/>
        </w:trPr>
        <w:tc>
          <w:tcPr>
            <w:tcW w:w="5872" w:type="dxa"/>
            <w:vAlign w:val="bottom"/>
          </w:tcPr>
          <w:p w14:paraId="01CE6BBD" w14:textId="56DD6E33"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Exploration and evaluation assets</w:t>
            </w:r>
          </w:p>
        </w:tc>
        <w:tc>
          <w:tcPr>
            <w:tcW w:w="1398" w:type="dxa"/>
            <w:shd w:val="clear" w:color="auto" w:fill="auto"/>
            <w:vAlign w:val="bottom"/>
          </w:tcPr>
          <w:p w14:paraId="6707E00A" w14:textId="26345521"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14,052,021</w:t>
            </w:r>
          </w:p>
        </w:tc>
        <w:tc>
          <w:tcPr>
            <w:tcW w:w="1490" w:type="dxa"/>
            <w:shd w:val="clear" w:color="auto" w:fill="auto"/>
          </w:tcPr>
          <w:p w14:paraId="342ACA2F" w14:textId="07727642"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14,103,353</w:t>
            </w:r>
          </w:p>
        </w:tc>
      </w:tr>
      <w:tr w:rsidR="0015755E" w:rsidRPr="00002555" w14:paraId="428DC790" w14:textId="77777777" w:rsidTr="001D5736">
        <w:tblPrEx>
          <w:tblLook w:val="01E0" w:firstRow="1" w:lastRow="1" w:firstColumn="1" w:lastColumn="1" w:noHBand="0" w:noVBand="0"/>
        </w:tblPrEx>
        <w:trPr>
          <w:trHeight w:val="221"/>
        </w:trPr>
        <w:tc>
          <w:tcPr>
            <w:tcW w:w="5872" w:type="dxa"/>
            <w:vAlign w:val="bottom"/>
          </w:tcPr>
          <w:p w14:paraId="695EF20E" w14:textId="6B443643"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Property and equipment</w:t>
            </w:r>
          </w:p>
        </w:tc>
        <w:tc>
          <w:tcPr>
            <w:tcW w:w="1398" w:type="dxa"/>
            <w:shd w:val="clear" w:color="auto" w:fill="auto"/>
            <w:vAlign w:val="bottom"/>
          </w:tcPr>
          <w:p w14:paraId="7A78FCC4" w14:textId="215DD589"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175,506,640</w:t>
            </w:r>
          </w:p>
        </w:tc>
        <w:tc>
          <w:tcPr>
            <w:tcW w:w="1490" w:type="dxa"/>
            <w:shd w:val="clear" w:color="auto" w:fill="auto"/>
          </w:tcPr>
          <w:p w14:paraId="0E85EACF" w14:textId="3337D81A"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45,834,731</w:t>
            </w:r>
          </w:p>
        </w:tc>
      </w:tr>
      <w:tr w:rsidR="0015755E" w:rsidRPr="00002555" w14:paraId="56531471" w14:textId="77777777" w:rsidTr="001D5736">
        <w:tblPrEx>
          <w:tblLook w:val="01E0" w:firstRow="1" w:lastRow="1" w:firstColumn="1" w:lastColumn="1" w:noHBand="0" w:noVBand="0"/>
        </w:tblPrEx>
        <w:trPr>
          <w:trHeight w:val="232"/>
        </w:trPr>
        <w:tc>
          <w:tcPr>
            <w:tcW w:w="5872" w:type="dxa"/>
            <w:vAlign w:val="bottom"/>
          </w:tcPr>
          <w:p w14:paraId="275E37CB" w14:textId="77777777"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Total assets</w:t>
            </w:r>
          </w:p>
        </w:tc>
        <w:tc>
          <w:tcPr>
            <w:tcW w:w="1398" w:type="dxa"/>
            <w:shd w:val="clear" w:color="auto" w:fill="auto"/>
            <w:vAlign w:val="bottom"/>
          </w:tcPr>
          <w:p w14:paraId="648F3C9D" w14:textId="4ADD5748"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218,188,749</w:t>
            </w:r>
          </w:p>
        </w:tc>
        <w:tc>
          <w:tcPr>
            <w:tcW w:w="1490" w:type="dxa"/>
            <w:shd w:val="clear" w:color="auto" w:fill="auto"/>
          </w:tcPr>
          <w:p w14:paraId="66153304" w14:textId="06A6B3E2"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67,785,665</w:t>
            </w:r>
          </w:p>
        </w:tc>
      </w:tr>
      <w:tr w:rsidR="0015755E" w:rsidRPr="00002555" w14:paraId="7CEC6EB4" w14:textId="77777777" w:rsidTr="001D5736">
        <w:tblPrEx>
          <w:tblLook w:val="01E0" w:firstRow="1" w:lastRow="1" w:firstColumn="1" w:lastColumn="1" w:noHBand="0" w:noVBand="0"/>
        </w:tblPrEx>
        <w:trPr>
          <w:trHeight w:val="221"/>
        </w:trPr>
        <w:tc>
          <w:tcPr>
            <w:tcW w:w="5872" w:type="dxa"/>
            <w:vAlign w:val="bottom"/>
          </w:tcPr>
          <w:p w14:paraId="4C4413C8" w14:textId="45A9E7B2"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 xml:space="preserve">Non-current financial liabilities </w:t>
            </w:r>
            <w:r w:rsidRPr="00002555">
              <w:rPr>
                <w:rFonts w:ascii="Arial" w:hAnsi="Arial" w:cs="Arial"/>
                <w:sz w:val="18"/>
                <w:szCs w:val="18"/>
                <w:vertAlign w:val="superscript"/>
                <w:lang w:val="en-CA"/>
              </w:rPr>
              <w:t>(1)</w:t>
            </w:r>
          </w:p>
        </w:tc>
        <w:tc>
          <w:tcPr>
            <w:tcW w:w="1398" w:type="dxa"/>
            <w:shd w:val="clear" w:color="auto" w:fill="auto"/>
            <w:vAlign w:val="bottom"/>
          </w:tcPr>
          <w:p w14:paraId="6AB7CC9A" w14:textId="6666A8AE" w:rsidR="0015755E" w:rsidRPr="00257237" w:rsidRDefault="00DC74AF"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31,945,591</w:t>
            </w:r>
          </w:p>
        </w:tc>
        <w:tc>
          <w:tcPr>
            <w:tcW w:w="1490" w:type="dxa"/>
          </w:tcPr>
          <w:p w14:paraId="28310DD5" w14:textId="3E12F21F"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18,317,856</w:t>
            </w:r>
          </w:p>
        </w:tc>
      </w:tr>
      <w:tr w:rsidR="0015755E" w:rsidRPr="00002555" w14:paraId="796826EC" w14:textId="77777777" w:rsidTr="001D5736">
        <w:tblPrEx>
          <w:tblLook w:val="01E0" w:firstRow="1" w:lastRow="1" w:firstColumn="1" w:lastColumn="1" w:noHBand="0" w:noVBand="0"/>
        </w:tblPrEx>
        <w:trPr>
          <w:trHeight w:val="221"/>
        </w:trPr>
        <w:tc>
          <w:tcPr>
            <w:tcW w:w="5872" w:type="dxa"/>
            <w:vAlign w:val="bottom"/>
          </w:tcPr>
          <w:p w14:paraId="155FF6CA" w14:textId="77777777"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Share capital</w:t>
            </w:r>
          </w:p>
        </w:tc>
        <w:tc>
          <w:tcPr>
            <w:tcW w:w="1398" w:type="dxa"/>
            <w:vAlign w:val="bottom"/>
          </w:tcPr>
          <w:p w14:paraId="1D8B5F8D" w14:textId="3694EA7D"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56,456,328</w:t>
            </w:r>
          </w:p>
        </w:tc>
        <w:tc>
          <w:tcPr>
            <w:tcW w:w="1490" w:type="dxa"/>
          </w:tcPr>
          <w:p w14:paraId="06DD7899" w14:textId="52008E68"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56,456,328</w:t>
            </w:r>
          </w:p>
        </w:tc>
      </w:tr>
      <w:tr w:rsidR="0015755E" w:rsidRPr="00002555" w14:paraId="7AB455A5" w14:textId="77777777" w:rsidTr="001D5736">
        <w:tblPrEx>
          <w:tblLook w:val="01E0" w:firstRow="1" w:lastRow="1" w:firstColumn="1" w:lastColumn="1" w:noHBand="0" w:noVBand="0"/>
        </w:tblPrEx>
        <w:trPr>
          <w:trHeight w:val="221"/>
        </w:trPr>
        <w:tc>
          <w:tcPr>
            <w:tcW w:w="5872" w:type="dxa"/>
            <w:tcBorders>
              <w:bottom w:val="single" w:sz="12" w:space="0" w:color="auto"/>
            </w:tcBorders>
            <w:vAlign w:val="bottom"/>
          </w:tcPr>
          <w:p w14:paraId="2BAA256B" w14:textId="77777777" w:rsidR="0015755E" w:rsidRPr="00002555" w:rsidRDefault="0015755E" w:rsidP="0015755E">
            <w:pPr>
              <w:widowControl w:val="0"/>
              <w:spacing w:line="240" w:lineRule="atLeast"/>
              <w:rPr>
                <w:rFonts w:ascii="Arial" w:hAnsi="Arial" w:cs="Arial"/>
                <w:sz w:val="18"/>
                <w:szCs w:val="18"/>
                <w:lang w:val="en-CA"/>
              </w:rPr>
            </w:pPr>
            <w:r w:rsidRPr="00002555">
              <w:rPr>
                <w:rFonts w:ascii="Arial" w:hAnsi="Arial" w:cs="Arial"/>
                <w:sz w:val="18"/>
                <w:szCs w:val="18"/>
                <w:lang w:val="en-CA"/>
              </w:rPr>
              <w:t xml:space="preserve">Total common shares outstanding </w:t>
            </w:r>
          </w:p>
        </w:tc>
        <w:tc>
          <w:tcPr>
            <w:tcW w:w="1398" w:type="dxa"/>
            <w:tcBorders>
              <w:bottom w:val="single" w:sz="12" w:space="0" w:color="auto"/>
            </w:tcBorders>
            <w:vAlign w:val="center"/>
          </w:tcPr>
          <w:p w14:paraId="396A531D" w14:textId="073305BC" w:rsidR="0015755E" w:rsidRPr="00257237" w:rsidRDefault="0015755E" w:rsidP="0015755E">
            <w:pPr>
              <w:widowControl w:val="0"/>
              <w:tabs>
                <w:tab w:val="decimal" w:pos="1062"/>
              </w:tabs>
              <w:spacing w:line="240" w:lineRule="atLeast"/>
              <w:ind w:right="-45"/>
              <w:jc w:val="center"/>
              <w:rPr>
                <w:rFonts w:ascii="Arial" w:hAnsi="Arial" w:cs="Arial"/>
                <w:sz w:val="18"/>
                <w:szCs w:val="18"/>
                <w:lang w:val="en-CA"/>
              </w:rPr>
            </w:pPr>
            <w:r>
              <w:rPr>
                <w:rFonts w:ascii="Arial" w:hAnsi="Arial" w:cs="Arial"/>
                <w:sz w:val="18"/>
                <w:szCs w:val="18"/>
              </w:rPr>
              <w:t>72,903,038</w:t>
            </w:r>
          </w:p>
        </w:tc>
        <w:tc>
          <w:tcPr>
            <w:tcW w:w="1490" w:type="dxa"/>
            <w:tcBorders>
              <w:bottom w:val="single" w:sz="12" w:space="0" w:color="auto"/>
            </w:tcBorders>
          </w:tcPr>
          <w:p w14:paraId="3F033FD3" w14:textId="6C68CDF9" w:rsidR="0015755E" w:rsidRPr="00002555" w:rsidRDefault="0015755E" w:rsidP="0015755E">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72,903,038</w:t>
            </w:r>
          </w:p>
        </w:tc>
      </w:tr>
    </w:tbl>
    <w:p w14:paraId="5F79694C" w14:textId="77777777" w:rsidR="00946DA2" w:rsidRDefault="00946DA2" w:rsidP="004F7EFE">
      <w:pPr>
        <w:widowControl w:val="0"/>
        <w:spacing w:before="40"/>
        <w:jc w:val="both"/>
        <w:rPr>
          <w:rFonts w:ascii="Arial" w:hAnsi="Arial" w:cs="Arial"/>
          <w:sz w:val="18"/>
          <w:szCs w:val="18"/>
          <w:vertAlign w:val="superscript"/>
        </w:rPr>
      </w:pPr>
    </w:p>
    <w:tbl>
      <w:tblPr>
        <w:tblW w:w="9900" w:type="dxa"/>
        <w:tblLayout w:type="fixed"/>
        <w:tblLook w:val="0400" w:firstRow="0" w:lastRow="0" w:firstColumn="0" w:lastColumn="0" w:noHBand="0" w:noVBand="1"/>
      </w:tblPr>
      <w:tblGrid>
        <w:gridCol w:w="4770"/>
        <w:gridCol w:w="1282"/>
        <w:gridCol w:w="1283"/>
        <w:gridCol w:w="1282"/>
        <w:gridCol w:w="1283"/>
      </w:tblGrid>
      <w:tr w:rsidR="0015755E" w:rsidRPr="00C0574C" w14:paraId="03423B4A" w14:textId="77777777" w:rsidTr="0097153E">
        <w:trPr>
          <w:trHeight w:val="275"/>
        </w:trPr>
        <w:tc>
          <w:tcPr>
            <w:tcW w:w="4770" w:type="dxa"/>
            <w:tcBorders>
              <w:top w:val="single" w:sz="12" w:space="0" w:color="000000"/>
            </w:tcBorders>
            <w:vAlign w:val="bottom"/>
          </w:tcPr>
          <w:p w14:paraId="42654190" w14:textId="77777777" w:rsidR="0015755E" w:rsidRPr="00C0574C" w:rsidRDefault="0015755E" w:rsidP="0097153E">
            <w:pPr>
              <w:widowControl w:val="0"/>
              <w:pBdr>
                <w:top w:val="nil"/>
                <w:left w:val="nil"/>
                <w:bottom w:val="nil"/>
                <w:right w:val="nil"/>
                <w:between w:val="nil"/>
              </w:pBdr>
              <w:spacing w:before="60"/>
              <w:rPr>
                <w:rFonts w:ascii="Arial" w:hAnsi="Arial" w:cs="Arial"/>
                <w:color w:val="000000"/>
                <w:sz w:val="18"/>
                <w:szCs w:val="18"/>
              </w:rPr>
            </w:pPr>
            <w:r w:rsidRPr="00C0574C">
              <w:rPr>
                <w:rFonts w:ascii="Arial" w:hAnsi="Arial" w:cs="Arial"/>
                <w:color w:val="000000"/>
                <w:sz w:val="18"/>
                <w:szCs w:val="18"/>
              </w:rPr>
              <w:t>(expressed in $, except shares outstanding)</w:t>
            </w:r>
          </w:p>
        </w:tc>
        <w:tc>
          <w:tcPr>
            <w:tcW w:w="2565" w:type="dxa"/>
            <w:gridSpan w:val="2"/>
            <w:tcBorders>
              <w:top w:val="single" w:sz="12" w:space="0" w:color="000000"/>
            </w:tcBorders>
            <w:vAlign w:val="bottom"/>
          </w:tcPr>
          <w:p w14:paraId="4190FD97" w14:textId="77777777" w:rsidR="0015755E" w:rsidRPr="00C0574C" w:rsidRDefault="0015755E" w:rsidP="0097153E">
            <w:pPr>
              <w:widowControl w:val="0"/>
              <w:pBdr>
                <w:top w:val="nil"/>
                <w:left w:val="nil"/>
                <w:bottom w:val="nil"/>
                <w:right w:val="nil"/>
                <w:between w:val="nil"/>
              </w:pBdr>
              <w:spacing w:before="60"/>
              <w:jc w:val="center"/>
              <w:rPr>
                <w:rFonts w:ascii="Arial" w:hAnsi="Arial" w:cs="Arial"/>
                <w:b/>
                <w:color w:val="000000"/>
                <w:sz w:val="16"/>
                <w:szCs w:val="16"/>
              </w:rPr>
            </w:pPr>
            <w:r w:rsidRPr="00C0574C">
              <w:rPr>
                <w:rFonts w:ascii="Arial" w:hAnsi="Arial" w:cs="Arial"/>
                <w:b/>
                <w:color w:val="000000"/>
                <w:sz w:val="16"/>
                <w:szCs w:val="16"/>
              </w:rPr>
              <w:t>Three months ended</w:t>
            </w:r>
          </w:p>
        </w:tc>
        <w:tc>
          <w:tcPr>
            <w:tcW w:w="2565" w:type="dxa"/>
            <w:gridSpan w:val="2"/>
            <w:tcBorders>
              <w:top w:val="single" w:sz="12" w:space="0" w:color="000000"/>
            </w:tcBorders>
            <w:vAlign w:val="bottom"/>
          </w:tcPr>
          <w:p w14:paraId="725D603F" w14:textId="77777777" w:rsidR="0015755E" w:rsidRPr="00C0574C" w:rsidRDefault="0015755E" w:rsidP="0097153E">
            <w:pPr>
              <w:widowControl w:val="0"/>
              <w:pBdr>
                <w:top w:val="nil"/>
                <w:left w:val="nil"/>
                <w:bottom w:val="nil"/>
                <w:right w:val="nil"/>
                <w:between w:val="nil"/>
              </w:pBdr>
              <w:spacing w:before="60"/>
              <w:jc w:val="center"/>
              <w:rPr>
                <w:rFonts w:ascii="Arial" w:hAnsi="Arial" w:cs="Arial"/>
                <w:b/>
                <w:color w:val="000000"/>
                <w:sz w:val="16"/>
                <w:szCs w:val="16"/>
              </w:rPr>
            </w:pPr>
            <w:r>
              <w:rPr>
                <w:rFonts w:ascii="Arial" w:hAnsi="Arial" w:cs="Arial"/>
                <w:b/>
                <w:color w:val="000000"/>
                <w:sz w:val="16"/>
                <w:szCs w:val="16"/>
              </w:rPr>
              <w:t>Year e</w:t>
            </w:r>
            <w:r w:rsidRPr="00C0574C">
              <w:rPr>
                <w:rFonts w:ascii="Arial" w:hAnsi="Arial" w:cs="Arial"/>
                <w:b/>
                <w:color w:val="000000"/>
                <w:sz w:val="16"/>
                <w:szCs w:val="16"/>
              </w:rPr>
              <w:t>nded</w:t>
            </w:r>
          </w:p>
        </w:tc>
      </w:tr>
      <w:tr w:rsidR="0015755E" w:rsidRPr="00C0574C" w14:paraId="49166B65" w14:textId="77777777" w:rsidTr="0097153E">
        <w:trPr>
          <w:trHeight w:val="279"/>
        </w:trPr>
        <w:tc>
          <w:tcPr>
            <w:tcW w:w="4770" w:type="dxa"/>
          </w:tcPr>
          <w:p w14:paraId="1EE936AA" w14:textId="77777777" w:rsidR="0015755E" w:rsidRPr="00C0574C" w:rsidRDefault="0015755E" w:rsidP="0097153E">
            <w:pPr>
              <w:widowControl w:val="0"/>
              <w:pBdr>
                <w:top w:val="nil"/>
                <w:left w:val="nil"/>
                <w:bottom w:val="nil"/>
                <w:right w:val="nil"/>
                <w:between w:val="nil"/>
              </w:pBdr>
              <w:jc w:val="both"/>
              <w:rPr>
                <w:rFonts w:ascii="Arial" w:hAnsi="Arial" w:cs="Arial"/>
                <w:color w:val="000000"/>
                <w:sz w:val="18"/>
                <w:szCs w:val="18"/>
              </w:rPr>
            </w:pPr>
          </w:p>
        </w:tc>
        <w:tc>
          <w:tcPr>
            <w:tcW w:w="2565" w:type="dxa"/>
            <w:gridSpan w:val="2"/>
            <w:vAlign w:val="bottom"/>
          </w:tcPr>
          <w:p w14:paraId="73E2D4C0" w14:textId="77777777" w:rsidR="0015755E" w:rsidRPr="00C0574C" w:rsidRDefault="0015755E" w:rsidP="0097153E">
            <w:pPr>
              <w:widowControl w:val="0"/>
              <w:pBdr>
                <w:top w:val="nil"/>
                <w:left w:val="nil"/>
                <w:bottom w:val="nil"/>
                <w:right w:val="nil"/>
                <w:between w:val="nil"/>
              </w:pBdr>
              <w:jc w:val="center"/>
              <w:rPr>
                <w:rFonts w:ascii="Arial" w:hAnsi="Arial" w:cs="Arial"/>
                <w:b/>
                <w:color w:val="000000"/>
                <w:sz w:val="16"/>
                <w:szCs w:val="16"/>
              </w:rPr>
            </w:pPr>
            <w:r>
              <w:rPr>
                <w:rFonts w:ascii="Arial" w:hAnsi="Arial" w:cs="Arial"/>
                <w:b/>
                <w:color w:val="000000"/>
                <w:sz w:val="16"/>
                <w:szCs w:val="16"/>
              </w:rPr>
              <w:t>December</w:t>
            </w:r>
            <w:r w:rsidRPr="00C0574C">
              <w:rPr>
                <w:rFonts w:ascii="Arial" w:hAnsi="Arial" w:cs="Arial"/>
                <w:b/>
                <w:color w:val="000000"/>
                <w:sz w:val="16"/>
                <w:szCs w:val="16"/>
              </w:rPr>
              <w:t xml:space="preserve"> 3</w:t>
            </w:r>
            <w:r>
              <w:rPr>
                <w:rFonts w:ascii="Arial" w:hAnsi="Arial" w:cs="Arial"/>
                <w:b/>
                <w:color w:val="000000"/>
                <w:sz w:val="16"/>
                <w:szCs w:val="16"/>
              </w:rPr>
              <w:t>1</w:t>
            </w:r>
          </w:p>
        </w:tc>
        <w:tc>
          <w:tcPr>
            <w:tcW w:w="2565" w:type="dxa"/>
            <w:gridSpan w:val="2"/>
            <w:vAlign w:val="bottom"/>
          </w:tcPr>
          <w:p w14:paraId="6008B50C" w14:textId="77777777" w:rsidR="0015755E" w:rsidRPr="00C0574C" w:rsidRDefault="0015755E" w:rsidP="0097153E">
            <w:pPr>
              <w:widowControl w:val="0"/>
              <w:pBdr>
                <w:top w:val="nil"/>
                <w:left w:val="nil"/>
                <w:bottom w:val="nil"/>
                <w:right w:val="nil"/>
                <w:between w:val="nil"/>
              </w:pBdr>
              <w:jc w:val="center"/>
              <w:rPr>
                <w:rFonts w:ascii="Arial" w:hAnsi="Arial" w:cs="Arial"/>
                <w:b/>
                <w:color w:val="000000"/>
                <w:sz w:val="16"/>
                <w:szCs w:val="16"/>
              </w:rPr>
            </w:pPr>
            <w:r>
              <w:rPr>
                <w:rFonts w:ascii="Arial" w:hAnsi="Arial" w:cs="Arial"/>
                <w:b/>
                <w:color w:val="000000"/>
                <w:sz w:val="16"/>
                <w:szCs w:val="16"/>
              </w:rPr>
              <w:t>December</w:t>
            </w:r>
            <w:r w:rsidRPr="00C0574C">
              <w:rPr>
                <w:rFonts w:ascii="Arial" w:hAnsi="Arial" w:cs="Arial"/>
                <w:b/>
                <w:color w:val="000000"/>
                <w:sz w:val="16"/>
                <w:szCs w:val="16"/>
              </w:rPr>
              <w:t xml:space="preserve"> 3</w:t>
            </w:r>
            <w:r>
              <w:rPr>
                <w:rFonts w:ascii="Arial" w:hAnsi="Arial" w:cs="Arial"/>
                <w:b/>
                <w:color w:val="000000"/>
                <w:sz w:val="16"/>
                <w:szCs w:val="16"/>
              </w:rPr>
              <w:t>1</w:t>
            </w:r>
          </w:p>
        </w:tc>
      </w:tr>
      <w:tr w:rsidR="0015755E" w:rsidRPr="00C0574C" w14:paraId="3431E514" w14:textId="77777777" w:rsidTr="001B1418">
        <w:trPr>
          <w:trHeight w:val="197"/>
        </w:trPr>
        <w:tc>
          <w:tcPr>
            <w:tcW w:w="4770" w:type="dxa"/>
            <w:tcBorders>
              <w:bottom w:val="single" w:sz="4" w:space="0" w:color="auto"/>
            </w:tcBorders>
          </w:tcPr>
          <w:p w14:paraId="7C22D9F4" w14:textId="77777777" w:rsidR="0015755E" w:rsidRPr="00C0574C" w:rsidRDefault="0015755E" w:rsidP="0015755E">
            <w:pPr>
              <w:widowControl w:val="0"/>
              <w:pBdr>
                <w:top w:val="nil"/>
                <w:left w:val="nil"/>
                <w:bottom w:val="nil"/>
                <w:right w:val="nil"/>
                <w:between w:val="nil"/>
              </w:pBdr>
              <w:jc w:val="both"/>
              <w:rPr>
                <w:rFonts w:ascii="Arial" w:hAnsi="Arial" w:cs="Arial"/>
                <w:color w:val="000000"/>
                <w:sz w:val="18"/>
                <w:szCs w:val="18"/>
              </w:rPr>
            </w:pPr>
          </w:p>
        </w:tc>
        <w:tc>
          <w:tcPr>
            <w:tcW w:w="1282" w:type="dxa"/>
            <w:tcBorders>
              <w:bottom w:val="single" w:sz="4" w:space="0" w:color="auto"/>
            </w:tcBorders>
          </w:tcPr>
          <w:p w14:paraId="601064CB" w14:textId="574AFAEB" w:rsidR="001B1418" w:rsidRPr="00C0574C" w:rsidRDefault="0015755E" w:rsidP="001B1418">
            <w:pPr>
              <w:widowControl w:val="0"/>
              <w:pBdr>
                <w:top w:val="nil"/>
                <w:left w:val="nil"/>
                <w:bottom w:val="nil"/>
                <w:right w:val="nil"/>
                <w:between w:val="nil"/>
              </w:pBdr>
              <w:jc w:val="center"/>
              <w:rPr>
                <w:rFonts w:ascii="Arial" w:hAnsi="Arial" w:cs="Arial"/>
                <w:b/>
                <w:color w:val="000000"/>
                <w:sz w:val="16"/>
                <w:szCs w:val="16"/>
              </w:rPr>
            </w:pPr>
            <w:r w:rsidRPr="00C0574C">
              <w:rPr>
                <w:rFonts w:ascii="Arial" w:hAnsi="Arial" w:cs="Arial"/>
                <w:b/>
                <w:color w:val="000000"/>
                <w:sz w:val="16"/>
                <w:szCs w:val="16"/>
              </w:rPr>
              <w:t>202</w:t>
            </w:r>
            <w:r>
              <w:rPr>
                <w:rFonts w:ascii="Arial" w:hAnsi="Arial" w:cs="Arial"/>
                <w:b/>
                <w:color w:val="000000"/>
                <w:sz w:val="16"/>
                <w:szCs w:val="16"/>
              </w:rPr>
              <w:t>4</w:t>
            </w:r>
          </w:p>
        </w:tc>
        <w:tc>
          <w:tcPr>
            <w:tcW w:w="1283" w:type="dxa"/>
            <w:tcBorders>
              <w:bottom w:val="single" w:sz="4" w:space="0" w:color="auto"/>
            </w:tcBorders>
          </w:tcPr>
          <w:p w14:paraId="6FF7A306" w14:textId="38D0970B" w:rsidR="0015755E" w:rsidRPr="00C0574C" w:rsidRDefault="0015755E" w:rsidP="001B1418">
            <w:pPr>
              <w:widowControl w:val="0"/>
              <w:pBdr>
                <w:top w:val="nil"/>
                <w:left w:val="nil"/>
                <w:bottom w:val="nil"/>
                <w:right w:val="nil"/>
                <w:between w:val="nil"/>
              </w:pBdr>
              <w:jc w:val="center"/>
              <w:rPr>
                <w:rFonts w:ascii="Arial" w:hAnsi="Arial" w:cs="Arial"/>
                <w:b/>
                <w:color w:val="000000"/>
                <w:sz w:val="16"/>
                <w:szCs w:val="16"/>
              </w:rPr>
            </w:pPr>
            <w:r w:rsidRPr="00C0574C">
              <w:rPr>
                <w:rFonts w:ascii="Arial" w:hAnsi="Arial" w:cs="Arial"/>
                <w:b/>
                <w:color w:val="000000"/>
                <w:sz w:val="16"/>
                <w:szCs w:val="16"/>
              </w:rPr>
              <w:t>2023</w:t>
            </w:r>
          </w:p>
        </w:tc>
        <w:tc>
          <w:tcPr>
            <w:tcW w:w="1282" w:type="dxa"/>
            <w:tcBorders>
              <w:bottom w:val="single" w:sz="4" w:space="0" w:color="auto"/>
            </w:tcBorders>
            <w:vAlign w:val="bottom"/>
          </w:tcPr>
          <w:p w14:paraId="2411AACE" w14:textId="77777777" w:rsidR="0015755E" w:rsidRDefault="0015755E" w:rsidP="0015755E">
            <w:pPr>
              <w:widowControl w:val="0"/>
              <w:pBdr>
                <w:top w:val="nil"/>
                <w:left w:val="nil"/>
                <w:bottom w:val="nil"/>
                <w:right w:val="nil"/>
                <w:between w:val="nil"/>
              </w:pBdr>
              <w:jc w:val="center"/>
              <w:rPr>
                <w:rFonts w:ascii="Arial" w:hAnsi="Arial" w:cs="Arial"/>
                <w:b/>
                <w:color w:val="000000"/>
                <w:sz w:val="16"/>
                <w:szCs w:val="16"/>
              </w:rPr>
            </w:pPr>
            <w:r w:rsidRPr="00C0574C">
              <w:rPr>
                <w:rFonts w:ascii="Arial" w:hAnsi="Arial" w:cs="Arial"/>
                <w:b/>
                <w:color w:val="000000"/>
                <w:sz w:val="16"/>
                <w:szCs w:val="16"/>
              </w:rPr>
              <w:t>202</w:t>
            </w:r>
            <w:r>
              <w:rPr>
                <w:rFonts w:ascii="Arial" w:hAnsi="Arial" w:cs="Arial"/>
                <w:b/>
                <w:color w:val="000000"/>
                <w:sz w:val="16"/>
                <w:szCs w:val="16"/>
              </w:rPr>
              <w:t>4</w:t>
            </w:r>
          </w:p>
          <w:p w14:paraId="0A3610DF" w14:textId="12EB9468" w:rsidR="001B1418" w:rsidRPr="00C0574C" w:rsidRDefault="001B1418" w:rsidP="0015755E">
            <w:pPr>
              <w:widowControl w:val="0"/>
              <w:pBdr>
                <w:top w:val="nil"/>
                <w:left w:val="nil"/>
                <w:bottom w:val="nil"/>
                <w:right w:val="nil"/>
                <w:between w:val="nil"/>
              </w:pBdr>
              <w:jc w:val="center"/>
              <w:rPr>
                <w:rFonts w:ascii="Arial" w:hAnsi="Arial" w:cs="Arial"/>
                <w:b/>
                <w:color w:val="000000"/>
                <w:sz w:val="16"/>
                <w:szCs w:val="16"/>
              </w:rPr>
            </w:pPr>
            <w:r>
              <w:rPr>
                <w:rFonts w:ascii="Arial" w:hAnsi="Arial" w:cs="Arial"/>
                <w:b/>
                <w:color w:val="000000"/>
                <w:sz w:val="16"/>
                <w:szCs w:val="16"/>
              </w:rPr>
              <w:t>(unaudited)</w:t>
            </w:r>
          </w:p>
        </w:tc>
        <w:tc>
          <w:tcPr>
            <w:tcW w:w="1283" w:type="dxa"/>
            <w:tcBorders>
              <w:bottom w:val="single" w:sz="4" w:space="0" w:color="auto"/>
            </w:tcBorders>
          </w:tcPr>
          <w:p w14:paraId="5731FFDF" w14:textId="2EEC6BAF" w:rsidR="0015755E" w:rsidRPr="00C0574C" w:rsidRDefault="0015755E" w:rsidP="001B1418">
            <w:pPr>
              <w:widowControl w:val="0"/>
              <w:pBdr>
                <w:top w:val="nil"/>
                <w:left w:val="nil"/>
                <w:bottom w:val="nil"/>
                <w:right w:val="nil"/>
                <w:between w:val="nil"/>
              </w:pBdr>
              <w:jc w:val="center"/>
              <w:rPr>
                <w:rFonts w:ascii="Arial" w:hAnsi="Arial" w:cs="Arial"/>
                <w:b/>
                <w:color w:val="000000"/>
                <w:sz w:val="16"/>
                <w:szCs w:val="16"/>
              </w:rPr>
            </w:pPr>
            <w:r w:rsidRPr="00C0574C">
              <w:rPr>
                <w:rFonts w:ascii="Arial" w:hAnsi="Arial" w:cs="Arial"/>
                <w:b/>
                <w:color w:val="000000"/>
                <w:sz w:val="16"/>
                <w:szCs w:val="16"/>
              </w:rPr>
              <w:t>2023</w:t>
            </w:r>
          </w:p>
        </w:tc>
      </w:tr>
      <w:tr w:rsidR="0015755E" w:rsidRPr="00C0574C" w14:paraId="219C70B6" w14:textId="77777777" w:rsidTr="0015755E">
        <w:trPr>
          <w:trHeight w:val="207"/>
        </w:trPr>
        <w:tc>
          <w:tcPr>
            <w:tcW w:w="4770" w:type="dxa"/>
            <w:tcBorders>
              <w:top w:val="single" w:sz="4" w:space="0" w:color="auto"/>
            </w:tcBorders>
            <w:vAlign w:val="bottom"/>
          </w:tcPr>
          <w:p w14:paraId="792E0CA6" w14:textId="77777777" w:rsidR="0015755E" w:rsidRPr="00C0574C" w:rsidRDefault="0015755E" w:rsidP="0015755E">
            <w:pPr>
              <w:widowControl w:val="0"/>
              <w:pBdr>
                <w:top w:val="nil"/>
                <w:left w:val="nil"/>
                <w:bottom w:val="nil"/>
                <w:right w:val="nil"/>
                <w:between w:val="nil"/>
              </w:pBdr>
              <w:rPr>
                <w:rFonts w:ascii="Arial" w:hAnsi="Arial" w:cs="Arial"/>
                <w:color w:val="000000"/>
                <w:sz w:val="18"/>
                <w:szCs w:val="18"/>
              </w:rPr>
            </w:pPr>
            <w:r w:rsidRPr="00C0574C">
              <w:rPr>
                <w:rFonts w:ascii="Arial" w:hAnsi="Arial" w:cs="Arial"/>
                <w:color w:val="000000"/>
                <w:sz w:val="18"/>
                <w:szCs w:val="18"/>
              </w:rPr>
              <w:t>Oil and natural gas sales revenue</w:t>
            </w:r>
          </w:p>
        </w:tc>
        <w:tc>
          <w:tcPr>
            <w:tcW w:w="1282" w:type="dxa"/>
            <w:tcBorders>
              <w:top w:val="single" w:sz="4" w:space="0" w:color="auto"/>
            </w:tcBorders>
            <w:shd w:val="clear" w:color="auto" w:fill="auto"/>
            <w:vAlign w:val="bottom"/>
          </w:tcPr>
          <w:p w14:paraId="76A83B15" w14:textId="43BBED5C" w:rsidR="0015755E" w:rsidRPr="007F1B62" w:rsidRDefault="0015755E" w:rsidP="0015755E">
            <w:pPr>
              <w:pBdr>
                <w:top w:val="nil"/>
                <w:left w:val="nil"/>
                <w:bottom w:val="nil"/>
                <w:right w:val="nil"/>
                <w:between w:val="nil"/>
              </w:pBdr>
              <w:tabs>
                <w:tab w:val="decimal" w:pos="1065"/>
              </w:tabs>
              <w:ind w:right="-101"/>
              <w:jc w:val="right"/>
              <w:rPr>
                <w:rFonts w:ascii="Arial" w:hAnsi="Arial" w:cs="Arial"/>
                <w:color w:val="000000"/>
                <w:sz w:val="18"/>
                <w:szCs w:val="18"/>
              </w:rPr>
            </w:pPr>
            <w:r>
              <w:rPr>
                <w:rFonts w:ascii="Arial" w:hAnsi="Arial" w:cs="Arial"/>
                <w:sz w:val="18"/>
                <w:szCs w:val="18"/>
              </w:rPr>
              <w:t>19,580,949</w:t>
            </w:r>
          </w:p>
        </w:tc>
        <w:tc>
          <w:tcPr>
            <w:tcW w:w="1283" w:type="dxa"/>
            <w:tcBorders>
              <w:top w:val="single" w:sz="4" w:space="0" w:color="auto"/>
            </w:tcBorders>
            <w:shd w:val="clear" w:color="auto" w:fill="auto"/>
            <w:vAlign w:val="bottom"/>
          </w:tcPr>
          <w:p w14:paraId="2EEF7B5B" w14:textId="28DE1AA8"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5,530,896</w:t>
            </w:r>
          </w:p>
        </w:tc>
        <w:tc>
          <w:tcPr>
            <w:tcW w:w="1282" w:type="dxa"/>
            <w:tcBorders>
              <w:top w:val="single" w:sz="4" w:space="0" w:color="auto"/>
            </w:tcBorders>
            <w:shd w:val="clear" w:color="auto" w:fill="auto"/>
            <w:vAlign w:val="bottom"/>
          </w:tcPr>
          <w:p w14:paraId="345C2D19" w14:textId="5DB68B1F"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36,827,158</w:t>
            </w:r>
          </w:p>
        </w:tc>
        <w:tc>
          <w:tcPr>
            <w:tcW w:w="1283" w:type="dxa"/>
            <w:tcBorders>
              <w:top w:val="single" w:sz="4" w:space="0" w:color="auto"/>
            </w:tcBorders>
            <w:shd w:val="clear" w:color="auto" w:fill="auto"/>
            <w:vAlign w:val="bottom"/>
          </w:tcPr>
          <w:p w14:paraId="4F3AE628" w14:textId="796CC475"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26,766,228</w:t>
            </w:r>
          </w:p>
        </w:tc>
      </w:tr>
      <w:tr w:rsidR="0015755E" w:rsidRPr="00C0574C" w14:paraId="3B052E1E" w14:textId="77777777" w:rsidTr="0015755E">
        <w:trPr>
          <w:trHeight w:val="207"/>
        </w:trPr>
        <w:tc>
          <w:tcPr>
            <w:tcW w:w="4770" w:type="dxa"/>
            <w:vAlign w:val="bottom"/>
          </w:tcPr>
          <w:p w14:paraId="3C4F1B96" w14:textId="77777777" w:rsidR="0015755E" w:rsidRPr="00C0574C" w:rsidRDefault="0015755E" w:rsidP="0015755E">
            <w:pPr>
              <w:widowControl w:val="0"/>
              <w:pBdr>
                <w:top w:val="nil"/>
                <w:left w:val="nil"/>
                <w:bottom w:val="nil"/>
                <w:right w:val="nil"/>
                <w:between w:val="nil"/>
              </w:pBdr>
              <w:rPr>
                <w:rFonts w:ascii="Arial" w:hAnsi="Arial" w:cs="Arial"/>
                <w:color w:val="000000"/>
                <w:sz w:val="18"/>
                <w:szCs w:val="18"/>
              </w:rPr>
            </w:pPr>
            <w:r w:rsidRPr="007F1B62">
              <w:rPr>
                <w:rFonts w:ascii="Arial" w:hAnsi="Arial" w:cs="Arial"/>
                <w:color w:val="000000"/>
                <w:sz w:val="18"/>
                <w:szCs w:val="18"/>
              </w:rPr>
              <w:t>(Reversal) Impairment of property and equipment</w:t>
            </w:r>
          </w:p>
        </w:tc>
        <w:tc>
          <w:tcPr>
            <w:tcW w:w="1282" w:type="dxa"/>
            <w:shd w:val="clear" w:color="auto" w:fill="auto"/>
            <w:vAlign w:val="bottom"/>
          </w:tcPr>
          <w:p w14:paraId="41E22E45" w14:textId="38BEA99C" w:rsidR="0015755E" w:rsidRPr="007F1B62" w:rsidRDefault="0015755E" w:rsidP="0015755E">
            <w:pPr>
              <w:pBdr>
                <w:top w:val="nil"/>
                <w:left w:val="nil"/>
                <w:bottom w:val="nil"/>
                <w:right w:val="nil"/>
                <w:between w:val="nil"/>
              </w:pBdr>
              <w:tabs>
                <w:tab w:val="decimal" w:pos="1065"/>
              </w:tabs>
              <w:ind w:right="-101"/>
              <w:jc w:val="right"/>
              <w:rPr>
                <w:rFonts w:ascii="Arial" w:eastAsia="Arial" w:hAnsi="Arial" w:cs="Arial"/>
                <w:sz w:val="18"/>
                <w:szCs w:val="18"/>
              </w:rPr>
            </w:pPr>
            <w:r>
              <w:rPr>
                <w:rFonts w:ascii="Arial" w:eastAsia="Arial" w:hAnsi="Arial" w:cs="Arial"/>
                <w:sz w:val="18"/>
                <w:szCs w:val="18"/>
              </w:rPr>
              <w:t>-</w:t>
            </w:r>
          </w:p>
        </w:tc>
        <w:tc>
          <w:tcPr>
            <w:tcW w:w="1283" w:type="dxa"/>
            <w:shd w:val="clear" w:color="auto" w:fill="auto"/>
            <w:vAlign w:val="bottom"/>
          </w:tcPr>
          <w:p w14:paraId="1D15F2AC" w14:textId="5759A39B" w:rsidR="0015755E" w:rsidRPr="007F1B62" w:rsidRDefault="0015755E" w:rsidP="0015755E">
            <w:pPr>
              <w:pBdr>
                <w:top w:val="nil"/>
                <w:left w:val="nil"/>
                <w:bottom w:val="nil"/>
                <w:right w:val="nil"/>
                <w:between w:val="nil"/>
              </w:pBdr>
              <w:tabs>
                <w:tab w:val="decimal" w:pos="1065"/>
              </w:tabs>
              <w:ind w:right="-105"/>
              <w:jc w:val="right"/>
              <w:rPr>
                <w:rFonts w:ascii="Arial" w:hAnsi="Arial" w:cs="Arial"/>
                <w:sz w:val="18"/>
                <w:szCs w:val="18"/>
              </w:rPr>
            </w:pPr>
            <w:r w:rsidRPr="007F1B62">
              <w:rPr>
                <w:rFonts w:ascii="Arial" w:hAnsi="Arial" w:cs="Arial"/>
                <w:sz w:val="18"/>
                <w:szCs w:val="18"/>
              </w:rPr>
              <w:t>(3,050,000)</w:t>
            </w:r>
          </w:p>
        </w:tc>
        <w:tc>
          <w:tcPr>
            <w:tcW w:w="1282" w:type="dxa"/>
            <w:shd w:val="clear" w:color="auto" w:fill="auto"/>
            <w:vAlign w:val="bottom"/>
          </w:tcPr>
          <w:p w14:paraId="6E0B6FA5" w14:textId="3A711931" w:rsidR="0015755E" w:rsidRPr="007F1B62" w:rsidRDefault="0015755E" w:rsidP="0015755E">
            <w:pPr>
              <w:pBdr>
                <w:top w:val="nil"/>
                <w:left w:val="nil"/>
                <w:bottom w:val="nil"/>
                <w:right w:val="nil"/>
                <w:between w:val="nil"/>
              </w:pBdr>
              <w:tabs>
                <w:tab w:val="decimal" w:pos="1065"/>
              </w:tabs>
              <w:ind w:right="-105"/>
              <w:jc w:val="right"/>
              <w:rPr>
                <w:rFonts w:ascii="Arial" w:eastAsia="Arial" w:hAnsi="Arial" w:cs="Arial"/>
                <w:sz w:val="18"/>
                <w:szCs w:val="18"/>
              </w:rPr>
            </w:pPr>
            <w:r>
              <w:rPr>
                <w:rFonts w:ascii="Arial" w:eastAsia="Arial" w:hAnsi="Arial" w:cs="Arial"/>
                <w:sz w:val="18"/>
                <w:szCs w:val="18"/>
              </w:rPr>
              <w:t>-</w:t>
            </w:r>
          </w:p>
        </w:tc>
        <w:tc>
          <w:tcPr>
            <w:tcW w:w="1283" w:type="dxa"/>
            <w:shd w:val="clear" w:color="auto" w:fill="auto"/>
            <w:vAlign w:val="bottom"/>
          </w:tcPr>
          <w:p w14:paraId="47C711DD" w14:textId="49E646B9" w:rsidR="0015755E" w:rsidRPr="007F1B62" w:rsidRDefault="0015755E" w:rsidP="0015755E">
            <w:pPr>
              <w:pBdr>
                <w:top w:val="nil"/>
                <w:left w:val="nil"/>
                <w:bottom w:val="nil"/>
                <w:right w:val="nil"/>
                <w:between w:val="nil"/>
              </w:pBdr>
              <w:tabs>
                <w:tab w:val="decimal" w:pos="1065"/>
              </w:tabs>
              <w:ind w:right="-105"/>
              <w:jc w:val="right"/>
              <w:rPr>
                <w:rFonts w:ascii="Arial" w:hAnsi="Arial" w:cs="Arial"/>
                <w:sz w:val="18"/>
                <w:szCs w:val="18"/>
              </w:rPr>
            </w:pPr>
            <w:r w:rsidRPr="007F1B62">
              <w:rPr>
                <w:rFonts w:ascii="Arial" w:hAnsi="Arial" w:cs="Arial"/>
                <w:sz w:val="18"/>
                <w:szCs w:val="18"/>
              </w:rPr>
              <w:t>(3,050,000)</w:t>
            </w:r>
          </w:p>
        </w:tc>
      </w:tr>
      <w:tr w:rsidR="0015755E" w:rsidRPr="00C0574C" w14:paraId="18D7BAE8" w14:textId="77777777" w:rsidTr="0015755E">
        <w:trPr>
          <w:trHeight w:val="207"/>
        </w:trPr>
        <w:tc>
          <w:tcPr>
            <w:tcW w:w="4770" w:type="dxa"/>
            <w:vAlign w:val="bottom"/>
          </w:tcPr>
          <w:p w14:paraId="50C6FEC7" w14:textId="77777777" w:rsidR="0015755E" w:rsidRPr="00C0574C" w:rsidRDefault="0015755E" w:rsidP="0015755E">
            <w:pPr>
              <w:widowControl w:val="0"/>
              <w:pBdr>
                <w:top w:val="nil"/>
                <w:left w:val="nil"/>
                <w:bottom w:val="nil"/>
                <w:right w:val="nil"/>
                <w:between w:val="nil"/>
              </w:pBdr>
              <w:rPr>
                <w:rFonts w:ascii="Arial" w:hAnsi="Arial" w:cs="Arial"/>
                <w:color w:val="000000"/>
                <w:sz w:val="18"/>
                <w:szCs w:val="18"/>
              </w:rPr>
            </w:pPr>
            <w:r w:rsidRPr="00C0574C">
              <w:rPr>
                <w:rFonts w:ascii="Arial" w:hAnsi="Arial" w:cs="Arial"/>
                <w:color w:val="000000"/>
                <w:sz w:val="18"/>
                <w:szCs w:val="18"/>
              </w:rPr>
              <w:t>Loss before taxes</w:t>
            </w:r>
          </w:p>
        </w:tc>
        <w:tc>
          <w:tcPr>
            <w:tcW w:w="1282" w:type="dxa"/>
            <w:shd w:val="clear" w:color="auto" w:fill="auto"/>
            <w:vAlign w:val="bottom"/>
          </w:tcPr>
          <w:p w14:paraId="7D28F5E0" w14:textId="6A810F65" w:rsidR="0015755E" w:rsidRPr="007F1B62" w:rsidRDefault="0015755E" w:rsidP="0015755E">
            <w:pPr>
              <w:pBdr>
                <w:top w:val="nil"/>
                <w:left w:val="nil"/>
                <w:bottom w:val="nil"/>
                <w:right w:val="nil"/>
                <w:between w:val="nil"/>
              </w:pBdr>
              <w:tabs>
                <w:tab w:val="decimal" w:pos="1065"/>
              </w:tabs>
              <w:ind w:right="-101"/>
              <w:jc w:val="right"/>
              <w:rPr>
                <w:rFonts w:ascii="Arial" w:hAnsi="Arial" w:cs="Arial"/>
                <w:color w:val="000000"/>
                <w:sz w:val="18"/>
                <w:szCs w:val="18"/>
              </w:rPr>
            </w:pPr>
            <w:r>
              <w:rPr>
                <w:rFonts w:ascii="Arial" w:hAnsi="Arial" w:cs="Arial"/>
                <w:sz w:val="18"/>
                <w:szCs w:val="18"/>
              </w:rPr>
              <w:t>(3,047,172)</w:t>
            </w:r>
          </w:p>
        </w:tc>
        <w:tc>
          <w:tcPr>
            <w:tcW w:w="1283" w:type="dxa"/>
            <w:shd w:val="clear" w:color="auto" w:fill="auto"/>
            <w:vAlign w:val="bottom"/>
          </w:tcPr>
          <w:p w14:paraId="276D8D8F" w14:textId="30A75072"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(2,379,953)</w:t>
            </w:r>
          </w:p>
        </w:tc>
        <w:tc>
          <w:tcPr>
            <w:tcW w:w="1282" w:type="dxa"/>
            <w:shd w:val="clear" w:color="auto" w:fill="auto"/>
            <w:vAlign w:val="bottom"/>
          </w:tcPr>
          <w:p w14:paraId="30DC721B" w14:textId="43240D26"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(13,013,738)</w:t>
            </w:r>
          </w:p>
        </w:tc>
        <w:tc>
          <w:tcPr>
            <w:tcW w:w="1283" w:type="dxa"/>
            <w:shd w:val="clear" w:color="auto" w:fill="auto"/>
            <w:vAlign w:val="bottom"/>
          </w:tcPr>
          <w:p w14:paraId="14123068" w14:textId="3E9AAC3B"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(10,130,991)</w:t>
            </w:r>
          </w:p>
        </w:tc>
      </w:tr>
      <w:tr w:rsidR="0015755E" w:rsidRPr="00C0574C" w14:paraId="4A7F22F6" w14:textId="77777777" w:rsidTr="0015755E">
        <w:trPr>
          <w:trHeight w:val="239"/>
        </w:trPr>
        <w:tc>
          <w:tcPr>
            <w:tcW w:w="4770" w:type="dxa"/>
            <w:shd w:val="clear" w:color="auto" w:fill="auto"/>
            <w:vAlign w:val="bottom"/>
          </w:tcPr>
          <w:p w14:paraId="272A27CE" w14:textId="77777777" w:rsidR="0015755E" w:rsidRPr="00C0574C" w:rsidRDefault="0015755E" w:rsidP="0015755E">
            <w:pPr>
              <w:widowControl w:val="0"/>
              <w:pBdr>
                <w:top w:val="nil"/>
                <w:left w:val="nil"/>
                <w:bottom w:val="nil"/>
                <w:right w:val="nil"/>
                <w:between w:val="nil"/>
              </w:pBdr>
              <w:rPr>
                <w:rFonts w:ascii="Arial" w:hAnsi="Arial" w:cs="Arial"/>
                <w:color w:val="000000"/>
                <w:sz w:val="18"/>
                <w:szCs w:val="18"/>
              </w:rPr>
            </w:pPr>
            <w:r w:rsidRPr="00C0574C">
              <w:rPr>
                <w:rFonts w:ascii="Arial" w:hAnsi="Arial" w:cs="Arial"/>
                <w:color w:val="000000"/>
                <w:sz w:val="18"/>
                <w:szCs w:val="18"/>
              </w:rPr>
              <w:t>Net loss</w:t>
            </w:r>
          </w:p>
        </w:tc>
        <w:tc>
          <w:tcPr>
            <w:tcW w:w="1282" w:type="dxa"/>
            <w:shd w:val="clear" w:color="auto" w:fill="auto"/>
            <w:vAlign w:val="bottom"/>
          </w:tcPr>
          <w:p w14:paraId="1745D54B" w14:textId="74389405"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(3,121,431)</w:t>
            </w:r>
          </w:p>
        </w:tc>
        <w:tc>
          <w:tcPr>
            <w:tcW w:w="1283" w:type="dxa"/>
            <w:shd w:val="clear" w:color="auto" w:fill="auto"/>
            <w:vAlign w:val="bottom"/>
          </w:tcPr>
          <w:p w14:paraId="6D144E59" w14:textId="4D828D71"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(2,096,083)</w:t>
            </w:r>
          </w:p>
        </w:tc>
        <w:tc>
          <w:tcPr>
            <w:tcW w:w="1282" w:type="dxa"/>
            <w:shd w:val="clear" w:color="auto" w:fill="auto"/>
            <w:vAlign w:val="bottom"/>
          </w:tcPr>
          <w:p w14:paraId="3F0E9DB3" w14:textId="3AEF4E28"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(9,145,821)</w:t>
            </w:r>
          </w:p>
        </w:tc>
        <w:tc>
          <w:tcPr>
            <w:tcW w:w="1283" w:type="dxa"/>
            <w:vAlign w:val="bottom"/>
          </w:tcPr>
          <w:p w14:paraId="2EC4AF20" w14:textId="5840F5DE"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(8,127,632)</w:t>
            </w:r>
          </w:p>
        </w:tc>
      </w:tr>
      <w:tr w:rsidR="0015755E" w:rsidRPr="00C0574C" w14:paraId="7DAFCF89" w14:textId="77777777" w:rsidTr="0015755E">
        <w:trPr>
          <w:trHeight w:val="243"/>
        </w:trPr>
        <w:tc>
          <w:tcPr>
            <w:tcW w:w="4770" w:type="dxa"/>
            <w:shd w:val="clear" w:color="auto" w:fill="auto"/>
            <w:vAlign w:val="bottom"/>
          </w:tcPr>
          <w:p w14:paraId="0A6D0406" w14:textId="77777777" w:rsidR="0015755E" w:rsidRPr="00C0574C" w:rsidRDefault="0015755E" w:rsidP="0015755E">
            <w:pPr>
              <w:widowControl w:val="0"/>
              <w:pBdr>
                <w:top w:val="nil"/>
                <w:left w:val="nil"/>
                <w:bottom w:val="nil"/>
                <w:right w:val="nil"/>
                <w:between w:val="nil"/>
              </w:pBdr>
              <w:ind w:right="-38"/>
              <w:rPr>
                <w:rFonts w:ascii="Arial" w:hAnsi="Arial" w:cs="Arial"/>
                <w:color w:val="000000"/>
                <w:sz w:val="18"/>
                <w:szCs w:val="18"/>
              </w:rPr>
            </w:pPr>
            <w:r w:rsidRPr="00C0574C">
              <w:rPr>
                <w:rFonts w:ascii="Arial" w:hAnsi="Arial" w:cs="Arial"/>
                <w:color w:val="000000"/>
                <w:sz w:val="18"/>
                <w:szCs w:val="18"/>
              </w:rPr>
              <w:t xml:space="preserve">Net loss per share </w:t>
            </w:r>
            <w:r w:rsidRPr="00C0574C">
              <w:rPr>
                <w:rFonts w:ascii="Arial" w:hAnsi="Arial" w:cs="Arial"/>
                <w:color w:val="000000"/>
                <w:vertAlign w:val="superscript"/>
              </w:rPr>
              <w:t>(2)</w:t>
            </w:r>
            <w:r w:rsidRPr="00C0574C">
              <w:rPr>
                <w:rFonts w:ascii="Arial" w:hAnsi="Arial" w:cs="Arial"/>
                <w:color w:val="000000"/>
                <w:sz w:val="18"/>
                <w:szCs w:val="18"/>
              </w:rPr>
              <w:t xml:space="preserve"> </w:t>
            </w:r>
          </w:p>
        </w:tc>
        <w:tc>
          <w:tcPr>
            <w:tcW w:w="1282" w:type="dxa"/>
            <w:shd w:val="clear" w:color="auto" w:fill="auto"/>
            <w:vAlign w:val="bottom"/>
          </w:tcPr>
          <w:p w14:paraId="134006B1" w14:textId="39936719"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Pr>
                <w:rFonts w:ascii="Arial" w:hAnsi="Arial" w:cs="Arial"/>
                <w:sz w:val="18"/>
                <w:szCs w:val="18"/>
              </w:rPr>
              <w:t>(0.04)</w:t>
            </w:r>
          </w:p>
        </w:tc>
        <w:tc>
          <w:tcPr>
            <w:tcW w:w="1283" w:type="dxa"/>
            <w:shd w:val="clear" w:color="auto" w:fill="auto"/>
            <w:vAlign w:val="bottom"/>
          </w:tcPr>
          <w:p w14:paraId="1A4D63BC" w14:textId="546F354A"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sidRPr="007F1B62">
              <w:rPr>
                <w:rFonts w:ascii="Arial" w:hAnsi="Arial" w:cs="Arial"/>
                <w:sz w:val="18"/>
                <w:szCs w:val="18"/>
              </w:rPr>
              <w:t>(0.03)</w:t>
            </w:r>
          </w:p>
        </w:tc>
        <w:tc>
          <w:tcPr>
            <w:tcW w:w="1282" w:type="dxa"/>
            <w:shd w:val="clear" w:color="auto" w:fill="auto"/>
            <w:vAlign w:val="bottom"/>
          </w:tcPr>
          <w:p w14:paraId="25F7D5F3" w14:textId="5E89C632"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Pr>
                <w:rFonts w:ascii="Arial" w:hAnsi="Arial" w:cs="Arial"/>
                <w:sz w:val="18"/>
                <w:szCs w:val="18"/>
              </w:rPr>
              <w:t>(0.13)</w:t>
            </w:r>
          </w:p>
        </w:tc>
        <w:tc>
          <w:tcPr>
            <w:tcW w:w="1283" w:type="dxa"/>
            <w:vAlign w:val="bottom"/>
          </w:tcPr>
          <w:p w14:paraId="2FD79D07" w14:textId="5D4CFA8E"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sidRPr="007F1B62">
              <w:rPr>
                <w:rFonts w:ascii="Arial" w:hAnsi="Arial" w:cs="Arial"/>
                <w:sz w:val="18"/>
                <w:szCs w:val="18"/>
              </w:rPr>
              <w:t>(0.11)</w:t>
            </w:r>
          </w:p>
        </w:tc>
      </w:tr>
      <w:tr w:rsidR="0015755E" w:rsidRPr="00C0574C" w14:paraId="0B98DE8B" w14:textId="77777777" w:rsidTr="0015755E">
        <w:trPr>
          <w:trHeight w:val="243"/>
        </w:trPr>
        <w:tc>
          <w:tcPr>
            <w:tcW w:w="4770" w:type="dxa"/>
            <w:vAlign w:val="bottom"/>
          </w:tcPr>
          <w:p w14:paraId="5CB9AB3C" w14:textId="77777777" w:rsidR="0015755E" w:rsidRPr="00C0574C" w:rsidRDefault="0015755E" w:rsidP="0015755E">
            <w:pPr>
              <w:widowControl w:val="0"/>
              <w:pBdr>
                <w:top w:val="nil"/>
                <w:left w:val="nil"/>
                <w:bottom w:val="nil"/>
                <w:right w:val="nil"/>
                <w:between w:val="nil"/>
              </w:pBdr>
              <w:ind w:right="-108"/>
              <w:rPr>
                <w:rFonts w:ascii="Arial" w:hAnsi="Arial" w:cs="Arial"/>
                <w:color w:val="000000"/>
                <w:sz w:val="18"/>
                <w:szCs w:val="18"/>
              </w:rPr>
            </w:pPr>
            <w:r w:rsidRPr="00C0574C">
              <w:rPr>
                <w:rFonts w:ascii="Arial" w:hAnsi="Arial" w:cs="Arial"/>
                <w:color w:val="000000"/>
                <w:sz w:val="18"/>
                <w:szCs w:val="18"/>
              </w:rPr>
              <w:t xml:space="preserve">Net cash (used) provided by operating activities </w:t>
            </w:r>
          </w:p>
        </w:tc>
        <w:tc>
          <w:tcPr>
            <w:tcW w:w="1282" w:type="dxa"/>
            <w:vAlign w:val="bottom"/>
          </w:tcPr>
          <w:p w14:paraId="59EB0F5C" w14:textId="6A1673C9" w:rsidR="0015755E" w:rsidRPr="007F1B62" w:rsidRDefault="0067053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67053E">
              <w:rPr>
                <w:rFonts w:ascii="Arial" w:hAnsi="Arial" w:cs="Arial"/>
                <w:sz w:val="18"/>
                <w:szCs w:val="18"/>
              </w:rPr>
              <w:t>(1</w:t>
            </w:r>
            <w:r w:rsidR="00F739B4">
              <w:rPr>
                <w:rFonts w:ascii="Arial" w:hAnsi="Arial" w:cs="Arial"/>
                <w:sz w:val="18"/>
                <w:szCs w:val="18"/>
              </w:rPr>
              <w:t>,</w:t>
            </w:r>
            <w:r w:rsidRPr="0067053E">
              <w:rPr>
                <w:rFonts w:ascii="Arial" w:hAnsi="Arial" w:cs="Arial"/>
                <w:sz w:val="18"/>
                <w:szCs w:val="18"/>
              </w:rPr>
              <w:t>529</w:t>
            </w:r>
            <w:r w:rsidR="00F739B4">
              <w:rPr>
                <w:rFonts w:ascii="Arial" w:hAnsi="Arial" w:cs="Arial"/>
                <w:sz w:val="18"/>
                <w:szCs w:val="18"/>
              </w:rPr>
              <w:t>,</w:t>
            </w:r>
            <w:r w:rsidRPr="0067053E">
              <w:rPr>
                <w:rFonts w:ascii="Arial" w:hAnsi="Arial" w:cs="Arial"/>
                <w:sz w:val="18"/>
                <w:szCs w:val="18"/>
              </w:rPr>
              <w:t>817)</w:t>
            </w:r>
          </w:p>
        </w:tc>
        <w:tc>
          <w:tcPr>
            <w:tcW w:w="1283" w:type="dxa"/>
            <w:vAlign w:val="bottom"/>
          </w:tcPr>
          <w:p w14:paraId="29B93236" w14:textId="70681DD3"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1,339,967</w:t>
            </w:r>
          </w:p>
        </w:tc>
        <w:tc>
          <w:tcPr>
            <w:tcW w:w="1282" w:type="dxa"/>
            <w:vAlign w:val="bottom"/>
          </w:tcPr>
          <w:p w14:paraId="40C809C6" w14:textId="17F985AD" w:rsidR="0015755E" w:rsidRPr="007F1B62" w:rsidRDefault="007355CD"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355CD">
              <w:rPr>
                <w:rFonts w:ascii="Arial" w:hAnsi="Arial" w:cs="Arial"/>
                <w:sz w:val="18"/>
                <w:szCs w:val="18"/>
              </w:rPr>
              <w:t>(4,391,237)</w:t>
            </w:r>
          </w:p>
        </w:tc>
        <w:tc>
          <w:tcPr>
            <w:tcW w:w="1283" w:type="dxa"/>
            <w:vAlign w:val="bottom"/>
          </w:tcPr>
          <w:p w14:paraId="552BC7B2" w14:textId="2762209F"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3,793,538</w:t>
            </w:r>
          </w:p>
        </w:tc>
      </w:tr>
      <w:tr w:rsidR="0015755E" w:rsidRPr="00C0574C" w14:paraId="74C4C3B4" w14:textId="77777777" w:rsidTr="0015755E">
        <w:trPr>
          <w:trHeight w:val="243"/>
        </w:trPr>
        <w:tc>
          <w:tcPr>
            <w:tcW w:w="4770" w:type="dxa"/>
            <w:vAlign w:val="bottom"/>
          </w:tcPr>
          <w:p w14:paraId="029E3D09" w14:textId="77777777" w:rsidR="0015755E" w:rsidRPr="00C0574C" w:rsidRDefault="0015755E" w:rsidP="0015755E">
            <w:pPr>
              <w:widowControl w:val="0"/>
              <w:pBdr>
                <w:top w:val="nil"/>
                <w:left w:val="nil"/>
                <w:bottom w:val="nil"/>
                <w:right w:val="nil"/>
                <w:between w:val="nil"/>
              </w:pBdr>
              <w:ind w:right="-38"/>
              <w:rPr>
                <w:rFonts w:ascii="Arial" w:hAnsi="Arial" w:cs="Arial"/>
                <w:color w:val="000000"/>
                <w:sz w:val="18"/>
                <w:szCs w:val="18"/>
              </w:rPr>
            </w:pPr>
            <w:r w:rsidRPr="00C0574C">
              <w:rPr>
                <w:rFonts w:ascii="Arial" w:hAnsi="Arial" w:cs="Arial"/>
                <w:color w:val="000000"/>
                <w:sz w:val="18"/>
                <w:szCs w:val="18"/>
              </w:rPr>
              <w:t xml:space="preserve">Net cash per share – operating activities </w:t>
            </w:r>
            <w:r w:rsidRPr="00C0574C">
              <w:rPr>
                <w:rFonts w:ascii="Arial" w:hAnsi="Arial" w:cs="Arial"/>
                <w:color w:val="000000"/>
                <w:vertAlign w:val="superscript"/>
              </w:rPr>
              <w:t>(</w:t>
            </w:r>
            <w:r>
              <w:rPr>
                <w:rFonts w:ascii="Arial" w:hAnsi="Arial" w:cs="Arial"/>
                <w:color w:val="000000"/>
                <w:vertAlign w:val="superscript"/>
              </w:rPr>
              <w:t>1</w:t>
            </w:r>
            <w:r w:rsidRPr="00C0574C">
              <w:rPr>
                <w:rFonts w:ascii="Arial" w:hAnsi="Arial" w:cs="Arial"/>
                <w:color w:val="000000"/>
                <w:vertAlign w:val="superscript"/>
              </w:rPr>
              <w:t>)(</w:t>
            </w:r>
            <w:r>
              <w:rPr>
                <w:rFonts w:ascii="Arial" w:hAnsi="Arial" w:cs="Arial"/>
                <w:color w:val="000000"/>
                <w:vertAlign w:val="superscript"/>
              </w:rPr>
              <w:t>2</w:t>
            </w:r>
            <w:r w:rsidRPr="00C0574C">
              <w:rPr>
                <w:rFonts w:ascii="Arial" w:hAnsi="Arial" w:cs="Arial"/>
                <w:color w:val="000000"/>
                <w:vertAlign w:val="superscript"/>
              </w:rPr>
              <w:t>)</w:t>
            </w:r>
          </w:p>
        </w:tc>
        <w:tc>
          <w:tcPr>
            <w:tcW w:w="1282" w:type="dxa"/>
            <w:vAlign w:val="bottom"/>
          </w:tcPr>
          <w:p w14:paraId="0B984123" w14:textId="5A89FD63"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Pr>
                <w:rFonts w:ascii="Arial" w:hAnsi="Arial" w:cs="Arial"/>
                <w:sz w:val="18"/>
                <w:szCs w:val="18"/>
              </w:rPr>
              <w:t>(0.0</w:t>
            </w:r>
            <w:r w:rsidR="0067053E">
              <w:rPr>
                <w:rFonts w:ascii="Arial" w:hAnsi="Arial" w:cs="Arial"/>
                <w:sz w:val="18"/>
                <w:szCs w:val="18"/>
              </w:rPr>
              <w:t>2</w:t>
            </w:r>
            <w:r>
              <w:rPr>
                <w:rFonts w:ascii="Arial" w:hAnsi="Arial" w:cs="Arial"/>
                <w:sz w:val="18"/>
                <w:szCs w:val="18"/>
              </w:rPr>
              <w:t>)</w:t>
            </w:r>
          </w:p>
        </w:tc>
        <w:tc>
          <w:tcPr>
            <w:tcW w:w="1283" w:type="dxa"/>
            <w:vAlign w:val="bottom"/>
          </w:tcPr>
          <w:p w14:paraId="6B079E67" w14:textId="5B9752F6"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sidRPr="007F1B62">
              <w:rPr>
                <w:rFonts w:ascii="Arial" w:hAnsi="Arial" w:cs="Arial"/>
                <w:sz w:val="18"/>
                <w:szCs w:val="18"/>
              </w:rPr>
              <w:t>0.02</w:t>
            </w:r>
          </w:p>
        </w:tc>
        <w:tc>
          <w:tcPr>
            <w:tcW w:w="1282" w:type="dxa"/>
            <w:vAlign w:val="bottom"/>
          </w:tcPr>
          <w:p w14:paraId="1E54B937" w14:textId="7ACA9A00"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Pr>
                <w:rFonts w:ascii="Arial" w:hAnsi="Arial" w:cs="Arial"/>
                <w:sz w:val="18"/>
                <w:szCs w:val="18"/>
              </w:rPr>
              <w:t>(0.</w:t>
            </w:r>
            <w:r w:rsidR="007355CD">
              <w:rPr>
                <w:rFonts w:ascii="Arial" w:hAnsi="Arial" w:cs="Arial"/>
                <w:sz w:val="18"/>
                <w:szCs w:val="18"/>
              </w:rPr>
              <w:t>06</w:t>
            </w:r>
            <w:r>
              <w:rPr>
                <w:rFonts w:ascii="Arial" w:hAnsi="Arial" w:cs="Arial"/>
                <w:sz w:val="18"/>
                <w:szCs w:val="18"/>
              </w:rPr>
              <w:t>)</w:t>
            </w:r>
          </w:p>
        </w:tc>
        <w:tc>
          <w:tcPr>
            <w:tcW w:w="1283" w:type="dxa"/>
            <w:vAlign w:val="bottom"/>
          </w:tcPr>
          <w:p w14:paraId="33523B96" w14:textId="21779C2E"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sidRPr="007F1B62">
              <w:rPr>
                <w:rFonts w:ascii="Arial" w:hAnsi="Arial" w:cs="Arial"/>
                <w:sz w:val="18"/>
                <w:szCs w:val="18"/>
              </w:rPr>
              <w:t>0.05</w:t>
            </w:r>
          </w:p>
        </w:tc>
      </w:tr>
      <w:tr w:rsidR="0015755E" w:rsidRPr="00C0574C" w14:paraId="16F0C3B1" w14:textId="77777777" w:rsidTr="0015755E">
        <w:trPr>
          <w:trHeight w:val="221"/>
        </w:trPr>
        <w:tc>
          <w:tcPr>
            <w:tcW w:w="4770" w:type="dxa"/>
            <w:vAlign w:val="bottom"/>
          </w:tcPr>
          <w:p w14:paraId="3B94C4E8" w14:textId="77777777" w:rsidR="0015755E" w:rsidRPr="00C0574C" w:rsidRDefault="0015755E" w:rsidP="0015755E">
            <w:pPr>
              <w:widowControl w:val="0"/>
              <w:pBdr>
                <w:top w:val="nil"/>
                <w:left w:val="nil"/>
                <w:bottom w:val="nil"/>
                <w:right w:val="nil"/>
                <w:between w:val="nil"/>
              </w:pBdr>
              <w:ind w:right="-241"/>
              <w:rPr>
                <w:rFonts w:ascii="Arial" w:hAnsi="Arial" w:cs="Arial"/>
                <w:color w:val="000000"/>
                <w:sz w:val="18"/>
                <w:szCs w:val="18"/>
              </w:rPr>
            </w:pPr>
            <w:r w:rsidRPr="00C0574C">
              <w:rPr>
                <w:rFonts w:ascii="Arial" w:hAnsi="Arial" w:cs="Arial"/>
                <w:color w:val="000000"/>
                <w:sz w:val="18"/>
                <w:szCs w:val="18"/>
              </w:rPr>
              <w:t xml:space="preserve">Funds flow (used) provided by operating activities </w:t>
            </w:r>
          </w:p>
        </w:tc>
        <w:tc>
          <w:tcPr>
            <w:tcW w:w="1282" w:type="dxa"/>
            <w:vAlign w:val="bottom"/>
          </w:tcPr>
          <w:p w14:paraId="5552BD24" w14:textId="36873352"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991,927</w:t>
            </w:r>
          </w:p>
        </w:tc>
        <w:tc>
          <w:tcPr>
            <w:tcW w:w="1283" w:type="dxa"/>
            <w:vAlign w:val="bottom"/>
          </w:tcPr>
          <w:p w14:paraId="622EE525" w14:textId="2CDE3D78"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2,109,498</w:t>
            </w:r>
          </w:p>
        </w:tc>
        <w:tc>
          <w:tcPr>
            <w:tcW w:w="1282" w:type="dxa"/>
            <w:vAlign w:val="bottom"/>
          </w:tcPr>
          <w:p w14:paraId="3C1998D4" w14:textId="44F9854B"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(1,093,965)</w:t>
            </w:r>
          </w:p>
        </w:tc>
        <w:tc>
          <w:tcPr>
            <w:tcW w:w="1283" w:type="dxa"/>
            <w:vAlign w:val="bottom"/>
          </w:tcPr>
          <w:p w14:paraId="3D08D56E" w14:textId="538FAED5"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1,608,310</w:t>
            </w:r>
          </w:p>
        </w:tc>
      </w:tr>
      <w:tr w:rsidR="0015755E" w:rsidRPr="00C0574C" w14:paraId="044D8CD6" w14:textId="77777777" w:rsidTr="0015755E">
        <w:trPr>
          <w:trHeight w:val="243"/>
        </w:trPr>
        <w:tc>
          <w:tcPr>
            <w:tcW w:w="4770" w:type="dxa"/>
            <w:vAlign w:val="bottom"/>
          </w:tcPr>
          <w:p w14:paraId="2D9011E7" w14:textId="77777777" w:rsidR="0015755E" w:rsidRPr="00C0574C" w:rsidRDefault="0015755E" w:rsidP="0015755E">
            <w:pPr>
              <w:widowControl w:val="0"/>
              <w:pBdr>
                <w:top w:val="nil"/>
                <w:left w:val="nil"/>
                <w:bottom w:val="nil"/>
                <w:right w:val="nil"/>
                <w:between w:val="nil"/>
              </w:pBdr>
              <w:ind w:right="-250"/>
              <w:rPr>
                <w:rFonts w:ascii="Arial" w:hAnsi="Arial" w:cs="Arial"/>
                <w:color w:val="000000"/>
                <w:sz w:val="18"/>
                <w:szCs w:val="18"/>
              </w:rPr>
            </w:pPr>
            <w:r w:rsidRPr="00C0574C">
              <w:rPr>
                <w:rFonts w:ascii="Arial" w:hAnsi="Arial" w:cs="Arial"/>
                <w:color w:val="000000"/>
                <w:sz w:val="18"/>
                <w:szCs w:val="18"/>
              </w:rPr>
              <w:t xml:space="preserve">Funds flow per share – operating activities </w:t>
            </w:r>
            <w:r w:rsidRPr="00C0574C">
              <w:rPr>
                <w:rFonts w:ascii="Arial" w:hAnsi="Arial" w:cs="Arial"/>
                <w:color w:val="000000"/>
                <w:vertAlign w:val="superscript"/>
              </w:rPr>
              <w:t>(</w:t>
            </w:r>
            <w:r>
              <w:rPr>
                <w:rFonts w:ascii="Arial" w:hAnsi="Arial" w:cs="Arial"/>
                <w:color w:val="000000"/>
                <w:vertAlign w:val="superscript"/>
              </w:rPr>
              <w:t>1</w:t>
            </w:r>
            <w:r w:rsidRPr="00C0574C">
              <w:rPr>
                <w:rFonts w:ascii="Arial" w:hAnsi="Arial" w:cs="Arial"/>
                <w:color w:val="000000"/>
                <w:vertAlign w:val="superscript"/>
              </w:rPr>
              <w:t>)(</w:t>
            </w:r>
            <w:r>
              <w:rPr>
                <w:rFonts w:ascii="Arial" w:hAnsi="Arial" w:cs="Arial"/>
                <w:color w:val="000000"/>
                <w:vertAlign w:val="superscript"/>
              </w:rPr>
              <w:t>2</w:t>
            </w:r>
            <w:r w:rsidRPr="00C0574C">
              <w:rPr>
                <w:rFonts w:ascii="Arial" w:hAnsi="Arial" w:cs="Arial"/>
                <w:color w:val="000000"/>
                <w:vertAlign w:val="superscript"/>
              </w:rPr>
              <w:t>)</w:t>
            </w:r>
          </w:p>
        </w:tc>
        <w:tc>
          <w:tcPr>
            <w:tcW w:w="1282" w:type="dxa"/>
            <w:vAlign w:val="bottom"/>
          </w:tcPr>
          <w:p w14:paraId="0B0B9207" w14:textId="7BC8AD8C"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Pr>
                <w:rFonts w:ascii="Arial" w:hAnsi="Arial" w:cs="Arial"/>
                <w:sz w:val="18"/>
                <w:szCs w:val="18"/>
              </w:rPr>
              <w:t>0.01</w:t>
            </w:r>
          </w:p>
        </w:tc>
        <w:tc>
          <w:tcPr>
            <w:tcW w:w="1283" w:type="dxa"/>
            <w:vAlign w:val="bottom"/>
          </w:tcPr>
          <w:p w14:paraId="55EDD87B" w14:textId="59281D7D"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sidRPr="007F1B62">
              <w:rPr>
                <w:rFonts w:ascii="Arial" w:hAnsi="Arial" w:cs="Arial"/>
                <w:sz w:val="18"/>
                <w:szCs w:val="18"/>
              </w:rPr>
              <w:t>0.03</w:t>
            </w:r>
          </w:p>
        </w:tc>
        <w:tc>
          <w:tcPr>
            <w:tcW w:w="1282" w:type="dxa"/>
            <w:vAlign w:val="bottom"/>
          </w:tcPr>
          <w:p w14:paraId="2096BA88" w14:textId="20D35FFA"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Pr>
                <w:rFonts w:ascii="Arial" w:hAnsi="Arial" w:cs="Arial"/>
                <w:sz w:val="18"/>
                <w:szCs w:val="18"/>
              </w:rPr>
              <w:t>(0.02)</w:t>
            </w:r>
          </w:p>
        </w:tc>
        <w:tc>
          <w:tcPr>
            <w:tcW w:w="1283" w:type="dxa"/>
            <w:vAlign w:val="bottom"/>
          </w:tcPr>
          <w:p w14:paraId="517EB0B2" w14:textId="21831D84" w:rsidR="0015755E" w:rsidRPr="007F1B62" w:rsidRDefault="0015755E" w:rsidP="0015755E">
            <w:pPr>
              <w:widowControl w:val="0"/>
              <w:pBdr>
                <w:top w:val="nil"/>
                <w:left w:val="nil"/>
                <w:bottom w:val="nil"/>
                <w:right w:val="nil"/>
                <w:between w:val="nil"/>
              </w:pBdr>
              <w:ind w:right="-38"/>
              <w:jc w:val="right"/>
              <w:rPr>
                <w:rFonts w:ascii="Arial" w:hAnsi="Arial" w:cs="Arial"/>
                <w:color w:val="000000"/>
                <w:sz w:val="18"/>
                <w:szCs w:val="18"/>
              </w:rPr>
            </w:pPr>
            <w:r w:rsidRPr="007F1B62">
              <w:rPr>
                <w:rFonts w:ascii="Arial" w:hAnsi="Arial" w:cs="Arial"/>
                <w:sz w:val="18"/>
                <w:szCs w:val="18"/>
              </w:rPr>
              <w:t>0.02</w:t>
            </w:r>
          </w:p>
        </w:tc>
      </w:tr>
      <w:tr w:rsidR="0015755E" w:rsidRPr="00C0574C" w14:paraId="2ADBF8BE" w14:textId="77777777" w:rsidTr="0015755E">
        <w:trPr>
          <w:trHeight w:val="221"/>
        </w:trPr>
        <w:tc>
          <w:tcPr>
            <w:tcW w:w="4770" w:type="dxa"/>
            <w:vAlign w:val="bottom"/>
          </w:tcPr>
          <w:p w14:paraId="2E209DFF" w14:textId="77777777" w:rsidR="0015755E" w:rsidRPr="00C0574C" w:rsidRDefault="0015755E" w:rsidP="0015755E">
            <w:pPr>
              <w:widowControl w:val="0"/>
              <w:pBdr>
                <w:top w:val="nil"/>
                <w:left w:val="nil"/>
                <w:bottom w:val="nil"/>
                <w:right w:val="nil"/>
                <w:between w:val="nil"/>
              </w:pBdr>
              <w:rPr>
                <w:rFonts w:ascii="Arial" w:hAnsi="Arial" w:cs="Arial"/>
                <w:color w:val="000000"/>
                <w:sz w:val="18"/>
                <w:szCs w:val="18"/>
              </w:rPr>
            </w:pPr>
            <w:r w:rsidRPr="00C0574C">
              <w:rPr>
                <w:rFonts w:ascii="Arial" w:hAnsi="Arial" w:cs="Arial"/>
                <w:color w:val="000000"/>
                <w:sz w:val="18"/>
                <w:szCs w:val="18"/>
              </w:rPr>
              <w:t>Weighted average number of shares – basic and diluted</w:t>
            </w:r>
          </w:p>
        </w:tc>
        <w:tc>
          <w:tcPr>
            <w:tcW w:w="1282" w:type="dxa"/>
            <w:vAlign w:val="bottom"/>
          </w:tcPr>
          <w:p w14:paraId="345A1894" w14:textId="6C348418"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72,903,038</w:t>
            </w:r>
          </w:p>
        </w:tc>
        <w:tc>
          <w:tcPr>
            <w:tcW w:w="1283" w:type="dxa"/>
            <w:vAlign w:val="bottom"/>
          </w:tcPr>
          <w:p w14:paraId="7F6DB08A" w14:textId="65F1764B"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72,903,038</w:t>
            </w:r>
          </w:p>
        </w:tc>
        <w:tc>
          <w:tcPr>
            <w:tcW w:w="1282" w:type="dxa"/>
            <w:vAlign w:val="bottom"/>
          </w:tcPr>
          <w:p w14:paraId="2E1AA8FA" w14:textId="24273CF4"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Pr>
                <w:rFonts w:ascii="Arial" w:hAnsi="Arial" w:cs="Arial"/>
                <w:sz w:val="18"/>
                <w:szCs w:val="18"/>
              </w:rPr>
              <w:t>72,903,038</w:t>
            </w:r>
          </w:p>
        </w:tc>
        <w:tc>
          <w:tcPr>
            <w:tcW w:w="1283" w:type="dxa"/>
            <w:vAlign w:val="bottom"/>
          </w:tcPr>
          <w:p w14:paraId="4FD148A0" w14:textId="0BE20F75" w:rsidR="0015755E" w:rsidRPr="007F1B62" w:rsidRDefault="0015755E" w:rsidP="0015755E">
            <w:pPr>
              <w:pBdr>
                <w:top w:val="nil"/>
                <w:left w:val="nil"/>
                <w:bottom w:val="nil"/>
                <w:right w:val="nil"/>
                <w:between w:val="nil"/>
              </w:pBdr>
              <w:tabs>
                <w:tab w:val="decimal" w:pos="1065"/>
              </w:tabs>
              <w:ind w:right="-105"/>
              <w:jc w:val="right"/>
              <w:rPr>
                <w:rFonts w:ascii="Arial" w:hAnsi="Arial" w:cs="Arial"/>
                <w:color w:val="000000"/>
                <w:sz w:val="18"/>
                <w:szCs w:val="18"/>
              </w:rPr>
            </w:pPr>
            <w:r w:rsidRPr="007F1B62">
              <w:rPr>
                <w:rFonts w:ascii="Arial" w:hAnsi="Arial" w:cs="Arial"/>
                <w:sz w:val="18"/>
                <w:szCs w:val="18"/>
              </w:rPr>
              <w:t>72,903,038</w:t>
            </w:r>
          </w:p>
        </w:tc>
      </w:tr>
    </w:tbl>
    <w:p w14:paraId="39F335D7" w14:textId="77777777" w:rsidR="0015755E" w:rsidRDefault="0015755E" w:rsidP="004F7EFE">
      <w:pPr>
        <w:widowControl w:val="0"/>
        <w:spacing w:before="40"/>
        <w:jc w:val="both"/>
        <w:rPr>
          <w:rFonts w:ascii="Arial" w:hAnsi="Arial" w:cs="Arial"/>
          <w:sz w:val="18"/>
          <w:szCs w:val="18"/>
          <w:vertAlign w:val="superscript"/>
        </w:rPr>
      </w:pPr>
    </w:p>
    <w:p w14:paraId="267F0FC8" w14:textId="187D9CE4" w:rsidR="00A11329" w:rsidRPr="00747799" w:rsidRDefault="004F7EFE" w:rsidP="00747799">
      <w:pPr>
        <w:widowControl w:val="0"/>
        <w:spacing w:before="40"/>
        <w:ind w:left="432" w:hanging="288"/>
        <w:jc w:val="both"/>
        <w:rPr>
          <w:rFonts w:ascii="Arial" w:hAnsi="Arial" w:cs="Arial"/>
          <w:sz w:val="16"/>
          <w:szCs w:val="16"/>
          <w:lang w:val="en-CA"/>
        </w:rPr>
      </w:pPr>
      <w:r>
        <w:rPr>
          <w:rFonts w:ascii="Arial" w:hAnsi="Arial" w:cs="Arial"/>
          <w:sz w:val="18"/>
          <w:szCs w:val="18"/>
          <w:vertAlign w:val="superscript"/>
          <w:lang w:val="en-CA"/>
        </w:rPr>
        <w:t xml:space="preserve"> </w:t>
      </w:r>
      <w:r w:rsidR="006429BF" w:rsidRPr="00747799">
        <w:rPr>
          <w:rFonts w:ascii="Arial" w:hAnsi="Arial" w:cs="Arial"/>
          <w:sz w:val="16"/>
          <w:szCs w:val="16"/>
          <w:vertAlign w:val="superscript"/>
          <w:lang w:val="en-CA"/>
        </w:rPr>
        <w:t>(1)</w:t>
      </w:r>
      <w:r w:rsidR="006429BF" w:rsidRPr="00747799">
        <w:rPr>
          <w:rFonts w:ascii="Arial" w:hAnsi="Arial" w:cs="Arial"/>
          <w:sz w:val="16"/>
          <w:szCs w:val="16"/>
          <w:lang w:val="en-CA"/>
        </w:rPr>
        <w:t xml:space="preserve">  </w:t>
      </w:r>
      <w:r w:rsidR="00747799" w:rsidRPr="00747799">
        <w:rPr>
          <w:rFonts w:ascii="Arial" w:hAnsi="Arial" w:cs="Arial"/>
          <w:sz w:val="16"/>
          <w:szCs w:val="16"/>
        </w:rPr>
        <w:t>We adhere to International Financial Reporting Standards (“</w:t>
      </w:r>
      <w:r w:rsidR="00747799" w:rsidRPr="00747799">
        <w:rPr>
          <w:rFonts w:ascii="Arial" w:hAnsi="Arial" w:cs="Arial"/>
          <w:b/>
          <w:sz w:val="16"/>
          <w:szCs w:val="16"/>
        </w:rPr>
        <w:t>IFRS</w:t>
      </w:r>
      <w:r w:rsidR="00747799" w:rsidRPr="00747799">
        <w:rPr>
          <w:rFonts w:ascii="Arial" w:hAnsi="Arial" w:cs="Arial"/>
          <w:sz w:val="16"/>
          <w:szCs w:val="16"/>
        </w:rPr>
        <w:t xml:space="preserve">”) however the Company also employs certain non-IFRS measures to analyze financial performance, financial position, and cash flow.  </w:t>
      </w:r>
      <w:r w:rsidR="00CE0655" w:rsidRPr="00747799">
        <w:rPr>
          <w:rFonts w:ascii="Arial" w:hAnsi="Arial" w:cs="Arial"/>
          <w:sz w:val="16"/>
          <w:szCs w:val="16"/>
          <w:lang w:val="en-CA"/>
        </w:rPr>
        <w:t xml:space="preserve">“Working capital” is a capital management measure. “Non-current financial liabilities” is a supplemental financial measure. </w:t>
      </w:r>
      <w:r w:rsidR="003760A5" w:rsidRPr="00747799">
        <w:rPr>
          <w:rFonts w:ascii="Arial" w:hAnsi="Arial" w:cs="Arial"/>
          <w:sz w:val="16"/>
          <w:szCs w:val="16"/>
          <w:lang w:val="en-CA"/>
        </w:rPr>
        <w:t>“</w:t>
      </w:r>
      <w:r w:rsidR="00CE0655" w:rsidRPr="00747799">
        <w:rPr>
          <w:rFonts w:ascii="Arial" w:hAnsi="Arial" w:cs="Arial"/>
          <w:sz w:val="16"/>
          <w:szCs w:val="16"/>
          <w:lang w:val="en-CA"/>
        </w:rPr>
        <w:t>Net cash per share – operating activities</w:t>
      </w:r>
      <w:r w:rsidR="003760A5" w:rsidRPr="00747799">
        <w:rPr>
          <w:rFonts w:ascii="Arial" w:hAnsi="Arial" w:cs="Arial"/>
          <w:sz w:val="16"/>
          <w:szCs w:val="16"/>
          <w:lang w:val="en-CA"/>
        </w:rPr>
        <w:t>”</w:t>
      </w:r>
      <w:r w:rsidR="00CE0655" w:rsidRPr="00747799">
        <w:rPr>
          <w:rFonts w:ascii="Arial" w:hAnsi="Arial" w:cs="Arial"/>
          <w:sz w:val="16"/>
          <w:szCs w:val="16"/>
          <w:lang w:val="en-CA"/>
        </w:rPr>
        <w:t xml:space="preserve"> is a </w:t>
      </w:r>
      <w:r w:rsidR="00CE0655" w:rsidRPr="00747799">
        <w:rPr>
          <w:rFonts w:ascii="Arial" w:hAnsi="Arial" w:cs="Arial"/>
          <w:sz w:val="16"/>
          <w:szCs w:val="16"/>
          <w:lang w:val="en-CA"/>
        </w:rPr>
        <w:lastRenderedPageBreak/>
        <w:t xml:space="preserve">supplemental financial measure. </w:t>
      </w:r>
      <w:r w:rsidR="003760A5" w:rsidRPr="00747799">
        <w:rPr>
          <w:rFonts w:ascii="Arial" w:hAnsi="Arial" w:cs="Arial"/>
          <w:sz w:val="16"/>
          <w:szCs w:val="16"/>
          <w:lang w:val="en-CA"/>
        </w:rPr>
        <w:t>“</w:t>
      </w:r>
      <w:r w:rsidR="00CE0655" w:rsidRPr="00747799">
        <w:rPr>
          <w:rFonts w:ascii="Arial" w:hAnsi="Arial" w:cs="Arial"/>
          <w:sz w:val="16"/>
          <w:szCs w:val="16"/>
          <w:lang w:val="en-CA"/>
        </w:rPr>
        <w:t>Funds flow per share – operating activities</w:t>
      </w:r>
      <w:r w:rsidR="003760A5" w:rsidRPr="00747799">
        <w:rPr>
          <w:rFonts w:ascii="Arial" w:hAnsi="Arial" w:cs="Arial"/>
          <w:sz w:val="16"/>
          <w:szCs w:val="16"/>
          <w:lang w:val="en-CA"/>
        </w:rPr>
        <w:t>”</w:t>
      </w:r>
      <w:r w:rsidR="00CE0655" w:rsidRPr="00747799">
        <w:rPr>
          <w:rFonts w:ascii="Arial" w:hAnsi="Arial" w:cs="Arial"/>
          <w:sz w:val="16"/>
          <w:szCs w:val="16"/>
          <w:lang w:val="en-CA"/>
        </w:rPr>
        <w:t xml:space="preserve"> is a supplemental financial measure.  See </w:t>
      </w:r>
      <w:r w:rsidR="003760A5" w:rsidRPr="00747799">
        <w:rPr>
          <w:rFonts w:ascii="Arial" w:hAnsi="Arial" w:cs="Arial"/>
          <w:sz w:val="16"/>
          <w:szCs w:val="16"/>
          <w:lang w:val="en-CA"/>
        </w:rPr>
        <w:t>“</w:t>
      </w:r>
      <w:r w:rsidR="00CE0655" w:rsidRPr="00747799">
        <w:rPr>
          <w:rFonts w:ascii="Arial" w:hAnsi="Arial" w:cs="Arial"/>
          <w:sz w:val="16"/>
          <w:szCs w:val="16"/>
          <w:lang w:val="en-CA"/>
        </w:rPr>
        <w:t>Non-IFRS and Other Financial Measures</w:t>
      </w:r>
      <w:r w:rsidR="003760A5" w:rsidRPr="00747799">
        <w:rPr>
          <w:rFonts w:ascii="Arial" w:hAnsi="Arial" w:cs="Arial"/>
          <w:sz w:val="16"/>
          <w:szCs w:val="16"/>
          <w:lang w:val="en-CA"/>
        </w:rPr>
        <w:t>”</w:t>
      </w:r>
      <w:r w:rsidR="00CE0655" w:rsidRPr="00747799">
        <w:rPr>
          <w:rFonts w:ascii="Arial" w:hAnsi="Arial" w:cs="Arial"/>
          <w:sz w:val="16"/>
          <w:szCs w:val="16"/>
          <w:lang w:val="en-CA"/>
        </w:rPr>
        <w:t>.</w:t>
      </w:r>
    </w:p>
    <w:p w14:paraId="738D29D8" w14:textId="44BD88E6" w:rsidR="00A11329" w:rsidRPr="00747799" w:rsidRDefault="00A11329" w:rsidP="00A11329">
      <w:pPr>
        <w:widowControl w:val="0"/>
        <w:ind w:left="432" w:hanging="288"/>
        <w:jc w:val="both"/>
        <w:rPr>
          <w:rFonts w:ascii="Arial" w:hAnsi="Arial" w:cs="Arial"/>
          <w:sz w:val="16"/>
          <w:szCs w:val="16"/>
          <w:lang w:val="en-CA"/>
        </w:rPr>
      </w:pPr>
      <w:r w:rsidRPr="00747799">
        <w:rPr>
          <w:rFonts w:ascii="Arial" w:hAnsi="Arial" w:cs="Arial"/>
          <w:sz w:val="16"/>
          <w:szCs w:val="16"/>
          <w:vertAlign w:val="superscript"/>
          <w:lang w:val="en-CA"/>
        </w:rPr>
        <w:t>(</w:t>
      </w:r>
      <w:r w:rsidR="00747799" w:rsidRPr="00747799">
        <w:rPr>
          <w:rFonts w:ascii="Arial" w:hAnsi="Arial" w:cs="Arial"/>
          <w:sz w:val="16"/>
          <w:szCs w:val="16"/>
          <w:vertAlign w:val="superscript"/>
          <w:lang w:val="en-CA"/>
        </w:rPr>
        <w:t>2</w:t>
      </w:r>
      <w:r w:rsidRPr="00747799">
        <w:rPr>
          <w:rFonts w:ascii="Arial" w:hAnsi="Arial" w:cs="Arial"/>
          <w:sz w:val="16"/>
          <w:szCs w:val="16"/>
          <w:vertAlign w:val="superscript"/>
          <w:lang w:val="en-CA"/>
        </w:rPr>
        <w:t>)</w:t>
      </w:r>
      <w:r w:rsidRPr="00747799">
        <w:rPr>
          <w:rFonts w:ascii="Arial" w:hAnsi="Arial" w:cs="Arial"/>
          <w:sz w:val="16"/>
          <w:szCs w:val="16"/>
          <w:lang w:val="en-CA"/>
        </w:rPr>
        <w:t xml:space="preserve">  </w:t>
      </w:r>
      <w:r w:rsidR="00747799">
        <w:rPr>
          <w:rFonts w:ascii="Arial" w:hAnsi="Arial" w:cs="Arial"/>
          <w:sz w:val="16"/>
          <w:szCs w:val="16"/>
          <w:lang w:val="en-CA"/>
        </w:rPr>
        <w:t xml:space="preserve"> </w:t>
      </w:r>
      <w:r w:rsidRPr="00747799">
        <w:rPr>
          <w:rFonts w:ascii="Arial" w:hAnsi="Arial" w:cs="Arial"/>
          <w:sz w:val="16"/>
          <w:szCs w:val="16"/>
          <w:lang w:val="en-CA"/>
        </w:rPr>
        <w:t xml:space="preserve">All per share figures are </w:t>
      </w:r>
      <w:r w:rsidR="00AD14A5" w:rsidRPr="00747799">
        <w:rPr>
          <w:rFonts w:ascii="Arial" w:hAnsi="Arial" w:cs="Arial"/>
          <w:sz w:val="16"/>
          <w:szCs w:val="16"/>
          <w:lang w:val="en-CA"/>
        </w:rPr>
        <w:t>the same for</w:t>
      </w:r>
      <w:r w:rsidRPr="00747799">
        <w:rPr>
          <w:rFonts w:ascii="Arial" w:hAnsi="Arial" w:cs="Arial"/>
          <w:sz w:val="16"/>
          <w:szCs w:val="16"/>
          <w:lang w:val="en-CA"/>
        </w:rPr>
        <w:t xml:space="preserve"> the basic </w:t>
      </w:r>
      <w:r w:rsidR="00AD14A5" w:rsidRPr="00747799">
        <w:rPr>
          <w:rFonts w:ascii="Arial" w:hAnsi="Arial" w:cs="Arial"/>
          <w:sz w:val="16"/>
          <w:szCs w:val="16"/>
          <w:lang w:val="en-CA"/>
        </w:rPr>
        <w:t xml:space="preserve">and diluted </w:t>
      </w:r>
      <w:r w:rsidRPr="00747799">
        <w:rPr>
          <w:rFonts w:ascii="Arial" w:hAnsi="Arial" w:cs="Arial"/>
          <w:sz w:val="16"/>
          <w:szCs w:val="16"/>
          <w:lang w:val="en-CA"/>
        </w:rPr>
        <w:t>weighted average number of shares outstanding in the period</w:t>
      </w:r>
      <w:r w:rsidR="00590F21" w:rsidRPr="00747799">
        <w:rPr>
          <w:rFonts w:ascii="Arial" w:hAnsi="Arial" w:cs="Arial"/>
          <w:sz w:val="16"/>
          <w:szCs w:val="16"/>
          <w:lang w:val="en-CA"/>
        </w:rPr>
        <w:t>s</w:t>
      </w:r>
      <w:r w:rsidRPr="00747799">
        <w:rPr>
          <w:rFonts w:ascii="Arial" w:hAnsi="Arial" w:cs="Arial"/>
          <w:sz w:val="16"/>
          <w:szCs w:val="16"/>
          <w:lang w:val="en-CA"/>
        </w:rPr>
        <w:t>.  The effect of options is anti-dilutive in loss periods.  Per share amounts may not add due to rounding.</w:t>
      </w:r>
    </w:p>
    <w:p w14:paraId="1F378A12" w14:textId="77777777" w:rsidR="00042E43" w:rsidRDefault="00042E43" w:rsidP="00D02275">
      <w:pPr>
        <w:rPr>
          <w:rFonts w:ascii="Arial" w:hAnsi="Arial" w:cs="Arial"/>
          <w:b/>
          <w:sz w:val="20"/>
          <w:szCs w:val="20"/>
          <w:lang w:val="en-CA"/>
        </w:rPr>
      </w:pPr>
    </w:p>
    <w:p w14:paraId="098B3A89" w14:textId="6E49C5D6" w:rsidR="00570F49" w:rsidRDefault="00150304" w:rsidP="00D02275">
      <w:pPr>
        <w:rPr>
          <w:rFonts w:ascii="Arial" w:hAnsi="Arial" w:cs="Arial"/>
          <w:b/>
          <w:sz w:val="20"/>
          <w:szCs w:val="20"/>
          <w:lang w:val="en-CA"/>
        </w:rPr>
      </w:pPr>
      <w:r>
        <w:rPr>
          <w:rFonts w:ascii="Arial" w:hAnsi="Arial" w:cs="Arial"/>
          <w:b/>
          <w:sz w:val="20"/>
          <w:szCs w:val="20"/>
          <w:lang w:val="en-CA"/>
        </w:rPr>
        <w:t>Sales Volumes</w:t>
      </w:r>
    </w:p>
    <w:tbl>
      <w:tblPr>
        <w:tblW w:w="9355" w:type="dxa"/>
        <w:tblLayout w:type="fixed"/>
        <w:tblLook w:val="04A0" w:firstRow="1" w:lastRow="0" w:firstColumn="1" w:lastColumn="0" w:noHBand="0" w:noVBand="1"/>
      </w:tblPr>
      <w:tblGrid>
        <w:gridCol w:w="4765"/>
        <w:gridCol w:w="1170"/>
        <w:gridCol w:w="1080"/>
        <w:gridCol w:w="1170"/>
        <w:gridCol w:w="1170"/>
      </w:tblGrid>
      <w:tr w:rsidR="009464D4" w:rsidRPr="00902562" w14:paraId="691F95A4" w14:textId="77777777" w:rsidTr="00AB2D66">
        <w:tc>
          <w:tcPr>
            <w:tcW w:w="4765" w:type="dxa"/>
            <w:tcBorders>
              <w:top w:val="single" w:sz="12" w:space="0" w:color="auto"/>
              <w:left w:val="single" w:sz="4" w:space="0" w:color="auto"/>
              <w:right w:val="single" w:sz="4" w:space="0" w:color="auto"/>
            </w:tcBorders>
          </w:tcPr>
          <w:p w14:paraId="62CE00C7" w14:textId="77777777" w:rsidR="009464D4" w:rsidRPr="00902562" w:rsidRDefault="009464D4" w:rsidP="00AB2D66">
            <w:pPr>
              <w:rPr>
                <w:rFonts w:ascii="Arial" w:hAnsi="Arial" w:cs="Arial"/>
                <w:b/>
                <w:bCs/>
                <w:sz w:val="16"/>
                <w:szCs w:val="16"/>
                <w:lang w:val="en-CA"/>
              </w:rPr>
            </w:pPr>
          </w:p>
        </w:tc>
        <w:tc>
          <w:tcPr>
            <w:tcW w:w="2250" w:type="dxa"/>
            <w:gridSpan w:val="2"/>
            <w:tcBorders>
              <w:top w:val="single" w:sz="12" w:space="0" w:color="auto"/>
              <w:left w:val="single" w:sz="4" w:space="0" w:color="auto"/>
              <w:right w:val="single" w:sz="4" w:space="0" w:color="auto"/>
            </w:tcBorders>
            <w:vAlign w:val="bottom"/>
          </w:tcPr>
          <w:p w14:paraId="1400C204" w14:textId="77777777" w:rsidR="009464D4" w:rsidRPr="00902562" w:rsidRDefault="009464D4" w:rsidP="00AB2D66">
            <w:pPr>
              <w:widowControl w:val="0"/>
              <w:spacing w:before="60"/>
              <w:jc w:val="center"/>
              <w:rPr>
                <w:rFonts w:ascii="Arial" w:hAnsi="Arial" w:cs="Arial"/>
                <w:b/>
                <w:bCs/>
                <w:sz w:val="16"/>
                <w:szCs w:val="16"/>
                <w:lang w:val="en-CA"/>
              </w:rPr>
            </w:pPr>
            <w:r>
              <w:rPr>
                <w:rFonts w:ascii="Arial" w:hAnsi="Arial" w:cs="Arial"/>
                <w:b/>
                <w:bCs/>
                <w:sz w:val="16"/>
                <w:szCs w:val="16"/>
                <w:lang w:val="en-CA"/>
              </w:rPr>
              <w:t>Three months ended</w:t>
            </w:r>
          </w:p>
        </w:tc>
        <w:tc>
          <w:tcPr>
            <w:tcW w:w="2340" w:type="dxa"/>
            <w:gridSpan w:val="2"/>
            <w:tcBorders>
              <w:top w:val="single" w:sz="12" w:space="0" w:color="auto"/>
              <w:left w:val="single" w:sz="4" w:space="0" w:color="auto"/>
              <w:right w:val="single" w:sz="4" w:space="0" w:color="auto"/>
            </w:tcBorders>
            <w:vAlign w:val="bottom"/>
          </w:tcPr>
          <w:p w14:paraId="7C1FC042" w14:textId="0DA85079" w:rsidR="009464D4" w:rsidRPr="00902562" w:rsidRDefault="0015755E" w:rsidP="00AB2D66">
            <w:pPr>
              <w:widowControl w:val="0"/>
              <w:spacing w:before="60"/>
              <w:jc w:val="center"/>
              <w:rPr>
                <w:rFonts w:ascii="Arial" w:hAnsi="Arial" w:cs="Arial"/>
                <w:b/>
                <w:bCs/>
                <w:sz w:val="16"/>
                <w:szCs w:val="16"/>
                <w:lang w:val="en-CA"/>
              </w:rPr>
            </w:pPr>
            <w:r>
              <w:rPr>
                <w:rFonts w:ascii="Arial" w:hAnsi="Arial" w:cs="Arial"/>
                <w:b/>
                <w:bCs/>
                <w:sz w:val="16"/>
                <w:szCs w:val="16"/>
                <w:lang w:val="en-CA"/>
              </w:rPr>
              <w:t>Year ended</w:t>
            </w:r>
          </w:p>
        </w:tc>
      </w:tr>
      <w:tr w:rsidR="009464D4" w:rsidRPr="00902562" w14:paraId="1860F4DF" w14:textId="77777777" w:rsidTr="00AB2D66">
        <w:tc>
          <w:tcPr>
            <w:tcW w:w="4765" w:type="dxa"/>
            <w:tcBorders>
              <w:left w:val="single" w:sz="4" w:space="0" w:color="auto"/>
              <w:right w:val="single" w:sz="4" w:space="0" w:color="auto"/>
            </w:tcBorders>
          </w:tcPr>
          <w:p w14:paraId="7BBCA38B" w14:textId="77777777" w:rsidR="009464D4" w:rsidRPr="00902562" w:rsidRDefault="009464D4" w:rsidP="00AB2D66">
            <w:pPr>
              <w:rPr>
                <w:rFonts w:ascii="Arial" w:hAnsi="Arial" w:cs="Arial"/>
                <w:b/>
                <w:sz w:val="16"/>
                <w:szCs w:val="16"/>
                <w:lang w:val="en-CA"/>
              </w:rPr>
            </w:pPr>
          </w:p>
        </w:tc>
        <w:tc>
          <w:tcPr>
            <w:tcW w:w="2250" w:type="dxa"/>
            <w:gridSpan w:val="2"/>
            <w:tcBorders>
              <w:left w:val="single" w:sz="4" w:space="0" w:color="auto"/>
              <w:bottom w:val="single" w:sz="4" w:space="0" w:color="auto"/>
              <w:right w:val="single" w:sz="4" w:space="0" w:color="auto"/>
            </w:tcBorders>
            <w:vAlign w:val="bottom"/>
          </w:tcPr>
          <w:p w14:paraId="0EDB0C14" w14:textId="378B901A" w:rsidR="009464D4" w:rsidRPr="00902562" w:rsidRDefault="0015755E" w:rsidP="00AB2D66">
            <w:pPr>
              <w:widowControl w:val="0"/>
              <w:jc w:val="center"/>
              <w:rPr>
                <w:rFonts w:ascii="Arial" w:hAnsi="Arial" w:cs="Arial"/>
                <w:b/>
                <w:bCs/>
                <w:sz w:val="16"/>
                <w:szCs w:val="16"/>
                <w:lang w:val="en-CA"/>
              </w:rPr>
            </w:pPr>
            <w:r>
              <w:rPr>
                <w:rFonts w:ascii="Arial" w:hAnsi="Arial" w:cs="Arial"/>
                <w:b/>
                <w:bCs/>
                <w:sz w:val="16"/>
                <w:szCs w:val="16"/>
                <w:lang w:val="en-CA"/>
              </w:rPr>
              <w:t>December</w:t>
            </w:r>
            <w:r w:rsidR="00257237">
              <w:rPr>
                <w:rFonts w:ascii="Arial" w:hAnsi="Arial" w:cs="Arial"/>
                <w:b/>
                <w:bCs/>
                <w:sz w:val="16"/>
                <w:szCs w:val="16"/>
                <w:lang w:val="en-CA"/>
              </w:rPr>
              <w:t xml:space="preserve"> </w:t>
            </w:r>
            <w:r w:rsidR="009464D4">
              <w:rPr>
                <w:rFonts w:ascii="Arial" w:hAnsi="Arial" w:cs="Arial"/>
                <w:b/>
                <w:bCs/>
                <w:sz w:val="16"/>
                <w:szCs w:val="16"/>
                <w:lang w:val="en-CA"/>
              </w:rPr>
              <w:t>3</w:t>
            </w:r>
            <w:r>
              <w:rPr>
                <w:rFonts w:ascii="Arial" w:hAnsi="Arial" w:cs="Arial"/>
                <w:b/>
                <w:bCs/>
                <w:sz w:val="16"/>
                <w:szCs w:val="16"/>
                <w:lang w:val="en-CA"/>
              </w:rPr>
              <w:t>1</w:t>
            </w:r>
          </w:p>
        </w:tc>
        <w:tc>
          <w:tcPr>
            <w:tcW w:w="2340" w:type="dxa"/>
            <w:gridSpan w:val="2"/>
            <w:tcBorders>
              <w:left w:val="single" w:sz="4" w:space="0" w:color="auto"/>
              <w:bottom w:val="single" w:sz="4" w:space="0" w:color="auto"/>
              <w:right w:val="single" w:sz="4" w:space="0" w:color="auto"/>
            </w:tcBorders>
            <w:vAlign w:val="bottom"/>
          </w:tcPr>
          <w:p w14:paraId="046B030E" w14:textId="3A65685A" w:rsidR="009464D4" w:rsidRPr="00902562" w:rsidRDefault="0015755E" w:rsidP="00AB2D66">
            <w:pPr>
              <w:widowControl w:val="0"/>
              <w:jc w:val="center"/>
              <w:rPr>
                <w:rFonts w:ascii="Arial" w:hAnsi="Arial" w:cs="Arial"/>
                <w:b/>
                <w:bCs/>
                <w:sz w:val="16"/>
                <w:szCs w:val="16"/>
                <w:lang w:val="en-CA"/>
              </w:rPr>
            </w:pPr>
            <w:r>
              <w:rPr>
                <w:rFonts w:ascii="Arial" w:hAnsi="Arial" w:cs="Arial"/>
                <w:b/>
                <w:bCs/>
                <w:sz w:val="16"/>
                <w:szCs w:val="16"/>
                <w:lang w:val="en-CA"/>
              </w:rPr>
              <w:t>December</w:t>
            </w:r>
            <w:r w:rsidR="00257237">
              <w:rPr>
                <w:rFonts w:ascii="Arial" w:hAnsi="Arial" w:cs="Arial"/>
                <w:b/>
                <w:bCs/>
                <w:sz w:val="16"/>
                <w:szCs w:val="16"/>
                <w:lang w:val="en-CA"/>
              </w:rPr>
              <w:t xml:space="preserve"> </w:t>
            </w:r>
            <w:r w:rsidR="009464D4">
              <w:rPr>
                <w:rFonts w:ascii="Arial" w:hAnsi="Arial" w:cs="Arial"/>
                <w:b/>
                <w:bCs/>
                <w:sz w:val="16"/>
                <w:szCs w:val="16"/>
                <w:lang w:val="en-CA"/>
              </w:rPr>
              <w:t>3</w:t>
            </w:r>
            <w:r>
              <w:rPr>
                <w:rFonts w:ascii="Arial" w:hAnsi="Arial" w:cs="Arial"/>
                <w:b/>
                <w:bCs/>
                <w:sz w:val="16"/>
                <w:szCs w:val="16"/>
                <w:lang w:val="en-CA"/>
              </w:rPr>
              <w:t>1</w:t>
            </w:r>
          </w:p>
        </w:tc>
      </w:tr>
      <w:tr w:rsidR="009464D4" w:rsidRPr="00902562" w14:paraId="4FB7A4FD" w14:textId="77777777" w:rsidTr="00AB2D66">
        <w:tc>
          <w:tcPr>
            <w:tcW w:w="4765" w:type="dxa"/>
            <w:tcBorders>
              <w:left w:val="single" w:sz="4" w:space="0" w:color="auto"/>
              <w:bottom w:val="single" w:sz="4" w:space="0" w:color="auto"/>
              <w:right w:val="single" w:sz="4" w:space="0" w:color="auto"/>
            </w:tcBorders>
          </w:tcPr>
          <w:p w14:paraId="5A9EDF1C" w14:textId="77777777" w:rsidR="009464D4" w:rsidRPr="00902562" w:rsidRDefault="009464D4" w:rsidP="009464D4">
            <w:pPr>
              <w:rPr>
                <w:rFonts w:ascii="Arial" w:hAnsi="Arial" w:cs="Arial"/>
                <w:bCs/>
                <w:sz w:val="16"/>
                <w:szCs w:val="16"/>
                <w:lang w:val="en-CA"/>
              </w:rPr>
            </w:pPr>
          </w:p>
        </w:tc>
        <w:tc>
          <w:tcPr>
            <w:tcW w:w="1170" w:type="dxa"/>
            <w:tcBorders>
              <w:top w:val="single" w:sz="4" w:space="0" w:color="auto"/>
              <w:left w:val="single" w:sz="4" w:space="0" w:color="auto"/>
              <w:bottom w:val="single" w:sz="4" w:space="0" w:color="auto"/>
              <w:right w:val="single" w:sz="4" w:space="0" w:color="auto"/>
            </w:tcBorders>
            <w:vAlign w:val="bottom"/>
          </w:tcPr>
          <w:p w14:paraId="1BE215AF" w14:textId="0C5216CD" w:rsidR="009464D4" w:rsidRPr="00902562" w:rsidRDefault="009464D4" w:rsidP="009464D4">
            <w:pPr>
              <w:widowControl w:val="0"/>
              <w:ind w:right="16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vAlign w:val="bottom"/>
          </w:tcPr>
          <w:p w14:paraId="4B668C40" w14:textId="1FF159C4" w:rsidR="009464D4" w:rsidRPr="00902562" w:rsidRDefault="009464D4" w:rsidP="009464D4">
            <w:pPr>
              <w:widowControl w:val="0"/>
              <w:ind w:right="7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vAlign w:val="bottom"/>
          </w:tcPr>
          <w:p w14:paraId="381F5D80" w14:textId="64D612C8" w:rsidR="009464D4" w:rsidRPr="00902562" w:rsidRDefault="009464D4" w:rsidP="009464D4">
            <w:pPr>
              <w:widowControl w:val="0"/>
              <w:ind w:right="16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4</w:t>
            </w:r>
          </w:p>
        </w:tc>
        <w:tc>
          <w:tcPr>
            <w:tcW w:w="1170" w:type="dxa"/>
            <w:tcBorders>
              <w:top w:val="single" w:sz="4" w:space="0" w:color="auto"/>
              <w:left w:val="single" w:sz="4" w:space="0" w:color="auto"/>
              <w:bottom w:val="single" w:sz="4" w:space="0" w:color="auto"/>
              <w:right w:val="single" w:sz="4" w:space="0" w:color="auto"/>
            </w:tcBorders>
            <w:vAlign w:val="bottom"/>
          </w:tcPr>
          <w:p w14:paraId="2652C0B5" w14:textId="7EECAF9E" w:rsidR="009464D4" w:rsidRPr="00902562" w:rsidRDefault="009464D4" w:rsidP="009464D4">
            <w:pPr>
              <w:widowControl w:val="0"/>
              <w:ind w:right="16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3</w:t>
            </w:r>
          </w:p>
        </w:tc>
      </w:tr>
      <w:tr w:rsidR="00FD7A1A" w:rsidRPr="00C0574C" w14:paraId="103D3D9E" w14:textId="77777777" w:rsidTr="00076B56">
        <w:tblPrEx>
          <w:tblLook w:val="01E0" w:firstRow="1" w:lastRow="1" w:firstColumn="1" w:lastColumn="1" w:noHBand="0" w:noVBand="0"/>
        </w:tblPrEx>
        <w:trPr>
          <w:trHeight w:val="325"/>
        </w:trPr>
        <w:tc>
          <w:tcPr>
            <w:tcW w:w="4765" w:type="dxa"/>
            <w:tcBorders>
              <w:top w:val="single" w:sz="4" w:space="0" w:color="auto"/>
              <w:left w:val="single" w:sz="4" w:space="0" w:color="auto"/>
              <w:bottom w:val="single" w:sz="12" w:space="0" w:color="auto"/>
              <w:right w:val="single" w:sz="4" w:space="0" w:color="auto"/>
            </w:tcBorders>
            <w:vAlign w:val="bottom"/>
          </w:tcPr>
          <w:p w14:paraId="53415174" w14:textId="77777777" w:rsidR="00FD7A1A" w:rsidRPr="004D30A2" w:rsidRDefault="00FD7A1A" w:rsidP="00FD7A1A">
            <w:pPr>
              <w:spacing w:before="60" w:line="240" w:lineRule="atLeast"/>
              <w:rPr>
                <w:rFonts w:ascii="Arial" w:hAnsi="Arial" w:cs="Arial"/>
                <w:sz w:val="16"/>
                <w:szCs w:val="16"/>
                <w:lang w:val="en-CA"/>
              </w:rPr>
            </w:pPr>
            <w:r>
              <w:rPr>
                <w:rFonts w:ascii="Arial" w:hAnsi="Arial" w:cs="Arial"/>
                <w:sz w:val="16"/>
                <w:szCs w:val="16"/>
                <w:lang w:val="en-CA"/>
              </w:rPr>
              <w:t>Total sales volumes (BOE)</w:t>
            </w:r>
          </w:p>
        </w:tc>
        <w:tc>
          <w:tcPr>
            <w:tcW w:w="1170" w:type="dxa"/>
            <w:tcBorders>
              <w:top w:val="single" w:sz="4" w:space="0" w:color="auto"/>
              <w:left w:val="single" w:sz="4" w:space="0" w:color="auto"/>
              <w:bottom w:val="single" w:sz="12" w:space="0" w:color="auto"/>
              <w:right w:val="single" w:sz="4" w:space="0" w:color="auto"/>
            </w:tcBorders>
            <w:vAlign w:val="bottom"/>
          </w:tcPr>
          <w:p w14:paraId="0BDEBD4A" w14:textId="02248C21" w:rsidR="00FD7A1A" w:rsidRPr="00257237" w:rsidRDefault="00FD7A1A" w:rsidP="00FD7A1A">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Pr>
                <w:rFonts w:ascii="Arial" w:hAnsi="Arial" w:cs="Arial"/>
                <w:sz w:val="16"/>
                <w:szCs w:val="16"/>
              </w:rPr>
              <w:t>306,807</w:t>
            </w:r>
          </w:p>
        </w:tc>
        <w:tc>
          <w:tcPr>
            <w:tcW w:w="1080" w:type="dxa"/>
            <w:tcBorders>
              <w:top w:val="single" w:sz="4" w:space="0" w:color="auto"/>
              <w:left w:val="single" w:sz="4" w:space="0" w:color="auto"/>
              <w:bottom w:val="single" w:sz="12" w:space="0" w:color="auto"/>
              <w:right w:val="single" w:sz="4" w:space="0" w:color="auto"/>
            </w:tcBorders>
            <w:vAlign w:val="bottom"/>
          </w:tcPr>
          <w:p w14:paraId="7B1073CE" w14:textId="504044BC" w:rsidR="00FD7A1A" w:rsidRPr="00257237" w:rsidRDefault="00FD7A1A" w:rsidP="00FD7A1A">
            <w:pPr>
              <w:pStyle w:val="BodyText2"/>
              <w:widowControl w:val="0"/>
              <w:tabs>
                <w:tab w:val="decimal" w:pos="792"/>
              </w:tabs>
              <w:spacing w:before="60" w:after="0" w:line="240" w:lineRule="atLeast"/>
              <w:ind w:right="72"/>
              <w:jc w:val="right"/>
              <w:rPr>
                <w:rFonts w:ascii="Arial" w:hAnsi="Arial" w:cs="Arial"/>
                <w:color w:val="000000"/>
                <w:sz w:val="16"/>
                <w:szCs w:val="16"/>
                <w:lang w:val="en-CA"/>
              </w:rPr>
            </w:pPr>
            <w:r w:rsidRPr="007F1B62">
              <w:rPr>
                <w:rFonts w:ascii="Arial" w:hAnsi="Arial" w:cs="Arial"/>
                <w:sz w:val="16"/>
                <w:szCs w:val="16"/>
              </w:rPr>
              <w:t>117,252</w:t>
            </w:r>
          </w:p>
        </w:tc>
        <w:tc>
          <w:tcPr>
            <w:tcW w:w="1170" w:type="dxa"/>
            <w:tcBorders>
              <w:top w:val="single" w:sz="4" w:space="0" w:color="auto"/>
              <w:left w:val="single" w:sz="4" w:space="0" w:color="auto"/>
              <w:bottom w:val="single" w:sz="12" w:space="0" w:color="auto"/>
              <w:right w:val="single" w:sz="4" w:space="0" w:color="auto"/>
            </w:tcBorders>
            <w:vAlign w:val="bottom"/>
          </w:tcPr>
          <w:p w14:paraId="4137A151" w14:textId="2222A224" w:rsidR="00FD7A1A" w:rsidRPr="00257237" w:rsidRDefault="00B737B0" w:rsidP="00FD7A1A">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Pr>
                <w:rFonts w:ascii="Arial" w:hAnsi="Arial" w:cs="Arial"/>
                <w:color w:val="000000"/>
                <w:sz w:val="16"/>
                <w:szCs w:val="16"/>
                <w:lang w:val="en-CA"/>
              </w:rPr>
              <w:t>676,990</w:t>
            </w:r>
          </w:p>
        </w:tc>
        <w:tc>
          <w:tcPr>
            <w:tcW w:w="1170" w:type="dxa"/>
            <w:tcBorders>
              <w:top w:val="single" w:sz="4" w:space="0" w:color="auto"/>
              <w:left w:val="single" w:sz="4" w:space="0" w:color="auto"/>
              <w:bottom w:val="single" w:sz="12" w:space="0" w:color="auto"/>
              <w:right w:val="single" w:sz="4" w:space="0" w:color="auto"/>
            </w:tcBorders>
            <w:vAlign w:val="bottom"/>
          </w:tcPr>
          <w:p w14:paraId="0E348775" w14:textId="5589E18D" w:rsidR="00FD7A1A" w:rsidRPr="00257237" w:rsidRDefault="00FD7A1A" w:rsidP="00FD7A1A">
            <w:pPr>
              <w:pStyle w:val="BodyText2"/>
              <w:widowControl w:val="0"/>
              <w:tabs>
                <w:tab w:val="decimal" w:pos="972"/>
              </w:tabs>
              <w:spacing w:before="60" w:after="0" w:line="240" w:lineRule="atLeast"/>
              <w:ind w:right="162"/>
              <w:jc w:val="right"/>
              <w:rPr>
                <w:rFonts w:ascii="Arial" w:hAnsi="Arial" w:cs="Arial"/>
                <w:color w:val="000000"/>
                <w:sz w:val="16"/>
                <w:szCs w:val="16"/>
                <w:lang w:val="en-CA"/>
              </w:rPr>
            </w:pPr>
            <w:r w:rsidRPr="007F1B62">
              <w:rPr>
                <w:rFonts w:ascii="Arial" w:hAnsi="Arial" w:cs="Arial"/>
                <w:sz w:val="16"/>
                <w:szCs w:val="16"/>
              </w:rPr>
              <w:t>525,115</w:t>
            </w:r>
          </w:p>
        </w:tc>
      </w:tr>
      <w:tr w:rsidR="00FD7A1A" w:rsidRPr="00C0574C" w14:paraId="56C01373" w14:textId="77777777" w:rsidTr="00CB2281">
        <w:tblPrEx>
          <w:tblLook w:val="01E0" w:firstRow="1" w:lastRow="1" w:firstColumn="1" w:lastColumn="1" w:noHBand="0" w:noVBand="0"/>
        </w:tblPrEx>
        <w:trPr>
          <w:trHeight w:val="50"/>
        </w:trPr>
        <w:tc>
          <w:tcPr>
            <w:tcW w:w="4765" w:type="dxa"/>
            <w:tcBorders>
              <w:top w:val="single" w:sz="12" w:space="0" w:color="auto"/>
              <w:left w:val="single" w:sz="4" w:space="0" w:color="auto"/>
              <w:right w:val="single" w:sz="4" w:space="0" w:color="auto"/>
            </w:tcBorders>
            <w:vAlign w:val="bottom"/>
          </w:tcPr>
          <w:p w14:paraId="18718D06" w14:textId="7F27CF2F" w:rsidR="00FD7A1A" w:rsidRPr="004D30A2" w:rsidRDefault="00AF166F" w:rsidP="00FD7A1A">
            <w:pPr>
              <w:spacing w:before="60"/>
              <w:rPr>
                <w:rFonts w:ascii="Arial" w:hAnsi="Arial" w:cs="Arial"/>
                <w:sz w:val="16"/>
                <w:szCs w:val="16"/>
                <w:lang w:val="en-CA"/>
              </w:rPr>
            </w:pPr>
            <w:r>
              <w:rPr>
                <w:rFonts w:ascii="Arial" w:hAnsi="Arial" w:cs="Arial"/>
                <w:sz w:val="16"/>
                <w:szCs w:val="16"/>
                <w:lang w:val="en-CA"/>
              </w:rPr>
              <w:t>Crude</w:t>
            </w:r>
            <w:r w:rsidR="00FD7A1A">
              <w:rPr>
                <w:rFonts w:ascii="Arial" w:hAnsi="Arial" w:cs="Arial"/>
                <w:sz w:val="16"/>
                <w:szCs w:val="16"/>
                <w:lang w:val="en-CA"/>
              </w:rPr>
              <w:t xml:space="preserve"> oil bbls per day </w:t>
            </w:r>
          </w:p>
        </w:tc>
        <w:tc>
          <w:tcPr>
            <w:tcW w:w="1170" w:type="dxa"/>
            <w:tcBorders>
              <w:top w:val="single" w:sz="12" w:space="0" w:color="auto"/>
              <w:left w:val="single" w:sz="4" w:space="0" w:color="auto"/>
              <w:right w:val="single" w:sz="4" w:space="0" w:color="auto"/>
            </w:tcBorders>
          </w:tcPr>
          <w:p w14:paraId="573BE29D" w14:textId="56C09DC7" w:rsidR="00FD7A1A" w:rsidRPr="00257237" w:rsidRDefault="00B737B0" w:rsidP="00FD7A1A">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Pr>
                <w:rFonts w:ascii="Arial" w:hAnsi="Arial" w:cs="Arial"/>
                <w:color w:val="000000"/>
                <w:sz w:val="16"/>
                <w:szCs w:val="16"/>
                <w:lang w:val="en-CA"/>
              </w:rPr>
              <w:t>2,868</w:t>
            </w:r>
          </w:p>
        </w:tc>
        <w:tc>
          <w:tcPr>
            <w:tcW w:w="1080" w:type="dxa"/>
            <w:tcBorders>
              <w:top w:val="single" w:sz="12" w:space="0" w:color="auto"/>
              <w:left w:val="single" w:sz="4" w:space="0" w:color="auto"/>
              <w:right w:val="single" w:sz="4" w:space="0" w:color="auto"/>
            </w:tcBorders>
            <w:vAlign w:val="bottom"/>
          </w:tcPr>
          <w:p w14:paraId="2F718D28" w14:textId="43132508" w:rsidR="00FD7A1A" w:rsidRPr="00257237" w:rsidRDefault="00FD7A1A" w:rsidP="00FD7A1A">
            <w:pPr>
              <w:pStyle w:val="BodyText2"/>
              <w:widowControl w:val="0"/>
              <w:tabs>
                <w:tab w:val="decimal" w:pos="792"/>
              </w:tabs>
              <w:spacing w:before="60" w:after="0" w:line="240" w:lineRule="atLeast"/>
              <w:ind w:right="72"/>
              <w:jc w:val="right"/>
              <w:rPr>
                <w:rFonts w:ascii="Arial" w:hAnsi="Arial" w:cs="Arial"/>
                <w:color w:val="000000"/>
                <w:sz w:val="16"/>
                <w:szCs w:val="16"/>
                <w:lang w:val="en-CA"/>
              </w:rPr>
            </w:pPr>
            <w:r w:rsidRPr="007F1B62">
              <w:rPr>
                <w:rFonts w:ascii="Arial" w:hAnsi="Arial" w:cs="Arial"/>
                <w:sz w:val="16"/>
                <w:szCs w:val="16"/>
              </w:rPr>
              <w:t>840</w:t>
            </w:r>
          </w:p>
        </w:tc>
        <w:tc>
          <w:tcPr>
            <w:tcW w:w="1170" w:type="dxa"/>
            <w:tcBorders>
              <w:top w:val="single" w:sz="12" w:space="0" w:color="auto"/>
              <w:left w:val="single" w:sz="4" w:space="0" w:color="auto"/>
              <w:right w:val="single" w:sz="4" w:space="0" w:color="auto"/>
            </w:tcBorders>
          </w:tcPr>
          <w:p w14:paraId="3241157E" w14:textId="3DFF2966" w:rsidR="00FD7A1A" w:rsidRPr="00257237" w:rsidRDefault="00B737B0" w:rsidP="00FD7A1A">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Pr>
                <w:rFonts w:ascii="Arial" w:hAnsi="Arial" w:cs="Arial"/>
                <w:sz w:val="16"/>
                <w:szCs w:val="16"/>
              </w:rPr>
              <w:t>1,296</w:t>
            </w:r>
          </w:p>
        </w:tc>
        <w:tc>
          <w:tcPr>
            <w:tcW w:w="1170" w:type="dxa"/>
            <w:tcBorders>
              <w:top w:val="single" w:sz="12" w:space="0" w:color="auto"/>
              <w:left w:val="single" w:sz="4" w:space="0" w:color="auto"/>
              <w:right w:val="single" w:sz="4" w:space="0" w:color="auto"/>
            </w:tcBorders>
            <w:vAlign w:val="bottom"/>
          </w:tcPr>
          <w:p w14:paraId="05E25413" w14:textId="561C0311" w:rsidR="00FD7A1A" w:rsidRPr="00257237" w:rsidRDefault="00FD7A1A" w:rsidP="00FD7A1A">
            <w:pPr>
              <w:pStyle w:val="BodyText2"/>
              <w:widowControl w:val="0"/>
              <w:tabs>
                <w:tab w:val="left" w:pos="968"/>
              </w:tabs>
              <w:spacing w:before="60" w:after="0" w:line="240" w:lineRule="atLeast"/>
              <w:ind w:right="162"/>
              <w:jc w:val="right"/>
              <w:rPr>
                <w:rFonts w:ascii="Arial" w:hAnsi="Arial" w:cs="Arial"/>
                <w:color w:val="000000"/>
                <w:sz w:val="16"/>
                <w:szCs w:val="16"/>
                <w:lang w:val="en-CA"/>
              </w:rPr>
            </w:pPr>
            <w:r w:rsidRPr="007F1B62">
              <w:rPr>
                <w:rFonts w:ascii="Arial" w:hAnsi="Arial" w:cs="Arial"/>
                <w:sz w:val="16"/>
                <w:szCs w:val="16"/>
              </w:rPr>
              <w:t>915</w:t>
            </w:r>
          </w:p>
        </w:tc>
      </w:tr>
      <w:tr w:rsidR="00FD7A1A" w:rsidRPr="00C0574C" w14:paraId="369B380D" w14:textId="77777777" w:rsidTr="00CB2281">
        <w:tblPrEx>
          <w:tblLook w:val="01E0" w:firstRow="1" w:lastRow="1" w:firstColumn="1" w:lastColumn="1" w:noHBand="0" w:noVBand="0"/>
        </w:tblPrEx>
        <w:tc>
          <w:tcPr>
            <w:tcW w:w="4765" w:type="dxa"/>
            <w:tcBorders>
              <w:left w:val="single" w:sz="4" w:space="0" w:color="auto"/>
              <w:right w:val="single" w:sz="4" w:space="0" w:color="auto"/>
            </w:tcBorders>
            <w:vAlign w:val="bottom"/>
          </w:tcPr>
          <w:p w14:paraId="21B7059C" w14:textId="77777777" w:rsidR="00FD7A1A" w:rsidRPr="004D30A2" w:rsidRDefault="00FD7A1A" w:rsidP="00FD7A1A">
            <w:pPr>
              <w:rPr>
                <w:rFonts w:ascii="Arial" w:hAnsi="Arial" w:cs="Arial"/>
                <w:sz w:val="16"/>
                <w:szCs w:val="16"/>
                <w:lang w:val="en-CA"/>
              </w:rPr>
            </w:pPr>
            <w:r>
              <w:rPr>
                <w:rFonts w:ascii="Arial" w:hAnsi="Arial" w:cs="Arial"/>
                <w:sz w:val="16"/>
                <w:szCs w:val="16"/>
                <w:lang w:val="en-CA"/>
              </w:rPr>
              <w:t xml:space="preserve">NGL bbls per day </w:t>
            </w:r>
          </w:p>
        </w:tc>
        <w:tc>
          <w:tcPr>
            <w:tcW w:w="1170" w:type="dxa"/>
            <w:tcBorders>
              <w:left w:val="single" w:sz="4" w:space="0" w:color="auto"/>
              <w:right w:val="single" w:sz="4" w:space="0" w:color="auto"/>
            </w:tcBorders>
          </w:tcPr>
          <w:p w14:paraId="055EFB8E" w14:textId="4660A6F1" w:rsidR="00FD7A1A" w:rsidRPr="00257237" w:rsidRDefault="00B737B0" w:rsidP="00FD7A1A">
            <w:pPr>
              <w:pStyle w:val="BodyText2"/>
              <w:widowControl w:val="0"/>
              <w:tabs>
                <w:tab w:val="decimal" w:pos="792"/>
              </w:tabs>
              <w:spacing w:after="0" w:line="240" w:lineRule="atLeast"/>
              <w:ind w:right="162"/>
              <w:jc w:val="right"/>
              <w:rPr>
                <w:rFonts w:ascii="Arial" w:hAnsi="Arial" w:cs="Arial"/>
                <w:color w:val="000000"/>
                <w:sz w:val="16"/>
                <w:szCs w:val="16"/>
                <w:lang w:val="en-CA"/>
              </w:rPr>
            </w:pPr>
            <w:r>
              <w:rPr>
                <w:rFonts w:ascii="Arial" w:hAnsi="Arial" w:cs="Arial"/>
                <w:color w:val="000000"/>
                <w:sz w:val="16"/>
                <w:szCs w:val="16"/>
                <w:lang w:val="en-CA"/>
              </w:rPr>
              <w:t>17</w:t>
            </w:r>
          </w:p>
        </w:tc>
        <w:tc>
          <w:tcPr>
            <w:tcW w:w="1080" w:type="dxa"/>
            <w:tcBorders>
              <w:left w:val="single" w:sz="4" w:space="0" w:color="auto"/>
              <w:right w:val="single" w:sz="4" w:space="0" w:color="auto"/>
            </w:tcBorders>
            <w:vAlign w:val="bottom"/>
          </w:tcPr>
          <w:p w14:paraId="27E52DCF" w14:textId="6A1D544F" w:rsidR="00FD7A1A" w:rsidRPr="00257237" w:rsidRDefault="00FD7A1A" w:rsidP="00FD7A1A">
            <w:pPr>
              <w:pStyle w:val="BodyText2"/>
              <w:widowControl w:val="0"/>
              <w:tabs>
                <w:tab w:val="decimal" w:pos="792"/>
              </w:tabs>
              <w:spacing w:after="0" w:line="240" w:lineRule="atLeast"/>
              <w:ind w:right="72"/>
              <w:jc w:val="right"/>
              <w:rPr>
                <w:rFonts w:ascii="Arial" w:hAnsi="Arial" w:cs="Arial"/>
                <w:color w:val="000000"/>
                <w:sz w:val="16"/>
                <w:szCs w:val="16"/>
                <w:lang w:val="en-CA"/>
              </w:rPr>
            </w:pPr>
            <w:r w:rsidRPr="007F1B62">
              <w:rPr>
                <w:rFonts w:ascii="Arial" w:hAnsi="Arial" w:cs="Arial"/>
                <w:sz w:val="16"/>
                <w:szCs w:val="16"/>
              </w:rPr>
              <w:t>25</w:t>
            </w:r>
          </w:p>
        </w:tc>
        <w:tc>
          <w:tcPr>
            <w:tcW w:w="1170" w:type="dxa"/>
            <w:tcBorders>
              <w:left w:val="single" w:sz="4" w:space="0" w:color="auto"/>
              <w:right w:val="single" w:sz="4" w:space="0" w:color="auto"/>
            </w:tcBorders>
          </w:tcPr>
          <w:p w14:paraId="1E1B3305" w14:textId="30C3B7FB" w:rsidR="00FD7A1A" w:rsidRPr="00257237" w:rsidRDefault="00FD7A1A" w:rsidP="00FD7A1A">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257237">
              <w:rPr>
                <w:rFonts w:ascii="Arial" w:hAnsi="Arial" w:cs="Arial"/>
                <w:sz w:val="16"/>
                <w:szCs w:val="16"/>
              </w:rPr>
              <w:t xml:space="preserve"> 18 </w:t>
            </w:r>
          </w:p>
        </w:tc>
        <w:tc>
          <w:tcPr>
            <w:tcW w:w="1170" w:type="dxa"/>
            <w:tcBorders>
              <w:left w:val="single" w:sz="4" w:space="0" w:color="auto"/>
              <w:right w:val="single" w:sz="4" w:space="0" w:color="auto"/>
            </w:tcBorders>
            <w:vAlign w:val="bottom"/>
          </w:tcPr>
          <w:p w14:paraId="148111F9" w14:textId="43E16761" w:rsidR="00FD7A1A" w:rsidRPr="00257237" w:rsidRDefault="00FD7A1A" w:rsidP="00FD7A1A">
            <w:pPr>
              <w:pStyle w:val="BodyText2"/>
              <w:widowControl w:val="0"/>
              <w:tabs>
                <w:tab w:val="left" w:pos="968"/>
              </w:tabs>
              <w:spacing w:after="0" w:line="240" w:lineRule="atLeast"/>
              <w:ind w:right="162"/>
              <w:jc w:val="right"/>
              <w:rPr>
                <w:rFonts w:ascii="Arial" w:hAnsi="Arial" w:cs="Arial"/>
                <w:color w:val="000000"/>
                <w:sz w:val="16"/>
                <w:szCs w:val="16"/>
                <w:lang w:val="en-CA"/>
              </w:rPr>
            </w:pPr>
            <w:r w:rsidRPr="007F1B62">
              <w:rPr>
                <w:rFonts w:ascii="Arial" w:hAnsi="Arial" w:cs="Arial"/>
                <w:sz w:val="16"/>
                <w:szCs w:val="16"/>
              </w:rPr>
              <w:t>19</w:t>
            </w:r>
          </w:p>
        </w:tc>
      </w:tr>
      <w:tr w:rsidR="00FD7A1A" w:rsidRPr="00C0574C" w14:paraId="259B4E43" w14:textId="77777777" w:rsidTr="00CB2281">
        <w:tblPrEx>
          <w:tblLook w:val="01E0" w:firstRow="1" w:lastRow="1" w:firstColumn="1" w:lastColumn="1" w:noHBand="0" w:noVBand="0"/>
        </w:tblPrEx>
        <w:tc>
          <w:tcPr>
            <w:tcW w:w="4765" w:type="dxa"/>
            <w:tcBorders>
              <w:left w:val="single" w:sz="4" w:space="0" w:color="auto"/>
              <w:bottom w:val="single" w:sz="4" w:space="0" w:color="auto"/>
              <w:right w:val="single" w:sz="4" w:space="0" w:color="auto"/>
            </w:tcBorders>
            <w:vAlign w:val="bottom"/>
          </w:tcPr>
          <w:p w14:paraId="7BC22635" w14:textId="77777777" w:rsidR="00FD7A1A" w:rsidRPr="004D30A2" w:rsidRDefault="00FD7A1A" w:rsidP="00FD7A1A">
            <w:pPr>
              <w:rPr>
                <w:rFonts w:ascii="Arial" w:hAnsi="Arial" w:cs="Arial"/>
                <w:sz w:val="16"/>
                <w:szCs w:val="16"/>
                <w:lang w:val="en-CA"/>
              </w:rPr>
            </w:pPr>
            <w:r>
              <w:rPr>
                <w:rFonts w:ascii="Arial" w:hAnsi="Arial" w:cs="Arial"/>
                <w:sz w:val="16"/>
                <w:szCs w:val="16"/>
                <w:lang w:val="en-CA"/>
              </w:rPr>
              <w:t xml:space="preserve">Natural gas mcf per day </w:t>
            </w:r>
          </w:p>
        </w:tc>
        <w:tc>
          <w:tcPr>
            <w:tcW w:w="1170" w:type="dxa"/>
            <w:tcBorders>
              <w:left w:val="single" w:sz="4" w:space="0" w:color="auto"/>
              <w:bottom w:val="single" w:sz="4" w:space="0" w:color="auto"/>
              <w:right w:val="single" w:sz="4" w:space="0" w:color="auto"/>
            </w:tcBorders>
          </w:tcPr>
          <w:p w14:paraId="6240B723" w14:textId="3660C3BC" w:rsidR="00FD7A1A" w:rsidRPr="00257237" w:rsidRDefault="00B737B0" w:rsidP="00FD7A1A">
            <w:pPr>
              <w:pStyle w:val="BodyText2"/>
              <w:widowControl w:val="0"/>
              <w:tabs>
                <w:tab w:val="decimal" w:pos="792"/>
              </w:tabs>
              <w:spacing w:after="0" w:line="240" w:lineRule="atLeast"/>
              <w:ind w:right="162"/>
              <w:jc w:val="right"/>
              <w:rPr>
                <w:rFonts w:ascii="Arial" w:hAnsi="Arial" w:cs="Arial"/>
                <w:color w:val="000000"/>
                <w:sz w:val="16"/>
                <w:szCs w:val="16"/>
                <w:lang w:val="en-CA"/>
              </w:rPr>
            </w:pPr>
            <w:r>
              <w:rPr>
                <w:rFonts w:ascii="Arial" w:hAnsi="Arial" w:cs="Arial"/>
                <w:color w:val="000000"/>
                <w:sz w:val="16"/>
                <w:szCs w:val="16"/>
                <w:lang w:val="en-CA"/>
              </w:rPr>
              <w:t>2,698</w:t>
            </w:r>
          </w:p>
        </w:tc>
        <w:tc>
          <w:tcPr>
            <w:tcW w:w="1080" w:type="dxa"/>
            <w:tcBorders>
              <w:left w:val="single" w:sz="4" w:space="0" w:color="auto"/>
              <w:bottom w:val="single" w:sz="4" w:space="0" w:color="auto"/>
              <w:right w:val="single" w:sz="4" w:space="0" w:color="auto"/>
            </w:tcBorders>
            <w:vAlign w:val="bottom"/>
          </w:tcPr>
          <w:p w14:paraId="67BEAB87" w14:textId="45D64F2B" w:rsidR="00FD7A1A" w:rsidRPr="00257237" w:rsidRDefault="00FD7A1A" w:rsidP="00FD7A1A">
            <w:pPr>
              <w:pStyle w:val="BodyText2"/>
              <w:widowControl w:val="0"/>
              <w:tabs>
                <w:tab w:val="decimal" w:pos="792"/>
              </w:tabs>
              <w:spacing w:after="0" w:line="240" w:lineRule="atLeast"/>
              <w:ind w:right="72"/>
              <w:jc w:val="right"/>
              <w:rPr>
                <w:rFonts w:ascii="Arial" w:hAnsi="Arial" w:cs="Arial"/>
                <w:color w:val="000000"/>
                <w:sz w:val="16"/>
                <w:szCs w:val="16"/>
                <w:lang w:val="en-CA"/>
              </w:rPr>
            </w:pPr>
            <w:r w:rsidRPr="007F1B62">
              <w:rPr>
                <w:rFonts w:ascii="Arial" w:hAnsi="Arial" w:cs="Arial"/>
                <w:sz w:val="16"/>
                <w:szCs w:val="16"/>
              </w:rPr>
              <w:t>2,458</w:t>
            </w:r>
          </w:p>
        </w:tc>
        <w:tc>
          <w:tcPr>
            <w:tcW w:w="1170" w:type="dxa"/>
            <w:tcBorders>
              <w:left w:val="single" w:sz="4" w:space="0" w:color="auto"/>
              <w:bottom w:val="single" w:sz="4" w:space="0" w:color="auto"/>
              <w:right w:val="single" w:sz="4" w:space="0" w:color="auto"/>
            </w:tcBorders>
          </w:tcPr>
          <w:p w14:paraId="18C756E0" w14:textId="5EE640A8" w:rsidR="00FD7A1A" w:rsidRPr="00257237" w:rsidRDefault="00FD7A1A" w:rsidP="00FD7A1A">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257237">
              <w:rPr>
                <w:rFonts w:ascii="Arial" w:hAnsi="Arial" w:cs="Arial"/>
                <w:sz w:val="16"/>
                <w:szCs w:val="16"/>
              </w:rPr>
              <w:t xml:space="preserve"> 3,</w:t>
            </w:r>
            <w:r w:rsidR="00B737B0">
              <w:rPr>
                <w:rFonts w:ascii="Arial" w:hAnsi="Arial" w:cs="Arial"/>
                <w:sz w:val="16"/>
                <w:szCs w:val="16"/>
              </w:rPr>
              <w:t>217</w:t>
            </w:r>
            <w:r w:rsidRPr="00257237">
              <w:rPr>
                <w:rFonts w:ascii="Arial" w:hAnsi="Arial" w:cs="Arial"/>
                <w:sz w:val="16"/>
                <w:szCs w:val="16"/>
              </w:rPr>
              <w:t xml:space="preserve"> </w:t>
            </w:r>
          </w:p>
        </w:tc>
        <w:tc>
          <w:tcPr>
            <w:tcW w:w="1170" w:type="dxa"/>
            <w:tcBorders>
              <w:left w:val="single" w:sz="4" w:space="0" w:color="auto"/>
              <w:bottom w:val="single" w:sz="4" w:space="0" w:color="auto"/>
              <w:right w:val="single" w:sz="4" w:space="0" w:color="auto"/>
            </w:tcBorders>
            <w:vAlign w:val="bottom"/>
          </w:tcPr>
          <w:p w14:paraId="325C9A61" w14:textId="11B132D7" w:rsidR="00FD7A1A" w:rsidRPr="00257237" w:rsidRDefault="00FD7A1A" w:rsidP="00FD7A1A">
            <w:pPr>
              <w:pStyle w:val="BodyText2"/>
              <w:widowControl w:val="0"/>
              <w:tabs>
                <w:tab w:val="left" w:pos="968"/>
              </w:tabs>
              <w:spacing w:after="0" w:line="240" w:lineRule="atLeast"/>
              <w:ind w:right="162"/>
              <w:jc w:val="right"/>
              <w:rPr>
                <w:rFonts w:ascii="Arial" w:hAnsi="Arial" w:cs="Arial"/>
                <w:color w:val="000000"/>
                <w:sz w:val="16"/>
                <w:szCs w:val="16"/>
                <w:lang w:val="en-CA"/>
              </w:rPr>
            </w:pPr>
            <w:r w:rsidRPr="007F1B62">
              <w:rPr>
                <w:rFonts w:ascii="Arial" w:hAnsi="Arial" w:cs="Arial"/>
                <w:sz w:val="16"/>
                <w:szCs w:val="16"/>
              </w:rPr>
              <w:t>3,023</w:t>
            </w:r>
          </w:p>
        </w:tc>
      </w:tr>
      <w:tr w:rsidR="00FD7A1A" w:rsidRPr="00C0574C" w14:paraId="70224924" w14:textId="77777777" w:rsidTr="00AB2D66">
        <w:tblPrEx>
          <w:tblLook w:val="01E0" w:firstRow="1" w:lastRow="1" w:firstColumn="1" w:lastColumn="1" w:noHBand="0" w:noVBand="0"/>
        </w:tblPrEx>
        <w:trPr>
          <w:trHeight w:val="278"/>
        </w:trPr>
        <w:tc>
          <w:tcPr>
            <w:tcW w:w="4765" w:type="dxa"/>
            <w:tcBorders>
              <w:top w:val="single" w:sz="4" w:space="0" w:color="auto"/>
              <w:left w:val="single" w:sz="4" w:space="0" w:color="auto"/>
              <w:bottom w:val="single" w:sz="12" w:space="0" w:color="auto"/>
              <w:right w:val="single" w:sz="4" w:space="0" w:color="auto"/>
            </w:tcBorders>
            <w:vAlign w:val="bottom"/>
          </w:tcPr>
          <w:p w14:paraId="52161DB5" w14:textId="77777777" w:rsidR="00FD7A1A" w:rsidRPr="004D30A2" w:rsidRDefault="00FD7A1A" w:rsidP="00FD7A1A">
            <w:pPr>
              <w:rPr>
                <w:rFonts w:ascii="Arial" w:hAnsi="Arial" w:cs="Arial"/>
                <w:sz w:val="16"/>
                <w:szCs w:val="16"/>
                <w:lang w:val="en-CA"/>
              </w:rPr>
            </w:pPr>
            <w:r>
              <w:rPr>
                <w:rFonts w:ascii="Arial" w:hAnsi="Arial" w:cs="Arial"/>
                <w:sz w:val="16"/>
                <w:szCs w:val="16"/>
                <w:lang w:val="en-CA"/>
              </w:rPr>
              <w:t>Total BOE per day</w:t>
            </w:r>
          </w:p>
        </w:tc>
        <w:tc>
          <w:tcPr>
            <w:tcW w:w="1170" w:type="dxa"/>
            <w:tcBorders>
              <w:top w:val="single" w:sz="4" w:space="0" w:color="auto"/>
              <w:left w:val="single" w:sz="4" w:space="0" w:color="auto"/>
              <w:bottom w:val="single" w:sz="12" w:space="0" w:color="auto"/>
              <w:right w:val="single" w:sz="4" w:space="0" w:color="auto"/>
            </w:tcBorders>
            <w:vAlign w:val="center"/>
          </w:tcPr>
          <w:p w14:paraId="357E7987" w14:textId="352DE10F" w:rsidR="00FD7A1A" w:rsidRPr="00257237" w:rsidRDefault="00B737B0" w:rsidP="00FD7A1A">
            <w:pPr>
              <w:pStyle w:val="BodyText2"/>
              <w:widowControl w:val="0"/>
              <w:tabs>
                <w:tab w:val="decimal" w:pos="792"/>
              </w:tabs>
              <w:spacing w:after="0" w:line="240" w:lineRule="atLeast"/>
              <w:ind w:right="162"/>
              <w:jc w:val="right"/>
              <w:rPr>
                <w:rFonts w:ascii="Arial" w:hAnsi="Arial" w:cs="Arial"/>
                <w:color w:val="000000"/>
                <w:sz w:val="16"/>
                <w:szCs w:val="16"/>
                <w:lang w:val="en-CA"/>
              </w:rPr>
            </w:pPr>
            <w:r>
              <w:rPr>
                <w:rFonts w:ascii="Arial" w:hAnsi="Arial" w:cs="Arial"/>
                <w:color w:val="000000"/>
                <w:sz w:val="16"/>
                <w:szCs w:val="16"/>
                <w:lang w:val="en-CA"/>
              </w:rPr>
              <w:t>3,335</w:t>
            </w:r>
          </w:p>
        </w:tc>
        <w:tc>
          <w:tcPr>
            <w:tcW w:w="1080" w:type="dxa"/>
            <w:tcBorders>
              <w:top w:val="single" w:sz="4" w:space="0" w:color="auto"/>
              <w:left w:val="single" w:sz="4" w:space="0" w:color="auto"/>
              <w:bottom w:val="single" w:sz="12" w:space="0" w:color="auto"/>
              <w:right w:val="single" w:sz="4" w:space="0" w:color="auto"/>
            </w:tcBorders>
            <w:vAlign w:val="center"/>
          </w:tcPr>
          <w:p w14:paraId="5009028A" w14:textId="4E63ABD3" w:rsidR="00FD7A1A" w:rsidRPr="00257237" w:rsidRDefault="00FD7A1A" w:rsidP="00FD7A1A">
            <w:pPr>
              <w:pStyle w:val="BodyText2"/>
              <w:widowControl w:val="0"/>
              <w:tabs>
                <w:tab w:val="decimal" w:pos="792"/>
              </w:tabs>
              <w:spacing w:after="0" w:line="240" w:lineRule="atLeast"/>
              <w:ind w:right="72"/>
              <w:jc w:val="right"/>
              <w:rPr>
                <w:rFonts w:ascii="Arial" w:hAnsi="Arial" w:cs="Arial"/>
                <w:color w:val="000000"/>
                <w:sz w:val="16"/>
                <w:szCs w:val="16"/>
                <w:lang w:val="en-CA"/>
              </w:rPr>
            </w:pPr>
            <w:r w:rsidRPr="007F1B62">
              <w:rPr>
                <w:rFonts w:ascii="Arial" w:hAnsi="Arial" w:cs="Arial"/>
                <w:color w:val="000000"/>
                <w:sz w:val="16"/>
                <w:szCs w:val="16"/>
              </w:rPr>
              <w:t>1,275</w:t>
            </w:r>
          </w:p>
        </w:tc>
        <w:tc>
          <w:tcPr>
            <w:tcW w:w="1170" w:type="dxa"/>
            <w:tcBorders>
              <w:top w:val="single" w:sz="4" w:space="0" w:color="auto"/>
              <w:left w:val="single" w:sz="4" w:space="0" w:color="auto"/>
              <w:bottom w:val="single" w:sz="12" w:space="0" w:color="auto"/>
              <w:right w:val="single" w:sz="4" w:space="0" w:color="auto"/>
            </w:tcBorders>
            <w:vAlign w:val="center"/>
          </w:tcPr>
          <w:p w14:paraId="04B34174" w14:textId="5FEE9EE0" w:rsidR="00FD7A1A" w:rsidRPr="00257237" w:rsidRDefault="00FD7A1A" w:rsidP="00FD7A1A">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257237">
              <w:rPr>
                <w:rFonts w:ascii="Arial" w:hAnsi="Arial" w:cs="Arial"/>
                <w:sz w:val="16"/>
                <w:szCs w:val="16"/>
              </w:rPr>
              <w:t xml:space="preserve"> 1,</w:t>
            </w:r>
            <w:r w:rsidR="00B737B0">
              <w:rPr>
                <w:rFonts w:ascii="Arial" w:hAnsi="Arial" w:cs="Arial"/>
                <w:sz w:val="16"/>
                <w:szCs w:val="16"/>
              </w:rPr>
              <w:t>850</w:t>
            </w:r>
            <w:r w:rsidRPr="00257237">
              <w:rPr>
                <w:rFonts w:ascii="Arial" w:hAnsi="Arial" w:cs="Arial"/>
                <w:sz w:val="16"/>
                <w:szCs w:val="16"/>
              </w:rPr>
              <w:t xml:space="preserve"> </w:t>
            </w:r>
          </w:p>
        </w:tc>
        <w:tc>
          <w:tcPr>
            <w:tcW w:w="1170" w:type="dxa"/>
            <w:tcBorders>
              <w:top w:val="single" w:sz="4" w:space="0" w:color="auto"/>
              <w:left w:val="single" w:sz="4" w:space="0" w:color="auto"/>
              <w:bottom w:val="single" w:sz="12" w:space="0" w:color="auto"/>
              <w:right w:val="single" w:sz="4" w:space="0" w:color="auto"/>
            </w:tcBorders>
            <w:vAlign w:val="center"/>
          </w:tcPr>
          <w:p w14:paraId="6BE2A008" w14:textId="28A30F57" w:rsidR="00FD7A1A" w:rsidRPr="00257237" w:rsidRDefault="00FD7A1A" w:rsidP="00FD7A1A">
            <w:pPr>
              <w:pStyle w:val="BodyText2"/>
              <w:widowControl w:val="0"/>
              <w:tabs>
                <w:tab w:val="left" w:pos="968"/>
              </w:tabs>
              <w:spacing w:after="0" w:line="240" w:lineRule="atLeast"/>
              <w:ind w:right="162"/>
              <w:jc w:val="right"/>
              <w:rPr>
                <w:rFonts w:ascii="Arial" w:hAnsi="Arial" w:cs="Arial"/>
                <w:color w:val="000000"/>
                <w:sz w:val="16"/>
                <w:szCs w:val="16"/>
                <w:lang w:val="en-CA"/>
              </w:rPr>
            </w:pPr>
            <w:r w:rsidRPr="007F1B62">
              <w:rPr>
                <w:rFonts w:ascii="Arial" w:hAnsi="Arial" w:cs="Arial"/>
                <w:color w:val="000000"/>
                <w:sz w:val="16"/>
                <w:szCs w:val="16"/>
              </w:rPr>
              <w:t>1,438</w:t>
            </w:r>
          </w:p>
        </w:tc>
      </w:tr>
    </w:tbl>
    <w:p w14:paraId="244429E3" w14:textId="22696E15" w:rsidR="00315F52" w:rsidRPr="00776BE8" w:rsidRDefault="00570F49" w:rsidP="00315F52">
      <w:pPr>
        <w:spacing w:before="240" w:after="120"/>
        <w:rPr>
          <w:rFonts w:ascii="Arial" w:hAnsi="Arial" w:cs="Arial"/>
          <w:bCs/>
          <w:sz w:val="20"/>
          <w:szCs w:val="20"/>
          <w:lang w:val="en-CA"/>
        </w:rPr>
      </w:pPr>
      <w:r w:rsidRPr="00776BE8">
        <w:rPr>
          <w:rFonts w:ascii="Arial" w:hAnsi="Arial" w:cs="Arial"/>
          <w:b/>
          <w:sz w:val="20"/>
          <w:szCs w:val="20"/>
          <w:lang w:val="en-CA"/>
        </w:rPr>
        <w:t xml:space="preserve">Operating Netback </w:t>
      </w:r>
      <w:r w:rsidRPr="00776BE8">
        <w:rPr>
          <w:rFonts w:ascii="Arial" w:hAnsi="Arial" w:cs="Arial"/>
          <w:bCs/>
          <w:sz w:val="20"/>
          <w:szCs w:val="20"/>
          <w:vertAlign w:val="superscript"/>
          <w:lang w:val="en-CA"/>
        </w:rPr>
        <w:t xml:space="preserve">(1) </w:t>
      </w:r>
      <w:r w:rsidRPr="00776BE8">
        <w:rPr>
          <w:rFonts w:ascii="Arial" w:hAnsi="Arial" w:cs="Arial"/>
          <w:bCs/>
          <w:sz w:val="20"/>
          <w:szCs w:val="20"/>
          <w:lang w:val="en-CA"/>
        </w:rPr>
        <w:t xml:space="preserve"> </w:t>
      </w:r>
    </w:p>
    <w:tbl>
      <w:tblPr>
        <w:tblW w:w="10042" w:type="dxa"/>
        <w:tblLayout w:type="fixed"/>
        <w:tblLook w:val="04A0" w:firstRow="1" w:lastRow="0" w:firstColumn="1" w:lastColumn="0" w:noHBand="0" w:noVBand="1"/>
      </w:tblPr>
      <w:tblGrid>
        <w:gridCol w:w="2425"/>
        <w:gridCol w:w="1114"/>
        <w:gridCol w:w="810"/>
        <w:gridCol w:w="990"/>
        <w:gridCol w:w="900"/>
        <w:gridCol w:w="1080"/>
        <w:gridCol w:w="810"/>
        <w:gridCol w:w="1062"/>
        <w:gridCol w:w="851"/>
      </w:tblGrid>
      <w:tr w:rsidR="00B737B0" w:rsidRPr="00CB2281" w14:paraId="50605712" w14:textId="77777777" w:rsidTr="00B737B0">
        <w:tc>
          <w:tcPr>
            <w:tcW w:w="2425" w:type="dxa"/>
            <w:tcBorders>
              <w:top w:val="single" w:sz="12" w:space="0" w:color="auto"/>
              <w:left w:val="single" w:sz="4" w:space="0" w:color="auto"/>
              <w:right w:val="single" w:sz="4" w:space="0" w:color="auto"/>
            </w:tcBorders>
            <w:vAlign w:val="bottom"/>
          </w:tcPr>
          <w:p w14:paraId="3B70499E" w14:textId="77777777" w:rsidR="00B737B0" w:rsidRPr="00CB2281" w:rsidRDefault="00B737B0" w:rsidP="00B737B0">
            <w:pPr>
              <w:rPr>
                <w:rFonts w:ascii="Arial" w:hAnsi="Arial" w:cs="Arial"/>
                <w:b/>
                <w:bCs/>
                <w:sz w:val="16"/>
                <w:szCs w:val="16"/>
                <w:lang w:val="en-CA"/>
              </w:rPr>
            </w:pPr>
          </w:p>
        </w:tc>
        <w:tc>
          <w:tcPr>
            <w:tcW w:w="3814" w:type="dxa"/>
            <w:gridSpan w:val="4"/>
            <w:tcBorders>
              <w:top w:val="single" w:sz="12" w:space="0" w:color="auto"/>
              <w:left w:val="single" w:sz="4" w:space="0" w:color="auto"/>
              <w:right w:val="single" w:sz="4" w:space="0" w:color="auto"/>
            </w:tcBorders>
            <w:vAlign w:val="bottom"/>
          </w:tcPr>
          <w:p w14:paraId="5DC4F828" w14:textId="43B7186B" w:rsidR="00B737B0" w:rsidRPr="00CB2281" w:rsidRDefault="00B737B0" w:rsidP="00B737B0">
            <w:pPr>
              <w:widowControl w:val="0"/>
              <w:spacing w:before="60"/>
              <w:jc w:val="center"/>
              <w:rPr>
                <w:rFonts w:ascii="Arial" w:hAnsi="Arial" w:cs="Arial"/>
                <w:b/>
                <w:bCs/>
                <w:sz w:val="16"/>
                <w:szCs w:val="16"/>
                <w:lang w:val="en-CA"/>
              </w:rPr>
            </w:pPr>
            <w:r w:rsidRPr="00CB2281">
              <w:rPr>
                <w:rFonts w:ascii="Arial" w:hAnsi="Arial" w:cs="Arial"/>
                <w:b/>
                <w:bCs/>
                <w:sz w:val="16"/>
                <w:szCs w:val="16"/>
                <w:lang w:val="en-CA"/>
              </w:rPr>
              <w:t>Three months ended</w:t>
            </w:r>
          </w:p>
        </w:tc>
        <w:tc>
          <w:tcPr>
            <w:tcW w:w="3803" w:type="dxa"/>
            <w:gridSpan w:val="4"/>
            <w:tcBorders>
              <w:top w:val="single" w:sz="12" w:space="0" w:color="auto"/>
              <w:left w:val="single" w:sz="4" w:space="0" w:color="auto"/>
              <w:right w:val="single" w:sz="4" w:space="0" w:color="auto"/>
            </w:tcBorders>
            <w:vAlign w:val="bottom"/>
          </w:tcPr>
          <w:p w14:paraId="6870F47D" w14:textId="77F4FC87" w:rsidR="00B737B0" w:rsidRPr="00CB2281" w:rsidRDefault="00B737B0" w:rsidP="00B737B0">
            <w:pPr>
              <w:widowControl w:val="0"/>
              <w:spacing w:before="60"/>
              <w:jc w:val="center"/>
              <w:rPr>
                <w:rFonts w:ascii="Arial" w:hAnsi="Arial" w:cs="Arial"/>
                <w:b/>
                <w:bCs/>
                <w:sz w:val="16"/>
                <w:szCs w:val="16"/>
                <w:lang w:val="en-CA"/>
              </w:rPr>
            </w:pPr>
            <w:r>
              <w:rPr>
                <w:rFonts w:ascii="Arial" w:hAnsi="Arial" w:cs="Arial"/>
                <w:b/>
                <w:bCs/>
                <w:sz w:val="16"/>
                <w:szCs w:val="16"/>
                <w:lang w:val="en-CA"/>
              </w:rPr>
              <w:t>Year ended</w:t>
            </w:r>
          </w:p>
        </w:tc>
      </w:tr>
      <w:tr w:rsidR="00B737B0" w:rsidRPr="00CB2281" w14:paraId="0BFAA0D0" w14:textId="77777777" w:rsidTr="00B737B0">
        <w:tc>
          <w:tcPr>
            <w:tcW w:w="2425" w:type="dxa"/>
            <w:tcBorders>
              <w:left w:val="single" w:sz="4" w:space="0" w:color="auto"/>
              <w:right w:val="single" w:sz="4" w:space="0" w:color="auto"/>
            </w:tcBorders>
            <w:vAlign w:val="bottom"/>
          </w:tcPr>
          <w:p w14:paraId="1AF92A74" w14:textId="77777777" w:rsidR="00B737B0" w:rsidRPr="00CB2281" w:rsidRDefault="00B737B0" w:rsidP="00B737B0">
            <w:pPr>
              <w:rPr>
                <w:rFonts w:ascii="Arial" w:hAnsi="Arial" w:cs="Arial"/>
                <w:bCs/>
                <w:sz w:val="16"/>
                <w:szCs w:val="16"/>
                <w:lang w:val="en-CA"/>
              </w:rPr>
            </w:pPr>
          </w:p>
        </w:tc>
        <w:tc>
          <w:tcPr>
            <w:tcW w:w="3814" w:type="dxa"/>
            <w:gridSpan w:val="4"/>
            <w:tcBorders>
              <w:left w:val="single" w:sz="4" w:space="0" w:color="auto"/>
              <w:bottom w:val="single" w:sz="4" w:space="0" w:color="auto"/>
              <w:right w:val="single" w:sz="4" w:space="0" w:color="auto"/>
            </w:tcBorders>
            <w:vAlign w:val="bottom"/>
          </w:tcPr>
          <w:p w14:paraId="63DE609B" w14:textId="2BACB000" w:rsidR="00B737B0" w:rsidRPr="00CB2281" w:rsidRDefault="00B737B0" w:rsidP="00B737B0">
            <w:pPr>
              <w:widowControl w:val="0"/>
              <w:jc w:val="center"/>
              <w:rPr>
                <w:rFonts w:ascii="Arial" w:hAnsi="Arial" w:cs="Arial"/>
                <w:b/>
                <w:bCs/>
                <w:sz w:val="16"/>
                <w:szCs w:val="16"/>
                <w:lang w:val="en-CA"/>
              </w:rPr>
            </w:pPr>
            <w:r>
              <w:rPr>
                <w:rFonts w:ascii="Arial" w:hAnsi="Arial" w:cs="Arial"/>
                <w:b/>
                <w:bCs/>
                <w:sz w:val="16"/>
                <w:szCs w:val="16"/>
                <w:lang w:val="en-CA"/>
              </w:rPr>
              <w:t>December</w:t>
            </w:r>
            <w:r w:rsidRPr="00CB2281">
              <w:rPr>
                <w:rFonts w:ascii="Arial" w:hAnsi="Arial" w:cs="Arial"/>
                <w:b/>
                <w:bCs/>
                <w:sz w:val="16"/>
                <w:szCs w:val="16"/>
                <w:lang w:val="en-CA"/>
              </w:rPr>
              <w:t xml:space="preserve"> 3</w:t>
            </w:r>
            <w:r>
              <w:rPr>
                <w:rFonts w:ascii="Arial" w:hAnsi="Arial" w:cs="Arial"/>
                <w:b/>
                <w:bCs/>
                <w:sz w:val="16"/>
                <w:szCs w:val="16"/>
                <w:lang w:val="en-CA"/>
              </w:rPr>
              <w:t>1</w:t>
            </w:r>
          </w:p>
        </w:tc>
        <w:tc>
          <w:tcPr>
            <w:tcW w:w="3803" w:type="dxa"/>
            <w:gridSpan w:val="4"/>
            <w:tcBorders>
              <w:left w:val="single" w:sz="4" w:space="0" w:color="auto"/>
              <w:bottom w:val="single" w:sz="4" w:space="0" w:color="auto"/>
              <w:right w:val="single" w:sz="4" w:space="0" w:color="auto"/>
            </w:tcBorders>
            <w:vAlign w:val="bottom"/>
          </w:tcPr>
          <w:p w14:paraId="652D0A8D" w14:textId="754AF953" w:rsidR="00B737B0" w:rsidRPr="00CB2281" w:rsidRDefault="00B737B0" w:rsidP="00B737B0">
            <w:pPr>
              <w:widowControl w:val="0"/>
              <w:jc w:val="center"/>
              <w:rPr>
                <w:rFonts w:ascii="Arial" w:hAnsi="Arial" w:cs="Arial"/>
                <w:b/>
                <w:bCs/>
                <w:sz w:val="16"/>
                <w:szCs w:val="16"/>
                <w:lang w:val="en-CA"/>
              </w:rPr>
            </w:pPr>
            <w:r>
              <w:rPr>
                <w:rFonts w:ascii="Arial" w:hAnsi="Arial" w:cs="Arial"/>
                <w:b/>
                <w:bCs/>
                <w:sz w:val="16"/>
                <w:szCs w:val="16"/>
                <w:lang w:val="en-CA"/>
              </w:rPr>
              <w:t>December 31</w:t>
            </w:r>
          </w:p>
        </w:tc>
      </w:tr>
      <w:tr w:rsidR="00315F52" w:rsidRPr="00CB2281" w14:paraId="5A46E688" w14:textId="77777777" w:rsidTr="001B1418">
        <w:tc>
          <w:tcPr>
            <w:tcW w:w="2425" w:type="dxa"/>
            <w:tcBorders>
              <w:left w:val="single" w:sz="4" w:space="0" w:color="auto"/>
              <w:right w:val="single" w:sz="4" w:space="0" w:color="auto"/>
            </w:tcBorders>
            <w:vAlign w:val="bottom"/>
          </w:tcPr>
          <w:p w14:paraId="28F7FA05" w14:textId="77777777" w:rsidR="00315F52" w:rsidRPr="00CB2281" w:rsidRDefault="00315F52" w:rsidP="00315F52">
            <w:pPr>
              <w:rPr>
                <w:rFonts w:ascii="Arial" w:hAnsi="Arial" w:cs="Arial"/>
                <w:bCs/>
                <w:sz w:val="16"/>
                <w:szCs w:val="16"/>
                <w:lang w:val="en-CA"/>
              </w:rPr>
            </w:pPr>
          </w:p>
        </w:tc>
        <w:tc>
          <w:tcPr>
            <w:tcW w:w="1924" w:type="dxa"/>
            <w:gridSpan w:val="2"/>
            <w:tcBorders>
              <w:top w:val="single" w:sz="4" w:space="0" w:color="auto"/>
              <w:left w:val="single" w:sz="4" w:space="0" w:color="auto"/>
              <w:right w:val="single" w:sz="4" w:space="0" w:color="auto"/>
            </w:tcBorders>
          </w:tcPr>
          <w:p w14:paraId="4C3F5CF8" w14:textId="01D61435" w:rsidR="00315F52" w:rsidRPr="00CB2281" w:rsidRDefault="00315F52" w:rsidP="001B1418">
            <w:pPr>
              <w:widowControl w:val="0"/>
              <w:jc w:val="center"/>
              <w:rPr>
                <w:rFonts w:ascii="Arial" w:hAnsi="Arial" w:cs="Arial"/>
                <w:b/>
                <w:bCs/>
                <w:sz w:val="16"/>
                <w:szCs w:val="16"/>
                <w:lang w:val="en-CA"/>
              </w:rPr>
            </w:pPr>
            <w:r w:rsidRPr="00CB2281">
              <w:rPr>
                <w:rFonts w:ascii="Arial" w:hAnsi="Arial" w:cs="Arial"/>
                <w:b/>
                <w:color w:val="000000"/>
                <w:sz w:val="16"/>
                <w:szCs w:val="16"/>
              </w:rPr>
              <w:t>2024</w:t>
            </w:r>
          </w:p>
        </w:tc>
        <w:tc>
          <w:tcPr>
            <w:tcW w:w="1890" w:type="dxa"/>
            <w:gridSpan w:val="2"/>
            <w:tcBorders>
              <w:top w:val="single" w:sz="4" w:space="0" w:color="auto"/>
              <w:left w:val="single" w:sz="4" w:space="0" w:color="auto"/>
              <w:right w:val="single" w:sz="4" w:space="0" w:color="auto"/>
            </w:tcBorders>
          </w:tcPr>
          <w:p w14:paraId="35DE770D" w14:textId="6C641966" w:rsidR="00315F52" w:rsidRPr="00CB2281" w:rsidRDefault="00315F52" w:rsidP="001B1418">
            <w:pPr>
              <w:widowControl w:val="0"/>
              <w:jc w:val="center"/>
              <w:rPr>
                <w:rFonts w:ascii="Arial" w:hAnsi="Arial" w:cs="Arial"/>
                <w:b/>
                <w:bCs/>
                <w:sz w:val="16"/>
                <w:szCs w:val="16"/>
                <w:lang w:val="en-CA"/>
              </w:rPr>
            </w:pPr>
            <w:r w:rsidRPr="00CB2281">
              <w:rPr>
                <w:rFonts w:ascii="Arial" w:hAnsi="Arial" w:cs="Arial"/>
                <w:b/>
                <w:color w:val="000000"/>
                <w:sz w:val="16"/>
                <w:szCs w:val="16"/>
              </w:rPr>
              <w:t>2023</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3F5A29FF" w14:textId="77777777" w:rsidR="00315F52" w:rsidRDefault="00315F52" w:rsidP="00315F52">
            <w:pPr>
              <w:jc w:val="center"/>
              <w:rPr>
                <w:rFonts w:ascii="Arial" w:hAnsi="Arial" w:cs="Arial"/>
                <w:b/>
                <w:color w:val="000000"/>
                <w:sz w:val="16"/>
                <w:szCs w:val="16"/>
              </w:rPr>
            </w:pPr>
            <w:r w:rsidRPr="00CB2281">
              <w:rPr>
                <w:rFonts w:ascii="Arial" w:hAnsi="Arial" w:cs="Arial"/>
                <w:b/>
                <w:color w:val="000000"/>
                <w:sz w:val="16"/>
                <w:szCs w:val="16"/>
              </w:rPr>
              <w:t>2024</w:t>
            </w:r>
          </w:p>
          <w:p w14:paraId="328A0936" w14:textId="47B35060" w:rsidR="001B1418" w:rsidRPr="00CB2281" w:rsidRDefault="001B1418" w:rsidP="00315F52">
            <w:pPr>
              <w:jc w:val="center"/>
              <w:rPr>
                <w:rFonts w:ascii="Arial" w:hAnsi="Arial" w:cs="Arial"/>
                <w:b/>
                <w:bCs/>
                <w:sz w:val="16"/>
                <w:szCs w:val="16"/>
                <w:lang w:val="en-CA"/>
              </w:rPr>
            </w:pPr>
            <w:r>
              <w:rPr>
                <w:rFonts w:ascii="Arial" w:hAnsi="Arial" w:cs="Arial"/>
                <w:b/>
                <w:color w:val="000000"/>
                <w:sz w:val="16"/>
                <w:szCs w:val="16"/>
              </w:rPr>
              <w:t>(unaudited)</w:t>
            </w:r>
          </w:p>
        </w:tc>
        <w:tc>
          <w:tcPr>
            <w:tcW w:w="1913" w:type="dxa"/>
            <w:gridSpan w:val="2"/>
            <w:tcBorders>
              <w:top w:val="single" w:sz="4" w:space="0" w:color="auto"/>
              <w:left w:val="single" w:sz="4" w:space="0" w:color="auto"/>
              <w:bottom w:val="single" w:sz="4" w:space="0" w:color="auto"/>
              <w:right w:val="single" w:sz="4" w:space="0" w:color="auto"/>
            </w:tcBorders>
          </w:tcPr>
          <w:p w14:paraId="74902E23" w14:textId="772D59EE" w:rsidR="00315F52" w:rsidRPr="00CB2281" w:rsidRDefault="00315F52" w:rsidP="001B1418">
            <w:pPr>
              <w:jc w:val="center"/>
              <w:rPr>
                <w:rFonts w:ascii="Arial" w:hAnsi="Arial" w:cs="Arial"/>
                <w:b/>
                <w:bCs/>
                <w:sz w:val="16"/>
                <w:szCs w:val="16"/>
                <w:lang w:val="en-CA"/>
              </w:rPr>
            </w:pPr>
            <w:r w:rsidRPr="00CB2281">
              <w:rPr>
                <w:rFonts w:ascii="Arial" w:hAnsi="Arial" w:cs="Arial"/>
                <w:b/>
                <w:color w:val="000000"/>
                <w:sz w:val="16"/>
                <w:szCs w:val="16"/>
              </w:rPr>
              <w:t>2023</w:t>
            </w:r>
          </w:p>
        </w:tc>
      </w:tr>
      <w:tr w:rsidR="00315F52" w:rsidRPr="00CB2281" w14:paraId="7A3EF51B" w14:textId="77777777" w:rsidTr="00B737B0">
        <w:tblPrEx>
          <w:tblLook w:val="01E0" w:firstRow="1" w:lastRow="1" w:firstColumn="1" w:lastColumn="1" w:noHBand="0" w:noVBand="0"/>
        </w:tblPrEx>
        <w:tc>
          <w:tcPr>
            <w:tcW w:w="2425" w:type="dxa"/>
            <w:tcBorders>
              <w:top w:val="single" w:sz="4" w:space="0" w:color="auto"/>
              <w:left w:val="single" w:sz="4" w:space="0" w:color="auto"/>
              <w:right w:val="single" w:sz="4" w:space="0" w:color="auto"/>
            </w:tcBorders>
            <w:vAlign w:val="bottom"/>
          </w:tcPr>
          <w:p w14:paraId="6D06C5F2" w14:textId="77777777" w:rsidR="00315F52" w:rsidRPr="00CB2281" w:rsidRDefault="00315F52" w:rsidP="00AB2D66">
            <w:pPr>
              <w:rPr>
                <w:rFonts w:ascii="Arial" w:hAnsi="Arial" w:cs="Arial"/>
                <w:sz w:val="16"/>
                <w:szCs w:val="16"/>
                <w:lang w:val="en-CA"/>
              </w:rPr>
            </w:pPr>
          </w:p>
        </w:tc>
        <w:tc>
          <w:tcPr>
            <w:tcW w:w="1114" w:type="dxa"/>
            <w:tcBorders>
              <w:top w:val="single" w:sz="4" w:space="0" w:color="auto"/>
              <w:left w:val="single" w:sz="4" w:space="0" w:color="auto"/>
            </w:tcBorders>
            <w:shd w:val="clear" w:color="auto" w:fill="auto"/>
            <w:vAlign w:val="bottom"/>
          </w:tcPr>
          <w:p w14:paraId="37E4CD40" w14:textId="77777777" w:rsidR="00315F52" w:rsidRPr="00CB2281" w:rsidRDefault="00315F52" w:rsidP="00AB2D66">
            <w:pPr>
              <w:ind w:left="-108"/>
              <w:rPr>
                <w:rFonts w:ascii="Arial" w:hAnsi="Arial" w:cs="Arial"/>
                <w:color w:val="000000"/>
                <w:sz w:val="16"/>
                <w:szCs w:val="16"/>
              </w:rPr>
            </w:pPr>
          </w:p>
        </w:tc>
        <w:tc>
          <w:tcPr>
            <w:tcW w:w="810" w:type="dxa"/>
            <w:tcBorders>
              <w:top w:val="single" w:sz="4" w:space="0" w:color="auto"/>
              <w:right w:val="single" w:sz="4" w:space="0" w:color="auto"/>
            </w:tcBorders>
            <w:vAlign w:val="bottom"/>
          </w:tcPr>
          <w:p w14:paraId="5FA2DF4C" w14:textId="77777777" w:rsidR="00315F52" w:rsidRPr="00CB2281" w:rsidRDefault="00315F52" w:rsidP="00AB2D66">
            <w:pPr>
              <w:widowControl w:val="0"/>
              <w:ind w:right="-86"/>
              <w:jc w:val="center"/>
              <w:rPr>
                <w:rFonts w:ascii="Arial" w:hAnsi="Arial" w:cs="Arial"/>
                <w:color w:val="000000"/>
                <w:sz w:val="16"/>
                <w:szCs w:val="16"/>
              </w:rPr>
            </w:pPr>
            <w:r w:rsidRPr="00CB2281">
              <w:rPr>
                <w:rFonts w:ascii="Arial" w:hAnsi="Arial" w:cs="Arial"/>
                <w:color w:val="000000"/>
                <w:sz w:val="16"/>
                <w:szCs w:val="16"/>
              </w:rPr>
              <w:t>Per BOE</w:t>
            </w:r>
          </w:p>
        </w:tc>
        <w:tc>
          <w:tcPr>
            <w:tcW w:w="990" w:type="dxa"/>
            <w:tcBorders>
              <w:top w:val="single" w:sz="4" w:space="0" w:color="auto"/>
              <w:left w:val="single" w:sz="4" w:space="0" w:color="auto"/>
            </w:tcBorders>
            <w:vAlign w:val="bottom"/>
          </w:tcPr>
          <w:p w14:paraId="065D58A7" w14:textId="77777777" w:rsidR="00315F52" w:rsidRPr="00CB2281" w:rsidRDefault="00315F52" w:rsidP="00AB2D66">
            <w:pPr>
              <w:ind w:left="-108"/>
              <w:jc w:val="center"/>
              <w:rPr>
                <w:rFonts w:ascii="Arial" w:hAnsi="Arial" w:cs="Arial"/>
                <w:color w:val="000000"/>
                <w:sz w:val="16"/>
                <w:szCs w:val="16"/>
              </w:rPr>
            </w:pPr>
          </w:p>
        </w:tc>
        <w:tc>
          <w:tcPr>
            <w:tcW w:w="900" w:type="dxa"/>
            <w:tcBorders>
              <w:top w:val="single" w:sz="4" w:space="0" w:color="auto"/>
              <w:right w:val="single" w:sz="4" w:space="0" w:color="auto"/>
            </w:tcBorders>
            <w:vAlign w:val="bottom"/>
          </w:tcPr>
          <w:p w14:paraId="461EC3AD" w14:textId="77777777" w:rsidR="00315F52" w:rsidRPr="00CB2281" w:rsidRDefault="00315F52" w:rsidP="00AB2D66">
            <w:pPr>
              <w:widowControl w:val="0"/>
              <w:ind w:right="-86"/>
              <w:jc w:val="center"/>
              <w:rPr>
                <w:rFonts w:ascii="Arial" w:hAnsi="Arial" w:cs="Arial"/>
                <w:color w:val="000000"/>
                <w:sz w:val="16"/>
                <w:szCs w:val="16"/>
              </w:rPr>
            </w:pPr>
            <w:r w:rsidRPr="00CB2281">
              <w:rPr>
                <w:rFonts w:ascii="Arial" w:hAnsi="Arial" w:cs="Arial"/>
                <w:color w:val="000000"/>
                <w:sz w:val="16"/>
                <w:szCs w:val="16"/>
              </w:rPr>
              <w:t>Per BOE</w:t>
            </w:r>
          </w:p>
        </w:tc>
        <w:tc>
          <w:tcPr>
            <w:tcW w:w="1080" w:type="dxa"/>
            <w:tcBorders>
              <w:top w:val="single" w:sz="4" w:space="0" w:color="auto"/>
              <w:left w:val="single" w:sz="4" w:space="0" w:color="auto"/>
              <w:bottom w:val="single" w:sz="4" w:space="0" w:color="auto"/>
            </w:tcBorders>
            <w:vAlign w:val="bottom"/>
          </w:tcPr>
          <w:p w14:paraId="2545A8DA" w14:textId="77777777" w:rsidR="00315F52" w:rsidRPr="00CB2281" w:rsidRDefault="00315F52" w:rsidP="00AB2D66">
            <w:pPr>
              <w:ind w:left="-108"/>
              <w:jc w:val="center"/>
              <w:rPr>
                <w:rFonts w:ascii="Arial" w:hAnsi="Arial" w:cs="Arial"/>
                <w:color w:val="000000"/>
                <w:sz w:val="16"/>
                <w:szCs w:val="16"/>
              </w:rPr>
            </w:pPr>
          </w:p>
        </w:tc>
        <w:tc>
          <w:tcPr>
            <w:tcW w:w="810" w:type="dxa"/>
            <w:tcBorders>
              <w:top w:val="single" w:sz="4" w:space="0" w:color="auto"/>
              <w:bottom w:val="single" w:sz="4" w:space="0" w:color="auto"/>
              <w:right w:val="single" w:sz="4" w:space="0" w:color="auto"/>
            </w:tcBorders>
            <w:vAlign w:val="bottom"/>
          </w:tcPr>
          <w:p w14:paraId="7C6B8756" w14:textId="77777777" w:rsidR="00315F52" w:rsidRPr="00CB2281" w:rsidRDefault="00315F52" w:rsidP="00AB2D66">
            <w:pPr>
              <w:widowControl w:val="0"/>
              <w:ind w:right="-86"/>
              <w:jc w:val="center"/>
              <w:rPr>
                <w:rFonts w:ascii="Arial" w:hAnsi="Arial" w:cs="Arial"/>
                <w:color w:val="000000"/>
                <w:sz w:val="16"/>
                <w:szCs w:val="16"/>
              </w:rPr>
            </w:pPr>
            <w:r w:rsidRPr="00CB2281">
              <w:rPr>
                <w:rFonts w:ascii="Arial" w:hAnsi="Arial" w:cs="Arial"/>
                <w:color w:val="000000"/>
                <w:sz w:val="16"/>
                <w:szCs w:val="16"/>
              </w:rPr>
              <w:t>Per BOE</w:t>
            </w:r>
          </w:p>
        </w:tc>
        <w:tc>
          <w:tcPr>
            <w:tcW w:w="1062" w:type="dxa"/>
            <w:tcBorders>
              <w:left w:val="single" w:sz="4" w:space="0" w:color="auto"/>
              <w:bottom w:val="single" w:sz="4" w:space="0" w:color="auto"/>
            </w:tcBorders>
            <w:vAlign w:val="bottom"/>
          </w:tcPr>
          <w:p w14:paraId="4433EDC5" w14:textId="77777777" w:rsidR="00315F52" w:rsidRPr="00CB2281" w:rsidRDefault="00315F52" w:rsidP="00AB2D66">
            <w:pPr>
              <w:ind w:left="-108"/>
              <w:jc w:val="center"/>
              <w:rPr>
                <w:rFonts w:ascii="Arial" w:hAnsi="Arial" w:cs="Arial"/>
                <w:color w:val="000000"/>
                <w:sz w:val="16"/>
                <w:szCs w:val="16"/>
              </w:rPr>
            </w:pPr>
          </w:p>
        </w:tc>
        <w:tc>
          <w:tcPr>
            <w:tcW w:w="851" w:type="dxa"/>
            <w:tcBorders>
              <w:bottom w:val="single" w:sz="4" w:space="0" w:color="auto"/>
              <w:right w:val="single" w:sz="4" w:space="0" w:color="auto"/>
            </w:tcBorders>
            <w:vAlign w:val="bottom"/>
          </w:tcPr>
          <w:p w14:paraId="17357E67" w14:textId="77777777" w:rsidR="00315F52" w:rsidRPr="00CB2281" w:rsidRDefault="00315F52" w:rsidP="00AB2D66">
            <w:pPr>
              <w:widowControl w:val="0"/>
              <w:ind w:right="-86"/>
              <w:jc w:val="center"/>
              <w:rPr>
                <w:rFonts w:ascii="Arial" w:hAnsi="Arial" w:cs="Arial"/>
                <w:color w:val="000000"/>
                <w:sz w:val="16"/>
                <w:szCs w:val="16"/>
              </w:rPr>
            </w:pPr>
            <w:r w:rsidRPr="00CB2281">
              <w:rPr>
                <w:rFonts w:ascii="Arial" w:hAnsi="Arial" w:cs="Arial"/>
                <w:color w:val="000000"/>
                <w:sz w:val="16"/>
                <w:szCs w:val="16"/>
              </w:rPr>
              <w:t>Per BOE</w:t>
            </w:r>
          </w:p>
        </w:tc>
      </w:tr>
      <w:tr w:rsidR="00B737B0" w:rsidRPr="00CB2281" w14:paraId="4DCD503F" w14:textId="77777777" w:rsidTr="00B737B0">
        <w:tblPrEx>
          <w:tblLook w:val="01E0" w:firstRow="1" w:lastRow="1" w:firstColumn="1" w:lastColumn="1" w:noHBand="0" w:noVBand="0"/>
        </w:tblPrEx>
        <w:trPr>
          <w:trHeight w:val="50"/>
        </w:trPr>
        <w:tc>
          <w:tcPr>
            <w:tcW w:w="2425" w:type="dxa"/>
            <w:tcBorders>
              <w:top w:val="single" w:sz="4" w:space="0" w:color="auto"/>
              <w:left w:val="single" w:sz="4" w:space="0" w:color="auto"/>
              <w:right w:val="single" w:sz="4" w:space="0" w:color="auto"/>
            </w:tcBorders>
            <w:vAlign w:val="bottom"/>
          </w:tcPr>
          <w:p w14:paraId="5C4DF5C8" w14:textId="77777777" w:rsidR="00B737B0" w:rsidRPr="00CB2281" w:rsidRDefault="00B737B0" w:rsidP="00B737B0">
            <w:pPr>
              <w:rPr>
                <w:rFonts w:ascii="Arial" w:hAnsi="Arial" w:cs="Arial"/>
                <w:sz w:val="16"/>
                <w:szCs w:val="16"/>
                <w:lang w:val="en-CA"/>
              </w:rPr>
            </w:pPr>
            <w:r w:rsidRPr="00CB2281">
              <w:rPr>
                <w:rFonts w:ascii="Arial" w:hAnsi="Arial" w:cs="Arial"/>
                <w:sz w:val="16"/>
                <w:szCs w:val="16"/>
                <w:lang w:val="en-CA"/>
              </w:rPr>
              <w:t>Oil and natural gas sales revenue ($)</w:t>
            </w:r>
          </w:p>
        </w:tc>
        <w:tc>
          <w:tcPr>
            <w:tcW w:w="1114" w:type="dxa"/>
            <w:tcBorders>
              <w:top w:val="single" w:sz="4" w:space="0" w:color="auto"/>
              <w:left w:val="single" w:sz="4" w:space="0" w:color="auto"/>
            </w:tcBorders>
            <w:shd w:val="clear" w:color="auto" w:fill="auto"/>
            <w:vAlign w:val="bottom"/>
          </w:tcPr>
          <w:p w14:paraId="35DAE5EE" w14:textId="779742C1"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19,580,949</w:t>
            </w:r>
          </w:p>
        </w:tc>
        <w:tc>
          <w:tcPr>
            <w:tcW w:w="810" w:type="dxa"/>
            <w:tcBorders>
              <w:top w:val="single" w:sz="4" w:space="0" w:color="000000"/>
            </w:tcBorders>
            <w:vAlign w:val="bottom"/>
          </w:tcPr>
          <w:p w14:paraId="29B3A0FF" w14:textId="29F6611B"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63.82</w:t>
            </w:r>
          </w:p>
        </w:tc>
        <w:tc>
          <w:tcPr>
            <w:tcW w:w="990" w:type="dxa"/>
            <w:tcBorders>
              <w:top w:val="single" w:sz="4" w:space="0" w:color="auto"/>
              <w:left w:val="single" w:sz="4" w:space="0" w:color="auto"/>
            </w:tcBorders>
            <w:vAlign w:val="bottom"/>
          </w:tcPr>
          <w:p w14:paraId="6B341FB1" w14:textId="4704727F"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sz w:val="16"/>
                <w:szCs w:val="16"/>
              </w:rPr>
              <w:t xml:space="preserve"> 5,530,896 </w:t>
            </w:r>
          </w:p>
        </w:tc>
        <w:tc>
          <w:tcPr>
            <w:tcW w:w="900" w:type="dxa"/>
            <w:tcBorders>
              <w:top w:val="single" w:sz="4" w:space="0" w:color="auto"/>
            </w:tcBorders>
            <w:vAlign w:val="bottom"/>
          </w:tcPr>
          <w:p w14:paraId="49B0A6F6" w14:textId="4C416B8F" w:rsidR="00B737B0" w:rsidRPr="00CB2281" w:rsidRDefault="00B737B0" w:rsidP="00B737B0">
            <w:pPr>
              <w:widowControl w:val="0"/>
              <w:tabs>
                <w:tab w:val="decimal" w:pos="432"/>
              </w:tabs>
              <w:spacing w:line="240" w:lineRule="atLeast"/>
              <w:ind w:right="-86"/>
              <w:jc w:val="center"/>
              <w:rPr>
                <w:rFonts w:ascii="Arial" w:hAnsi="Arial" w:cs="Arial"/>
                <w:color w:val="000000"/>
                <w:sz w:val="16"/>
                <w:szCs w:val="16"/>
              </w:rPr>
            </w:pPr>
            <w:r w:rsidRPr="007F1B62">
              <w:rPr>
                <w:rFonts w:ascii="Arial" w:hAnsi="Arial" w:cs="Arial"/>
                <w:sz w:val="16"/>
                <w:szCs w:val="16"/>
              </w:rPr>
              <w:t>47.17</w:t>
            </w:r>
          </w:p>
        </w:tc>
        <w:tc>
          <w:tcPr>
            <w:tcW w:w="1080" w:type="dxa"/>
            <w:tcBorders>
              <w:top w:val="single" w:sz="4" w:space="0" w:color="auto"/>
              <w:left w:val="single" w:sz="4" w:space="0" w:color="auto"/>
            </w:tcBorders>
            <w:vAlign w:val="bottom"/>
          </w:tcPr>
          <w:p w14:paraId="1902074F" w14:textId="41F6E5CE"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36,827,158</w:t>
            </w:r>
          </w:p>
        </w:tc>
        <w:tc>
          <w:tcPr>
            <w:tcW w:w="810" w:type="dxa"/>
            <w:tcBorders>
              <w:top w:val="single" w:sz="4" w:space="0" w:color="auto"/>
              <w:right w:val="single" w:sz="4" w:space="0" w:color="auto"/>
            </w:tcBorders>
            <w:vAlign w:val="bottom"/>
          </w:tcPr>
          <w:p w14:paraId="7DDF104D" w14:textId="6E685C76"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54.40</w:t>
            </w:r>
          </w:p>
        </w:tc>
        <w:tc>
          <w:tcPr>
            <w:tcW w:w="1062" w:type="dxa"/>
            <w:tcBorders>
              <w:top w:val="single" w:sz="4" w:space="0" w:color="auto"/>
              <w:left w:val="single" w:sz="4" w:space="0" w:color="auto"/>
            </w:tcBorders>
            <w:vAlign w:val="bottom"/>
          </w:tcPr>
          <w:p w14:paraId="7181596C" w14:textId="51C04B41"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color w:val="000000"/>
                <w:sz w:val="16"/>
                <w:szCs w:val="16"/>
              </w:rPr>
              <w:t>26,766,228</w:t>
            </w:r>
          </w:p>
        </w:tc>
        <w:tc>
          <w:tcPr>
            <w:tcW w:w="851" w:type="dxa"/>
            <w:tcBorders>
              <w:top w:val="single" w:sz="4" w:space="0" w:color="auto"/>
              <w:right w:val="single" w:sz="4" w:space="0" w:color="auto"/>
            </w:tcBorders>
            <w:vAlign w:val="bottom"/>
          </w:tcPr>
          <w:p w14:paraId="0A508364" w14:textId="67B281D9" w:rsidR="00B737B0" w:rsidRPr="00CB2281" w:rsidRDefault="00B737B0" w:rsidP="00B737B0">
            <w:pPr>
              <w:widowControl w:val="0"/>
              <w:tabs>
                <w:tab w:val="decimal" w:pos="432"/>
              </w:tabs>
              <w:spacing w:line="240" w:lineRule="atLeast"/>
              <w:ind w:right="-86"/>
              <w:jc w:val="center"/>
              <w:rPr>
                <w:rFonts w:ascii="Arial" w:eastAsia="Arial" w:hAnsi="Arial" w:cs="Arial"/>
                <w:color w:val="000000"/>
                <w:sz w:val="16"/>
                <w:szCs w:val="16"/>
              </w:rPr>
            </w:pPr>
            <w:r w:rsidRPr="007F1B62">
              <w:rPr>
                <w:rFonts w:ascii="Arial" w:hAnsi="Arial" w:cs="Arial"/>
                <w:sz w:val="16"/>
                <w:szCs w:val="16"/>
              </w:rPr>
              <w:t>50.97</w:t>
            </w:r>
          </w:p>
        </w:tc>
      </w:tr>
      <w:tr w:rsidR="00B737B0" w:rsidRPr="00CB2281" w14:paraId="37A38DF9" w14:textId="77777777" w:rsidTr="00952CB6">
        <w:tblPrEx>
          <w:tblLook w:val="01E0" w:firstRow="1" w:lastRow="1" w:firstColumn="1" w:lastColumn="1" w:noHBand="0" w:noVBand="0"/>
        </w:tblPrEx>
        <w:tc>
          <w:tcPr>
            <w:tcW w:w="2425" w:type="dxa"/>
            <w:tcBorders>
              <w:left w:val="single" w:sz="4" w:space="0" w:color="auto"/>
              <w:right w:val="single" w:sz="4" w:space="0" w:color="auto"/>
            </w:tcBorders>
            <w:vAlign w:val="bottom"/>
          </w:tcPr>
          <w:p w14:paraId="588C4E36" w14:textId="77777777" w:rsidR="00B737B0" w:rsidRPr="00CB2281" w:rsidRDefault="00B737B0" w:rsidP="00B737B0">
            <w:pPr>
              <w:rPr>
                <w:rFonts w:ascii="Arial" w:hAnsi="Arial" w:cs="Arial"/>
                <w:sz w:val="16"/>
                <w:szCs w:val="16"/>
                <w:lang w:val="en-CA"/>
              </w:rPr>
            </w:pPr>
            <w:r w:rsidRPr="00CB2281">
              <w:rPr>
                <w:rFonts w:ascii="Arial" w:hAnsi="Arial" w:cs="Arial"/>
                <w:sz w:val="16"/>
                <w:szCs w:val="16"/>
                <w:lang w:val="en-CA"/>
              </w:rPr>
              <w:t>Export tax ($)</w:t>
            </w:r>
          </w:p>
        </w:tc>
        <w:tc>
          <w:tcPr>
            <w:tcW w:w="1114" w:type="dxa"/>
            <w:tcBorders>
              <w:left w:val="single" w:sz="4" w:space="0" w:color="auto"/>
            </w:tcBorders>
            <w:shd w:val="clear" w:color="auto" w:fill="auto"/>
            <w:vAlign w:val="center"/>
          </w:tcPr>
          <w:p w14:paraId="19A158D8" w14:textId="00E8E57F"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(112,047)</w:t>
            </w:r>
          </w:p>
        </w:tc>
        <w:tc>
          <w:tcPr>
            <w:tcW w:w="810" w:type="dxa"/>
            <w:vAlign w:val="bottom"/>
          </w:tcPr>
          <w:p w14:paraId="5DDA072C" w14:textId="6BF804F9"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(0.37)</w:t>
            </w:r>
          </w:p>
        </w:tc>
        <w:tc>
          <w:tcPr>
            <w:tcW w:w="990" w:type="dxa"/>
            <w:tcBorders>
              <w:left w:val="single" w:sz="4" w:space="0" w:color="auto"/>
            </w:tcBorders>
            <w:vAlign w:val="bottom"/>
          </w:tcPr>
          <w:p w14:paraId="1051FF60" w14:textId="0C48B349"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sz w:val="16"/>
                <w:szCs w:val="16"/>
              </w:rPr>
              <w:t xml:space="preserve"> (125,304)</w:t>
            </w:r>
          </w:p>
        </w:tc>
        <w:tc>
          <w:tcPr>
            <w:tcW w:w="900" w:type="dxa"/>
            <w:vAlign w:val="bottom"/>
          </w:tcPr>
          <w:p w14:paraId="34BEB7EE" w14:textId="5217573E" w:rsidR="00B737B0" w:rsidRPr="00CB2281" w:rsidRDefault="00B737B0" w:rsidP="00B737B0">
            <w:pPr>
              <w:widowControl w:val="0"/>
              <w:tabs>
                <w:tab w:val="decimal" w:pos="432"/>
              </w:tabs>
              <w:spacing w:line="240" w:lineRule="atLeast"/>
              <w:ind w:right="-86"/>
              <w:jc w:val="center"/>
              <w:rPr>
                <w:rFonts w:ascii="Arial" w:hAnsi="Arial" w:cs="Arial"/>
                <w:color w:val="000000"/>
                <w:sz w:val="16"/>
                <w:szCs w:val="16"/>
              </w:rPr>
            </w:pPr>
            <w:r w:rsidRPr="007F1B62">
              <w:rPr>
                <w:rFonts w:ascii="Arial" w:hAnsi="Arial" w:cs="Arial"/>
                <w:sz w:val="16"/>
                <w:szCs w:val="16"/>
              </w:rPr>
              <w:t>(1.07)</w:t>
            </w:r>
          </w:p>
        </w:tc>
        <w:tc>
          <w:tcPr>
            <w:tcW w:w="1080" w:type="dxa"/>
            <w:tcBorders>
              <w:left w:val="single" w:sz="4" w:space="0" w:color="auto"/>
            </w:tcBorders>
            <w:vAlign w:val="center"/>
          </w:tcPr>
          <w:p w14:paraId="13A2E5D4" w14:textId="37DAF1B1"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(421,356)</w:t>
            </w:r>
          </w:p>
        </w:tc>
        <w:tc>
          <w:tcPr>
            <w:tcW w:w="810" w:type="dxa"/>
            <w:tcBorders>
              <w:right w:val="single" w:sz="4" w:space="0" w:color="auto"/>
            </w:tcBorders>
            <w:vAlign w:val="bottom"/>
          </w:tcPr>
          <w:p w14:paraId="6B57AA9D" w14:textId="34B00E08"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(0.62)</w:t>
            </w:r>
          </w:p>
        </w:tc>
        <w:tc>
          <w:tcPr>
            <w:tcW w:w="1062" w:type="dxa"/>
            <w:tcBorders>
              <w:left w:val="single" w:sz="4" w:space="0" w:color="auto"/>
            </w:tcBorders>
            <w:vAlign w:val="bottom"/>
          </w:tcPr>
          <w:p w14:paraId="1D393682" w14:textId="2BC032B9"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color w:val="000000"/>
                <w:sz w:val="16"/>
                <w:szCs w:val="16"/>
              </w:rPr>
              <w:t>(503,268)</w:t>
            </w:r>
          </w:p>
        </w:tc>
        <w:tc>
          <w:tcPr>
            <w:tcW w:w="851" w:type="dxa"/>
            <w:tcBorders>
              <w:right w:val="single" w:sz="4" w:space="0" w:color="auto"/>
            </w:tcBorders>
            <w:vAlign w:val="bottom"/>
          </w:tcPr>
          <w:p w14:paraId="36ECDB3D" w14:textId="0B864600" w:rsidR="00B737B0" w:rsidRPr="00CB2281" w:rsidRDefault="00B737B0" w:rsidP="00B737B0">
            <w:pPr>
              <w:widowControl w:val="0"/>
              <w:tabs>
                <w:tab w:val="decimal" w:pos="432"/>
              </w:tabs>
              <w:spacing w:line="240" w:lineRule="atLeast"/>
              <w:ind w:right="-86"/>
              <w:jc w:val="center"/>
              <w:rPr>
                <w:rFonts w:ascii="Arial" w:eastAsia="Arial" w:hAnsi="Arial" w:cs="Arial"/>
                <w:color w:val="000000"/>
                <w:sz w:val="16"/>
                <w:szCs w:val="16"/>
              </w:rPr>
            </w:pPr>
            <w:r w:rsidRPr="007F1B62">
              <w:rPr>
                <w:rFonts w:ascii="Arial" w:hAnsi="Arial" w:cs="Arial"/>
                <w:sz w:val="16"/>
                <w:szCs w:val="16"/>
              </w:rPr>
              <w:t>(0.96)</w:t>
            </w:r>
          </w:p>
        </w:tc>
      </w:tr>
      <w:tr w:rsidR="00B737B0" w:rsidRPr="00CB2281" w14:paraId="1809AF37" w14:textId="77777777" w:rsidTr="00952CB6">
        <w:tblPrEx>
          <w:tblLook w:val="01E0" w:firstRow="1" w:lastRow="1" w:firstColumn="1" w:lastColumn="1" w:noHBand="0" w:noVBand="0"/>
        </w:tblPrEx>
        <w:tc>
          <w:tcPr>
            <w:tcW w:w="2425" w:type="dxa"/>
            <w:tcBorders>
              <w:left w:val="single" w:sz="4" w:space="0" w:color="auto"/>
              <w:right w:val="single" w:sz="4" w:space="0" w:color="auto"/>
            </w:tcBorders>
            <w:vAlign w:val="bottom"/>
          </w:tcPr>
          <w:p w14:paraId="188A68FE" w14:textId="77777777" w:rsidR="00B737B0" w:rsidRPr="00CB2281" w:rsidRDefault="00B737B0" w:rsidP="00B737B0">
            <w:pPr>
              <w:rPr>
                <w:rFonts w:ascii="Arial" w:hAnsi="Arial" w:cs="Arial"/>
                <w:sz w:val="16"/>
                <w:szCs w:val="16"/>
                <w:lang w:val="en-CA"/>
              </w:rPr>
            </w:pPr>
            <w:r w:rsidRPr="00CB2281">
              <w:rPr>
                <w:rFonts w:ascii="Arial" w:hAnsi="Arial" w:cs="Arial"/>
                <w:sz w:val="16"/>
                <w:szCs w:val="16"/>
                <w:lang w:val="en-CA"/>
              </w:rPr>
              <w:t>Royalties and turnover tax ($)</w:t>
            </w:r>
          </w:p>
        </w:tc>
        <w:tc>
          <w:tcPr>
            <w:tcW w:w="1114" w:type="dxa"/>
            <w:tcBorders>
              <w:left w:val="single" w:sz="4" w:space="0" w:color="auto"/>
            </w:tcBorders>
            <w:shd w:val="clear" w:color="auto" w:fill="auto"/>
            <w:vAlign w:val="center"/>
          </w:tcPr>
          <w:p w14:paraId="10EAA275" w14:textId="01B8E486"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(3,430,729)</w:t>
            </w:r>
          </w:p>
        </w:tc>
        <w:tc>
          <w:tcPr>
            <w:tcW w:w="810" w:type="dxa"/>
            <w:vAlign w:val="bottom"/>
          </w:tcPr>
          <w:p w14:paraId="14670F3D" w14:textId="24E3BF31"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(11.18)</w:t>
            </w:r>
          </w:p>
        </w:tc>
        <w:tc>
          <w:tcPr>
            <w:tcW w:w="990" w:type="dxa"/>
            <w:tcBorders>
              <w:left w:val="single" w:sz="4" w:space="0" w:color="auto"/>
            </w:tcBorders>
            <w:vAlign w:val="bottom"/>
          </w:tcPr>
          <w:p w14:paraId="50C05B7E" w14:textId="527F764E"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sz w:val="16"/>
                <w:szCs w:val="16"/>
              </w:rPr>
              <w:t xml:space="preserve"> (961,852)</w:t>
            </w:r>
          </w:p>
        </w:tc>
        <w:tc>
          <w:tcPr>
            <w:tcW w:w="900" w:type="dxa"/>
            <w:vAlign w:val="bottom"/>
          </w:tcPr>
          <w:p w14:paraId="7E82E3C9" w14:textId="00976470" w:rsidR="00B737B0" w:rsidRPr="00CB2281" w:rsidRDefault="00B737B0" w:rsidP="00B737B0">
            <w:pPr>
              <w:widowControl w:val="0"/>
              <w:tabs>
                <w:tab w:val="decimal" w:pos="432"/>
              </w:tabs>
              <w:spacing w:line="240" w:lineRule="atLeast"/>
              <w:ind w:right="-86"/>
              <w:jc w:val="center"/>
              <w:rPr>
                <w:rFonts w:ascii="Arial" w:hAnsi="Arial" w:cs="Arial"/>
                <w:color w:val="000000"/>
                <w:sz w:val="16"/>
                <w:szCs w:val="16"/>
              </w:rPr>
            </w:pPr>
            <w:r w:rsidRPr="007F1B62">
              <w:rPr>
                <w:rFonts w:ascii="Arial" w:hAnsi="Arial" w:cs="Arial"/>
                <w:sz w:val="16"/>
                <w:szCs w:val="16"/>
              </w:rPr>
              <w:t>(8.20)</w:t>
            </w:r>
          </w:p>
        </w:tc>
        <w:tc>
          <w:tcPr>
            <w:tcW w:w="1080" w:type="dxa"/>
            <w:tcBorders>
              <w:left w:val="single" w:sz="4" w:space="0" w:color="auto"/>
            </w:tcBorders>
            <w:vAlign w:val="center"/>
          </w:tcPr>
          <w:p w14:paraId="7E698F40" w14:textId="6576F5AE"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(6,475,746)</w:t>
            </w:r>
          </w:p>
        </w:tc>
        <w:tc>
          <w:tcPr>
            <w:tcW w:w="810" w:type="dxa"/>
            <w:tcBorders>
              <w:right w:val="single" w:sz="4" w:space="0" w:color="auto"/>
            </w:tcBorders>
            <w:vAlign w:val="bottom"/>
          </w:tcPr>
          <w:p w14:paraId="32A9868F" w14:textId="611729C9"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(9.57)</w:t>
            </w:r>
          </w:p>
        </w:tc>
        <w:tc>
          <w:tcPr>
            <w:tcW w:w="1062" w:type="dxa"/>
            <w:tcBorders>
              <w:left w:val="single" w:sz="4" w:space="0" w:color="auto"/>
            </w:tcBorders>
            <w:vAlign w:val="bottom"/>
          </w:tcPr>
          <w:p w14:paraId="2C9BDC9D" w14:textId="3A26CE75"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color w:val="000000"/>
                <w:sz w:val="16"/>
                <w:szCs w:val="16"/>
              </w:rPr>
              <w:t>(4,519,702)</w:t>
            </w:r>
          </w:p>
        </w:tc>
        <w:tc>
          <w:tcPr>
            <w:tcW w:w="851" w:type="dxa"/>
            <w:tcBorders>
              <w:right w:val="single" w:sz="4" w:space="0" w:color="auto"/>
            </w:tcBorders>
            <w:vAlign w:val="bottom"/>
          </w:tcPr>
          <w:p w14:paraId="726B4381" w14:textId="77A7E05D" w:rsidR="00B737B0" w:rsidRPr="00CB2281" w:rsidRDefault="00B737B0" w:rsidP="00B737B0">
            <w:pPr>
              <w:widowControl w:val="0"/>
              <w:tabs>
                <w:tab w:val="decimal" w:pos="432"/>
              </w:tabs>
              <w:spacing w:line="240" w:lineRule="atLeast"/>
              <w:ind w:right="-86"/>
              <w:jc w:val="center"/>
              <w:rPr>
                <w:rFonts w:ascii="Arial" w:eastAsia="Arial" w:hAnsi="Arial" w:cs="Arial"/>
                <w:color w:val="000000"/>
                <w:sz w:val="16"/>
                <w:szCs w:val="16"/>
              </w:rPr>
            </w:pPr>
            <w:r w:rsidRPr="007F1B62">
              <w:rPr>
                <w:rFonts w:ascii="Arial" w:hAnsi="Arial" w:cs="Arial"/>
                <w:sz w:val="16"/>
                <w:szCs w:val="16"/>
              </w:rPr>
              <w:t>(8.61)</w:t>
            </w:r>
          </w:p>
        </w:tc>
      </w:tr>
      <w:tr w:rsidR="00B737B0" w:rsidRPr="00CB2281" w14:paraId="5B1BED5B" w14:textId="77777777" w:rsidTr="00952CB6">
        <w:tblPrEx>
          <w:tblLook w:val="01E0" w:firstRow="1" w:lastRow="1" w:firstColumn="1" w:lastColumn="1" w:noHBand="0" w:noVBand="0"/>
        </w:tblPrEx>
        <w:tc>
          <w:tcPr>
            <w:tcW w:w="2425" w:type="dxa"/>
            <w:tcBorders>
              <w:left w:val="single" w:sz="4" w:space="0" w:color="auto"/>
              <w:bottom w:val="single" w:sz="4" w:space="0" w:color="auto"/>
              <w:right w:val="single" w:sz="4" w:space="0" w:color="auto"/>
            </w:tcBorders>
            <w:vAlign w:val="bottom"/>
          </w:tcPr>
          <w:p w14:paraId="4693947E" w14:textId="77777777" w:rsidR="00B737B0" w:rsidRPr="00CB2281" w:rsidRDefault="00B737B0" w:rsidP="00B737B0">
            <w:pPr>
              <w:rPr>
                <w:rFonts w:ascii="Arial" w:hAnsi="Arial" w:cs="Arial"/>
                <w:sz w:val="16"/>
                <w:szCs w:val="16"/>
                <w:lang w:val="en-CA"/>
              </w:rPr>
            </w:pPr>
            <w:r w:rsidRPr="00CB2281">
              <w:rPr>
                <w:rFonts w:ascii="Arial" w:hAnsi="Arial" w:cs="Arial"/>
                <w:sz w:val="16"/>
                <w:szCs w:val="16"/>
                <w:lang w:val="en-CA"/>
              </w:rPr>
              <w:t>Operating costs ($)</w:t>
            </w:r>
          </w:p>
        </w:tc>
        <w:tc>
          <w:tcPr>
            <w:tcW w:w="1114" w:type="dxa"/>
            <w:tcBorders>
              <w:left w:val="single" w:sz="4" w:space="0" w:color="auto"/>
              <w:bottom w:val="single" w:sz="4" w:space="0" w:color="auto"/>
            </w:tcBorders>
            <w:shd w:val="clear" w:color="auto" w:fill="auto"/>
            <w:vAlign w:val="center"/>
          </w:tcPr>
          <w:p w14:paraId="26B47280" w14:textId="2D23A2AD"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(14,822,678)</w:t>
            </w:r>
          </w:p>
        </w:tc>
        <w:tc>
          <w:tcPr>
            <w:tcW w:w="810" w:type="dxa"/>
            <w:tcBorders>
              <w:bottom w:val="single" w:sz="4" w:space="0" w:color="000000"/>
            </w:tcBorders>
            <w:vAlign w:val="bottom"/>
          </w:tcPr>
          <w:p w14:paraId="73997256" w14:textId="502A82A8"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(48.31)</w:t>
            </w:r>
          </w:p>
        </w:tc>
        <w:tc>
          <w:tcPr>
            <w:tcW w:w="990" w:type="dxa"/>
            <w:tcBorders>
              <w:left w:val="single" w:sz="4" w:space="0" w:color="auto"/>
              <w:bottom w:val="single" w:sz="4" w:space="0" w:color="auto"/>
            </w:tcBorders>
            <w:vAlign w:val="bottom"/>
          </w:tcPr>
          <w:p w14:paraId="60C44547" w14:textId="2EA318C2"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sz w:val="16"/>
                <w:szCs w:val="16"/>
              </w:rPr>
              <w:t xml:space="preserve"> (3,356,776)</w:t>
            </w:r>
          </w:p>
        </w:tc>
        <w:tc>
          <w:tcPr>
            <w:tcW w:w="900" w:type="dxa"/>
            <w:tcBorders>
              <w:bottom w:val="single" w:sz="4" w:space="0" w:color="000000"/>
            </w:tcBorders>
            <w:vAlign w:val="bottom"/>
          </w:tcPr>
          <w:p w14:paraId="64A28E55" w14:textId="1E6CC844" w:rsidR="00B737B0" w:rsidRPr="00CB2281" w:rsidRDefault="00B737B0" w:rsidP="00B737B0">
            <w:pPr>
              <w:widowControl w:val="0"/>
              <w:tabs>
                <w:tab w:val="decimal" w:pos="432"/>
              </w:tabs>
              <w:spacing w:line="240" w:lineRule="atLeast"/>
              <w:ind w:right="-86"/>
              <w:jc w:val="center"/>
              <w:rPr>
                <w:rFonts w:ascii="Arial" w:hAnsi="Arial" w:cs="Arial"/>
                <w:color w:val="000000"/>
                <w:sz w:val="16"/>
                <w:szCs w:val="16"/>
              </w:rPr>
            </w:pPr>
            <w:r w:rsidRPr="007F1B62">
              <w:rPr>
                <w:rFonts w:ascii="Arial" w:hAnsi="Arial" w:cs="Arial"/>
                <w:sz w:val="16"/>
                <w:szCs w:val="16"/>
              </w:rPr>
              <w:t>(28.63)</w:t>
            </w:r>
          </w:p>
        </w:tc>
        <w:tc>
          <w:tcPr>
            <w:tcW w:w="1080" w:type="dxa"/>
            <w:tcBorders>
              <w:left w:val="single" w:sz="4" w:space="0" w:color="auto"/>
              <w:bottom w:val="single" w:sz="4" w:space="0" w:color="auto"/>
            </w:tcBorders>
            <w:vAlign w:val="center"/>
          </w:tcPr>
          <w:p w14:paraId="4B3B2F0A" w14:textId="1FBC0102"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(28,941,451)</w:t>
            </w:r>
          </w:p>
        </w:tc>
        <w:tc>
          <w:tcPr>
            <w:tcW w:w="810" w:type="dxa"/>
            <w:tcBorders>
              <w:bottom w:val="single" w:sz="4" w:space="0" w:color="auto"/>
              <w:right w:val="single" w:sz="4" w:space="0" w:color="auto"/>
            </w:tcBorders>
            <w:vAlign w:val="bottom"/>
          </w:tcPr>
          <w:p w14:paraId="38887C82" w14:textId="50AAFEE7"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(42.75)</w:t>
            </w:r>
          </w:p>
        </w:tc>
        <w:tc>
          <w:tcPr>
            <w:tcW w:w="1062" w:type="dxa"/>
            <w:tcBorders>
              <w:left w:val="single" w:sz="4" w:space="0" w:color="auto"/>
              <w:bottom w:val="single" w:sz="4" w:space="0" w:color="auto"/>
            </w:tcBorders>
            <w:vAlign w:val="bottom"/>
          </w:tcPr>
          <w:p w14:paraId="671D53F3" w14:textId="74378A97"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color w:val="000000"/>
                <w:sz w:val="16"/>
                <w:szCs w:val="16"/>
              </w:rPr>
              <w:t>(18,405,512)</w:t>
            </w:r>
          </w:p>
        </w:tc>
        <w:tc>
          <w:tcPr>
            <w:tcW w:w="851" w:type="dxa"/>
            <w:tcBorders>
              <w:bottom w:val="single" w:sz="4" w:space="0" w:color="auto"/>
              <w:right w:val="single" w:sz="4" w:space="0" w:color="auto"/>
            </w:tcBorders>
            <w:vAlign w:val="bottom"/>
          </w:tcPr>
          <w:p w14:paraId="6B2A917A" w14:textId="73CC1194" w:rsidR="00B737B0" w:rsidRPr="00CB2281" w:rsidRDefault="00B737B0" w:rsidP="00B737B0">
            <w:pPr>
              <w:widowControl w:val="0"/>
              <w:tabs>
                <w:tab w:val="decimal" w:pos="432"/>
              </w:tabs>
              <w:spacing w:line="240" w:lineRule="atLeast"/>
              <w:ind w:right="-86"/>
              <w:jc w:val="center"/>
              <w:rPr>
                <w:rFonts w:ascii="Arial" w:eastAsia="Arial" w:hAnsi="Arial" w:cs="Arial"/>
                <w:color w:val="000000"/>
                <w:sz w:val="16"/>
                <w:szCs w:val="16"/>
              </w:rPr>
            </w:pPr>
            <w:r w:rsidRPr="007F1B62">
              <w:rPr>
                <w:rFonts w:ascii="Arial" w:hAnsi="Arial" w:cs="Arial"/>
                <w:sz w:val="16"/>
                <w:szCs w:val="16"/>
              </w:rPr>
              <w:t>(35.05)</w:t>
            </w:r>
          </w:p>
        </w:tc>
      </w:tr>
      <w:tr w:rsidR="00B737B0" w:rsidRPr="00CB2281" w14:paraId="7434BB72" w14:textId="77777777" w:rsidTr="00B737B0">
        <w:tblPrEx>
          <w:tblLook w:val="01E0" w:firstRow="1" w:lastRow="1" w:firstColumn="1" w:lastColumn="1" w:noHBand="0" w:noVBand="0"/>
        </w:tblPrEx>
        <w:trPr>
          <w:trHeight w:val="287"/>
        </w:trPr>
        <w:tc>
          <w:tcPr>
            <w:tcW w:w="2425" w:type="dxa"/>
            <w:tcBorders>
              <w:top w:val="single" w:sz="4" w:space="0" w:color="auto"/>
              <w:left w:val="single" w:sz="4" w:space="0" w:color="auto"/>
              <w:bottom w:val="single" w:sz="12" w:space="0" w:color="auto"/>
              <w:right w:val="single" w:sz="4" w:space="0" w:color="auto"/>
            </w:tcBorders>
            <w:vAlign w:val="center"/>
          </w:tcPr>
          <w:p w14:paraId="596D9599" w14:textId="77777777" w:rsidR="00B737B0" w:rsidRPr="00CB2281" w:rsidRDefault="00B737B0" w:rsidP="00B737B0">
            <w:pPr>
              <w:rPr>
                <w:rFonts w:ascii="Arial" w:hAnsi="Arial" w:cs="Arial"/>
                <w:sz w:val="16"/>
                <w:szCs w:val="16"/>
                <w:lang w:val="en-CA"/>
              </w:rPr>
            </w:pPr>
            <w:r w:rsidRPr="00CB2281">
              <w:rPr>
                <w:rFonts w:ascii="Arial" w:hAnsi="Arial" w:cs="Arial"/>
                <w:sz w:val="16"/>
                <w:szCs w:val="16"/>
                <w:lang w:val="en-CA"/>
              </w:rPr>
              <w:t xml:space="preserve">Operating netback </w:t>
            </w:r>
            <w:r w:rsidRPr="00CB2281">
              <w:rPr>
                <w:rFonts w:ascii="Arial" w:hAnsi="Arial" w:cs="Arial"/>
                <w:sz w:val="16"/>
                <w:szCs w:val="16"/>
                <w:vertAlign w:val="superscript"/>
                <w:lang w:val="en-CA"/>
              </w:rPr>
              <w:t>(1)</w:t>
            </w:r>
            <w:r w:rsidRPr="00CB2281">
              <w:rPr>
                <w:rFonts w:ascii="Arial" w:hAnsi="Arial" w:cs="Arial"/>
                <w:sz w:val="16"/>
                <w:szCs w:val="16"/>
                <w:lang w:val="en-CA"/>
              </w:rPr>
              <w:t xml:space="preserve"> ($)</w:t>
            </w:r>
          </w:p>
        </w:tc>
        <w:tc>
          <w:tcPr>
            <w:tcW w:w="1114" w:type="dxa"/>
            <w:tcBorders>
              <w:top w:val="single" w:sz="4" w:space="0" w:color="auto"/>
              <w:left w:val="single" w:sz="4" w:space="0" w:color="auto"/>
              <w:bottom w:val="single" w:sz="12" w:space="0" w:color="auto"/>
            </w:tcBorders>
            <w:shd w:val="clear" w:color="auto" w:fill="auto"/>
            <w:vAlign w:val="center"/>
          </w:tcPr>
          <w:p w14:paraId="5C10EABE" w14:textId="5692D1EA"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1,215,495</w:t>
            </w:r>
          </w:p>
        </w:tc>
        <w:tc>
          <w:tcPr>
            <w:tcW w:w="810" w:type="dxa"/>
            <w:tcBorders>
              <w:top w:val="single" w:sz="4" w:space="0" w:color="000000"/>
              <w:bottom w:val="single" w:sz="12" w:space="0" w:color="000000"/>
            </w:tcBorders>
            <w:vAlign w:val="center"/>
          </w:tcPr>
          <w:p w14:paraId="100A64E6" w14:textId="6F590FE1"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3.96</w:t>
            </w:r>
          </w:p>
        </w:tc>
        <w:tc>
          <w:tcPr>
            <w:tcW w:w="990" w:type="dxa"/>
            <w:tcBorders>
              <w:top w:val="single" w:sz="4" w:space="0" w:color="auto"/>
              <w:left w:val="single" w:sz="4" w:space="0" w:color="auto"/>
              <w:bottom w:val="single" w:sz="12" w:space="0" w:color="auto"/>
            </w:tcBorders>
            <w:vAlign w:val="center"/>
          </w:tcPr>
          <w:p w14:paraId="79CD9847" w14:textId="48583851"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sz w:val="16"/>
                <w:szCs w:val="16"/>
              </w:rPr>
              <w:t xml:space="preserve"> 1,086,964 </w:t>
            </w:r>
          </w:p>
        </w:tc>
        <w:tc>
          <w:tcPr>
            <w:tcW w:w="900" w:type="dxa"/>
            <w:tcBorders>
              <w:top w:val="single" w:sz="4" w:space="0" w:color="000000"/>
              <w:bottom w:val="single" w:sz="12" w:space="0" w:color="000000"/>
            </w:tcBorders>
            <w:vAlign w:val="center"/>
          </w:tcPr>
          <w:p w14:paraId="5F57DBFE" w14:textId="5DED938A" w:rsidR="00B737B0" w:rsidRPr="00CB2281" w:rsidRDefault="00B737B0" w:rsidP="00B737B0">
            <w:pPr>
              <w:widowControl w:val="0"/>
              <w:tabs>
                <w:tab w:val="decimal" w:pos="432"/>
              </w:tabs>
              <w:spacing w:line="240" w:lineRule="atLeast"/>
              <w:ind w:right="-86"/>
              <w:jc w:val="center"/>
              <w:rPr>
                <w:rFonts w:ascii="Arial" w:hAnsi="Arial" w:cs="Arial"/>
                <w:color w:val="000000"/>
                <w:sz w:val="16"/>
                <w:szCs w:val="16"/>
              </w:rPr>
            </w:pPr>
            <w:r w:rsidRPr="007F1B62">
              <w:rPr>
                <w:rFonts w:ascii="Arial" w:hAnsi="Arial" w:cs="Arial"/>
                <w:color w:val="000000"/>
                <w:sz w:val="16"/>
                <w:szCs w:val="16"/>
              </w:rPr>
              <w:t>9.27</w:t>
            </w:r>
          </w:p>
        </w:tc>
        <w:tc>
          <w:tcPr>
            <w:tcW w:w="1080" w:type="dxa"/>
            <w:tcBorders>
              <w:top w:val="single" w:sz="4" w:space="0" w:color="auto"/>
              <w:left w:val="single" w:sz="4" w:space="0" w:color="auto"/>
              <w:bottom w:val="single" w:sz="12" w:space="0" w:color="auto"/>
            </w:tcBorders>
            <w:vAlign w:val="center"/>
          </w:tcPr>
          <w:p w14:paraId="489F9762" w14:textId="576BB46B" w:rsidR="00B737B0" w:rsidRPr="00B737B0" w:rsidRDefault="00B737B0" w:rsidP="00B737B0">
            <w:pPr>
              <w:tabs>
                <w:tab w:val="decimal" w:pos="702"/>
              </w:tabs>
              <w:ind w:left="-108"/>
              <w:rPr>
                <w:rFonts w:ascii="Arial" w:hAnsi="Arial" w:cs="Arial"/>
                <w:sz w:val="16"/>
                <w:szCs w:val="16"/>
              </w:rPr>
            </w:pPr>
            <w:r w:rsidRPr="00B737B0">
              <w:rPr>
                <w:rFonts w:ascii="Arial" w:hAnsi="Arial" w:cs="Arial"/>
                <w:sz w:val="16"/>
                <w:szCs w:val="16"/>
              </w:rPr>
              <w:t>988,605</w:t>
            </w:r>
          </w:p>
        </w:tc>
        <w:tc>
          <w:tcPr>
            <w:tcW w:w="810" w:type="dxa"/>
            <w:tcBorders>
              <w:top w:val="single" w:sz="4" w:space="0" w:color="auto"/>
              <w:bottom w:val="single" w:sz="12" w:space="0" w:color="auto"/>
              <w:right w:val="single" w:sz="4" w:space="0" w:color="auto"/>
            </w:tcBorders>
            <w:vAlign w:val="center"/>
          </w:tcPr>
          <w:p w14:paraId="2D7F6AF6" w14:textId="1C389465" w:rsidR="00B737B0" w:rsidRPr="00B737B0" w:rsidRDefault="00B737B0" w:rsidP="00B737B0">
            <w:pPr>
              <w:widowControl w:val="0"/>
              <w:tabs>
                <w:tab w:val="decimal" w:pos="432"/>
              </w:tabs>
              <w:spacing w:line="240" w:lineRule="atLeast"/>
              <w:ind w:right="-86"/>
              <w:jc w:val="center"/>
              <w:rPr>
                <w:rFonts w:ascii="Arial" w:hAnsi="Arial" w:cs="Arial"/>
                <w:sz w:val="16"/>
                <w:szCs w:val="16"/>
              </w:rPr>
            </w:pPr>
            <w:r w:rsidRPr="00B737B0">
              <w:rPr>
                <w:rFonts w:ascii="Arial" w:hAnsi="Arial" w:cs="Arial"/>
                <w:sz w:val="16"/>
                <w:szCs w:val="16"/>
              </w:rPr>
              <w:t>1.46</w:t>
            </w:r>
          </w:p>
        </w:tc>
        <w:tc>
          <w:tcPr>
            <w:tcW w:w="1062" w:type="dxa"/>
            <w:tcBorders>
              <w:top w:val="single" w:sz="4" w:space="0" w:color="auto"/>
              <w:left w:val="single" w:sz="4" w:space="0" w:color="auto"/>
              <w:bottom w:val="single" w:sz="12" w:space="0" w:color="auto"/>
            </w:tcBorders>
            <w:vAlign w:val="center"/>
          </w:tcPr>
          <w:p w14:paraId="0C37297A" w14:textId="6FCFEC0C" w:rsidR="00B737B0" w:rsidRPr="00CB2281" w:rsidRDefault="00B737B0" w:rsidP="00B737B0">
            <w:pPr>
              <w:tabs>
                <w:tab w:val="decimal" w:pos="702"/>
              </w:tabs>
              <w:ind w:left="-108"/>
              <w:rPr>
                <w:rFonts w:ascii="Arial" w:hAnsi="Arial" w:cs="Arial"/>
                <w:color w:val="000000"/>
                <w:sz w:val="16"/>
                <w:szCs w:val="16"/>
              </w:rPr>
            </w:pPr>
            <w:r w:rsidRPr="007F1B62">
              <w:rPr>
                <w:rFonts w:ascii="Arial" w:hAnsi="Arial" w:cs="Arial"/>
                <w:color w:val="000000"/>
                <w:sz w:val="16"/>
                <w:szCs w:val="16"/>
              </w:rPr>
              <w:t>3,337,746</w:t>
            </w:r>
          </w:p>
        </w:tc>
        <w:tc>
          <w:tcPr>
            <w:tcW w:w="851" w:type="dxa"/>
            <w:tcBorders>
              <w:top w:val="single" w:sz="4" w:space="0" w:color="auto"/>
              <w:bottom w:val="single" w:sz="12" w:space="0" w:color="auto"/>
              <w:right w:val="single" w:sz="4" w:space="0" w:color="auto"/>
            </w:tcBorders>
            <w:vAlign w:val="center"/>
          </w:tcPr>
          <w:p w14:paraId="3B3ED316" w14:textId="7DBA76EC" w:rsidR="00B737B0" w:rsidRPr="00CB2281" w:rsidRDefault="00B737B0" w:rsidP="00B737B0">
            <w:pPr>
              <w:widowControl w:val="0"/>
              <w:tabs>
                <w:tab w:val="decimal" w:pos="432"/>
              </w:tabs>
              <w:spacing w:line="240" w:lineRule="atLeast"/>
              <w:ind w:right="-86"/>
              <w:jc w:val="center"/>
              <w:rPr>
                <w:rFonts w:ascii="Arial" w:eastAsia="Arial" w:hAnsi="Arial" w:cs="Arial"/>
                <w:color w:val="000000"/>
                <w:sz w:val="16"/>
                <w:szCs w:val="16"/>
              </w:rPr>
            </w:pPr>
            <w:r w:rsidRPr="007F1B62">
              <w:rPr>
                <w:rFonts w:ascii="Arial" w:hAnsi="Arial" w:cs="Arial"/>
                <w:color w:val="000000"/>
                <w:sz w:val="16"/>
                <w:szCs w:val="16"/>
              </w:rPr>
              <w:t>6.35</w:t>
            </w:r>
          </w:p>
        </w:tc>
      </w:tr>
      <w:tr w:rsidR="00315F52" w:rsidRPr="00CB2281" w14:paraId="33AEEFA6" w14:textId="77777777" w:rsidTr="00B737B0">
        <w:tblPrEx>
          <w:tblLook w:val="01E0" w:firstRow="1" w:lastRow="1" w:firstColumn="1" w:lastColumn="1" w:noHBand="0" w:noVBand="0"/>
        </w:tblPrEx>
        <w:trPr>
          <w:trHeight w:val="78"/>
        </w:trPr>
        <w:tc>
          <w:tcPr>
            <w:tcW w:w="2425" w:type="dxa"/>
            <w:tcBorders>
              <w:top w:val="single" w:sz="12" w:space="0" w:color="auto"/>
            </w:tcBorders>
            <w:vAlign w:val="bottom"/>
          </w:tcPr>
          <w:p w14:paraId="2607F70E" w14:textId="77777777" w:rsidR="00315F52" w:rsidRPr="00CB2281" w:rsidRDefault="00315F52" w:rsidP="00AB2D66">
            <w:pPr>
              <w:rPr>
                <w:rFonts w:ascii="Arial" w:hAnsi="Arial" w:cs="Arial"/>
                <w:sz w:val="16"/>
                <w:szCs w:val="16"/>
                <w:lang w:val="en-CA"/>
              </w:rPr>
            </w:pPr>
          </w:p>
        </w:tc>
        <w:tc>
          <w:tcPr>
            <w:tcW w:w="1114" w:type="dxa"/>
            <w:tcBorders>
              <w:top w:val="single" w:sz="12" w:space="0" w:color="auto"/>
            </w:tcBorders>
            <w:shd w:val="clear" w:color="auto" w:fill="auto"/>
            <w:vAlign w:val="bottom"/>
          </w:tcPr>
          <w:p w14:paraId="1A9DAAA1" w14:textId="77777777" w:rsidR="00315F52" w:rsidRPr="00CB2281" w:rsidRDefault="00315F52" w:rsidP="00AB2D66">
            <w:pPr>
              <w:tabs>
                <w:tab w:val="decimal" w:pos="882"/>
              </w:tabs>
              <w:ind w:left="-108"/>
              <w:rPr>
                <w:rFonts w:ascii="Arial" w:hAnsi="Arial" w:cs="Arial"/>
                <w:color w:val="000000"/>
                <w:sz w:val="16"/>
                <w:szCs w:val="16"/>
              </w:rPr>
            </w:pPr>
          </w:p>
        </w:tc>
        <w:tc>
          <w:tcPr>
            <w:tcW w:w="810" w:type="dxa"/>
            <w:tcBorders>
              <w:top w:val="single" w:sz="12" w:space="0" w:color="auto"/>
            </w:tcBorders>
            <w:vAlign w:val="bottom"/>
          </w:tcPr>
          <w:p w14:paraId="2DA7B476" w14:textId="77777777" w:rsidR="00315F52" w:rsidRPr="00CB2281" w:rsidRDefault="00315F52" w:rsidP="00AB2D66">
            <w:pPr>
              <w:widowControl w:val="0"/>
              <w:tabs>
                <w:tab w:val="decimal" w:pos="252"/>
              </w:tabs>
              <w:ind w:right="-86"/>
              <w:rPr>
                <w:rFonts w:ascii="Arial" w:hAnsi="Arial" w:cs="Arial"/>
                <w:color w:val="000000"/>
                <w:sz w:val="16"/>
                <w:szCs w:val="16"/>
              </w:rPr>
            </w:pPr>
          </w:p>
        </w:tc>
        <w:tc>
          <w:tcPr>
            <w:tcW w:w="990" w:type="dxa"/>
            <w:tcBorders>
              <w:top w:val="single" w:sz="12" w:space="0" w:color="auto"/>
            </w:tcBorders>
          </w:tcPr>
          <w:p w14:paraId="15C2E1C5" w14:textId="77777777" w:rsidR="00315F52" w:rsidRPr="00CB2281" w:rsidRDefault="00315F52" w:rsidP="00AB2D66">
            <w:pPr>
              <w:tabs>
                <w:tab w:val="decimal" w:pos="864"/>
              </w:tabs>
              <w:ind w:left="-108"/>
              <w:rPr>
                <w:rFonts w:ascii="Arial" w:hAnsi="Arial" w:cs="Arial"/>
                <w:color w:val="000000"/>
                <w:sz w:val="16"/>
                <w:szCs w:val="16"/>
              </w:rPr>
            </w:pPr>
          </w:p>
        </w:tc>
        <w:tc>
          <w:tcPr>
            <w:tcW w:w="900" w:type="dxa"/>
            <w:tcBorders>
              <w:top w:val="single" w:sz="12" w:space="0" w:color="auto"/>
            </w:tcBorders>
            <w:vAlign w:val="bottom"/>
          </w:tcPr>
          <w:p w14:paraId="705C004E" w14:textId="77777777" w:rsidR="00315F52" w:rsidRPr="00CB2281" w:rsidRDefault="00315F52" w:rsidP="00AB2D66">
            <w:pPr>
              <w:widowControl w:val="0"/>
              <w:tabs>
                <w:tab w:val="decimal" w:pos="252"/>
              </w:tabs>
              <w:ind w:right="-86"/>
              <w:rPr>
                <w:rFonts w:ascii="Arial" w:hAnsi="Arial" w:cs="Arial"/>
                <w:color w:val="000000"/>
                <w:sz w:val="16"/>
                <w:szCs w:val="16"/>
              </w:rPr>
            </w:pPr>
          </w:p>
        </w:tc>
        <w:tc>
          <w:tcPr>
            <w:tcW w:w="1080" w:type="dxa"/>
            <w:tcBorders>
              <w:top w:val="single" w:sz="12" w:space="0" w:color="auto"/>
            </w:tcBorders>
          </w:tcPr>
          <w:p w14:paraId="1484A3F4" w14:textId="77777777" w:rsidR="00315F52" w:rsidRPr="00CB2281" w:rsidRDefault="00315F52" w:rsidP="00AB2D66">
            <w:pPr>
              <w:tabs>
                <w:tab w:val="decimal" w:pos="864"/>
              </w:tabs>
              <w:ind w:left="-108"/>
              <w:rPr>
                <w:rFonts w:ascii="Arial" w:hAnsi="Arial" w:cs="Arial"/>
                <w:color w:val="000000"/>
                <w:sz w:val="16"/>
                <w:szCs w:val="16"/>
              </w:rPr>
            </w:pPr>
          </w:p>
        </w:tc>
        <w:tc>
          <w:tcPr>
            <w:tcW w:w="810" w:type="dxa"/>
            <w:tcBorders>
              <w:top w:val="single" w:sz="12" w:space="0" w:color="auto"/>
            </w:tcBorders>
            <w:vAlign w:val="bottom"/>
          </w:tcPr>
          <w:p w14:paraId="3F92859B" w14:textId="77777777" w:rsidR="00315F52" w:rsidRPr="00CB2281" w:rsidRDefault="00315F52" w:rsidP="00AB2D66">
            <w:pPr>
              <w:widowControl w:val="0"/>
              <w:tabs>
                <w:tab w:val="decimal" w:pos="252"/>
              </w:tabs>
              <w:ind w:right="-86"/>
              <w:rPr>
                <w:rFonts w:ascii="Arial" w:hAnsi="Arial" w:cs="Arial"/>
                <w:color w:val="000000"/>
                <w:sz w:val="16"/>
                <w:szCs w:val="16"/>
              </w:rPr>
            </w:pPr>
          </w:p>
        </w:tc>
        <w:tc>
          <w:tcPr>
            <w:tcW w:w="1062" w:type="dxa"/>
            <w:tcBorders>
              <w:top w:val="single" w:sz="12" w:space="0" w:color="auto"/>
            </w:tcBorders>
          </w:tcPr>
          <w:p w14:paraId="731C6D76" w14:textId="77777777" w:rsidR="00315F52" w:rsidRPr="00CB2281" w:rsidRDefault="00315F52" w:rsidP="00AB2D66">
            <w:pPr>
              <w:tabs>
                <w:tab w:val="decimal" w:pos="882"/>
              </w:tabs>
              <w:ind w:left="-108"/>
              <w:rPr>
                <w:rFonts w:ascii="Arial" w:hAnsi="Arial" w:cs="Arial"/>
                <w:color w:val="000000"/>
                <w:sz w:val="16"/>
                <w:szCs w:val="16"/>
              </w:rPr>
            </w:pPr>
          </w:p>
        </w:tc>
        <w:tc>
          <w:tcPr>
            <w:tcW w:w="851" w:type="dxa"/>
            <w:tcBorders>
              <w:top w:val="single" w:sz="12" w:space="0" w:color="auto"/>
            </w:tcBorders>
            <w:vAlign w:val="bottom"/>
          </w:tcPr>
          <w:p w14:paraId="24A04620" w14:textId="77777777" w:rsidR="00315F52" w:rsidRPr="00CB2281" w:rsidRDefault="00315F52" w:rsidP="00AB2D66">
            <w:pPr>
              <w:widowControl w:val="0"/>
              <w:tabs>
                <w:tab w:val="decimal" w:pos="252"/>
              </w:tabs>
              <w:ind w:right="-86"/>
              <w:rPr>
                <w:rFonts w:ascii="Arial" w:hAnsi="Arial" w:cs="Arial"/>
                <w:color w:val="000000"/>
                <w:sz w:val="16"/>
                <w:szCs w:val="16"/>
              </w:rPr>
            </w:pPr>
          </w:p>
        </w:tc>
      </w:tr>
    </w:tbl>
    <w:p w14:paraId="4196AB7F" w14:textId="075A0128" w:rsidR="00AB3773" w:rsidRDefault="00315F52" w:rsidP="00315F52">
      <w:pPr>
        <w:spacing w:before="240" w:after="120"/>
        <w:rPr>
          <w:rFonts w:ascii="Arial" w:hAnsi="Arial" w:cs="Arial"/>
          <w:sz w:val="16"/>
          <w:szCs w:val="16"/>
          <w:lang w:val="en-CA"/>
        </w:rPr>
      </w:pPr>
      <w:r>
        <w:rPr>
          <w:rFonts w:ascii="Arial" w:hAnsi="Arial" w:cs="Arial"/>
          <w:bCs/>
          <w:sz w:val="18"/>
          <w:szCs w:val="18"/>
          <w:vertAlign w:val="superscript"/>
          <w:lang w:val="en-CA"/>
        </w:rPr>
        <w:t xml:space="preserve"> </w:t>
      </w:r>
      <w:proofErr w:type="gramStart"/>
      <w:r w:rsidR="00570F49">
        <w:rPr>
          <w:rFonts w:ascii="Arial" w:hAnsi="Arial" w:cs="Arial"/>
          <w:bCs/>
          <w:sz w:val="18"/>
          <w:szCs w:val="18"/>
          <w:vertAlign w:val="superscript"/>
          <w:lang w:val="en-CA"/>
        </w:rPr>
        <w:t xml:space="preserve">(1) </w:t>
      </w:r>
      <w:r w:rsidR="00570F49">
        <w:rPr>
          <w:rFonts w:ascii="Arial" w:hAnsi="Arial" w:cs="Arial"/>
          <w:bCs/>
          <w:sz w:val="18"/>
          <w:szCs w:val="18"/>
          <w:lang w:val="en-CA"/>
        </w:rPr>
        <w:t xml:space="preserve"> </w:t>
      </w:r>
      <w:r w:rsidR="003760A5">
        <w:rPr>
          <w:rFonts w:ascii="Arial" w:hAnsi="Arial" w:cs="Arial"/>
          <w:sz w:val="16"/>
          <w:szCs w:val="16"/>
          <w:lang w:val="en-CA"/>
        </w:rPr>
        <w:t>“</w:t>
      </w:r>
      <w:proofErr w:type="gramEnd"/>
      <w:r w:rsidR="00570F49">
        <w:rPr>
          <w:rFonts w:ascii="Arial" w:hAnsi="Arial" w:cs="Arial"/>
          <w:sz w:val="16"/>
          <w:szCs w:val="16"/>
          <w:lang w:val="en-CA"/>
        </w:rPr>
        <w:t>Operating netback</w:t>
      </w:r>
      <w:r w:rsidR="003760A5" w:rsidRPr="003760A5">
        <w:rPr>
          <w:rFonts w:ascii="Arial" w:hAnsi="Arial" w:cs="Arial"/>
          <w:sz w:val="16"/>
          <w:szCs w:val="16"/>
          <w:lang w:val="en-CA"/>
        </w:rPr>
        <w:t>”</w:t>
      </w:r>
      <w:r w:rsidR="00570F49">
        <w:rPr>
          <w:rFonts w:ascii="Arial" w:hAnsi="Arial" w:cs="Arial"/>
          <w:sz w:val="16"/>
          <w:szCs w:val="16"/>
          <w:lang w:val="en-CA"/>
        </w:rPr>
        <w:t xml:space="preserve"> is a non-IFRS measure. “Operating netback per BOE” is a non-IFRS ratio. See </w:t>
      </w:r>
      <w:r w:rsidR="003760A5">
        <w:rPr>
          <w:rFonts w:ascii="Arial" w:hAnsi="Arial" w:cs="Arial"/>
          <w:sz w:val="16"/>
          <w:szCs w:val="16"/>
          <w:lang w:val="en-CA"/>
        </w:rPr>
        <w:t>“</w:t>
      </w:r>
      <w:r w:rsidR="00570F49">
        <w:rPr>
          <w:rFonts w:ascii="Arial" w:hAnsi="Arial" w:cs="Arial"/>
          <w:sz w:val="16"/>
          <w:szCs w:val="16"/>
          <w:lang w:val="en-CA"/>
        </w:rPr>
        <w:t>Non-IFRS and Other Financial Measures</w:t>
      </w:r>
      <w:r w:rsidR="003760A5" w:rsidRPr="00747799">
        <w:rPr>
          <w:rFonts w:ascii="Arial" w:hAnsi="Arial" w:cs="Arial"/>
          <w:sz w:val="16"/>
          <w:szCs w:val="16"/>
          <w:lang w:val="en-CA"/>
        </w:rPr>
        <w:t>”</w:t>
      </w:r>
      <w:r w:rsidR="00570F49">
        <w:rPr>
          <w:rFonts w:ascii="Arial" w:hAnsi="Arial" w:cs="Arial"/>
          <w:sz w:val="16"/>
          <w:szCs w:val="16"/>
          <w:lang w:val="en-CA"/>
        </w:rPr>
        <w:t>.</w:t>
      </w:r>
    </w:p>
    <w:p w14:paraId="7144B5F6" w14:textId="77777777" w:rsidR="00042E43" w:rsidRDefault="00042E43" w:rsidP="00D17181">
      <w:pPr>
        <w:widowControl w:val="0"/>
        <w:rPr>
          <w:rFonts w:ascii="Arial" w:hAnsi="Arial" w:cs="Arial"/>
          <w:sz w:val="20"/>
          <w:szCs w:val="20"/>
        </w:rPr>
      </w:pPr>
    </w:p>
    <w:p w14:paraId="3720B9D4" w14:textId="3F492D3E" w:rsidR="00F439AE" w:rsidRDefault="001B1418" w:rsidP="001B1418">
      <w:pPr>
        <w:widowControl w:val="0"/>
        <w:jc w:val="both"/>
        <w:rPr>
          <w:rFonts w:ascii="Arial" w:hAnsi="Arial" w:cs="Arial"/>
          <w:sz w:val="20"/>
          <w:szCs w:val="20"/>
        </w:rPr>
      </w:pPr>
      <w:r>
        <w:rPr>
          <w:rFonts w:ascii="Arial" w:hAnsi="Arial" w:cs="Arial"/>
          <w:sz w:val="20"/>
          <w:szCs w:val="20"/>
        </w:rPr>
        <w:t>The</w:t>
      </w:r>
      <w:r w:rsidR="00F439AE">
        <w:rPr>
          <w:rFonts w:ascii="Arial" w:hAnsi="Arial" w:cs="Arial"/>
          <w:sz w:val="20"/>
          <w:szCs w:val="20"/>
        </w:rPr>
        <w:t xml:space="preserve"> Company’s audited consolidated </w:t>
      </w:r>
      <w:r w:rsidR="004A129C">
        <w:rPr>
          <w:rFonts w:ascii="Arial" w:hAnsi="Arial" w:cs="Arial"/>
          <w:sz w:val="20"/>
          <w:szCs w:val="20"/>
        </w:rPr>
        <w:t xml:space="preserve">comparative </w:t>
      </w:r>
      <w:r w:rsidR="00F439AE">
        <w:rPr>
          <w:rFonts w:ascii="Arial" w:hAnsi="Arial" w:cs="Arial"/>
          <w:sz w:val="20"/>
          <w:szCs w:val="20"/>
        </w:rPr>
        <w:t xml:space="preserve">financial statements </w:t>
      </w:r>
      <w:r>
        <w:rPr>
          <w:rFonts w:ascii="Arial" w:hAnsi="Arial" w:cs="Arial"/>
          <w:sz w:val="20"/>
          <w:szCs w:val="20"/>
        </w:rPr>
        <w:t xml:space="preserve">for the year ended December 31, 2024 </w:t>
      </w:r>
      <w:r w:rsidR="00F439AE">
        <w:rPr>
          <w:rFonts w:ascii="Arial" w:hAnsi="Arial" w:cs="Arial"/>
          <w:sz w:val="20"/>
          <w:szCs w:val="20"/>
        </w:rPr>
        <w:t xml:space="preserve">and </w:t>
      </w:r>
      <w:r>
        <w:rPr>
          <w:rFonts w:ascii="Arial" w:hAnsi="Arial" w:cs="Arial"/>
          <w:sz w:val="20"/>
          <w:szCs w:val="20"/>
        </w:rPr>
        <w:t xml:space="preserve">related </w:t>
      </w:r>
      <w:r w:rsidR="00F439AE">
        <w:rPr>
          <w:rFonts w:ascii="Arial" w:hAnsi="Arial" w:cs="Arial"/>
          <w:sz w:val="20"/>
          <w:szCs w:val="20"/>
        </w:rPr>
        <w:t>management’s discussion and analysis (“</w:t>
      </w:r>
      <w:r w:rsidR="00F439AE">
        <w:rPr>
          <w:rFonts w:ascii="Arial" w:hAnsi="Arial" w:cs="Arial"/>
          <w:b/>
          <w:sz w:val="20"/>
          <w:szCs w:val="20"/>
        </w:rPr>
        <w:t>MD&amp;A</w:t>
      </w:r>
      <w:r w:rsidR="00F439AE">
        <w:rPr>
          <w:rFonts w:ascii="Arial" w:hAnsi="Arial" w:cs="Arial"/>
          <w:sz w:val="20"/>
          <w:szCs w:val="20"/>
        </w:rPr>
        <w:t xml:space="preserve">”) </w:t>
      </w:r>
      <w:r>
        <w:rPr>
          <w:rFonts w:ascii="Arial" w:hAnsi="Arial" w:cs="Arial"/>
          <w:sz w:val="20"/>
          <w:szCs w:val="20"/>
        </w:rPr>
        <w:t xml:space="preserve">will be </w:t>
      </w:r>
      <w:r w:rsidR="00F439AE">
        <w:rPr>
          <w:rFonts w:ascii="Arial" w:hAnsi="Arial" w:cs="Arial"/>
          <w:sz w:val="20"/>
          <w:szCs w:val="20"/>
        </w:rPr>
        <w:t xml:space="preserve">filed with Canadian securities regulatory authorities </w:t>
      </w:r>
      <w:r>
        <w:rPr>
          <w:rFonts w:ascii="Arial" w:hAnsi="Arial" w:cs="Arial"/>
          <w:sz w:val="20"/>
          <w:szCs w:val="20"/>
        </w:rPr>
        <w:t xml:space="preserve">in due course </w:t>
      </w:r>
      <w:r w:rsidR="00F439AE">
        <w:rPr>
          <w:rFonts w:ascii="Arial" w:hAnsi="Arial" w:cs="Arial"/>
          <w:sz w:val="20"/>
          <w:szCs w:val="20"/>
        </w:rPr>
        <w:t xml:space="preserve">and will be made available under the Company’s profile at </w:t>
      </w:r>
      <w:hyperlink r:id="rId12" w:history="1">
        <w:r w:rsidR="00F439AE" w:rsidRPr="00BF0FBB">
          <w:rPr>
            <w:rStyle w:val="Hyperlink"/>
            <w:rFonts w:ascii="Arial" w:hAnsi="Arial" w:cs="Arial"/>
            <w:sz w:val="20"/>
            <w:szCs w:val="20"/>
          </w:rPr>
          <w:t>www.sedarplus.ca</w:t>
        </w:r>
      </w:hyperlink>
      <w:r w:rsidR="00F439AE">
        <w:rPr>
          <w:rFonts w:ascii="Arial" w:hAnsi="Arial" w:cs="Arial"/>
          <w:sz w:val="20"/>
          <w:szCs w:val="20"/>
        </w:rPr>
        <w:t xml:space="preserve"> and on the Company’s website at </w:t>
      </w:r>
      <w:hyperlink r:id="rId13" w:history="1">
        <w:r w:rsidR="00F439AE">
          <w:rPr>
            <w:rStyle w:val="Hyperlink"/>
            <w:rFonts w:ascii="Arial" w:hAnsi="Arial" w:cs="Arial"/>
            <w:sz w:val="20"/>
            <w:szCs w:val="20"/>
          </w:rPr>
          <w:t>www.crownpointenergy.com</w:t>
        </w:r>
      </w:hyperlink>
      <w:r w:rsidR="00F439AE">
        <w:rPr>
          <w:rFonts w:ascii="Arial" w:hAnsi="Arial" w:cs="Arial"/>
          <w:sz w:val="20"/>
          <w:szCs w:val="20"/>
        </w:rPr>
        <w:t xml:space="preserve">. </w:t>
      </w:r>
    </w:p>
    <w:p w14:paraId="13A438A5" w14:textId="77777777" w:rsidR="00F439AE" w:rsidRDefault="00F439AE" w:rsidP="00D17181">
      <w:pPr>
        <w:widowControl w:val="0"/>
        <w:rPr>
          <w:rFonts w:ascii="Arial" w:hAnsi="Arial" w:cs="Arial"/>
          <w:sz w:val="20"/>
          <w:szCs w:val="20"/>
        </w:rPr>
      </w:pPr>
    </w:p>
    <w:p w14:paraId="7F9BE0CD" w14:textId="0BEF55F0" w:rsidR="00997CEA" w:rsidRPr="00902562" w:rsidRDefault="00997CEA" w:rsidP="00D17181">
      <w:pPr>
        <w:widowControl w:val="0"/>
        <w:rPr>
          <w:rFonts w:ascii="Arial" w:hAnsi="Arial" w:cs="Arial"/>
          <w:sz w:val="20"/>
          <w:szCs w:val="20"/>
        </w:rPr>
      </w:pPr>
      <w:r>
        <w:rPr>
          <w:rFonts w:ascii="Arial" w:hAnsi="Arial" w:cs="Arial"/>
          <w:sz w:val="20"/>
          <w:szCs w:val="20"/>
        </w:rPr>
        <w:t>For inquiries please contact:</w:t>
      </w:r>
    </w:p>
    <w:p w14:paraId="1A0C1FB9" w14:textId="77777777" w:rsidR="00997CEA" w:rsidRPr="00902562" w:rsidRDefault="00B53113" w:rsidP="00912885">
      <w:pPr>
        <w:widowControl w:val="0"/>
        <w:spacing w:before="120"/>
        <w:outlineLvl w:val="0"/>
        <w:rPr>
          <w:rFonts w:ascii="Arial" w:hAnsi="Arial" w:cs="Arial"/>
          <w:sz w:val="20"/>
          <w:szCs w:val="20"/>
        </w:rPr>
      </w:pPr>
      <w:r>
        <w:rPr>
          <w:rFonts w:ascii="Arial" w:hAnsi="Arial" w:cs="Arial"/>
          <w:sz w:val="20"/>
          <w:szCs w:val="20"/>
        </w:rPr>
        <w:t>Gabriel Obrador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Marisa Tormakh</w:t>
      </w:r>
    </w:p>
    <w:p w14:paraId="5E29AA70" w14:textId="77777777" w:rsidR="00997CEA" w:rsidRPr="00902562" w:rsidRDefault="00997CEA" w:rsidP="00D17181">
      <w:pPr>
        <w:widowControl w:val="0"/>
        <w:outlineLvl w:val="0"/>
        <w:rPr>
          <w:rFonts w:ascii="Arial" w:hAnsi="Arial" w:cs="Arial"/>
          <w:sz w:val="20"/>
          <w:szCs w:val="20"/>
        </w:rPr>
      </w:pPr>
      <w:r>
        <w:rPr>
          <w:rFonts w:ascii="Arial" w:hAnsi="Arial" w:cs="Arial"/>
          <w:sz w:val="20"/>
          <w:szCs w:val="20"/>
        </w:rPr>
        <w:t>President &amp; CEO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Vice-President, Finance &amp; CFO</w:t>
      </w:r>
    </w:p>
    <w:p w14:paraId="7F7C674C" w14:textId="77777777" w:rsidR="00997CEA" w:rsidRPr="00902562" w:rsidRDefault="00997CEA" w:rsidP="00D17181">
      <w:pPr>
        <w:widowControl w:val="0"/>
        <w:rPr>
          <w:rFonts w:ascii="Arial" w:hAnsi="Arial" w:cs="Arial"/>
          <w:sz w:val="20"/>
          <w:szCs w:val="20"/>
        </w:rPr>
      </w:pPr>
      <w:r>
        <w:rPr>
          <w:rFonts w:ascii="Arial" w:hAnsi="Arial" w:cs="Arial"/>
          <w:sz w:val="20"/>
          <w:szCs w:val="20"/>
        </w:rPr>
        <w:t>Ph: (403) 232-1150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 (403) 232-1150</w:t>
      </w:r>
    </w:p>
    <w:p w14:paraId="6293BBEE" w14:textId="77777777" w:rsidR="00997CEA" w:rsidRPr="00902562" w:rsidRDefault="00997CEA" w:rsidP="00D17181">
      <w:pPr>
        <w:widowControl w:val="0"/>
        <w:rPr>
          <w:rFonts w:ascii="Arial" w:hAnsi="Arial" w:cs="Arial"/>
          <w:sz w:val="20"/>
          <w:szCs w:val="20"/>
        </w:rPr>
      </w:pPr>
      <w:r>
        <w:rPr>
          <w:rFonts w:ascii="Arial" w:hAnsi="Arial" w:cs="Arial"/>
          <w:sz w:val="20"/>
          <w:szCs w:val="20"/>
        </w:rPr>
        <w:t>Crown Point Energy Inc.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Crown Point Energy Inc.</w:t>
      </w:r>
    </w:p>
    <w:p w14:paraId="589D73E6" w14:textId="77777777" w:rsidR="00997CEA" w:rsidRPr="00902562" w:rsidRDefault="001C3A55" w:rsidP="00D17181">
      <w:pPr>
        <w:widowControl w:val="0"/>
        <w:rPr>
          <w:rFonts w:ascii="Arial" w:hAnsi="Arial" w:cs="Arial"/>
          <w:sz w:val="20"/>
          <w:szCs w:val="20"/>
        </w:rPr>
      </w:pPr>
      <w:hyperlink r:id="rId14" w:history="1">
        <w:r>
          <w:rPr>
            <w:rStyle w:val="Hyperlink"/>
            <w:rFonts w:ascii="Arial" w:hAnsi="Arial" w:cs="Arial"/>
            <w:sz w:val="20"/>
            <w:szCs w:val="20"/>
          </w:rPr>
          <w:t>gobrador@crownpointenergy.com</w:t>
        </w:r>
      </w:hyperlink>
      <w:r>
        <w:rPr>
          <w:rFonts w:ascii="Arial" w:hAnsi="Arial" w:cs="Arial"/>
          <w:sz w:val="20"/>
          <w:szCs w:val="20"/>
        </w:rPr>
        <w:tab/>
      </w:r>
      <w:r>
        <w:rPr>
          <w:rFonts w:ascii="Arial" w:hAnsi="Arial" w:cs="Arial"/>
          <w:sz w:val="20"/>
          <w:szCs w:val="20"/>
        </w:rPr>
        <w:tab/>
      </w:r>
      <w:hyperlink r:id="rId15" w:history="1">
        <w:r>
          <w:rPr>
            <w:rStyle w:val="Hyperlink"/>
            <w:rFonts w:ascii="Arial" w:hAnsi="Arial" w:cs="Arial"/>
            <w:sz w:val="20"/>
            <w:szCs w:val="20"/>
          </w:rPr>
          <w:t>mtormakh@crownpointenergy.com</w:t>
        </w:r>
      </w:hyperlink>
      <w:r>
        <w:rPr>
          <w:rFonts w:ascii="Arial" w:hAnsi="Arial" w:cs="Arial"/>
          <w:sz w:val="20"/>
          <w:szCs w:val="20"/>
        </w:rPr>
        <w:t xml:space="preserve"> </w:t>
      </w:r>
    </w:p>
    <w:p w14:paraId="2B74219D" w14:textId="77777777" w:rsidR="0042733B" w:rsidRPr="00902562" w:rsidRDefault="0042733B" w:rsidP="00D17181">
      <w:pPr>
        <w:widowControl w:val="0"/>
        <w:rPr>
          <w:rFonts w:ascii="Arial" w:hAnsi="Arial" w:cs="Arial"/>
          <w:b/>
          <w:i/>
          <w:sz w:val="20"/>
          <w:szCs w:val="20"/>
        </w:rPr>
      </w:pPr>
    </w:p>
    <w:p w14:paraId="213A3C75" w14:textId="77777777" w:rsidR="00997CEA" w:rsidRPr="00902562" w:rsidRDefault="00193809" w:rsidP="00D17181">
      <w:pPr>
        <w:widowControl w:val="0"/>
        <w:rPr>
          <w:rFonts w:ascii="Arial" w:hAnsi="Arial" w:cs="Arial"/>
          <w:b/>
          <w:i/>
          <w:sz w:val="20"/>
          <w:szCs w:val="20"/>
        </w:rPr>
      </w:pPr>
      <w:r>
        <w:rPr>
          <w:rFonts w:ascii="Arial" w:hAnsi="Arial" w:cs="Arial"/>
          <w:b/>
          <w:i/>
          <w:sz w:val="20"/>
          <w:szCs w:val="20"/>
        </w:rPr>
        <w:t>About Crown Point</w:t>
      </w:r>
    </w:p>
    <w:p w14:paraId="522E25BA" w14:textId="2D07E448" w:rsidR="001757BE" w:rsidRDefault="00843B59" w:rsidP="00F458A0">
      <w:pPr>
        <w:pStyle w:val="MICONHEADER1"/>
        <w:widowControl w:val="0"/>
        <w:spacing w:line="240" w:lineRule="atLeast"/>
        <w:ind w:left="0"/>
        <w:rPr>
          <w:rFonts w:ascii="Arial" w:hAnsi="Arial" w:cs="Arial"/>
          <w:b w:val="0"/>
          <w:bCs/>
          <w:caps w:val="0"/>
          <w:sz w:val="22"/>
          <w:szCs w:val="22"/>
        </w:rPr>
      </w:pPr>
      <w:r>
        <w:rPr>
          <w:rFonts w:ascii="Arial" w:hAnsi="Arial" w:cs="Arial"/>
          <w:b w:val="0"/>
          <w:bCs/>
          <w:caps w:val="0"/>
          <w:sz w:val="20"/>
          <w:szCs w:val="20"/>
        </w:rPr>
        <w:t>Crown Point Energy Inc. is an international oil and gas</w:t>
      </w:r>
      <w:r w:rsidR="00776BE8">
        <w:rPr>
          <w:rFonts w:ascii="Arial" w:hAnsi="Arial" w:cs="Arial"/>
          <w:b w:val="0"/>
          <w:bCs/>
          <w:caps w:val="0"/>
          <w:sz w:val="20"/>
          <w:szCs w:val="20"/>
        </w:rPr>
        <w:t xml:space="preserve"> </w:t>
      </w:r>
      <w:r>
        <w:rPr>
          <w:rFonts w:ascii="Arial" w:hAnsi="Arial" w:cs="Arial"/>
          <w:b w:val="0"/>
          <w:bCs/>
          <w:caps w:val="0"/>
          <w:sz w:val="20"/>
          <w:szCs w:val="20"/>
        </w:rPr>
        <w:t xml:space="preserve">exploration and development company headquartered in </w:t>
      </w:r>
      <w:r w:rsidR="00604A1F">
        <w:rPr>
          <w:rFonts w:ascii="Arial" w:hAnsi="Arial" w:cs="Arial"/>
          <w:b w:val="0"/>
          <w:bCs/>
          <w:caps w:val="0"/>
          <w:sz w:val="20"/>
          <w:szCs w:val="20"/>
        </w:rPr>
        <w:t>Buenos Aires, Argentina</w:t>
      </w:r>
      <w:r>
        <w:rPr>
          <w:rFonts w:ascii="Arial" w:hAnsi="Arial" w:cs="Arial"/>
          <w:b w:val="0"/>
          <w:bCs/>
          <w:caps w:val="0"/>
          <w:sz w:val="20"/>
          <w:szCs w:val="20"/>
        </w:rPr>
        <w:t xml:space="preserve">, incorporated in Canada, trading on the TSX Venture Exchange and operating in Argentina. Crown Point’s exploration and development activities are focused in </w:t>
      </w:r>
      <w:r w:rsidR="00B37A69">
        <w:rPr>
          <w:rFonts w:ascii="Arial" w:hAnsi="Arial" w:cs="Arial"/>
          <w:b w:val="0"/>
          <w:bCs/>
          <w:caps w:val="0"/>
          <w:sz w:val="20"/>
          <w:szCs w:val="20"/>
        </w:rPr>
        <w:t>four</w:t>
      </w:r>
      <w:r>
        <w:rPr>
          <w:rFonts w:ascii="Arial" w:hAnsi="Arial" w:cs="Arial"/>
          <w:b w:val="0"/>
          <w:bCs/>
          <w:caps w:val="0"/>
          <w:sz w:val="20"/>
          <w:szCs w:val="20"/>
        </w:rPr>
        <w:t xml:space="preserve"> producing basins in Argentina, </w:t>
      </w:r>
      <w:r w:rsidR="00B37A69">
        <w:rPr>
          <w:rFonts w:ascii="Arial" w:hAnsi="Arial" w:cs="Arial"/>
          <w:b w:val="0"/>
          <w:bCs/>
          <w:caps w:val="0"/>
          <w:sz w:val="20"/>
          <w:szCs w:val="20"/>
        </w:rPr>
        <w:t xml:space="preserve">the Golfo San Jorge basin in the Province of Santa Cruz, </w:t>
      </w:r>
      <w:r>
        <w:rPr>
          <w:rFonts w:ascii="Arial" w:hAnsi="Arial" w:cs="Arial"/>
          <w:b w:val="0"/>
          <w:bCs/>
          <w:caps w:val="0"/>
          <w:sz w:val="20"/>
          <w:szCs w:val="20"/>
        </w:rPr>
        <w:t xml:space="preserve">the Austral basin in the province of Tierra del Fuego, and the Neuquén and Cuyo </w:t>
      </w:r>
      <w:r w:rsidR="007F59BC">
        <w:rPr>
          <w:rFonts w:ascii="Arial" w:hAnsi="Arial" w:cs="Arial"/>
          <w:b w:val="0"/>
          <w:bCs/>
          <w:caps w:val="0"/>
          <w:sz w:val="20"/>
          <w:szCs w:val="20"/>
        </w:rPr>
        <w:t xml:space="preserve">(or Cuyana) </w:t>
      </w:r>
      <w:r>
        <w:rPr>
          <w:rFonts w:ascii="Arial" w:hAnsi="Arial" w:cs="Arial"/>
          <w:b w:val="0"/>
          <w:bCs/>
          <w:caps w:val="0"/>
          <w:sz w:val="20"/>
          <w:szCs w:val="20"/>
        </w:rPr>
        <w:t xml:space="preserve">basins in the province of Mendoza. Crown Point has a strategy that focuses on establishing a portfolio of producing properties, plus production enhancement and exploration opportunities to provide a basis for future growth. </w:t>
      </w:r>
    </w:p>
    <w:p w14:paraId="4F6A2683" w14:textId="77777777" w:rsidR="00B84B7A" w:rsidRPr="00AA3D64" w:rsidRDefault="00B84B7A" w:rsidP="005D19BE">
      <w:pPr>
        <w:widowControl w:val="0"/>
        <w:jc w:val="both"/>
        <w:rPr>
          <w:rFonts w:ascii="Arial" w:hAnsi="Arial" w:cs="Arial"/>
          <w:b/>
          <w:i/>
          <w:sz w:val="14"/>
          <w:szCs w:val="14"/>
        </w:rPr>
      </w:pPr>
    </w:p>
    <w:p w14:paraId="3654568B" w14:textId="77777777" w:rsidR="001757BE" w:rsidRPr="002113D9" w:rsidRDefault="00193809" w:rsidP="005D19BE">
      <w:pPr>
        <w:widowControl w:val="0"/>
        <w:jc w:val="both"/>
        <w:rPr>
          <w:rFonts w:ascii="Arial" w:hAnsi="Arial" w:cs="Arial"/>
          <w:b/>
          <w:i/>
          <w:sz w:val="14"/>
          <w:szCs w:val="14"/>
        </w:rPr>
      </w:pPr>
      <w:r w:rsidRPr="002113D9">
        <w:rPr>
          <w:rFonts w:ascii="Arial" w:hAnsi="Arial" w:cs="Arial"/>
          <w:b/>
          <w:i/>
          <w:sz w:val="14"/>
          <w:szCs w:val="14"/>
        </w:rPr>
        <w:t>Advisory</w:t>
      </w:r>
    </w:p>
    <w:p w14:paraId="4F900E02" w14:textId="4F26F1F6" w:rsidR="00AA3D64" w:rsidRPr="002113D9" w:rsidRDefault="00AA3D64" w:rsidP="00AA3D64">
      <w:pPr>
        <w:jc w:val="both"/>
        <w:rPr>
          <w:rFonts w:ascii="Arial" w:eastAsia="Calibri" w:hAnsi="Arial" w:cs="Arial"/>
          <w:i/>
          <w:sz w:val="14"/>
          <w:szCs w:val="14"/>
          <w:u w:val="single"/>
        </w:rPr>
      </w:pPr>
      <w:r w:rsidRPr="002113D9">
        <w:rPr>
          <w:rFonts w:ascii="Arial" w:hAnsi="Arial" w:cs="Arial"/>
          <w:bCs/>
          <w:i/>
          <w:sz w:val="14"/>
          <w:szCs w:val="14"/>
          <w:u w:val="single"/>
        </w:rPr>
        <w:t xml:space="preserve">Preliminary Financial Information: </w:t>
      </w:r>
      <w:r w:rsidR="002113D9" w:rsidRPr="002113D9">
        <w:rPr>
          <w:rFonts w:ascii="Arial" w:hAnsi="Arial" w:cs="Arial"/>
          <w:i/>
          <w:sz w:val="14"/>
          <w:szCs w:val="14"/>
        </w:rPr>
        <w:t>The Company's expectations for our financial results for the three months and year ended December 31, 2024 contained herein are based on, among other things, our anticipated financial results for the year ending December 31, 2024. The Company's anticipated financial results are unaudited and preliminary estimates that: (</w:t>
      </w:r>
      <w:proofErr w:type="spellStart"/>
      <w:r w:rsidR="002113D9" w:rsidRPr="002113D9">
        <w:rPr>
          <w:rFonts w:ascii="Arial" w:hAnsi="Arial" w:cs="Arial"/>
          <w:i/>
          <w:sz w:val="14"/>
          <w:szCs w:val="14"/>
        </w:rPr>
        <w:t>i</w:t>
      </w:r>
      <w:proofErr w:type="spellEnd"/>
      <w:r w:rsidR="002113D9" w:rsidRPr="002113D9">
        <w:rPr>
          <w:rFonts w:ascii="Arial" w:hAnsi="Arial" w:cs="Arial"/>
          <w:i/>
          <w:sz w:val="14"/>
          <w:szCs w:val="14"/>
        </w:rPr>
        <w:t>) represent the most current information available to management as of the date hereof; (ii) are subject to completion of audit and/or review procedures that could result in significant changes to the estimated amounts; and (iii) do not present all information necessary for an understanding of the Company's financial condition as of, and the Company's results of operations for, such periods. The anticipated financial results are subject to the same limitations and risks as discussed under “Forward-Looking Information” below. Accordingly, the Company's anticipated financial results for such periods may change upon the completion and approval of the financial statements for such periods and the changes could be material.</w:t>
      </w:r>
    </w:p>
    <w:p w14:paraId="5C88DC00" w14:textId="21EE5719" w:rsidR="00111AED" w:rsidRPr="00825896" w:rsidRDefault="00111AED" w:rsidP="00912885">
      <w:pPr>
        <w:pStyle w:val="BodyText"/>
        <w:widowControl w:val="0"/>
        <w:spacing w:before="60" w:after="0" w:line="240" w:lineRule="auto"/>
        <w:rPr>
          <w:rFonts w:ascii="Arial" w:hAnsi="Arial" w:cs="Arial"/>
          <w:i/>
          <w:sz w:val="14"/>
          <w:szCs w:val="14"/>
        </w:rPr>
      </w:pPr>
      <w:r w:rsidRPr="002113D9">
        <w:rPr>
          <w:rFonts w:ascii="Arial" w:eastAsia="Calibri" w:hAnsi="Arial" w:cs="Arial"/>
          <w:i/>
          <w:sz w:val="14"/>
          <w:szCs w:val="14"/>
          <w:u w:val="single"/>
        </w:rPr>
        <w:t>Non-IFRS and Other Financial Measures</w:t>
      </w:r>
      <w:r w:rsidRPr="002113D9">
        <w:rPr>
          <w:rFonts w:ascii="Arial" w:eastAsia="Calibri" w:hAnsi="Arial" w:cs="Arial"/>
          <w:i/>
          <w:sz w:val="14"/>
          <w:szCs w:val="14"/>
        </w:rPr>
        <w:t xml:space="preserve">: </w:t>
      </w:r>
      <w:r w:rsidRPr="002113D9">
        <w:rPr>
          <w:rFonts w:ascii="Arial" w:hAnsi="Arial" w:cs="Arial"/>
          <w:i/>
          <w:sz w:val="14"/>
          <w:szCs w:val="14"/>
        </w:rPr>
        <w:t>Throughout this press release and in other materials disclosed by the Company, we employ certain measures to analyze financial performance, financial position, and cash flow. These non-IFRS and other financial measures do not have any standardized meaning prescribed by IFRS and therefore may not be comparable to similar measures provided by other issuers.  The non-IFRS and other financial measures should not be considered to be more meaningful</w:t>
      </w:r>
      <w:r>
        <w:rPr>
          <w:rFonts w:ascii="Arial" w:hAnsi="Arial" w:cs="Arial"/>
          <w:i/>
          <w:sz w:val="14"/>
          <w:szCs w:val="14"/>
        </w:rPr>
        <w:t xml:space="preserve"> than financial measures which are determined in accordance with IFRS, such as net income (loss), oil and natural gas sales revenue and net cash </w:t>
      </w:r>
      <w:r w:rsidR="00473DE7">
        <w:rPr>
          <w:rFonts w:ascii="Arial" w:hAnsi="Arial" w:cs="Arial"/>
          <w:i/>
          <w:sz w:val="14"/>
          <w:szCs w:val="14"/>
        </w:rPr>
        <w:t xml:space="preserve">(used) </w:t>
      </w:r>
      <w:r>
        <w:rPr>
          <w:rFonts w:ascii="Arial" w:hAnsi="Arial" w:cs="Arial"/>
          <w:i/>
          <w:sz w:val="14"/>
          <w:szCs w:val="14"/>
        </w:rPr>
        <w:t xml:space="preserve">provided by operating activities as indicators of our performance.  </w:t>
      </w:r>
    </w:p>
    <w:p w14:paraId="096CCD1C" w14:textId="3D9E5909" w:rsidR="001402A6" w:rsidRPr="001402A6" w:rsidRDefault="003760A5" w:rsidP="001402A6">
      <w:pPr>
        <w:pStyle w:val="BodyText"/>
        <w:widowControl w:val="0"/>
        <w:spacing w:before="60" w:after="0" w:line="240" w:lineRule="auto"/>
        <w:rPr>
          <w:rFonts w:ascii="Arial" w:hAnsi="Arial" w:cs="Arial"/>
          <w:i/>
          <w:sz w:val="14"/>
          <w:szCs w:val="14"/>
        </w:rPr>
      </w:pPr>
      <w:r>
        <w:rPr>
          <w:rFonts w:ascii="Arial" w:hAnsi="Arial" w:cs="Arial"/>
          <w:i/>
          <w:sz w:val="14"/>
          <w:szCs w:val="14"/>
        </w:rPr>
        <w:t>“</w:t>
      </w:r>
      <w:r w:rsidR="001402A6">
        <w:rPr>
          <w:rFonts w:ascii="Arial" w:hAnsi="Arial" w:cs="Arial"/>
          <w:i/>
          <w:sz w:val="14"/>
          <w:szCs w:val="14"/>
        </w:rPr>
        <w:t>Funds flow per share – operating activities</w:t>
      </w:r>
      <w:r>
        <w:rPr>
          <w:rFonts w:ascii="Arial" w:hAnsi="Arial" w:cs="Arial"/>
          <w:i/>
          <w:sz w:val="14"/>
          <w:szCs w:val="14"/>
        </w:rPr>
        <w:t>”</w:t>
      </w:r>
      <w:r w:rsidR="001402A6">
        <w:rPr>
          <w:rFonts w:ascii="Arial" w:hAnsi="Arial" w:cs="Arial"/>
          <w:i/>
          <w:sz w:val="14"/>
          <w:szCs w:val="14"/>
        </w:rPr>
        <w:t xml:space="preserve"> is a supplemental financial measure.  Funds flow per share – operating activities is comprised of funds flow provided </w:t>
      </w:r>
      <w:r w:rsidR="00DC19F1">
        <w:rPr>
          <w:rFonts w:ascii="Arial" w:hAnsi="Arial" w:cs="Arial"/>
          <w:i/>
          <w:sz w:val="14"/>
          <w:szCs w:val="14"/>
        </w:rPr>
        <w:t xml:space="preserve">(used) </w:t>
      </w:r>
      <w:r w:rsidR="001402A6">
        <w:rPr>
          <w:rFonts w:ascii="Arial" w:hAnsi="Arial" w:cs="Arial"/>
          <w:i/>
          <w:sz w:val="14"/>
          <w:szCs w:val="14"/>
        </w:rPr>
        <w:t xml:space="preserve">by operating activities divided by the basic and diluted weighted average number of common shares outstanding for the period. See “Summary of Financial Information”. </w:t>
      </w:r>
    </w:p>
    <w:p w14:paraId="2E056E3C" w14:textId="3B082984" w:rsidR="001402A6" w:rsidRPr="001402A6" w:rsidRDefault="003760A5" w:rsidP="001402A6">
      <w:pPr>
        <w:pStyle w:val="BodyText"/>
        <w:widowControl w:val="0"/>
        <w:spacing w:before="60" w:after="0" w:line="240" w:lineRule="auto"/>
        <w:rPr>
          <w:rFonts w:ascii="Arial" w:hAnsi="Arial" w:cs="Arial"/>
          <w:i/>
          <w:sz w:val="14"/>
          <w:szCs w:val="14"/>
        </w:rPr>
      </w:pPr>
      <w:r>
        <w:rPr>
          <w:rFonts w:ascii="Arial" w:hAnsi="Arial" w:cs="Arial"/>
          <w:i/>
          <w:sz w:val="14"/>
          <w:szCs w:val="14"/>
        </w:rPr>
        <w:t>“</w:t>
      </w:r>
      <w:r w:rsidR="001402A6">
        <w:rPr>
          <w:rFonts w:ascii="Arial" w:hAnsi="Arial" w:cs="Arial"/>
          <w:i/>
          <w:sz w:val="14"/>
          <w:szCs w:val="14"/>
        </w:rPr>
        <w:t>Net cash per share – operating activities</w:t>
      </w:r>
      <w:r>
        <w:rPr>
          <w:rFonts w:ascii="Arial" w:hAnsi="Arial" w:cs="Arial"/>
          <w:i/>
          <w:sz w:val="14"/>
          <w:szCs w:val="14"/>
        </w:rPr>
        <w:t>”</w:t>
      </w:r>
      <w:r w:rsidR="001402A6">
        <w:rPr>
          <w:rFonts w:ascii="Arial" w:hAnsi="Arial" w:cs="Arial"/>
          <w:i/>
          <w:sz w:val="14"/>
          <w:szCs w:val="14"/>
        </w:rPr>
        <w:t xml:space="preserve"> is a supplemental financial measure. Net cash per share – operating activities is comprised of net cash provided </w:t>
      </w:r>
      <w:r w:rsidR="00DC19F1">
        <w:rPr>
          <w:rFonts w:ascii="Arial" w:hAnsi="Arial" w:cs="Arial"/>
          <w:i/>
          <w:sz w:val="14"/>
          <w:szCs w:val="14"/>
        </w:rPr>
        <w:t xml:space="preserve">(used) </w:t>
      </w:r>
      <w:r w:rsidR="001402A6">
        <w:rPr>
          <w:rFonts w:ascii="Arial" w:hAnsi="Arial" w:cs="Arial"/>
          <w:i/>
          <w:sz w:val="14"/>
          <w:szCs w:val="14"/>
        </w:rPr>
        <w:t>by operating activities divided by the basic and diluted weighted average number of common shares outstanding for the period. See “Summary of Financial Information”.</w:t>
      </w:r>
    </w:p>
    <w:p w14:paraId="2162BD14" w14:textId="44E967CC" w:rsidR="0061268E" w:rsidRPr="003F2A86" w:rsidRDefault="003760A5" w:rsidP="001402A6">
      <w:pPr>
        <w:pStyle w:val="BodyText"/>
        <w:widowControl w:val="0"/>
        <w:spacing w:before="60" w:after="0" w:line="240" w:lineRule="auto"/>
        <w:rPr>
          <w:rFonts w:ascii="Arial" w:hAnsi="Arial" w:cs="Arial"/>
          <w:i/>
          <w:sz w:val="14"/>
          <w:szCs w:val="14"/>
        </w:rPr>
      </w:pPr>
      <w:r>
        <w:rPr>
          <w:rFonts w:ascii="Arial" w:hAnsi="Arial" w:cs="Arial"/>
          <w:i/>
          <w:sz w:val="14"/>
          <w:szCs w:val="14"/>
        </w:rPr>
        <w:t>“</w:t>
      </w:r>
      <w:r w:rsidR="001402A6">
        <w:rPr>
          <w:rFonts w:ascii="Arial" w:hAnsi="Arial" w:cs="Arial"/>
          <w:i/>
          <w:sz w:val="14"/>
          <w:szCs w:val="14"/>
        </w:rPr>
        <w:t>Non-current financial liabilities</w:t>
      </w:r>
      <w:r>
        <w:rPr>
          <w:rFonts w:ascii="Arial" w:hAnsi="Arial" w:cs="Arial"/>
          <w:i/>
          <w:sz w:val="14"/>
          <w:szCs w:val="14"/>
        </w:rPr>
        <w:t>”</w:t>
      </w:r>
      <w:r w:rsidR="001402A6">
        <w:rPr>
          <w:rFonts w:ascii="Arial" w:hAnsi="Arial" w:cs="Arial"/>
          <w:i/>
          <w:sz w:val="14"/>
          <w:szCs w:val="14"/>
        </w:rPr>
        <w:t xml:space="preserve"> is a supplemental financial measure.  Non-current financial liabilities </w:t>
      </w:r>
      <w:proofErr w:type="gramStart"/>
      <w:r w:rsidR="001402A6">
        <w:rPr>
          <w:rFonts w:ascii="Arial" w:hAnsi="Arial" w:cs="Arial"/>
          <w:i/>
          <w:sz w:val="14"/>
          <w:szCs w:val="14"/>
        </w:rPr>
        <w:t>is</w:t>
      </w:r>
      <w:proofErr w:type="gramEnd"/>
      <w:r w:rsidR="001402A6">
        <w:rPr>
          <w:rFonts w:ascii="Arial" w:hAnsi="Arial" w:cs="Arial"/>
          <w:i/>
          <w:sz w:val="14"/>
          <w:szCs w:val="14"/>
        </w:rPr>
        <w:t xml:space="preserve"> comprised of the non-current portions of trade and other payables, notes payable and lease liabilities as presented in the Company’s consolidated statements of financial position.  See “Summary of Financial Information”.</w:t>
      </w:r>
    </w:p>
    <w:p w14:paraId="63FC7477" w14:textId="31093B3E" w:rsidR="003F2A86" w:rsidRPr="003F2A86" w:rsidRDefault="003760A5" w:rsidP="003F2A86">
      <w:pPr>
        <w:pStyle w:val="Ne3"/>
        <w:widowControl w:val="0"/>
        <w:spacing w:before="60" w:line="240" w:lineRule="auto"/>
        <w:ind w:left="0"/>
        <w:rPr>
          <w:rFonts w:cs="Arial"/>
          <w:i/>
          <w:sz w:val="14"/>
          <w:szCs w:val="14"/>
        </w:rPr>
      </w:pPr>
      <w:r>
        <w:rPr>
          <w:rFonts w:cs="Arial"/>
          <w:i/>
          <w:sz w:val="14"/>
          <w:szCs w:val="14"/>
        </w:rPr>
        <w:t>“</w:t>
      </w:r>
      <w:r w:rsidR="003F2A86">
        <w:rPr>
          <w:rFonts w:cs="Arial"/>
          <w:i/>
          <w:sz w:val="14"/>
          <w:szCs w:val="14"/>
        </w:rPr>
        <w:t>Operating Netback</w:t>
      </w:r>
      <w:r>
        <w:rPr>
          <w:rFonts w:cs="Arial"/>
          <w:i/>
          <w:sz w:val="14"/>
          <w:szCs w:val="14"/>
        </w:rPr>
        <w:t>”</w:t>
      </w:r>
      <w:r w:rsidR="003F2A86">
        <w:rPr>
          <w:rFonts w:cs="Arial"/>
          <w:i/>
          <w:sz w:val="14"/>
          <w:szCs w:val="14"/>
        </w:rPr>
        <w:t xml:space="preserve"> is a non-IFRS measure.  Operating netback is comprised of oil and natural gas sales </w:t>
      </w:r>
      <w:r w:rsidR="00075E49">
        <w:rPr>
          <w:rFonts w:cs="Arial"/>
          <w:i/>
          <w:sz w:val="14"/>
          <w:szCs w:val="14"/>
        </w:rPr>
        <w:t xml:space="preserve">revenue </w:t>
      </w:r>
      <w:r w:rsidR="003F2A86">
        <w:rPr>
          <w:rFonts w:cs="Arial"/>
          <w:i/>
          <w:sz w:val="14"/>
          <w:szCs w:val="14"/>
        </w:rPr>
        <w:t xml:space="preserve">less export tax, royalties and turnover tax and operating costs.  </w:t>
      </w:r>
      <w:r w:rsidR="003F2A86">
        <w:rPr>
          <w:i/>
          <w:sz w:val="14"/>
          <w:szCs w:val="14"/>
        </w:rPr>
        <w:t xml:space="preserve">Management believes this measure is a useful supplemental measure of the Company’s profitability relative to commodity prices.  </w:t>
      </w:r>
      <w:r w:rsidR="003F2A86">
        <w:rPr>
          <w:rFonts w:cs="Arial"/>
          <w:i/>
          <w:sz w:val="14"/>
          <w:szCs w:val="14"/>
        </w:rPr>
        <w:t>See “Operating Netback” for a reconciliation of operating netback to oil and natural gas sales revenue, being our nearest measure prescribed by IFRS.</w:t>
      </w:r>
    </w:p>
    <w:p w14:paraId="670CEF04" w14:textId="11A82452" w:rsidR="001402A6" w:rsidRDefault="003760A5" w:rsidP="001402A6">
      <w:pPr>
        <w:pStyle w:val="BodyText"/>
        <w:widowControl w:val="0"/>
        <w:spacing w:before="60" w:after="0" w:line="240" w:lineRule="auto"/>
        <w:rPr>
          <w:rFonts w:ascii="Arial" w:hAnsi="Arial" w:cs="Arial"/>
          <w:i/>
          <w:sz w:val="14"/>
          <w:szCs w:val="14"/>
        </w:rPr>
      </w:pPr>
      <w:r>
        <w:rPr>
          <w:rFonts w:ascii="Arial" w:hAnsi="Arial" w:cs="Arial"/>
          <w:i/>
          <w:sz w:val="14"/>
          <w:szCs w:val="14"/>
        </w:rPr>
        <w:t>“</w:t>
      </w:r>
      <w:r w:rsidR="001402A6">
        <w:rPr>
          <w:rFonts w:ascii="Arial" w:hAnsi="Arial" w:cs="Arial"/>
          <w:i/>
          <w:sz w:val="14"/>
          <w:szCs w:val="14"/>
        </w:rPr>
        <w:t>Operating netback per BOE</w:t>
      </w:r>
      <w:r>
        <w:rPr>
          <w:rFonts w:ascii="Arial" w:hAnsi="Arial" w:cs="Arial"/>
          <w:i/>
          <w:sz w:val="14"/>
          <w:szCs w:val="14"/>
        </w:rPr>
        <w:t>”</w:t>
      </w:r>
      <w:r w:rsidR="001402A6">
        <w:rPr>
          <w:rFonts w:ascii="Arial" w:hAnsi="Arial" w:cs="Arial"/>
          <w:i/>
          <w:sz w:val="14"/>
          <w:szCs w:val="14"/>
        </w:rPr>
        <w:t xml:space="preserve"> is a non-IFRS ratio.  Operating netback per BOE is comprised of operating netback divided by total BOE sales volumes in the period.  Management believes this measure is a useful supplemental measure of the Company’s profitability relative to commodity prices.  In addition, management believes that operating netback per BOE is a key industry performance measure of operational efficiency and provide investors with information that is also commonly presented by other crude oil and natural gas producers.  Operating netback is a non-IFRS measure.  See "Operating Netback" for the calculation of operating netback per BOE.</w:t>
      </w:r>
    </w:p>
    <w:p w14:paraId="763A5AF8" w14:textId="077BCAE9" w:rsidR="001402A6" w:rsidRPr="007051B2" w:rsidRDefault="003760A5" w:rsidP="001402A6">
      <w:pPr>
        <w:pStyle w:val="BodyText"/>
        <w:widowControl w:val="0"/>
        <w:spacing w:before="60" w:after="0" w:line="240" w:lineRule="auto"/>
        <w:rPr>
          <w:rFonts w:ascii="Arial" w:hAnsi="Arial" w:cs="Arial"/>
          <w:i/>
          <w:sz w:val="14"/>
          <w:szCs w:val="14"/>
        </w:rPr>
      </w:pPr>
      <w:r>
        <w:rPr>
          <w:rFonts w:ascii="Arial" w:hAnsi="Arial" w:cs="Arial"/>
          <w:i/>
          <w:sz w:val="14"/>
          <w:szCs w:val="14"/>
        </w:rPr>
        <w:t>“</w:t>
      </w:r>
      <w:r w:rsidR="001402A6">
        <w:rPr>
          <w:rFonts w:ascii="Arial" w:hAnsi="Arial" w:cs="Arial"/>
          <w:i/>
          <w:sz w:val="14"/>
          <w:szCs w:val="14"/>
        </w:rPr>
        <w:t>Working capital</w:t>
      </w:r>
      <w:r>
        <w:rPr>
          <w:rFonts w:ascii="Arial" w:hAnsi="Arial" w:cs="Arial"/>
          <w:i/>
          <w:sz w:val="14"/>
          <w:szCs w:val="14"/>
        </w:rPr>
        <w:t>”</w:t>
      </w:r>
      <w:r w:rsidR="001402A6">
        <w:rPr>
          <w:rFonts w:ascii="Arial" w:hAnsi="Arial" w:cs="Arial"/>
          <w:i/>
          <w:sz w:val="14"/>
          <w:szCs w:val="14"/>
        </w:rPr>
        <w:t xml:space="preserve"> is a capital management measure.  Working capital is comprised of current assets </w:t>
      </w:r>
      <w:proofErr w:type="gramStart"/>
      <w:r w:rsidR="001402A6">
        <w:rPr>
          <w:rFonts w:ascii="Arial" w:hAnsi="Arial" w:cs="Arial"/>
          <w:i/>
          <w:sz w:val="14"/>
          <w:szCs w:val="14"/>
        </w:rPr>
        <w:t>less</w:t>
      </w:r>
      <w:proofErr w:type="gramEnd"/>
      <w:r w:rsidR="001402A6">
        <w:rPr>
          <w:rFonts w:ascii="Arial" w:hAnsi="Arial" w:cs="Arial"/>
          <w:i/>
          <w:sz w:val="14"/>
          <w:szCs w:val="14"/>
        </w:rPr>
        <w:t xml:space="preserve"> current liabilities.  Management believes that working capital is a useful measure to assess the Company's capital position and its ability to execute its existing exploration commitments and its share of any development programs.  See “Summary of Financial Information” for a reconciliation of working capital to current assets and current liabilities, being our nearest measures prescribed by IFRS.</w:t>
      </w:r>
    </w:p>
    <w:p w14:paraId="37C0D93A" w14:textId="38D0131E" w:rsidR="00111AED" w:rsidRPr="00E30C31" w:rsidRDefault="00111AED" w:rsidP="00912885">
      <w:pPr>
        <w:widowControl w:val="0"/>
        <w:spacing w:before="60"/>
        <w:jc w:val="both"/>
        <w:rPr>
          <w:rFonts w:ascii="Arial" w:hAnsi="Arial" w:cs="Arial"/>
          <w:i/>
          <w:sz w:val="14"/>
          <w:szCs w:val="14"/>
        </w:rPr>
      </w:pPr>
      <w:r>
        <w:rPr>
          <w:rFonts w:ascii="Arial" w:eastAsia="Calibri" w:hAnsi="Arial" w:cs="Arial"/>
          <w:i/>
          <w:sz w:val="14"/>
          <w:szCs w:val="14"/>
          <w:u w:val="single"/>
        </w:rPr>
        <w:t>Abbreviations and BOE Presentation</w:t>
      </w:r>
      <w:r>
        <w:rPr>
          <w:rFonts w:ascii="Arial" w:eastAsia="Calibri" w:hAnsi="Arial" w:cs="Arial"/>
          <w:i/>
          <w:sz w:val="14"/>
          <w:szCs w:val="14"/>
        </w:rPr>
        <w:t xml:space="preserve">: </w:t>
      </w:r>
      <w:r w:rsidR="003760A5">
        <w:rPr>
          <w:rFonts w:ascii="Arial" w:hAnsi="Arial" w:cs="Arial"/>
          <w:i/>
          <w:sz w:val="14"/>
          <w:szCs w:val="14"/>
        </w:rPr>
        <w:t>“</w:t>
      </w:r>
      <w:r>
        <w:rPr>
          <w:rFonts w:ascii="Arial" w:hAnsi="Arial" w:cs="Arial"/>
          <w:i/>
          <w:sz w:val="14"/>
          <w:szCs w:val="14"/>
        </w:rPr>
        <w:t>bbl</w:t>
      </w:r>
      <w:r w:rsidR="003760A5">
        <w:rPr>
          <w:rFonts w:ascii="Arial" w:hAnsi="Arial" w:cs="Arial"/>
          <w:i/>
          <w:sz w:val="14"/>
          <w:szCs w:val="14"/>
        </w:rPr>
        <w:t>”</w:t>
      </w:r>
      <w:r>
        <w:rPr>
          <w:rFonts w:ascii="Arial" w:hAnsi="Arial" w:cs="Arial"/>
          <w:i/>
          <w:sz w:val="14"/>
          <w:szCs w:val="14"/>
        </w:rPr>
        <w:t xml:space="preserve"> means barrel;</w:t>
      </w:r>
      <w:r>
        <w:rPr>
          <w:rFonts w:ascii="Arial" w:eastAsia="Calibri" w:hAnsi="Arial" w:cs="Arial"/>
          <w:i/>
          <w:sz w:val="14"/>
          <w:szCs w:val="14"/>
        </w:rPr>
        <w:t xml:space="preserve"> </w:t>
      </w:r>
      <w:r w:rsidR="003760A5">
        <w:rPr>
          <w:rFonts w:ascii="Arial" w:hAnsi="Arial" w:cs="Arial"/>
          <w:i/>
          <w:sz w:val="14"/>
          <w:szCs w:val="14"/>
        </w:rPr>
        <w:t>“</w:t>
      </w:r>
      <w:r>
        <w:rPr>
          <w:rFonts w:ascii="Arial" w:eastAsia="Calibri" w:hAnsi="Arial" w:cs="Arial"/>
          <w:i/>
          <w:sz w:val="14"/>
          <w:szCs w:val="14"/>
        </w:rPr>
        <w:t>bbls</w:t>
      </w:r>
      <w:r w:rsidR="003760A5">
        <w:rPr>
          <w:rFonts w:ascii="Arial" w:hAnsi="Arial" w:cs="Arial"/>
          <w:i/>
          <w:sz w:val="14"/>
          <w:szCs w:val="14"/>
        </w:rPr>
        <w:t>”</w:t>
      </w:r>
      <w:r>
        <w:rPr>
          <w:rFonts w:ascii="Arial" w:eastAsia="Calibri" w:hAnsi="Arial"/>
          <w:i/>
          <w:sz w:val="14"/>
        </w:rPr>
        <w:t xml:space="preserve"> means barrels; </w:t>
      </w:r>
      <w:r w:rsidR="003760A5">
        <w:rPr>
          <w:rFonts w:ascii="Arial" w:hAnsi="Arial" w:cs="Arial"/>
          <w:i/>
          <w:sz w:val="14"/>
          <w:szCs w:val="14"/>
        </w:rPr>
        <w:t>“</w:t>
      </w:r>
      <w:r>
        <w:rPr>
          <w:rFonts w:ascii="Arial" w:eastAsia="Calibri" w:hAnsi="Arial" w:cs="Arial"/>
          <w:i/>
          <w:sz w:val="14"/>
          <w:szCs w:val="14"/>
        </w:rPr>
        <w:t>BOE</w:t>
      </w:r>
      <w:r w:rsidR="003760A5">
        <w:rPr>
          <w:rFonts w:ascii="Arial" w:hAnsi="Arial" w:cs="Arial"/>
          <w:i/>
          <w:sz w:val="14"/>
          <w:szCs w:val="14"/>
        </w:rPr>
        <w:t>”</w:t>
      </w:r>
      <w:r>
        <w:rPr>
          <w:rFonts w:ascii="Arial" w:eastAsia="Calibri" w:hAnsi="Arial" w:cs="Arial"/>
          <w:i/>
          <w:sz w:val="14"/>
          <w:szCs w:val="14"/>
        </w:rPr>
        <w:t xml:space="preserve"> means barrels of oil equivalent; </w:t>
      </w:r>
      <w:r w:rsidR="003760A5">
        <w:rPr>
          <w:rFonts w:ascii="Arial" w:hAnsi="Arial" w:cs="Arial"/>
          <w:i/>
          <w:sz w:val="14"/>
          <w:szCs w:val="14"/>
        </w:rPr>
        <w:t>“</w:t>
      </w:r>
      <w:r>
        <w:rPr>
          <w:rFonts w:ascii="Arial" w:eastAsia="Calibri" w:hAnsi="Arial" w:cs="Arial"/>
          <w:i/>
          <w:sz w:val="14"/>
          <w:szCs w:val="14"/>
        </w:rPr>
        <w:t>mcf” means thousand cubic feet</w:t>
      </w:r>
      <w:r w:rsidR="00487E73">
        <w:rPr>
          <w:rFonts w:ascii="Arial" w:eastAsia="Calibri" w:hAnsi="Arial" w:cs="Arial"/>
          <w:i/>
          <w:sz w:val="14"/>
          <w:szCs w:val="14"/>
        </w:rPr>
        <w:t>;</w:t>
      </w:r>
      <w:r>
        <w:rPr>
          <w:rFonts w:ascii="Arial" w:eastAsia="Calibri" w:hAnsi="Arial" w:cs="Arial"/>
          <w:i/>
          <w:sz w:val="14"/>
          <w:szCs w:val="14"/>
        </w:rPr>
        <w:t xml:space="preserve"> </w:t>
      </w:r>
      <w:r w:rsidR="003760A5">
        <w:rPr>
          <w:rFonts w:ascii="Arial" w:hAnsi="Arial" w:cs="Arial"/>
          <w:i/>
          <w:sz w:val="14"/>
          <w:szCs w:val="14"/>
        </w:rPr>
        <w:t>“</w:t>
      </w:r>
      <w:r>
        <w:rPr>
          <w:rFonts w:ascii="Arial" w:eastAsia="Calibri" w:hAnsi="Arial" w:cs="Arial"/>
          <w:i/>
          <w:sz w:val="14"/>
          <w:szCs w:val="14"/>
        </w:rPr>
        <w:t>mmcf</w:t>
      </w:r>
      <w:r w:rsidR="003760A5">
        <w:rPr>
          <w:rFonts w:ascii="Arial" w:hAnsi="Arial" w:cs="Arial"/>
          <w:i/>
          <w:sz w:val="14"/>
          <w:szCs w:val="14"/>
        </w:rPr>
        <w:t>”</w:t>
      </w:r>
      <w:r>
        <w:rPr>
          <w:rFonts w:ascii="Arial" w:eastAsia="Calibri" w:hAnsi="Arial" w:cs="Arial"/>
          <w:i/>
          <w:sz w:val="14"/>
          <w:szCs w:val="14"/>
        </w:rPr>
        <w:t xml:space="preserve"> means million cubic feet, </w:t>
      </w:r>
      <w:r w:rsidR="003760A5">
        <w:rPr>
          <w:rFonts w:ascii="Arial" w:hAnsi="Arial" w:cs="Arial"/>
          <w:i/>
          <w:sz w:val="14"/>
          <w:szCs w:val="14"/>
        </w:rPr>
        <w:t>“</w:t>
      </w:r>
      <w:r>
        <w:rPr>
          <w:rFonts w:ascii="Arial" w:eastAsia="Calibri" w:hAnsi="Arial" w:cs="Arial"/>
          <w:i/>
          <w:sz w:val="14"/>
          <w:szCs w:val="14"/>
        </w:rPr>
        <w:t>NGL</w:t>
      </w:r>
      <w:r w:rsidR="003760A5">
        <w:rPr>
          <w:rFonts w:ascii="Arial" w:hAnsi="Arial" w:cs="Arial"/>
          <w:i/>
          <w:sz w:val="14"/>
          <w:szCs w:val="14"/>
        </w:rPr>
        <w:t>”</w:t>
      </w:r>
      <w:r>
        <w:rPr>
          <w:rFonts w:ascii="Arial" w:eastAsia="Calibri" w:hAnsi="Arial" w:cs="Arial"/>
          <w:i/>
          <w:sz w:val="14"/>
          <w:szCs w:val="14"/>
        </w:rPr>
        <w:t xml:space="preserve"> means natural gas liquids;</w:t>
      </w:r>
      <w:r>
        <w:rPr>
          <w:rFonts w:ascii="Arial" w:eastAsia="Calibri" w:hAnsi="Arial"/>
          <w:i/>
          <w:sz w:val="14"/>
        </w:rPr>
        <w:t xml:space="preserve"> </w:t>
      </w:r>
      <w:r w:rsidR="003760A5">
        <w:rPr>
          <w:rFonts w:ascii="Arial" w:hAnsi="Arial" w:cs="Arial"/>
          <w:i/>
          <w:sz w:val="14"/>
          <w:szCs w:val="14"/>
        </w:rPr>
        <w:t>“</w:t>
      </w:r>
      <w:r>
        <w:rPr>
          <w:rFonts w:ascii="Arial" w:eastAsia="Calibri" w:hAnsi="Arial"/>
          <w:i/>
          <w:sz w:val="14"/>
        </w:rPr>
        <w:t>UTE</w:t>
      </w:r>
      <w:r w:rsidR="003760A5">
        <w:rPr>
          <w:rFonts w:ascii="Arial" w:hAnsi="Arial" w:cs="Arial"/>
          <w:i/>
          <w:sz w:val="14"/>
          <w:szCs w:val="14"/>
        </w:rPr>
        <w:t>”</w:t>
      </w:r>
      <w:r>
        <w:rPr>
          <w:rFonts w:ascii="Arial" w:eastAsia="Calibri" w:hAnsi="Arial"/>
          <w:i/>
          <w:sz w:val="14"/>
        </w:rPr>
        <w:t xml:space="preserve"> </w:t>
      </w:r>
      <w:r>
        <w:rPr>
          <w:rFonts w:ascii="Arial" w:eastAsia="Calibri" w:hAnsi="Arial" w:cs="Arial"/>
          <w:i/>
          <w:sz w:val="14"/>
          <w:szCs w:val="14"/>
        </w:rPr>
        <w:t xml:space="preserve">means </w:t>
      </w:r>
      <w:r>
        <w:rPr>
          <w:rFonts w:ascii="Arial" w:hAnsi="Arial" w:cs="Arial"/>
          <w:i/>
          <w:sz w:val="14"/>
          <w:szCs w:val="14"/>
        </w:rPr>
        <w:t xml:space="preserve">Union </w:t>
      </w:r>
      <w:proofErr w:type="spellStart"/>
      <w:r>
        <w:rPr>
          <w:rFonts w:ascii="Arial" w:hAnsi="Arial" w:cs="Arial"/>
          <w:i/>
          <w:sz w:val="14"/>
          <w:szCs w:val="14"/>
        </w:rPr>
        <w:t>Transitoria</w:t>
      </w:r>
      <w:proofErr w:type="spellEnd"/>
      <w:r>
        <w:rPr>
          <w:rFonts w:ascii="Arial" w:hAnsi="Arial" w:cs="Arial"/>
          <w:i/>
          <w:sz w:val="14"/>
          <w:szCs w:val="14"/>
        </w:rPr>
        <w:t xml:space="preserve"> de </w:t>
      </w:r>
      <w:proofErr w:type="spellStart"/>
      <w:r>
        <w:rPr>
          <w:rFonts w:ascii="Arial" w:hAnsi="Arial" w:cs="Arial"/>
          <w:i/>
          <w:sz w:val="14"/>
          <w:szCs w:val="14"/>
        </w:rPr>
        <w:t>Empresas</w:t>
      </w:r>
      <w:proofErr w:type="spellEnd"/>
      <w:r>
        <w:rPr>
          <w:rFonts w:ascii="Arial" w:hAnsi="Arial" w:cs="Arial"/>
          <w:i/>
          <w:sz w:val="14"/>
          <w:szCs w:val="14"/>
        </w:rPr>
        <w:t>, which is a registered joint venture contract established under the laws of Argentina</w:t>
      </w:r>
      <w:r>
        <w:rPr>
          <w:rFonts w:ascii="Arial" w:eastAsia="Calibri" w:hAnsi="Arial" w:cs="Arial"/>
          <w:i/>
          <w:sz w:val="14"/>
          <w:szCs w:val="14"/>
        </w:rPr>
        <w:t xml:space="preserve">; </w:t>
      </w:r>
      <w:r w:rsidR="003760A5">
        <w:rPr>
          <w:rFonts w:ascii="Arial" w:hAnsi="Arial" w:cs="Arial"/>
          <w:i/>
          <w:sz w:val="14"/>
          <w:szCs w:val="14"/>
        </w:rPr>
        <w:t>“</w:t>
      </w:r>
      <w:r>
        <w:rPr>
          <w:rFonts w:ascii="Arial" w:eastAsia="Calibri" w:hAnsi="Arial"/>
          <w:i/>
          <w:sz w:val="14"/>
        </w:rPr>
        <w:t>WI</w:t>
      </w:r>
      <w:r w:rsidR="003760A5">
        <w:rPr>
          <w:rFonts w:ascii="Arial" w:hAnsi="Arial" w:cs="Arial"/>
          <w:i/>
          <w:sz w:val="14"/>
          <w:szCs w:val="14"/>
        </w:rPr>
        <w:t>”</w:t>
      </w:r>
      <w:r>
        <w:rPr>
          <w:rFonts w:ascii="Arial" w:eastAsia="Calibri" w:hAnsi="Arial"/>
          <w:i/>
          <w:sz w:val="14"/>
        </w:rPr>
        <w:t xml:space="preserve"> means working interest</w:t>
      </w:r>
      <w:r>
        <w:rPr>
          <w:rFonts w:ascii="Arial" w:hAnsi="Arial" w:cs="Arial"/>
          <w:i/>
          <w:sz w:val="14"/>
          <w:szCs w:val="14"/>
        </w:rPr>
        <w:t>.</w:t>
      </w:r>
      <w:r>
        <w:rPr>
          <w:rFonts w:ascii="Arial" w:eastAsia="Calibri" w:hAnsi="Arial" w:cs="Arial"/>
          <w:i/>
          <w:sz w:val="14"/>
          <w:szCs w:val="14"/>
        </w:rPr>
        <w:t xml:space="preserve"> </w:t>
      </w:r>
      <w:r>
        <w:rPr>
          <w:rFonts w:ascii="Arial" w:hAnsi="Arial" w:cs="Arial"/>
          <w:i/>
          <w:sz w:val="14"/>
          <w:szCs w:val="14"/>
        </w:rPr>
        <w:t>All BOE conversions in this press release are derived by converting natural gas to oil in the ratio of six mcf of gas to one bbl of oil.  BOE may be misleading, particularly if used in isolation.  A BOE conversion ratio of six mcf of gas to one bbl of oil (6 mcf: 1 bbl) is based on an energy equivalency conversion method primarily applicable at the burner tip and does not represent a value equivalency at the wellhead.  Given that the value ratio based on the price of crude oil as compared to natural gas in A</w:t>
      </w:r>
      <w:r w:rsidRPr="00F17C86">
        <w:rPr>
          <w:rFonts w:ascii="Arial" w:hAnsi="Arial" w:cs="Arial"/>
          <w:i/>
          <w:sz w:val="14"/>
          <w:szCs w:val="14"/>
        </w:rPr>
        <w:t xml:space="preserve">rgentina from time to time may be different from the energy equivalency conversion ratio of 6:1, utilizing a conversion on a 6:1 basis may be misleading as an indication of </w:t>
      </w:r>
      <w:r w:rsidRPr="00E30C31">
        <w:rPr>
          <w:rFonts w:ascii="Arial" w:hAnsi="Arial" w:cs="Arial"/>
          <w:i/>
          <w:sz w:val="14"/>
          <w:szCs w:val="14"/>
        </w:rPr>
        <w:t>value.</w:t>
      </w:r>
    </w:p>
    <w:p w14:paraId="7C5A46BB" w14:textId="59F60465" w:rsidR="00111AED" w:rsidRPr="0018409C" w:rsidRDefault="00665EA7" w:rsidP="00732E00">
      <w:pPr>
        <w:pStyle w:val="Ne3"/>
        <w:widowControl w:val="0"/>
        <w:spacing w:before="60" w:line="240" w:lineRule="auto"/>
        <w:ind w:left="0"/>
        <w:rPr>
          <w:color w:val="FF0000"/>
          <w:sz w:val="14"/>
          <w:szCs w:val="14"/>
        </w:rPr>
      </w:pPr>
      <w:bookmarkStart w:id="2" w:name="_Hlk150355452"/>
      <w:bookmarkStart w:id="3" w:name="_Hlk118884858"/>
      <w:r w:rsidRPr="00E30C31">
        <w:rPr>
          <w:rFonts w:eastAsia="Calibri" w:cs="Arial"/>
          <w:i/>
          <w:sz w:val="14"/>
          <w:szCs w:val="14"/>
          <w:u w:val="single"/>
        </w:rPr>
        <w:t>Forward-looking Information</w:t>
      </w:r>
      <w:r w:rsidRPr="00CD082C">
        <w:rPr>
          <w:rFonts w:eastAsia="Calibri" w:cs="Arial"/>
          <w:i/>
          <w:sz w:val="14"/>
          <w:szCs w:val="14"/>
        </w:rPr>
        <w:t xml:space="preserve">: </w:t>
      </w:r>
      <w:r w:rsidRPr="00CD082C">
        <w:rPr>
          <w:rFonts w:cs="Arial"/>
          <w:i/>
          <w:sz w:val="14"/>
          <w:szCs w:val="14"/>
        </w:rPr>
        <w:t>This document contains forward-looking information.  This information relates to future events and the Company’s future performance.  All information and statements contained herein that are not clearly historical in nature constitute forward-looking information.  Such information represents th</w:t>
      </w:r>
      <w:r w:rsidRPr="00CD082C">
        <w:rPr>
          <w:i/>
          <w:sz w:val="14"/>
          <w:szCs w:val="14"/>
        </w:rPr>
        <w:t xml:space="preserve">e Company’s internal projections, estimates, expectations, beliefs, plans, objectives, assumptions, intentions or statements about future events or </w:t>
      </w:r>
      <w:r w:rsidRPr="004F33C4">
        <w:rPr>
          <w:i/>
          <w:sz w:val="14"/>
          <w:szCs w:val="14"/>
        </w:rPr>
        <w:t>performance.  This information involves known or unknown risks, uncertainties and other factors that may cause actual results or events to differ materially from those anticipated in such forward-looking information.  In addition, this document may contain forward-looking information attributed to third party industry sources.  Crown Point believes that the expectations reflected in this forward-looking information are reasonable; however, undue reliance should not be placed on this forward-looking information, as there can be no assurance that the plans, intentions or expectations upon which they are based will occur. This press release contains forward-looking information concerning, among other things, the following:</w:t>
      </w:r>
      <w:r w:rsidR="001575D5" w:rsidRPr="004F33C4">
        <w:rPr>
          <w:i/>
          <w:sz w:val="14"/>
          <w:szCs w:val="14"/>
        </w:rPr>
        <w:t xml:space="preserve"> under </w:t>
      </w:r>
      <w:r w:rsidR="003760A5" w:rsidRPr="004F33C4">
        <w:rPr>
          <w:rFonts w:cs="Arial"/>
          <w:i/>
          <w:sz w:val="14"/>
          <w:szCs w:val="14"/>
        </w:rPr>
        <w:t>“</w:t>
      </w:r>
      <w:r w:rsidR="001575D5" w:rsidRPr="004F33C4">
        <w:rPr>
          <w:i/>
          <w:sz w:val="14"/>
          <w:szCs w:val="14"/>
        </w:rPr>
        <w:t>Q</w:t>
      </w:r>
      <w:r w:rsidR="0018409C" w:rsidRPr="004F33C4">
        <w:rPr>
          <w:i/>
          <w:sz w:val="14"/>
          <w:szCs w:val="14"/>
        </w:rPr>
        <w:t>4</w:t>
      </w:r>
      <w:r w:rsidR="001575D5" w:rsidRPr="004F33C4">
        <w:rPr>
          <w:i/>
          <w:sz w:val="14"/>
          <w:szCs w:val="14"/>
        </w:rPr>
        <w:t xml:space="preserve"> 2024 Summary</w:t>
      </w:r>
      <w:r w:rsidR="003760A5" w:rsidRPr="004F33C4">
        <w:rPr>
          <w:rFonts w:cs="Arial"/>
          <w:i/>
          <w:sz w:val="14"/>
          <w:szCs w:val="14"/>
        </w:rPr>
        <w:t>”</w:t>
      </w:r>
      <w:r w:rsidR="001575D5" w:rsidRPr="004F33C4">
        <w:rPr>
          <w:i/>
          <w:sz w:val="14"/>
          <w:szCs w:val="14"/>
        </w:rPr>
        <w:t>, the Company’s</w:t>
      </w:r>
      <w:r w:rsidR="0018409C" w:rsidRPr="004F33C4">
        <w:rPr>
          <w:i/>
          <w:sz w:val="14"/>
          <w:szCs w:val="14"/>
        </w:rPr>
        <w:t xml:space="preserve"> expectations regarding the Company’s go forward obligations in connection with the Santa Cruz Concessions</w:t>
      </w:r>
      <w:r w:rsidR="001575D5" w:rsidRPr="004F33C4">
        <w:rPr>
          <w:rFonts w:cs="Arial"/>
          <w:i/>
          <w:sz w:val="14"/>
          <w:szCs w:val="14"/>
        </w:rPr>
        <w:t xml:space="preserve">; </w:t>
      </w:r>
      <w:r w:rsidRPr="004F33C4">
        <w:rPr>
          <w:i/>
          <w:sz w:val="14"/>
          <w:szCs w:val="14"/>
        </w:rPr>
        <w:t xml:space="preserve">under </w:t>
      </w:r>
      <w:r w:rsidR="003760A5" w:rsidRPr="004F33C4">
        <w:rPr>
          <w:rFonts w:cs="Arial"/>
          <w:i/>
          <w:sz w:val="14"/>
          <w:szCs w:val="14"/>
        </w:rPr>
        <w:t>“</w:t>
      </w:r>
      <w:r w:rsidRPr="004F33C4">
        <w:rPr>
          <w:i/>
          <w:sz w:val="14"/>
          <w:szCs w:val="14"/>
        </w:rPr>
        <w:t>Outlook</w:t>
      </w:r>
      <w:r w:rsidR="003760A5" w:rsidRPr="004F33C4">
        <w:rPr>
          <w:rFonts w:cs="Arial"/>
          <w:i/>
          <w:sz w:val="14"/>
          <w:szCs w:val="14"/>
        </w:rPr>
        <w:t>”</w:t>
      </w:r>
      <w:r w:rsidRPr="004F33C4">
        <w:rPr>
          <w:i/>
          <w:sz w:val="14"/>
          <w:szCs w:val="14"/>
        </w:rPr>
        <w:t xml:space="preserve">, our estimated capital expenditure budget for fiscal </w:t>
      </w:r>
      <w:r w:rsidR="00E30C31" w:rsidRPr="004F33C4">
        <w:rPr>
          <w:i/>
          <w:sz w:val="14"/>
          <w:szCs w:val="14"/>
        </w:rPr>
        <w:t>202</w:t>
      </w:r>
      <w:r w:rsidR="00D86E3B" w:rsidRPr="004F33C4">
        <w:rPr>
          <w:i/>
          <w:sz w:val="14"/>
          <w:szCs w:val="14"/>
        </w:rPr>
        <w:t>5</w:t>
      </w:r>
      <w:r w:rsidRPr="004F33C4">
        <w:rPr>
          <w:i/>
          <w:sz w:val="14"/>
          <w:szCs w:val="14"/>
        </w:rPr>
        <w:t>, and the capital expenditures that we intend to make in</w:t>
      </w:r>
      <w:r w:rsidR="00D86E3B" w:rsidRPr="004F33C4">
        <w:rPr>
          <w:i/>
          <w:sz w:val="14"/>
          <w:szCs w:val="14"/>
        </w:rPr>
        <w:t>, amongst other things,</w:t>
      </w:r>
      <w:r w:rsidRPr="004F33C4">
        <w:rPr>
          <w:i/>
          <w:sz w:val="14"/>
          <w:szCs w:val="14"/>
        </w:rPr>
        <w:t xml:space="preserve"> our </w:t>
      </w:r>
      <w:r w:rsidR="003C4352" w:rsidRPr="004F33C4">
        <w:rPr>
          <w:i/>
          <w:sz w:val="14"/>
          <w:szCs w:val="14"/>
        </w:rPr>
        <w:t>concessions</w:t>
      </w:r>
      <w:r w:rsidR="00C40AD6" w:rsidRPr="004F33C4">
        <w:rPr>
          <w:i/>
          <w:sz w:val="14"/>
          <w:szCs w:val="14"/>
        </w:rPr>
        <w:t xml:space="preserve"> during </w:t>
      </w:r>
      <w:r w:rsidR="00E14D7F" w:rsidRPr="004F33C4">
        <w:rPr>
          <w:i/>
          <w:sz w:val="14"/>
          <w:szCs w:val="14"/>
        </w:rPr>
        <w:t xml:space="preserve">such </w:t>
      </w:r>
      <w:r w:rsidR="00C40AD6" w:rsidRPr="004F33C4">
        <w:rPr>
          <w:i/>
          <w:sz w:val="14"/>
          <w:szCs w:val="14"/>
        </w:rPr>
        <w:t>period</w:t>
      </w:r>
      <w:r w:rsidRPr="004F33C4">
        <w:rPr>
          <w:i/>
          <w:sz w:val="14"/>
          <w:szCs w:val="14"/>
        </w:rPr>
        <w:t xml:space="preserve">; </w:t>
      </w:r>
      <w:r w:rsidR="00D86E3B" w:rsidRPr="004F33C4">
        <w:rPr>
          <w:i/>
          <w:sz w:val="14"/>
          <w:szCs w:val="14"/>
        </w:rPr>
        <w:t xml:space="preserve">and </w:t>
      </w:r>
      <w:r w:rsidRPr="004F33C4">
        <w:rPr>
          <w:i/>
          <w:sz w:val="14"/>
          <w:szCs w:val="14"/>
        </w:rPr>
        <w:t xml:space="preserve">under </w:t>
      </w:r>
      <w:r w:rsidR="003760A5" w:rsidRPr="004F33C4">
        <w:rPr>
          <w:rFonts w:cs="Arial"/>
          <w:i/>
          <w:sz w:val="14"/>
          <w:szCs w:val="14"/>
        </w:rPr>
        <w:t>“</w:t>
      </w:r>
      <w:r w:rsidRPr="004F33C4">
        <w:rPr>
          <w:rFonts w:cs="Arial"/>
          <w:i/>
          <w:sz w:val="14"/>
          <w:szCs w:val="14"/>
        </w:rPr>
        <w:t>About Crown Point</w:t>
      </w:r>
      <w:r w:rsidR="003760A5" w:rsidRPr="004F33C4">
        <w:rPr>
          <w:rFonts w:cs="Arial"/>
          <w:i/>
          <w:sz w:val="14"/>
          <w:szCs w:val="14"/>
        </w:rPr>
        <w:t>”</w:t>
      </w:r>
      <w:r w:rsidRPr="004F33C4">
        <w:rPr>
          <w:rFonts w:cs="Arial"/>
          <w:i/>
          <w:sz w:val="14"/>
          <w:szCs w:val="14"/>
        </w:rPr>
        <w:t>, all elements</w:t>
      </w:r>
      <w:r w:rsidRPr="004F33C4">
        <w:rPr>
          <w:i/>
          <w:sz w:val="14"/>
          <w:szCs w:val="14"/>
        </w:rPr>
        <w:t xml:space="preserve"> of the </w:t>
      </w:r>
      <w:r w:rsidRPr="004F33C4">
        <w:rPr>
          <w:rFonts w:cs="Arial"/>
          <w:i/>
          <w:sz w:val="14"/>
          <w:szCs w:val="14"/>
        </w:rPr>
        <w:t>Company’s business strategy and focus</w:t>
      </w:r>
      <w:r w:rsidRPr="004F33C4">
        <w:rPr>
          <w:i/>
          <w:sz w:val="14"/>
          <w:szCs w:val="14"/>
        </w:rPr>
        <w:t xml:space="preserve">. The reader is cautioned that such information, although considered reasonable by the Company, may prove to be incorrect. Actual results achieved during the forecast period will vary from the information provided in this document as a result of numerous known and unknown risks and uncertainties and other factors. A number of risks and other factors could cause actual results to differ materially from those expressed in the forward-looking information contained in this document including, but not limited to, the following: </w:t>
      </w:r>
      <w:r w:rsidRPr="004F33C4">
        <w:rPr>
          <w:rFonts w:cs="Arial"/>
          <w:i/>
          <w:spacing w:val="5"/>
          <w:sz w:val="14"/>
          <w:szCs w:val="14"/>
        </w:rPr>
        <w:t>that the Company is unable to truck oil to the Enap refinery and/or the Rio Cullen marine terminal and/or that the cost to do so rises and/or becomes uneconomic; that the price received by the Company for its oil is at a substantial discount to the Brent oil price;</w:t>
      </w:r>
      <w:r w:rsidR="00B47815" w:rsidRPr="004F33C4">
        <w:rPr>
          <w:rFonts w:cs="Arial"/>
          <w:i/>
          <w:spacing w:val="5"/>
          <w:sz w:val="14"/>
          <w:szCs w:val="14"/>
        </w:rPr>
        <w:t xml:space="preserve"> </w:t>
      </w:r>
      <w:r w:rsidR="003F01A7" w:rsidRPr="004F33C4">
        <w:rPr>
          <w:rFonts w:cs="Arial"/>
          <w:i/>
          <w:spacing w:val="5"/>
          <w:sz w:val="14"/>
          <w:szCs w:val="14"/>
        </w:rPr>
        <w:t xml:space="preserve">that </w:t>
      </w:r>
      <w:r w:rsidR="003F01A7" w:rsidRPr="004F33C4">
        <w:rPr>
          <w:i/>
          <w:sz w:val="14"/>
          <w:szCs w:val="14"/>
        </w:rPr>
        <w:t xml:space="preserve">the Company is not able to meet its obligations as they become due and continue as a going concern; </w:t>
      </w:r>
      <w:r w:rsidR="00DB35F2" w:rsidRPr="004F33C4">
        <w:rPr>
          <w:i/>
          <w:sz w:val="14"/>
          <w:szCs w:val="14"/>
        </w:rPr>
        <w:t xml:space="preserve">risks associated with the insolvency and/or bankruptcy of our joint venture partners and/or the operators of the concessions in which we have an interest, including the risk that any such insolvency and/or bankruptcy has an adverse effect on one of our UTEs, one of our concessions and/or the Company; </w:t>
      </w:r>
      <w:r w:rsidR="00C40AD6" w:rsidRPr="004F33C4">
        <w:rPr>
          <w:rFonts w:cs="Arial"/>
          <w:i/>
          <w:spacing w:val="5"/>
          <w:sz w:val="14"/>
          <w:szCs w:val="14"/>
        </w:rPr>
        <w:t xml:space="preserve">and </w:t>
      </w:r>
      <w:r w:rsidRPr="004F33C4">
        <w:rPr>
          <w:i/>
          <w:sz w:val="14"/>
          <w:szCs w:val="14"/>
        </w:rPr>
        <w:t>the risks and other factors described under “Business Risks and Uncertainties” in our MD&amp;A and under “Risk Factors” in the Company’s most recently filed Annual Information Form, which is available for viewing on SEDAR</w:t>
      </w:r>
      <w:r w:rsidR="00E30C31" w:rsidRPr="004F33C4">
        <w:rPr>
          <w:i/>
          <w:sz w:val="14"/>
          <w:szCs w:val="14"/>
        </w:rPr>
        <w:t>+</w:t>
      </w:r>
      <w:r w:rsidRPr="004F33C4">
        <w:rPr>
          <w:i/>
          <w:sz w:val="14"/>
          <w:szCs w:val="14"/>
        </w:rPr>
        <w:t xml:space="preserve"> at </w:t>
      </w:r>
      <w:hyperlink r:id="rId16" w:history="1">
        <w:r w:rsidR="00E30C31" w:rsidRPr="004F33C4">
          <w:rPr>
            <w:rStyle w:val="Hyperlink"/>
            <w:i/>
            <w:color w:val="auto"/>
            <w:sz w:val="14"/>
            <w:szCs w:val="14"/>
          </w:rPr>
          <w:t>www.sedarplus.ca</w:t>
        </w:r>
      </w:hyperlink>
      <w:r w:rsidRPr="004F33C4">
        <w:rPr>
          <w:i/>
          <w:sz w:val="14"/>
          <w:szCs w:val="14"/>
        </w:rPr>
        <w:t>.</w:t>
      </w:r>
      <w:r w:rsidR="00D13B29" w:rsidRPr="004F33C4">
        <w:rPr>
          <w:i/>
          <w:sz w:val="14"/>
          <w:szCs w:val="14"/>
        </w:rPr>
        <w:t xml:space="preserve"> </w:t>
      </w:r>
      <w:r w:rsidRPr="004F33C4">
        <w:rPr>
          <w:i/>
          <w:sz w:val="14"/>
          <w:szCs w:val="14"/>
        </w:rPr>
        <w:t xml:space="preserve"> With respect to forward-looking information contained in this document, the Company has made assumptions regarding, among other things:</w:t>
      </w:r>
      <w:r w:rsidR="00D7143A" w:rsidRPr="004F33C4">
        <w:rPr>
          <w:i/>
          <w:sz w:val="14"/>
          <w:szCs w:val="14"/>
        </w:rPr>
        <w:t xml:space="preserve"> </w:t>
      </w:r>
      <w:r w:rsidRPr="004F33C4">
        <w:rPr>
          <w:rFonts w:cs="Arial"/>
          <w:i/>
          <w:sz w:val="14"/>
          <w:szCs w:val="14"/>
        </w:rPr>
        <w:t xml:space="preserve">the ability and willingness of OPEC+ nations and other major producers of crude oil to balance crude oil production levels and thereby sustain higher global crude oil prices; </w:t>
      </w:r>
      <w:r w:rsidR="001365C2" w:rsidRPr="004F33C4">
        <w:rPr>
          <w:rFonts w:cs="Arial"/>
          <w:i/>
          <w:sz w:val="14"/>
          <w:szCs w:val="14"/>
        </w:rPr>
        <w:t xml:space="preserve">that our joint venture partners and the operators of our concessions </w:t>
      </w:r>
      <w:r w:rsidR="00D13B29" w:rsidRPr="004F33C4">
        <w:rPr>
          <w:rFonts w:cs="Arial"/>
          <w:i/>
          <w:sz w:val="14"/>
          <w:szCs w:val="14"/>
        </w:rPr>
        <w:t xml:space="preserve">that we do not operate </w:t>
      </w:r>
      <w:r w:rsidR="001365C2" w:rsidRPr="004F33C4">
        <w:rPr>
          <w:rFonts w:cs="Arial"/>
          <w:i/>
          <w:sz w:val="14"/>
          <w:szCs w:val="14"/>
        </w:rPr>
        <w:t>will h</w:t>
      </w:r>
      <w:r w:rsidR="00DB35F2" w:rsidRPr="004F33C4">
        <w:rPr>
          <w:rFonts w:cs="Arial"/>
          <w:i/>
          <w:sz w:val="14"/>
          <w:szCs w:val="14"/>
        </w:rPr>
        <w:t>o</w:t>
      </w:r>
      <w:r w:rsidR="001365C2" w:rsidRPr="004F33C4">
        <w:rPr>
          <w:rFonts w:cs="Arial"/>
          <w:i/>
          <w:sz w:val="14"/>
          <w:szCs w:val="14"/>
        </w:rPr>
        <w:t xml:space="preserve">nour their contractual commitments in a timely fashion and will not become insolvent or bankrupt; </w:t>
      </w:r>
      <w:r w:rsidRPr="004F33C4">
        <w:rPr>
          <w:rFonts w:cs="Arial"/>
          <w:i/>
          <w:sz w:val="14"/>
          <w:szCs w:val="14"/>
        </w:rPr>
        <w:t>the impact of inflation rates in Argentina and the devaluation of the Argentine peso against the USD on the Company; the impact of increasing competition; the general stability of the economic and political environment in which the Company operates, including operating under</w:t>
      </w:r>
      <w:r w:rsidRPr="004F33C4">
        <w:rPr>
          <w:i/>
          <w:sz w:val="14"/>
          <w:szCs w:val="14"/>
        </w:rPr>
        <w:t xml:space="preserve"> a consistent regulatory and legal framework in Argentina; future oil, natural gas and NGL prices (including the effects of governmental incentive programs and government price controls thereon); the timely receipt of any required regulatory approvals; the ability of the Company to obtain qualified staff, equipment and services in </w:t>
      </w:r>
      <w:r w:rsidRPr="004F33C4">
        <w:rPr>
          <w:i/>
          <w:sz w:val="14"/>
          <w:szCs w:val="14"/>
        </w:rPr>
        <w:lastRenderedPageBreak/>
        <w:t xml:space="preserve">a timely and cost efficient manner; drilling results; the costs of obtaining equipment and personnel to complete the Company’s capital expenditure program; the </w:t>
      </w:r>
      <w:r w:rsidR="00DB6495" w:rsidRPr="004F33C4">
        <w:rPr>
          <w:i/>
          <w:sz w:val="14"/>
          <w:szCs w:val="14"/>
        </w:rPr>
        <w:t>ability to operate</w:t>
      </w:r>
      <w:r w:rsidRPr="004F33C4">
        <w:rPr>
          <w:i/>
          <w:sz w:val="14"/>
          <w:szCs w:val="14"/>
        </w:rPr>
        <w:t xml:space="preserve"> the projects </w:t>
      </w:r>
      <w:r w:rsidR="00DB6495" w:rsidRPr="004F33C4">
        <w:rPr>
          <w:i/>
          <w:sz w:val="14"/>
          <w:szCs w:val="14"/>
        </w:rPr>
        <w:t xml:space="preserve">in </w:t>
      </w:r>
      <w:r w:rsidRPr="004F33C4">
        <w:rPr>
          <w:i/>
          <w:sz w:val="14"/>
          <w:szCs w:val="14"/>
        </w:rPr>
        <w:t>which the Company has an interest in a safe, efficient and effective manner; that the Company will not pay dividends for the foreseeable future; the ability of the Company to obtain financing on acceptable terms when and if needed</w:t>
      </w:r>
      <w:r w:rsidR="00A55D2F" w:rsidRPr="004F33C4">
        <w:rPr>
          <w:i/>
          <w:sz w:val="14"/>
          <w:szCs w:val="14"/>
        </w:rPr>
        <w:t xml:space="preserve"> and continue as a going concern</w:t>
      </w:r>
      <w:r w:rsidRPr="004F33C4">
        <w:rPr>
          <w:i/>
          <w:sz w:val="14"/>
          <w:szCs w:val="14"/>
        </w:rPr>
        <w:t>; the ability of the Company to service its debt repayments when required; field production rates and decline rates; the ability to replace and expand oil and natural gas reserves through acquisition, development and exploration activities; the timing and costs of pipeline, storage and facility construction and expansion and the ability of the Company to secure</w:t>
      </w:r>
      <w:r w:rsidRPr="00CD082C">
        <w:rPr>
          <w:i/>
          <w:sz w:val="14"/>
          <w:szCs w:val="14"/>
        </w:rPr>
        <w:t xml:space="preserve"> adequate product transportation; currency, exchange, inflation and interest rates; the regulatory framework regarding royalties, taxes and environmental matters in Argentina; and the ability of the Company to successfully market its oil and natural gas products.  Management of Crown Point has included the above summary of assumptions and risks related to forward-looking information included in this document in order to provide investors with a more complete perspective on the Company’s future operations.  Readers are cautioned that this information may not </w:t>
      </w:r>
      <w:r w:rsidRPr="00CD082C">
        <w:rPr>
          <w:rFonts w:cs="Arial"/>
          <w:i/>
          <w:sz w:val="14"/>
          <w:szCs w:val="14"/>
        </w:rPr>
        <w:t>be appropriate for other purposes. Readers are cautioned that the foregoing lists of factors are not exhaustive.  The forward-looking information contained in this document are expressly qualified by this cautionary statement. The forward-looking information contained herein is made as of the date of this document and the Company disclaims any intent or obligation to update publicly any such forward-looking information, whether as a result of new information, future events or results or otherwise, other than as required by applicable Canadian securities laws.</w:t>
      </w:r>
      <w:bookmarkEnd w:id="2"/>
    </w:p>
    <w:bookmarkEnd w:id="3"/>
    <w:p w14:paraId="2E586AC5" w14:textId="77777777" w:rsidR="00CA24A5" w:rsidRPr="00127416" w:rsidRDefault="00111AED" w:rsidP="00980A99">
      <w:pPr>
        <w:widowControl w:val="0"/>
        <w:spacing w:before="60"/>
        <w:jc w:val="both"/>
        <w:rPr>
          <w:rFonts w:ascii="Arial" w:hAnsi="Arial"/>
          <w:b/>
          <w:i/>
          <w:sz w:val="14"/>
        </w:rPr>
      </w:pPr>
      <w:r w:rsidRPr="00E30C31">
        <w:rPr>
          <w:rFonts w:ascii="Arial" w:hAnsi="Arial"/>
          <w:b/>
          <w:i/>
          <w:sz w:val="14"/>
          <w:szCs w:val="14"/>
        </w:rPr>
        <w:t>Neither</w:t>
      </w:r>
      <w:r>
        <w:rPr>
          <w:rFonts w:ascii="Arial" w:hAnsi="Arial"/>
          <w:b/>
          <w:i/>
          <w:sz w:val="14"/>
        </w:rPr>
        <w:t xml:space="preserve"> TSX Venture Exchange nor its Regulation Services Provider (as that term is defined in the policies of the TSX Venture Exchange) accepts responsibility for the adequacy or accuracy of this news release.</w:t>
      </w:r>
    </w:p>
    <w:sectPr w:rsidR="00CA24A5" w:rsidRPr="00127416" w:rsidSect="00FD2E1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170" w:left="1440" w:header="36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B2ED5" w14:textId="77777777" w:rsidR="004A4630" w:rsidRDefault="004A4630" w:rsidP="00451CF4">
      <w:r>
        <w:separator/>
      </w:r>
    </w:p>
  </w:endnote>
  <w:endnote w:type="continuationSeparator" w:id="0">
    <w:p w14:paraId="4EBFF5C2" w14:textId="77777777" w:rsidR="004A4630" w:rsidRDefault="004A4630" w:rsidP="00451CF4">
      <w:r>
        <w:continuationSeparator/>
      </w:r>
    </w:p>
  </w:endnote>
  <w:endnote w:type="continuationNotice" w:id="1">
    <w:p w14:paraId="091F57AC" w14:textId="77777777" w:rsidR="004A4630" w:rsidRDefault="004A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ngravrsRoman BT">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E98F" w14:textId="77777777" w:rsidR="005955BF" w:rsidRDefault="0059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2F7C" w14:textId="77777777" w:rsidR="00184829" w:rsidRDefault="00184829" w:rsidP="00F768A1">
    <w:pPr>
      <w:pStyle w:val="Footer"/>
      <w:jc w:val="center"/>
      <w:rPr>
        <w:rFonts w:ascii="Arial Narrow" w:hAnsi="Arial Narrow"/>
        <w:color w:val="002060"/>
        <w:sz w:val="20"/>
        <w:szCs w:val="20"/>
        <w:lang w:val="fr-CA"/>
      </w:rPr>
    </w:pPr>
    <w:r>
      <w:rPr>
        <w:rFonts w:ascii="Arial Narrow" w:hAnsi="Arial Narrow"/>
        <w:color w:val="002060"/>
        <w:sz w:val="20"/>
        <w:szCs w:val="20"/>
        <w:lang w:val="fr-CA"/>
      </w:rPr>
      <w:t>PO Box 1562 Station M., Calgary, Alberta, Canada T2P 3B</w:t>
    </w:r>
    <w:proofErr w:type="gramStart"/>
    <w:r>
      <w:rPr>
        <w:rFonts w:ascii="Arial Narrow" w:hAnsi="Arial Narrow"/>
        <w:color w:val="002060"/>
        <w:sz w:val="20"/>
        <w:szCs w:val="20"/>
        <w:lang w:val="fr-CA"/>
      </w:rPr>
      <w:t xml:space="preserve">9  </w:t>
    </w:r>
    <w:r>
      <w:rPr>
        <w:rFonts w:ascii="Arial Narrow" w:hAnsi="Arial Narrow"/>
        <w:b/>
        <w:color w:val="002060"/>
        <w:sz w:val="20"/>
        <w:szCs w:val="20"/>
        <w:lang w:val="fr-CA"/>
      </w:rPr>
      <w:t>T</w:t>
    </w:r>
    <w:proofErr w:type="gramEnd"/>
    <w:r>
      <w:rPr>
        <w:rFonts w:ascii="Arial Narrow" w:hAnsi="Arial Narrow"/>
        <w:color w:val="002060"/>
        <w:sz w:val="20"/>
        <w:szCs w:val="20"/>
        <w:lang w:val="fr-CA"/>
      </w:rPr>
      <w:t xml:space="preserve"> 403.232.1150  </w:t>
    </w:r>
    <w:r>
      <w:rPr>
        <w:rFonts w:ascii="Arial Narrow" w:hAnsi="Arial Narrow"/>
        <w:b/>
        <w:color w:val="002060"/>
        <w:sz w:val="20"/>
        <w:szCs w:val="20"/>
        <w:lang w:val="fr-CA"/>
      </w:rPr>
      <w:t>F</w:t>
    </w:r>
    <w:r>
      <w:rPr>
        <w:rFonts w:ascii="Arial Narrow" w:hAnsi="Arial Narrow"/>
        <w:color w:val="002060"/>
        <w:sz w:val="20"/>
        <w:szCs w:val="20"/>
        <w:lang w:val="fr-CA"/>
      </w:rPr>
      <w:t xml:space="preserve">  403.232.1158</w:t>
    </w:r>
  </w:p>
  <w:p w14:paraId="4D32682F" w14:textId="77777777" w:rsidR="00184829" w:rsidRDefault="00184829" w:rsidP="00F768A1">
    <w:pPr>
      <w:pStyle w:val="Footer"/>
      <w:jc w:val="center"/>
      <w:rPr>
        <w:rFonts w:ascii="Arial Narrow" w:hAnsi="Arial Narrow"/>
        <w:b/>
        <w:color w:val="002060"/>
        <w:sz w:val="20"/>
        <w:szCs w:val="20"/>
        <w:lang w:val="fr-CA"/>
      </w:rPr>
    </w:pPr>
    <w:r>
      <w:rPr>
        <w:rFonts w:ascii="Arial Narrow" w:hAnsi="Arial Narrow"/>
        <w:b/>
        <w:color w:val="002060"/>
        <w:sz w:val="20"/>
        <w:szCs w:val="20"/>
        <w:lang w:val="fr-CA"/>
      </w:rPr>
      <w:t>www.crownpointenergy.com</w:t>
    </w:r>
  </w:p>
  <w:p w14:paraId="21D3BF7F" w14:textId="77777777" w:rsidR="00184829" w:rsidRPr="005E10D3" w:rsidRDefault="00184829" w:rsidP="00FD5D14">
    <w:pPr>
      <w:pStyle w:val="Footer"/>
      <w:spacing w:line="200" w:lineRule="exact"/>
      <w:rPr>
        <w:rFonts w:ascii="Arial Narrow" w:hAnsi="Arial Narrow"/>
        <w:b/>
        <w:color w:val="002060"/>
        <w:sz w:val="20"/>
        <w:szCs w:val="20"/>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A78C" w14:textId="77777777" w:rsidR="005955BF" w:rsidRDefault="0059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05FE" w14:textId="77777777" w:rsidR="004A4630" w:rsidRDefault="004A4630" w:rsidP="00451CF4">
      <w:r>
        <w:separator/>
      </w:r>
    </w:p>
  </w:footnote>
  <w:footnote w:type="continuationSeparator" w:id="0">
    <w:p w14:paraId="15552CED" w14:textId="77777777" w:rsidR="004A4630" w:rsidRDefault="004A4630" w:rsidP="00451CF4">
      <w:r>
        <w:continuationSeparator/>
      </w:r>
    </w:p>
  </w:footnote>
  <w:footnote w:type="continuationNotice" w:id="1">
    <w:p w14:paraId="17ED4E6F" w14:textId="77777777" w:rsidR="004A4630" w:rsidRDefault="004A4630"/>
  </w:footnote>
  <w:footnote w:id="2">
    <w:p w14:paraId="2519C5DA" w14:textId="5A0D6BDF" w:rsidR="002D3101" w:rsidRPr="006865E7" w:rsidRDefault="002D3101" w:rsidP="002D3101">
      <w:pPr>
        <w:pStyle w:val="FootnoteText"/>
        <w:rPr>
          <w:rFonts w:ascii="Arial" w:hAnsi="Arial" w:cs="Arial"/>
          <w:sz w:val="16"/>
          <w:szCs w:val="16"/>
          <w:lang w:val="en-CA"/>
        </w:rPr>
      </w:pPr>
      <w:r>
        <w:rPr>
          <w:rStyle w:val="FootnoteReference"/>
          <w:rFonts w:ascii="Arial" w:hAnsi="Arial" w:cs="Arial"/>
          <w:sz w:val="16"/>
          <w:szCs w:val="16"/>
        </w:rPr>
        <w:footnoteRef/>
      </w:r>
      <w:r>
        <w:rPr>
          <w:rFonts w:ascii="Arial" w:hAnsi="Arial" w:cs="Arial"/>
          <w:sz w:val="16"/>
          <w:szCs w:val="16"/>
        </w:rPr>
        <w:t xml:space="preserve"> Non-IFRS financial ratio.  See </w:t>
      </w:r>
      <w:r w:rsidR="003760A5" w:rsidRPr="003760A5">
        <w:rPr>
          <w:rFonts w:ascii="Arial" w:hAnsi="Arial" w:cs="Arial"/>
          <w:sz w:val="16"/>
          <w:szCs w:val="16"/>
        </w:rPr>
        <w:t>“</w:t>
      </w:r>
      <w:r>
        <w:rPr>
          <w:rFonts w:ascii="Arial" w:hAnsi="Arial" w:cs="Arial"/>
          <w:sz w:val="16"/>
          <w:szCs w:val="16"/>
        </w:rPr>
        <w:t>Non-IFRS and Other Financial Measures</w:t>
      </w:r>
      <w:r w:rsidR="003760A5" w:rsidRPr="003760A5">
        <w:rPr>
          <w:rFonts w:ascii="Arial" w:hAnsi="Arial" w:cs="Arial"/>
          <w:sz w:val="16"/>
          <w:szCs w:val="16"/>
        </w:rPr>
        <w:t>”</w:t>
      </w:r>
      <w:r>
        <w:rPr>
          <w:rFonts w:ascii="Arial" w:hAnsi="Arial" w:cs="Arial"/>
          <w:sz w:val="16"/>
          <w:szCs w:val="16"/>
        </w:rPr>
        <w:t>.</w:t>
      </w:r>
    </w:p>
  </w:footnote>
  <w:footnote w:id="3">
    <w:p w14:paraId="68C7F7B0" w14:textId="4C4B6078" w:rsidR="002D3101" w:rsidRPr="00666006" w:rsidRDefault="002D3101" w:rsidP="002D3101">
      <w:pPr>
        <w:pStyle w:val="FootnoteText"/>
        <w:rPr>
          <w:rFonts w:ascii="Arial" w:hAnsi="Arial" w:cs="Arial"/>
          <w:sz w:val="14"/>
          <w:szCs w:val="14"/>
          <w:lang w:val="en-CA"/>
        </w:rPr>
      </w:pPr>
      <w:r>
        <w:rPr>
          <w:rStyle w:val="FootnoteReference"/>
          <w:rFonts w:ascii="Arial" w:hAnsi="Arial" w:cs="Arial"/>
          <w:sz w:val="16"/>
          <w:szCs w:val="16"/>
        </w:rPr>
        <w:footnoteRef/>
      </w:r>
      <w:r>
        <w:rPr>
          <w:rFonts w:ascii="Arial" w:hAnsi="Arial" w:cs="Arial"/>
          <w:sz w:val="16"/>
          <w:szCs w:val="16"/>
        </w:rPr>
        <w:t xml:space="preserve"> Capital management measure.  See </w:t>
      </w:r>
      <w:r w:rsidR="003760A5" w:rsidRPr="003760A5">
        <w:rPr>
          <w:rFonts w:ascii="Arial" w:hAnsi="Arial" w:cs="Arial"/>
          <w:sz w:val="16"/>
          <w:szCs w:val="16"/>
        </w:rPr>
        <w:t>“</w:t>
      </w:r>
      <w:r>
        <w:rPr>
          <w:rFonts w:ascii="Arial" w:hAnsi="Arial" w:cs="Arial"/>
          <w:sz w:val="16"/>
          <w:szCs w:val="16"/>
        </w:rPr>
        <w:t>Non-IFRS and Other Financial Measures</w:t>
      </w:r>
      <w:r w:rsidR="003760A5" w:rsidRPr="003760A5">
        <w:rPr>
          <w:rFonts w:ascii="Arial" w:hAnsi="Arial" w:cs="Arial"/>
          <w:sz w:val="16"/>
          <w:szCs w:val="16"/>
        </w:rPr>
        <w:t>”</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286" w14:textId="77777777" w:rsidR="005955BF" w:rsidRDefault="0059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6AE6" w14:textId="77777777" w:rsidR="00184829" w:rsidRDefault="00184829" w:rsidP="00451CF4">
    <w:pPr>
      <w:pStyle w:val="Header"/>
      <w:ind w:left="540" w:hanging="540"/>
      <w:jc w:val="right"/>
    </w:pPr>
    <w:r>
      <w:rPr>
        <w:noProof/>
      </w:rPr>
      <w:drawing>
        <wp:inline distT="0" distB="0" distL="0" distR="0" wp14:anchorId="0D321E76" wp14:editId="56C7433F">
          <wp:extent cx="1697355" cy="1038860"/>
          <wp:effectExtent l="19050" t="0" r="0" b="0"/>
          <wp:docPr id="3"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1CABC8E8" w14:textId="77777777" w:rsidR="00184829" w:rsidRDefault="00184829" w:rsidP="00451CF4">
    <w:pPr>
      <w:pStyle w:val="Header"/>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96FE" w14:textId="77777777" w:rsidR="005955BF" w:rsidRDefault="0059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416895CE"/>
    <w:name w:val="DocXtoolsCompanion_1"/>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Times New Roman" w:hAnsi="Times New Roman" w:cs="Times New Roman"/>
        <w:b w:val="0"/>
        <w:i w:val="0"/>
        <w:caps w:val="0"/>
        <w:color w:val="auto"/>
        <w:sz w:val="12"/>
        <w:u w:val="none"/>
      </w:rPr>
    </w:lvl>
  </w:abstractNum>
  <w:abstractNum w:abstractNumId="1" w15:restartNumberingAfterBreak="0">
    <w:nsid w:val="012C29E5"/>
    <w:multiLevelType w:val="hybridMultilevel"/>
    <w:tmpl w:val="D24069C4"/>
    <w:name w:val="DocXtoolsCompanion_2"/>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5067914"/>
    <w:multiLevelType w:val="hybridMultilevel"/>
    <w:tmpl w:val="87764B36"/>
    <w:name w:val="DocXtoolsCompanion_3"/>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5863"/>
    <w:multiLevelType w:val="hybridMultilevel"/>
    <w:tmpl w:val="11B0CD3E"/>
    <w:name w:val="DocXtoolsCompanion_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BE5D24"/>
    <w:multiLevelType w:val="hybridMultilevel"/>
    <w:tmpl w:val="7E7E14F6"/>
    <w:name w:val="DocXtoolsCompanion_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6" w15:restartNumberingAfterBreak="0">
    <w:nsid w:val="12B556C4"/>
    <w:multiLevelType w:val="hybridMultilevel"/>
    <w:tmpl w:val="B09863D2"/>
    <w:name w:val="DocXtoolsCompanion_7"/>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14577A96"/>
    <w:multiLevelType w:val="hybridMultilevel"/>
    <w:tmpl w:val="8D3A53C0"/>
    <w:name w:val="DocXtoolsCompanion_8"/>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A46E63"/>
    <w:multiLevelType w:val="hybridMultilevel"/>
    <w:tmpl w:val="10BA31D4"/>
    <w:name w:val="DocXtoolsCompanion_9"/>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B902948"/>
    <w:multiLevelType w:val="hybridMultilevel"/>
    <w:tmpl w:val="CD7C8C86"/>
    <w:name w:val="DocXtoolsCompanion_1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D617EC"/>
    <w:multiLevelType w:val="hybridMultilevel"/>
    <w:tmpl w:val="EC2E311E"/>
    <w:name w:val="DocXtoolsCompanion_11"/>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4B04C5"/>
    <w:multiLevelType w:val="hybridMultilevel"/>
    <w:tmpl w:val="4D7CFA60"/>
    <w:name w:val="DocXtoolsCompanion_12"/>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E10E4"/>
    <w:multiLevelType w:val="hybridMultilevel"/>
    <w:tmpl w:val="68028830"/>
    <w:name w:val="DocXtoolsCompanion_13"/>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0980EAD"/>
    <w:multiLevelType w:val="hybridMultilevel"/>
    <w:tmpl w:val="84C04322"/>
    <w:name w:val="DocXtoolsCompanion_14"/>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21324132"/>
    <w:multiLevelType w:val="multilevel"/>
    <w:tmpl w:val="971CB85A"/>
    <w:name w:val="DocXtoolsCompanion_15"/>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510409"/>
    <w:multiLevelType w:val="hybridMultilevel"/>
    <w:tmpl w:val="0BD099FA"/>
    <w:name w:val="DocXtoolsCompanion_16"/>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32FE0003"/>
    <w:multiLevelType w:val="hybridMultilevel"/>
    <w:tmpl w:val="59404410"/>
    <w:name w:val="DocXtoolsCompanion_17"/>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71138"/>
    <w:multiLevelType w:val="hybridMultilevel"/>
    <w:tmpl w:val="7EF2AE4E"/>
    <w:name w:val="DocXtoolsCompanion_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77F0F"/>
    <w:multiLevelType w:val="hybridMultilevel"/>
    <w:tmpl w:val="8F368B92"/>
    <w:name w:val="DocXtoolsCompanion_19"/>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43060989"/>
    <w:multiLevelType w:val="hybridMultilevel"/>
    <w:tmpl w:val="E890588E"/>
    <w:name w:val="DocXtoolsCompanion_20"/>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CF493B"/>
    <w:multiLevelType w:val="hybridMultilevel"/>
    <w:tmpl w:val="4E3CE43C"/>
    <w:name w:val="DocXtoolsCompanion_2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A0421F"/>
    <w:multiLevelType w:val="hybridMultilevel"/>
    <w:tmpl w:val="B7F49D6C"/>
    <w:name w:val="DocXtoolsCompanion_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9508DC"/>
    <w:multiLevelType w:val="hybridMultilevel"/>
    <w:tmpl w:val="E5A6C3C0"/>
    <w:name w:val="DocXtoolsCompanion_23"/>
    <w:lvl w:ilvl="0" w:tplc="C224835C">
      <w:start w:val="4"/>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A27161"/>
    <w:multiLevelType w:val="hybridMultilevel"/>
    <w:tmpl w:val="CFF8D584"/>
    <w:name w:val="DocXtoolsCompanion_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5A0A38"/>
    <w:multiLevelType w:val="hybridMultilevel"/>
    <w:tmpl w:val="4D7CFA60"/>
    <w:name w:val="DocXtoolsCompanion_25"/>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D73D7"/>
    <w:multiLevelType w:val="hybridMultilevel"/>
    <w:tmpl w:val="AEE87EBA"/>
    <w:name w:val="DocXtoolsCompanion_26"/>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1FC6DD3"/>
    <w:multiLevelType w:val="hybridMultilevel"/>
    <w:tmpl w:val="F4E0B888"/>
    <w:name w:val="DocXtoolsCompanion_27"/>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624EAB"/>
    <w:multiLevelType w:val="hybridMultilevel"/>
    <w:tmpl w:val="545A7D0E"/>
    <w:name w:val="DocXtoolsCompanion_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AD6472"/>
    <w:multiLevelType w:val="hybridMultilevel"/>
    <w:tmpl w:val="4FC6D710"/>
    <w:name w:val="DocXtoolsCompanion_29"/>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7C6162F"/>
    <w:multiLevelType w:val="hybridMultilevel"/>
    <w:tmpl w:val="4D7CFA60"/>
    <w:name w:val="DocXtoolsCompanion_3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9E7C79"/>
    <w:multiLevelType w:val="hybridMultilevel"/>
    <w:tmpl w:val="257A3E2C"/>
    <w:name w:val="DocXtoolsCompanion_3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81771C"/>
    <w:multiLevelType w:val="hybridMultilevel"/>
    <w:tmpl w:val="5F443A58"/>
    <w:name w:val="DocXtoolsCompanion_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F4D5A9C"/>
    <w:multiLevelType w:val="hybridMultilevel"/>
    <w:tmpl w:val="9FC61CD0"/>
    <w:name w:val="DocXtoolsCompanion_33"/>
    <w:lvl w:ilvl="0" w:tplc="DB14293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02D5D06"/>
    <w:multiLevelType w:val="hybridMultilevel"/>
    <w:tmpl w:val="E9924584"/>
    <w:name w:val="DocXtoolsCompanion_3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A87E83"/>
    <w:multiLevelType w:val="hybridMultilevel"/>
    <w:tmpl w:val="70EA4BDA"/>
    <w:name w:val="DocXtoolsCompanion_3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7EA5528"/>
    <w:multiLevelType w:val="hybridMultilevel"/>
    <w:tmpl w:val="D5E2E36A"/>
    <w:name w:val="DocXtoolsCompanion_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B1D7463"/>
    <w:multiLevelType w:val="hybridMultilevel"/>
    <w:tmpl w:val="9E42C9CE"/>
    <w:name w:val="DocXtoolsCompanion_3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B9618F"/>
    <w:multiLevelType w:val="hybridMultilevel"/>
    <w:tmpl w:val="00528B4A"/>
    <w:name w:val="DocXtoolsCompanion_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4733F0"/>
    <w:multiLevelType w:val="hybridMultilevel"/>
    <w:tmpl w:val="9C722DB6"/>
    <w:name w:val="DocXtoolsCompanion_39"/>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AB15B3"/>
    <w:multiLevelType w:val="multilevel"/>
    <w:tmpl w:val="8D80E11A"/>
    <w:name w:val="DocXtoolsCompanion_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EAD222E"/>
    <w:multiLevelType w:val="hybridMultilevel"/>
    <w:tmpl w:val="148CA5C0"/>
    <w:name w:val="DocXtoolsCompanion_41"/>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FF6113A"/>
    <w:multiLevelType w:val="hybridMultilevel"/>
    <w:tmpl w:val="220EEEF2"/>
    <w:name w:val="DocXtoolsCompanion_42"/>
    <w:lvl w:ilvl="0" w:tplc="521A2B4C">
      <w:start w:val="1"/>
      <w:numFmt w:val="lowerLetter"/>
      <w:lvlText w:val="(%1)"/>
      <w:lvlJc w:val="left"/>
      <w:pPr>
        <w:ind w:left="1800" w:hanging="360"/>
      </w:pPr>
      <w:rPr>
        <w:rFonts w:ascii="Arial" w:hAnsi="Arial" w:hint="default"/>
        <w:b w:val="0"/>
        <w:i w:val="0"/>
        <w:caps w:val="0"/>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39E44B9"/>
    <w:multiLevelType w:val="hybridMultilevel"/>
    <w:tmpl w:val="3D4011C4"/>
    <w:name w:val="DocXtoolsCompanion_43"/>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B819FB"/>
    <w:multiLevelType w:val="hybridMultilevel"/>
    <w:tmpl w:val="BB3A11C2"/>
    <w:name w:val="DocXtoolsCompanion_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5025C1"/>
    <w:multiLevelType w:val="hybridMultilevel"/>
    <w:tmpl w:val="4F143D8E"/>
    <w:name w:val="DocXtoolsCompanion_4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1516E1"/>
    <w:multiLevelType w:val="hybridMultilevel"/>
    <w:tmpl w:val="8E16781E"/>
    <w:name w:val="DocXtoolsCompanion_46"/>
    <w:lvl w:ilvl="0" w:tplc="9DF42A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4464E"/>
    <w:multiLevelType w:val="hybridMultilevel"/>
    <w:tmpl w:val="9EE2C100"/>
    <w:name w:val="DocXtoolsCompanion_47"/>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2D22EE"/>
    <w:multiLevelType w:val="hybridMultilevel"/>
    <w:tmpl w:val="8D80E11A"/>
    <w:name w:val="DocXtoolsCompanion_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17465269">
    <w:abstractNumId w:val="29"/>
  </w:num>
  <w:num w:numId="2" w16cid:durableId="119734768">
    <w:abstractNumId w:val="37"/>
  </w:num>
  <w:num w:numId="3" w16cid:durableId="1088192081">
    <w:abstractNumId w:val="12"/>
  </w:num>
  <w:num w:numId="4" w16cid:durableId="300426017">
    <w:abstractNumId w:val="7"/>
  </w:num>
  <w:num w:numId="5" w16cid:durableId="274486065">
    <w:abstractNumId w:val="26"/>
  </w:num>
  <w:num w:numId="6" w16cid:durableId="2134132235">
    <w:abstractNumId w:val="44"/>
  </w:num>
  <w:num w:numId="7" w16cid:durableId="24062936">
    <w:abstractNumId w:val="5"/>
  </w:num>
  <w:num w:numId="8" w16cid:durableId="135879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995908">
    <w:abstractNumId w:val="19"/>
  </w:num>
  <w:num w:numId="10" w16cid:durableId="469639760">
    <w:abstractNumId w:val="3"/>
  </w:num>
  <w:num w:numId="11" w16cid:durableId="442379061">
    <w:abstractNumId w:val="38"/>
  </w:num>
  <w:num w:numId="12" w16cid:durableId="1274246128">
    <w:abstractNumId w:val="17"/>
  </w:num>
  <w:num w:numId="13" w16cid:durableId="1182473463">
    <w:abstractNumId w:val="2"/>
  </w:num>
  <w:num w:numId="14" w16cid:durableId="323709631">
    <w:abstractNumId w:val="27"/>
  </w:num>
  <w:num w:numId="15" w16cid:durableId="1472594401">
    <w:abstractNumId w:val="21"/>
  </w:num>
  <w:num w:numId="16" w16cid:durableId="2086607273">
    <w:abstractNumId w:val="42"/>
  </w:num>
  <w:num w:numId="17" w16cid:durableId="320545716">
    <w:abstractNumId w:val="4"/>
  </w:num>
  <w:num w:numId="18" w16cid:durableId="1239097069">
    <w:abstractNumId w:val="30"/>
  </w:num>
  <w:num w:numId="19" w16cid:durableId="807360673">
    <w:abstractNumId w:val="8"/>
  </w:num>
  <w:num w:numId="20" w16cid:durableId="165293175">
    <w:abstractNumId w:val="34"/>
  </w:num>
  <w:num w:numId="21" w16cid:durableId="1774131090">
    <w:abstractNumId w:val="6"/>
  </w:num>
  <w:num w:numId="22" w16cid:durableId="1310288920">
    <w:abstractNumId w:val="13"/>
  </w:num>
  <w:num w:numId="23" w16cid:durableId="747464716">
    <w:abstractNumId w:val="15"/>
  </w:num>
  <w:num w:numId="24" w16cid:durableId="1615331642">
    <w:abstractNumId w:val="18"/>
  </w:num>
  <w:num w:numId="25" w16cid:durableId="89087221">
    <w:abstractNumId w:val="31"/>
  </w:num>
  <w:num w:numId="26" w16cid:durableId="510949041">
    <w:abstractNumId w:val="28"/>
  </w:num>
  <w:num w:numId="27" w16cid:durableId="1201894090">
    <w:abstractNumId w:val="9"/>
  </w:num>
  <w:num w:numId="28" w16cid:durableId="2054696500">
    <w:abstractNumId w:val="35"/>
  </w:num>
  <w:num w:numId="29" w16cid:durableId="931545526">
    <w:abstractNumId w:val="20"/>
  </w:num>
  <w:num w:numId="30" w16cid:durableId="1503273477">
    <w:abstractNumId w:val="10"/>
  </w:num>
  <w:num w:numId="31" w16cid:durableId="365914625">
    <w:abstractNumId w:val="46"/>
  </w:num>
  <w:num w:numId="32" w16cid:durableId="707296790">
    <w:abstractNumId w:val="40"/>
  </w:num>
  <w:num w:numId="33" w16cid:durableId="1785153614">
    <w:abstractNumId w:val="47"/>
  </w:num>
  <w:num w:numId="34" w16cid:durableId="1904871969">
    <w:abstractNumId w:val="43"/>
  </w:num>
  <w:num w:numId="35" w16cid:durableId="1638215514">
    <w:abstractNumId w:val="24"/>
  </w:num>
  <w:num w:numId="36" w16cid:durableId="191649194">
    <w:abstractNumId w:val="11"/>
  </w:num>
  <w:num w:numId="37" w16cid:durableId="2076857151">
    <w:abstractNumId w:val="39"/>
  </w:num>
  <w:num w:numId="38" w16cid:durableId="1426800632">
    <w:abstractNumId w:val="33"/>
  </w:num>
  <w:num w:numId="39" w16cid:durableId="113060376">
    <w:abstractNumId w:val="23"/>
  </w:num>
  <w:num w:numId="40" w16cid:durableId="35349284">
    <w:abstractNumId w:val="0"/>
  </w:num>
  <w:num w:numId="41" w16cid:durableId="1715348162">
    <w:abstractNumId w:val="41"/>
  </w:num>
  <w:num w:numId="42" w16cid:durableId="773675874">
    <w:abstractNumId w:val="25"/>
  </w:num>
  <w:num w:numId="43" w16cid:durableId="2144469174">
    <w:abstractNumId w:val="16"/>
  </w:num>
  <w:num w:numId="44" w16cid:durableId="1768579379">
    <w:abstractNumId w:val="1"/>
  </w:num>
  <w:num w:numId="45" w16cid:durableId="394670598">
    <w:abstractNumId w:val="47"/>
  </w:num>
  <w:num w:numId="46" w16cid:durableId="619804886">
    <w:abstractNumId w:val="32"/>
  </w:num>
  <w:num w:numId="47" w16cid:durableId="1698308580">
    <w:abstractNumId w:val="22"/>
  </w:num>
  <w:num w:numId="48" w16cid:durableId="1914076075">
    <w:abstractNumId w:val="36"/>
  </w:num>
  <w:num w:numId="49" w16cid:durableId="566302375">
    <w:abstractNumId w:val="14"/>
  </w:num>
  <w:num w:numId="50" w16cid:durableId="49526488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s-AR" w:vendorID="64" w:dllVersion="0" w:nlCheck="1" w:checkStyle="0"/>
  <w:activeWritingStyle w:appName="MSWord" w:lang="en-CA" w:vendorID="64" w:dllVersion="0" w:nlCheck="1" w:checkStyle="0"/>
  <w:activeWritingStyle w:appName="MSWord" w:lang="fr-CA" w:vendorID="64" w:dllVersion="0" w:nlCheck="1" w:checkStyle="0"/>
  <w:activeWritingStyle w:appName="MSWord" w:lang="en-CA" w:vendorID="64" w:dllVersion="4096"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Ón"/>
    <w:docVar w:name="85TrailerDateField" w:val="~}šÓj"/>
    <w:docVar w:name="85TrailerDraft" w:val="~}¡Óc"/>
    <w:docVar w:name="85TrailerTime" w:val="~}›Ói"/>
    <w:docVar w:name="DMS_Work10" w:val="0~Active||1~14270020||2~1||3~Press release Q42024 - BDP||5~JTO||6~JTO||7~WORDX||8~DOCUMENTS||10~3/11/2025 8:04:09 PM||11~3/11/2025 8:04:09 PM||13~417843||14~False||17~public||18~JTO||19~JTO||21~True||22~True||23~False||25~069295||26~00001||27~317||28~SEC||29~GS||30~ACTIV||60~Crown Point Energy Inc.||61~General Corporate and Securities Matters||62~Oke, Jeffrey T.||63~Securities||64~General Securities||65~Active matter||74~Jeff Oke||75~Jeff Oke||76~WORD 2007||77~Documents||82~docx||85~3/11/2025 8:04:09 PM||99~1/1/0001 12:00:00 AM||106~C:\Users\jto\AppData\Roaming\iManage\Work\Recent\069295-00001-Crown Point Energy Inc.-General Corporate and Securities Matters\Press release Q42024 - BDP(14270020.1).docx||107~1/1/0001 12:00:00 AM||109~3/11/2025 8:04:10 PM||113~3/11/2025 8:04:05 PM||114~3/11/2025 8:04:05 PM||124~False||"/>
    <w:docVar w:name="DocStamp_1_OptionalControlValues" w:val="~} Ó"/>
    <w:docVar w:name="MPDocID" w:val="~}Óhiknilkjhg"/>
    <w:docVar w:name="MPDocIDTemplate" w:val="~}—Ó"/>
    <w:docVar w:name="MPDocIDTemplateDefault" w:val="~}ŸÓZ¤e]ª"/>
    <w:docVar w:name="NewDocStampType" w:val="~}¢Ói"/>
    <w:docVar w:name="zzmp10NoTrailerPromptID" w:val="ACTIVE.14270020.1"/>
  </w:docVars>
  <w:rsids>
    <w:rsidRoot w:val="00451CF4"/>
    <w:rsid w:val="00002052"/>
    <w:rsid w:val="00002555"/>
    <w:rsid w:val="00002CBC"/>
    <w:rsid w:val="00003873"/>
    <w:rsid w:val="00004044"/>
    <w:rsid w:val="000064D8"/>
    <w:rsid w:val="00010DF6"/>
    <w:rsid w:val="00010F36"/>
    <w:rsid w:val="0001387F"/>
    <w:rsid w:val="00013941"/>
    <w:rsid w:val="000161BE"/>
    <w:rsid w:val="00016F54"/>
    <w:rsid w:val="00017090"/>
    <w:rsid w:val="00020D0D"/>
    <w:rsid w:val="0002124D"/>
    <w:rsid w:val="00021565"/>
    <w:rsid w:val="00023706"/>
    <w:rsid w:val="00023BC5"/>
    <w:rsid w:val="00023DBC"/>
    <w:rsid w:val="00025614"/>
    <w:rsid w:val="00025949"/>
    <w:rsid w:val="0002742B"/>
    <w:rsid w:val="000327A2"/>
    <w:rsid w:val="000328AA"/>
    <w:rsid w:val="00033C41"/>
    <w:rsid w:val="00033EA2"/>
    <w:rsid w:val="000359CC"/>
    <w:rsid w:val="000365C5"/>
    <w:rsid w:val="00036D51"/>
    <w:rsid w:val="00040690"/>
    <w:rsid w:val="00040FBA"/>
    <w:rsid w:val="0004158B"/>
    <w:rsid w:val="00041C80"/>
    <w:rsid w:val="00042203"/>
    <w:rsid w:val="0004284E"/>
    <w:rsid w:val="00042B65"/>
    <w:rsid w:val="00042E43"/>
    <w:rsid w:val="00043229"/>
    <w:rsid w:val="000433F8"/>
    <w:rsid w:val="00043586"/>
    <w:rsid w:val="00043C17"/>
    <w:rsid w:val="00043F8E"/>
    <w:rsid w:val="0004484E"/>
    <w:rsid w:val="0004588D"/>
    <w:rsid w:val="00045A21"/>
    <w:rsid w:val="00045B81"/>
    <w:rsid w:val="0004735E"/>
    <w:rsid w:val="0004747B"/>
    <w:rsid w:val="00047C81"/>
    <w:rsid w:val="000504E8"/>
    <w:rsid w:val="00050555"/>
    <w:rsid w:val="00050A9F"/>
    <w:rsid w:val="00050DBD"/>
    <w:rsid w:val="000523AC"/>
    <w:rsid w:val="000528F0"/>
    <w:rsid w:val="00057387"/>
    <w:rsid w:val="00061FDB"/>
    <w:rsid w:val="0006263A"/>
    <w:rsid w:val="00064773"/>
    <w:rsid w:val="0006526B"/>
    <w:rsid w:val="0006551B"/>
    <w:rsid w:val="000716D5"/>
    <w:rsid w:val="00071BCD"/>
    <w:rsid w:val="00071DF4"/>
    <w:rsid w:val="00075E49"/>
    <w:rsid w:val="00076B56"/>
    <w:rsid w:val="00076D7D"/>
    <w:rsid w:val="00077A03"/>
    <w:rsid w:val="00080951"/>
    <w:rsid w:val="00083073"/>
    <w:rsid w:val="00083E25"/>
    <w:rsid w:val="00084355"/>
    <w:rsid w:val="000853A5"/>
    <w:rsid w:val="00087147"/>
    <w:rsid w:val="00090E72"/>
    <w:rsid w:val="00092E13"/>
    <w:rsid w:val="000932B1"/>
    <w:rsid w:val="00094C33"/>
    <w:rsid w:val="00096FA7"/>
    <w:rsid w:val="00097F5E"/>
    <w:rsid w:val="000A1EF3"/>
    <w:rsid w:val="000B0A76"/>
    <w:rsid w:val="000B11A0"/>
    <w:rsid w:val="000B18A4"/>
    <w:rsid w:val="000B2104"/>
    <w:rsid w:val="000B226F"/>
    <w:rsid w:val="000B260D"/>
    <w:rsid w:val="000B2BDD"/>
    <w:rsid w:val="000B42AC"/>
    <w:rsid w:val="000B4702"/>
    <w:rsid w:val="000B5AC7"/>
    <w:rsid w:val="000C124D"/>
    <w:rsid w:val="000C3157"/>
    <w:rsid w:val="000C5953"/>
    <w:rsid w:val="000D001A"/>
    <w:rsid w:val="000D0E50"/>
    <w:rsid w:val="000D1245"/>
    <w:rsid w:val="000D3E93"/>
    <w:rsid w:val="000D45D4"/>
    <w:rsid w:val="000D51F0"/>
    <w:rsid w:val="000D7DDC"/>
    <w:rsid w:val="000E1461"/>
    <w:rsid w:val="000E1597"/>
    <w:rsid w:val="000E2B52"/>
    <w:rsid w:val="000E3366"/>
    <w:rsid w:val="000E466B"/>
    <w:rsid w:val="000E565B"/>
    <w:rsid w:val="000F076D"/>
    <w:rsid w:val="000F113B"/>
    <w:rsid w:val="000F2EBB"/>
    <w:rsid w:val="000F4E28"/>
    <w:rsid w:val="000F4E68"/>
    <w:rsid w:val="000F4F65"/>
    <w:rsid w:val="000F5DC2"/>
    <w:rsid w:val="000F6D34"/>
    <w:rsid w:val="00100490"/>
    <w:rsid w:val="001017C4"/>
    <w:rsid w:val="00103CF5"/>
    <w:rsid w:val="0010536B"/>
    <w:rsid w:val="00105738"/>
    <w:rsid w:val="00105A4A"/>
    <w:rsid w:val="0010668E"/>
    <w:rsid w:val="00106A1F"/>
    <w:rsid w:val="001079BC"/>
    <w:rsid w:val="00107F1A"/>
    <w:rsid w:val="00111924"/>
    <w:rsid w:val="00111AED"/>
    <w:rsid w:val="00111F93"/>
    <w:rsid w:val="00112F0A"/>
    <w:rsid w:val="00113A53"/>
    <w:rsid w:val="00114048"/>
    <w:rsid w:val="0011602C"/>
    <w:rsid w:val="001221DA"/>
    <w:rsid w:val="00124B40"/>
    <w:rsid w:val="00124CC6"/>
    <w:rsid w:val="0012698E"/>
    <w:rsid w:val="00127416"/>
    <w:rsid w:val="00130191"/>
    <w:rsid w:val="00130CE8"/>
    <w:rsid w:val="00133EFB"/>
    <w:rsid w:val="001340CF"/>
    <w:rsid w:val="001350B6"/>
    <w:rsid w:val="001365C2"/>
    <w:rsid w:val="001402A6"/>
    <w:rsid w:val="00143924"/>
    <w:rsid w:val="001448D4"/>
    <w:rsid w:val="00144954"/>
    <w:rsid w:val="0014699C"/>
    <w:rsid w:val="00147EB6"/>
    <w:rsid w:val="00150304"/>
    <w:rsid w:val="00150AAE"/>
    <w:rsid w:val="00150D8D"/>
    <w:rsid w:val="00151262"/>
    <w:rsid w:val="00152632"/>
    <w:rsid w:val="001548FF"/>
    <w:rsid w:val="00155CBC"/>
    <w:rsid w:val="001573D1"/>
    <w:rsid w:val="0015755E"/>
    <w:rsid w:val="001575D5"/>
    <w:rsid w:val="0015763C"/>
    <w:rsid w:val="001578D8"/>
    <w:rsid w:val="0016148F"/>
    <w:rsid w:val="0016286E"/>
    <w:rsid w:val="00163687"/>
    <w:rsid w:val="00163CC7"/>
    <w:rsid w:val="00163F57"/>
    <w:rsid w:val="00165DB6"/>
    <w:rsid w:val="00165FD0"/>
    <w:rsid w:val="00166989"/>
    <w:rsid w:val="00166A46"/>
    <w:rsid w:val="0016764C"/>
    <w:rsid w:val="00171E7C"/>
    <w:rsid w:val="00172E2F"/>
    <w:rsid w:val="001736B6"/>
    <w:rsid w:val="00175025"/>
    <w:rsid w:val="001757BE"/>
    <w:rsid w:val="00175C38"/>
    <w:rsid w:val="00177A20"/>
    <w:rsid w:val="0018034E"/>
    <w:rsid w:val="00180591"/>
    <w:rsid w:val="00180AFC"/>
    <w:rsid w:val="0018209F"/>
    <w:rsid w:val="00183A2D"/>
    <w:rsid w:val="00183B25"/>
    <w:rsid w:val="0018409C"/>
    <w:rsid w:val="0018437C"/>
    <w:rsid w:val="00184829"/>
    <w:rsid w:val="00186D93"/>
    <w:rsid w:val="00187100"/>
    <w:rsid w:val="0019019A"/>
    <w:rsid w:val="00191DD8"/>
    <w:rsid w:val="0019349D"/>
    <w:rsid w:val="00193809"/>
    <w:rsid w:val="0019396D"/>
    <w:rsid w:val="00193DB3"/>
    <w:rsid w:val="001959BF"/>
    <w:rsid w:val="00196259"/>
    <w:rsid w:val="001962FB"/>
    <w:rsid w:val="00197745"/>
    <w:rsid w:val="001A0FBE"/>
    <w:rsid w:val="001A18FA"/>
    <w:rsid w:val="001A2143"/>
    <w:rsid w:val="001A2FFF"/>
    <w:rsid w:val="001A4C7E"/>
    <w:rsid w:val="001A4EF4"/>
    <w:rsid w:val="001A5D38"/>
    <w:rsid w:val="001A750D"/>
    <w:rsid w:val="001B1211"/>
    <w:rsid w:val="001B1418"/>
    <w:rsid w:val="001B3527"/>
    <w:rsid w:val="001B3DD2"/>
    <w:rsid w:val="001B40D9"/>
    <w:rsid w:val="001B4784"/>
    <w:rsid w:val="001B4DA9"/>
    <w:rsid w:val="001B5749"/>
    <w:rsid w:val="001B7BBB"/>
    <w:rsid w:val="001C13CF"/>
    <w:rsid w:val="001C23B1"/>
    <w:rsid w:val="001C3A55"/>
    <w:rsid w:val="001C4321"/>
    <w:rsid w:val="001C5240"/>
    <w:rsid w:val="001C57CC"/>
    <w:rsid w:val="001C732D"/>
    <w:rsid w:val="001D1F97"/>
    <w:rsid w:val="001D2046"/>
    <w:rsid w:val="001D3C6E"/>
    <w:rsid w:val="001D4E4B"/>
    <w:rsid w:val="001D50E7"/>
    <w:rsid w:val="001D58C0"/>
    <w:rsid w:val="001D7460"/>
    <w:rsid w:val="001D7957"/>
    <w:rsid w:val="001E04EC"/>
    <w:rsid w:val="001E082A"/>
    <w:rsid w:val="001E2415"/>
    <w:rsid w:val="001E2A4A"/>
    <w:rsid w:val="001E38D5"/>
    <w:rsid w:val="001E3AD7"/>
    <w:rsid w:val="001E5286"/>
    <w:rsid w:val="001E52F0"/>
    <w:rsid w:val="001E720E"/>
    <w:rsid w:val="001E7429"/>
    <w:rsid w:val="001F3710"/>
    <w:rsid w:val="001F4B94"/>
    <w:rsid w:val="001F5DB2"/>
    <w:rsid w:val="001F6291"/>
    <w:rsid w:val="001F70CE"/>
    <w:rsid w:val="001F719A"/>
    <w:rsid w:val="002001A1"/>
    <w:rsid w:val="00201A1C"/>
    <w:rsid w:val="00204799"/>
    <w:rsid w:val="0020498C"/>
    <w:rsid w:val="00204DD7"/>
    <w:rsid w:val="00205E97"/>
    <w:rsid w:val="0020731E"/>
    <w:rsid w:val="0021022C"/>
    <w:rsid w:val="0021087B"/>
    <w:rsid w:val="0021137C"/>
    <w:rsid w:val="002113D9"/>
    <w:rsid w:val="00214319"/>
    <w:rsid w:val="0021452F"/>
    <w:rsid w:val="002150FE"/>
    <w:rsid w:val="00216E19"/>
    <w:rsid w:val="00221DD0"/>
    <w:rsid w:val="00224562"/>
    <w:rsid w:val="00224564"/>
    <w:rsid w:val="00224989"/>
    <w:rsid w:val="002250FD"/>
    <w:rsid w:val="00226578"/>
    <w:rsid w:val="00226AF8"/>
    <w:rsid w:val="00227D59"/>
    <w:rsid w:val="002300CD"/>
    <w:rsid w:val="002305ED"/>
    <w:rsid w:val="00234FED"/>
    <w:rsid w:val="0023639F"/>
    <w:rsid w:val="0023725A"/>
    <w:rsid w:val="00237B81"/>
    <w:rsid w:val="00237BD0"/>
    <w:rsid w:val="00242114"/>
    <w:rsid w:val="0024282E"/>
    <w:rsid w:val="00242953"/>
    <w:rsid w:val="00243DE1"/>
    <w:rsid w:val="00244EDD"/>
    <w:rsid w:val="002455EC"/>
    <w:rsid w:val="00246DC8"/>
    <w:rsid w:val="00250882"/>
    <w:rsid w:val="00251D5C"/>
    <w:rsid w:val="0025247B"/>
    <w:rsid w:val="00254179"/>
    <w:rsid w:val="00256865"/>
    <w:rsid w:val="00257237"/>
    <w:rsid w:val="002574BB"/>
    <w:rsid w:val="00257531"/>
    <w:rsid w:val="00257631"/>
    <w:rsid w:val="00260431"/>
    <w:rsid w:val="00260E18"/>
    <w:rsid w:val="00260E1F"/>
    <w:rsid w:val="00261490"/>
    <w:rsid w:val="00261E3B"/>
    <w:rsid w:val="00261EFE"/>
    <w:rsid w:val="0026227D"/>
    <w:rsid w:val="002649E7"/>
    <w:rsid w:val="00270E00"/>
    <w:rsid w:val="00271DD1"/>
    <w:rsid w:val="002729B8"/>
    <w:rsid w:val="002755B9"/>
    <w:rsid w:val="00276378"/>
    <w:rsid w:val="00276834"/>
    <w:rsid w:val="00276A89"/>
    <w:rsid w:val="00276D5A"/>
    <w:rsid w:val="00277BA3"/>
    <w:rsid w:val="00282185"/>
    <w:rsid w:val="00282271"/>
    <w:rsid w:val="00282EE9"/>
    <w:rsid w:val="0028761D"/>
    <w:rsid w:val="00290BF2"/>
    <w:rsid w:val="00292BEA"/>
    <w:rsid w:val="002935B9"/>
    <w:rsid w:val="00294150"/>
    <w:rsid w:val="00294A5A"/>
    <w:rsid w:val="002955AA"/>
    <w:rsid w:val="002A2079"/>
    <w:rsid w:val="002A3E04"/>
    <w:rsid w:val="002A49FB"/>
    <w:rsid w:val="002A5742"/>
    <w:rsid w:val="002A57E2"/>
    <w:rsid w:val="002A671A"/>
    <w:rsid w:val="002A7212"/>
    <w:rsid w:val="002A7277"/>
    <w:rsid w:val="002B08E6"/>
    <w:rsid w:val="002B0AA5"/>
    <w:rsid w:val="002B3F93"/>
    <w:rsid w:val="002B58A2"/>
    <w:rsid w:val="002B58FA"/>
    <w:rsid w:val="002B7C4E"/>
    <w:rsid w:val="002C0819"/>
    <w:rsid w:val="002C1F1B"/>
    <w:rsid w:val="002C2184"/>
    <w:rsid w:val="002C35DF"/>
    <w:rsid w:val="002C476A"/>
    <w:rsid w:val="002C6D34"/>
    <w:rsid w:val="002D12FD"/>
    <w:rsid w:val="002D18EB"/>
    <w:rsid w:val="002D2781"/>
    <w:rsid w:val="002D2B1A"/>
    <w:rsid w:val="002D2CA8"/>
    <w:rsid w:val="002D3101"/>
    <w:rsid w:val="002D3324"/>
    <w:rsid w:val="002D437E"/>
    <w:rsid w:val="002D4926"/>
    <w:rsid w:val="002D5874"/>
    <w:rsid w:val="002D5F29"/>
    <w:rsid w:val="002D728B"/>
    <w:rsid w:val="002D77D7"/>
    <w:rsid w:val="002D7E84"/>
    <w:rsid w:val="002E10DF"/>
    <w:rsid w:val="002E1BE1"/>
    <w:rsid w:val="002E2665"/>
    <w:rsid w:val="002E26BE"/>
    <w:rsid w:val="002E2C84"/>
    <w:rsid w:val="002E3BD6"/>
    <w:rsid w:val="002E4CEF"/>
    <w:rsid w:val="002E6351"/>
    <w:rsid w:val="002E696C"/>
    <w:rsid w:val="002E7F0A"/>
    <w:rsid w:val="002F1211"/>
    <w:rsid w:val="002F58C1"/>
    <w:rsid w:val="003003D6"/>
    <w:rsid w:val="00300A6A"/>
    <w:rsid w:val="00302DB2"/>
    <w:rsid w:val="0030594E"/>
    <w:rsid w:val="00306C05"/>
    <w:rsid w:val="00310187"/>
    <w:rsid w:val="00310289"/>
    <w:rsid w:val="00311088"/>
    <w:rsid w:val="003111C0"/>
    <w:rsid w:val="00311525"/>
    <w:rsid w:val="00311748"/>
    <w:rsid w:val="00311755"/>
    <w:rsid w:val="00312941"/>
    <w:rsid w:val="00312E4A"/>
    <w:rsid w:val="0031322E"/>
    <w:rsid w:val="003136C8"/>
    <w:rsid w:val="0031396D"/>
    <w:rsid w:val="00314102"/>
    <w:rsid w:val="00314734"/>
    <w:rsid w:val="00315021"/>
    <w:rsid w:val="00315C11"/>
    <w:rsid w:val="00315F52"/>
    <w:rsid w:val="00317357"/>
    <w:rsid w:val="003176C0"/>
    <w:rsid w:val="00317828"/>
    <w:rsid w:val="00321B34"/>
    <w:rsid w:val="003223CF"/>
    <w:rsid w:val="00322EE8"/>
    <w:rsid w:val="00323E38"/>
    <w:rsid w:val="00326995"/>
    <w:rsid w:val="003300CB"/>
    <w:rsid w:val="00330EAF"/>
    <w:rsid w:val="00331B5F"/>
    <w:rsid w:val="00331FEE"/>
    <w:rsid w:val="00331FFF"/>
    <w:rsid w:val="0033254F"/>
    <w:rsid w:val="00333973"/>
    <w:rsid w:val="00335EAB"/>
    <w:rsid w:val="0033680E"/>
    <w:rsid w:val="00337CD6"/>
    <w:rsid w:val="003409A2"/>
    <w:rsid w:val="0034127D"/>
    <w:rsid w:val="0034165A"/>
    <w:rsid w:val="0034194B"/>
    <w:rsid w:val="00343121"/>
    <w:rsid w:val="00347D43"/>
    <w:rsid w:val="003510F5"/>
    <w:rsid w:val="00351463"/>
    <w:rsid w:val="00351B1F"/>
    <w:rsid w:val="00352472"/>
    <w:rsid w:val="003535B4"/>
    <w:rsid w:val="0035496E"/>
    <w:rsid w:val="00354B81"/>
    <w:rsid w:val="00355890"/>
    <w:rsid w:val="00356261"/>
    <w:rsid w:val="003565FD"/>
    <w:rsid w:val="00360903"/>
    <w:rsid w:val="00360B79"/>
    <w:rsid w:val="00361D69"/>
    <w:rsid w:val="00362AC3"/>
    <w:rsid w:val="00363C9C"/>
    <w:rsid w:val="00363E05"/>
    <w:rsid w:val="00364347"/>
    <w:rsid w:val="003649EF"/>
    <w:rsid w:val="00364E20"/>
    <w:rsid w:val="003651A6"/>
    <w:rsid w:val="0036598D"/>
    <w:rsid w:val="003660A7"/>
    <w:rsid w:val="00366F03"/>
    <w:rsid w:val="00367986"/>
    <w:rsid w:val="00370915"/>
    <w:rsid w:val="003727E8"/>
    <w:rsid w:val="003730CD"/>
    <w:rsid w:val="00373A5A"/>
    <w:rsid w:val="00375815"/>
    <w:rsid w:val="003760A5"/>
    <w:rsid w:val="00376229"/>
    <w:rsid w:val="00376445"/>
    <w:rsid w:val="003768FD"/>
    <w:rsid w:val="00376C23"/>
    <w:rsid w:val="0038056F"/>
    <w:rsid w:val="0038118E"/>
    <w:rsid w:val="0038150D"/>
    <w:rsid w:val="00381F7A"/>
    <w:rsid w:val="003828A1"/>
    <w:rsid w:val="00382FD1"/>
    <w:rsid w:val="00384EE0"/>
    <w:rsid w:val="00385916"/>
    <w:rsid w:val="003871F4"/>
    <w:rsid w:val="00387B39"/>
    <w:rsid w:val="00391063"/>
    <w:rsid w:val="003911F5"/>
    <w:rsid w:val="003918FA"/>
    <w:rsid w:val="00397FCF"/>
    <w:rsid w:val="003A079D"/>
    <w:rsid w:val="003A153C"/>
    <w:rsid w:val="003A2584"/>
    <w:rsid w:val="003A364B"/>
    <w:rsid w:val="003A4861"/>
    <w:rsid w:val="003A4BAA"/>
    <w:rsid w:val="003A4DBE"/>
    <w:rsid w:val="003A5D6C"/>
    <w:rsid w:val="003A6999"/>
    <w:rsid w:val="003A7F98"/>
    <w:rsid w:val="003B034C"/>
    <w:rsid w:val="003B0C94"/>
    <w:rsid w:val="003B10AC"/>
    <w:rsid w:val="003B161A"/>
    <w:rsid w:val="003B1A61"/>
    <w:rsid w:val="003B2E4F"/>
    <w:rsid w:val="003B3C88"/>
    <w:rsid w:val="003B4A4C"/>
    <w:rsid w:val="003B51FA"/>
    <w:rsid w:val="003B6B71"/>
    <w:rsid w:val="003C1736"/>
    <w:rsid w:val="003C2112"/>
    <w:rsid w:val="003C2512"/>
    <w:rsid w:val="003C3173"/>
    <w:rsid w:val="003C4352"/>
    <w:rsid w:val="003C583F"/>
    <w:rsid w:val="003C5C0A"/>
    <w:rsid w:val="003C74EE"/>
    <w:rsid w:val="003D0414"/>
    <w:rsid w:val="003D056F"/>
    <w:rsid w:val="003D2A18"/>
    <w:rsid w:val="003D2ABA"/>
    <w:rsid w:val="003D3760"/>
    <w:rsid w:val="003D3CB8"/>
    <w:rsid w:val="003D46D7"/>
    <w:rsid w:val="003D5265"/>
    <w:rsid w:val="003D6FD4"/>
    <w:rsid w:val="003E1653"/>
    <w:rsid w:val="003E2504"/>
    <w:rsid w:val="003E4CD9"/>
    <w:rsid w:val="003E72F5"/>
    <w:rsid w:val="003E749F"/>
    <w:rsid w:val="003E76DE"/>
    <w:rsid w:val="003E7896"/>
    <w:rsid w:val="003E78A4"/>
    <w:rsid w:val="003F01A7"/>
    <w:rsid w:val="003F11B9"/>
    <w:rsid w:val="003F2314"/>
    <w:rsid w:val="003F2629"/>
    <w:rsid w:val="003F2A86"/>
    <w:rsid w:val="003F2DC9"/>
    <w:rsid w:val="003F390F"/>
    <w:rsid w:val="003F3DB3"/>
    <w:rsid w:val="003F48A8"/>
    <w:rsid w:val="003F6225"/>
    <w:rsid w:val="003F6502"/>
    <w:rsid w:val="004022A2"/>
    <w:rsid w:val="004040D4"/>
    <w:rsid w:val="00404FBC"/>
    <w:rsid w:val="00406C3A"/>
    <w:rsid w:val="00410670"/>
    <w:rsid w:val="00410EAE"/>
    <w:rsid w:val="00411AD2"/>
    <w:rsid w:val="00411ECA"/>
    <w:rsid w:val="00415EE8"/>
    <w:rsid w:val="004162E7"/>
    <w:rsid w:val="0042016C"/>
    <w:rsid w:val="00420A54"/>
    <w:rsid w:val="0042130F"/>
    <w:rsid w:val="0042133D"/>
    <w:rsid w:val="00421439"/>
    <w:rsid w:val="004226A6"/>
    <w:rsid w:val="00422F75"/>
    <w:rsid w:val="004230C2"/>
    <w:rsid w:val="00424546"/>
    <w:rsid w:val="00424A5E"/>
    <w:rsid w:val="00425CF4"/>
    <w:rsid w:val="004272C1"/>
    <w:rsid w:val="0042733B"/>
    <w:rsid w:val="00427A41"/>
    <w:rsid w:val="0043029D"/>
    <w:rsid w:val="00430A92"/>
    <w:rsid w:val="0043147E"/>
    <w:rsid w:val="00431AE5"/>
    <w:rsid w:val="00431F3A"/>
    <w:rsid w:val="00432167"/>
    <w:rsid w:val="00433016"/>
    <w:rsid w:val="00433408"/>
    <w:rsid w:val="0043627D"/>
    <w:rsid w:val="004365FF"/>
    <w:rsid w:val="00440E89"/>
    <w:rsid w:val="00442A8E"/>
    <w:rsid w:val="00443E7F"/>
    <w:rsid w:val="0044467D"/>
    <w:rsid w:val="00444737"/>
    <w:rsid w:val="00444BB3"/>
    <w:rsid w:val="00444BDB"/>
    <w:rsid w:val="00444DAF"/>
    <w:rsid w:val="00445B5D"/>
    <w:rsid w:val="00451504"/>
    <w:rsid w:val="00451C2D"/>
    <w:rsid w:val="00451CF4"/>
    <w:rsid w:val="004524AF"/>
    <w:rsid w:val="00454132"/>
    <w:rsid w:val="004558E2"/>
    <w:rsid w:val="004561FE"/>
    <w:rsid w:val="00456BA5"/>
    <w:rsid w:val="00456BC6"/>
    <w:rsid w:val="004606BC"/>
    <w:rsid w:val="004607BF"/>
    <w:rsid w:val="00460E23"/>
    <w:rsid w:val="0046388A"/>
    <w:rsid w:val="00467343"/>
    <w:rsid w:val="0047043F"/>
    <w:rsid w:val="004710A8"/>
    <w:rsid w:val="00471421"/>
    <w:rsid w:val="00472F63"/>
    <w:rsid w:val="00473983"/>
    <w:rsid w:val="00473BB3"/>
    <w:rsid w:val="00473DE7"/>
    <w:rsid w:val="00476357"/>
    <w:rsid w:val="004765E0"/>
    <w:rsid w:val="00476F8A"/>
    <w:rsid w:val="00477D6C"/>
    <w:rsid w:val="00481185"/>
    <w:rsid w:val="004835F9"/>
    <w:rsid w:val="004837E0"/>
    <w:rsid w:val="0048492B"/>
    <w:rsid w:val="00486ADF"/>
    <w:rsid w:val="00487E73"/>
    <w:rsid w:val="00490BF6"/>
    <w:rsid w:val="004915EA"/>
    <w:rsid w:val="00491C14"/>
    <w:rsid w:val="00492E7A"/>
    <w:rsid w:val="004946E4"/>
    <w:rsid w:val="004951CB"/>
    <w:rsid w:val="004A125B"/>
    <w:rsid w:val="004A129C"/>
    <w:rsid w:val="004A22F6"/>
    <w:rsid w:val="004A4630"/>
    <w:rsid w:val="004A56D3"/>
    <w:rsid w:val="004A5E44"/>
    <w:rsid w:val="004A62EF"/>
    <w:rsid w:val="004A72E9"/>
    <w:rsid w:val="004B3239"/>
    <w:rsid w:val="004B3350"/>
    <w:rsid w:val="004B38BC"/>
    <w:rsid w:val="004B5A2F"/>
    <w:rsid w:val="004B7A11"/>
    <w:rsid w:val="004B7CE2"/>
    <w:rsid w:val="004C41BA"/>
    <w:rsid w:val="004C5DAD"/>
    <w:rsid w:val="004C7547"/>
    <w:rsid w:val="004D007F"/>
    <w:rsid w:val="004D1773"/>
    <w:rsid w:val="004D30A2"/>
    <w:rsid w:val="004D43B3"/>
    <w:rsid w:val="004D53DC"/>
    <w:rsid w:val="004D7A0C"/>
    <w:rsid w:val="004E1F41"/>
    <w:rsid w:val="004E275F"/>
    <w:rsid w:val="004E670D"/>
    <w:rsid w:val="004F0CD4"/>
    <w:rsid w:val="004F14A0"/>
    <w:rsid w:val="004F1A2A"/>
    <w:rsid w:val="004F23D3"/>
    <w:rsid w:val="004F33C4"/>
    <w:rsid w:val="004F3AF4"/>
    <w:rsid w:val="004F58B8"/>
    <w:rsid w:val="004F7EFE"/>
    <w:rsid w:val="00500363"/>
    <w:rsid w:val="0050093F"/>
    <w:rsid w:val="005031C4"/>
    <w:rsid w:val="00503790"/>
    <w:rsid w:val="005047CA"/>
    <w:rsid w:val="00504942"/>
    <w:rsid w:val="00504E9C"/>
    <w:rsid w:val="00505674"/>
    <w:rsid w:val="00507179"/>
    <w:rsid w:val="00507610"/>
    <w:rsid w:val="00510753"/>
    <w:rsid w:val="00511BFC"/>
    <w:rsid w:val="005125B4"/>
    <w:rsid w:val="00512967"/>
    <w:rsid w:val="00516385"/>
    <w:rsid w:val="00517041"/>
    <w:rsid w:val="00521406"/>
    <w:rsid w:val="00521575"/>
    <w:rsid w:val="00525A77"/>
    <w:rsid w:val="00526C37"/>
    <w:rsid w:val="00527E54"/>
    <w:rsid w:val="00534994"/>
    <w:rsid w:val="00534DBB"/>
    <w:rsid w:val="00535FCD"/>
    <w:rsid w:val="00537C71"/>
    <w:rsid w:val="005410CE"/>
    <w:rsid w:val="00543236"/>
    <w:rsid w:val="00544388"/>
    <w:rsid w:val="00545286"/>
    <w:rsid w:val="00545595"/>
    <w:rsid w:val="00545AF7"/>
    <w:rsid w:val="00550248"/>
    <w:rsid w:val="005510D2"/>
    <w:rsid w:val="0055136D"/>
    <w:rsid w:val="005530D5"/>
    <w:rsid w:val="005537C0"/>
    <w:rsid w:val="005538A3"/>
    <w:rsid w:val="005544DD"/>
    <w:rsid w:val="00554BA3"/>
    <w:rsid w:val="00556A17"/>
    <w:rsid w:val="00557B5A"/>
    <w:rsid w:val="00557EF1"/>
    <w:rsid w:val="00560BF7"/>
    <w:rsid w:val="00561698"/>
    <w:rsid w:val="00561DCA"/>
    <w:rsid w:val="0056207A"/>
    <w:rsid w:val="00562B74"/>
    <w:rsid w:val="005635F2"/>
    <w:rsid w:val="005642EA"/>
    <w:rsid w:val="00564F26"/>
    <w:rsid w:val="005650AA"/>
    <w:rsid w:val="005677EF"/>
    <w:rsid w:val="00567DAB"/>
    <w:rsid w:val="00570628"/>
    <w:rsid w:val="00570F49"/>
    <w:rsid w:val="00573E1E"/>
    <w:rsid w:val="00575CCA"/>
    <w:rsid w:val="00576FAF"/>
    <w:rsid w:val="00577316"/>
    <w:rsid w:val="00580163"/>
    <w:rsid w:val="005808F2"/>
    <w:rsid w:val="00580D2A"/>
    <w:rsid w:val="00582E74"/>
    <w:rsid w:val="005834CF"/>
    <w:rsid w:val="00585291"/>
    <w:rsid w:val="00585A15"/>
    <w:rsid w:val="00585AFD"/>
    <w:rsid w:val="00586159"/>
    <w:rsid w:val="00590381"/>
    <w:rsid w:val="005903FD"/>
    <w:rsid w:val="00590F21"/>
    <w:rsid w:val="00592C42"/>
    <w:rsid w:val="00594FC2"/>
    <w:rsid w:val="005955BF"/>
    <w:rsid w:val="00595CFF"/>
    <w:rsid w:val="005A24E4"/>
    <w:rsid w:val="005A332A"/>
    <w:rsid w:val="005A3BED"/>
    <w:rsid w:val="005A54AE"/>
    <w:rsid w:val="005A76EE"/>
    <w:rsid w:val="005B0CA0"/>
    <w:rsid w:val="005B101B"/>
    <w:rsid w:val="005B2A9F"/>
    <w:rsid w:val="005B3A0F"/>
    <w:rsid w:val="005B3B95"/>
    <w:rsid w:val="005B54CC"/>
    <w:rsid w:val="005B57D3"/>
    <w:rsid w:val="005B5DEC"/>
    <w:rsid w:val="005B66FF"/>
    <w:rsid w:val="005B6E81"/>
    <w:rsid w:val="005B7CF0"/>
    <w:rsid w:val="005C0268"/>
    <w:rsid w:val="005C1A8F"/>
    <w:rsid w:val="005C2CAA"/>
    <w:rsid w:val="005C42FD"/>
    <w:rsid w:val="005C4CA1"/>
    <w:rsid w:val="005C51FA"/>
    <w:rsid w:val="005C5F09"/>
    <w:rsid w:val="005D0665"/>
    <w:rsid w:val="005D19BE"/>
    <w:rsid w:val="005D220E"/>
    <w:rsid w:val="005D3131"/>
    <w:rsid w:val="005D4AE2"/>
    <w:rsid w:val="005D56F8"/>
    <w:rsid w:val="005D59C7"/>
    <w:rsid w:val="005D5E6B"/>
    <w:rsid w:val="005D6CDC"/>
    <w:rsid w:val="005D7A7F"/>
    <w:rsid w:val="005E037E"/>
    <w:rsid w:val="005E10D3"/>
    <w:rsid w:val="005E150A"/>
    <w:rsid w:val="005E47B1"/>
    <w:rsid w:val="005E5C39"/>
    <w:rsid w:val="005E6FD2"/>
    <w:rsid w:val="005E7D4B"/>
    <w:rsid w:val="005F2B3F"/>
    <w:rsid w:val="005F3BD4"/>
    <w:rsid w:val="00600AD8"/>
    <w:rsid w:val="00600F10"/>
    <w:rsid w:val="00603465"/>
    <w:rsid w:val="00604A1F"/>
    <w:rsid w:val="00604D4C"/>
    <w:rsid w:val="00610EF6"/>
    <w:rsid w:val="00612407"/>
    <w:rsid w:val="0061268E"/>
    <w:rsid w:val="006129D0"/>
    <w:rsid w:val="00614D39"/>
    <w:rsid w:val="006152F0"/>
    <w:rsid w:val="00615EAB"/>
    <w:rsid w:val="00616468"/>
    <w:rsid w:val="00616CAB"/>
    <w:rsid w:val="00620130"/>
    <w:rsid w:val="006202BD"/>
    <w:rsid w:val="006205E9"/>
    <w:rsid w:val="00621BDE"/>
    <w:rsid w:val="0062427C"/>
    <w:rsid w:val="0062710F"/>
    <w:rsid w:val="00630F44"/>
    <w:rsid w:val="00632DCB"/>
    <w:rsid w:val="00634146"/>
    <w:rsid w:val="00634B14"/>
    <w:rsid w:val="00636042"/>
    <w:rsid w:val="0063710D"/>
    <w:rsid w:val="0063768C"/>
    <w:rsid w:val="00641069"/>
    <w:rsid w:val="006429BF"/>
    <w:rsid w:val="00643A42"/>
    <w:rsid w:val="006440C6"/>
    <w:rsid w:val="006441EC"/>
    <w:rsid w:val="006450F3"/>
    <w:rsid w:val="00647903"/>
    <w:rsid w:val="00647A3A"/>
    <w:rsid w:val="0065036C"/>
    <w:rsid w:val="00650B31"/>
    <w:rsid w:val="00651DB8"/>
    <w:rsid w:val="006525BF"/>
    <w:rsid w:val="00652FDE"/>
    <w:rsid w:val="006536A0"/>
    <w:rsid w:val="006537C6"/>
    <w:rsid w:val="00654301"/>
    <w:rsid w:val="00657FED"/>
    <w:rsid w:val="006637E1"/>
    <w:rsid w:val="0066523D"/>
    <w:rsid w:val="00665CD8"/>
    <w:rsid w:val="00665EA7"/>
    <w:rsid w:val="00666006"/>
    <w:rsid w:val="006676F8"/>
    <w:rsid w:val="0067053E"/>
    <w:rsid w:val="00671196"/>
    <w:rsid w:val="00671597"/>
    <w:rsid w:val="006722F1"/>
    <w:rsid w:val="00673696"/>
    <w:rsid w:val="00673AE9"/>
    <w:rsid w:val="00674C25"/>
    <w:rsid w:val="006752C5"/>
    <w:rsid w:val="006761DF"/>
    <w:rsid w:val="006765D3"/>
    <w:rsid w:val="00677721"/>
    <w:rsid w:val="006804F0"/>
    <w:rsid w:val="00680B0F"/>
    <w:rsid w:val="0068141D"/>
    <w:rsid w:val="0068268A"/>
    <w:rsid w:val="00682D56"/>
    <w:rsid w:val="00683D0A"/>
    <w:rsid w:val="006865E7"/>
    <w:rsid w:val="00687575"/>
    <w:rsid w:val="0069094C"/>
    <w:rsid w:val="00691764"/>
    <w:rsid w:val="00692619"/>
    <w:rsid w:val="006927BD"/>
    <w:rsid w:val="00692DCD"/>
    <w:rsid w:val="006A00E1"/>
    <w:rsid w:val="006A05C7"/>
    <w:rsid w:val="006A0FBE"/>
    <w:rsid w:val="006A2353"/>
    <w:rsid w:val="006A288E"/>
    <w:rsid w:val="006A35F2"/>
    <w:rsid w:val="006A49D9"/>
    <w:rsid w:val="006B0B93"/>
    <w:rsid w:val="006B19DD"/>
    <w:rsid w:val="006B1AA5"/>
    <w:rsid w:val="006B42DD"/>
    <w:rsid w:val="006B5970"/>
    <w:rsid w:val="006B76F6"/>
    <w:rsid w:val="006C31C2"/>
    <w:rsid w:val="006C3601"/>
    <w:rsid w:val="006C5430"/>
    <w:rsid w:val="006D10F4"/>
    <w:rsid w:val="006D2324"/>
    <w:rsid w:val="006D58DE"/>
    <w:rsid w:val="006D5B96"/>
    <w:rsid w:val="006D70DD"/>
    <w:rsid w:val="006E01EA"/>
    <w:rsid w:val="006E2A6A"/>
    <w:rsid w:val="006E2E70"/>
    <w:rsid w:val="006E3CA5"/>
    <w:rsid w:val="006E3DAB"/>
    <w:rsid w:val="006E4BCC"/>
    <w:rsid w:val="006E4FDF"/>
    <w:rsid w:val="006F0463"/>
    <w:rsid w:val="006F04C0"/>
    <w:rsid w:val="006F1857"/>
    <w:rsid w:val="006F2E1B"/>
    <w:rsid w:val="006F49B6"/>
    <w:rsid w:val="006F574E"/>
    <w:rsid w:val="006F6422"/>
    <w:rsid w:val="006F79CF"/>
    <w:rsid w:val="007017C7"/>
    <w:rsid w:val="00702424"/>
    <w:rsid w:val="007035D8"/>
    <w:rsid w:val="00704C4B"/>
    <w:rsid w:val="007051B2"/>
    <w:rsid w:val="0070547D"/>
    <w:rsid w:val="00705876"/>
    <w:rsid w:val="007068A8"/>
    <w:rsid w:val="00706B11"/>
    <w:rsid w:val="00710380"/>
    <w:rsid w:val="007107B9"/>
    <w:rsid w:val="00710E87"/>
    <w:rsid w:val="00712DEE"/>
    <w:rsid w:val="00714855"/>
    <w:rsid w:val="00716692"/>
    <w:rsid w:val="00717482"/>
    <w:rsid w:val="007176BE"/>
    <w:rsid w:val="007217F0"/>
    <w:rsid w:val="007225FB"/>
    <w:rsid w:val="00722FAB"/>
    <w:rsid w:val="0072396E"/>
    <w:rsid w:val="00723A6C"/>
    <w:rsid w:val="007250DB"/>
    <w:rsid w:val="0072716B"/>
    <w:rsid w:val="007308DC"/>
    <w:rsid w:val="00731862"/>
    <w:rsid w:val="00731CBB"/>
    <w:rsid w:val="0073215F"/>
    <w:rsid w:val="007322B7"/>
    <w:rsid w:val="007323F4"/>
    <w:rsid w:val="00732D37"/>
    <w:rsid w:val="00732E00"/>
    <w:rsid w:val="00733B9A"/>
    <w:rsid w:val="007350C5"/>
    <w:rsid w:val="007355CD"/>
    <w:rsid w:val="007359BD"/>
    <w:rsid w:val="0073723B"/>
    <w:rsid w:val="00737588"/>
    <w:rsid w:val="00740735"/>
    <w:rsid w:val="00741B18"/>
    <w:rsid w:val="00742571"/>
    <w:rsid w:val="007476F4"/>
    <w:rsid w:val="00747799"/>
    <w:rsid w:val="007513DE"/>
    <w:rsid w:val="007541AF"/>
    <w:rsid w:val="00756921"/>
    <w:rsid w:val="00760643"/>
    <w:rsid w:val="007607DA"/>
    <w:rsid w:val="0076134A"/>
    <w:rsid w:val="007623D2"/>
    <w:rsid w:val="00764D43"/>
    <w:rsid w:val="00766E26"/>
    <w:rsid w:val="00767960"/>
    <w:rsid w:val="007706BB"/>
    <w:rsid w:val="0077216A"/>
    <w:rsid w:val="00772EDD"/>
    <w:rsid w:val="00774F93"/>
    <w:rsid w:val="007760A9"/>
    <w:rsid w:val="00776BE8"/>
    <w:rsid w:val="00780C91"/>
    <w:rsid w:val="00782B0E"/>
    <w:rsid w:val="007841B4"/>
    <w:rsid w:val="00784275"/>
    <w:rsid w:val="007902A7"/>
    <w:rsid w:val="0079101C"/>
    <w:rsid w:val="00791696"/>
    <w:rsid w:val="007926D8"/>
    <w:rsid w:val="00792DE7"/>
    <w:rsid w:val="00794110"/>
    <w:rsid w:val="007943B5"/>
    <w:rsid w:val="007965EC"/>
    <w:rsid w:val="00796733"/>
    <w:rsid w:val="007967A2"/>
    <w:rsid w:val="00796FBE"/>
    <w:rsid w:val="007A0BC2"/>
    <w:rsid w:val="007B11AF"/>
    <w:rsid w:val="007B1463"/>
    <w:rsid w:val="007B278E"/>
    <w:rsid w:val="007B2A35"/>
    <w:rsid w:val="007B3383"/>
    <w:rsid w:val="007B3EA0"/>
    <w:rsid w:val="007B41F2"/>
    <w:rsid w:val="007B608F"/>
    <w:rsid w:val="007C0668"/>
    <w:rsid w:val="007C0984"/>
    <w:rsid w:val="007C2985"/>
    <w:rsid w:val="007C5641"/>
    <w:rsid w:val="007C5BC3"/>
    <w:rsid w:val="007C6484"/>
    <w:rsid w:val="007C6491"/>
    <w:rsid w:val="007C6832"/>
    <w:rsid w:val="007D1BFB"/>
    <w:rsid w:val="007D2EC1"/>
    <w:rsid w:val="007D3FA8"/>
    <w:rsid w:val="007D4AFB"/>
    <w:rsid w:val="007D6B05"/>
    <w:rsid w:val="007E009C"/>
    <w:rsid w:val="007E148B"/>
    <w:rsid w:val="007E266C"/>
    <w:rsid w:val="007E4CAF"/>
    <w:rsid w:val="007E51B9"/>
    <w:rsid w:val="007E7C6B"/>
    <w:rsid w:val="007F029A"/>
    <w:rsid w:val="007F1B62"/>
    <w:rsid w:val="007F3D26"/>
    <w:rsid w:val="007F4A31"/>
    <w:rsid w:val="007F59BC"/>
    <w:rsid w:val="007F60DD"/>
    <w:rsid w:val="007F7102"/>
    <w:rsid w:val="007F7668"/>
    <w:rsid w:val="00801187"/>
    <w:rsid w:val="00803BC6"/>
    <w:rsid w:val="00804AC8"/>
    <w:rsid w:val="008077EB"/>
    <w:rsid w:val="008100FA"/>
    <w:rsid w:val="00810E7B"/>
    <w:rsid w:val="008120DC"/>
    <w:rsid w:val="0081326E"/>
    <w:rsid w:val="00813ACB"/>
    <w:rsid w:val="008152FC"/>
    <w:rsid w:val="00815A2C"/>
    <w:rsid w:val="00816866"/>
    <w:rsid w:val="00817879"/>
    <w:rsid w:val="00821524"/>
    <w:rsid w:val="00821E22"/>
    <w:rsid w:val="0082234E"/>
    <w:rsid w:val="00824AF3"/>
    <w:rsid w:val="00824B0A"/>
    <w:rsid w:val="00824D0B"/>
    <w:rsid w:val="00825896"/>
    <w:rsid w:val="00826004"/>
    <w:rsid w:val="008262F6"/>
    <w:rsid w:val="008275CC"/>
    <w:rsid w:val="00830029"/>
    <w:rsid w:val="0083289B"/>
    <w:rsid w:val="0083377B"/>
    <w:rsid w:val="00834882"/>
    <w:rsid w:val="0083503B"/>
    <w:rsid w:val="00835906"/>
    <w:rsid w:val="008359E3"/>
    <w:rsid w:val="00836849"/>
    <w:rsid w:val="0083782D"/>
    <w:rsid w:val="00841A1C"/>
    <w:rsid w:val="008424E2"/>
    <w:rsid w:val="008438D6"/>
    <w:rsid w:val="00843B59"/>
    <w:rsid w:val="00844E6E"/>
    <w:rsid w:val="00845B2D"/>
    <w:rsid w:val="008464E0"/>
    <w:rsid w:val="008527B2"/>
    <w:rsid w:val="00855332"/>
    <w:rsid w:val="008562E0"/>
    <w:rsid w:val="00856984"/>
    <w:rsid w:val="008573AF"/>
    <w:rsid w:val="00857C65"/>
    <w:rsid w:val="00857CD0"/>
    <w:rsid w:val="00860011"/>
    <w:rsid w:val="00860260"/>
    <w:rsid w:val="00860FDB"/>
    <w:rsid w:val="00861EBD"/>
    <w:rsid w:val="008624FE"/>
    <w:rsid w:val="00862703"/>
    <w:rsid w:val="00864CCF"/>
    <w:rsid w:val="0086643A"/>
    <w:rsid w:val="00866799"/>
    <w:rsid w:val="008667EA"/>
    <w:rsid w:val="0087035E"/>
    <w:rsid w:val="00870BD2"/>
    <w:rsid w:val="00870C86"/>
    <w:rsid w:val="0087217B"/>
    <w:rsid w:val="00875D8F"/>
    <w:rsid w:val="00876008"/>
    <w:rsid w:val="008805F3"/>
    <w:rsid w:val="008809C0"/>
    <w:rsid w:val="0088103E"/>
    <w:rsid w:val="00882412"/>
    <w:rsid w:val="00882EDA"/>
    <w:rsid w:val="00883EA8"/>
    <w:rsid w:val="008872D7"/>
    <w:rsid w:val="00890F97"/>
    <w:rsid w:val="00893629"/>
    <w:rsid w:val="00895F23"/>
    <w:rsid w:val="008A143F"/>
    <w:rsid w:val="008A4513"/>
    <w:rsid w:val="008A49FA"/>
    <w:rsid w:val="008A56D8"/>
    <w:rsid w:val="008A624E"/>
    <w:rsid w:val="008A75ED"/>
    <w:rsid w:val="008A7A5C"/>
    <w:rsid w:val="008B2B13"/>
    <w:rsid w:val="008B5CC5"/>
    <w:rsid w:val="008B69C7"/>
    <w:rsid w:val="008B78DC"/>
    <w:rsid w:val="008C0F33"/>
    <w:rsid w:val="008C1019"/>
    <w:rsid w:val="008C1295"/>
    <w:rsid w:val="008C20EC"/>
    <w:rsid w:val="008C3591"/>
    <w:rsid w:val="008C4810"/>
    <w:rsid w:val="008C53A2"/>
    <w:rsid w:val="008D091D"/>
    <w:rsid w:val="008D1042"/>
    <w:rsid w:val="008D19C4"/>
    <w:rsid w:val="008D269F"/>
    <w:rsid w:val="008D292B"/>
    <w:rsid w:val="008D2C84"/>
    <w:rsid w:val="008D3D4A"/>
    <w:rsid w:val="008D41B2"/>
    <w:rsid w:val="008D470D"/>
    <w:rsid w:val="008D4C13"/>
    <w:rsid w:val="008D570A"/>
    <w:rsid w:val="008D650E"/>
    <w:rsid w:val="008D7AFB"/>
    <w:rsid w:val="008E0951"/>
    <w:rsid w:val="008E0F22"/>
    <w:rsid w:val="008E16E3"/>
    <w:rsid w:val="008E1BE6"/>
    <w:rsid w:val="008E2129"/>
    <w:rsid w:val="008E49CD"/>
    <w:rsid w:val="008E509D"/>
    <w:rsid w:val="008E65F1"/>
    <w:rsid w:val="008E71FD"/>
    <w:rsid w:val="008F120E"/>
    <w:rsid w:val="008F1BFD"/>
    <w:rsid w:val="008F51EB"/>
    <w:rsid w:val="008F70DB"/>
    <w:rsid w:val="008F7A9E"/>
    <w:rsid w:val="00900B13"/>
    <w:rsid w:val="00900F80"/>
    <w:rsid w:val="0090187F"/>
    <w:rsid w:val="00902562"/>
    <w:rsid w:val="00907AB0"/>
    <w:rsid w:val="00912885"/>
    <w:rsid w:val="00913B61"/>
    <w:rsid w:val="009146FE"/>
    <w:rsid w:val="00914CAA"/>
    <w:rsid w:val="009202BA"/>
    <w:rsid w:val="009204F7"/>
    <w:rsid w:val="00920EEF"/>
    <w:rsid w:val="009238DC"/>
    <w:rsid w:val="00925A81"/>
    <w:rsid w:val="00925C49"/>
    <w:rsid w:val="00927936"/>
    <w:rsid w:val="00930A9B"/>
    <w:rsid w:val="00930BAD"/>
    <w:rsid w:val="00932E22"/>
    <w:rsid w:val="009334C4"/>
    <w:rsid w:val="00934D3A"/>
    <w:rsid w:val="00937176"/>
    <w:rsid w:val="00937B82"/>
    <w:rsid w:val="00937CED"/>
    <w:rsid w:val="00940DC8"/>
    <w:rsid w:val="00941B64"/>
    <w:rsid w:val="009448CC"/>
    <w:rsid w:val="009464D4"/>
    <w:rsid w:val="00946DA2"/>
    <w:rsid w:val="0095091C"/>
    <w:rsid w:val="00950AA0"/>
    <w:rsid w:val="0095155B"/>
    <w:rsid w:val="009515BD"/>
    <w:rsid w:val="00951EC6"/>
    <w:rsid w:val="00953B3F"/>
    <w:rsid w:val="00955565"/>
    <w:rsid w:val="00957300"/>
    <w:rsid w:val="00957E3D"/>
    <w:rsid w:val="00961051"/>
    <w:rsid w:val="00963AA7"/>
    <w:rsid w:val="00964AD4"/>
    <w:rsid w:val="00964D5E"/>
    <w:rsid w:val="0096680F"/>
    <w:rsid w:val="0096744F"/>
    <w:rsid w:val="00971D7F"/>
    <w:rsid w:val="0097313E"/>
    <w:rsid w:val="009749C3"/>
    <w:rsid w:val="00975594"/>
    <w:rsid w:val="00975DCF"/>
    <w:rsid w:val="009766F4"/>
    <w:rsid w:val="00980261"/>
    <w:rsid w:val="00980A99"/>
    <w:rsid w:val="009825E3"/>
    <w:rsid w:val="00982DAA"/>
    <w:rsid w:val="00982DAE"/>
    <w:rsid w:val="00982F0A"/>
    <w:rsid w:val="009839F3"/>
    <w:rsid w:val="0098509E"/>
    <w:rsid w:val="009851ED"/>
    <w:rsid w:val="009857AA"/>
    <w:rsid w:val="00986FC7"/>
    <w:rsid w:val="00987DDD"/>
    <w:rsid w:val="009906BB"/>
    <w:rsid w:val="00990C4D"/>
    <w:rsid w:val="009934F9"/>
    <w:rsid w:val="00995198"/>
    <w:rsid w:val="009963AA"/>
    <w:rsid w:val="00996D4E"/>
    <w:rsid w:val="00997C3F"/>
    <w:rsid w:val="00997CEA"/>
    <w:rsid w:val="00997E77"/>
    <w:rsid w:val="009A0939"/>
    <w:rsid w:val="009A0D1D"/>
    <w:rsid w:val="009A1BB3"/>
    <w:rsid w:val="009A1FA6"/>
    <w:rsid w:val="009A5786"/>
    <w:rsid w:val="009A6AD7"/>
    <w:rsid w:val="009A6CC7"/>
    <w:rsid w:val="009A6E28"/>
    <w:rsid w:val="009A734E"/>
    <w:rsid w:val="009B046E"/>
    <w:rsid w:val="009B0F06"/>
    <w:rsid w:val="009B2468"/>
    <w:rsid w:val="009B2F2C"/>
    <w:rsid w:val="009B438D"/>
    <w:rsid w:val="009B45DF"/>
    <w:rsid w:val="009C2921"/>
    <w:rsid w:val="009C3391"/>
    <w:rsid w:val="009C60DE"/>
    <w:rsid w:val="009C61D9"/>
    <w:rsid w:val="009C6B6E"/>
    <w:rsid w:val="009C7150"/>
    <w:rsid w:val="009D02A2"/>
    <w:rsid w:val="009D04E0"/>
    <w:rsid w:val="009D0669"/>
    <w:rsid w:val="009D0A2C"/>
    <w:rsid w:val="009D1B61"/>
    <w:rsid w:val="009D2A23"/>
    <w:rsid w:val="009D2DAF"/>
    <w:rsid w:val="009D3314"/>
    <w:rsid w:val="009D4F66"/>
    <w:rsid w:val="009D5D36"/>
    <w:rsid w:val="009D5DEE"/>
    <w:rsid w:val="009D7168"/>
    <w:rsid w:val="009E0261"/>
    <w:rsid w:val="009E0282"/>
    <w:rsid w:val="009E04DE"/>
    <w:rsid w:val="009E0594"/>
    <w:rsid w:val="009E250B"/>
    <w:rsid w:val="009E387C"/>
    <w:rsid w:val="009E3C33"/>
    <w:rsid w:val="009E3CE6"/>
    <w:rsid w:val="009E4841"/>
    <w:rsid w:val="009E6871"/>
    <w:rsid w:val="009E6B86"/>
    <w:rsid w:val="009E6C8A"/>
    <w:rsid w:val="009F1003"/>
    <w:rsid w:val="009F126E"/>
    <w:rsid w:val="009F2156"/>
    <w:rsid w:val="009F2B34"/>
    <w:rsid w:val="009F2BBE"/>
    <w:rsid w:val="009F2F45"/>
    <w:rsid w:val="009F4905"/>
    <w:rsid w:val="009F4DF7"/>
    <w:rsid w:val="009F4FC6"/>
    <w:rsid w:val="009F4FE5"/>
    <w:rsid w:val="009F574C"/>
    <w:rsid w:val="009F729A"/>
    <w:rsid w:val="009F7CDA"/>
    <w:rsid w:val="00A0003C"/>
    <w:rsid w:val="00A002C0"/>
    <w:rsid w:val="00A016C1"/>
    <w:rsid w:val="00A0323B"/>
    <w:rsid w:val="00A07A7F"/>
    <w:rsid w:val="00A07EAA"/>
    <w:rsid w:val="00A10A15"/>
    <w:rsid w:val="00A10EE0"/>
    <w:rsid w:val="00A11329"/>
    <w:rsid w:val="00A12654"/>
    <w:rsid w:val="00A12697"/>
    <w:rsid w:val="00A15A97"/>
    <w:rsid w:val="00A15AD8"/>
    <w:rsid w:val="00A15D9F"/>
    <w:rsid w:val="00A1643D"/>
    <w:rsid w:val="00A212BB"/>
    <w:rsid w:val="00A213E0"/>
    <w:rsid w:val="00A21573"/>
    <w:rsid w:val="00A218C5"/>
    <w:rsid w:val="00A21C71"/>
    <w:rsid w:val="00A22450"/>
    <w:rsid w:val="00A24966"/>
    <w:rsid w:val="00A249C0"/>
    <w:rsid w:val="00A2750B"/>
    <w:rsid w:val="00A30DB3"/>
    <w:rsid w:val="00A31745"/>
    <w:rsid w:val="00A31BB0"/>
    <w:rsid w:val="00A32499"/>
    <w:rsid w:val="00A326BF"/>
    <w:rsid w:val="00A3369F"/>
    <w:rsid w:val="00A344A6"/>
    <w:rsid w:val="00A34FD5"/>
    <w:rsid w:val="00A35913"/>
    <w:rsid w:val="00A36152"/>
    <w:rsid w:val="00A363A1"/>
    <w:rsid w:val="00A365D0"/>
    <w:rsid w:val="00A36BB4"/>
    <w:rsid w:val="00A4393E"/>
    <w:rsid w:val="00A44435"/>
    <w:rsid w:val="00A44C95"/>
    <w:rsid w:val="00A45E49"/>
    <w:rsid w:val="00A468F0"/>
    <w:rsid w:val="00A46D20"/>
    <w:rsid w:val="00A47544"/>
    <w:rsid w:val="00A47572"/>
    <w:rsid w:val="00A476CC"/>
    <w:rsid w:val="00A52F91"/>
    <w:rsid w:val="00A53AD2"/>
    <w:rsid w:val="00A546C2"/>
    <w:rsid w:val="00A54FD7"/>
    <w:rsid w:val="00A55D2F"/>
    <w:rsid w:val="00A60795"/>
    <w:rsid w:val="00A61F67"/>
    <w:rsid w:val="00A66D89"/>
    <w:rsid w:val="00A72D81"/>
    <w:rsid w:val="00A73130"/>
    <w:rsid w:val="00A734A8"/>
    <w:rsid w:val="00A741EC"/>
    <w:rsid w:val="00A74753"/>
    <w:rsid w:val="00A75555"/>
    <w:rsid w:val="00A75E12"/>
    <w:rsid w:val="00A762A3"/>
    <w:rsid w:val="00A76D43"/>
    <w:rsid w:val="00A77C94"/>
    <w:rsid w:val="00A80E42"/>
    <w:rsid w:val="00A82B43"/>
    <w:rsid w:val="00A83AEC"/>
    <w:rsid w:val="00A84AA5"/>
    <w:rsid w:val="00A8504D"/>
    <w:rsid w:val="00A85457"/>
    <w:rsid w:val="00A85E85"/>
    <w:rsid w:val="00A87FDE"/>
    <w:rsid w:val="00A90252"/>
    <w:rsid w:val="00A90797"/>
    <w:rsid w:val="00A92D81"/>
    <w:rsid w:val="00A9353F"/>
    <w:rsid w:val="00A93FB5"/>
    <w:rsid w:val="00A9662C"/>
    <w:rsid w:val="00AA2730"/>
    <w:rsid w:val="00AA3D64"/>
    <w:rsid w:val="00AA4346"/>
    <w:rsid w:val="00AA66CD"/>
    <w:rsid w:val="00AA7D73"/>
    <w:rsid w:val="00AB182C"/>
    <w:rsid w:val="00AB3773"/>
    <w:rsid w:val="00AB6DBB"/>
    <w:rsid w:val="00AB6FE7"/>
    <w:rsid w:val="00AC0F50"/>
    <w:rsid w:val="00AC201D"/>
    <w:rsid w:val="00AC380C"/>
    <w:rsid w:val="00AC45A0"/>
    <w:rsid w:val="00AC4EEE"/>
    <w:rsid w:val="00AC53DA"/>
    <w:rsid w:val="00AC59F9"/>
    <w:rsid w:val="00AC5CAE"/>
    <w:rsid w:val="00AC710D"/>
    <w:rsid w:val="00AD14A5"/>
    <w:rsid w:val="00AD2147"/>
    <w:rsid w:val="00AD38C1"/>
    <w:rsid w:val="00AD7F91"/>
    <w:rsid w:val="00AE5142"/>
    <w:rsid w:val="00AE5DA5"/>
    <w:rsid w:val="00AF166F"/>
    <w:rsid w:val="00AF1A68"/>
    <w:rsid w:val="00AF23D5"/>
    <w:rsid w:val="00AF42C9"/>
    <w:rsid w:val="00AF4E1D"/>
    <w:rsid w:val="00AF66E4"/>
    <w:rsid w:val="00AF79D3"/>
    <w:rsid w:val="00B0030C"/>
    <w:rsid w:val="00B00BA3"/>
    <w:rsid w:val="00B02E3F"/>
    <w:rsid w:val="00B0359B"/>
    <w:rsid w:val="00B03885"/>
    <w:rsid w:val="00B03A0B"/>
    <w:rsid w:val="00B05DB1"/>
    <w:rsid w:val="00B06CFC"/>
    <w:rsid w:val="00B07920"/>
    <w:rsid w:val="00B10187"/>
    <w:rsid w:val="00B10579"/>
    <w:rsid w:val="00B1286D"/>
    <w:rsid w:val="00B129BD"/>
    <w:rsid w:val="00B145D2"/>
    <w:rsid w:val="00B14E53"/>
    <w:rsid w:val="00B15372"/>
    <w:rsid w:val="00B2026E"/>
    <w:rsid w:val="00B208CB"/>
    <w:rsid w:val="00B20A89"/>
    <w:rsid w:val="00B20E9D"/>
    <w:rsid w:val="00B21283"/>
    <w:rsid w:val="00B21FD1"/>
    <w:rsid w:val="00B22415"/>
    <w:rsid w:val="00B24ED2"/>
    <w:rsid w:val="00B3046D"/>
    <w:rsid w:val="00B30EEA"/>
    <w:rsid w:val="00B32A34"/>
    <w:rsid w:val="00B37A69"/>
    <w:rsid w:val="00B37CCC"/>
    <w:rsid w:val="00B40961"/>
    <w:rsid w:val="00B41DBE"/>
    <w:rsid w:val="00B43BA6"/>
    <w:rsid w:val="00B44BBA"/>
    <w:rsid w:val="00B46408"/>
    <w:rsid w:val="00B466D5"/>
    <w:rsid w:val="00B46C42"/>
    <w:rsid w:val="00B47767"/>
    <w:rsid w:val="00B47815"/>
    <w:rsid w:val="00B47D8A"/>
    <w:rsid w:val="00B47EA8"/>
    <w:rsid w:val="00B50F3F"/>
    <w:rsid w:val="00B51400"/>
    <w:rsid w:val="00B524E4"/>
    <w:rsid w:val="00B53113"/>
    <w:rsid w:val="00B53F36"/>
    <w:rsid w:val="00B54BBA"/>
    <w:rsid w:val="00B54EFC"/>
    <w:rsid w:val="00B554C9"/>
    <w:rsid w:val="00B557D3"/>
    <w:rsid w:val="00B56401"/>
    <w:rsid w:val="00B56B58"/>
    <w:rsid w:val="00B604C4"/>
    <w:rsid w:val="00B6129D"/>
    <w:rsid w:val="00B6188C"/>
    <w:rsid w:val="00B628D2"/>
    <w:rsid w:val="00B62AB6"/>
    <w:rsid w:val="00B62CEA"/>
    <w:rsid w:val="00B64644"/>
    <w:rsid w:val="00B66255"/>
    <w:rsid w:val="00B67EB4"/>
    <w:rsid w:val="00B713C4"/>
    <w:rsid w:val="00B72977"/>
    <w:rsid w:val="00B7311C"/>
    <w:rsid w:val="00B734E0"/>
    <w:rsid w:val="00B737B0"/>
    <w:rsid w:val="00B744E9"/>
    <w:rsid w:val="00B7467A"/>
    <w:rsid w:val="00B7529F"/>
    <w:rsid w:val="00B75759"/>
    <w:rsid w:val="00B75916"/>
    <w:rsid w:val="00B76C56"/>
    <w:rsid w:val="00B77E63"/>
    <w:rsid w:val="00B820F8"/>
    <w:rsid w:val="00B8387B"/>
    <w:rsid w:val="00B8398E"/>
    <w:rsid w:val="00B83F6A"/>
    <w:rsid w:val="00B84147"/>
    <w:rsid w:val="00B843E6"/>
    <w:rsid w:val="00B84B7A"/>
    <w:rsid w:val="00B85175"/>
    <w:rsid w:val="00B85508"/>
    <w:rsid w:val="00B87D06"/>
    <w:rsid w:val="00B90333"/>
    <w:rsid w:val="00B9156C"/>
    <w:rsid w:val="00B91B60"/>
    <w:rsid w:val="00B91D54"/>
    <w:rsid w:val="00B91F97"/>
    <w:rsid w:val="00B9212F"/>
    <w:rsid w:val="00B939F8"/>
    <w:rsid w:val="00B97B6E"/>
    <w:rsid w:val="00BA093B"/>
    <w:rsid w:val="00BA0AC9"/>
    <w:rsid w:val="00BA1356"/>
    <w:rsid w:val="00BA18DD"/>
    <w:rsid w:val="00BA2110"/>
    <w:rsid w:val="00BA2BD6"/>
    <w:rsid w:val="00BA6974"/>
    <w:rsid w:val="00BA6EB7"/>
    <w:rsid w:val="00BA7370"/>
    <w:rsid w:val="00BA74B6"/>
    <w:rsid w:val="00BB0385"/>
    <w:rsid w:val="00BB0B76"/>
    <w:rsid w:val="00BB25C6"/>
    <w:rsid w:val="00BB2EDC"/>
    <w:rsid w:val="00BB411D"/>
    <w:rsid w:val="00BB5EFE"/>
    <w:rsid w:val="00BB6649"/>
    <w:rsid w:val="00BB733D"/>
    <w:rsid w:val="00BB73D8"/>
    <w:rsid w:val="00BC0E3E"/>
    <w:rsid w:val="00BC1A5C"/>
    <w:rsid w:val="00BC1CE6"/>
    <w:rsid w:val="00BC2840"/>
    <w:rsid w:val="00BC482A"/>
    <w:rsid w:val="00BC4C21"/>
    <w:rsid w:val="00BC6A34"/>
    <w:rsid w:val="00BC6D9F"/>
    <w:rsid w:val="00BD1797"/>
    <w:rsid w:val="00BD20B6"/>
    <w:rsid w:val="00BD4608"/>
    <w:rsid w:val="00BD48C2"/>
    <w:rsid w:val="00BD4CB6"/>
    <w:rsid w:val="00BD5A44"/>
    <w:rsid w:val="00BD7BD6"/>
    <w:rsid w:val="00BE1E11"/>
    <w:rsid w:val="00BE2F7C"/>
    <w:rsid w:val="00BE3F49"/>
    <w:rsid w:val="00BE4A40"/>
    <w:rsid w:val="00BE4AA1"/>
    <w:rsid w:val="00BE520E"/>
    <w:rsid w:val="00BE6F17"/>
    <w:rsid w:val="00BE71CE"/>
    <w:rsid w:val="00BE7965"/>
    <w:rsid w:val="00BF16F1"/>
    <w:rsid w:val="00BF3B4C"/>
    <w:rsid w:val="00BF685C"/>
    <w:rsid w:val="00C001D5"/>
    <w:rsid w:val="00C016BA"/>
    <w:rsid w:val="00C024AD"/>
    <w:rsid w:val="00C033B3"/>
    <w:rsid w:val="00C03807"/>
    <w:rsid w:val="00C03A84"/>
    <w:rsid w:val="00C03A8B"/>
    <w:rsid w:val="00C0453E"/>
    <w:rsid w:val="00C05133"/>
    <w:rsid w:val="00C051EA"/>
    <w:rsid w:val="00C0574C"/>
    <w:rsid w:val="00C117F8"/>
    <w:rsid w:val="00C1193D"/>
    <w:rsid w:val="00C125DE"/>
    <w:rsid w:val="00C13894"/>
    <w:rsid w:val="00C1690E"/>
    <w:rsid w:val="00C16FF4"/>
    <w:rsid w:val="00C17119"/>
    <w:rsid w:val="00C218C9"/>
    <w:rsid w:val="00C23FE6"/>
    <w:rsid w:val="00C25EC1"/>
    <w:rsid w:val="00C26D1C"/>
    <w:rsid w:val="00C27448"/>
    <w:rsid w:val="00C27578"/>
    <w:rsid w:val="00C31778"/>
    <w:rsid w:val="00C31CFF"/>
    <w:rsid w:val="00C33202"/>
    <w:rsid w:val="00C350CF"/>
    <w:rsid w:val="00C353BD"/>
    <w:rsid w:val="00C35452"/>
    <w:rsid w:val="00C36867"/>
    <w:rsid w:val="00C36EF0"/>
    <w:rsid w:val="00C3730E"/>
    <w:rsid w:val="00C37B50"/>
    <w:rsid w:val="00C40AD6"/>
    <w:rsid w:val="00C4389A"/>
    <w:rsid w:val="00C462DD"/>
    <w:rsid w:val="00C4796D"/>
    <w:rsid w:val="00C47CAE"/>
    <w:rsid w:val="00C51199"/>
    <w:rsid w:val="00C522C0"/>
    <w:rsid w:val="00C5462A"/>
    <w:rsid w:val="00C551D6"/>
    <w:rsid w:val="00C60DD9"/>
    <w:rsid w:val="00C6129A"/>
    <w:rsid w:val="00C6135D"/>
    <w:rsid w:val="00C6173E"/>
    <w:rsid w:val="00C61838"/>
    <w:rsid w:val="00C63C73"/>
    <w:rsid w:val="00C6415E"/>
    <w:rsid w:val="00C643FD"/>
    <w:rsid w:val="00C64F6E"/>
    <w:rsid w:val="00C65BCB"/>
    <w:rsid w:val="00C65F29"/>
    <w:rsid w:val="00C6794D"/>
    <w:rsid w:val="00C67CBE"/>
    <w:rsid w:val="00C67F9C"/>
    <w:rsid w:val="00C70EF5"/>
    <w:rsid w:val="00C71323"/>
    <w:rsid w:val="00C714F9"/>
    <w:rsid w:val="00C7270D"/>
    <w:rsid w:val="00C73804"/>
    <w:rsid w:val="00C744A5"/>
    <w:rsid w:val="00C75AAF"/>
    <w:rsid w:val="00C76DC8"/>
    <w:rsid w:val="00C77492"/>
    <w:rsid w:val="00C84483"/>
    <w:rsid w:val="00C84F9D"/>
    <w:rsid w:val="00C85965"/>
    <w:rsid w:val="00C86E04"/>
    <w:rsid w:val="00C8703F"/>
    <w:rsid w:val="00C871FB"/>
    <w:rsid w:val="00C8794C"/>
    <w:rsid w:val="00C90410"/>
    <w:rsid w:val="00C90D58"/>
    <w:rsid w:val="00C91765"/>
    <w:rsid w:val="00C919C8"/>
    <w:rsid w:val="00C91C19"/>
    <w:rsid w:val="00C931ED"/>
    <w:rsid w:val="00C9330E"/>
    <w:rsid w:val="00C93AFF"/>
    <w:rsid w:val="00C94358"/>
    <w:rsid w:val="00C95348"/>
    <w:rsid w:val="00C95640"/>
    <w:rsid w:val="00C96065"/>
    <w:rsid w:val="00C973CC"/>
    <w:rsid w:val="00C97550"/>
    <w:rsid w:val="00CA0093"/>
    <w:rsid w:val="00CA0BD2"/>
    <w:rsid w:val="00CA15D4"/>
    <w:rsid w:val="00CA243A"/>
    <w:rsid w:val="00CA24A5"/>
    <w:rsid w:val="00CA50E3"/>
    <w:rsid w:val="00CA5506"/>
    <w:rsid w:val="00CA63BD"/>
    <w:rsid w:val="00CA79AF"/>
    <w:rsid w:val="00CB02DF"/>
    <w:rsid w:val="00CB0FB8"/>
    <w:rsid w:val="00CB2281"/>
    <w:rsid w:val="00CB4013"/>
    <w:rsid w:val="00CC163C"/>
    <w:rsid w:val="00CC2CB8"/>
    <w:rsid w:val="00CC48C2"/>
    <w:rsid w:val="00CC540D"/>
    <w:rsid w:val="00CC5A37"/>
    <w:rsid w:val="00CC64F1"/>
    <w:rsid w:val="00CC671F"/>
    <w:rsid w:val="00CC6996"/>
    <w:rsid w:val="00CC6AE6"/>
    <w:rsid w:val="00CC7BD0"/>
    <w:rsid w:val="00CD082C"/>
    <w:rsid w:val="00CD148F"/>
    <w:rsid w:val="00CD177E"/>
    <w:rsid w:val="00CD19BB"/>
    <w:rsid w:val="00CD2E31"/>
    <w:rsid w:val="00CD3687"/>
    <w:rsid w:val="00CD5312"/>
    <w:rsid w:val="00CD57B9"/>
    <w:rsid w:val="00CD5EA2"/>
    <w:rsid w:val="00CD751F"/>
    <w:rsid w:val="00CE0655"/>
    <w:rsid w:val="00CE0AEF"/>
    <w:rsid w:val="00CE3060"/>
    <w:rsid w:val="00CF2A04"/>
    <w:rsid w:val="00CF3A31"/>
    <w:rsid w:val="00CF4AFF"/>
    <w:rsid w:val="00CF5F3F"/>
    <w:rsid w:val="00CF672F"/>
    <w:rsid w:val="00CF6772"/>
    <w:rsid w:val="00D00130"/>
    <w:rsid w:val="00D0069E"/>
    <w:rsid w:val="00D00DC9"/>
    <w:rsid w:val="00D01F85"/>
    <w:rsid w:val="00D02275"/>
    <w:rsid w:val="00D02E6F"/>
    <w:rsid w:val="00D03E33"/>
    <w:rsid w:val="00D0432A"/>
    <w:rsid w:val="00D04A7A"/>
    <w:rsid w:val="00D050E6"/>
    <w:rsid w:val="00D07811"/>
    <w:rsid w:val="00D078E0"/>
    <w:rsid w:val="00D10386"/>
    <w:rsid w:val="00D10D0B"/>
    <w:rsid w:val="00D10FF0"/>
    <w:rsid w:val="00D10FF1"/>
    <w:rsid w:val="00D116BB"/>
    <w:rsid w:val="00D11834"/>
    <w:rsid w:val="00D11851"/>
    <w:rsid w:val="00D127F8"/>
    <w:rsid w:val="00D134FD"/>
    <w:rsid w:val="00D13B29"/>
    <w:rsid w:val="00D15381"/>
    <w:rsid w:val="00D15AC3"/>
    <w:rsid w:val="00D15F09"/>
    <w:rsid w:val="00D15F20"/>
    <w:rsid w:val="00D16D84"/>
    <w:rsid w:val="00D17181"/>
    <w:rsid w:val="00D178B9"/>
    <w:rsid w:val="00D21BFD"/>
    <w:rsid w:val="00D2517E"/>
    <w:rsid w:val="00D25E5A"/>
    <w:rsid w:val="00D271C5"/>
    <w:rsid w:val="00D30079"/>
    <w:rsid w:val="00D33572"/>
    <w:rsid w:val="00D33C6D"/>
    <w:rsid w:val="00D34593"/>
    <w:rsid w:val="00D347E1"/>
    <w:rsid w:val="00D351E9"/>
    <w:rsid w:val="00D3561F"/>
    <w:rsid w:val="00D35861"/>
    <w:rsid w:val="00D40B65"/>
    <w:rsid w:val="00D464B0"/>
    <w:rsid w:val="00D46869"/>
    <w:rsid w:val="00D4741F"/>
    <w:rsid w:val="00D52DA9"/>
    <w:rsid w:val="00D5314B"/>
    <w:rsid w:val="00D534F5"/>
    <w:rsid w:val="00D53534"/>
    <w:rsid w:val="00D53638"/>
    <w:rsid w:val="00D5388A"/>
    <w:rsid w:val="00D54876"/>
    <w:rsid w:val="00D54F6A"/>
    <w:rsid w:val="00D5656C"/>
    <w:rsid w:val="00D57D43"/>
    <w:rsid w:val="00D602DD"/>
    <w:rsid w:val="00D61746"/>
    <w:rsid w:val="00D621C0"/>
    <w:rsid w:val="00D6325B"/>
    <w:rsid w:val="00D63ECF"/>
    <w:rsid w:val="00D6512F"/>
    <w:rsid w:val="00D65626"/>
    <w:rsid w:val="00D67B09"/>
    <w:rsid w:val="00D7143A"/>
    <w:rsid w:val="00D71A86"/>
    <w:rsid w:val="00D72981"/>
    <w:rsid w:val="00D73D44"/>
    <w:rsid w:val="00D747D0"/>
    <w:rsid w:val="00D75DB3"/>
    <w:rsid w:val="00D76676"/>
    <w:rsid w:val="00D80268"/>
    <w:rsid w:val="00D80B98"/>
    <w:rsid w:val="00D815F6"/>
    <w:rsid w:val="00D830B3"/>
    <w:rsid w:val="00D83897"/>
    <w:rsid w:val="00D85098"/>
    <w:rsid w:val="00D86E3B"/>
    <w:rsid w:val="00D86F16"/>
    <w:rsid w:val="00D87A46"/>
    <w:rsid w:val="00D91329"/>
    <w:rsid w:val="00D91DD5"/>
    <w:rsid w:val="00D929FE"/>
    <w:rsid w:val="00D92D24"/>
    <w:rsid w:val="00D93084"/>
    <w:rsid w:val="00D93AE6"/>
    <w:rsid w:val="00D93BC1"/>
    <w:rsid w:val="00D94005"/>
    <w:rsid w:val="00D94365"/>
    <w:rsid w:val="00D9493A"/>
    <w:rsid w:val="00D96670"/>
    <w:rsid w:val="00D97909"/>
    <w:rsid w:val="00DA1EA3"/>
    <w:rsid w:val="00DA3A12"/>
    <w:rsid w:val="00DA73C5"/>
    <w:rsid w:val="00DA7925"/>
    <w:rsid w:val="00DA79E0"/>
    <w:rsid w:val="00DB083B"/>
    <w:rsid w:val="00DB0BA4"/>
    <w:rsid w:val="00DB2828"/>
    <w:rsid w:val="00DB282D"/>
    <w:rsid w:val="00DB2CEE"/>
    <w:rsid w:val="00DB35F2"/>
    <w:rsid w:val="00DB48CC"/>
    <w:rsid w:val="00DB491A"/>
    <w:rsid w:val="00DB4AE8"/>
    <w:rsid w:val="00DB4F42"/>
    <w:rsid w:val="00DB5EA5"/>
    <w:rsid w:val="00DB6495"/>
    <w:rsid w:val="00DB66AA"/>
    <w:rsid w:val="00DB6774"/>
    <w:rsid w:val="00DB755B"/>
    <w:rsid w:val="00DC0C04"/>
    <w:rsid w:val="00DC0C3A"/>
    <w:rsid w:val="00DC126D"/>
    <w:rsid w:val="00DC14CF"/>
    <w:rsid w:val="00DC19F1"/>
    <w:rsid w:val="00DC25AF"/>
    <w:rsid w:val="00DC2AB3"/>
    <w:rsid w:val="00DC4A9C"/>
    <w:rsid w:val="00DC5521"/>
    <w:rsid w:val="00DC6A43"/>
    <w:rsid w:val="00DC72CD"/>
    <w:rsid w:val="00DC74AF"/>
    <w:rsid w:val="00DC7778"/>
    <w:rsid w:val="00DC7989"/>
    <w:rsid w:val="00DD076F"/>
    <w:rsid w:val="00DD11D4"/>
    <w:rsid w:val="00DD351A"/>
    <w:rsid w:val="00DD4275"/>
    <w:rsid w:val="00DD4691"/>
    <w:rsid w:val="00DD6711"/>
    <w:rsid w:val="00DD7381"/>
    <w:rsid w:val="00DE05E3"/>
    <w:rsid w:val="00DE0E96"/>
    <w:rsid w:val="00DE55C1"/>
    <w:rsid w:val="00DE5A84"/>
    <w:rsid w:val="00DE7180"/>
    <w:rsid w:val="00DE7D9E"/>
    <w:rsid w:val="00DF196D"/>
    <w:rsid w:val="00DF22A0"/>
    <w:rsid w:val="00DF27B2"/>
    <w:rsid w:val="00DF4E30"/>
    <w:rsid w:val="00DF5EE5"/>
    <w:rsid w:val="00DF645C"/>
    <w:rsid w:val="00DF6F5C"/>
    <w:rsid w:val="00DF6F95"/>
    <w:rsid w:val="00E01E2D"/>
    <w:rsid w:val="00E0248F"/>
    <w:rsid w:val="00E0378D"/>
    <w:rsid w:val="00E03B91"/>
    <w:rsid w:val="00E0423A"/>
    <w:rsid w:val="00E059D8"/>
    <w:rsid w:val="00E06B73"/>
    <w:rsid w:val="00E1019E"/>
    <w:rsid w:val="00E10FFF"/>
    <w:rsid w:val="00E11BC1"/>
    <w:rsid w:val="00E12977"/>
    <w:rsid w:val="00E12A63"/>
    <w:rsid w:val="00E134B7"/>
    <w:rsid w:val="00E14D7F"/>
    <w:rsid w:val="00E159A8"/>
    <w:rsid w:val="00E15BD1"/>
    <w:rsid w:val="00E16611"/>
    <w:rsid w:val="00E17544"/>
    <w:rsid w:val="00E21B53"/>
    <w:rsid w:val="00E21D60"/>
    <w:rsid w:val="00E2236E"/>
    <w:rsid w:val="00E2266C"/>
    <w:rsid w:val="00E22B95"/>
    <w:rsid w:val="00E26C31"/>
    <w:rsid w:val="00E30706"/>
    <w:rsid w:val="00E30C31"/>
    <w:rsid w:val="00E31AF3"/>
    <w:rsid w:val="00E32976"/>
    <w:rsid w:val="00E34519"/>
    <w:rsid w:val="00E372D8"/>
    <w:rsid w:val="00E37523"/>
    <w:rsid w:val="00E37CDD"/>
    <w:rsid w:val="00E40952"/>
    <w:rsid w:val="00E4148A"/>
    <w:rsid w:val="00E41A68"/>
    <w:rsid w:val="00E41AA8"/>
    <w:rsid w:val="00E41E6D"/>
    <w:rsid w:val="00E42633"/>
    <w:rsid w:val="00E45203"/>
    <w:rsid w:val="00E46032"/>
    <w:rsid w:val="00E46430"/>
    <w:rsid w:val="00E47784"/>
    <w:rsid w:val="00E479EC"/>
    <w:rsid w:val="00E47E6A"/>
    <w:rsid w:val="00E5147C"/>
    <w:rsid w:val="00E526DE"/>
    <w:rsid w:val="00E53857"/>
    <w:rsid w:val="00E53CE7"/>
    <w:rsid w:val="00E5435D"/>
    <w:rsid w:val="00E544A2"/>
    <w:rsid w:val="00E55168"/>
    <w:rsid w:val="00E55499"/>
    <w:rsid w:val="00E57ACD"/>
    <w:rsid w:val="00E6045B"/>
    <w:rsid w:val="00E60ECE"/>
    <w:rsid w:val="00E63BC0"/>
    <w:rsid w:val="00E64D98"/>
    <w:rsid w:val="00E6532C"/>
    <w:rsid w:val="00E658FA"/>
    <w:rsid w:val="00E65E38"/>
    <w:rsid w:val="00E66412"/>
    <w:rsid w:val="00E664A3"/>
    <w:rsid w:val="00E66532"/>
    <w:rsid w:val="00E66AEF"/>
    <w:rsid w:val="00E66B43"/>
    <w:rsid w:val="00E67961"/>
    <w:rsid w:val="00E70B74"/>
    <w:rsid w:val="00E71D2F"/>
    <w:rsid w:val="00E72AFE"/>
    <w:rsid w:val="00E72D0C"/>
    <w:rsid w:val="00E731C6"/>
    <w:rsid w:val="00E73243"/>
    <w:rsid w:val="00E75784"/>
    <w:rsid w:val="00E81BD7"/>
    <w:rsid w:val="00E81D40"/>
    <w:rsid w:val="00E82897"/>
    <w:rsid w:val="00E82E43"/>
    <w:rsid w:val="00E84A4C"/>
    <w:rsid w:val="00E86052"/>
    <w:rsid w:val="00E870B9"/>
    <w:rsid w:val="00E924C4"/>
    <w:rsid w:val="00E9345B"/>
    <w:rsid w:val="00E94CF9"/>
    <w:rsid w:val="00E95796"/>
    <w:rsid w:val="00E95947"/>
    <w:rsid w:val="00E95D75"/>
    <w:rsid w:val="00E964CB"/>
    <w:rsid w:val="00EA0222"/>
    <w:rsid w:val="00EA460F"/>
    <w:rsid w:val="00EA5ECE"/>
    <w:rsid w:val="00EA7716"/>
    <w:rsid w:val="00EA7D4B"/>
    <w:rsid w:val="00EB1650"/>
    <w:rsid w:val="00EB3B30"/>
    <w:rsid w:val="00EB4AAA"/>
    <w:rsid w:val="00EB5093"/>
    <w:rsid w:val="00EB6E8D"/>
    <w:rsid w:val="00EC1D34"/>
    <w:rsid w:val="00EC2F77"/>
    <w:rsid w:val="00EC30B5"/>
    <w:rsid w:val="00EC57AF"/>
    <w:rsid w:val="00EC5899"/>
    <w:rsid w:val="00EC714A"/>
    <w:rsid w:val="00EC76FB"/>
    <w:rsid w:val="00ED0BC2"/>
    <w:rsid w:val="00ED13DE"/>
    <w:rsid w:val="00ED1647"/>
    <w:rsid w:val="00ED3233"/>
    <w:rsid w:val="00ED3AE5"/>
    <w:rsid w:val="00ED44DC"/>
    <w:rsid w:val="00ED5D29"/>
    <w:rsid w:val="00ED60BC"/>
    <w:rsid w:val="00EE1188"/>
    <w:rsid w:val="00EE18BF"/>
    <w:rsid w:val="00EE32F4"/>
    <w:rsid w:val="00EE4B85"/>
    <w:rsid w:val="00EE4E4F"/>
    <w:rsid w:val="00EE5416"/>
    <w:rsid w:val="00EE63BA"/>
    <w:rsid w:val="00EE6439"/>
    <w:rsid w:val="00EE7583"/>
    <w:rsid w:val="00EE7F3B"/>
    <w:rsid w:val="00EF06DB"/>
    <w:rsid w:val="00EF19D3"/>
    <w:rsid w:val="00EF1A5C"/>
    <w:rsid w:val="00EF20A8"/>
    <w:rsid w:val="00EF37E2"/>
    <w:rsid w:val="00EF39FD"/>
    <w:rsid w:val="00EF4DD5"/>
    <w:rsid w:val="00EF74EA"/>
    <w:rsid w:val="00F00375"/>
    <w:rsid w:val="00F01240"/>
    <w:rsid w:val="00F017CE"/>
    <w:rsid w:val="00F04DFF"/>
    <w:rsid w:val="00F04F95"/>
    <w:rsid w:val="00F053C5"/>
    <w:rsid w:val="00F05EE7"/>
    <w:rsid w:val="00F05FDE"/>
    <w:rsid w:val="00F067EE"/>
    <w:rsid w:val="00F06D7C"/>
    <w:rsid w:val="00F07203"/>
    <w:rsid w:val="00F07506"/>
    <w:rsid w:val="00F11C6C"/>
    <w:rsid w:val="00F14E87"/>
    <w:rsid w:val="00F1501D"/>
    <w:rsid w:val="00F154FC"/>
    <w:rsid w:val="00F179DD"/>
    <w:rsid w:val="00F17C86"/>
    <w:rsid w:val="00F202EE"/>
    <w:rsid w:val="00F21007"/>
    <w:rsid w:val="00F21838"/>
    <w:rsid w:val="00F223FF"/>
    <w:rsid w:val="00F226E9"/>
    <w:rsid w:val="00F2290B"/>
    <w:rsid w:val="00F24E54"/>
    <w:rsid w:val="00F26419"/>
    <w:rsid w:val="00F26B93"/>
    <w:rsid w:val="00F276B7"/>
    <w:rsid w:val="00F3031F"/>
    <w:rsid w:val="00F322F4"/>
    <w:rsid w:val="00F32F87"/>
    <w:rsid w:val="00F35191"/>
    <w:rsid w:val="00F35240"/>
    <w:rsid w:val="00F36937"/>
    <w:rsid w:val="00F37DE2"/>
    <w:rsid w:val="00F434A0"/>
    <w:rsid w:val="00F439AE"/>
    <w:rsid w:val="00F45898"/>
    <w:rsid w:val="00F458A0"/>
    <w:rsid w:val="00F5214C"/>
    <w:rsid w:val="00F535F0"/>
    <w:rsid w:val="00F53C49"/>
    <w:rsid w:val="00F53D5F"/>
    <w:rsid w:val="00F53F1D"/>
    <w:rsid w:val="00F55596"/>
    <w:rsid w:val="00F56788"/>
    <w:rsid w:val="00F567D2"/>
    <w:rsid w:val="00F57A38"/>
    <w:rsid w:val="00F73237"/>
    <w:rsid w:val="00F734E1"/>
    <w:rsid w:val="00F739B4"/>
    <w:rsid w:val="00F749D0"/>
    <w:rsid w:val="00F768A1"/>
    <w:rsid w:val="00F830DB"/>
    <w:rsid w:val="00F839F3"/>
    <w:rsid w:val="00F856E9"/>
    <w:rsid w:val="00F862ED"/>
    <w:rsid w:val="00F87807"/>
    <w:rsid w:val="00F8798A"/>
    <w:rsid w:val="00F90BCF"/>
    <w:rsid w:val="00F931A9"/>
    <w:rsid w:val="00F9338B"/>
    <w:rsid w:val="00F93BA0"/>
    <w:rsid w:val="00F94B48"/>
    <w:rsid w:val="00F96519"/>
    <w:rsid w:val="00F96B4A"/>
    <w:rsid w:val="00F9711F"/>
    <w:rsid w:val="00F971C6"/>
    <w:rsid w:val="00FA0458"/>
    <w:rsid w:val="00FA4261"/>
    <w:rsid w:val="00FA4BC4"/>
    <w:rsid w:val="00FA5421"/>
    <w:rsid w:val="00FA6F10"/>
    <w:rsid w:val="00FA741E"/>
    <w:rsid w:val="00FA748C"/>
    <w:rsid w:val="00FB09DF"/>
    <w:rsid w:val="00FB1245"/>
    <w:rsid w:val="00FB2509"/>
    <w:rsid w:val="00FB3AC9"/>
    <w:rsid w:val="00FB47F0"/>
    <w:rsid w:val="00FB51AD"/>
    <w:rsid w:val="00FB65E9"/>
    <w:rsid w:val="00FB7038"/>
    <w:rsid w:val="00FB723C"/>
    <w:rsid w:val="00FC1E37"/>
    <w:rsid w:val="00FC3220"/>
    <w:rsid w:val="00FC34EC"/>
    <w:rsid w:val="00FC4555"/>
    <w:rsid w:val="00FC615B"/>
    <w:rsid w:val="00FC772F"/>
    <w:rsid w:val="00FC7D20"/>
    <w:rsid w:val="00FD06B8"/>
    <w:rsid w:val="00FD14C2"/>
    <w:rsid w:val="00FD1D01"/>
    <w:rsid w:val="00FD2E11"/>
    <w:rsid w:val="00FD43DD"/>
    <w:rsid w:val="00FD5180"/>
    <w:rsid w:val="00FD5B0D"/>
    <w:rsid w:val="00FD5D14"/>
    <w:rsid w:val="00FD5F91"/>
    <w:rsid w:val="00FD6757"/>
    <w:rsid w:val="00FD7A1A"/>
    <w:rsid w:val="00FD7B68"/>
    <w:rsid w:val="00FD7E8D"/>
    <w:rsid w:val="00FE125B"/>
    <w:rsid w:val="00FE197F"/>
    <w:rsid w:val="00FE1B8F"/>
    <w:rsid w:val="00FE1E75"/>
    <w:rsid w:val="00FE2AF8"/>
    <w:rsid w:val="00FE2CD4"/>
    <w:rsid w:val="00FE2E48"/>
    <w:rsid w:val="00FE35CA"/>
    <w:rsid w:val="00FE3BCC"/>
    <w:rsid w:val="00FE41AD"/>
    <w:rsid w:val="00FE5DEA"/>
    <w:rsid w:val="00FE6C3B"/>
    <w:rsid w:val="00FE73FC"/>
    <w:rsid w:val="00FE7A9F"/>
    <w:rsid w:val="00FF07E6"/>
    <w:rsid w:val="00FF08CA"/>
    <w:rsid w:val="00FF14CF"/>
    <w:rsid w:val="00FF21A3"/>
    <w:rsid w:val="00FF263A"/>
    <w:rsid w:val="00FF36F5"/>
    <w:rsid w:val="00FF4451"/>
    <w:rsid w:val="00FF5428"/>
    <w:rsid w:val="2604BA06"/>
    <w:rsid w:val="2EDE7CCC"/>
    <w:rsid w:val="4787B810"/>
    <w:rsid w:val="4932A9B6"/>
    <w:rsid w:val="4D22C853"/>
    <w:rsid w:val="51D37E9D"/>
    <w:rsid w:val="7AD5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C8D6"/>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rPr>
  </w:style>
  <w:style w:type="paragraph" w:styleId="Heading1">
    <w:name w:val="heading 1"/>
    <w:basedOn w:val="Normal"/>
    <w:next w:val="Normal"/>
    <w:link w:val="Heading1Char"/>
    <w:uiPriority w:val="9"/>
    <w:qFormat/>
    <w:rsid w:val="003760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4951CB"/>
    <w:pPr>
      <w:keepNext/>
      <w:jc w:val="both"/>
      <w:outlineLvl w:val="7"/>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F4"/>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451CF4"/>
  </w:style>
  <w:style w:type="paragraph" w:styleId="Footer">
    <w:name w:val="footer"/>
    <w:basedOn w:val="Normal"/>
    <w:link w:val="FooterChar"/>
    <w:uiPriority w:val="99"/>
    <w:unhideWhenUsed/>
    <w:rsid w:val="00451CF4"/>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rsid w:val="00451CF4"/>
  </w:style>
  <w:style w:type="paragraph" w:styleId="BalloonText">
    <w:name w:val="Balloon Text"/>
    <w:basedOn w:val="Normal"/>
    <w:link w:val="BalloonTextChar"/>
    <w:unhideWhenUsed/>
    <w:rsid w:val="00451CF4"/>
    <w:rPr>
      <w:rFonts w:ascii="Tahoma" w:eastAsia="Calibri" w:hAnsi="Tahoma" w:cs="Tahoma"/>
      <w:sz w:val="16"/>
      <w:szCs w:val="16"/>
    </w:rPr>
  </w:style>
  <w:style w:type="character" w:customStyle="1" w:styleId="BalloonTextChar">
    <w:name w:val="Balloon Text Char"/>
    <w:basedOn w:val="DefaultParagraphFont"/>
    <w:link w:val="BalloonText"/>
    <w:rsid w:val="00451CF4"/>
    <w:rPr>
      <w:rFonts w:ascii="Tahoma" w:hAnsi="Tahoma" w:cs="Tahoma"/>
      <w:sz w:val="16"/>
      <w:szCs w:val="16"/>
    </w:rPr>
  </w:style>
  <w:style w:type="character" w:styleId="Hyperlink">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ListParagraph">
    <w:name w:val="List Paragraph"/>
    <w:basedOn w:val="Normal"/>
    <w:uiPriority w:val="34"/>
    <w:qFormat/>
    <w:rsid w:val="00997CEA"/>
    <w:pPr>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F567D2"/>
    <w:rPr>
      <w:sz w:val="20"/>
      <w:szCs w:val="20"/>
    </w:rPr>
  </w:style>
  <w:style w:type="paragraph" w:styleId="PlainText">
    <w:name w:val="Plain Text"/>
    <w:basedOn w:val="Normal"/>
    <w:link w:val="PlainTextChar"/>
    <w:uiPriority w:val="99"/>
    <w:unhideWhenUsed/>
    <w:rsid w:val="00431AE5"/>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BodyText">
    <w:name w:val="Body Text"/>
    <w:aliases w:val="bt,b,bullet list"/>
    <w:basedOn w:val="Normal"/>
    <w:link w:val="BodyTextChar"/>
    <w:rsid w:val="00B62AB6"/>
    <w:pPr>
      <w:spacing w:after="240" w:line="240" w:lineRule="atLeast"/>
      <w:jc w:val="both"/>
    </w:pPr>
    <w:rPr>
      <w:rFonts w:ascii="Times New Roman" w:hAnsi="Times New Roman"/>
      <w:lang w:val="en-CA"/>
    </w:rPr>
  </w:style>
  <w:style w:type="character" w:customStyle="1" w:styleId="BodyTextChar">
    <w:name w:val="Body Text Char"/>
    <w:aliases w:val="bt Char,b Char,bullet list Char"/>
    <w:basedOn w:val="DefaultParagraphFont"/>
    <w:link w:val="BodyText"/>
    <w:rsid w:val="00B62AB6"/>
    <w:rPr>
      <w:rFonts w:ascii="Times New Roman" w:eastAsia="Times New Roman" w:hAnsi="Times New Roman" w:cs="Times New Roman"/>
      <w:szCs w:val="24"/>
      <w:lang w:val="en-CA"/>
    </w:rPr>
  </w:style>
  <w:style w:type="character" w:customStyle="1" w:styleId="TableTextChar">
    <w:name w:val="Table Text Char"/>
    <w:aliases w:val="tt Char"/>
    <w:basedOn w:val="DefaultParagraphFont"/>
    <w:link w:val="tabletext"/>
    <w:rsid w:val="00B62AB6"/>
    <w:rPr>
      <w:rFonts w:ascii="Times New Roman" w:eastAsia="Times New Roman" w:hAnsi="Times New Roman" w:cs="Times New Roman"/>
      <w:sz w:val="20"/>
      <w:szCs w:val="24"/>
      <w:lang w:val="en-CA"/>
    </w:rPr>
  </w:style>
  <w:style w:type="character" w:customStyle="1" w:styleId="Heading8Char">
    <w:name w:val="Heading 8 Char"/>
    <w:basedOn w:val="DefaultParagraphFont"/>
    <w:link w:val="Heading8"/>
    <w:rsid w:val="004951CB"/>
    <w:rPr>
      <w:rFonts w:ascii="Arial" w:eastAsia="Times New Roman" w:hAnsi="Arial" w:cs="Times New Roman"/>
      <w:b/>
      <w:bCs/>
      <w:sz w:val="20"/>
      <w:szCs w:val="20"/>
    </w:rPr>
  </w:style>
  <w:style w:type="character" w:styleId="CommentReference">
    <w:name w:val="annotation reference"/>
    <w:unhideWhenUsed/>
    <w:rsid w:val="004951CB"/>
    <w:rPr>
      <w:sz w:val="16"/>
      <w:szCs w:val="16"/>
    </w:rPr>
  </w:style>
  <w:style w:type="paragraph" w:styleId="CommentText">
    <w:name w:val="annotation text"/>
    <w:basedOn w:val="Normal"/>
    <w:link w:val="CommentTextChar"/>
    <w:uiPriority w:val="99"/>
    <w:unhideWhenUsed/>
    <w:rsid w:val="004951CB"/>
    <w:rPr>
      <w:rFonts w:ascii="Arial" w:hAnsi="Arial"/>
      <w:sz w:val="20"/>
      <w:szCs w:val="20"/>
    </w:rPr>
  </w:style>
  <w:style w:type="character" w:customStyle="1" w:styleId="CommentTextChar">
    <w:name w:val="Comment Text Char"/>
    <w:basedOn w:val="DefaultParagraphFont"/>
    <w:link w:val="CommentText"/>
    <w:uiPriority w:val="99"/>
    <w:rsid w:val="004951CB"/>
    <w:rPr>
      <w:rFonts w:ascii="Arial" w:eastAsia="Times New Roman" w:hAnsi="Arial" w:cs="Times New Roman"/>
      <w:sz w:val="20"/>
      <w:szCs w:val="20"/>
    </w:rPr>
  </w:style>
  <w:style w:type="paragraph" w:styleId="BodyText2">
    <w:name w:val="Body Text 2"/>
    <w:basedOn w:val="Normal"/>
    <w:link w:val="BodyText2Char"/>
    <w:unhideWhenUsed/>
    <w:rsid w:val="003E2504"/>
    <w:pPr>
      <w:spacing w:after="120" w:line="480" w:lineRule="auto"/>
    </w:pPr>
  </w:style>
  <w:style w:type="character" w:customStyle="1" w:styleId="BodyText2Char">
    <w:name w:val="Body Text 2 Char"/>
    <w:basedOn w:val="DefaultParagraphFont"/>
    <w:link w:val="BodyText2"/>
    <w:rsid w:val="003E2504"/>
    <w:rPr>
      <w:rFonts w:ascii="Verdana" w:eastAsia="Times New Roman" w:hAnsi="Verdana" w:cs="Times New Roman"/>
      <w:szCs w:val="24"/>
    </w:rPr>
  </w:style>
  <w:style w:type="paragraph" w:styleId="BodyTextIndent">
    <w:name w:val="Body Text Indent"/>
    <w:basedOn w:val="Normal"/>
    <w:link w:val="BodyTextIndentChar"/>
    <w:uiPriority w:val="99"/>
    <w:semiHidden/>
    <w:unhideWhenUsed/>
    <w:rsid w:val="002A7212"/>
    <w:pPr>
      <w:spacing w:after="120"/>
      <w:ind w:left="283"/>
    </w:pPr>
  </w:style>
  <w:style w:type="character" w:customStyle="1" w:styleId="BodyTextIndentChar">
    <w:name w:val="Body Text Indent Char"/>
    <w:basedOn w:val="DefaultParagraphFont"/>
    <w:link w:val="BodyTextIndent"/>
    <w:uiPriority w:val="99"/>
    <w:semiHidden/>
    <w:rsid w:val="002A7212"/>
    <w:rPr>
      <w:rFonts w:ascii="Verdana" w:eastAsia="Times New Roman" w:hAnsi="Verdana"/>
      <w:sz w:val="22"/>
      <w:szCs w:val="24"/>
    </w:rPr>
  </w:style>
  <w:style w:type="paragraph" w:styleId="CommentSubject">
    <w:name w:val="annotation subject"/>
    <w:basedOn w:val="CommentText"/>
    <w:next w:val="CommentText"/>
    <w:link w:val="CommentSubjectChar"/>
    <w:uiPriority w:val="99"/>
    <w:semiHidden/>
    <w:unhideWhenUsed/>
    <w:rsid w:val="008A56D8"/>
    <w:rPr>
      <w:rFonts w:ascii="Verdana" w:hAnsi="Verdana"/>
      <w:b/>
      <w:bCs/>
    </w:rPr>
  </w:style>
  <w:style w:type="character" w:customStyle="1" w:styleId="CommentSubjectChar">
    <w:name w:val="Comment Subject Char"/>
    <w:basedOn w:val="CommentTextChar"/>
    <w:link w:val="CommentSubject"/>
    <w:uiPriority w:val="99"/>
    <w:semiHidden/>
    <w:rsid w:val="008A56D8"/>
    <w:rPr>
      <w:rFonts w:ascii="Verdana" w:eastAsia="Times New Roman" w:hAnsi="Verdana" w:cs="Times New Roman"/>
      <w:b/>
      <w:bCs/>
      <w:sz w:val="20"/>
      <w:szCs w:val="20"/>
    </w:rPr>
  </w:style>
  <w:style w:type="paragraph" w:styleId="Revisio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Emph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Preformatted">
    <w:name w:val="HTML Preformatted"/>
    <w:basedOn w:val="Normal"/>
    <w:link w:val="HTMLPreformattedChar"/>
    <w:uiPriority w:val="99"/>
    <w:rsid w:val="006429BF"/>
    <w:pPr>
      <w:jc w:val="both"/>
    </w:pPr>
    <w:rPr>
      <w:rFonts w:ascii="Courier New" w:hAnsi="Courier New"/>
      <w:sz w:val="20"/>
      <w:lang w:val="en-CA"/>
    </w:rPr>
  </w:style>
  <w:style w:type="character" w:customStyle="1" w:styleId="HTMLPreformattedChar">
    <w:name w:val="HTML Preformatted Char"/>
    <w:basedOn w:val="DefaultParagraphFont"/>
    <w:link w:val="HTMLPreformatted"/>
    <w:uiPriority w:val="99"/>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NoSpacing">
    <w:name w:val="No Spacing"/>
    <w:link w:val="NoSpacingChar"/>
    <w:qFormat/>
    <w:rsid w:val="00043F8E"/>
    <w:pPr>
      <w:jc w:val="both"/>
    </w:pPr>
    <w:rPr>
      <w:rFonts w:ascii="Times New Roman" w:eastAsia="Batang" w:hAnsi="Times New Roman"/>
      <w:sz w:val="22"/>
      <w:szCs w:val="24"/>
      <w:lang w:val="en-CA"/>
    </w:rPr>
  </w:style>
  <w:style w:type="character" w:customStyle="1" w:styleId="NoSpacingChar">
    <w:name w:val="No Spacing Char"/>
    <w:link w:val="NoSpacing"/>
    <w:rsid w:val="00043F8E"/>
    <w:rPr>
      <w:rFonts w:ascii="Times New Roman" w:eastAsia="Batang" w:hAnsi="Times New Roman"/>
      <w:sz w:val="22"/>
      <w:szCs w:val="24"/>
      <w:lang w:val="en-CA"/>
    </w:rPr>
  </w:style>
  <w:style w:type="paragraph" w:customStyle="1" w:styleId="LHFirmName">
    <w:name w:val="LH Firm Name"/>
    <w:basedOn w:val="Normal"/>
    <w:rsid w:val="00EE18BF"/>
    <w:pPr>
      <w:spacing w:after="120"/>
      <w:ind w:left="-720"/>
      <w:jc w:val="both"/>
    </w:pPr>
    <w:rPr>
      <w:rFonts w:ascii="EngravrsRoman BT" w:hAnsi="EngravrsRoman BT"/>
      <w:b/>
      <w:spacing w:val="10"/>
      <w:sz w:val="15"/>
      <w:lang w:val="en-CA"/>
    </w:rPr>
  </w:style>
  <w:style w:type="character" w:customStyle="1" w:styleId="FootnoteTextChar">
    <w:name w:val="Footnote Text Char"/>
    <w:basedOn w:val="DefaultParagraphFont"/>
    <w:link w:val="FootnoteText"/>
    <w:uiPriority w:val="99"/>
    <w:semiHidden/>
    <w:rsid w:val="00F567D2"/>
    <w:rPr>
      <w:rFonts w:ascii="Verdana" w:eastAsia="Times New Roman" w:hAnsi="Verdana"/>
    </w:rPr>
  </w:style>
  <w:style w:type="character" w:styleId="FootnoteReference">
    <w:name w:val="footnote reference"/>
    <w:basedOn w:val="DefaultParagraphFont"/>
    <w:uiPriority w:val="99"/>
    <w:semiHidden/>
    <w:unhideWhenUsed/>
    <w:rsid w:val="00F567D2"/>
    <w:rPr>
      <w:vertAlign w:val="superscript"/>
    </w:rPr>
  </w:style>
  <w:style w:type="character" w:styleId="UnresolvedMention">
    <w:name w:val="Unresolved Mention"/>
    <w:basedOn w:val="DefaultParagraphFont"/>
    <w:uiPriority w:val="99"/>
    <w:semiHidden/>
    <w:unhideWhenUsed/>
    <w:rsid w:val="00150304"/>
    <w:rPr>
      <w:color w:val="605E5C"/>
      <w:shd w:val="clear" w:color="auto" w:fill="E1DFDD"/>
    </w:rPr>
  </w:style>
  <w:style w:type="character" w:customStyle="1" w:styleId="Heading1Char">
    <w:name w:val="Heading 1 Char"/>
    <w:basedOn w:val="DefaultParagraphFont"/>
    <w:link w:val="Heading1"/>
    <w:uiPriority w:val="9"/>
    <w:rsid w:val="003760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5962">
      <w:bodyDiv w:val="1"/>
      <w:marLeft w:val="0"/>
      <w:marRight w:val="0"/>
      <w:marTop w:val="0"/>
      <w:marBottom w:val="0"/>
      <w:divBdr>
        <w:top w:val="none" w:sz="0" w:space="0" w:color="auto"/>
        <w:left w:val="none" w:sz="0" w:space="0" w:color="auto"/>
        <w:bottom w:val="none" w:sz="0" w:space="0" w:color="auto"/>
        <w:right w:val="none" w:sz="0" w:space="0" w:color="auto"/>
      </w:divBdr>
    </w:div>
    <w:div w:id="464736846">
      <w:bodyDiv w:val="1"/>
      <w:marLeft w:val="0"/>
      <w:marRight w:val="0"/>
      <w:marTop w:val="0"/>
      <w:marBottom w:val="0"/>
      <w:divBdr>
        <w:top w:val="none" w:sz="0" w:space="0" w:color="auto"/>
        <w:left w:val="none" w:sz="0" w:space="0" w:color="auto"/>
        <w:bottom w:val="none" w:sz="0" w:space="0" w:color="auto"/>
        <w:right w:val="none" w:sz="0" w:space="0" w:color="auto"/>
      </w:divBdr>
    </w:div>
    <w:div w:id="557131380">
      <w:bodyDiv w:val="1"/>
      <w:marLeft w:val="0"/>
      <w:marRight w:val="0"/>
      <w:marTop w:val="0"/>
      <w:marBottom w:val="0"/>
      <w:divBdr>
        <w:top w:val="none" w:sz="0" w:space="0" w:color="auto"/>
        <w:left w:val="none" w:sz="0" w:space="0" w:color="auto"/>
        <w:bottom w:val="none" w:sz="0" w:space="0" w:color="auto"/>
        <w:right w:val="none" w:sz="0" w:space="0" w:color="auto"/>
      </w:divBdr>
    </w:div>
    <w:div w:id="724333277">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45252995">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261718492">
      <w:bodyDiv w:val="1"/>
      <w:marLeft w:val="0"/>
      <w:marRight w:val="0"/>
      <w:marTop w:val="0"/>
      <w:marBottom w:val="0"/>
      <w:divBdr>
        <w:top w:val="none" w:sz="0" w:space="0" w:color="auto"/>
        <w:left w:val="none" w:sz="0" w:space="0" w:color="auto"/>
        <w:bottom w:val="none" w:sz="0" w:space="0" w:color="auto"/>
        <w:right w:val="none" w:sz="0" w:space="0" w:color="auto"/>
      </w:divBdr>
    </w:div>
    <w:div w:id="1383479918">
      <w:bodyDiv w:val="1"/>
      <w:marLeft w:val="0"/>
      <w:marRight w:val="0"/>
      <w:marTop w:val="0"/>
      <w:marBottom w:val="0"/>
      <w:divBdr>
        <w:top w:val="none" w:sz="0" w:space="0" w:color="auto"/>
        <w:left w:val="none" w:sz="0" w:space="0" w:color="auto"/>
        <w:bottom w:val="none" w:sz="0" w:space="0" w:color="auto"/>
        <w:right w:val="none" w:sz="0" w:space="0" w:color="auto"/>
      </w:divBdr>
    </w:div>
    <w:div w:id="1463039024">
      <w:bodyDiv w:val="1"/>
      <w:marLeft w:val="0"/>
      <w:marRight w:val="0"/>
      <w:marTop w:val="0"/>
      <w:marBottom w:val="0"/>
      <w:divBdr>
        <w:top w:val="none" w:sz="0" w:space="0" w:color="auto"/>
        <w:left w:val="none" w:sz="0" w:space="0" w:color="auto"/>
        <w:bottom w:val="none" w:sz="0" w:space="0" w:color="auto"/>
        <w:right w:val="none" w:sz="0" w:space="0" w:color="auto"/>
      </w:divBdr>
    </w:div>
    <w:div w:id="1570000882">
      <w:bodyDiv w:val="1"/>
      <w:marLeft w:val="0"/>
      <w:marRight w:val="0"/>
      <w:marTop w:val="0"/>
      <w:marBottom w:val="0"/>
      <w:divBdr>
        <w:top w:val="none" w:sz="0" w:space="0" w:color="auto"/>
        <w:left w:val="none" w:sz="0" w:space="0" w:color="auto"/>
        <w:bottom w:val="none" w:sz="0" w:space="0" w:color="auto"/>
        <w:right w:val="none" w:sz="0" w:space="0" w:color="auto"/>
      </w:divBdr>
    </w:div>
    <w:div w:id="18194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wnpointenergy.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sedarplus.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darplu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madden@crownpointenergy.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brador@crownpointenergy.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Active!14270020.1</documentid>
  <senderid>JTO</senderid>
  <senderemail>JTO@BDPLAW.COM</senderemail>
  <lastmodified>2025-03-11T15:01:00.0000000-06:00</lastmodified>
  <database>Active</database>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2984-CD3B-4968-BDE0-FB6097898376}">
  <ds:schemaRefs>
    <ds:schemaRef ds:uri="http://schemas.openxmlformats.org/officeDocument/2006/bibliography"/>
  </ds:schemaRefs>
</ds:datastoreItem>
</file>

<file path=customXml/itemProps2.xml><?xml version="1.0" encoding="utf-8"?>
<ds:datastoreItem xmlns:ds="http://schemas.openxmlformats.org/officeDocument/2006/customXml" ds:itemID="{7D67E42B-467D-41A5-9BBD-0F1AB85DFDA8}">
  <ds:schemaRefs>
    <ds:schemaRef ds:uri="http://schemas.openxmlformats.org/officeDocument/2006/bibliography"/>
  </ds:schemaRefs>
</ds:datastoreItem>
</file>

<file path=customXml/itemProps3.xml><?xml version="1.0" encoding="utf-8"?>
<ds:datastoreItem xmlns:ds="http://schemas.openxmlformats.org/officeDocument/2006/customXml" ds:itemID="{52B453FF-D60E-4A6C-8163-7D48BD239FAB}">
  <ds:schemaRefs>
    <ds:schemaRef ds:uri="http://schemas.openxmlformats.org/officeDocument/2006/bibliography"/>
  </ds:schemaRefs>
</ds:datastoreItem>
</file>

<file path=customXml/itemProps4.xml><?xml version="1.0" encoding="utf-8"?>
<ds:datastoreItem xmlns:ds="http://schemas.openxmlformats.org/officeDocument/2006/customXml" ds:itemID="{A34AEB33-246D-44F5-8DDE-3FC99BB023ED}">
  <ds:schemaRefs>
    <ds:schemaRef ds:uri="http://www.imanage.com/work/xmlschema"/>
  </ds:schemaRefs>
</ds:datastoreItem>
</file>

<file path=customXml/itemProps5.xml><?xml version="1.0" encoding="utf-8"?>
<ds:datastoreItem xmlns:ds="http://schemas.openxmlformats.org/officeDocument/2006/customXml" ds:itemID="{F8586E3C-AE94-49C4-9E40-36360A1A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3080</Words>
  <Characters>17558</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Company>
  <LinksUpToDate>false</LinksUpToDate>
  <CharactersWithSpaces>20597</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c:description/>
  <cp:lastModifiedBy>Brian Moss</cp:lastModifiedBy>
  <cp:revision>2</cp:revision>
  <cp:lastPrinted>2024-11-11T12:31:00Z</cp:lastPrinted>
  <dcterms:created xsi:type="dcterms:W3CDTF">2025-03-12T14:31:00Z</dcterms:created>
  <dcterms:modified xsi:type="dcterms:W3CDTF">2025-03-12T14:31:00Z</dcterms:modified>
</cp:coreProperties>
</file>