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31" w:rsidRPr="00717B62" w:rsidRDefault="00257631" w:rsidP="00257631">
      <w:pPr>
        <w:autoSpaceDE w:val="0"/>
        <w:autoSpaceDN w:val="0"/>
        <w:adjustRightInd w:val="0"/>
        <w:jc w:val="right"/>
        <w:rPr>
          <w:rFonts w:ascii="Arial" w:hAnsi="Arial" w:cs="Arial"/>
          <w:szCs w:val="22"/>
          <w:lang w:val="es-AR"/>
        </w:rPr>
      </w:pPr>
    </w:p>
    <w:p w:rsidR="00997CEA" w:rsidRPr="00717B62" w:rsidRDefault="00997CEA" w:rsidP="0070547D">
      <w:pPr>
        <w:widowControl w:val="0"/>
        <w:tabs>
          <w:tab w:val="right" w:pos="9360"/>
        </w:tabs>
        <w:jc w:val="both"/>
        <w:rPr>
          <w:rFonts w:ascii="Arial" w:hAnsi="Arial" w:cs="Arial"/>
          <w:sz w:val="24"/>
          <w:lang w:val="es-AR"/>
        </w:rPr>
      </w:pPr>
      <w:r w:rsidRPr="00717B62">
        <w:rPr>
          <w:rFonts w:ascii="Arial" w:hAnsi="Arial" w:cs="Arial"/>
          <w:sz w:val="24"/>
          <w:lang w:val="es-AR"/>
        </w:rPr>
        <w:t xml:space="preserve">PARA PUBLICACIÓN INMEDIATA </w:t>
      </w:r>
      <w:r w:rsidRPr="00717B62">
        <w:rPr>
          <w:rFonts w:ascii="Arial" w:hAnsi="Arial" w:cs="Arial"/>
          <w:sz w:val="24"/>
          <w:lang w:val="es-AR"/>
        </w:rPr>
        <w:tab/>
        <w:t>CWV: TSX.V</w:t>
      </w:r>
    </w:p>
    <w:p w:rsidR="00997CEA" w:rsidRPr="00717B62" w:rsidRDefault="00A253F2" w:rsidP="00D17181">
      <w:pPr>
        <w:widowControl w:val="0"/>
        <w:rPr>
          <w:rFonts w:ascii="Arial" w:hAnsi="Arial" w:cs="Arial"/>
          <w:sz w:val="24"/>
          <w:lang w:val="es-AR"/>
        </w:rPr>
      </w:pPr>
      <w:r>
        <w:rPr>
          <w:rFonts w:ascii="Arial" w:hAnsi="Arial" w:cs="Arial"/>
          <w:sz w:val="24"/>
          <w:lang w:val="es-AR"/>
        </w:rPr>
        <w:t>11</w:t>
      </w:r>
      <w:r w:rsidRPr="00717B62">
        <w:rPr>
          <w:rFonts w:ascii="Arial" w:hAnsi="Arial" w:cs="Arial"/>
          <w:sz w:val="24"/>
          <w:lang w:val="es-AR"/>
        </w:rPr>
        <w:t xml:space="preserve"> </w:t>
      </w:r>
      <w:r w:rsidR="00E46032" w:rsidRPr="00717B62">
        <w:rPr>
          <w:rFonts w:ascii="Arial" w:hAnsi="Arial" w:cs="Arial"/>
          <w:sz w:val="24"/>
          <w:lang w:val="es-AR"/>
        </w:rPr>
        <w:t>de ma</w:t>
      </w:r>
      <w:r w:rsidR="00207F74">
        <w:rPr>
          <w:rFonts w:ascii="Arial" w:hAnsi="Arial" w:cs="Arial"/>
          <w:sz w:val="24"/>
          <w:lang w:val="es-AR"/>
        </w:rPr>
        <w:t>rzo</w:t>
      </w:r>
      <w:r w:rsidR="00E46032" w:rsidRPr="00717B62">
        <w:rPr>
          <w:rFonts w:ascii="Arial" w:hAnsi="Arial" w:cs="Arial"/>
          <w:sz w:val="24"/>
          <w:lang w:val="es-AR"/>
        </w:rPr>
        <w:t xml:space="preserve"> de </w:t>
      </w:r>
      <w:r>
        <w:rPr>
          <w:rFonts w:ascii="Arial" w:hAnsi="Arial" w:cs="Arial"/>
          <w:sz w:val="24"/>
          <w:lang w:val="es-AR"/>
        </w:rPr>
        <w:t>2025</w:t>
      </w:r>
    </w:p>
    <w:p w:rsidR="00043229" w:rsidRPr="00717B62" w:rsidRDefault="00043229" w:rsidP="00D17181">
      <w:pPr>
        <w:widowControl w:val="0"/>
        <w:rPr>
          <w:rFonts w:ascii="Arial" w:hAnsi="Arial" w:cs="Arial"/>
          <w:b/>
          <w:sz w:val="24"/>
          <w:lang w:val="es-AR"/>
        </w:rPr>
      </w:pPr>
    </w:p>
    <w:p w:rsidR="00043229" w:rsidRPr="00717B62" w:rsidRDefault="00E5435D" w:rsidP="00D17181">
      <w:pPr>
        <w:widowControl w:val="0"/>
        <w:ind w:left="720"/>
        <w:jc w:val="center"/>
        <w:outlineLvl w:val="0"/>
        <w:rPr>
          <w:rFonts w:ascii="Arial" w:hAnsi="Arial" w:cs="Arial"/>
          <w:b/>
          <w:sz w:val="24"/>
          <w:lang w:val="es-AR"/>
        </w:rPr>
      </w:pPr>
      <w:r w:rsidRPr="00717B62">
        <w:rPr>
          <w:rFonts w:ascii="Arial" w:hAnsi="Arial" w:cs="Arial"/>
          <w:b/>
          <w:bCs/>
          <w:sz w:val="24"/>
          <w:lang w:val="es-AR"/>
        </w:rPr>
        <w:t xml:space="preserve">Crown Point anuncia sus resultados </w:t>
      </w:r>
      <w:r w:rsidR="00A253F2">
        <w:rPr>
          <w:rFonts w:ascii="Arial" w:hAnsi="Arial" w:cs="Arial"/>
          <w:b/>
          <w:bCs/>
          <w:sz w:val="24"/>
          <w:lang w:val="es-AR"/>
        </w:rPr>
        <w:t xml:space="preserve">financieros y </w:t>
      </w:r>
      <w:r w:rsidRPr="00717B62">
        <w:rPr>
          <w:rFonts w:ascii="Arial" w:hAnsi="Arial" w:cs="Arial"/>
          <w:b/>
          <w:bCs/>
          <w:sz w:val="24"/>
          <w:lang w:val="es-AR"/>
        </w:rPr>
        <w:t xml:space="preserve">operativos </w:t>
      </w:r>
      <w:r w:rsidR="00A253F2">
        <w:rPr>
          <w:rFonts w:ascii="Arial" w:hAnsi="Arial" w:cs="Arial"/>
          <w:b/>
          <w:bCs/>
          <w:sz w:val="24"/>
          <w:lang w:val="es-AR"/>
        </w:rPr>
        <w:t>no auditados</w:t>
      </w:r>
    </w:p>
    <w:p w:rsidR="007B3383" w:rsidRPr="00717B62" w:rsidRDefault="00F11C6C" w:rsidP="007B3383">
      <w:pPr>
        <w:widowControl w:val="0"/>
        <w:ind w:left="720"/>
        <w:jc w:val="center"/>
        <w:outlineLvl w:val="0"/>
        <w:rPr>
          <w:rFonts w:ascii="Arial" w:hAnsi="Arial" w:cs="Arial"/>
          <w:b/>
          <w:sz w:val="24"/>
          <w:lang w:val="es-AR"/>
        </w:rPr>
      </w:pPr>
      <w:proofErr w:type="gramStart"/>
      <w:r w:rsidRPr="00717B62">
        <w:rPr>
          <w:rFonts w:ascii="Arial" w:hAnsi="Arial" w:cs="Arial"/>
          <w:b/>
          <w:bCs/>
          <w:sz w:val="24"/>
          <w:lang w:val="es-AR"/>
        </w:rPr>
        <w:t>para</w:t>
      </w:r>
      <w:proofErr w:type="gramEnd"/>
      <w:r w:rsidRPr="00717B62">
        <w:rPr>
          <w:rFonts w:ascii="Arial" w:hAnsi="Arial" w:cs="Arial"/>
          <w:b/>
          <w:bCs/>
          <w:sz w:val="24"/>
          <w:lang w:val="es-AR"/>
        </w:rPr>
        <w:t xml:space="preserve"> el período de tres meses </w:t>
      </w:r>
      <w:r w:rsidR="00BD5EAF">
        <w:rPr>
          <w:rFonts w:ascii="Arial" w:hAnsi="Arial" w:cs="Arial"/>
          <w:b/>
          <w:bCs/>
          <w:sz w:val="24"/>
          <w:lang w:val="es-AR"/>
        </w:rPr>
        <w:t xml:space="preserve">y el ejercicio </w:t>
      </w:r>
      <w:r w:rsidRPr="00717B62">
        <w:rPr>
          <w:rFonts w:ascii="Arial" w:hAnsi="Arial" w:cs="Arial"/>
          <w:b/>
          <w:bCs/>
          <w:sz w:val="24"/>
          <w:lang w:val="es-AR"/>
        </w:rPr>
        <w:t>finalizado</w:t>
      </w:r>
      <w:r w:rsidR="00BD5EAF">
        <w:rPr>
          <w:rFonts w:ascii="Arial" w:hAnsi="Arial" w:cs="Arial"/>
          <w:b/>
          <w:bCs/>
          <w:sz w:val="24"/>
          <w:lang w:val="es-AR"/>
        </w:rPr>
        <w:t>s</w:t>
      </w:r>
      <w:r w:rsidRPr="00717B62">
        <w:rPr>
          <w:rFonts w:ascii="Arial" w:hAnsi="Arial" w:cs="Arial"/>
          <w:b/>
          <w:bCs/>
          <w:sz w:val="24"/>
          <w:lang w:val="es-AR"/>
        </w:rPr>
        <w:t xml:space="preserve"> el 31 de </w:t>
      </w:r>
      <w:r w:rsidR="00BD5EAF">
        <w:rPr>
          <w:rFonts w:ascii="Arial" w:hAnsi="Arial" w:cs="Arial"/>
          <w:b/>
          <w:bCs/>
          <w:sz w:val="24"/>
          <w:lang w:val="es-AR"/>
        </w:rPr>
        <w:t xml:space="preserve">diciembre </w:t>
      </w:r>
      <w:r w:rsidRPr="00717B62">
        <w:rPr>
          <w:rFonts w:ascii="Arial" w:hAnsi="Arial" w:cs="Arial"/>
          <w:b/>
          <w:bCs/>
          <w:sz w:val="24"/>
          <w:lang w:val="es-AR"/>
        </w:rPr>
        <w:t xml:space="preserve">de </w:t>
      </w:r>
      <w:r w:rsidR="00A253F2">
        <w:rPr>
          <w:rFonts w:ascii="Arial" w:hAnsi="Arial" w:cs="Arial"/>
          <w:b/>
          <w:bCs/>
          <w:sz w:val="24"/>
          <w:lang w:val="es-AR"/>
        </w:rPr>
        <w:t>2024</w:t>
      </w:r>
    </w:p>
    <w:p w:rsidR="00953B3F" w:rsidRPr="00717B62" w:rsidRDefault="00997CEA" w:rsidP="001C13CF">
      <w:pPr>
        <w:widowControl w:val="0"/>
        <w:tabs>
          <w:tab w:val="left" w:pos="1440"/>
        </w:tabs>
        <w:spacing w:before="120" w:line="240" w:lineRule="atLeast"/>
        <w:jc w:val="both"/>
        <w:rPr>
          <w:rFonts w:ascii="Arial" w:hAnsi="Arial" w:cs="Arial"/>
          <w:b/>
          <w:sz w:val="20"/>
          <w:szCs w:val="20"/>
          <w:lang w:val="es-AR"/>
        </w:rPr>
      </w:pPr>
      <w:r w:rsidRPr="00717B62">
        <w:rPr>
          <w:rFonts w:ascii="Arial" w:hAnsi="Arial" w:cs="Arial"/>
          <w:b/>
          <w:bCs/>
          <w:sz w:val="20"/>
          <w:szCs w:val="20"/>
          <w:lang w:val="es-AR"/>
        </w:rPr>
        <w:t xml:space="preserve">TSX-V:  CWV: </w:t>
      </w:r>
      <w:r w:rsidRPr="00717B62">
        <w:rPr>
          <w:rFonts w:ascii="Arial" w:hAnsi="Arial" w:cs="Arial"/>
          <w:sz w:val="20"/>
          <w:szCs w:val="20"/>
          <w:lang w:val="es-AR"/>
        </w:rPr>
        <w:t xml:space="preserve">En el día de hoy, </w:t>
      </w:r>
      <w:r w:rsidRPr="00717B62">
        <w:rPr>
          <w:rFonts w:ascii="Arial" w:hAnsi="Arial" w:cs="Arial"/>
          <w:b/>
          <w:bCs/>
          <w:sz w:val="20"/>
          <w:szCs w:val="20"/>
          <w:lang w:val="es-AR"/>
        </w:rPr>
        <w:t xml:space="preserve">Crown Point Energy Inc. </w:t>
      </w:r>
      <w:r w:rsidRPr="00717B62">
        <w:rPr>
          <w:rFonts w:ascii="Arial" w:hAnsi="Arial" w:cs="Arial"/>
          <w:sz w:val="20"/>
          <w:szCs w:val="20"/>
          <w:lang w:val="es-AR"/>
        </w:rPr>
        <w:t>(</w:t>
      </w:r>
      <w:r w:rsidRPr="00717B62">
        <w:rPr>
          <w:rFonts w:ascii="Arial" w:hAnsi="Arial" w:cs="Arial"/>
          <w:b/>
          <w:bCs/>
          <w:sz w:val="20"/>
          <w:szCs w:val="20"/>
          <w:lang w:val="es-AR"/>
        </w:rPr>
        <w:t>“Crown Point”</w:t>
      </w:r>
      <w:r w:rsidRPr="00717B62">
        <w:rPr>
          <w:rFonts w:ascii="Arial" w:hAnsi="Arial" w:cs="Arial"/>
          <w:sz w:val="20"/>
          <w:szCs w:val="20"/>
          <w:lang w:val="es-AR"/>
        </w:rPr>
        <w:t xml:space="preserve"> o</w:t>
      </w:r>
      <w:r w:rsidRPr="00717B62">
        <w:rPr>
          <w:rFonts w:ascii="Arial" w:hAnsi="Arial" w:cs="Arial"/>
          <w:b/>
          <w:bCs/>
          <w:sz w:val="20"/>
          <w:szCs w:val="20"/>
          <w:lang w:val="es-AR"/>
        </w:rPr>
        <w:t> </w:t>
      </w:r>
      <w:r w:rsidRPr="00717B62">
        <w:rPr>
          <w:rFonts w:ascii="Arial" w:hAnsi="Arial" w:cs="Arial"/>
          <w:sz w:val="20"/>
          <w:szCs w:val="20"/>
          <w:lang w:val="es-AR"/>
        </w:rPr>
        <w:t>la</w:t>
      </w:r>
      <w:r w:rsidRPr="00717B62">
        <w:rPr>
          <w:rFonts w:ascii="Arial" w:hAnsi="Arial" w:cs="Arial"/>
          <w:b/>
          <w:bCs/>
          <w:sz w:val="20"/>
          <w:szCs w:val="20"/>
          <w:lang w:val="es-AR"/>
        </w:rPr>
        <w:t xml:space="preserve"> “Compañía”</w:t>
      </w:r>
      <w:r w:rsidRPr="00717B62">
        <w:rPr>
          <w:rFonts w:ascii="Arial" w:hAnsi="Arial" w:cs="Arial"/>
          <w:sz w:val="20"/>
          <w:szCs w:val="20"/>
          <w:lang w:val="es-AR"/>
        </w:rPr>
        <w:t xml:space="preserve">) anunció sus resultados financieros </w:t>
      </w:r>
      <w:r w:rsidR="00D7466A">
        <w:rPr>
          <w:rFonts w:ascii="Arial" w:hAnsi="Arial" w:cs="Arial"/>
          <w:sz w:val="20"/>
          <w:szCs w:val="20"/>
          <w:lang w:val="es-AR"/>
        </w:rPr>
        <w:t xml:space="preserve">y operativos </w:t>
      </w:r>
      <w:r w:rsidR="00A253F2">
        <w:rPr>
          <w:rFonts w:ascii="Arial" w:hAnsi="Arial" w:cs="Arial"/>
          <w:sz w:val="20"/>
          <w:szCs w:val="20"/>
          <w:lang w:val="es-AR"/>
        </w:rPr>
        <w:t xml:space="preserve">no auditados </w:t>
      </w:r>
      <w:r w:rsidRPr="00717B62">
        <w:rPr>
          <w:rFonts w:ascii="Arial" w:hAnsi="Arial" w:cs="Arial"/>
          <w:sz w:val="20"/>
          <w:szCs w:val="20"/>
          <w:lang w:val="es-AR"/>
        </w:rPr>
        <w:t xml:space="preserve">correspondientes al período de tres meses </w:t>
      </w:r>
      <w:r w:rsidR="00BD5EAF">
        <w:rPr>
          <w:rFonts w:ascii="Arial" w:hAnsi="Arial" w:cs="Arial"/>
          <w:sz w:val="20"/>
          <w:szCs w:val="20"/>
          <w:lang w:val="es-AR"/>
        </w:rPr>
        <w:t xml:space="preserve">y al ejercicio </w:t>
      </w:r>
      <w:r w:rsidRPr="00717B62">
        <w:rPr>
          <w:rFonts w:ascii="Arial" w:hAnsi="Arial" w:cs="Arial"/>
          <w:sz w:val="20"/>
          <w:szCs w:val="20"/>
          <w:lang w:val="es-AR"/>
        </w:rPr>
        <w:t>finalizado</w:t>
      </w:r>
      <w:r w:rsidR="00BD5EAF">
        <w:rPr>
          <w:rFonts w:ascii="Arial" w:hAnsi="Arial" w:cs="Arial"/>
          <w:sz w:val="20"/>
          <w:szCs w:val="20"/>
          <w:lang w:val="es-AR"/>
        </w:rPr>
        <w:t>s</w:t>
      </w:r>
      <w:r w:rsidRPr="00717B62">
        <w:rPr>
          <w:rFonts w:ascii="Arial" w:hAnsi="Arial" w:cs="Arial"/>
          <w:sz w:val="20"/>
          <w:szCs w:val="20"/>
          <w:lang w:val="es-AR"/>
        </w:rPr>
        <w:t xml:space="preserve"> el 31 de </w:t>
      </w:r>
      <w:r w:rsidR="00BD5EAF">
        <w:rPr>
          <w:rFonts w:ascii="Arial" w:hAnsi="Arial" w:cs="Arial"/>
          <w:sz w:val="20"/>
          <w:szCs w:val="20"/>
          <w:lang w:val="es-AR"/>
        </w:rPr>
        <w:t xml:space="preserve">diciembre </w:t>
      </w:r>
      <w:r w:rsidRPr="00717B62">
        <w:rPr>
          <w:rFonts w:ascii="Arial" w:hAnsi="Arial" w:cs="Arial"/>
          <w:sz w:val="20"/>
          <w:szCs w:val="20"/>
          <w:lang w:val="es-AR"/>
        </w:rPr>
        <w:t xml:space="preserve">de </w:t>
      </w:r>
      <w:r w:rsidR="00A253F2">
        <w:rPr>
          <w:rFonts w:ascii="Arial" w:hAnsi="Arial" w:cs="Arial"/>
          <w:sz w:val="20"/>
          <w:szCs w:val="20"/>
          <w:lang w:val="es-AR"/>
        </w:rPr>
        <w:t>2024</w:t>
      </w:r>
      <w:r w:rsidRPr="00717B62">
        <w:rPr>
          <w:rFonts w:ascii="Arial" w:hAnsi="Arial" w:cs="Arial"/>
          <w:sz w:val="20"/>
          <w:szCs w:val="20"/>
          <w:lang w:val="es-AR"/>
        </w:rPr>
        <w:t>.</w:t>
      </w:r>
      <w:r w:rsidR="000D3DC7">
        <w:rPr>
          <w:rFonts w:ascii="Arial" w:hAnsi="Arial" w:cs="Arial"/>
          <w:sz w:val="20"/>
          <w:szCs w:val="20"/>
          <w:lang w:val="es-AR"/>
        </w:rPr>
        <w:t xml:space="preserve"> </w:t>
      </w:r>
      <w:r w:rsidR="00AF42C9" w:rsidRPr="00717B62">
        <w:rPr>
          <w:rFonts w:ascii="Arial" w:hAnsi="Arial" w:cs="Arial"/>
          <w:b/>
          <w:bCs/>
          <w:sz w:val="20"/>
          <w:szCs w:val="20"/>
          <w:lang w:val="es-AR"/>
        </w:rPr>
        <w:t xml:space="preserve">Todas las cifras en dólares se encuentran expresadas en dólares estadounidenses (“USD”), salvo que se indique lo contrario. </w:t>
      </w:r>
    </w:p>
    <w:p w:rsidR="00ED3233" w:rsidRPr="00717B62" w:rsidRDefault="008D650E" w:rsidP="00ED3233">
      <w:pPr>
        <w:widowControl w:val="0"/>
        <w:spacing w:before="120"/>
        <w:jc w:val="both"/>
        <w:rPr>
          <w:rFonts w:ascii="Arial" w:hAnsi="Arial" w:cs="Arial"/>
          <w:sz w:val="20"/>
          <w:szCs w:val="20"/>
          <w:lang w:val="es-AR"/>
        </w:rPr>
      </w:pPr>
      <w:r w:rsidRPr="00717B62">
        <w:rPr>
          <w:rFonts w:ascii="Arial" w:hAnsi="Arial" w:cs="Arial"/>
          <w:sz w:val="20"/>
          <w:szCs w:val="20"/>
          <w:lang w:val="es-AR"/>
        </w:rPr>
        <w:t xml:space="preserve">En la siguiente reseña, se puede hacer referencia al período de tres meses </w:t>
      </w:r>
      <w:r w:rsidR="00BD5EAF">
        <w:rPr>
          <w:rFonts w:ascii="Arial" w:hAnsi="Arial" w:cs="Arial"/>
          <w:sz w:val="20"/>
          <w:szCs w:val="20"/>
          <w:lang w:val="es-AR"/>
        </w:rPr>
        <w:t xml:space="preserve">y </w:t>
      </w:r>
      <w:r w:rsidR="00477B67">
        <w:rPr>
          <w:rFonts w:ascii="Arial" w:hAnsi="Arial" w:cs="Arial"/>
          <w:sz w:val="20"/>
          <w:szCs w:val="20"/>
          <w:lang w:val="es-AR"/>
        </w:rPr>
        <w:t xml:space="preserve">al ejercicio </w:t>
      </w:r>
      <w:r w:rsidR="00477B67" w:rsidRPr="00717B62">
        <w:rPr>
          <w:rFonts w:ascii="Arial" w:hAnsi="Arial" w:cs="Arial"/>
          <w:sz w:val="20"/>
          <w:szCs w:val="20"/>
          <w:lang w:val="es-AR"/>
        </w:rPr>
        <w:t>finalizado</w:t>
      </w:r>
      <w:r w:rsidRPr="00717B62">
        <w:rPr>
          <w:rFonts w:ascii="Arial" w:hAnsi="Arial" w:cs="Arial"/>
          <w:sz w:val="20"/>
          <w:szCs w:val="20"/>
          <w:lang w:val="es-AR"/>
        </w:rPr>
        <w:t xml:space="preserve"> el 31 de </w:t>
      </w:r>
      <w:r w:rsidR="00BD5EAF">
        <w:rPr>
          <w:rFonts w:ascii="Arial" w:hAnsi="Arial" w:cs="Arial"/>
          <w:sz w:val="20"/>
          <w:szCs w:val="20"/>
          <w:lang w:val="es-AR"/>
        </w:rPr>
        <w:t xml:space="preserve">diciembre </w:t>
      </w:r>
      <w:r w:rsidRPr="00717B62">
        <w:rPr>
          <w:rFonts w:ascii="Arial" w:hAnsi="Arial" w:cs="Arial"/>
          <w:sz w:val="20"/>
          <w:szCs w:val="20"/>
          <w:lang w:val="es-AR"/>
        </w:rPr>
        <w:t xml:space="preserve">de </w:t>
      </w:r>
      <w:r w:rsidR="00A253F2">
        <w:rPr>
          <w:rFonts w:ascii="Arial" w:hAnsi="Arial" w:cs="Arial"/>
          <w:sz w:val="20"/>
          <w:szCs w:val="20"/>
          <w:lang w:val="es-AR"/>
        </w:rPr>
        <w:t>2024</w:t>
      </w:r>
      <w:r w:rsidR="00A253F2" w:rsidRPr="00717B62">
        <w:rPr>
          <w:rFonts w:ascii="Arial" w:hAnsi="Arial" w:cs="Arial"/>
          <w:sz w:val="20"/>
          <w:szCs w:val="20"/>
          <w:lang w:val="es-AR"/>
        </w:rPr>
        <w:t xml:space="preserve"> </w:t>
      </w:r>
      <w:r w:rsidRPr="00717B62">
        <w:rPr>
          <w:rFonts w:ascii="Arial" w:hAnsi="Arial" w:cs="Arial"/>
          <w:sz w:val="20"/>
          <w:szCs w:val="20"/>
          <w:lang w:val="es-AR"/>
        </w:rPr>
        <w:t>como “</w:t>
      </w:r>
      <w:r w:rsidR="00BD5EAF">
        <w:rPr>
          <w:rFonts w:ascii="Arial" w:hAnsi="Arial" w:cs="Arial"/>
          <w:sz w:val="20"/>
          <w:szCs w:val="20"/>
          <w:lang w:val="es-AR"/>
        </w:rPr>
        <w:t>4</w:t>
      </w:r>
      <w:r w:rsidRPr="00717B62">
        <w:rPr>
          <w:rFonts w:ascii="Arial" w:hAnsi="Arial" w:cs="Arial"/>
          <w:sz w:val="20"/>
          <w:szCs w:val="20"/>
          <w:lang w:val="es-AR"/>
        </w:rPr>
        <w:t xml:space="preserve">° trimestre de </w:t>
      </w:r>
      <w:r w:rsidR="00A253F2">
        <w:rPr>
          <w:rFonts w:ascii="Arial" w:hAnsi="Arial" w:cs="Arial"/>
          <w:sz w:val="20"/>
          <w:szCs w:val="20"/>
          <w:lang w:val="es-AR"/>
        </w:rPr>
        <w:t>2024</w:t>
      </w:r>
      <w:r w:rsidRPr="00717B62">
        <w:rPr>
          <w:rFonts w:ascii="Arial" w:hAnsi="Arial" w:cs="Arial"/>
          <w:sz w:val="20"/>
          <w:szCs w:val="20"/>
          <w:lang w:val="es-AR"/>
        </w:rPr>
        <w:t>”</w:t>
      </w:r>
      <w:r w:rsidR="00BD5EAF">
        <w:rPr>
          <w:rFonts w:ascii="Arial" w:hAnsi="Arial" w:cs="Arial"/>
          <w:sz w:val="20"/>
          <w:szCs w:val="20"/>
          <w:lang w:val="es-AR"/>
        </w:rPr>
        <w:t xml:space="preserve"> y “</w:t>
      </w:r>
      <w:r w:rsidR="00A253F2">
        <w:rPr>
          <w:rFonts w:ascii="Arial" w:hAnsi="Arial" w:cs="Arial"/>
          <w:sz w:val="20"/>
          <w:szCs w:val="20"/>
          <w:lang w:val="es-AR"/>
        </w:rPr>
        <w:t>2024</w:t>
      </w:r>
      <w:r w:rsidR="00207F74">
        <w:rPr>
          <w:rFonts w:ascii="Arial" w:hAnsi="Arial" w:cs="Arial"/>
          <w:sz w:val="20"/>
          <w:szCs w:val="20"/>
          <w:lang w:val="es-AR"/>
        </w:rPr>
        <w:t>”</w:t>
      </w:r>
      <w:r w:rsidR="00BD5EAF">
        <w:rPr>
          <w:rFonts w:ascii="Arial" w:hAnsi="Arial" w:cs="Arial"/>
          <w:sz w:val="20"/>
          <w:szCs w:val="20"/>
          <w:lang w:val="es-AR"/>
        </w:rPr>
        <w:t>, respectivamente</w:t>
      </w:r>
      <w:r w:rsidRPr="00717B62">
        <w:rPr>
          <w:rFonts w:ascii="Arial" w:hAnsi="Arial" w:cs="Arial"/>
          <w:sz w:val="20"/>
          <w:szCs w:val="20"/>
          <w:lang w:val="es-AR"/>
        </w:rPr>
        <w:t xml:space="preserve">.  Se puede hacer referencia al período de tres meses </w:t>
      </w:r>
      <w:r w:rsidR="00BD5EAF">
        <w:rPr>
          <w:rFonts w:ascii="Arial" w:hAnsi="Arial" w:cs="Arial"/>
          <w:sz w:val="20"/>
          <w:szCs w:val="20"/>
          <w:lang w:val="es-AR"/>
        </w:rPr>
        <w:t xml:space="preserve">y </w:t>
      </w:r>
      <w:proofErr w:type="gramStart"/>
      <w:r w:rsidR="00BD5EAF">
        <w:rPr>
          <w:rFonts w:ascii="Arial" w:hAnsi="Arial" w:cs="Arial"/>
          <w:sz w:val="20"/>
          <w:szCs w:val="20"/>
          <w:lang w:val="es-AR"/>
        </w:rPr>
        <w:t xml:space="preserve">al ejercicio </w:t>
      </w:r>
      <w:r w:rsidR="00A83BFA" w:rsidRPr="00717B62">
        <w:rPr>
          <w:rFonts w:ascii="Arial" w:hAnsi="Arial" w:cs="Arial"/>
          <w:sz w:val="20"/>
          <w:szCs w:val="20"/>
          <w:lang w:val="es-AR"/>
        </w:rPr>
        <w:t>comparativo</w:t>
      </w:r>
      <w:r w:rsidR="00BD5EAF">
        <w:rPr>
          <w:rFonts w:ascii="Arial" w:hAnsi="Arial" w:cs="Arial"/>
          <w:sz w:val="20"/>
          <w:szCs w:val="20"/>
          <w:lang w:val="es-AR"/>
        </w:rPr>
        <w:t>s</w:t>
      </w:r>
      <w:r w:rsidR="00A83BFA" w:rsidRPr="00717B62">
        <w:rPr>
          <w:rFonts w:ascii="Arial" w:hAnsi="Arial" w:cs="Arial"/>
          <w:sz w:val="20"/>
          <w:szCs w:val="20"/>
          <w:lang w:val="es-AR"/>
        </w:rPr>
        <w:t xml:space="preserve"> </w:t>
      </w:r>
      <w:r w:rsidRPr="00717B62">
        <w:rPr>
          <w:rFonts w:ascii="Arial" w:hAnsi="Arial" w:cs="Arial"/>
          <w:sz w:val="20"/>
          <w:szCs w:val="20"/>
          <w:lang w:val="es-AR"/>
        </w:rPr>
        <w:t>finalizado</w:t>
      </w:r>
      <w:r w:rsidR="00BD5EAF">
        <w:rPr>
          <w:rFonts w:ascii="Arial" w:hAnsi="Arial" w:cs="Arial"/>
          <w:sz w:val="20"/>
          <w:szCs w:val="20"/>
          <w:lang w:val="es-AR"/>
        </w:rPr>
        <w:t>s</w:t>
      </w:r>
      <w:proofErr w:type="gramEnd"/>
      <w:r w:rsidRPr="00717B62">
        <w:rPr>
          <w:rFonts w:ascii="Arial" w:hAnsi="Arial" w:cs="Arial"/>
          <w:sz w:val="20"/>
          <w:szCs w:val="20"/>
          <w:lang w:val="es-AR"/>
        </w:rPr>
        <w:t xml:space="preserve"> el 31 de </w:t>
      </w:r>
      <w:r w:rsidR="00BD5EAF">
        <w:rPr>
          <w:rFonts w:ascii="Arial" w:hAnsi="Arial" w:cs="Arial"/>
          <w:sz w:val="20"/>
          <w:szCs w:val="20"/>
          <w:lang w:val="es-AR"/>
        </w:rPr>
        <w:t xml:space="preserve">diciembre </w:t>
      </w:r>
      <w:r w:rsidRPr="00717B62">
        <w:rPr>
          <w:rFonts w:ascii="Arial" w:hAnsi="Arial" w:cs="Arial"/>
          <w:sz w:val="20"/>
          <w:szCs w:val="20"/>
          <w:lang w:val="es-AR"/>
        </w:rPr>
        <w:t xml:space="preserve">de </w:t>
      </w:r>
      <w:r w:rsidR="00A253F2">
        <w:rPr>
          <w:rFonts w:ascii="Arial" w:hAnsi="Arial" w:cs="Arial"/>
          <w:sz w:val="20"/>
          <w:szCs w:val="20"/>
          <w:lang w:val="es-AR"/>
        </w:rPr>
        <w:t>2023</w:t>
      </w:r>
      <w:r w:rsidR="00A253F2" w:rsidRPr="00717B62">
        <w:rPr>
          <w:rFonts w:ascii="Arial" w:hAnsi="Arial" w:cs="Arial"/>
          <w:sz w:val="20"/>
          <w:szCs w:val="20"/>
          <w:lang w:val="es-AR"/>
        </w:rPr>
        <w:t xml:space="preserve"> </w:t>
      </w:r>
      <w:r w:rsidRPr="00717B62">
        <w:rPr>
          <w:rFonts w:ascii="Arial" w:hAnsi="Arial" w:cs="Arial"/>
          <w:sz w:val="20"/>
          <w:szCs w:val="20"/>
          <w:lang w:val="es-AR"/>
        </w:rPr>
        <w:t>como “</w:t>
      </w:r>
      <w:r w:rsidR="00BD5EAF">
        <w:rPr>
          <w:rFonts w:ascii="Arial" w:hAnsi="Arial" w:cs="Arial"/>
          <w:sz w:val="20"/>
          <w:szCs w:val="20"/>
          <w:lang w:val="es-AR"/>
        </w:rPr>
        <w:t>4</w:t>
      </w:r>
      <w:r w:rsidRPr="00717B62">
        <w:rPr>
          <w:rFonts w:ascii="Arial" w:hAnsi="Arial" w:cs="Arial"/>
          <w:sz w:val="20"/>
          <w:szCs w:val="20"/>
          <w:lang w:val="es-AR"/>
        </w:rPr>
        <w:t xml:space="preserve">° trimestre de </w:t>
      </w:r>
      <w:r w:rsidR="00A253F2">
        <w:rPr>
          <w:rFonts w:ascii="Arial" w:hAnsi="Arial" w:cs="Arial"/>
          <w:sz w:val="20"/>
          <w:szCs w:val="20"/>
          <w:lang w:val="es-AR"/>
        </w:rPr>
        <w:t>2023</w:t>
      </w:r>
      <w:r w:rsidRPr="00717B62">
        <w:rPr>
          <w:rFonts w:ascii="Arial" w:hAnsi="Arial" w:cs="Arial"/>
          <w:sz w:val="20"/>
          <w:szCs w:val="20"/>
          <w:lang w:val="es-AR"/>
        </w:rPr>
        <w:t>”</w:t>
      </w:r>
      <w:r w:rsidR="00BD5EAF">
        <w:rPr>
          <w:rFonts w:ascii="Arial" w:hAnsi="Arial" w:cs="Arial"/>
          <w:sz w:val="20"/>
          <w:szCs w:val="20"/>
          <w:lang w:val="es-AR"/>
        </w:rPr>
        <w:t xml:space="preserve"> y “</w:t>
      </w:r>
      <w:r w:rsidR="00A253F2">
        <w:rPr>
          <w:rFonts w:ascii="Arial" w:hAnsi="Arial" w:cs="Arial"/>
          <w:sz w:val="20"/>
          <w:szCs w:val="20"/>
          <w:lang w:val="es-AR"/>
        </w:rPr>
        <w:t>2023</w:t>
      </w:r>
      <w:r w:rsidR="00BD5EAF">
        <w:rPr>
          <w:rFonts w:ascii="Arial" w:hAnsi="Arial" w:cs="Arial"/>
          <w:sz w:val="20"/>
          <w:szCs w:val="20"/>
          <w:lang w:val="es-AR"/>
        </w:rPr>
        <w:t>”, respectivamente</w:t>
      </w:r>
      <w:r w:rsidRPr="00717B62">
        <w:rPr>
          <w:rFonts w:ascii="Arial" w:hAnsi="Arial" w:cs="Arial"/>
          <w:sz w:val="20"/>
          <w:szCs w:val="20"/>
          <w:lang w:val="es-AR"/>
        </w:rPr>
        <w:t>.</w:t>
      </w:r>
    </w:p>
    <w:p w:rsidR="00486ADF" w:rsidRPr="00717B62" w:rsidRDefault="00716692" w:rsidP="00ED3233">
      <w:pPr>
        <w:widowControl w:val="0"/>
        <w:spacing w:before="120"/>
        <w:jc w:val="both"/>
        <w:rPr>
          <w:rFonts w:ascii="Arial" w:hAnsi="Arial" w:cs="Arial"/>
          <w:b/>
          <w:bCs/>
          <w:caps/>
          <w:color w:val="000000"/>
          <w:sz w:val="20"/>
          <w:szCs w:val="20"/>
          <w:lang w:val="es-AR"/>
        </w:rPr>
      </w:pPr>
      <w:r w:rsidRPr="00717B62">
        <w:rPr>
          <w:rFonts w:ascii="Arial" w:hAnsi="Arial" w:cs="Arial"/>
          <w:b/>
          <w:bCs/>
          <w:caps/>
          <w:color w:val="000000"/>
          <w:sz w:val="20"/>
          <w:szCs w:val="20"/>
          <w:lang w:val="es-AR"/>
        </w:rPr>
        <w:t xml:space="preserve">RESUMEN DEL </w:t>
      </w:r>
      <w:r w:rsidR="00BD5EAF">
        <w:rPr>
          <w:rFonts w:ascii="Arial" w:hAnsi="Arial" w:cs="Arial"/>
          <w:b/>
          <w:bCs/>
          <w:caps/>
          <w:color w:val="000000"/>
          <w:sz w:val="20"/>
          <w:szCs w:val="20"/>
          <w:lang w:val="es-AR"/>
        </w:rPr>
        <w:t>4</w:t>
      </w:r>
      <w:r w:rsidRPr="00717B62">
        <w:rPr>
          <w:rFonts w:ascii="Arial" w:hAnsi="Arial" w:cs="Arial"/>
          <w:b/>
          <w:bCs/>
          <w:caps/>
          <w:color w:val="000000"/>
          <w:sz w:val="20"/>
          <w:szCs w:val="20"/>
          <w:lang w:val="es-AR"/>
        </w:rPr>
        <w:t xml:space="preserve">° TRIMESTRE DE </w:t>
      </w:r>
      <w:r w:rsidR="00A253F2">
        <w:rPr>
          <w:rFonts w:ascii="Arial" w:hAnsi="Arial" w:cs="Arial"/>
          <w:b/>
          <w:bCs/>
          <w:caps/>
          <w:color w:val="000000"/>
          <w:sz w:val="20"/>
          <w:szCs w:val="20"/>
          <w:lang w:val="es-AR"/>
        </w:rPr>
        <w:t>2024</w:t>
      </w:r>
    </w:p>
    <w:p w:rsidR="003C3173" w:rsidRPr="00717B62" w:rsidRDefault="002E4CEF" w:rsidP="00486ADF">
      <w:pPr>
        <w:widowControl w:val="0"/>
        <w:autoSpaceDE w:val="0"/>
        <w:autoSpaceDN w:val="0"/>
        <w:adjustRightInd w:val="0"/>
        <w:spacing w:before="120" w:line="240" w:lineRule="atLeast"/>
        <w:jc w:val="both"/>
        <w:rPr>
          <w:rFonts w:ascii="Arial" w:hAnsi="Arial" w:cs="Arial"/>
          <w:sz w:val="20"/>
          <w:szCs w:val="20"/>
          <w:lang w:val="es-AR"/>
        </w:rPr>
      </w:pPr>
      <w:r w:rsidRPr="00717B62">
        <w:rPr>
          <w:rFonts w:ascii="Arial" w:hAnsi="Arial" w:cs="Arial"/>
          <w:sz w:val="20"/>
          <w:szCs w:val="20"/>
          <w:lang w:val="es-AR"/>
        </w:rPr>
        <w:t xml:space="preserve">Durante el </w:t>
      </w:r>
      <w:r w:rsidR="00BD5EAF">
        <w:rPr>
          <w:rFonts w:ascii="Arial" w:hAnsi="Arial" w:cs="Arial"/>
          <w:sz w:val="20"/>
          <w:szCs w:val="20"/>
          <w:lang w:val="es-AR"/>
        </w:rPr>
        <w:t>4</w:t>
      </w:r>
      <w:r w:rsidRPr="00717B62">
        <w:rPr>
          <w:rFonts w:ascii="Arial" w:hAnsi="Arial" w:cs="Arial"/>
          <w:sz w:val="20"/>
          <w:szCs w:val="20"/>
          <w:lang w:val="es-AR"/>
        </w:rPr>
        <w:t xml:space="preserve">° trimestre de </w:t>
      </w:r>
      <w:r w:rsidR="00A253F2">
        <w:rPr>
          <w:rFonts w:ascii="Arial" w:hAnsi="Arial" w:cs="Arial"/>
          <w:sz w:val="20"/>
          <w:szCs w:val="20"/>
          <w:lang w:val="es-AR"/>
        </w:rPr>
        <w:t>2024</w:t>
      </w:r>
      <w:r w:rsidRPr="00717B62">
        <w:rPr>
          <w:rFonts w:ascii="Arial" w:hAnsi="Arial" w:cs="Arial"/>
          <w:sz w:val="20"/>
          <w:szCs w:val="20"/>
          <w:lang w:val="es-AR"/>
        </w:rPr>
        <w:t>, la Compañía:</w:t>
      </w:r>
    </w:p>
    <w:p w:rsidR="00A44435" w:rsidRPr="00717B62" w:rsidRDefault="001736B6" w:rsidP="00184829">
      <w:pPr>
        <w:pStyle w:val="Prrafodelista"/>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lang w:val="es-AR"/>
        </w:rPr>
      </w:pPr>
      <w:r w:rsidRPr="00717B62">
        <w:rPr>
          <w:rFonts w:ascii="Arial" w:hAnsi="Arial" w:cs="Arial"/>
          <w:sz w:val="20"/>
          <w:szCs w:val="20"/>
          <w:lang w:val="es-AR"/>
        </w:rPr>
        <w:t xml:space="preserve">Informó un efectivo neto </w:t>
      </w:r>
      <w:r w:rsidR="00A253F2">
        <w:rPr>
          <w:rFonts w:ascii="Arial" w:hAnsi="Arial" w:cs="Arial"/>
          <w:sz w:val="20"/>
          <w:szCs w:val="20"/>
          <w:lang w:val="es-AR"/>
        </w:rPr>
        <w:t>utilizado en</w:t>
      </w:r>
      <w:r w:rsidR="00BD5EAF">
        <w:rPr>
          <w:rFonts w:ascii="Arial" w:hAnsi="Arial" w:cs="Arial"/>
          <w:sz w:val="20"/>
          <w:szCs w:val="20"/>
          <w:lang w:val="es-AR"/>
        </w:rPr>
        <w:t xml:space="preserve"> </w:t>
      </w:r>
      <w:r w:rsidRPr="00717B62">
        <w:rPr>
          <w:rFonts w:ascii="Arial" w:hAnsi="Arial" w:cs="Arial"/>
          <w:sz w:val="20"/>
          <w:szCs w:val="20"/>
          <w:lang w:val="es-AR"/>
        </w:rPr>
        <w:t>las actividades operativas de $</w:t>
      </w:r>
      <w:r w:rsidR="00AE4739">
        <w:rPr>
          <w:rFonts w:ascii="Arial" w:hAnsi="Arial" w:cs="Arial"/>
          <w:sz w:val="20"/>
          <w:szCs w:val="20"/>
          <w:lang w:val="es-AR"/>
        </w:rPr>
        <w:t>1</w:t>
      </w:r>
      <w:r w:rsidRPr="00717B62">
        <w:rPr>
          <w:rFonts w:ascii="Arial" w:hAnsi="Arial" w:cs="Arial"/>
          <w:sz w:val="20"/>
          <w:szCs w:val="20"/>
          <w:lang w:val="es-AR"/>
        </w:rPr>
        <w:t>,</w:t>
      </w:r>
      <w:r w:rsidR="00A253F2">
        <w:rPr>
          <w:rFonts w:ascii="Arial" w:hAnsi="Arial" w:cs="Arial"/>
          <w:sz w:val="20"/>
          <w:szCs w:val="20"/>
          <w:lang w:val="es-AR"/>
        </w:rPr>
        <w:t>5</w:t>
      </w:r>
      <w:r w:rsidR="00A253F2" w:rsidRPr="00717B62">
        <w:rPr>
          <w:rFonts w:ascii="Arial" w:hAnsi="Arial" w:cs="Arial"/>
          <w:sz w:val="20"/>
          <w:szCs w:val="20"/>
          <w:lang w:val="es-AR"/>
        </w:rPr>
        <w:t xml:space="preserve"> </w:t>
      </w:r>
      <w:r w:rsidRPr="00717B62">
        <w:rPr>
          <w:rFonts w:ascii="Arial" w:hAnsi="Arial" w:cs="Arial"/>
          <w:sz w:val="20"/>
          <w:szCs w:val="20"/>
          <w:lang w:val="es-AR"/>
        </w:rPr>
        <w:t>millones y un flujo de fondos generado por actividades operativas de $</w:t>
      </w:r>
      <w:r w:rsidR="00A253F2">
        <w:rPr>
          <w:rFonts w:ascii="Arial" w:hAnsi="Arial" w:cs="Arial"/>
          <w:sz w:val="20"/>
          <w:szCs w:val="20"/>
          <w:lang w:val="es-AR"/>
        </w:rPr>
        <w:t>1,0</w:t>
      </w:r>
      <w:r w:rsidRPr="00717B62">
        <w:rPr>
          <w:rFonts w:ascii="Arial" w:hAnsi="Arial" w:cs="Arial"/>
          <w:sz w:val="20"/>
          <w:szCs w:val="20"/>
          <w:lang w:val="es-AR"/>
        </w:rPr>
        <w:t xml:space="preserve"> </w:t>
      </w:r>
      <w:r w:rsidR="00717B62" w:rsidRPr="00717B62">
        <w:rPr>
          <w:rFonts w:ascii="Arial" w:hAnsi="Arial" w:cs="Arial"/>
          <w:sz w:val="20"/>
          <w:szCs w:val="20"/>
          <w:lang w:val="es-AR"/>
        </w:rPr>
        <w:t>millones</w:t>
      </w:r>
      <w:r w:rsidRPr="00717B62">
        <w:rPr>
          <w:rFonts w:ascii="Arial" w:hAnsi="Arial" w:cs="Arial"/>
          <w:sz w:val="20"/>
          <w:szCs w:val="20"/>
          <w:lang w:val="es-AR"/>
        </w:rPr>
        <w:t xml:space="preserve">; </w:t>
      </w:r>
    </w:p>
    <w:p w:rsidR="007841B4" w:rsidRPr="00717B62" w:rsidRDefault="00020D0D" w:rsidP="007841B4">
      <w:pPr>
        <w:pStyle w:val="Prrafodelista"/>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lang w:val="es-AR"/>
        </w:rPr>
      </w:pPr>
      <w:r w:rsidRPr="00717B62">
        <w:rPr>
          <w:rFonts w:ascii="Arial" w:hAnsi="Arial" w:cs="Arial"/>
          <w:sz w:val="20"/>
          <w:szCs w:val="20"/>
          <w:lang w:val="es-AR"/>
        </w:rPr>
        <w:t>Obtuvo un ingreso por ventas de petróleo y gas natural de $</w:t>
      </w:r>
      <w:r w:rsidR="00A253F2">
        <w:rPr>
          <w:rFonts w:ascii="Arial" w:hAnsi="Arial" w:cs="Arial"/>
          <w:sz w:val="20"/>
          <w:szCs w:val="20"/>
          <w:lang w:val="es-AR"/>
        </w:rPr>
        <w:t>19,6</w:t>
      </w:r>
      <w:r w:rsidRPr="00717B62">
        <w:rPr>
          <w:rFonts w:ascii="Arial" w:hAnsi="Arial" w:cs="Arial"/>
          <w:sz w:val="20"/>
          <w:szCs w:val="20"/>
          <w:lang w:val="es-AR"/>
        </w:rPr>
        <w:t xml:space="preserve"> millones sobre un volumen de ventas diarias promedio total de </w:t>
      </w:r>
      <w:r w:rsidR="001D2FCD">
        <w:rPr>
          <w:rFonts w:ascii="Arial" w:hAnsi="Arial" w:cs="Arial"/>
          <w:sz w:val="20"/>
          <w:szCs w:val="20"/>
          <w:lang w:val="es-AR"/>
        </w:rPr>
        <w:t>3.335</w:t>
      </w:r>
      <w:r w:rsidRPr="00717B62">
        <w:rPr>
          <w:rFonts w:ascii="Arial" w:hAnsi="Arial" w:cs="Arial"/>
          <w:sz w:val="20"/>
          <w:szCs w:val="20"/>
          <w:lang w:val="es-AR"/>
        </w:rPr>
        <w:t xml:space="preserve"> BOE por día</w:t>
      </w:r>
      <w:r w:rsidR="001D2FCD">
        <w:rPr>
          <w:rFonts w:ascii="Arial" w:hAnsi="Arial" w:cs="Arial"/>
          <w:sz w:val="20"/>
          <w:szCs w:val="20"/>
          <w:lang w:val="es-AR"/>
        </w:rPr>
        <w:t>. El aumento en comparación con trimestres anteriores se debe al volumen de ventas de petróleo de las Concesiones de Santa Cruz (conforme se definen más adelante) desde la fecha de cierre</w:t>
      </w:r>
      <w:r w:rsidR="00312FFB">
        <w:rPr>
          <w:rFonts w:ascii="Arial" w:hAnsi="Arial" w:cs="Arial"/>
          <w:sz w:val="20"/>
          <w:szCs w:val="20"/>
          <w:lang w:val="es-AR"/>
        </w:rPr>
        <w:t>,</w:t>
      </w:r>
      <w:r w:rsidR="001D2FCD">
        <w:rPr>
          <w:rFonts w:ascii="Arial" w:hAnsi="Arial" w:cs="Arial"/>
          <w:sz w:val="20"/>
          <w:szCs w:val="20"/>
          <w:lang w:val="es-AR"/>
        </w:rPr>
        <w:t xml:space="preserve"> el 31 de octubre de 2024</w:t>
      </w:r>
      <w:r w:rsidR="00BD5EAF">
        <w:rPr>
          <w:rFonts w:ascii="Arial" w:hAnsi="Arial" w:cs="Arial"/>
          <w:sz w:val="20"/>
          <w:szCs w:val="20"/>
          <w:lang w:val="es-AR"/>
        </w:rPr>
        <w:t>;</w:t>
      </w:r>
    </w:p>
    <w:p w:rsidR="002E4CEF" w:rsidRPr="00717B62" w:rsidRDefault="002E4CEF" w:rsidP="005D5E6B">
      <w:pPr>
        <w:pStyle w:val="Prrafodelista"/>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lang w:val="es-AR"/>
        </w:rPr>
      </w:pPr>
      <w:r w:rsidRPr="00717B62">
        <w:rPr>
          <w:rFonts w:ascii="Arial" w:hAnsi="Arial" w:cs="Arial"/>
          <w:sz w:val="20"/>
          <w:szCs w:val="20"/>
          <w:lang w:val="es-AR"/>
        </w:rPr>
        <w:t>Recibió un promedio de $</w:t>
      </w:r>
      <w:r w:rsidR="001D2FCD">
        <w:rPr>
          <w:rFonts w:ascii="Arial" w:hAnsi="Arial" w:cs="Arial"/>
          <w:sz w:val="20"/>
          <w:szCs w:val="20"/>
          <w:lang w:val="es-AR"/>
        </w:rPr>
        <w:t>2,52</w:t>
      </w:r>
      <w:r w:rsidRPr="00717B62">
        <w:rPr>
          <w:rFonts w:ascii="Arial" w:hAnsi="Arial" w:cs="Arial"/>
          <w:sz w:val="20"/>
          <w:szCs w:val="20"/>
          <w:lang w:val="es-AR"/>
        </w:rPr>
        <w:t xml:space="preserve"> por mcf de gas natural y $</w:t>
      </w:r>
      <w:r w:rsidR="001D2FCD">
        <w:rPr>
          <w:rFonts w:ascii="Arial" w:hAnsi="Arial" w:cs="Arial"/>
          <w:sz w:val="20"/>
          <w:szCs w:val="20"/>
          <w:lang w:val="es-AR"/>
        </w:rPr>
        <w:t>71,67</w:t>
      </w:r>
      <w:r w:rsidRPr="00717B62">
        <w:rPr>
          <w:rFonts w:ascii="Arial" w:hAnsi="Arial" w:cs="Arial"/>
          <w:sz w:val="20"/>
          <w:szCs w:val="20"/>
          <w:lang w:val="es-AR"/>
        </w:rPr>
        <w:t xml:space="preserve"> por bbl de petróleo;</w:t>
      </w:r>
    </w:p>
    <w:p w:rsidR="00C77492" w:rsidRDefault="00084355" w:rsidP="00184829">
      <w:pPr>
        <w:pStyle w:val="Prrafodelista"/>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lang w:val="es-AR"/>
        </w:rPr>
      </w:pPr>
      <w:r w:rsidRPr="00717B62">
        <w:rPr>
          <w:rFonts w:ascii="Arial" w:hAnsi="Arial" w:cs="Arial"/>
          <w:sz w:val="20"/>
          <w:szCs w:val="20"/>
          <w:lang w:val="es-AR"/>
        </w:rPr>
        <w:t>Informó un netback operativo de $</w:t>
      </w:r>
      <w:r w:rsidR="001D2FCD">
        <w:rPr>
          <w:rFonts w:ascii="Arial" w:hAnsi="Arial" w:cs="Arial"/>
          <w:sz w:val="20"/>
          <w:szCs w:val="20"/>
          <w:lang w:val="es-AR"/>
        </w:rPr>
        <w:t>3,96</w:t>
      </w:r>
      <w:r w:rsidRPr="00717B62">
        <w:rPr>
          <w:rFonts w:ascii="Arial" w:hAnsi="Arial" w:cs="Arial"/>
          <w:sz w:val="20"/>
          <w:szCs w:val="20"/>
          <w:lang w:val="es-AR"/>
        </w:rPr>
        <w:t xml:space="preserve"> por BOE</w:t>
      </w:r>
      <w:r w:rsidRPr="00717B62">
        <w:rPr>
          <w:rStyle w:val="Refdenotaalpie"/>
          <w:rFonts w:ascii="Arial" w:hAnsi="Arial" w:cs="Arial"/>
          <w:sz w:val="20"/>
          <w:szCs w:val="20"/>
          <w:lang w:val="es-AR"/>
        </w:rPr>
        <w:footnoteReference w:id="2"/>
      </w:r>
      <w:r w:rsidRPr="00717B62">
        <w:rPr>
          <w:rFonts w:ascii="Arial" w:hAnsi="Arial" w:cs="Arial"/>
          <w:sz w:val="20"/>
          <w:szCs w:val="20"/>
          <w:lang w:val="es-AR"/>
        </w:rPr>
        <w:t xml:space="preserve">; </w:t>
      </w:r>
    </w:p>
    <w:p w:rsidR="005B101B" w:rsidRDefault="004C3EED" w:rsidP="00AB646E">
      <w:pPr>
        <w:pStyle w:val="Prrafodelista"/>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lang w:val="es-AR"/>
        </w:rPr>
      </w:pPr>
      <w:r w:rsidRPr="004C3EED">
        <w:rPr>
          <w:rFonts w:ascii="Arial" w:hAnsi="Arial" w:cs="Arial"/>
          <w:sz w:val="20"/>
          <w:szCs w:val="20"/>
          <w:lang w:val="es-AR"/>
        </w:rPr>
        <w:t xml:space="preserve">Obtuvo </w:t>
      </w:r>
      <w:r w:rsidR="00096F6B">
        <w:rPr>
          <w:rFonts w:ascii="Arial" w:hAnsi="Arial" w:cs="Arial"/>
          <w:sz w:val="20"/>
          <w:szCs w:val="20"/>
          <w:lang w:val="es-AR"/>
        </w:rPr>
        <w:t>$</w:t>
      </w:r>
      <w:r w:rsidR="001D2FCD">
        <w:rPr>
          <w:rFonts w:ascii="Arial" w:hAnsi="Arial" w:cs="Arial"/>
          <w:sz w:val="20"/>
          <w:szCs w:val="20"/>
          <w:lang w:val="es-AR"/>
        </w:rPr>
        <w:t>13,9</w:t>
      </w:r>
      <w:r w:rsidR="00096F6B">
        <w:rPr>
          <w:rFonts w:ascii="Arial" w:hAnsi="Arial" w:cs="Arial"/>
          <w:sz w:val="20"/>
          <w:szCs w:val="20"/>
          <w:lang w:val="es-AR"/>
        </w:rPr>
        <w:t xml:space="preserve"> </w:t>
      </w:r>
      <w:r w:rsidRPr="004C3EED">
        <w:rPr>
          <w:rFonts w:ascii="Arial" w:hAnsi="Arial" w:cs="Arial"/>
          <w:sz w:val="20"/>
          <w:szCs w:val="20"/>
          <w:lang w:val="es-AR"/>
        </w:rPr>
        <w:t xml:space="preserve">millones de préstamos para capital de trabajo y </w:t>
      </w:r>
      <w:r w:rsidR="00454132" w:rsidRPr="004C3EED">
        <w:rPr>
          <w:rFonts w:ascii="Arial" w:hAnsi="Arial" w:cs="Arial"/>
          <w:sz w:val="20"/>
          <w:szCs w:val="20"/>
          <w:lang w:val="es-AR"/>
        </w:rPr>
        <w:t>sobregiros</w:t>
      </w:r>
      <w:r w:rsidR="00096F6B">
        <w:rPr>
          <w:rFonts w:ascii="Arial" w:hAnsi="Arial" w:cs="Arial"/>
          <w:sz w:val="20"/>
          <w:szCs w:val="20"/>
          <w:lang w:val="es-AR"/>
        </w:rPr>
        <w:t xml:space="preserve">, emitió </w:t>
      </w:r>
      <w:r w:rsidR="003A442A">
        <w:rPr>
          <w:rFonts w:ascii="Arial" w:hAnsi="Arial" w:cs="Arial"/>
          <w:sz w:val="20"/>
          <w:szCs w:val="20"/>
          <w:lang w:val="es-AR"/>
        </w:rPr>
        <w:t>$</w:t>
      </w:r>
      <w:r w:rsidR="001D2FCD">
        <w:rPr>
          <w:rFonts w:ascii="Arial" w:hAnsi="Arial" w:cs="Arial"/>
          <w:sz w:val="20"/>
          <w:szCs w:val="20"/>
          <w:lang w:val="es-AR"/>
        </w:rPr>
        <w:t xml:space="preserve">22 </w:t>
      </w:r>
      <w:r w:rsidR="003A442A">
        <w:rPr>
          <w:rFonts w:ascii="Arial" w:hAnsi="Arial" w:cs="Arial"/>
          <w:sz w:val="20"/>
          <w:szCs w:val="20"/>
          <w:lang w:val="es-AR"/>
        </w:rPr>
        <w:t xml:space="preserve">millones en valor nominal de Obligaciones Negociables no garantizadas a tasa fija Clase </w:t>
      </w:r>
      <w:r w:rsidR="004813E2">
        <w:rPr>
          <w:rFonts w:ascii="Arial" w:hAnsi="Arial" w:cs="Arial"/>
          <w:sz w:val="20"/>
          <w:szCs w:val="20"/>
          <w:lang w:val="es-AR"/>
        </w:rPr>
        <w:t>V</w:t>
      </w:r>
      <w:r w:rsidR="001D2FCD">
        <w:rPr>
          <w:rFonts w:ascii="Arial" w:hAnsi="Arial" w:cs="Arial"/>
          <w:sz w:val="20"/>
          <w:szCs w:val="20"/>
          <w:lang w:val="es-AR"/>
        </w:rPr>
        <w:t xml:space="preserve">I a pagar y devolvió $5,5 millones de </w:t>
      </w:r>
      <w:r w:rsidR="009D254A">
        <w:rPr>
          <w:rFonts w:ascii="Arial" w:hAnsi="Arial" w:cs="Arial"/>
          <w:sz w:val="20"/>
          <w:szCs w:val="20"/>
          <w:lang w:val="es-AR"/>
        </w:rPr>
        <w:t xml:space="preserve">obligaciones negociables </w:t>
      </w:r>
      <w:r w:rsidR="001D2FCD">
        <w:rPr>
          <w:rFonts w:ascii="Arial" w:hAnsi="Arial" w:cs="Arial"/>
          <w:sz w:val="20"/>
          <w:szCs w:val="20"/>
          <w:lang w:val="es-AR"/>
        </w:rPr>
        <w:t>a pagar y $1,2 millones de préstamos para capital de trabajo y sobregiros</w:t>
      </w:r>
      <w:r w:rsidR="00454132" w:rsidRPr="004C3EED">
        <w:rPr>
          <w:rFonts w:ascii="Arial" w:hAnsi="Arial" w:cs="Arial"/>
          <w:sz w:val="20"/>
          <w:szCs w:val="20"/>
          <w:lang w:val="es-AR"/>
        </w:rPr>
        <w:t>;</w:t>
      </w:r>
    </w:p>
    <w:p w:rsidR="004C3EED" w:rsidRPr="00717B62" w:rsidRDefault="004C3EED" w:rsidP="004C3EED">
      <w:pPr>
        <w:pStyle w:val="Prrafodelista"/>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lang w:val="es-AR"/>
        </w:rPr>
      </w:pPr>
      <w:r w:rsidRPr="00717B62">
        <w:rPr>
          <w:rFonts w:ascii="Arial" w:hAnsi="Arial" w:cs="Arial"/>
          <w:sz w:val="20"/>
          <w:szCs w:val="20"/>
          <w:lang w:val="es-AR"/>
        </w:rPr>
        <w:t>Informó una pérdida antes de impuestos de $</w:t>
      </w:r>
      <w:r w:rsidR="001D2FCD">
        <w:rPr>
          <w:rFonts w:ascii="Arial" w:hAnsi="Arial" w:cs="Arial"/>
          <w:sz w:val="20"/>
          <w:szCs w:val="20"/>
          <w:lang w:val="es-AR"/>
        </w:rPr>
        <w:t>3</w:t>
      </w:r>
      <w:r w:rsidRPr="00717B62">
        <w:rPr>
          <w:rFonts w:ascii="Arial" w:hAnsi="Arial" w:cs="Arial"/>
          <w:sz w:val="20"/>
          <w:szCs w:val="20"/>
          <w:lang w:val="es-AR"/>
        </w:rPr>
        <w:t xml:space="preserve"> millones y una pérdida neta de $</w:t>
      </w:r>
      <w:r w:rsidR="001D2FCD">
        <w:rPr>
          <w:rFonts w:ascii="Arial" w:hAnsi="Arial" w:cs="Arial"/>
          <w:sz w:val="20"/>
          <w:szCs w:val="20"/>
          <w:lang w:val="es-AR"/>
        </w:rPr>
        <w:t>3</w:t>
      </w:r>
      <w:r w:rsidRPr="00717B62">
        <w:rPr>
          <w:rFonts w:ascii="Arial" w:hAnsi="Arial" w:cs="Arial"/>
          <w:sz w:val="20"/>
          <w:szCs w:val="20"/>
          <w:lang w:val="es-AR"/>
        </w:rPr>
        <w:t>,</w:t>
      </w:r>
      <w:r w:rsidR="003A442A">
        <w:rPr>
          <w:rFonts w:ascii="Arial" w:hAnsi="Arial" w:cs="Arial"/>
          <w:sz w:val="20"/>
          <w:szCs w:val="20"/>
          <w:lang w:val="es-AR"/>
        </w:rPr>
        <w:t>1</w:t>
      </w:r>
      <w:r w:rsidRPr="00717B62">
        <w:rPr>
          <w:rFonts w:ascii="Arial" w:hAnsi="Arial" w:cs="Arial"/>
          <w:sz w:val="20"/>
          <w:szCs w:val="20"/>
          <w:lang w:val="es-AR"/>
        </w:rPr>
        <w:t xml:space="preserve"> millones;</w:t>
      </w:r>
    </w:p>
    <w:p w:rsidR="00F53D5F" w:rsidRDefault="00F53D5F" w:rsidP="00184829">
      <w:pPr>
        <w:pStyle w:val="Prrafodelista"/>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lang w:val="es-AR"/>
        </w:rPr>
      </w:pPr>
      <w:r w:rsidRPr="00717B62">
        <w:rPr>
          <w:rFonts w:ascii="Arial" w:hAnsi="Arial" w:cs="Arial"/>
          <w:sz w:val="20"/>
          <w:szCs w:val="20"/>
          <w:lang w:val="es-AR"/>
        </w:rPr>
        <w:t>Informó un déficit de capital de trabajo</w:t>
      </w:r>
      <w:r w:rsidRPr="00717B62">
        <w:rPr>
          <w:rStyle w:val="Refdenotaalpie"/>
          <w:rFonts w:ascii="Arial" w:hAnsi="Arial" w:cs="Arial"/>
          <w:sz w:val="20"/>
          <w:szCs w:val="20"/>
          <w:lang w:val="es-AR"/>
        </w:rPr>
        <w:footnoteReference w:id="3"/>
      </w:r>
      <w:r w:rsidR="00A83BFA" w:rsidRPr="00717B62">
        <w:rPr>
          <w:rFonts w:ascii="Arial" w:hAnsi="Arial" w:cs="Arial"/>
          <w:sz w:val="20"/>
          <w:szCs w:val="20"/>
          <w:lang w:val="es-AR"/>
        </w:rPr>
        <w:t xml:space="preserve"> </w:t>
      </w:r>
      <w:r w:rsidRPr="00717B62">
        <w:rPr>
          <w:rFonts w:ascii="Arial" w:hAnsi="Arial" w:cs="Arial"/>
          <w:sz w:val="20"/>
          <w:szCs w:val="20"/>
          <w:lang w:val="es-AR"/>
        </w:rPr>
        <w:t>de $</w:t>
      </w:r>
      <w:r w:rsidR="001D2FCD">
        <w:rPr>
          <w:rFonts w:ascii="Arial" w:hAnsi="Arial" w:cs="Arial"/>
          <w:sz w:val="20"/>
          <w:szCs w:val="20"/>
          <w:lang w:val="es-AR"/>
        </w:rPr>
        <w:t>28</w:t>
      </w:r>
      <w:r w:rsidR="00CE49A0">
        <w:rPr>
          <w:rFonts w:ascii="Arial" w:hAnsi="Arial" w:cs="Arial"/>
          <w:sz w:val="20"/>
          <w:szCs w:val="20"/>
          <w:lang w:val="es-AR"/>
        </w:rPr>
        <w:t>,</w:t>
      </w:r>
      <w:r w:rsidR="003A442A">
        <w:rPr>
          <w:rFonts w:ascii="Arial" w:hAnsi="Arial" w:cs="Arial"/>
          <w:sz w:val="20"/>
          <w:szCs w:val="20"/>
          <w:lang w:val="es-AR"/>
        </w:rPr>
        <w:t>8</w:t>
      </w:r>
      <w:r w:rsidRPr="00717B62">
        <w:rPr>
          <w:rFonts w:ascii="Arial" w:hAnsi="Arial" w:cs="Arial"/>
          <w:sz w:val="20"/>
          <w:szCs w:val="20"/>
          <w:lang w:val="es-AR"/>
        </w:rPr>
        <w:t xml:space="preserve"> millones</w:t>
      </w:r>
      <w:r w:rsidR="001D2FCD">
        <w:rPr>
          <w:rFonts w:ascii="Arial" w:hAnsi="Arial" w:cs="Arial"/>
          <w:sz w:val="20"/>
          <w:szCs w:val="20"/>
          <w:lang w:val="es-AR"/>
        </w:rPr>
        <w:t xml:space="preserve">; </w:t>
      </w:r>
    </w:p>
    <w:p w:rsidR="001D2FCD" w:rsidRDefault="001D2FCD" w:rsidP="00184829">
      <w:pPr>
        <w:pStyle w:val="Prrafodelista"/>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lang w:val="es-AR"/>
        </w:rPr>
      </w:pPr>
      <w:r>
        <w:rPr>
          <w:rFonts w:ascii="Arial" w:hAnsi="Arial" w:cs="Arial"/>
          <w:sz w:val="20"/>
          <w:szCs w:val="20"/>
          <w:lang w:val="es-AR"/>
        </w:rPr>
        <w:t>Consumó la adquisición de una participación operativa del 100% en las concesiones de explotación de hidrocarburos Piedra Clavada y Koluel Kaike (las “Concesiones de Santa Cruz”) de Pan American Energy S.L.</w:t>
      </w:r>
      <w:r w:rsidR="000D3DC7">
        <w:rPr>
          <w:rFonts w:ascii="Arial" w:hAnsi="Arial" w:cs="Arial"/>
          <w:sz w:val="20"/>
          <w:szCs w:val="20"/>
          <w:lang w:val="es-AR"/>
        </w:rPr>
        <w:t>,</w:t>
      </w:r>
      <w:r>
        <w:rPr>
          <w:rFonts w:ascii="Arial" w:hAnsi="Arial" w:cs="Arial"/>
          <w:sz w:val="20"/>
          <w:szCs w:val="20"/>
          <w:lang w:val="es-AR"/>
        </w:rPr>
        <w:t xml:space="preserve"> Sucursal Argentina por $25,8 millones en pagos en efectivo más una contraprestación contingente en especie pagadera a lo largo de un período de 14 años; y</w:t>
      </w:r>
    </w:p>
    <w:p w:rsidR="001D2FCD" w:rsidRPr="00717B62" w:rsidRDefault="001D2FCD" w:rsidP="00184829">
      <w:pPr>
        <w:pStyle w:val="Prrafodelista"/>
        <w:widowControl w:val="0"/>
        <w:numPr>
          <w:ilvl w:val="0"/>
          <w:numId w:val="43"/>
        </w:numPr>
        <w:autoSpaceDE w:val="0"/>
        <w:autoSpaceDN w:val="0"/>
        <w:adjustRightInd w:val="0"/>
        <w:spacing w:before="60" w:line="240" w:lineRule="atLeast"/>
        <w:ind w:left="548" w:hanging="274"/>
        <w:contextualSpacing w:val="0"/>
        <w:jc w:val="both"/>
        <w:rPr>
          <w:rFonts w:ascii="Arial" w:hAnsi="Arial" w:cs="Arial"/>
          <w:sz w:val="20"/>
          <w:szCs w:val="20"/>
          <w:lang w:val="es-AR"/>
        </w:rPr>
      </w:pPr>
      <w:r>
        <w:rPr>
          <w:rFonts w:ascii="Arial" w:hAnsi="Arial" w:cs="Arial"/>
          <w:sz w:val="20"/>
          <w:szCs w:val="20"/>
          <w:lang w:val="es-AR"/>
        </w:rPr>
        <w:t xml:space="preserve">Consumó la adquisición de una participación no operativa del 13,5926% en las Concesiones de </w:t>
      </w:r>
      <w:r w:rsidR="00285B22">
        <w:rPr>
          <w:rFonts w:ascii="Arial" w:hAnsi="Arial" w:cs="Arial"/>
          <w:sz w:val="20"/>
          <w:szCs w:val="20"/>
          <w:lang w:val="es-AR"/>
        </w:rPr>
        <w:t>TDF</w:t>
      </w:r>
      <w:r>
        <w:rPr>
          <w:rFonts w:ascii="Arial" w:hAnsi="Arial" w:cs="Arial"/>
          <w:sz w:val="20"/>
          <w:szCs w:val="20"/>
          <w:lang w:val="es-AR"/>
        </w:rPr>
        <w:t xml:space="preserve"> (conforme se definen más adelante) de una parte </w:t>
      </w:r>
      <w:r w:rsidR="000D3DC7">
        <w:rPr>
          <w:rFonts w:ascii="Arial" w:hAnsi="Arial" w:cs="Arial"/>
          <w:sz w:val="20"/>
          <w:szCs w:val="20"/>
          <w:lang w:val="es-AR"/>
        </w:rPr>
        <w:t>independiente</w:t>
      </w:r>
      <w:r>
        <w:rPr>
          <w:rFonts w:ascii="Arial" w:hAnsi="Arial" w:cs="Arial"/>
          <w:sz w:val="20"/>
          <w:szCs w:val="20"/>
          <w:lang w:val="es-AR"/>
        </w:rPr>
        <w:t xml:space="preserve"> por $0,8 millones en pagos en efectivo.</w:t>
      </w:r>
    </w:p>
    <w:p w:rsidR="00351B1F" w:rsidRPr="00717B62" w:rsidRDefault="00351B1F" w:rsidP="006B42DD">
      <w:pPr>
        <w:rPr>
          <w:rFonts w:ascii="Arial" w:hAnsi="Arial" w:cs="Arial"/>
          <w:b/>
          <w:bCs/>
          <w:caps/>
          <w:color w:val="000000"/>
          <w:sz w:val="20"/>
          <w:szCs w:val="20"/>
          <w:lang w:val="es-AR"/>
        </w:rPr>
      </w:pPr>
    </w:p>
    <w:p w:rsidR="00CE49A0" w:rsidRDefault="00CE49A0" w:rsidP="008100FA">
      <w:pPr>
        <w:widowControl w:val="0"/>
        <w:rPr>
          <w:rFonts w:ascii="Arial" w:hAnsi="Arial" w:cs="Arial"/>
          <w:b/>
          <w:bCs/>
          <w:caps/>
          <w:color w:val="000000"/>
          <w:sz w:val="20"/>
          <w:szCs w:val="20"/>
          <w:lang w:val="es-AR"/>
        </w:rPr>
      </w:pPr>
      <w:r>
        <w:rPr>
          <w:rFonts w:ascii="Arial" w:hAnsi="Arial" w:cs="Arial"/>
          <w:b/>
          <w:bCs/>
          <w:caps/>
          <w:color w:val="000000"/>
          <w:sz w:val="20"/>
          <w:szCs w:val="20"/>
          <w:lang w:val="es-AR"/>
        </w:rPr>
        <w:t>HECHOS POSTERIORES</w:t>
      </w:r>
    </w:p>
    <w:p w:rsidR="00CE49A0" w:rsidRDefault="00CE49A0" w:rsidP="00FA3281">
      <w:pPr>
        <w:widowControl w:val="0"/>
        <w:spacing w:before="120"/>
        <w:rPr>
          <w:rFonts w:ascii="Arial" w:hAnsi="Arial" w:cs="Arial"/>
          <w:sz w:val="20"/>
          <w:szCs w:val="20"/>
          <w:lang w:val="es-AR"/>
        </w:rPr>
      </w:pPr>
      <w:r>
        <w:rPr>
          <w:rFonts w:ascii="Arial" w:hAnsi="Arial" w:cs="Arial"/>
          <w:sz w:val="20"/>
          <w:szCs w:val="20"/>
          <w:lang w:val="es-AR"/>
        </w:rPr>
        <w:t>Con po</w:t>
      </w:r>
      <w:r w:rsidR="00FA3281">
        <w:rPr>
          <w:rFonts w:ascii="Arial" w:hAnsi="Arial" w:cs="Arial"/>
          <w:sz w:val="20"/>
          <w:szCs w:val="20"/>
          <w:lang w:val="es-AR"/>
        </w:rPr>
        <w:t>s</w:t>
      </w:r>
      <w:r>
        <w:rPr>
          <w:rFonts w:ascii="Arial" w:hAnsi="Arial" w:cs="Arial"/>
          <w:sz w:val="20"/>
          <w:szCs w:val="20"/>
          <w:lang w:val="es-AR"/>
        </w:rPr>
        <w:t>terioridad al 31 de diciembre</w:t>
      </w:r>
      <w:r w:rsidR="003A442A">
        <w:rPr>
          <w:rFonts w:ascii="Arial" w:hAnsi="Arial" w:cs="Arial"/>
          <w:sz w:val="20"/>
          <w:szCs w:val="20"/>
          <w:lang w:val="es-AR"/>
        </w:rPr>
        <w:t xml:space="preserve"> de </w:t>
      </w:r>
      <w:r w:rsidR="001D2FCD">
        <w:rPr>
          <w:rFonts w:ascii="Arial" w:hAnsi="Arial" w:cs="Arial"/>
          <w:sz w:val="20"/>
          <w:szCs w:val="20"/>
          <w:lang w:val="es-AR"/>
        </w:rPr>
        <w:t>2024</w:t>
      </w:r>
      <w:r>
        <w:rPr>
          <w:rFonts w:ascii="Arial" w:hAnsi="Arial" w:cs="Arial"/>
          <w:sz w:val="20"/>
          <w:szCs w:val="20"/>
          <w:lang w:val="es-AR"/>
        </w:rPr>
        <w:t>, la Compañía:</w:t>
      </w:r>
    </w:p>
    <w:p w:rsidR="00394995" w:rsidRDefault="00CE49A0" w:rsidP="004813E2">
      <w:pPr>
        <w:pStyle w:val="Prrafodelista"/>
        <w:widowControl w:val="0"/>
        <w:numPr>
          <w:ilvl w:val="0"/>
          <w:numId w:val="43"/>
        </w:numPr>
        <w:autoSpaceDE w:val="0"/>
        <w:autoSpaceDN w:val="0"/>
        <w:adjustRightInd w:val="0"/>
        <w:spacing w:before="60" w:after="120" w:line="240" w:lineRule="atLeast"/>
        <w:ind w:left="548" w:hanging="274"/>
        <w:contextualSpacing w:val="0"/>
        <w:jc w:val="both"/>
        <w:rPr>
          <w:rFonts w:ascii="Arial" w:hAnsi="Arial" w:cs="Arial"/>
          <w:sz w:val="20"/>
          <w:szCs w:val="20"/>
          <w:lang w:val="es-AR"/>
        </w:rPr>
      </w:pPr>
      <w:r w:rsidRPr="003A442A">
        <w:rPr>
          <w:rFonts w:ascii="Arial" w:hAnsi="Arial" w:cs="Arial"/>
          <w:sz w:val="20"/>
          <w:szCs w:val="20"/>
          <w:lang w:val="es-AR"/>
        </w:rPr>
        <w:t xml:space="preserve">Obtuvo </w:t>
      </w:r>
      <w:r w:rsidR="003A442A" w:rsidRPr="003A442A">
        <w:rPr>
          <w:rFonts w:ascii="Arial" w:hAnsi="Arial" w:cs="Arial"/>
          <w:sz w:val="20"/>
          <w:szCs w:val="20"/>
          <w:lang w:val="es-AR"/>
        </w:rPr>
        <w:t>$</w:t>
      </w:r>
      <w:r w:rsidR="00285B22">
        <w:rPr>
          <w:rFonts w:ascii="Arial" w:hAnsi="Arial" w:cs="Arial"/>
          <w:sz w:val="20"/>
          <w:szCs w:val="20"/>
          <w:lang w:val="es-AR"/>
        </w:rPr>
        <w:t>6,06</w:t>
      </w:r>
      <w:r w:rsidR="003A442A" w:rsidRPr="003A442A">
        <w:rPr>
          <w:rFonts w:ascii="Arial" w:hAnsi="Arial" w:cs="Arial"/>
          <w:sz w:val="20"/>
          <w:szCs w:val="20"/>
          <w:lang w:val="es-AR"/>
        </w:rPr>
        <w:t xml:space="preserve"> millones en préstamos para </w:t>
      </w:r>
      <w:r w:rsidRPr="003A442A">
        <w:rPr>
          <w:rFonts w:ascii="Arial" w:hAnsi="Arial" w:cs="Arial"/>
          <w:sz w:val="20"/>
          <w:szCs w:val="20"/>
          <w:lang w:val="es-AR"/>
        </w:rPr>
        <w:t xml:space="preserve">capital de </w:t>
      </w:r>
      <w:r w:rsidR="00285B22" w:rsidRPr="003A442A">
        <w:rPr>
          <w:rFonts w:ascii="Arial" w:hAnsi="Arial" w:cs="Arial"/>
          <w:sz w:val="20"/>
          <w:szCs w:val="20"/>
          <w:lang w:val="es-AR"/>
        </w:rPr>
        <w:t>trabajo</w:t>
      </w:r>
      <w:r w:rsidR="000D3DC7">
        <w:rPr>
          <w:rFonts w:ascii="Arial" w:hAnsi="Arial" w:cs="Arial"/>
          <w:sz w:val="20"/>
          <w:szCs w:val="20"/>
          <w:lang w:val="es-AR"/>
        </w:rPr>
        <w:t xml:space="preserve"> y sobregiros; </w:t>
      </w:r>
      <w:r w:rsidR="00285B22">
        <w:rPr>
          <w:rFonts w:ascii="Arial" w:hAnsi="Arial" w:cs="Arial"/>
          <w:sz w:val="20"/>
          <w:szCs w:val="20"/>
          <w:lang w:val="es-AR"/>
        </w:rPr>
        <w:t>devolvió $4,14 millones</w:t>
      </w:r>
      <w:r w:rsidR="000D3DC7">
        <w:rPr>
          <w:rFonts w:ascii="Arial" w:hAnsi="Arial" w:cs="Arial"/>
          <w:sz w:val="20"/>
          <w:szCs w:val="20"/>
          <w:lang w:val="es-AR"/>
        </w:rPr>
        <w:t xml:space="preserve"> de</w:t>
      </w:r>
      <w:r w:rsidR="00285B22">
        <w:rPr>
          <w:rFonts w:ascii="Arial" w:hAnsi="Arial" w:cs="Arial"/>
          <w:sz w:val="20"/>
          <w:szCs w:val="20"/>
          <w:lang w:val="es-AR"/>
        </w:rPr>
        <w:t xml:space="preserve"> </w:t>
      </w:r>
      <w:r w:rsidR="00285B22">
        <w:rPr>
          <w:rFonts w:ascii="Arial" w:hAnsi="Arial" w:cs="Arial"/>
          <w:sz w:val="20"/>
          <w:szCs w:val="20"/>
          <w:lang w:val="es-AR"/>
        </w:rPr>
        <w:lastRenderedPageBreak/>
        <w:t>préstamos para capital de trabajo y renovó un préstamo por $1 millón</w:t>
      </w:r>
      <w:r w:rsidR="00394995">
        <w:rPr>
          <w:rFonts w:ascii="Arial" w:hAnsi="Arial" w:cs="Arial"/>
          <w:sz w:val="20"/>
          <w:szCs w:val="20"/>
          <w:lang w:val="es-AR"/>
        </w:rPr>
        <w:t>.</w:t>
      </w:r>
    </w:p>
    <w:p w:rsidR="00394995" w:rsidRDefault="00394995" w:rsidP="004813E2">
      <w:pPr>
        <w:pStyle w:val="Prrafodelista"/>
        <w:widowControl w:val="0"/>
        <w:numPr>
          <w:ilvl w:val="0"/>
          <w:numId w:val="43"/>
        </w:numPr>
        <w:autoSpaceDE w:val="0"/>
        <w:autoSpaceDN w:val="0"/>
        <w:adjustRightInd w:val="0"/>
        <w:spacing w:before="60" w:after="120" w:line="240" w:lineRule="atLeast"/>
        <w:ind w:left="548" w:hanging="274"/>
        <w:contextualSpacing w:val="0"/>
        <w:jc w:val="both"/>
        <w:rPr>
          <w:rFonts w:ascii="Arial" w:hAnsi="Arial" w:cs="Arial"/>
          <w:sz w:val="20"/>
          <w:szCs w:val="20"/>
          <w:lang w:val="es-AR"/>
        </w:rPr>
      </w:pPr>
      <w:r>
        <w:rPr>
          <w:rFonts w:ascii="Arial" w:hAnsi="Arial" w:cs="Arial"/>
          <w:sz w:val="20"/>
          <w:szCs w:val="20"/>
          <w:lang w:val="es-AR"/>
        </w:rPr>
        <w:t>Pagó $</w:t>
      </w:r>
      <w:r w:rsidR="00285B22">
        <w:rPr>
          <w:rFonts w:ascii="Arial" w:hAnsi="Arial" w:cs="Arial"/>
          <w:sz w:val="20"/>
          <w:szCs w:val="20"/>
          <w:lang w:val="es-AR"/>
        </w:rPr>
        <w:t>5,5</w:t>
      </w:r>
      <w:r>
        <w:rPr>
          <w:rFonts w:ascii="Arial" w:hAnsi="Arial" w:cs="Arial"/>
          <w:sz w:val="20"/>
          <w:szCs w:val="20"/>
          <w:lang w:val="es-AR"/>
        </w:rPr>
        <w:t xml:space="preserve"> millones </w:t>
      </w:r>
      <w:r w:rsidR="00285B22">
        <w:rPr>
          <w:rFonts w:ascii="Arial" w:hAnsi="Arial" w:cs="Arial"/>
          <w:sz w:val="20"/>
          <w:szCs w:val="20"/>
          <w:lang w:val="es-AR"/>
        </w:rPr>
        <w:t xml:space="preserve">de cuotas de capital </w:t>
      </w:r>
      <w:r>
        <w:rPr>
          <w:rFonts w:ascii="Arial" w:hAnsi="Arial" w:cs="Arial"/>
          <w:sz w:val="20"/>
          <w:szCs w:val="20"/>
          <w:lang w:val="es-AR"/>
        </w:rPr>
        <w:t>de las Obligaciones Negociables Clase III</w:t>
      </w:r>
      <w:r w:rsidR="00285B22">
        <w:rPr>
          <w:rFonts w:ascii="Arial" w:hAnsi="Arial" w:cs="Arial"/>
          <w:sz w:val="20"/>
          <w:szCs w:val="20"/>
          <w:lang w:val="es-AR"/>
        </w:rPr>
        <w:t xml:space="preserve"> y IV.</w:t>
      </w:r>
    </w:p>
    <w:p w:rsidR="004813E2" w:rsidRPr="004A162B" w:rsidRDefault="004813E2" w:rsidP="004A162B">
      <w:pPr>
        <w:pStyle w:val="Prrafodelista"/>
        <w:widowControl w:val="0"/>
        <w:autoSpaceDE w:val="0"/>
        <w:autoSpaceDN w:val="0"/>
        <w:adjustRightInd w:val="0"/>
        <w:spacing w:before="60" w:line="240" w:lineRule="atLeast"/>
        <w:ind w:left="548"/>
        <w:contextualSpacing w:val="0"/>
        <w:jc w:val="both"/>
        <w:rPr>
          <w:rFonts w:ascii="Arial" w:hAnsi="Arial" w:cs="Arial"/>
          <w:sz w:val="20"/>
          <w:szCs w:val="20"/>
          <w:lang w:val="es-AR"/>
        </w:rPr>
      </w:pPr>
    </w:p>
    <w:p w:rsidR="00FB09DF" w:rsidRPr="00717B62" w:rsidRDefault="008A75ED" w:rsidP="008100FA">
      <w:pPr>
        <w:widowControl w:val="0"/>
        <w:rPr>
          <w:rFonts w:ascii="Arial" w:hAnsi="Arial" w:cs="Arial"/>
          <w:b/>
          <w:bCs/>
          <w:caps/>
          <w:color w:val="000000"/>
          <w:sz w:val="20"/>
          <w:szCs w:val="20"/>
          <w:lang w:val="es-AR"/>
        </w:rPr>
      </w:pPr>
      <w:r w:rsidRPr="00717B62">
        <w:rPr>
          <w:rFonts w:ascii="Arial" w:hAnsi="Arial" w:cs="Arial"/>
          <w:b/>
          <w:bCs/>
          <w:caps/>
          <w:color w:val="000000"/>
          <w:sz w:val="20"/>
          <w:szCs w:val="20"/>
          <w:lang w:val="es-AR"/>
        </w:rPr>
        <w:t>Reseña Operativa</w:t>
      </w:r>
    </w:p>
    <w:p w:rsidR="00285B22" w:rsidRDefault="00285B22" w:rsidP="008100FA">
      <w:pPr>
        <w:widowControl w:val="0"/>
        <w:spacing w:before="120" w:line="240" w:lineRule="atLeast"/>
        <w:jc w:val="both"/>
        <w:rPr>
          <w:rFonts w:ascii="Arial" w:hAnsi="Arial" w:cs="Arial"/>
          <w:b/>
          <w:bCs/>
          <w:sz w:val="20"/>
          <w:szCs w:val="20"/>
          <w:lang w:val="es-AR"/>
        </w:rPr>
      </w:pPr>
      <w:r>
        <w:rPr>
          <w:rFonts w:ascii="Arial" w:hAnsi="Arial" w:cs="Arial"/>
          <w:b/>
          <w:bCs/>
          <w:sz w:val="20"/>
          <w:szCs w:val="20"/>
          <w:lang w:val="es-AR"/>
        </w:rPr>
        <w:t>Concesiones de Santa Cruz</w:t>
      </w:r>
    </w:p>
    <w:p w:rsidR="00285B22" w:rsidRPr="00285B22" w:rsidRDefault="00285B22" w:rsidP="008100FA">
      <w:pPr>
        <w:widowControl w:val="0"/>
        <w:spacing w:before="120" w:line="240" w:lineRule="atLeast"/>
        <w:jc w:val="both"/>
        <w:rPr>
          <w:rFonts w:ascii="Arial" w:hAnsi="Arial" w:cs="Arial"/>
          <w:bCs/>
          <w:sz w:val="20"/>
          <w:szCs w:val="20"/>
          <w:lang w:val="es-AR"/>
        </w:rPr>
      </w:pPr>
      <w:r>
        <w:rPr>
          <w:rFonts w:ascii="Arial" w:hAnsi="Arial" w:cs="Arial"/>
          <w:bCs/>
          <w:sz w:val="20"/>
          <w:szCs w:val="20"/>
          <w:lang w:val="es-AR"/>
        </w:rPr>
        <w:t>Durante el 4</w:t>
      </w:r>
      <w:r w:rsidR="000D3DC7">
        <w:rPr>
          <w:rFonts w:ascii="Arial" w:hAnsi="Arial" w:cs="Arial"/>
          <w:bCs/>
          <w:sz w:val="20"/>
          <w:szCs w:val="20"/>
          <w:lang w:val="es-AR"/>
        </w:rPr>
        <w:t>º</w:t>
      </w:r>
      <w:r>
        <w:rPr>
          <w:rFonts w:ascii="Arial" w:hAnsi="Arial" w:cs="Arial"/>
          <w:bCs/>
          <w:sz w:val="20"/>
          <w:szCs w:val="20"/>
          <w:lang w:val="es-AR"/>
        </w:rPr>
        <w:t xml:space="preserve"> trimestre de 2024, la producción de petróleo en la Concesión Piedra Clavada fue en promedio de 2.043 bbls </w:t>
      </w:r>
      <w:r w:rsidR="000D3DC7">
        <w:rPr>
          <w:rFonts w:ascii="Arial" w:hAnsi="Arial" w:cs="Arial"/>
          <w:bCs/>
          <w:sz w:val="20"/>
          <w:szCs w:val="20"/>
          <w:lang w:val="es-AR"/>
        </w:rPr>
        <w:t xml:space="preserve">de petróleo </w:t>
      </w:r>
      <w:r>
        <w:rPr>
          <w:rFonts w:ascii="Arial" w:hAnsi="Arial" w:cs="Arial"/>
          <w:bCs/>
          <w:sz w:val="20"/>
          <w:szCs w:val="20"/>
          <w:lang w:val="es-AR"/>
        </w:rPr>
        <w:t xml:space="preserve">por día y la producción de petróleo de la concesión Kaike fue en promedio de 1.187 bbls </w:t>
      </w:r>
      <w:r w:rsidR="000D3DC7">
        <w:rPr>
          <w:rFonts w:ascii="Arial" w:hAnsi="Arial" w:cs="Arial"/>
          <w:bCs/>
          <w:sz w:val="20"/>
          <w:szCs w:val="20"/>
          <w:lang w:val="es-AR"/>
        </w:rPr>
        <w:t xml:space="preserve">de petróleo </w:t>
      </w:r>
      <w:r>
        <w:rPr>
          <w:rFonts w:ascii="Arial" w:hAnsi="Arial" w:cs="Arial"/>
          <w:bCs/>
          <w:sz w:val="20"/>
          <w:szCs w:val="20"/>
          <w:lang w:val="es-AR"/>
        </w:rPr>
        <w:t>por día.</w:t>
      </w:r>
    </w:p>
    <w:p w:rsidR="00FB09DF" w:rsidRPr="00717B62" w:rsidRDefault="00FB09DF" w:rsidP="008100FA">
      <w:pPr>
        <w:widowControl w:val="0"/>
        <w:spacing w:before="120" w:line="240" w:lineRule="atLeast"/>
        <w:jc w:val="both"/>
        <w:rPr>
          <w:rFonts w:ascii="Arial" w:hAnsi="Arial" w:cs="Arial"/>
          <w:b/>
          <w:sz w:val="20"/>
          <w:szCs w:val="20"/>
          <w:lang w:val="es-AR"/>
        </w:rPr>
      </w:pPr>
      <w:r w:rsidRPr="00717B62">
        <w:rPr>
          <w:rFonts w:ascii="Arial" w:hAnsi="Arial" w:cs="Arial"/>
          <w:b/>
          <w:bCs/>
          <w:sz w:val="20"/>
          <w:szCs w:val="20"/>
          <w:lang w:val="es-AR"/>
        </w:rPr>
        <w:t>Concesi</w:t>
      </w:r>
      <w:r w:rsidR="00285B22">
        <w:rPr>
          <w:rFonts w:ascii="Arial" w:hAnsi="Arial" w:cs="Arial"/>
          <w:b/>
          <w:bCs/>
          <w:sz w:val="20"/>
          <w:szCs w:val="20"/>
          <w:lang w:val="es-AR"/>
        </w:rPr>
        <w:t>ones</w:t>
      </w:r>
      <w:r w:rsidRPr="00717B62">
        <w:rPr>
          <w:rFonts w:ascii="Arial" w:hAnsi="Arial" w:cs="Arial"/>
          <w:b/>
          <w:bCs/>
          <w:sz w:val="20"/>
          <w:szCs w:val="20"/>
          <w:lang w:val="es-AR"/>
        </w:rPr>
        <w:t xml:space="preserve"> de Tierra del Fuego (“TDF”</w:t>
      </w:r>
      <w:r w:rsidR="00CE49A0">
        <w:rPr>
          <w:rFonts w:ascii="Arial" w:hAnsi="Arial" w:cs="Arial"/>
          <w:b/>
          <w:bCs/>
          <w:sz w:val="20"/>
          <w:szCs w:val="20"/>
          <w:lang w:val="es-AR"/>
        </w:rPr>
        <w:t xml:space="preserve"> o las “Concesiones de TDF”</w:t>
      </w:r>
      <w:r w:rsidRPr="00717B62">
        <w:rPr>
          <w:rFonts w:ascii="Arial" w:hAnsi="Arial" w:cs="Arial"/>
          <w:b/>
          <w:bCs/>
          <w:sz w:val="20"/>
          <w:szCs w:val="20"/>
          <w:lang w:val="es-AR"/>
        </w:rPr>
        <w:t>)</w:t>
      </w:r>
    </w:p>
    <w:p w:rsidR="007C3AF5" w:rsidRPr="000D3DC7" w:rsidRDefault="00320949" w:rsidP="000D3DC7">
      <w:pPr>
        <w:spacing w:before="120" w:line="240" w:lineRule="atLeast"/>
        <w:jc w:val="both"/>
        <w:rPr>
          <w:rFonts w:ascii="Arial" w:hAnsi="Arial" w:cs="Arial"/>
          <w:sz w:val="20"/>
          <w:szCs w:val="20"/>
          <w:lang w:val="es-AR"/>
        </w:rPr>
      </w:pPr>
      <w:r w:rsidRPr="000D3DC7">
        <w:rPr>
          <w:rFonts w:ascii="Arial" w:hAnsi="Arial" w:cs="Arial"/>
          <w:sz w:val="20"/>
          <w:szCs w:val="20"/>
          <w:lang w:val="es-AR"/>
        </w:rPr>
        <w:t xml:space="preserve">Durante el </w:t>
      </w:r>
      <w:r w:rsidR="00EF02BB" w:rsidRPr="000D3DC7">
        <w:rPr>
          <w:rFonts w:ascii="Arial" w:hAnsi="Arial" w:cs="Arial"/>
          <w:sz w:val="20"/>
          <w:szCs w:val="20"/>
          <w:lang w:val="es-AR"/>
        </w:rPr>
        <w:t>4</w:t>
      </w:r>
      <w:r w:rsidRPr="000D3DC7">
        <w:rPr>
          <w:rFonts w:ascii="Arial" w:hAnsi="Arial" w:cs="Arial"/>
          <w:sz w:val="20"/>
          <w:szCs w:val="20"/>
          <w:lang w:val="es-AR"/>
        </w:rPr>
        <w:t xml:space="preserve">° trimestre de </w:t>
      </w:r>
      <w:r w:rsidR="00285B22" w:rsidRPr="000D3DC7">
        <w:rPr>
          <w:rFonts w:ascii="Arial" w:hAnsi="Arial" w:cs="Arial"/>
          <w:sz w:val="20"/>
          <w:szCs w:val="20"/>
          <w:lang w:val="es-AR"/>
        </w:rPr>
        <w:t>2024</w:t>
      </w:r>
      <w:r w:rsidRPr="000D3DC7">
        <w:rPr>
          <w:rFonts w:ascii="Arial" w:hAnsi="Arial" w:cs="Arial"/>
          <w:sz w:val="20"/>
          <w:szCs w:val="20"/>
          <w:lang w:val="es-AR"/>
        </w:rPr>
        <w:t xml:space="preserve">, la producción de petróleo en San Martín fue en promedio de </w:t>
      </w:r>
      <w:r w:rsidR="00285B22" w:rsidRPr="000D3DC7">
        <w:rPr>
          <w:rFonts w:ascii="Arial" w:hAnsi="Arial" w:cs="Arial"/>
          <w:sz w:val="20"/>
          <w:szCs w:val="20"/>
          <w:lang w:val="es-AR"/>
        </w:rPr>
        <w:t xml:space="preserve">464 </w:t>
      </w:r>
      <w:r w:rsidR="00A83BFA" w:rsidRPr="000D3DC7">
        <w:rPr>
          <w:rFonts w:ascii="Arial" w:hAnsi="Arial" w:cs="Arial"/>
          <w:sz w:val="20"/>
          <w:szCs w:val="20"/>
          <w:lang w:val="es-AR"/>
        </w:rPr>
        <w:t xml:space="preserve">bbls </w:t>
      </w:r>
      <w:r w:rsidRPr="000D3DC7">
        <w:rPr>
          <w:rFonts w:ascii="Arial" w:hAnsi="Arial" w:cs="Arial"/>
          <w:sz w:val="20"/>
          <w:szCs w:val="20"/>
          <w:lang w:val="es-AR"/>
        </w:rPr>
        <w:t>(</w:t>
      </w:r>
      <w:r w:rsidR="00285B22" w:rsidRPr="000D3DC7">
        <w:rPr>
          <w:rFonts w:ascii="Arial" w:hAnsi="Arial" w:cs="Arial"/>
          <w:sz w:val="20"/>
          <w:szCs w:val="20"/>
          <w:lang w:val="es-AR"/>
        </w:rPr>
        <w:t xml:space="preserve">224 </w:t>
      </w:r>
      <w:r w:rsidR="00B06234" w:rsidRPr="000D3DC7">
        <w:rPr>
          <w:rFonts w:ascii="Arial" w:hAnsi="Arial" w:cs="Arial"/>
          <w:sz w:val="20"/>
          <w:szCs w:val="20"/>
          <w:lang w:val="es-AR"/>
        </w:rPr>
        <w:t xml:space="preserve">bbls </w:t>
      </w:r>
      <w:r w:rsidR="00A83BFA" w:rsidRPr="000D3DC7">
        <w:rPr>
          <w:rFonts w:ascii="Arial" w:hAnsi="Arial" w:cs="Arial"/>
          <w:sz w:val="20"/>
          <w:szCs w:val="20"/>
          <w:lang w:val="es-AR"/>
        </w:rPr>
        <w:t>netos</w:t>
      </w:r>
      <w:r w:rsidRPr="000D3DC7">
        <w:rPr>
          <w:rFonts w:ascii="Arial" w:hAnsi="Arial" w:cs="Arial"/>
          <w:sz w:val="20"/>
          <w:szCs w:val="20"/>
          <w:lang w:val="es-AR"/>
        </w:rPr>
        <w:t>) por día</w:t>
      </w:r>
      <w:r w:rsidR="00EF02BB" w:rsidRPr="000D3DC7">
        <w:rPr>
          <w:rFonts w:ascii="Arial" w:hAnsi="Arial" w:cs="Arial"/>
          <w:sz w:val="20"/>
          <w:szCs w:val="20"/>
          <w:lang w:val="es-AR"/>
        </w:rPr>
        <w:t xml:space="preserve"> </w:t>
      </w:r>
      <w:r w:rsidR="00FA3281" w:rsidRPr="000D3DC7">
        <w:rPr>
          <w:rFonts w:ascii="Arial" w:hAnsi="Arial" w:cs="Arial"/>
          <w:sz w:val="20"/>
          <w:szCs w:val="20"/>
          <w:lang w:val="es-AR"/>
        </w:rPr>
        <w:t>de petróleo</w:t>
      </w:r>
      <w:r w:rsidR="00285B22" w:rsidRPr="000D3DC7">
        <w:rPr>
          <w:rFonts w:ascii="Arial" w:hAnsi="Arial" w:cs="Arial"/>
          <w:sz w:val="20"/>
          <w:szCs w:val="20"/>
          <w:lang w:val="es-AR"/>
        </w:rPr>
        <w:t>. La producción de gas natural de la concesión</w:t>
      </w:r>
      <w:r w:rsidR="00AB454D" w:rsidRPr="000D3DC7">
        <w:rPr>
          <w:rFonts w:ascii="Arial" w:hAnsi="Arial" w:cs="Arial"/>
          <w:sz w:val="20"/>
          <w:szCs w:val="20"/>
          <w:lang w:val="es-AR"/>
        </w:rPr>
        <w:t xml:space="preserve"> Las Violetas fue en promedio de </w:t>
      </w:r>
      <w:r w:rsidR="00285B22" w:rsidRPr="000D3DC7">
        <w:rPr>
          <w:rFonts w:ascii="Arial" w:hAnsi="Arial" w:cs="Arial"/>
          <w:sz w:val="20"/>
          <w:szCs w:val="20"/>
          <w:lang w:val="es-AR"/>
        </w:rPr>
        <w:t>8.290</w:t>
      </w:r>
      <w:r w:rsidR="00AB454D" w:rsidRPr="000D3DC7">
        <w:rPr>
          <w:rFonts w:ascii="Arial" w:hAnsi="Arial" w:cs="Arial"/>
          <w:sz w:val="20"/>
          <w:szCs w:val="20"/>
          <w:lang w:val="es-AR"/>
        </w:rPr>
        <w:t xml:space="preserve"> mcf </w:t>
      </w:r>
      <w:r w:rsidRPr="000D3DC7">
        <w:rPr>
          <w:rFonts w:ascii="Arial" w:hAnsi="Arial" w:cs="Arial"/>
          <w:sz w:val="20"/>
          <w:szCs w:val="20"/>
          <w:lang w:val="es-AR"/>
        </w:rPr>
        <w:t>(</w:t>
      </w:r>
      <w:r w:rsidR="00285B22" w:rsidRPr="000D3DC7">
        <w:rPr>
          <w:rFonts w:ascii="Arial" w:hAnsi="Arial" w:cs="Arial"/>
          <w:sz w:val="20"/>
          <w:szCs w:val="20"/>
          <w:lang w:val="es-AR"/>
        </w:rPr>
        <w:t>4.007</w:t>
      </w:r>
      <w:r w:rsidR="00AB454D" w:rsidRPr="000D3DC7">
        <w:rPr>
          <w:rFonts w:ascii="Arial" w:hAnsi="Arial" w:cs="Arial"/>
          <w:sz w:val="20"/>
          <w:szCs w:val="20"/>
          <w:lang w:val="es-AR"/>
        </w:rPr>
        <w:t xml:space="preserve"> </w:t>
      </w:r>
      <w:r w:rsidR="00A83BFA" w:rsidRPr="000D3DC7">
        <w:rPr>
          <w:rFonts w:ascii="Arial" w:hAnsi="Arial" w:cs="Arial"/>
          <w:sz w:val="20"/>
          <w:szCs w:val="20"/>
          <w:lang w:val="es-AR"/>
        </w:rPr>
        <w:t>mcf netos</w:t>
      </w:r>
      <w:r w:rsidRPr="000D3DC7">
        <w:rPr>
          <w:rFonts w:ascii="Arial" w:hAnsi="Arial" w:cs="Arial"/>
          <w:sz w:val="20"/>
          <w:szCs w:val="20"/>
          <w:lang w:val="es-AR"/>
        </w:rPr>
        <w:t>) por día</w:t>
      </w:r>
      <w:r w:rsidR="004813E2" w:rsidRPr="000D3DC7">
        <w:rPr>
          <w:rFonts w:ascii="Arial" w:hAnsi="Arial" w:cs="Arial"/>
          <w:sz w:val="20"/>
          <w:szCs w:val="20"/>
          <w:lang w:val="es-AR"/>
        </w:rPr>
        <w:t xml:space="preserve">, mientras que </w:t>
      </w:r>
      <w:r w:rsidR="0088424E" w:rsidRPr="000D3DC7">
        <w:rPr>
          <w:rFonts w:ascii="Arial" w:hAnsi="Arial" w:cs="Arial"/>
          <w:sz w:val="20"/>
          <w:szCs w:val="20"/>
          <w:lang w:val="es-AR"/>
        </w:rPr>
        <w:t>su</w:t>
      </w:r>
      <w:r w:rsidRPr="000D3DC7">
        <w:rPr>
          <w:rFonts w:ascii="Arial" w:hAnsi="Arial" w:cs="Arial"/>
          <w:sz w:val="20"/>
          <w:szCs w:val="20"/>
          <w:lang w:val="es-AR"/>
        </w:rPr>
        <w:t xml:space="preserve"> producción de petróleo </w:t>
      </w:r>
      <w:r w:rsidR="00285B22" w:rsidRPr="000D3DC7">
        <w:rPr>
          <w:rFonts w:ascii="Arial" w:hAnsi="Arial" w:cs="Arial"/>
          <w:sz w:val="20"/>
          <w:szCs w:val="20"/>
          <w:lang w:val="es-AR"/>
        </w:rPr>
        <w:t xml:space="preserve">asociada </w:t>
      </w:r>
      <w:r w:rsidRPr="000D3DC7">
        <w:rPr>
          <w:rFonts w:ascii="Arial" w:hAnsi="Arial" w:cs="Arial"/>
          <w:sz w:val="20"/>
          <w:szCs w:val="20"/>
          <w:lang w:val="es-AR"/>
        </w:rPr>
        <w:t xml:space="preserve">fue en promedio de </w:t>
      </w:r>
      <w:r w:rsidR="00285B22" w:rsidRPr="000D3DC7">
        <w:rPr>
          <w:rFonts w:ascii="Arial" w:hAnsi="Arial" w:cs="Arial"/>
          <w:sz w:val="20"/>
          <w:szCs w:val="20"/>
          <w:lang w:val="es-AR"/>
        </w:rPr>
        <w:t xml:space="preserve">218 </w:t>
      </w:r>
      <w:r w:rsidR="00A83BFA" w:rsidRPr="000D3DC7">
        <w:rPr>
          <w:rFonts w:ascii="Arial" w:hAnsi="Arial" w:cs="Arial"/>
          <w:sz w:val="20"/>
          <w:szCs w:val="20"/>
          <w:lang w:val="es-AR"/>
        </w:rPr>
        <w:t xml:space="preserve">bbls </w:t>
      </w:r>
      <w:r w:rsidRPr="000D3DC7">
        <w:rPr>
          <w:rFonts w:ascii="Arial" w:hAnsi="Arial" w:cs="Arial"/>
          <w:sz w:val="20"/>
          <w:szCs w:val="20"/>
          <w:lang w:val="es-AR"/>
        </w:rPr>
        <w:t>(</w:t>
      </w:r>
      <w:r w:rsidR="00285B22" w:rsidRPr="000D3DC7">
        <w:rPr>
          <w:rFonts w:ascii="Arial" w:hAnsi="Arial" w:cs="Arial"/>
          <w:sz w:val="20"/>
          <w:szCs w:val="20"/>
          <w:lang w:val="es-AR"/>
        </w:rPr>
        <w:t xml:space="preserve">76 </w:t>
      </w:r>
      <w:r w:rsidR="00A83BFA" w:rsidRPr="000D3DC7">
        <w:rPr>
          <w:rFonts w:ascii="Arial" w:hAnsi="Arial" w:cs="Arial"/>
          <w:sz w:val="20"/>
          <w:szCs w:val="20"/>
          <w:lang w:val="es-AR"/>
        </w:rPr>
        <w:t>bbls netos</w:t>
      </w:r>
      <w:r w:rsidRPr="000D3DC7">
        <w:rPr>
          <w:rFonts w:ascii="Arial" w:hAnsi="Arial" w:cs="Arial"/>
          <w:sz w:val="20"/>
          <w:szCs w:val="20"/>
          <w:lang w:val="es-AR"/>
        </w:rPr>
        <w:t>) por día</w:t>
      </w:r>
      <w:r w:rsidR="00207F74" w:rsidRPr="000D3DC7">
        <w:rPr>
          <w:rFonts w:ascii="Arial" w:hAnsi="Arial" w:cs="Arial"/>
          <w:sz w:val="20"/>
          <w:szCs w:val="20"/>
          <w:lang w:val="es-AR"/>
        </w:rPr>
        <w:t xml:space="preserve"> de petróleo</w:t>
      </w:r>
      <w:r w:rsidRPr="000D3DC7">
        <w:rPr>
          <w:rFonts w:ascii="Arial" w:hAnsi="Arial" w:cs="Arial"/>
          <w:sz w:val="20"/>
          <w:szCs w:val="20"/>
          <w:lang w:val="es-AR"/>
        </w:rPr>
        <w:t>.</w:t>
      </w:r>
    </w:p>
    <w:p w:rsidR="00320949" w:rsidRPr="00320949" w:rsidRDefault="00320949" w:rsidP="00320949">
      <w:pPr>
        <w:spacing w:before="120" w:line="240" w:lineRule="atLeast"/>
        <w:jc w:val="both"/>
        <w:rPr>
          <w:rFonts w:ascii="Arial" w:hAnsi="Arial" w:cs="Arial"/>
          <w:b/>
          <w:sz w:val="20"/>
          <w:szCs w:val="20"/>
          <w:lang w:val="es-AR"/>
        </w:rPr>
      </w:pPr>
      <w:r w:rsidRPr="00320949">
        <w:rPr>
          <w:rFonts w:ascii="Arial" w:hAnsi="Arial" w:cs="Arial"/>
          <w:b/>
          <w:bCs/>
          <w:sz w:val="20"/>
          <w:szCs w:val="20"/>
          <w:lang w:val="es-AR"/>
        </w:rPr>
        <w:t>Concesi</w:t>
      </w:r>
      <w:r w:rsidR="00BA24CD">
        <w:rPr>
          <w:rFonts w:ascii="Arial" w:hAnsi="Arial" w:cs="Arial"/>
          <w:b/>
          <w:bCs/>
          <w:sz w:val="20"/>
          <w:szCs w:val="20"/>
          <w:lang w:val="es-AR"/>
        </w:rPr>
        <w:t>o</w:t>
      </w:r>
      <w:r w:rsidRPr="00320949">
        <w:rPr>
          <w:rFonts w:ascii="Arial" w:hAnsi="Arial" w:cs="Arial"/>
          <w:b/>
          <w:bCs/>
          <w:sz w:val="20"/>
          <w:szCs w:val="20"/>
          <w:lang w:val="es-AR"/>
        </w:rPr>
        <w:t>n</w:t>
      </w:r>
      <w:r w:rsidR="00BA24CD">
        <w:rPr>
          <w:rFonts w:ascii="Arial" w:hAnsi="Arial" w:cs="Arial"/>
          <w:b/>
          <w:bCs/>
          <w:sz w:val="20"/>
          <w:szCs w:val="20"/>
          <w:lang w:val="es-AR"/>
        </w:rPr>
        <w:t>es</w:t>
      </w:r>
      <w:r w:rsidRPr="00320949">
        <w:rPr>
          <w:rFonts w:ascii="Arial" w:hAnsi="Arial" w:cs="Arial"/>
          <w:b/>
          <w:bCs/>
          <w:sz w:val="20"/>
          <w:szCs w:val="20"/>
          <w:lang w:val="es-AR"/>
        </w:rPr>
        <w:t xml:space="preserve"> </w:t>
      </w:r>
      <w:r w:rsidR="00A83BFA" w:rsidRPr="00717B62">
        <w:rPr>
          <w:rFonts w:ascii="Arial" w:hAnsi="Arial" w:cs="Arial"/>
          <w:b/>
          <w:bCs/>
          <w:sz w:val="20"/>
          <w:szCs w:val="20"/>
          <w:lang w:val="es-AR"/>
        </w:rPr>
        <w:t xml:space="preserve">de </w:t>
      </w:r>
      <w:r w:rsidR="00DD2B76">
        <w:rPr>
          <w:rFonts w:ascii="Arial" w:hAnsi="Arial" w:cs="Arial"/>
          <w:b/>
          <w:bCs/>
          <w:sz w:val="20"/>
          <w:szCs w:val="20"/>
          <w:lang w:val="es-AR"/>
        </w:rPr>
        <w:t xml:space="preserve">Mendoza </w:t>
      </w:r>
    </w:p>
    <w:p w:rsidR="00F45C1E" w:rsidRPr="000D3DC7" w:rsidRDefault="00320949" w:rsidP="000D3DC7">
      <w:pPr>
        <w:spacing w:before="120" w:line="240" w:lineRule="atLeast"/>
        <w:jc w:val="both"/>
        <w:rPr>
          <w:rFonts w:ascii="Arial" w:hAnsi="Arial" w:cs="Arial"/>
          <w:sz w:val="20"/>
          <w:szCs w:val="20"/>
          <w:lang w:val="es-AR"/>
        </w:rPr>
      </w:pPr>
      <w:r w:rsidRPr="000D3DC7">
        <w:rPr>
          <w:rFonts w:ascii="Arial" w:hAnsi="Arial" w:cs="Arial"/>
          <w:bCs/>
          <w:sz w:val="20"/>
          <w:szCs w:val="20"/>
          <w:lang w:val="es-AR"/>
        </w:rPr>
        <w:t xml:space="preserve">Durante el </w:t>
      </w:r>
      <w:r w:rsidR="00DD2B76" w:rsidRPr="000D3DC7">
        <w:rPr>
          <w:rFonts w:ascii="Arial" w:hAnsi="Arial" w:cs="Arial"/>
          <w:sz w:val="20"/>
          <w:szCs w:val="20"/>
          <w:lang w:val="es-AR"/>
        </w:rPr>
        <w:t>4</w:t>
      </w:r>
      <w:r w:rsidRPr="000D3DC7">
        <w:rPr>
          <w:rFonts w:ascii="Arial" w:hAnsi="Arial" w:cs="Arial"/>
          <w:sz w:val="20"/>
          <w:szCs w:val="20"/>
          <w:lang w:val="es-AR"/>
        </w:rPr>
        <w:t>°</w:t>
      </w:r>
      <w:r w:rsidRPr="000D3DC7">
        <w:rPr>
          <w:rFonts w:ascii="Arial" w:hAnsi="Arial" w:cs="Arial"/>
          <w:bCs/>
          <w:sz w:val="20"/>
          <w:szCs w:val="20"/>
          <w:lang w:val="es-AR"/>
        </w:rPr>
        <w:t xml:space="preserve"> trimestre de </w:t>
      </w:r>
      <w:r w:rsidR="00285B22" w:rsidRPr="000D3DC7">
        <w:rPr>
          <w:rFonts w:ascii="Arial" w:hAnsi="Arial" w:cs="Arial"/>
          <w:bCs/>
          <w:sz w:val="20"/>
          <w:szCs w:val="20"/>
          <w:lang w:val="es-AR"/>
        </w:rPr>
        <w:t>2024</w:t>
      </w:r>
      <w:r w:rsidRPr="000D3DC7">
        <w:rPr>
          <w:rFonts w:ascii="Arial" w:hAnsi="Arial" w:cs="Arial"/>
          <w:bCs/>
          <w:sz w:val="20"/>
          <w:szCs w:val="20"/>
          <w:lang w:val="es-AR"/>
        </w:rPr>
        <w:t xml:space="preserve">, </w:t>
      </w:r>
      <w:r w:rsidR="00285B22" w:rsidRPr="000D3DC7">
        <w:rPr>
          <w:rFonts w:ascii="Arial" w:hAnsi="Arial" w:cs="Arial"/>
          <w:bCs/>
          <w:sz w:val="20"/>
          <w:szCs w:val="20"/>
          <w:lang w:val="es-AR"/>
        </w:rPr>
        <w:t>l</w:t>
      </w:r>
      <w:r w:rsidRPr="000D3DC7">
        <w:rPr>
          <w:rFonts w:ascii="Arial" w:hAnsi="Arial" w:cs="Arial"/>
          <w:bCs/>
          <w:sz w:val="20"/>
          <w:szCs w:val="20"/>
          <w:lang w:val="es-AR"/>
        </w:rPr>
        <w:t xml:space="preserve">a UTE realizó </w:t>
      </w:r>
      <w:r w:rsidR="00BE66D1" w:rsidRPr="000D3DC7">
        <w:rPr>
          <w:rFonts w:ascii="Arial" w:hAnsi="Arial" w:cs="Arial"/>
          <w:bCs/>
          <w:sz w:val="20"/>
          <w:szCs w:val="20"/>
          <w:lang w:val="es-AR"/>
        </w:rPr>
        <w:t xml:space="preserve">tres </w:t>
      </w:r>
      <w:r w:rsidR="00DD2B76" w:rsidRPr="000D3DC7">
        <w:rPr>
          <w:rFonts w:ascii="Arial" w:hAnsi="Arial" w:cs="Arial"/>
          <w:bCs/>
          <w:sz w:val="20"/>
          <w:szCs w:val="20"/>
          <w:lang w:val="es-AR"/>
        </w:rPr>
        <w:t>reparaci</w:t>
      </w:r>
      <w:r w:rsidR="00AB454D" w:rsidRPr="000D3DC7">
        <w:rPr>
          <w:rFonts w:ascii="Arial" w:hAnsi="Arial" w:cs="Arial"/>
          <w:bCs/>
          <w:sz w:val="20"/>
          <w:szCs w:val="20"/>
          <w:lang w:val="es-AR"/>
        </w:rPr>
        <w:t>ones</w:t>
      </w:r>
      <w:r w:rsidR="00DD2B76" w:rsidRPr="000D3DC7">
        <w:rPr>
          <w:rFonts w:ascii="Arial" w:hAnsi="Arial" w:cs="Arial"/>
          <w:bCs/>
          <w:sz w:val="20"/>
          <w:szCs w:val="20"/>
          <w:lang w:val="es-AR"/>
        </w:rPr>
        <w:t xml:space="preserve"> en pozo</w:t>
      </w:r>
      <w:r w:rsidR="00AB454D" w:rsidRPr="000D3DC7">
        <w:rPr>
          <w:rFonts w:ascii="Arial" w:hAnsi="Arial" w:cs="Arial"/>
          <w:bCs/>
          <w:sz w:val="20"/>
          <w:szCs w:val="20"/>
          <w:lang w:val="es-AR"/>
        </w:rPr>
        <w:t>s petroleros</w:t>
      </w:r>
      <w:r w:rsidR="00BE66D1" w:rsidRPr="000D3DC7">
        <w:rPr>
          <w:rFonts w:ascii="Arial" w:hAnsi="Arial" w:cs="Arial"/>
          <w:bCs/>
          <w:sz w:val="20"/>
          <w:szCs w:val="20"/>
          <w:lang w:val="es-AR"/>
        </w:rPr>
        <w:t xml:space="preserve"> y una reparación en un pozo inyector en la Concesión CH.</w:t>
      </w:r>
      <w:r w:rsidR="00F45C1E" w:rsidRPr="000D3DC7">
        <w:rPr>
          <w:rFonts w:ascii="Arial" w:hAnsi="Arial" w:cs="Arial"/>
          <w:sz w:val="20"/>
          <w:szCs w:val="20"/>
          <w:lang w:val="es-AR"/>
        </w:rPr>
        <w:t xml:space="preserve"> La </w:t>
      </w:r>
      <w:r w:rsidR="00F45C1E" w:rsidRPr="000D3DC7">
        <w:rPr>
          <w:rFonts w:ascii="Arial" w:hAnsi="Arial" w:cs="Arial"/>
          <w:bCs/>
          <w:sz w:val="20"/>
          <w:szCs w:val="20"/>
          <w:lang w:val="es-AR"/>
        </w:rPr>
        <w:t xml:space="preserve">producción de petróleo para el </w:t>
      </w:r>
      <w:r w:rsidR="00F45C1E" w:rsidRPr="000D3DC7">
        <w:rPr>
          <w:rFonts w:ascii="Arial" w:hAnsi="Arial" w:cs="Arial"/>
          <w:sz w:val="20"/>
          <w:szCs w:val="20"/>
          <w:lang w:val="es-AR"/>
        </w:rPr>
        <w:t>4°</w:t>
      </w:r>
      <w:r w:rsidR="00F45C1E" w:rsidRPr="000D3DC7">
        <w:rPr>
          <w:rFonts w:ascii="Arial" w:hAnsi="Arial" w:cs="Arial"/>
          <w:bCs/>
          <w:sz w:val="20"/>
          <w:szCs w:val="20"/>
          <w:lang w:val="es-AR"/>
        </w:rPr>
        <w:t xml:space="preserve"> trimestre de </w:t>
      </w:r>
      <w:r w:rsidR="00BE66D1" w:rsidRPr="000D3DC7">
        <w:rPr>
          <w:rFonts w:ascii="Arial" w:hAnsi="Arial" w:cs="Arial"/>
          <w:bCs/>
          <w:sz w:val="20"/>
          <w:szCs w:val="20"/>
          <w:lang w:val="es-AR"/>
        </w:rPr>
        <w:t xml:space="preserve">2024 </w:t>
      </w:r>
      <w:r w:rsidR="00F45C1E" w:rsidRPr="000D3DC7">
        <w:rPr>
          <w:rFonts w:ascii="Arial" w:hAnsi="Arial" w:cs="Arial"/>
          <w:bCs/>
          <w:sz w:val="20"/>
          <w:szCs w:val="20"/>
          <w:lang w:val="es-AR"/>
        </w:rPr>
        <w:t xml:space="preserve">fue en promedio de </w:t>
      </w:r>
      <w:r w:rsidR="00BE66D1" w:rsidRPr="000D3DC7">
        <w:rPr>
          <w:rFonts w:ascii="Arial" w:hAnsi="Arial" w:cs="Arial"/>
          <w:bCs/>
          <w:sz w:val="20"/>
          <w:szCs w:val="20"/>
          <w:lang w:val="es-AR"/>
        </w:rPr>
        <w:t>884</w:t>
      </w:r>
      <w:r w:rsidR="00BE66D1" w:rsidRPr="000D3DC7">
        <w:rPr>
          <w:rFonts w:ascii="Arial" w:hAnsi="Arial" w:cs="Arial"/>
          <w:sz w:val="20"/>
          <w:szCs w:val="20"/>
          <w:lang w:val="es-AR"/>
        </w:rPr>
        <w:t xml:space="preserve"> </w:t>
      </w:r>
      <w:r w:rsidR="00F45C1E" w:rsidRPr="000D3DC7">
        <w:rPr>
          <w:rFonts w:ascii="Arial" w:hAnsi="Arial" w:cs="Arial"/>
          <w:sz w:val="20"/>
          <w:szCs w:val="20"/>
          <w:lang w:val="es-AR"/>
        </w:rPr>
        <w:t>bbls (</w:t>
      </w:r>
      <w:r w:rsidR="00BE66D1" w:rsidRPr="000D3DC7">
        <w:rPr>
          <w:rFonts w:ascii="Arial" w:hAnsi="Arial" w:cs="Arial"/>
          <w:sz w:val="20"/>
          <w:szCs w:val="20"/>
          <w:lang w:val="es-AR"/>
        </w:rPr>
        <w:t xml:space="preserve">442 </w:t>
      </w:r>
      <w:r w:rsidR="00F45C1E" w:rsidRPr="000D3DC7">
        <w:rPr>
          <w:rFonts w:ascii="Arial" w:hAnsi="Arial" w:cs="Arial"/>
          <w:sz w:val="20"/>
          <w:szCs w:val="20"/>
          <w:lang w:val="es-AR"/>
        </w:rPr>
        <w:t>bbls netos) por día de petróleo</w:t>
      </w:r>
      <w:r w:rsidR="00082FA6" w:rsidRPr="000D3DC7">
        <w:rPr>
          <w:rFonts w:ascii="Arial" w:hAnsi="Arial" w:cs="Arial"/>
          <w:sz w:val="20"/>
          <w:szCs w:val="20"/>
          <w:lang w:val="es-AR"/>
        </w:rPr>
        <w:t xml:space="preserve"> en </w:t>
      </w:r>
      <w:r w:rsidR="00082FA6" w:rsidRPr="000D3DC7">
        <w:rPr>
          <w:rFonts w:ascii="Arial" w:hAnsi="Arial" w:cs="Arial"/>
          <w:bCs/>
          <w:sz w:val="20"/>
          <w:szCs w:val="20"/>
          <w:lang w:val="es-AR"/>
        </w:rPr>
        <w:t xml:space="preserve">la Concesión de </w:t>
      </w:r>
      <w:r w:rsidR="004813E2" w:rsidRPr="000D3DC7">
        <w:rPr>
          <w:rFonts w:ascii="Arial" w:hAnsi="Arial" w:cs="Arial"/>
          <w:bCs/>
          <w:sz w:val="20"/>
          <w:szCs w:val="20"/>
          <w:lang w:val="es-AR"/>
        </w:rPr>
        <w:t>CH</w:t>
      </w:r>
      <w:r w:rsidR="00082FA6" w:rsidRPr="000D3DC7">
        <w:rPr>
          <w:rFonts w:ascii="Arial" w:hAnsi="Arial" w:cs="Arial"/>
          <w:bCs/>
          <w:sz w:val="20"/>
          <w:szCs w:val="20"/>
          <w:lang w:val="es-AR"/>
        </w:rPr>
        <w:t xml:space="preserve"> </w:t>
      </w:r>
      <w:r w:rsidR="00082FA6" w:rsidRPr="000D3DC7">
        <w:rPr>
          <w:rFonts w:ascii="Arial" w:hAnsi="Arial" w:cs="Arial"/>
          <w:sz w:val="20"/>
          <w:szCs w:val="20"/>
          <w:lang w:val="es-AR"/>
        </w:rPr>
        <w:t xml:space="preserve">y de </w:t>
      </w:r>
      <w:r w:rsidR="00BE66D1" w:rsidRPr="000D3DC7">
        <w:rPr>
          <w:rFonts w:ascii="Arial" w:hAnsi="Arial" w:cs="Arial"/>
          <w:sz w:val="20"/>
          <w:szCs w:val="20"/>
          <w:lang w:val="es-AR"/>
        </w:rPr>
        <w:t xml:space="preserve">125 </w:t>
      </w:r>
      <w:r w:rsidR="00082FA6" w:rsidRPr="000D3DC7">
        <w:rPr>
          <w:rFonts w:ascii="Arial" w:hAnsi="Arial" w:cs="Arial"/>
          <w:sz w:val="20"/>
          <w:szCs w:val="20"/>
          <w:lang w:val="es-AR"/>
        </w:rPr>
        <w:t>bbls (</w:t>
      </w:r>
      <w:r w:rsidR="00BE66D1" w:rsidRPr="000D3DC7">
        <w:rPr>
          <w:rFonts w:ascii="Arial" w:hAnsi="Arial" w:cs="Arial"/>
          <w:sz w:val="20"/>
          <w:szCs w:val="20"/>
          <w:lang w:val="es-AR"/>
        </w:rPr>
        <w:t xml:space="preserve">62 </w:t>
      </w:r>
      <w:r w:rsidR="00082FA6" w:rsidRPr="000D3DC7">
        <w:rPr>
          <w:rFonts w:ascii="Arial" w:hAnsi="Arial" w:cs="Arial"/>
          <w:sz w:val="20"/>
          <w:szCs w:val="20"/>
          <w:lang w:val="es-AR"/>
        </w:rPr>
        <w:t>bbls netos) por día de petróleo en la Concesión de PPCO</w:t>
      </w:r>
      <w:r w:rsidR="00F45C1E" w:rsidRPr="000D3DC7">
        <w:rPr>
          <w:rFonts w:ascii="Arial" w:hAnsi="Arial" w:cs="Arial"/>
          <w:sz w:val="20"/>
          <w:szCs w:val="20"/>
          <w:lang w:val="es-AR"/>
        </w:rPr>
        <w:t>.</w:t>
      </w:r>
    </w:p>
    <w:p w:rsidR="00E64D98" w:rsidRPr="00717B62" w:rsidRDefault="00E64D98" w:rsidP="00BA24CD">
      <w:pPr>
        <w:pStyle w:val="Ne4"/>
        <w:keepNext/>
        <w:widowControl w:val="0"/>
        <w:spacing w:before="240" w:line="240" w:lineRule="atLeast"/>
        <w:ind w:left="0"/>
        <w:rPr>
          <w:rFonts w:cs="Arial"/>
          <w:lang w:val="es-AR"/>
        </w:rPr>
      </w:pPr>
      <w:r w:rsidRPr="00717B62">
        <w:rPr>
          <w:rFonts w:cs="Arial"/>
          <w:b/>
          <w:bCs/>
          <w:lang w:val="es-AR"/>
        </w:rPr>
        <w:t>PERSPECTIVAS</w:t>
      </w:r>
    </w:p>
    <w:p w:rsidR="00506357" w:rsidRPr="000D3DC7" w:rsidRDefault="00BA0AC9" w:rsidP="000D3DC7">
      <w:pPr>
        <w:keepNext/>
        <w:spacing w:before="120" w:line="240" w:lineRule="atLeast"/>
        <w:jc w:val="both"/>
        <w:rPr>
          <w:rFonts w:ascii="Arial" w:hAnsi="Arial" w:cs="Arial"/>
          <w:sz w:val="20"/>
          <w:szCs w:val="20"/>
          <w:lang w:val="es-AR"/>
        </w:rPr>
      </w:pPr>
      <w:r w:rsidRPr="000D3DC7">
        <w:rPr>
          <w:rFonts w:ascii="Arial" w:hAnsi="Arial" w:cs="Arial"/>
          <w:sz w:val="20"/>
          <w:szCs w:val="20"/>
          <w:lang w:val="es-AR"/>
        </w:rPr>
        <w:t xml:space="preserve">El gasto de capital presupuestado de la Compañía para el ejercicio </w:t>
      </w:r>
      <w:r w:rsidR="00BE66D1" w:rsidRPr="000D3DC7">
        <w:rPr>
          <w:rFonts w:ascii="Arial" w:hAnsi="Arial" w:cs="Arial"/>
          <w:sz w:val="20"/>
          <w:szCs w:val="20"/>
          <w:lang w:val="es-AR"/>
        </w:rPr>
        <w:t xml:space="preserve">2025 </w:t>
      </w:r>
      <w:r w:rsidRPr="000D3DC7">
        <w:rPr>
          <w:rFonts w:ascii="Arial" w:hAnsi="Arial" w:cs="Arial"/>
          <w:sz w:val="20"/>
          <w:szCs w:val="20"/>
          <w:lang w:val="es-AR"/>
        </w:rPr>
        <w:t xml:space="preserve">asciende a </w:t>
      </w:r>
      <w:r w:rsidR="000E15D7" w:rsidRPr="000D3DC7">
        <w:rPr>
          <w:rFonts w:ascii="Arial" w:hAnsi="Arial" w:cs="Arial"/>
          <w:sz w:val="20"/>
          <w:szCs w:val="20"/>
          <w:lang w:val="es-AR"/>
        </w:rPr>
        <w:t xml:space="preserve">aproximadamente </w:t>
      </w:r>
      <w:r w:rsidRPr="000D3DC7">
        <w:rPr>
          <w:rFonts w:ascii="Arial" w:hAnsi="Arial" w:cs="Arial"/>
          <w:sz w:val="20"/>
          <w:szCs w:val="20"/>
          <w:lang w:val="es-AR"/>
        </w:rPr>
        <w:t>$</w:t>
      </w:r>
      <w:r w:rsidR="00BE66D1" w:rsidRPr="000D3DC7">
        <w:rPr>
          <w:rFonts w:ascii="Arial" w:hAnsi="Arial" w:cs="Arial"/>
          <w:sz w:val="20"/>
          <w:szCs w:val="20"/>
          <w:lang w:val="es-AR"/>
        </w:rPr>
        <w:t>28,2</w:t>
      </w:r>
      <w:r w:rsidRPr="000D3DC7">
        <w:rPr>
          <w:rFonts w:ascii="Arial" w:hAnsi="Arial" w:cs="Arial"/>
          <w:sz w:val="20"/>
          <w:szCs w:val="20"/>
          <w:lang w:val="es-AR"/>
        </w:rPr>
        <w:t xml:space="preserve"> millones, </w:t>
      </w:r>
      <w:r w:rsidR="000E15D7" w:rsidRPr="000D3DC7">
        <w:rPr>
          <w:rFonts w:ascii="Arial" w:hAnsi="Arial" w:cs="Arial"/>
          <w:sz w:val="20"/>
          <w:szCs w:val="20"/>
          <w:lang w:val="es-AR"/>
        </w:rPr>
        <w:t>de los cuales $</w:t>
      </w:r>
      <w:r w:rsidR="00BE66D1" w:rsidRPr="000D3DC7">
        <w:rPr>
          <w:rFonts w:ascii="Arial" w:hAnsi="Arial" w:cs="Arial"/>
          <w:sz w:val="20"/>
          <w:szCs w:val="20"/>
          <w:lang w:val="es-AR"/>
        </w:rPr>
        <w:t>25</w:t>
      </w:r>
      <w:r w:rsidR="000E15D7" w:rsidRPr="000D3DC7">
        <w:rPr>
          <w:rFonts w:ascii="Arial" w:hAnsi="Arial" w:cs="Arial"/>
          <w:sz w:val="20"/>
          <w:szCs w:val="20"/>
          <w:lang w:val="es-AR"/>
        </w:rPr>
        <w:t>,5 millones corresponden a</w:t>
      </w:r>
      <w:r w:rsidR="00BE66D1" w:rsidRPr="000D3DC7">
        <w:rPr>
          <w:rFonts w:ascii="Arial" w:hAnsi="Arial" w:cs="Arial"/>
          <w:sz w:val="20"/>
          <w:szCs w:val="20"/>
          <w:lang w:val="es-AR"/>
        </w:rPr>
        <w:t xml:space="preserve"> las Concesiones de Santa Cruz por reparaciones de pozos, mejoras en las instalaciones y una campaña de perforación compuesta de 7 pozos, $0,7 millones por mejoras en las instalaciones </w:t>
      </w:r>
      <w:r w:rsidR="005C1221" w:rsidRPr="000D3DC7">
        <w:rPr>
          <w:rFonts w:ascii="Arial" w:hAnsi="Arial" w:cs="Arial"/>
          <w:sz w:val="20"/>
          <w:szCs w:val="20"/>
          <w:lang w:val="es-AR"/>
        </w:rPr>
        <w:t xml:space="preserve">de las Concesiones </w:t>
      </w:r>
      <w:r w:rsidRPr="000D3DC7">
        <w:rPr>
          <w:rFonts w:ascii="Arial" w:hAnsi="Arial" w:cs="Arial"/>
          <w:sz w:val="20"/>
          <w:szCs w:val="20"/>
          <w:lang w:val="es-AR"/>
        </w:rPr>
        <w:t>de TDF</w:t>
      </w:r>
      <w:r w:rsidR="000E15D7" w:rsidRPr="000D3DC7">
        <w:rPr>
          <w:rFonts w:ascii="Arial" w:hAnsi="Arial" w:cs="Arial"/>
          <w:sz w:val="20"/>
          <w:szCs w:val="20"/>
          <w:lang w:val="es-AR"/>
        </w:rPr>
        <w:t xml:space="preserve">, </w:t>
      </w:r>
      <w:r w:rsidR="00BE66D1" w:rsidRPr="000D3DC7">
        <w:rPr>
          <w:rFonts w:ascii="Arial" w:hAnsi="Arial" w:cs="Arial"/>
          <w:sz w:val="20"/>
          <w:szCs w:val="20"/>
          <w:lang w:val="es-AR"/>
        </w:rPr>
        <w:t xml:space="preserve">$1,2 millones por reparaciones de pozos, mejoras en las instalaciones y </w:t>
      </w:r>
      <w:r w:rsidRPr="000D3DC7">
        <w:rPr>
          <w:rFonts w:ascii="Arial" w:hAnsi="Arial" w:cs="Arial"/>
          <w:sz w:val="20"/>
          <w:szCs w:val="20"/>
          <w:lang w:val="es-AR"/>
        </w:rPr>
        <w:t>optimización en</w:t>
      </w:r>
      <w:r w:rsidR="00506357" w:rsidRPr="000D3DC7">
        <w:rPr>
          <w:rFonts w:ascii="Arial" w:hAnsi="Arial" w:cs="Arial"/>
          <w:sz w:val="20"/>
          <w:szCs w:val="20"/>
          <w:lang w:val="es-AR"/>
        </w:rPr>
        <w:t xml:space="preserve"> las Concesiones de Mendoza</w:t>
      </w:r>
      <w:r w:rsidR="004E3F38" w:rsidRPr="000D3DC7">
        <w:rPr>
          <w:rFonts w:ascii="Arial" w:hAnsi="Arial" w:cs="Arial"/>
          <w:sz w:val="20"/>
          <w:szCs w:val="20"/>
          <w:lang w:val="es-AR"/>
        </w:rPr>
        <w:t xml:space="preserve">, y $0,8 millones </w:t>
      </w:r>
      <w:r w:rsidR="00506357" w:rsidRPr="000D3DC7">
        <w:rPr>
          <w:rFonts w:ascii="Arial" w:hAnsi="Arial" w:cs="Arial"/>
          <w:sz w:val="20"/>
          <w:szCs w:val="20"/>
          <w:lang w:val="es-AR"/>
        </w:rPr>
        <w:t>en pruebas a realizarse en las capas de arenisca que contienen gas del Grupo Neuquén en CL</w:t>
      </w:r>
      <w:r w:rsidR="00031C63" w:rsidRPr="000D3DC7">
        <w:rPr>
          <w:rFonts w:ascii="Arial" w:hAnsi="Arial" w:cs="Arial"/>
          <w:sz w:val="20"/>
          <w:szCs w:val="20"/>
          <w:lang w:val="es-AR"/>
        </w:rPr>
        <w:t>L</w:t>
      </w:r>
      <w:r w:rsidR="00506357" w:rsidRPr="000D3DC7">
        <w:rPr>
          <w:rFonts w:ascii="Arial" w:hAnsi="Arial" w:cs="Arial"/>
          <w:sz w:val="20"/>
          <w:szCs w:val="20"/>
          <w:lang w:val="es-AR"/>
        </w:rPr>
        <w:t>.</w:t>
      </w:r>
    </w:p>
    <w:p w:rsidR="00BA0AC9" w:rsidRPr="00717B62" w:rsidRDefault="00BA0AC9">
      <w:pPr>
        <w:rPr>
          <w:rFonts w:ascii="Arial" w:hAnsi="Arial" w:cs="Arial"/>
          <w:b/>
          <w:bCs/>
          <w:caps/>
          <w:color w:val="000000"/>
          <w:sz w:val="20"/>
          <w:szCs w:val="20"/>
          <w:lang w:val="es-AR"/>
        </w:rPr>
      </w:pPr>
      <w:r w:rsidRPr="00717B62">
        <w:rPr>
          <w:rFonts w:ascii="Arial" w:hAnsi="Arial" w:cs="Arial"/>
          <w:b/>
          <w:bCs/>
          <w:caps/>
          <w:color w:val="000000"/>
          <w:sz w:val="20"/>
          <w:szCs w:val="20"/>
          <w:lang w:val="es-AR"/>
        </w:rPr>
        <w:br w:type="page"/>
      </w:r>
    </w:p>
    <w:p w:rsidR="006429BF" w:rsidRDefault="006429BF" w:rsidP="0020731E">
      <w:pPr>
        <w:widowControl w:val="0"/>
        <w:spacing w:before="240" w:after="120" w:line="260" w:lineRule="atLeast"/>
        <w:ind w:left="288" w:right="-309" w:hanging="288"/>
        <w:jc w:val="both"/>
        <w:outlineLvl w:val="8"/>
        <w:rPr>
          <w:rFonts w:ascii="Arial" w:hAnsi="Arial" w:cs="Arial"/>
          <w:caps/>
          <w:color w:val="000000"/>
          <w:szCs w:val="22"/>
          <w:vertAlign w:val="superscript"/>
          <w:lang w:val="es-AR"/>
        </w:rPr>
      </w:pPr>
      <w:r w:rsidRPr="00717B62">
        <w:rPr>
          <w:rFonts w:ascii="Arial" w:hAnsi="Arial" w:cs="Arial"/>
          <w:b/>
          <w:bCs/>
          <w:caps/>
          <w:color w:val="000000"/>
          <w:sz w:val="20"/>
          <w:szCs w:val="20"/>
          <w:lang w:val="es-AR"/>
        </w:rPr>
        <w:lastRenderedPageBreak/>
        <w:t xml:space="preserve">INFORMACIÓN FINANCIERA </w:t>
      </w:r>
      <w:r w:rsidR="004E3F38">
        <w:rPr>
          <w:rFonts w:ascii="Arial" w:hAnsi="Arial" w:cs="Arial"/>
          <w:b/>
          <w:bCs/>
          <w:caps/>
          <w:color w:val="000000"/>
          <w:sz w:val="20"/>
          <w:szCs w:val="20"/>
          <w:lang w:val="es-AR"/>
        </w:rPr>
        <w:t xml:space="preserve">NO AUDITADA </w:t>
      </w:r>
      <w:r w:rsidRPr="00717B62">
        <w:rPr>
          <w:rFonts w:ascii="Arial" w:hAnsi="Arial" w:cs="Arial"/>
          <w:b/>
          <w:bCs/>
          <w:caps/>
          <w:color w:val="000000"/>
          <w:sz w:val="20"/>
          <w:szCs w:val="20"/>
          <w:lang w:val="es-AR"/>
        </w:rPr>
        <w:t>RESUMIDA</w:t>
      </w:r>
    </w:p>
    <w:tbl>
      <w:tblPr>
        <w:tblW w:w="8104" w:type="dxa"/>
        <w:tblLayout w:type="fixed"/>
        <w:tblLook w:val="04A0" w:firstRow="1" w:lastRow="0" w:firstColumn="1" w:lastColumn="0" w:noHBand="0" w:noVBand="1"/>
      </w:tblPr>
      <w:tblGrid>
        <w:gridCol w:w="5490"/>
        <w:gridCol w:w="1307"/>
        <w:gridCol w:w="1307"/>
      </w:tblGrid>
      <w:tr w:rsidR="00AB646E" w:rsidRPr="00902562" w:rsidTr="00AB646E">
        <w:trPr>
          <w:trHeight w:val="321"/>
        </w:trPr>
        <w:tc>
          <w:tcPr>
            <w:tcW w:w="5490" w:type="dxa"/>
            <w:tcBorders>
              <w:top w:val="single" w:sz="12" w:space="0" w:color="auto"/>
              <w:bottom w:val="single" w:sz="4" w:space="0" w:color="auto"/>
            </w:tcBorders>
          </w:tcPr>
          <w:p w:rsidR="00AB646E" w:rsidRPr="00AB646E" w:rsidRDefault="00AB646E" w:rsidP="00AB646E">
            <w:pPr>
              <w:widowControl w:val="0"/>
              <w:jc w:val="both"/>
              <w:rPr>
                <w:rFonts w:ascii="Arial" w:hAnsi="Arial" w:cs="Arial"/>
                <w:bCs/>
                <w:sz w:val="16"/>
                <w:szCs w:val="16"/>
                <w:lang w:val="es-ES_tradnl"/>
              </w:rPr>
            </w:pPr>
            <w:r w:rsidRPr="00717B62">
              <w:rPr>
                <w:rFonts w:ascii="Arial" w:hAnsi="Arial" w:cs="Arial"/>
                <w:sz w:val="16"/>
                <w:szCs w:val="16"/>
                <w:lang w:val="es-AR"/>
              </w:rPr>
              <w:t>(cifras expresadas en $, salvo por las correspondientes a las acciones en circulación)</w:t>
            </w:r>
          </w:p>
        </w:tc>
        <w:tc>
          <w:tcPr>
            <w:tcW w:w="1307" w:type="dxa"/>
            <w:tcBorders>
              <w:top w:val="single" w:sz="12" w:space="0" w:color="auto"/>
              <w:bottom w:val="single" w:sz="4" w:space="0" w:color="auto"/>
            </w:tcBorders>
            <w:vAlign w:val="bottom"/>
          </w:tcPr>
          <w:p w:rsidR="00AB646E" w:rsidRPr="00312FFB" w:rsidRDefault="00AB646E" w:rsidP="00AB646E">
            <w:pPr>
              <w:widowControl w:val="0"/>
              <w:jc w:val="right"/>
              <w:rPr>
                <w:rFonts w:ascii="Arial" w:hAnsi="Arial" w:cs="Arial"/>
                <w:b/>
                <w:bCs/>
                <w:sz w:val="16"/>
                <w:szCs w:val="16"/>
                <w:lang w:val="es-ES_tradnl"/>
              </w:rPr>
            </w:pPr>
            <w:r w:rsidRPr="00312FFB">
              <w:rPr>
                <w:rFonts w:ascii="Arial" w:hAnsi="Arial" w:cs="Arial"/>
                <w:b/>
                <w:bCs/>
                <w:sz w:val="16"/>
                <w:szCs w:val="16"/>
                <w:lang w:val="es-ES_tradnl"/>
              </w:rPr>
              <w:t>31 de diciembre de</w:t>
            </w:r>
          </w:p>
          <w:p w:rsidR="00AB646E" w:rsidRPr="00312FFB" w:rsidRDefault="004E3F38" w:rsidP="00031C63">
            <w:pPr>
              <w:widowControl w:val="0"/>
              <w:jc w:val="right"/>
              <w:rPr>
                <w:rFonts w:ascii="Arial" w:hAnsi="Arial" w:cs="Arial"/>
                <w:b/>
                <w:bCs/>
                <w:sz w:val="16"/>
                <w:szCs w:val="16"/>
                <w:lang w:val="es-ES_tradnl"/>
              </w:rPr>
            </w:pPr>
            <w:r w:rsidRPr="00312FFB">
              <w:rPr>
                <w:rFonts w:ascii="Arial" w:hAnsi="Arial" w:cs="Arial"/>
                <w:b/>
                <w:bCs/>
                <w:sz w:val="16"/>
                <w:szCs w:val="16"/>
                <w:lang w:val="es-ES_tradnl"/>
              </w:rPr>
              <w:t>2024</w:t>
            </w:r>
          </w:p>
          <w:p w:rsidR="004E3F38" w:rsidRPr="00312FFB" w:rsidRDefault="004E3F38" w:rsidP="00031C63">
            <w:pPr>
              <w:widowControl w:val="0"/>
              <w:jc w:val="right"/>
              <w:rPr>
                <w:rFonts w:ascii="Arial" w:hAnsi="Arial" w:cs="Arial"/>
                <w:b/>
                <w:bCs/>
                <w:sz w:val="18"/>
                <w:szCs w:val="18"/>
                <w:lang w:val="es-ES_tradnl"/>
              </w:rPr>
            </w:pPr>
            <w:r w:rsidRPr="00312FFB">
              <w:rPr>
                <w:rFonts w:ascii="Arial" w:hAnsi="Arial" w:cs="Arial"/>
                <w:b/>
                <w:bCs/>
                <w:sz w:val="16"/>
                <w:szCs w:val="16"/>
                <w:lang w:val="es-ES_tradnl"/>
              </w:rPr>
              <w:t>(no auditado)</w:t>
            </w:r>
          </w:p>
        </w:tc>
        <w:tc>
          <w:tcPr>
            <w:tcW w:w="1307" w:type="dxa"/>
            <w:tcBorders>
              <w:top w:val="single" w:sz="12" w:space="0" w:color="auto"/>
              <w:bottom w:val="single" w:sz="4" w:space="0" w:color="auto"/>
            </w:tcBorders>
            <w:vAlign w:val="bottom"/>
          </w:tcPr>
          <w:p w:rsidR="00AB646E" w:rsidRPr="00902562" w:rsidRDefault="00AB646E" w:rsidP="00AB646E">
            <w:pPr>
              <w:widowControl w:val="0"/>
              <w:jc w:val="right"/>
              <w:rPr>
                <w:rFonts w:ascii="Arial" w:hAnsi="Arial" w:cs="Arial"/>
                <w:b/>
                <w:bCs/>
                <w:sz w:val="16"/>
                <w:szCs w:val="16"/>
                <w:lang w:val="en-CA"/>
              </w:rPr>
            </w:pPr>
            <w:r>
              <w:rPr>
                <w:rFonts w:ascii="Arial" w:hAnsi="Arial" w:cs="Arial"/>
                <w:b/>
                <w:bCs/>
                <w:sz w:val="16"/>
                <w:szCs w:val="16"/>
                <w:lang w:val="en-CA"/>
              </w:rPr>
              <w:t>31 de diciembre de</w:t>
            </w:r>
          </w:p>
          <w:p w:rsidR="00AB646E" w:rsidRPr="00902562" w:rsidRDefault="004E3F38" w:rsidP="00AB646E">
            <w:pPr>
              <w:widowControl w:val="0"/>
              <w:jc w:val="right"/>
              <w:rPr>
                <w:rFonts w:ascii="Arial" w:hAnsi="Arial" w:cs="Arial"/>
                <w:b/>
                <w:bCs/>
                <w:sz w:val="16"/>
                <w:szCs w:val="16"/>
                <w:lang w:val="en-CA"/>
              </w:rPr>
            </w:pPr>
            <w:r>
              <w:rPr>
                <w:rFonts w:ascii="Arial" w:hAnsi="Arial" w:cs="Arial"/>
                <w:b/>
                <w:bCs/>
                <w:sz w:val="16"/>
                <w:szCs w:val="16"/>
                <w:lang w:val="en-CA"/>
              </w:rPr>
              <w:t>2023</w:t>
            </w:r>
          </w:p>
        </w:tc>
      </w:tr>
      <w:tr w:rsidR="004E3F38" w:rsidRPr="00902562" w:rsidTr="004505FD">
        <w:tblPrEx>
          <w:tblLook w:val="01E0" w:firstRow="1" w:lastRow="1" w:firstColumn="1" w:lastColumn="1" w:noHBand="0" w:noVBand="0"/>
        </w:tblPrEx>
        <w:trPr>
          <w:trHeight w:val="184"/>
        </w:trPr>
        <w:tc>
          <w:tcPr>
            <w:tcW w:w="5490" w:type="dxa"/>
            <w:tcBorders>
              <w:top w:val="single" w:sz="4" w:space="0" w:color="auto"/>
            </w:tcBorders>
          </w:tcPr>
          <w:p w:rsidR="004E3F38" w:rsidRDefault="004E3F38" w:rsidP="004E3F38">
            <w:pPr>
              <w:widowControl w:val="0"/>
              <w:spacing w:before="60" w:line="240" w:lineRule="atLeast"/>
              <w:rPr>
                <w:rFonts w:ascii="Arial" w:hAnsi="Arial" w:cs="Arial"/>
                <w:sz w:val="18"/>
                <w:szCs w:val="18"/>
                <w:lang w:val="en-CA"/>
              </w:rPr>
            </w:pPr>
            <w:r w:rsidRPr="00717B62">
              <w:rPr>
                <w:rFonts w:ascii="Arial" w:hAnsi="Arial" w:cs="Arial"/>
                <w:sz w:val="18"/>
                <w:szCs w:val="18"/>
                <w:lang w:val="es-AR"/>
              </w:rPr>
              <w:t>Activo corriente</w:t>
            </w:r>
          </w:p>
        </w:tc>
        <w:tc>
          <w:tcPr>
            <w:tcW w:w="1307" w:type="dxa"/>
            <w:tcBorders>
              <w:top w:val="single" w:sz="4" w:space="0" w:color="000000"/>
            </w:tcBorders>
            <w:vAlign w:val="bottom"/>
          </w:tcPr>
          <w:p w:rsidR="004E3F38" w:rsidRPr="00BA0AC9" w:rsidRDefault="004E3F38" w:rsidP="004E3F38">
            <w:pPr>
              <w:widowControl w:val="0"/>
              <w:tabs>
                <w:tab w:val="decimal" w:pos="1062"/>
              </w:tabs>
              <w:spacing w:line="240" w:lineRule="atLeast"/>
              <w:ind w:right="-45"/>
              <w:rPr>
                <w:rFonts w:ascii="Arial" w:hAnsi="Arial" w:cs="Arial"/>
                <w:sz w:val="18"/>
                <w:szCs w:val="18"/>
                <w:lang w:val="en-CA"/>
              </w:rPr>
            </w:pPr>
            <w:r>
              <w:rPr>
                <w:rFonts w:ascii="Arial" w:hAnsi="Arial" w:cs="Arial"/>
                <w:sz w:val="18"/>
                <w:szCs w:val="18"/>
              </w:rPr>
              <w:t>28.129.766</w:t>
            </w:r>
          </w:p>
        </w:tc>
        <w:tc>
          <w:tcPr>
            <w:tcW w:w="1307" w:type="dxa"/>
            <w:tcBorders>
              <w:top w:val="single" w:sz="4" w:space="0" w:color="auto"/>
            </w:tcBorders>
          </w:tcPr>
          <w:p w:rsidR="004E3F38" w:rsidRPr="00A11329" w:rsidRDefault="004E3F38" w:rsidP="004E3F38">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7</w:t>
            </w:r>
            <w:r>
              <w:rPr>
                <w:rFonts w:ascii="Arial" w:hAnsi="Arial" w:cs="Arial"/>
                <w:sz w:val="18"/>
                <w:szCs w:val="18"/>
              </w:rPr>
              <w:t>.</w:t>
            </w:r>
            <w:r w:rsidRPr="00002555">
              <w:rPr>
                <w:rFonts w:ascii="Arial" w:hAnsi="Arial" w:cs="Arial"/>
                <w:sz w:val="18"/>
                <w:szCs w:val="18"/>
              </w:rPr>
              <w:t>636</w:t>
            </w:r>
            <w:r>
              <w:rPr>
                <w:rFonts w:ascii="Arial" w:hAnsi="Arial" w:cs="Arial"/>
                <w:sz w:val="18"/>
                <w:szCs w:val="18"/>
              </w:rPr>
              <w:t>.</w:t>
            </w:r>
            <w:r w:rsidRPr="00002555">
              <w:rPr>
                <w:rFonts w:ascii="Arial" w:hAnsi="Arial" w:cs="Arial"/>
                <w:sz w:val="18"/>
                <w:szCs w:val="18"/>
              </w:rPr>
              <w:t>408</w:t>
            </w:r>
          </w:p>
        </w:tc>
      </w:tr>
      <w:tr w:rsidR="004E3F38" w:rsidRPr="00902562" w:rsidTr="004505FD">
        <w:tblPrEx>
          <w:tblLook w:val="01E0" w:firstRow="1" w:lastRow="1" w:firstColumn="1" w:lastColumn="1" w:noHBand="0" w:noVBand="0"/>
        </w:tblPrEx>
        <w:trPr>
          <w:trHeight w:val="184"/>
        </w:trPr>
        <w:tc>
          <w:tcPr>
            <w:tcW w:w="5490" w:type="dxa"/>
            <w:tcBorders>
              <w:bottom w:val="single" w:sz="4" w:space="0" w:color="auto"/>
            </w:tcBorders>
          </w:tcPr>
          <w:p w:rsidR="004E3F38" w:rsidRDefault="004E3F38" w:rsidP="004E3F38">
            <w:pPr>
              <w:widowControl w:val="0"/>
              <w:spacing w:line="240" w:lineRule="atLeast"/>
              <w:rPr>
                <w:rFonts w:ascii="Arial" w:hAnsi="Arial" w:cs="Arial"/>
                <w:sz w:val="18"/>
                <w:szCs w:val="18"/>
                <w:lang w:val="en-CA"/>
              </w:rPr>
            </w:pPr>
            <w:r w:rsidRPr="00717B62">
              <w:rPr>
                <w:rFonts w:ascii="Arial" w:hAnsi="Arial" w:cs="Arial"/>
                <w:sz w:val="18"/>
                <w:szCs w:val="18"/>
                <w:lang w:val="es-AR"/>
              </w:rPr>
              <w:t>Pasivo corriente</w:t>
            </w:r>
          </w:p>
        </w:tc>
        <w:tc>
          <w:tcPr>
            <w:tcW w:w="1307" w:type="dxa"/>
            <w:tcBorders>
              <w:bottom w:val="single" w:sz="4" w:space="0" w:color="000000"/>
            </w:tcBorders>
            <w:vAlign w:val="bottom"/>
          </w:tcPr>
          <w:p w:rsidR="004E3F38" w:rsidRPr="00BA0AC9" w:rsidRDefault="004E3F38" w:rsidP="004E3F38">
            <w:pPr>
              <w:widowControl w:val="0"/>
              <w:tabs>
                <w:tab w:val="decimal" w:pos="1062"/>
              </w:tabs>
              <w:spacing w:line="240" w:lineRule="atLeast"/>
              <w:ind w:right="-45"/>
              <w:rPr>
                <w:rFonts w:ascii="Arial" w:hAnsi="Arial" w:cs="Arial"/>
                <w:sz w:val="18"/>
                <w:szCs w:val="18"/>
                <w:lang w:val="en-CA"/>
              </w:rPr>
            </w:pPr>
            <w:r>
              <w:rPr>
                <w:rFonts w:ascii="Arial" w:hAnsi="Arial" w:cs="Arial"/>
                <w:sz w:val="18"/>
                <w:szCs w:val="18"/>
              </w:rPr>
              <w:t>(56.945.822)</w:t>
            </w:r>
          </w:p>
        </w:tc>
        <w:tc>
          <w:tcPr>
            <w:tcW w:w="1307" w:type="dxa"/>
            <w:tcBorders>
              <w:bottom w:val="single" w:sz="4" w:space="0" w:color="auto"/>
            </w:tcBorders>
          </w:tcPr>
          <w:p w:rsidR="004E3F38" w:rsidRPr="00A11329" w:rsidRDefault="004E3F38" w:rsidP="004E3F38">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(19</w:t>
            </w:r>
            <w:r>
              <w:rPr>
                <w:rFonts w:ascii="Arial" w:hAnsi="Arial" w:cs="Arial"/>
                <w:sz w:val="18"/>
                <w:szCs w:val="18"/>
              </w:rPr>
              <w:t>.</w:t>
            </w:r>
            <w:r w:rsidRPr="00002555">
              <w:rPr>
                <w:rFonts w:ascii="Arial" w:hAnsi="Arial" w:cs="Arial"/>
                <w:sz w:val="18"/>
                <w:szCs w:val="18"/>
              </w:rPr>
              <w:t>422</w:t>
            </w:r>
            <w:r>
              <w:rPr>
                <w:rFonts w:ascii="Arial" w:hAnsi="Arial" w:cs="Arial"/>
                <w:sz w:val="18"/>
                <w:szCs w:val="18"/>
              </w:rPr>
              <w:t>.</w:t>
            </w:r>
            <w:r w:rsidRPr="00002555">
              <w:rPr>
                <w:rFonts w:ascii="Arial" w:hAnsi="Arial" w:cs="Arial"/>
                <w:sz w:val="18"/>
                <w:szCs w:val="18"/>
              </w:rPr>
              <w:t>342)</w:t>
            </w:r>
          </w:p>
        </w:tc>
      </w:tr>
      <w:tr w:rsidR="004E3F38" w:rsidRPr="00902562" w:rsidTr="004505FD">
        <w:tblPrEx>
          <w:tblLook w:val="01E0" w:firstRow="1" w:lastRow="1" w:firstColumn="1" w:lastColumn="1" w:noHBand="0" w:noVBand="0"/>
        </w:tblPrEx>
        <w:trPr>
          <w:trHeight w:val="184"/>
        </w:trPr>
        <w:tc>
          <w:tcPr>
            <w:tcW w:w="5490" w:type="dxa"/>
            <w:tcBorders>
              <w:top w:val="single" w:sz="4" w:space="0" w:color="auto"/>
              <w:bottom w:val="single" w:sz="4" w:space="0" w:color="auto"/>
            </w:tcBorders>
          </w:tcPr>
          <w:p w:rsidR="004E3F38" w:rsidRPr="00902562" w:rsidRDefault="004E3F38" w:rsidP="004E3F38">
            <w:pPr>
              <w:widowControl w:val="0"/>
              <w:spacing w:line="240" w:lineRule="atLeast"/>
              <w:rPr>
                <w:rFonts w:ascii="Arial" w:hAnsi="Arial" w:cs="Arial"/>
                <w:sz w:val="18"/>
                <w:szCs w:val="18"/>
                <w:lang w:val="en-CA"/>
              </w:rPr>
            </w:pPr>
            <w:r w:rsidRPr="00717B62">
              <w:rPr>
                <w:rFonts w:ascii="Arial" w:hAnsi="Arial" w:cs="Arial"/>
                <w:sz w:val="18"/>
                <w:szCs w:val="18"/>
                <w:lang w:val="es-AR"/>
              </w:rPr>
              <w:t>Capital de trabajo</w:t>
            </w:r>
            <w:r w:rsidRPr="00717B62">
              <w:rPr>
                <w:rFonts w:ascii="Arial" w:hAnsi="Arial" w:cs="Arial"/>
                <w:sz w:val="20"/>
                <w:szCs w:val="20"/>
                <w:vertAlign w:val="superscript"/>
                <w:lang w:val="es-AR"/>
              </w:rPr>
              <w:t>(</w:t>
            </w:r>
            <w:r>
              <w:rPr>
                <w:rFonts w:ascii="Arial" w:hAnsi="Arial" w:cs="Arial"/>
                <w:sz w:val="20"/>
                <w:szCs w:val="20"/>
                <w:vertAlign w:val="superscript"/>
                <w:lang w:val="es-AR"/>
              </w:rPr>
              <w:t>1</w:t>
            </w:r>
            <w:r w:rsidRPr="00717B62">
              <w:rPr>
                <w:rFonts w:ascii="Arial" w:hAnsi="Arial" w:cs="Arial"/>
                <w:sz w:val="20"/>
                <w:szCs w:val="20"/>
                <w:vertAlign w:val="superscript"/>
                <w:lang w:val="es-AR"/>
              </w:rPr>
              <w:t>)</w:t>
            </w:r>
          </w:p>
        </w:tc>
        <w:tc>
          <w:tcPr>
            <w:tcW w:w="1307" w:type="dxa"/>
            <w:tcBorders>
              <w:top w:val="single" w:sz="4" w:space="0" w:color="000000"/>
              <w:bottom w:val="single" w:sz="4" w:space="0" w:color="000000"/>
            </w:tcBorders>
            <w:vAlign w:val="bottom"/>
          </w:tcPr>
          <w:p w:rsidR="004E3F38" w:rsidRPr="00BA0AC9" w:rsidRDefault="004E3F38" w:rsidP="004E3F38">
            <w:pPr>
              <w:widowControl w:val="0"/>
              <w:tabs>
                <w:tab w:val="decimal" w:pos="1062"/>
              </w:tabs>
              <w:spacing w:line="240" w:lineRule="atLeast"/>
              <w:ind w:right="-45"/>
              <w:rPr>
                <w:rFonts w:ascii="Arial" w:hAnsi="Arial" w:cs="Arial"/>
                <w:sz w:val="18"/>
                <w:szCs w:val="18"/>
                <w:lang w:val="en-CA"/>
              </w:rPr>
            </w:pPr>
            <w:r>
              <w:rPr>
                <w:rFonts w:ascii="Arial" w:hAnsi="Arial" w:cs="Arial"/>
                <w:sz w:val="18"/>
                <w:szCs w:val="18"/>
              </w:rPr>
              <w:t>(28.816.056)</w:t>
            </w:r>
          </w:p>
        </w:tc>
        <w:tc>
          <w:tcPr>
            <w:tcW w:w="1307" w:type="dxa"/>
            <w:tcBorders>
              <w:top w:val="single" w:sz="4" w:space="0" w:color="auto"/>
              <w:bottom w:val="single" w:sz="4" w:space="0" w:color="auto"/>
            </w:tcBorders>
          </w:tcPr>
          <w:p w:rsidR="004E3F38" w:rsidRPr="00A11329" w:rsidRDefault="004E3F38" w:rsidP="004E3F38">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(11</w:t>
            </w:r>
            <w:r>
              <w:rPr>
                <w:rFonts w:ascii="Arial" w:hAnsi="Arial" w:cs="Arial"/>
                <w:sz w:val="18"/>
                <w:szCs w:val="18"/>
              </w:rPr>
              <w:t>.</w:t>
            </w:r>
            <w:r w:rsidRPr="00002555">
              <w:rPr>
                <w:rFonts w:ascii="Arial" w:hAnsi="Arial" w:cs="Arial"/>
                <w:sz w:val="18"/>
                <w:szCs w:val="18"/>
              </w:rPr>
              <w:t>785</w:t>
            </w:r>
            <w:r>
              <w:rPr>
                <w:rFonts w:ascii="Arial" w:hAnsi="Arial" w:cs="Arial"/>
                <w:sz w:val="18"/>
                <w:szCs w:val="18"/>
              </w:rPr>
              <w:t>.</w:t>
            </w:r>
            <w:r w:rsidRPr="00002555">
              <w:rPr>
                <w:rFonts w:ascii="Arial" w:hAnsi="Arial" w:cs="Arial"/>
                <w:sz w:val="18"/>
                <w:szCs w:val="18"/>
              </w:rPr>
              <w:t>934)</w:t>
            </w:r>
          </w:p>
        </w:tc>
      </w:tr>
      <w:tr w:rsidR="004E3F38" w:rsidRPr="00902562" w:rsidTr="004505FD">
        <w:tblPrEx>
          <w:tblLook w:val="01E0" w:firstRow="1" w:lastRow="1" w:firstColumn="1" w:lastColumn="1" w:noHBand="0" w:noVBand="0"/>
        </w:tblPrEx>
        <w:trPr>
          <w:trHeight w:val="235"/>
        </w:trPr>
        <w:tc>
          <w:tcPr>
            <w:tcW w:w="5490" w:type="dxa"/>
            <w:tcBorders>
              <w:top w:val="single" w:sz="4" w:space="0" w:color="auto"/>
            </w:tcBorders>
            <w:vAlign w:val="bottom"/>
          </w:tcPr>
          <w:p w:rsidR="004E3F38" w:rsidRPr="00AB646E" w:rsidRDefault="004E3F38" w:rsidP="004E3F38">
            <w:pPr>
              <w:widowControl w:val="0"/>
              <w:spacing w:before="60" w:line="240" w:lineRule="atLeast"/>
              <w:rPr>
                <w:rFonts w:ascii="Arial" w:hAnsi="Arial" w:cs="Arial"/>
                <w:sz w:val="18"/>
                <w:szCs w:val="18"/>
                <w:lang w:val="es-ES_tradnl"/>
              </w:rPr>
            </w:pPr>
            <w:r w:rsidRPr="00717B62">
              <w:rPr>
                <w:rFonts w:ascii="Arial" w:hAnsi="Arial" w:cs="Arial"/>
                <w:sz w:val="18"/>
                <w:szCs w:val="18"/>
                <w:lang w:val="es-AR"/>
              </w:rPr>
              <w:t>Activos de exploración y evaluación</w:t>
            </w:r>
          </w:p>
        </w:tc>
        <w:tc>
          <w:tcPr>
            <w:tcW w:w="1307" w:type="dxa"/>
            <w:tcBorders>
              <w:top w:val="single" w:sz="4" w:space="0" w:color="000000"/>
            </w:tcBorders>
            <w:shd w:val="clear" w:color="auto" w:fill="auto"/>
            <w:vAlign w:val="bottom"/>
          </w:tcPr>
          <w:p w:rsidR="004E3F38" w:rsidRPr="00BA0AC9" w:rsidRDefault="004E3F38" w:rsidP="004E3F38">
            <w:pPr>
              <w:widowControl w:val="0"/>
              <w:tabs>
                <w:tab w:val="decimal" w:pos="1062"/>
              </w:tabs>
              <w:spacing w:line="240" w:lineRule="atLeast"/>
              <w:ind w:right="-45"/>
              <w:rPr>
                <w:rFonts w:ascii="Arial" w:hAnsi="Arial" w:cs="Arial"/>
                <w:sz w:val="18"/>
                <w:szCs w:val="18"/>
                <w:lang w:val="en-CA"/>
              </w:rPr>
            </w:pPr>
            <w:r>
              <w:rPr>
                <w:rFonts w:ascii="Arial" w:hAnsi="Arial" w:cs="Arial"/>
                <w:sz w:val="18"/>
                <w:szCs w:val="18"/>
              </w:rPr>
              <w:t>14.052.021</w:t>
            </w:r>
          </w:p>
        </w:tc>
        <w:tc>
          <w:tcPr>
            <w:tcW w:w="1307" w:type="dxa"/>
            <w:tcBorders>
              <w:top w:val="single" w:sz="4" w:space="0" w:color="auto"/>
            </w:tcBorders>
            <w:shd w:val="clear" w:color="auto" w:fill="auto"/>
          </w:tcPr>
          <w:p w:rsidR="004E3F38" w:rsidRPr="00A11329" w:rsidRDefault="004E3F38" w:rsidP="004E3F38">
            <w:pPr>
              <w:widowControl w:val="0"/>
              <w:tabs>
                <w:tab w:val="decimal" w:pos="1062"/>
              </w:tabs>
              <w:spacing w:before="60" w:line="240" w:lineRule="atLeast"/>
              <w:ind w:right="-45"/>
              <w:rPr>
                <w:rFonts w:ascii="Arial" w:hAnsi="Arial" w:cs="Arial"/>
                <w:sz w:val="18"/>
                <w:szCs w:val="18"/>
                <w:lang w:val="en-CA"/>
              </w:rPr>
            </w:pPr>
            <w:r w:rsidRPr="00002555">
              <w:rPr>
                <w:rFonts w:ascii="Arial" w:hAnsi="Arial" w:cs="Arial"/>
                <w:sz w:val="18"/>
                <w:szCs w:val="18"/>
              </w:rPr>
              <w:t>14</w:t>
            </w:r>
            <w:r>
              <w:rPr>
                <w:rFonts w:ascii="Arial" w:hAnsi="Arial" w:cs="Arial"/>
                <w:sz w:val="18"/>
                <w:szCs w:val="18"/>
              </w:rPr>
              <w:t>.</w:t>
            </w:r>
            <w:r w:rsidRPr="00002555">
              <w:rPr>
                <w:rFonts w:ascii="Arial" w:hAnsi="Arial" w:cs="Arial"/>
                <w:sz w:val="18"/>
                <w:szCs w:val="18"/>
              </w:rPr>
              <w:t>103</w:t>
            </w:r>
            <w:r>
              <w:rPr>
                <w:rFonts w:ascii="Arial" w:hAnsi="Arial" w:cs="Arial"/>
                <w:sz w:val="18"/>
                <w:szCs w:val="18"/>
              </w:rPr>
              <w:t>.</w:t>
            </w:r>
            <w:r w:rsidRPr="00002555">
              <w:rPr>
                <w:rFonts w:ascii="Arial" w:hAnsi="Arial" w:cs="Arial"/>
                <w:sz w:val="18"/>
                <w:szCs w:val="18"/>
              </w:rPr>
              <w:t>353</w:t>
            </w:r>
          </w:p>
        </w:tc>
      </w:tr>
      <w:tr w:rsidR="004E3F38" w:rsidRPr="00902562" w:rsidTr="004505FD">
        <w:tblPrEx>
          <w:tblLook w:val="01E0" w:firstRow="1" w:lastRow="1" w:firstColumn="1" w:lastColumn="1" w:noHBand="0" w:noVBand="0"/>
        </w:tblPrEx>
        <w:trPr>
          <w:trHeight w:val="235"/>
        </w:trPr>
        <w:tc>
          <w:tcPr>
            <w:tcW w:w="5490" w:type="dxa"/>
            <w:vAlign w:val="bottom"/>
          </w:tcPr>
          <w:p w:rsidR="004E3F38" w:rsidRPr="00902562" w:rsidRDefault="004E3F38" w:rsidP="004E3F38">
            <w:pPr>
              <w:widowControl w:val="0"/>
              <w:spacing w:line="240" w:lineRule="atLeast"/>
              <w:rPr>
                <w:rFonts w:ascii="Arial" w:hAnsi="Arial" w:cs="Arial"/>
                <w:sz w:val="18"/>
                <w:szCs w:val="18"/>
                <w:lang w:val="en-CA"/>
              </w:rPr>
            </w:pPr>
            <w:r w:rsidRPr="00717B62">
              <w:rPr>
                <w:rFonts w:ascii="Arial" w:hAnsi="Arial" w:cs="Arial"/>
                <w:sz w:val="18"/>
                <w:szCs w:val="18"/>
                <w:lang w:val="es-AR"/>
              </w:rPr>
              <w:t>Bienes de uso</w:t>
            </w:r>
          </w:p>
        </w:tc>
        <w:tc>
          <w:tcPr>
            <w:tcW w:w="1307" w:type="dxa"/>
            <w:shd w:val="clear" w:color="auto" w:fill="auto"/>
            <w:vAlign w:val="bottom"/>
          </w:tcPr>
          <w:p w:rsidR="004E3F38" w:rsidRPr="00BA0AC9" w:rsidRDefault="004E3F38" w:rsidP="004E3F38">
            <w:pPr>
              <w:widowControl w:val="0"/>
              <w:tabs>
                <w:tab w:val="decimal" w:pos="1062"/>
              </w:tabs>
              <w:spacing w:line="240" w:lineRule="atLeast"/>
              <w:ind w:right="-45"/>
              <w:rPr>
                <w:rFonts w:ascii="Arial" w:hAnsi="Arial" w:cs="Arial"/>
                <w:sz w:val="18"/>
                <w:szCs w:val="18"/>
                <w:lang w:val="en-CA"/>
              </w:rPr>
            </w:pPr>
            <w:r>
              <w:rPr>
                <w:rFonts w:ascii="Arial" w:hAnsi="Arial" w:cs="Arial"/>
                <w:sz w:val="18"/>
                <w:szCs w:val="18"/>
              </w:rPr>
              <w:t>175.506.640</w:t>
            </w:r>
          </w:p>
        </w:tc>
        <w:tc>
          <w:tcPr>
            <w:tcW w:w="1307" w:type="dxa"/>
            <w:shd w:val="clear" w:color="auto" w:fill="auto"/>
          </w:tcPr>
          <w:p w:rsidR="004E3F38" w:rsidRPr="00A11329" w:rsidRDefault="004E3F38" w:rsidP="004E3F38">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45</w:t>
            </w:r>
            <w:r>
              <w:rPr>
                <w:rFonts w:ascii="Arial" w:hAnsi="Arial" w:cs="Arial"/>
                <w:sz w:val="18"/>
                <w:szCs w:val="18"/>
              </w:rPr>
              <w:t>.</w:t>
            </w:r>
            <w:r w:rsidRPr="00002555">
              <w:rPr>
                <w:rFonts w:ascii="Arial" w:hAnsi="Arial" w:cs="Arial"/>
                <w:sz w:val="18"/>
                <w:szCs w:val="18"/>
              </w:rPr>
              <w:t>834</w:t>
            </w:r>
            <w:r>
              <w:rPr>
                <w:rFonts w:ascii="Arial" w:hAnsi="Arial" w:cs="Arial"/>
                <w:sz w:val="18"/>
                <w:szCs w:val="18"/>
              </w:rPr>
              <w:t>.</w:t>
            </w:r>
            <w:r w:rsidRPr="00002555">
              <w:rPr>
                <w:rFonts w:ascii="Arial" w:hAnsi="Arial" w:cs="Arial"/>
                <w:sz w:val="18"/>
                <w:szCs w:val="18"/>
              </w:rPr>
              <w:t>731</w:t>
            </w:r>
          </w:p>
        </w:tc>
      </w:tr>
      <w:tr w:rsidR="004E3F38" w:rsidRPr="00902562" w:rsidTr="004505FD">
        <w:tblPrEx>
          <w:tblLook w:val="01E0" w:firstRow="1" w:lastRow="1" w:firstColumn="1" w:lastColumn="1" w:noHBand="0" w:noVBand="0"/>
        </w:tblPrEx>
        <w:trPr>
          <w:trHeight w:val="247"/>
        </w:trPr>
        <w:tc>
          <w:tcPr>
            <w:tcW w:w="5490" w:type="dxa"/>
            <w:vAlign w:val="bottom"/>
          </w:tcPr>
          <w:p w:rsidR="004E3F38" w:rsidRPr="00902562" w:rsidRDefault="004E3F38" w:rsidP="004E3F38">
            <w:pPr>
              <w:widowControl w:val="0"/>
              <w:spacing w:line="240" w:lineRule="atLeast"/>
              <w:rPr>
                <w:rFonts w:ascii="Arial" w:hAnsi="Arial" w:cs="Arial"/>
                <w:sz w:val="18"/>
                <w:szCs w:val="18"/>
                <w:lang w:val="en-CA"/>
              </w:rPr>
            </w:pPr>
            <w:r w:rsidRPr="00717B62">
              <w:rPr>
                <w:rFonts w:ascii="Arial" w:hAnsi="Arial" w:cs="Arial"/>
                <w:sz w:val="18"/>
                <w:szCs w:val="18"/>
                <w:lang w:val="es-AR"/>
              </w:rPr>
              <w:t>Total activo</w:t>
            </w:r>
          </w:p>
        </w:tc>
        <w:tc>
          <w:tcPr>
            <w:tcW w:w="1307" w:type="dxa"/>
            <w:shd w:val="clear" w:color="auto" w:fill="auto"/>
            <w:vAlign w:val="bottom"/>
          </w:tcPr>
          <w:p w:rsidR="004E3F38" w:rsidRPr="00BA0AC9" w:rsidRDefault="004E3F38" w:rsidP="004E3F38">
            <w:pPr>
              <w:widowControl w:val="0"/>
              <w:tabs>
                <w:tab w:val="decimal" w:pos="1062"/>
              </w:tabs>
              <w:spacing w:line="240" w:lineRule="atLeast"/>
              <w:ind w:right="-45"/>
              <w:rPr>
                <w:rFonts w:ascii="Arial" w:hAnsi="Arial" w:cs="Arial"/>
                <w:sz w:val="18"/>
                <w:szCs w:val="18"/>
                <w:lang w:val="en-CA"/>
              </w:rPr>
            </w:pPr>
            <w:r>
              <w:rPr>
                <w:rFonts w:ascii="Arial" w:hAnsi="Arial" w:cs="Arial"/>
                <w:sz w:val="18"/>
                <w:szCs w:val="18"/>
              </w:rPr>
              <w:t>218.188.749</w:t>
            </w:r>
          </w:p>
        </w:tc>
        <w:tc>
          <w:tcPr>
            <w:tcW w:w="1307" w:type="dxa"/>
            <w:shd w:val="clear" w:color="auto" w:fill="auto"/>
          </w:tcPr>
          <w:p w:rsidR="004E3F38" w:rsidRPr="00A11329" w:rsidRDefault="004E3F38" w:rsidP="004E3F38">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67</w:t>
            </w:r>
            <w:r>
              <w:rPr>
                <w:rFonts w:ascii="Arial" w:hAnsi="Arial" w:cs="Arial"/>
                <w:sz w:val="18"/>
                <w:szCs w:val="18"/>
              </w:rPr>
              <w:t>.</w:t>
            </w:r>
            <w:r w:rsidRPr="00002555">
              <w:rPr>
                <w:rFonts w:ascii="Arial" w:hAnsi="Arial" w:cs="Arial"/>
                <w:sz w:val="18"/>
                <w:szCs w:val="18"/>
              </w:rPr>
              <w:t>785</w:t>
            </w:r>
            <w:r>
              <w:rPr>
                <w:rFonts w:ascii="Arial" w:hAnsi="Arial" w:cs="Arial"/>
                <w:sz w:val="18"/>
                <w:szCs w:val="18"/>
              </w:rPr>
              <w:t>.</w:t>
            </w:r>
            <w:r w:rsidRPr="00002555">
              <w:rPr>
                <w:rFonts w:ascii="Arial" w:hAnsi="Arial" w:cs="Arial"/>
                <w:sz w:val="18"/>
                <w:szCs w:val="18"/>
              </w:rPr>
              <w:t>665</w:t>
            </w:r>
          </w:p>
        </w:tc>
      </w:tr>
      <w:tr w:rsidR="004E3F38" w:rsidRPr="00902562" w:rsidTr="004505FD">
        <w:tblPrEx>
          <w:tblLook w:val="01E0" w:firstRow="1" w:lastRow="1" w:firstColumn="1" w:lastColumn="1" w:noHBand="0" w:noVBand="0"/>
        </w:tblPrEx>
        <w:trPr>
          <w:trHeight w:val="235"/>
        </w:trPr>
        <w:tc>
          <w:tcPr>
            <w:tcW w:w="5490" w:type="dxa"/>
            <w:vAlign w:val="bottom"/>
          </w:tcPr>
          <w:p w:rsidR="004E3F38" w:rsidRPr="00902562" w:rsidRDefault="004E3F38" w:rsidP="004E3F38">
            <w:pPr>
              <w:widowControl w:val="0"/>
              <w:spacing w:line="240" w:lineRule="atLeast"/>
              <w:rPr>
                <w:rFonts w:ascii="Arial" w:hAnsi="Arial" w:cs="Arial"/>
                <w:sz w:val="18"/>
                <w:szCs w:val="18"/>
                <w:lang w:val="en-CA"/>
              </w:rPr>
            </w:pPr>
            <w:r w:rsidRPr="00717B62">
              <w:rPr>
                <w:rFonts w:ascii="Arial" w:hAnsi="Arial" w:cs="Arial"/>
                <w:sz w:val="18"/>
                <w:szCs w:val="18"/>
                <w:lang w:val="es-AR"/>
              </w:rPr>
              <w:t xml:space="preserve">Pasivos financieros no corrientes </w:t>
            </w:r>
            <w:r w:rsidRPr="00717B62">
              <w:rPr>
                <w:rFonts w:ascii="Arial" w:hAnsi="Arial" w:cs="Arial"/>
                <w:sz w:val="18"/>
                <w:szCs w:val="18"/>
                <w:vertAlign w:val="superscript"/>
                <w:lang w:val="es-AR"/>
              </w:rPr>
              <w:t>(</w:t>
            </w:r>
            <w:r>
              <w:rPr>
                <w:rFonts w:ascii="Arial" w:hAnsi="Arial" w:cs="Arial"/>
                <w:sz w:val="18"/>
                <w:szCs w:val="18"/>
                <w:vertAlign w:val="superscript"/>
                <w:lang w:val="es-AR"/>
              </w:rPr>
              <w:t>1</w:t>
            </w:r>
            <w:r w:rsidRPr="00717B62">
              <w:rPr>
                <w:rFonts w:ascii="Arial" w:hAnsi="Arial" w:cs="Arial"/>
                <w:sz w:val="18"/>
                <w:szCs w:val="18"/>
                <w:vertAlign w:val="superscript"/>
                <w:lang w:val="es-AR"/>
              </w:rPr>
              <w:t>)</w:t>
            </w:r>
          </w:p>
        </w:tc>
        <w:tc>
          <w:tcPr>
            <w:tcW w:w="1307" w:type="dxa"/>
            <w:shd w:val="clear" w:color="auto" w:fill="auto"/>
            <w:vAlign w:val="bottom"/>
          </w:tcPr>
          <w:p w:rsidR="004E3F38" w:rsidRPr="00BA0AC9" w:rsidRDefault="004E3F38" w:rsidP="004E3F38">
            <w:pPr>
              <w:widowControl w:val="0"/>
              <w:tabs>
                <w:tab w:val="decimal" w:pos="1062"/>
              </w:tabs>
              <w:spacing w:line="240" w:lineRule="atLeast"/>
              <w:ind w:right="-45"/>
              <w:rPr>
                <w:rFonts w:ascii="Arial" w:hAnsi="Arial" w:cs="Arial"/>
                <w:sz w:val="18"/>
                <w:szCs w:val="18"/>
                <w:lang w:val="en-CA"/>
              </w:rPr>
            </w:pPr>
            <w:r>
              <w:rPr>
                <w:rFonts w:ascii="Arial" w:hAnsi="Arial" w:cs="Arial"/>
                <w:sz w:val="18"/>
                <w:szCs w:val="18"/>
              </w:rPr>
              <w:t>31.945.591</w:t>
            </w:r>
          </w:p>
        </w:tc>
        <w:tc>
          <w:tcPr>
            <w:tcW w:w="1307" w:type="dxa"/>
          </w:tcPr>
          <w:p w:rsidR="004E3F38" w:rsidRPr="00A11329" w:rsidRDefault="004E3F38" w:rsidP="004E3F38">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18</w:t>
            </w:r>
            <w:r>
              <w:rPr>
                <w:rFonts w:ascii="Arial" w:hAnsi="Arial" w:cs="Arial"/>
                <w:sz w:val="18"/>
                <w:szCs w:val="18"/>
              </w:rPr>
              <w:t>.</w:t>
            </w:r>
            <w:r w:rsidRPr="00002555">
              <w:rPr>
                <w:rFonts w:ascii="Arial" w:hAnsi="Arial" w:cs="Arial"/>
                <w:sz w:val="18"/>
                <w:szCs w:val="18"/>
              </w:rPr>
              <w:t>317</w:t>
            </w:r>
            <w:r>
              <w:rPr>
                <w:rFonts w:ascii="Arial" w:hAnsi="Arial" w:cs="Arial"/>
                <w:sz w:val="18"/>
                <w:szCs w:val="18"/>
              </w:rPr>
              <w:t>.</w:t>
            </w:r>
            <w:r w:rsidRPr="00002555">
              <w:rPr>
                <w:rFonts w:ascii="Arial" w:hAnsi="Arial" w:cs="Arial"/>
                <w:sz w:val="18"/>
                <w:szCs w:val="18"/>
              </w:rPr>
              <w:t>856</w:t>
            </w:r>
          </w:p>
        </w:tc>
      </w:tr>
      <w:tr w:rsidR="004E3F38" w:rsidRPr="00902562" w:rsidTr="004505FD">
        <w:tblPrEx>
          <w:tblLook w:val="01E0" w:firstRow="1" w:lastRow="1" w:firstColumn="1" w:lastColumn="1" w:noHBand="0" w:noVBand="0"/>
        </w:tblPrEx>
        <w:trPr>
          <w:trHeight w:val="235"/>
        </w:trPr>
        <w:tc>
          <w:tcPr>
            <w:tcW w:w="5490" w:type="dxa"/>
            <w:vAlign w:val="bottom"/>
          </w:tcPr>
          <w:p w:rsidR="004E3F38" w:rsidRPr="00902562" w:rsidRDefault="004E3F38" w:rsidP="004E3F38">
            <w:pPr>
              <w:widowControl w:val="0"/>
              <w:spacing w:line="240" w:lineRule="atLeast"/>
              <w:rPr>
                <w:rFonts w:ascii="Arial" w:hAnsi="Arial" w:cs="Arial"/>
                <w:sz w:val="18"/>
                <w:szCs w:val="18"/>
                <w:lang w:val="en-CA"/>
              </w:rPr>
            </w:pPr>
            <w:r w:rsidRPr="00717B62">
              <w:rPr>
                <w:rFonts w:ascii="Arial" w:hAnsi="Arial" w:cs="Arial"/>
                <w:sz w:val="18"/>
                <w:szCs w:val="18"/>
                <w:lang w:val="es-AR"/>
              </w:rPr>
              <w:t>Capital accionario</w:t>
            </w:r>
          </w:p>
        </w:tc>
        <w:tc>
          <w:tcPr>
            <w:tcW w:w="1307" w:type="dxa"/>
            <w:vAlign w:val="bottom"/>
          </w:tcPr>
          <w:p w:rsidR="004E3F38" w:rsidRPr="00902562" w:rsidRDefault="004E3F38" w:rsidP="004E3F38">
            <w:pPr>
              <w:widowControl w:val="0"/>
              <w:tabs>
                <w:tab w:val="decimal" w:pos="1062"/>
              </w:tabs>
              <w:spacing w:line="240" w:lineRule="atLeast"/>
              <w:ind w:right="-45"/>
              <w:rPr>
                <w:rFonts w:ascii="Arial" w:hAnsi="Arial" w:cs="Arial"/>
                <w:sz w:val="18"/>
                <w:szCs w:val="18"/>
                <w:lang w:val="en-CA"/>
              </w:rPr>
            </w:pPr>
            <w:r>
              <w:rPr>
                <w:rFonts w:ascii="Arial" w:hAnsi="Arial" w:cs="Arial"/>
                <w:sz w:val="18"/>
                <w:szCs w:val="18"/>
              </w:rPr>
              <w:t>56.456.328</w:t>
            </w:r>
          </w:p>
        </w:tc>
        <w:tc>
          <w:tcPr>
            <w:tcW w:w="1307" w:type="dxa"/>
          </w:tcPr>
          <w:p w:rsidR="004E3F38" w:rsidRPr="00902562" w:rsidRDefault="004E3F38" w:rsidP="004E3F38">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56</w:t>
            </w:r>
            <w:r>
              <w:rPr>
                <w:rFonts w:ascii="Arial" w:hAnsi="Arial" w:cs="Arial"/>
                <w:sz w:val="18"/>
                <w:szCs w:val="18"/>
              </w:rPr>
              <w:t>.</w:t>
            </w:r>
            <w:r w:rsidRPr="00002555">
              <w:rPr>
                <w:rFonts w:ascii="Arial" w:hAnsi="Arial" w:cs="Arial"/>
                <w:sz w:val="18"/>
                <w:szCs w:val="18"/>
              </w:rPr>
              <w:t>456</w:t>
            </w:r>
            <w:r>
              <w:rPr>
                <w:rFonts w:ascii="Arial" w:hAnsi="Arial" w:cs="Arial"/>
                <w:sz w:val="18"/>
                <w:szCs w:val="18"/>
              </w:rPr>
              <w:t>.</w:t>
            </w:r>
            <w:r w:rsidRPr="00002555">
              <w:rPr>
                <w:rFonts w:ascii="Arial" w:hAnsi="Arial" w:cs="Arial"/>
                <w:sz w:val="18"/>
                <w:szCs w:val="18"/>
              </w:rPr>
              <w:t>328</w:t>
            </w:r>
          </w:p>
        </w:tc>
      </w:tr>
      <w:tr w:rsidR="004E3F38" w:rsidRPr="00902562" w:rsidTr="004505FD">
        <w:tblPrEx>
          <w:tblLook w:val="01E0" w:firstRow="1" w:lastRow="1" w:firstColumn="1" w:lastColumn="1" w:noHBand="0" w:noVBand="0"/>
        </w:tblPrEx>
        <w:trPr>
          <w:trHeight w:val="235"/>
        </w:trPr>
        <w:tc>
          <w:tcPr>
            <w:tcW w:w="5490" w:type="dxa"/>
            <w:tcBorders>
              <w:bottom w:val="single" w:sz="12" w:space="0" w:color="auto"/>
            </w:tcBorders>
            <w:vAlign w:val="bottom"/>
          </w:tcPr>
          <w:p w:rsidR="004E3F38" w:rsidRPr="00AB646E" w:rsidRDefault="004E3F38" w:rsidP="004E3F38">
            <w:pPr>
              <w:widowControl w:val="0"/>
              <w:spacing w:line="240" w:lineRule="atLeast"/>
              <w:rPr>
                <w:rFonts w:ascii="Arial" w:hAnsi="Arial" w:cs="Arial"/>
                <w:sz w:val="18"/>
                <w:szCs w:val="18"/>
                <w:lang w:val="es-ES_tradnl"/>
              </w:rPr>
            </w:pPr>
            <w:r w:rsidRPr="00717B62">
              <w:rPr>
                <w:rFonts w:ascii="Arial" w:hAnsi="Arial" w:cs="Arial"/>
                <w:sz w:val="18"/>
                <w:szCs w:val="18"/>
                <w:lang w:val="es-AR"/>
              </w:rPr>
              <w:t xml:space="preserve">Total acciones ordinarias en circulación </w:t>
            </w:r>
          </w:p>
        </w:tc>
        <w:tc>
          <w:tcPr>
            <w:tcW w:w="1307" w:type="dxa"/>
            <w:tcBorders>
              <w:bottom w:val="single" w:sz="12" w:space="0" w:color="auto"/>
            </w:tcBorders>
            <w:vAlign w:val="center"/>
          </w:tcPr>
          <w:p w:rsidR="004E3F38" w:rsidRPr="00902562" w:rsidRDefault="004E3F38" w:rsidP="004E3F38">
            <w:pPr>
              <w:widowControl w:val="0"/>
              <w:tabs>
                <w:tab w:val="decimal" w:pos="1062"/>
              </w:tabs>
              <w:spacing w:line="240" w:lineRule="atLeast"/>
              <w:ind w:right="-45"/>
              <w:rPr>
                <w:rFonts w:ascii="Arial" w:hAnsi="Arial" w:cs="Arial"/>
                <w:sz w:val="18"/>
                <w:szCs w:val="18"/>
                <w:lang w:val="en-CA"/>
              </w:rPr>
            </w:pPr>
            <w:r>
              <w:rPr>
                <w:rFonts w:ascii="Arial" w:hAnsi="Arial" w:cs="Arial"/>
                <w:sz w:val="18"/>
                <w:szCs w:val="18"/>
              </w:rPr>
              <w:t>72.903.038</w:t>
            </w:r>
          </w:p>
        </w:tc>
        <w:tc>
          <w:tcPr>
            <w:tcW w:w="1307" w:type="dxa"/>
            <w:tcBorders>
              <w:bottom w:val="single" w:sz="12" w:space="0" w:color="auto"/>
            </w:tcBorders>
          </w:tcPr>
          <w:p w:rsidR="004E3F38" w:rsidRPr="00902562" w:rsidRDefault="004E3F38" w:rsidP="004E3F38">
            <w:pPr>
              <w:widowControl w:val="0"/>
              <w:tabs>
                <w:tab w:val="decimal" w:pos="1062"/>
              </w:tabs>
              <w:spacing w:line="240" w:lineRule="atLeast"/>
              <w:ind w:right="-45"/>
              <w:rPr>
                <w:rFonts w:ascii="Arial" w:hAnsi="Arial" w:cs="Arial"/>
                <w:sz w:val="18"/>
                <w:szCs w:val="18"/>
                <w:lang w:val="en-CA"/>
              </w:rPr>
            </w:pPr>
            <w:r w:rsidRPr="00002555">
              <w:rPr>
                <w:rFonts w:ascii="Arial" w:hAnsi="Arial" w:cs="Arial"/>
                <w:sz w:val="18"/>
                <w:szCs w:val="18"/>
              </w:rPr>
              <w:t>72</w:t>
            </w:r>
            <w:r>
              <w:rPr>
                <w:rFonts w:ascii="Arial" w:hAnsi="Arial" w:cs="Arial"/>
                <w:sz w:val="18"/>
                <w:szCs w:val="18"/>
              </w:rPr>
              <w:t>.</w:t>
            </w:r>
            <w:r w:rsidRPr="00002555">
              <w:rPr>
                <w:rFonts w:ascii="Arial" w:hAnsi="Arial" w:cs="Arial"/>
                <w:sz w:val="18"/>
                <w:szCs w:val="18"/>
              </w:rPr>
              <w:t>903</w:t>
            </w:r>
            <w:r>
              <w:rPr>
                <w:rFonts w:ascii="Arial" w:hAnsi="Arial" w:cs="Arial"/>
                <w:sz w:val="18"/>
                <w:szCs w:val="18"/>
              </w:rPr>
              <w:t>.</w:t>
            </w:r>
            <w:r w:rsidRPr="00002555">
              <w:rPr>
                <w:rFonts w:ascii="Arial" w:hAnsi="Arial" w:cs="Arial"/>
                <w:sz w:val="18"/>
                <w:szCs w:val="18"/>
              </w:rPr>
              <w:t>038</w:t>
            </w:r>
          </w:p>
        </w:tc>
      </w:tr>
      <w:tr w:rsidR="00AB646E" w:rsidRPr="00902562" w:rsidTr="00AB646E">
        <w:tblPrEx>
          <w:tblLook w:val="01E0" w:firstRow="1" w:lastRow="1" w:firstColumn="1" w:lastColumn="1" w:noHBand="0" w:noVBand="0"/>
        </w:tblPrEx>
        <w:trPr>
          <w:trHeight w:val="50"/>
        </w:trPr>
        <w:tc>
          <w:tcPr>
            <w:tcW w:w="5490" w:type="dxa"/>
            <w:tcBorders>
              <w:top w:val="single" w:sz="12" w:space="0" w:color="auto"/>
            </w:tcBorders>
            <w:vAlign w:val="bottom"/>
          </w:tcPr>
          <w:p w:rsidR="00AB646E" w:rsidRPr="00902562" w:rsidRDefault="00AB646E" w:rsidP="00AB646E">
            <w:pPr>
              <w:widowControl w:val="0"/>
              <w:rPr>
                <w:rFonts w:ascii="Arial" w:hAnsi="Arial" w:cs="Arial"/>
                <w:sz w:val="4"/>
                <w:szCs w:val="4"/>
                <w:lang w:val="en-CA"/>
              </w:rPr>
            </w:pPr>
          </w:p>
        </w:tc>
        <w:tc>
          <w:tcPr>
            <w:tcW w:w="1307" w:type="dxa"/>
            <w:tcBorders>
              <w:top w:val="single" w:sz="12" w:space="0" w:color="auto"/>
            </w:tcBorders>
            <w:vAlign w:val="bottom"/>
          </w:tcPr>
          <w:p w:rsidR="00AB646E" w:rsidRPr="00902562" w:rsidRDefault="00AB646E" w:rsidP="00AB646E">
            <w:pPr>
              <w:widowControl w:val="0"/>
              <w:ind w:right="-45"/>
              <w:jc w:val="right"/>
              <w:rPr>
                <w:rFonts w:ascii="Arial" w:hAnsi="Arial" w:cs="Arial"/>
                <w:sz w:val="4"/>
                <w:szCs w:val="4"/>
                <w:lang w:val="en-CA"/>
              </w:rPr>
            </w:pPr>
          </w:p>
        </w:tc>
        <w:tc>
          <w:tcPr>
            <w:tcW w:w="1307" w:type="dxa"/>
            <w:tcBorders>
              <w:top w:val="single" w:sz="12" w:space="0" w:color="auto"/>
            </w:tcBorders>
            <w:vAlign w:val="bottom"/>
          </w:tcPr>
          <w:p w:rsidR="00AB646E" w:rsidRPr="00902562" w:rsidRDefault="00AB646E" w:rsidP="00AB646E">
            <w:pPr>
              <w:widowControl w:val="0"/>
              <w:jc w:val="right"/>
              <w:rPr>
                <w:rFonts w:ascii="Arial" w:hAnsi="Arial" w:cs="Arial"/>
                <w:sz w:val="4"/>
                <w:szCs w:val="4"/>
                <w:lang w:val="en-CA"/>
              </w:rPr>
            </w:pPr>
          </w:p>
        </w:tc>
      </w:tr>
    </w:tbl>
    <w:p w:rsidR="00893629" w:rsidRDefault="00893629">
      <w:pPr>
        <w:rPr>
          <w:rFonts w:ascii="Arial" w:hAnsi="Arial" w:cs="Arial"/>
          <w:sz w:val="20"/>
          <w:szCs w:val="20"/>
          <w:lang w:val="es-AR"/>
        </w:rPr>
      </w:pPr>
    </w:p>
    <w:p w:rsidR="00394AC6" w:rsidRDefault="00394AC6">
      <w:pPr>
        <w:rPr>
          <w:rFonts w:ascii="Arial" w:hAnsi="Arial" w:cs="Arial"/>
          <w:sz w:val="20"/>
          <w:szCs w:val="20"/>
          <w:lang w:val="es-AR"/>
        </w:rPr>
      </w:pPr>
    </w:p>
    <w:tbl>
      <w:tblPr>
        <w:tblW w:w="9100" w:type="dxa"/>
        <w:tblLayout w:type="fixed"/>
        <w:tblLook w:val="04A0" w:firstRow="1" w:lastRow="0" w:firstColumn="1" w:lastColumn="0" w:noHBand="0" w:noVBand="1"/>
      </w:tblPr>
      <w:tblGrid>
        <w:gridCol w:w="4253"/>
        <w:gridCol w:w="1188"/>
        <w:gridCol w:w="1160"/>
        <w:gridCol w:w="1249"/>
        <w:gridCol w:w="1240"/>
        <w:gridCol w:w="10"/>
      </w:tblGrid>
      <w:tr w:rsidR="00A73253" w:rsidRPr="009E0282" w:rsidTr="00A73253">
        <w:trPr>
          <w:trHeight w:val="272"/>
        </w:trPr>
        <w:tc>
          <w:tcPr>
            <w:tcW w:w="4253" w:type="dxa"/>
            <w:tcBorders>
              <w:top w:val="single" w:sz="12" w:space="0" w:color="auto"/>
            </w:tcBorders>
            <w:vAlign w:val="bottom"/>
          </w:tcPr>
          <w:p w:rsidR="00A73253" w:rsidRPr="00A73253" w:rsidRDefault="00A73253" w:rsidP="00A73253">
            <w:pPr>
              <w:rPr>
                <w:rFonts w:ascii="Arial" w:hAnsi="Arial" w:cs="Arial"/>
                <w:bCs/>
                <w:sz w:val="18"/>
                <w:szCs w:val="18"/>
                <w:lang w:val="es-ES_tradnl"/>
              </w:rPr>
            </w:pPr>
            <w:bookmarkStart w:id="0" w:name="_Hlk129535955"/>
            <w:r w:rsidRPr="00717B62">
              <w:rPr>
                <w:rFonts w:ascii="Arial" w:hAnsi="Arial" w:cs="Arial"/>
                <w:sz w:val="16"/>
                <w:szCs w:val="16"/>
                <w:lang w:val="es-AR"/>
              </w:rPr>
              <w:t>(cifras expresadas en $, salvo por las correspondientes a las acciones en circulación)</w:t>
            </w:r>
          </w:p>
        </w:tc>
        <w:tc>
          <w:tcPr>
            <w:tcW w:w="2348" w:type="dxa"/>
            <w:gridSpan w:val="2"/>
            <w:tcBorders>
              <w:top w:val="single" w:sz="12" w:space="0" w:color="auto"/>
            </w:tcBorders>
            <w:vAlign w:val="bottom"/>
          </w:tcPr>
          <w:p w:rsidR="00A73253" w:rsidRPr="00AB646E" w:rsidRDefault="00A73253" w:rsidP="00A73253">
            <w:pPr>
              <w:jc w:val="center"/>
              <w:rPr>
                <w:rFonts w:ascii="Arial" w:hAnsi="Arial" w:cs="Arial"/>
                <w:b/>
                <w:bCs/>
                <w:sz w:val="18"/>
                <w:szCs w:val="18"/>
                <w:lang w:val="es-ES_tradnl"/>
              </w:rPr>
            </w:pPr>
            <w:r w:rsidRPr="00AB646E">
              <w:rPr>
                <w:rFonts w:ascii="Arial" w:hAnsi="Arial" w:cs="Arial"/>
                <w:b/>
                <w:bCs/>
                <w:sz w:val="18"/>
                <w:szCs w:val="18"/>
                <w:lang w:val="es-ES_tradnl"/>
              </w:rPr>
              <w:t>Período de tres meses finalizado el</w:t>
            </w:r>
          </w:p>
        </w:tc>
        <w:tc>
          <w:tcPr>
            <w:tcW w:w="2499" w:type="dxa"/>
            <w:gridSpan w:val="3"/>
            <w:tcBorders>
              <w:top w:val="single" w:sz="12" w:space="0" w:color="auto"/>
            </w:tcBorders>
            <w:vAlign w:val="bottom"/>
          </w:tcPr>
          <w:p w:rsidR="00A73253" w:rsidRPr="009E0282" w:rsidRDefault="00A73253" w:rsidP="00A73253">
            <w:pPr>
              <w:jc w:val="center"/>
              <w:rPr>
                <w:rFonts w:ascii="Arial" w:hAnsi="Arial" w:cs="Arial"/>
                <w:b/>
                <w:bCs/>
                <w:sz w:val="18"/>
                <w:szCs w:val="18"/>
                <w:lang w:val="en-CA"/>
              </w:rPr>
            </w:pPr>
            <w:r>
              <w:rPr>
                <w:rFonts w:ascii="Arial" w:hAnsi="Arial" w:cs="Arial"/>
                <w:b/>
                <w:bCs/>
                <w:sz w:val="18"/>
                <w:szCs w:val="18"/>
                <w:lang w:val="en-CA"/>
              </w:rPr>
              <w:t>Ejercicio finalizado el</w:t>
            </w:r>
          </w:p>
        </w:tc>
      </w:tr>
      <w:tr w:rsidR="00A73253" w:rsidRPr="009E0282" w:rsidTr="00A73253">
        <w:trPr>
          <w:trHeight w:val="211"/>
        </w:trPr>
        <w:tc>
          <w:tcPr>
            <w:tcW w:w="4253" w:type="dxa"/>
          </w:tcPr>
          <w:p w:rsidR="00A73253" w:rsidRPr="009E0282" w:rsidRDefault="00A73253" w:rsidP="00A73253">
            <w:pPr>
              <w:rPr>
                <w:rFonts w:ascii="Arial" w:hAnsi="Arial" w:cs="Arial"/>
                <w:bCs/>
                <w:sz w:val="18"/>
                <w:szCs w:val="18"/>
                <w:lang w:val="en-CA"/>
              </w:rPr>
            </w:pPr>
          </w:p>
        </w:tc>
        <w:tc>
          <w:tcPr>
            <w:tcW w:w="2348" w:type="dxa"/>
            <w:gridSpan w:val="2"/>
            <w:vAlign w:val="bottom"/>
          </w:tcPr>
          <w:p w:rsidR="00A73253" w:rsidRPr="009E0282" w:rsidRDefault="00A73253" w:rsidP="00A73253">
            <w:pPr>
              <w:jc w:val="center"/>
              <w:rPr>
                <w:rFonts w:ascii="Arial" w:hAnsi="Arial" w:cs="Arial"/>
                <w:b/>
                <w:bCs/>
                <w:sz w:val="18"/>
                <w:szCs w:val="18"/>
                <w:lang w:val="en-CA"/>
              </w:rPr>
            </w:pPr>
            <w:r w:rsidRPr="009E0282">
              <w:rPr>
                <w:rFonts w:ascii="Arial" w:hAnsi="Arial" w:cs="Arial"/>
                <w:b/>
                <w:bCs/>
                <w:sz w:val="18"/>
                <w:szCs w:val="18"/>
                <w:lang w:val="en-CA"/>
              </w:rPr>
              <w:t>31</w:t>
            </w:r>
            <w:r>
              <w:rPr>
                <w:rFonts w:ascii="Arial" w:hAnsi="Arial" w:cs="Arial"/>
                <w:b/>
                <w:bCs/>
                <w:sz w:val="18"/>
                <w:szCs w:val="18"/>
                <w:lang w:val="en-CA"/>
              </w:rPr>
              <w:t xml:space="preserve"> de diciembre de</w:t>
            </w:r>
          </w:p>
        </w:tc>
        <w:tc>
          <w:tcPr>
            <w:tcW w:w="2499" w:type="dxa"/>
            <w:gridSpan w:val="3"/>
            <w:vAlign w:val="bottom"/>
          </w:tcPr>
          <w:p w:rsidR="00A73253" w:rsidRPr="009E0282" w:rsidRDefault="00A73253" w:rsidP="00A73253">
            <w:pPr>
              <w:jc w:val="center"/>
              <w:rPr>
                <w:rFonts w:ascii="Arial" w:hAnsi="Arial" w:cs="Arial"/>
                <w:b/>
                <w:bCs/>
                <w:sz w:val="18"/>
                <w:szCs w:val="18"/>
                <w:lang w:val="en-CA"/>
              </w:rPr>
            </w:pPr>
            <w:r w:rsidRPr="009E0282">
              <w:rPr>
                <w:rFonts w:ascii="Arial" w:hAnsi="Arial" w:cs="Arial"/>
                <w:b/>
                <w:bCs/>
                <w:sz w:val="18"/>
                <w:szCs w:val="18"/>
                <w:lang w:val="en-CA"/>
              </w:rPr>
              <w:t>31</w:t>
            </w:r>
            <w:r>
              <w:rPr>
                <w:rFonts w:ascii="Arial" w:hAnsi="Arial" w:cs="Arial"/>
                <w:b/>
                <w:bCs/>
                <w:sz w:val="18"/>
                <w:szCs w:val="18"/>
                <w:lang w:val="en-CA"/>
              </w:rPr>
              <w:t xml:space="preserve"> de diciembre de </w:t>
            </w:r>
          </w:p>
        </w:tc>
      </w:tr>
      <w:tr w:rsidR="00A73253" w:rsidRPr="009E0282" w:rsidTr="00A73253">
        <w:trPr>
          <w:gridAfter w:val="1"/>
          <w:wAfter w:w="10" w:type="dxa"/>
          <w:trHeight w:val="195"/>
        </w:trPr>
        <w:tc>
          <w:tcPr>
            <w:tcW w:w="4253" w:type="dxa"/>
          </w:tcPr>
          <w:p w:rsidR="00A73253" w:rsidRPr="009E0282" w:rsidRDefault="00A73253" w:rsidP="00A73253">
            <w:pPr>
              <w:rPr>
                <w:rFonts w:ascii="Arial" w:hAnsi="Arial" w:cs="Arial"/>
                <w:bCs/>
                <w:sz w:val="18"/>
                <w:szCs w:val="18"/>
                <w:lang w:val="en-CA"/>
              </w:rPr>
            </w:pPr>
          </w:p>
        </w:tc>
        <w:tc>
          <w:tcPr>
            <w:tcW w:w="1188" w:type="dxa"/>
            <w:vAlign w:val="bottom"/>
          </w:tcPr>
          <w:p w:rsidR="00A73253" w:rsidRPr="009E0282" w:rsidRDefault="00D122C9" w:rsidP="00A73253">
            <w:pPr>
              <w:jc w:val="center"/>
              <w:rPr>
                <w:rFonts w:ascii="Arial" w:hAnsi="Arial" w:cs="Arial"/>
                <w:b/>
                <w:bCs/>
                <w:sz w:val="18"/>
                <w:szCs w:val="18"/>
                <w:lang w:val="en-CA"/>
              </w:rPr>
            </w:pPr>
            <w:r>
              <w:rPr>
                <w:rFonts w:ascii="Arial" w:hAnsi="Arial" w:cs="Arial"/>
                <w:b/>
                <w:bCs/>
                <w:sz w:val="18"/>
                <w:szCs w:val="18"/>
                <w:lang w:val="en-CA"/>
              </w:rPr>
              <w:t>2024</w:t>
            </w:r>
          </w:p>
        </w:tc>
        <w:tc>
          <w:tcPr>
            <w:tcW w:w="1160" w:type="dxa"/>
            <w:vAlign w:val="bottom"/>
          </w:tcPr>
          <w:p w:rsidR="00A73253" w:rsidRPr="009E0282" w:rsidRDefault="00D122C9" w:rsidP="00A73253">
            <w:pPr>
              <w:jc w:val="center"/>
              <w:rPr>
                <w:rFonts w:ascii="Arial" w:hAnsi="Arial" w:cs="Arial"/>
                <w:b/>
                <w:bCs/>
                <w:sz w:val="18"/>
                <w:szCs w:val="18"/>
                <w:lang w:val="en-CA"/>
              </w:rPr>
            </w:pPr>
            <w:r>
              <w:rPr>
                <w:rFonts w:ascii="Arial" w:hAnsi="Arial" w:cs="Arial"/>
                <w:b/>
                <w:bCs/>
                <w:sz w:val="18"/>
                <w:szCs w:val="18"/>
                <w:lang w:val="en-CA"/>
              </w:rPr>
              <w:t>2023</w:t>
            </w:r>
          </w:p>
        </w:tc>
        <w:tc>
          <w:tcPr>
            <w:tcW w:w="1249" w:type="dxa"/>
            <w:vAlign w:val="bottom"/>
          </w:tcPr>
          <w:p w:rsidR="00A73253" w:rsidRDefault="00D122C9" w:rsidP="009C0BA0">
            <w:pPr>
              <w:jc w:val="center"/>
              <w:rPr>
                <w:rFonts w:ascii="Arial" w:hAnsi="Arial" w:cs="Arial"/>
                <w:b/>
                <w:bCs/>
                <w:sz w:val="18"/>
                <w:szCs w:val="18"/>
                <w:lang w:val="en-CA"/>
              </w:rPr>
            </w:pPr>
            <w:r>
              <w:rPr>
                <w:rFonts w:ascii="Arial" w:hAnsi="Arial" w:cs="Arial"/>
                <w:b/>
                <w:bCs/>
                <w:sz w:val="18"/>
                <w:szCs w:val="18"/>
                <w:lang w:val="en-CA"/>
              </w:rPr>
              <w:t>2024</w:t>
            </w:r>
          </w:p>
          <w:p w:rsidR="00D122C9" w:rsidRPr="009E0282" w:rsidRDefault="00D122C9" w:rsidP="009C0BA0">
            <w:pPr>
              <w:jc w:val="center"/>
              <w:rPr>
                <w:rFonts w:ascii="Arial" w:hAnsi="Arial" w:cs="Arial"/>
                <w:b/>
                <w:bCs/>
                <w:sz w:val="18"/>
                <w:szCs w:val="18"/>
                <w:lang w:val="en-CA"/>
              </w:rPr>
            </w:pPr>
            <w:r>
              <w:rPr>
                <w:rFonts w:ascii="Arial" w:hAnsi="Arial" w:cs="Arial"/>
                <w:b/>
                <w:bCs/>
                <w:sz w:val="18"/>
                <w:szCs w:val="18"/>
                <w:lang w:val="en-CA"/>
              </w:rPr>
              <w:t>(no auditado)</w:t>
            </w:r>
          </w:p>
        </w:tc>
        <w:tc>
          <w:tcPr>
            <w:tcW w:w="1240" w:type="dxa"/>
            <w:vAlign w:val="bottom"/>
          </w:tcPr>
          <w:p w:rsidR="00A73253" w:rsidRPr="009E0282" w:rsidRDefault="00D122C9" w:rsidP="00A73253">
            <w:pPr>
              <w:jc w:val="center"/>
              <w:rPr>
                <w:rFonts w:ascii="Arial" w:hAnsi="Arial" w:cs="Arial"/>
                <w:b/>
                <w:bCs/>
                <w:sz w:val="18"/>
                <w:szCs w:val="18"/>
                <w:lang w:val="en-CA"/>
              </w:rPr>
            </w:pPr>
            <w:r>
              <w:rPr>
                <w:rFonts w:ascii="Arial" w:hAnsi="Arial" w:cs="Arial"/>
                <w:b/>
                <w:bCs/>
                <w:sz w:val="18"/>
                <w:szCs w:val="18"/>
                <w:lang w:val="en-CA"/>
              </w:rPr>
              <w:t>2023</w:t>
            </w:r>
          </w:p>
        </w:tc>
      </w:tr>
      <w:tr w:rsidR="00D122C9" w:rsidRPr="009E0282" w:rsidTr="004505FD">
        <w:tblPrEx>
          <w:tblLook w:val="01E0" w:firstRow="1" w:lastRow="1" w:firstColumn="1" w:lastColumn="1" w:noHBand="0" w:noVBand="0"/>
        </w:tblPrEx>
        <w:trPr>
          <w:gridAfter w:val="1"/>
          <w:wAfter w:w="10" w:type="dxa"/>
          <w:trHeight w:val="93"/>
        </w:trPr>
        <w:tc>
          <w:tcPr>
            <w:tcW w:w="4253" w:type="dxa"/>
            <w:tcBorders>
              <w:top w:val="single" w:sz="4" w:space="0" w:color="auto"/>
            </w:tcBorders>
            <w:vAlign w:val="bottom"/>
          </w:tcPr>
          <w:p w:rsidR="00D122C9" w:rsidRPr="00A73253" w:rsidRDefault="00D122C9" w:rsidP="00D122C9">
            <w:pPr>
              <w:rPr>
                <w:rFonts w:ascii="Arial" w:hAnsi="Arial" w:cs="Arial"/>
                <w:sz w:val="18"/>
                <w:szCs w:val="18"/>
                <w:lang w:val="es-ES_tradnl"/>
              </w:rPr>
            </w:pPr>
            <w:r w:rsidRPr="00717B62">
              <w:rPr>
                <w:rFonts w:ascii="Arial" w:hAnsi="Arial" w:cs="Arial"/>
                <w:sz w:val="18"/>
                <w:szCs w:val="18"/>
                <w:lang w:val="es-AR"/>
              </w:rPr>
              <w:t xml:space="preserve">Ingresos por ventas de petróleo y gas natural </w:t>
            </w:r>
          </w:p>
        </w:tc>
        <w:tc>
          <w:tcPr>
            <w:tcW w:w="1188" w:type="dxa"/>
            <w:tcBorders>
              <w:top w:val="single" w:sz="4" w:space="0" w:color="auto"/>
            </w:tcBorders>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19.580.949</w:t>
            </w:r>
          </w:p>
        </w:tc>
        <w:tc>
          <w:tcPr>
            <w:tcW w:w="1160" w:type="dxa"/>
            <w:tcBorders>
              <w:top w:val="single" w:sz="4" w:space="0" w:color="auto"/>
            </w:tcBorders>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5</w:t>
            </w:r>
            <w:r>
              <w:rPr>
                <w:rFonts w:ascii="Arial" w:hAnsi="Arial" w:cs="Arial"/>
                <w:sz w:val="18"/>
                <w:szCs w:val="18"/>
              </w:rPr>
              <w:t>.</w:t>
            </w:r>
            <w:r w:rsidRPr="007F1B62">
              <w:rPr>
                <w:rFonts w:ascii="Arial" w:hAnsi="Arial" w:cs="Arial"/>
                <w:sz w:val="18"/>
                <w:szCs w:val="18"/>
              </w:rPr>
              <w:t>530</w:t>
            </w:r>
            <w:r>
              <w:rPr>
                <w:rFonts w:ascii="Arial" w:hAnsi="Arial" w:cs="Arial"/>
                <w:sz w:val="18"/>
                <w:szCs w:val="18"/>
              </w:rPr>
              <w:t>.</w:t>
            </w:r>
            <w:r w:rsidRPr="007F1B62">
              <w:rPr>
                <w:rFonts w:ascii="Arial" w:hAnsi="Arial" w:cs="Arial"/>
                <w:sz w:val="18"/>
                <w:szCs w:val="18"/>
              </w:rPr>
              <w:t>896</w:t>
            </w:r>
          </w:p>
        </w:tc>
        <w:tc>
          <w:tcPr>
            <w:tcW w:w="1249" w:type="dxa"/>
            <w:tcBorders>
              <w:top w:val="single" w:sz="4" w:space="0" w:color="auto"/>
            </w:tcBorders>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36.827.158</w:t>
            </w:r>
          </w:p>
        </w:tc>
        <w:tc>
          <w:tcPr>
            <w:tcW w:w="1240" w:type="dxa"/>
            <w:tcBorders>
              <w:top w:val="single" w:sz="4" w:space="0" w:color="auto"/>
            </w:tcBorders>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26</w:t>
            </w:r>
            <w:r>
              <w:rPr>
                <w:rFonts w:ascii="Arial" w:hAnsi="Arial" w:cs="Arial"/>
                <w:sz w:val="18"/>
                <w:szCs w:val="18"/>
              </w:rPr>
              <w:t>.</w:t>
            </w:r>
            <w:r w:rsidRPr="007F1B62">
              <w:rPr>
                <w:rFonts w:ascii="Arial" w:hAnsi="Arial" w:cs="Arial"/>
                <w:sz w:val="18"/>
                <w:szCs w:val="18"/>
              </w:rPr>
              <w:t>766</w:t>
            </w:r>
            <w:r>
              <w:rPr>
                <w:rFonts w:ascii="Arial" w:hAnsi="Arial" w:cs="Arial"/>
                <w:sz w:val="18"/>
                <w:szCs w:val="18"/>
              </w:rPr>
              <w:t>.</w:t>
            </w:r>
            <w:r w:rsidRPr="007F1B62">
              <w:rPr>
                <w:rFonts w:ascii="Arial" w:hAnsi="Arial" w:cs="Arial"/>
                <w:sz w:val="18"/>
                <w:szCs w:val="18"/>
              </w:rPr>
              <w:t>228</w:t>
            </w:r>
          </w:p>
        </w:tc>
      </w:tr>
      <w:tr w:rsidR="00D122C9" w:rsidRPr="009E0282" w:rsidTr="004505FD">
        <w:tblPrEx>
          <w:tblLook w:val="01E0" w:firstRow="1" w:lastRow="1" w:firstColumn="1" w:lastColumn="1" w:noHBand="0" w:noVBand="0"/>
        </w:tblPrEx>
        <w:trPr>
          <w:gridAfter w:val="1"/>
          <w:wAfter w:w="10" w:type="dxa"/>
          <w:trHeight w:val="205"/>
        </w:trPr>
        <w:tc>
          <w:tcPr>
            <w:tcW w:w="4253" w:type="dxa"/>
            <w:vAlign w:val="bottom"/>
          </w:tcPr>
          <w:p w:rsidR="00D122C9" w:rsidRPr="00A73253" w:rsidRDefault="00D122C9" w:rsidP="00D122C9">
            <w:pPr>
              <w:rPr>
                <w:rFonts w:ascii="Arial" w:hAnsi="Arial" w:cs="Arial"/>
                <w:sz w:val="18"/>
                <w:szCs w:val="18"/>
                <w:lang w:val="es-ES_tradnl"/>
              </w:rPr>
            </w:pPr>
            <w:r>
              <w:rPr>
                <w:rFonts w:ascii="Arial" w:hAnsi="Arial" w:cs="Arial"/>
                <w:color w:val="000000"/>
                <w:sz w:val="18"/>
                <w:szCs w:val="18"/>
                <w:lang w:val="es-AR"/>
              </w:rPr>
              <w:t>(Reversión de) desvalorización de bienes de uso</w:t>
            </w:r>
          </w:p>
        </w:tc>
        <w:tc>
          <w:tcPr>
            <w:tcW w:w="1188" w:type="dxa"/>
            <w:vAlign w:val="bottom"/>
          </w:tcPr>
          <w:p w:rsidR="00D122C9" w:rsidRPr="009E0282" w:rsidRDefault="00D122C9" w:rsidP="00D122C9">
            <w:pPr>
              <w:jc w:val="right"/>
              <w:rPr>
                <w:rFonts w:ascii="Arial" w:hAnsi="Arial" w:cs="Arial"/>
                <w:sz w:val="18"/>
                <w:szCs w:val="18"/>
                <w:lang w:val="en-CA"/>
              </w:rPr>
            </w:pPr>
            <w:r>
              <w:rPr>
                <w:rFonts w:ascii="Arial" w:eastAsia="Arial" w:hAnsi="Arial" w:cs="Arial"/>
                <w:sz w:val="18"/>
                <w:szCs w:val="18"/>
              </w:rPr>
              <w:t>-</w:t>
            </w:r>
          </w:p>
        </w:tc>
        <w:tc>
          <w:tcPr>
            <w:tcW w:w="1160" w:type="dxa"/>
            <w:shd w:val="clear" w:color="auto" w:fill="auto"/>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(3</w:t>
            </w:r>
            <w:r>
              <w:rPr>
                <w:rFonts w:ascii="Arial" w:hAnsi="Arial" w:cs="Arial"/>
                <w:sz w:val="18"/>
                <w:szCs w:val="18"/>
              </w:rPr>
              <w:t>.</w:t>
            </w:r>
            <w:r w:rsidRPr="007F1B62">
              <w:rPr>
                <w:rFonts w:ascii="Arial" w:hAnsi="Arial" w:cs="Arial"/>
                <w:sz w:val="18"/>
                <w:szCs w:val="18"/>
              </w:rPr>
              <w:t>050</w:t>
            </w:r>
            <w:r>
              <w:rPr>
                <w:rFonts w:ascii="Arial" w:hAnsi="Arial" w:cs="Arial"/>
                <w:sz w:val="18"/>
                <w:szCs w:val="18"/>
              </w:rPr>
              <w:t>.</w:t>
            </w:r>
            <w:r w:rsidRPr="007F1B62">
              <w:rPr>
                <w:rFonts w:ascii="Arial" w:hAnsi="Arial" w:cs="Arial"/>
                <w:sz w:val="18"/>
                <w:szCs w:val="18"/>
              </w:rPr>
              <w:t>000)</w:t>
            </w:r>
          </w:p>
        </w:tc>
        <w:tc>
          <w:tcPr>
            <w:tcW w:w="1249" w:type="dxa"/>
            <w:shd w:val="clear" w:color="auto" w:fill="auto"/>
            <w:vAlign w:val="bottom"/>
          </w:tcPr>
          <w:p w:rsidR="00D122C9" w:rsidRPr="009E0282" w:rsidRDefault="00D122C9" w:rsidP="00D122C9">
            <w:pPr>
              <w:jc w:val="right"/>
              <w:rPr>
                <w:rFonts w:ascii="Arial" w:hAnsi="Arial" w:cs="Arial"/>
                <w:sz w:val="18"/>
                <w:szCs w:val="18"/>
                <w:lang w:val="en-CA"/>
              </w:rPr>
            </w:pPr>
            <w:r>
              <w:rPr>
                <w:rFonts w:ascii="Arial" w:eastAsia="Arial" w:hAnsi="Arial" w:cs="Arial"/>
                <w:sz w:val="18"/>
                <w:szCs w:val="18"/>
              </w:rPr>
              <w:t>-</w:t>
            </w:r>
          </w:p>
        </w:tc>
        <w:tc>
          <w:tcPr>
            <w:tcW w:w="1240" w:type="dxa"/>
            <w:shd w:val="clear" w:color="auto" w:fill="auto"/>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(3</w:t>
            </w:r>
            <w:r>
              <w:rPr>
                <w:rFonts w:ascii="Arial" w:hAnsi="Arial" w:cs="Arial"/>
                <w:sz w:val="18"/>
                <w:szCs w:val="18"/>
              </w:rPr>
              <w:t>.</w:t>
            </w:r>
            <w:r w:rsidRPr="007F1B62">
              <w:rPr>
                <w:rFonts w:ascii="Arial" w:hAnsi="Arial" w:cs="Arial"/>
                <w:sz w:val="18"/>
                <w:szCs w:val="18"/>
              </w:rPr>
              <w:t>050</w:t>
            </w:r>
            <w:r>
              <w:rPr>
                <w:rFonts w:ascii="Arial" w:hAnsi="Arial" w:cs="Arial"/>
                <w:sz w:val="18"/>
                <w:szCs w:val="18"/>
              </w:rPr>
              <w:t>.</w:t>
            </w:r>
            <w:r w:rsidRPr="007F1B62">
              <w:rPr>
                <w:rFonts w:ascii="Arial" w:hAnsi="Arial" w:cs="Arial"/>
                <w:sz w:val="18"/>
                <w:szCs w:val="18"/>
              </w:rPr>
              <w:t>000)</w:t>
            </w:r>
          </w:p>
        </w:tc>
      </w:tr>
      <w:tr w:rsidR="00D122C9" w:rsidRPr="009E0282" w:rsidTr="004505FD">
        <w:tblPrEx>
          <w:tblLook w:val="01E0" w:firstRow="1" w:lastRow="1" w:firstColumn="1" w:lastColumn="1" w:noHBand="0" w:noVBand="0"/>
        </w:tblPrEx>
        <w:trPr>
          <w:gridAfter w:val="1"/>
          <w:wAfter w:w="10" w:type="dxa"/>
          <w:trHeight w:val="205"/>
        </w:trPr>
        <w:tc>
          <w:tcPr>
            <w:tcW w:w="4253" w:type="dxa"/>
            <w:vAlign w:val="bottom"/>
          </w:tcPr>
          <w:p w:rsidR="00D122C9" w:rsidRPr="00A73253" w:rsidRDefault="00D122C9" w:rsidP="00D122C9">
            <w:pPr>
              <w:rPr>
                <w:rFonts w:ascii="Arial" w:hAnsi="Arial" w:cs="Arial"/>
                <w:sz w:val="18"/>
                <w:szCs w:val="18"/>
                <w:lang w:val="es-ES_tradnl"/>
              </w:rPr>
            </w:pPr>
            <w:r>
              <w:rPr>
                <w:rFonts w:ascii="Arial" w:hAnsi="Arial" w:cs="Arial"/>
                <w:color w:val="000000"/>
                <w:sz w:val="18"/>
                <w:szCs w:val="18"/>
                <w:lang w:val="es-AR"/>
              </w:rPr>
              <w:t xml:space="preserve">Pérdida </w:t>
            </w:r>
            <w:r w:rsidRPr="00717B62">
              <w:rPr>
                <w:rFonts w:ascii="Arial" w:hAnsi="Arial" w:cs="Arial"/>
                <w:color w:val="000000"/>
                <w:sz w:val="18"/>
                <w:szCs w:val="18"/>
                <w:lang w:val="es-AR"/>
              </w:rPr>
              <w:t>antes de impuestos</w:t>
            </w:r>
          </w:p>
        </w:tc>
        <w:tc>
          <w:tcPr>
            <w:tcW w:w="1188" w:type="dxa"/>
            <w:shd w:val="clear" w:color="auto" w:fill="auto"/>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(3.047.172)</w:t>
            </w:r>
          </w:p>
        </w:tc>
        <w:tc>
          <w:tcPr>
            <w:tcW w:w="1160" w:type="dxa"/>
            <w:shd w:val="clear" w:color="auto" w:fill="auto"/>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(2</w:t>
            </w:r>
            <w:r>
              <w:rPr>
                <w:rFonts w:ascii="Arial" w:hAnsi="Arial" w:cs="Arial"/>
                <w:sz w:val="18"/>
                <w:szCs w:val="18"/>
              </w:rPr>
              <w:t>.</w:t>
            </w:r>
            <w:r w:rsidRPr="007F1B62">
              <w:rPr>
                <w:rFonts w:ascii="Arial" w:hAnsi="Arial" w:cs="Arial"/>
                <w:sz w:val="18"/>
                <w:szCs w:val="18"/>
              </w:rPr>
              <w:t>379</w:t>
            </w:r>
            <w:r>
              <w:rPr>
                <w:rFonts w:ascii="Arial" w:hAnsi="Arial" w:cs="Arial"/>
                <w:sz w:val="18"/>
                <w:szCs w:val="18"/>
              </w:rPr>
              <w:t>.</w:t>
            </w:r>
            <w:r w:rsidRPr="007F1B62">
              <w:rPr>
                <w:rFonts w:ascii="Arial" w:hAnsi="Arial" w:cs="Arial"/>
                <w:sz w:val="18"/>
                <w:szCs w:val="18"/>
              </w:rPr>
              <w:t>953)</w:t>
            </w:r>
          </w:p>
        </w:tc>
        <w:tc>
          <w:tcPr>
            <w:tcW w:w="1249" w:type="dxa"/>
            <w:shd w:val="clear" w:color="auto" w:fill="auto"/>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(13.013.738)</w:t>
            </w:r>
          </w:p>
        </w:tc>
        <w:tc>
          <w:tcPr>
            <w:tcW w:w="1240" w:type="dxa"/>
            <w:shd w:val="clear" w:color="auto" w:fill="auto"/>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(10</w:t>
            </w:r>
            <w:r>
              <w:rPr>
                <w:rFonts w:ascii="Arial" w:hAnsi="Arial" w:cs="Arial"/>
                <w:sz w:val="18"/>
                <w:szCs w:val="18"/>
              </w:rPr>
              <w:t>.</w:t>
            </w:r>
            <w:r w:rsidRPr="007F1B62">
              <w:rPr>
                <w:rFonts w:ascii="Arial" w:hAnsi="Arial" w:cs="Arial"/>
                <w:sz w:val="18"/>
                <w:szCs w:val="18"/>
              </w:rPr>
              <w:t>130</w:t>
            </w:r>
            <w:r>
              <w:rPr>
                <w:rFonts w:ascii="Arial" w:hAnsi="Arial" w:cs="Arial"/>
                <w:sz w:val="18"/>
                <w:szCs w:val="18"/>
              </w:rPr>
              <w:t>.</w:t>
            </w:r>
            <w:r w:rsidRPr="007F1B62">
              <w:rPr>
                <w:rFonts w:ascii="Arial" w:hAnsi="Arial" w:cs="Arial"/>
                <w:sz w:val="18"/>
                <w:szCs w:val="18"/>
              </w:rPr>
              <w:t>991)</w:t>
            </w:r>
          </w:p>
        </w:tc>
      </w:tr>
      <w:tr w:rsidR="00D122C9" w:rsidRPr="009E0282" w:rsidTr="004505FD">
        <w:tblPrEx>
          <w:tblLook w:val="01E0" w:firstRow="1" w:lastRow="1" w:firstColumn="1" w:lastColumn="1" w:noHBand="0" w:noVBand="0"/>
        </w:tblPrEx>
        <w:trPr>
          <w:gridAfter w:val="1"/>
          <w:wAfter w:w="10" w:type="dxa"/>
          <w:trHeight w:val="236"/>
        </w:trPr>
        <w:tc>
          <w:tcPr>
            <w:tcW w:w="4253" w:type="dxa"/>
            <w:shd w:val="clear" w:color="auto" w:fill="auto"/>
            <w:vAlign w:val="bottom"/>
          </w:tcPr>
          <w:p w:rsidR="00D122C9" w:rsidRPr="009E0282" w:rsidRDefault="00D122C9" w:rsidP="00D122C9">
            <w:pPr>
              <w:rPr>
                <w:rFonts w:ascii="Arial" w:hAnsi="Arial" w:cs="Arial"/>
                <w:sz w:val="18"/>
                <w:szCs w:val="18"/>
                <w:lang w:val="en-CA"/>
              </w:rPr>
            </w:pPr>
            <w:r>
              <w:rPr>
                <w:rFonts w:ascii="Arial" w:hAnsi="Arial" w:cs="Arial"/>
                <w:color w:val="000000"/>
                <w:sz w:val="18"/>
                <w:szCs w:val="18"/>
                <w:lang w:val="es-AR"/>
              </w:rPr>
              <w:t>P</w:t>
            </w:r>
            <w:r w:rsidRPr="00717B62">
              <w:rPr>
                <w:rFonts w:ascii="Arial" w:hAnsi="Arial" w:cs="Arial"/>
                <w:color w:val="000000"/>
                <w:sz w:val="18"/>
                <w:szCs w:val="18"/>
                <w:lang w:val="es-AR"/>
              </w:rPr>
              <w:t xml:space="preserve">érdida neta </w:t>
            </w:r>
          </w:p>
        </w:tc>
        <w:tc>
          <w:tcPr>
            <w:tcW w:w="1188" w:type="dxa"/>
            <w:shd w:val="clear" w:color="auto" w:fill="auto"/>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(3.121.431)</w:t>
            </w:r>
          </w:p>
        </w:tc>
        <w:tc>
          <w:tcPr>
            <w:tcW w:w="1160" w:type="dxa"/>
            <w:shd w:val="clear" w:color="auto" w:fill="auto"/>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(2</w:t>
            </w:r>
            <w:r>
              <w:rPr>
                <w:rFonts w:ascii="Arial" w:hAnsi="Arial" w:cs="Arial"/>
                <w:sz w:val="18"/>
                <w:szCs w:val="18"/>
              </w:rPr>
              <w:t>.</w:t>
            </w:r>
            <w:r w:rsidRPr="007F1B62">
              <w:rPr>
                <w:rFonts w:ascii="Arial" w:hAnsi="Arial" w:cs="Arial"/>
                <w:sz w:val="18"/>
                <w:szCs w:val="18"/>
              </w:rPr>
              <w:t>096</w:t>
            </w:r>
            <w:r>
              <w:rPr>
                <w:rFonts w:ascii="Arial" w:hAnsi="Arial" w:cs="Arial"/>
                <w:sz w:val="18"/>
                <w:szCs w:val="18"/>
              </w:rPr>
              <w:t>.</w:t>
            </w:r>
            <w:r w:rsidRPr="007F1B62">
              <w:rPr>
                <w:rFonts w:ascii="Arial" w:hAnsi="Arial" w:cs="Arial"/>
                <w:sz w:val="18"/>
                <w:szCs w:val="18"/>
              </w:rPr>
              <w:t>083)</w:t>
            </w:r>
          </w:p>
        </w:tc>
        <w:tc>
          <w:tcPr>
            <w:tcW w:w="1249" w:type="dxa"/>
            <w:shd w:val="clear" w:color="auto" w:fill="auto"/>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(9.145.821)</w:t>
            </w:r>
          </w:p>
        </w:tc>
        <w:tc>
          <w:tcPr>
            <w:tcW w:w="124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(8</w:t>
            </w:r>
            <w:r>
              <w:rPr>
                <w:rFonts w:ascii="Arial" w:hAnsi="Arial" w:cs="Arial"/>
                <w:sz w:val="18"/>
                <w:szCs w:val="18"/>
              </w:rPr>
              <w:t>.</w:t>
            </w:r>
            <w:r w:rsidRPr="007F1B62">
              <w:rPr>
                <w:rFonts w:ascii="Arial" w:hAnsi="Arial" w:cs="Arial"/>
                <w:sz w:val="18"/>
                <w:szCs w:val="18"/>
              </w:rPr>
              <w:t>127</w:t>
            </w:r>
            <w:r>
              <w:rPr>
                <w:rFonts w:ascii="Arial" w:hAnsi="Arial" w:cs="Arial"/>
                <w:sz w:val="18"/>
                <w:szCs w:val="18"/>
              </w:rPr>
              <w:t>.</w:t>
            </w:r>
            <w:r w:rsidRPr="007F1B62">
              <w:rPr>
                <w:rFonts w:ascii="Arial" w:hAnsi="Arial" w:cs="Arial"/>
                <w:sz w:val="18"/>
                <w:szCs w:val="18"/>
              </w:rPr>
              <w:t>632)</w:t>
            </w:r>
          </w:p>
        </w:tc>
      </w:tr>
      <w:tr w:rsidR="00D122C9" w:rsidRPr="009E0282" w:rsidTr="004505FD">
        <w:tblPrEx>
          <w:tblLook w:val="01E0" w:firstRow="1" w:lastRow="1" w:firstColumn="1" w:lastColumn="1" w:noHBand="0" w:noVBand="0"/>
        </w:tblPrEx>
        <w:trPr>
          <w:gridAfter w:val="1"/>
          <w:wAfter w:w="10" w:type="dxa"/>
          <w:trHeight w:val="240"/>
        </w:trPr>
        <w:tc>
          <w:tcPr>
            <w:tcW w:w="4253" w:type="dxa"/>
            <w:shd w:val="clear" w:color="auto" w:fill="auto"/>
            <w:vAlign w:val="bottom"/>
          </w:tcPr>
          <w:p w:rsidR="00D122C9" w:rsidRPr="00A73253" w:rsidRDefault="00D122C9" w:rsidP="00D122C9">
            <w:pPr>
              <w:rPr>
                <w:rFonts w:ascii="Arial" w:hAnsi="Arial" w:cs="Arial"/>
                <w:sz w:val="18"/>
                <w:szCs w:val="18"/>
                <w:lang w:val="es-ES_tradnl"/>
              </w:rPr>
            </w:pPr>
            <w:r>
              <w:rPr>
                <w:rFonts w:ascii="Arial" w:hAnsi="Arial" w:cs="Arial"/>
                <w:color w:val="000000"/>
                <w:sz w:val="18"/>
                <w:szCs w:val="18"/>
                <w:lang w:val="es-AR"/>
              </w:rPr>
              <w:t>P</w:t>
            </w:r>
            <w:r w:rsidRPr="00717B62">
              <w:rPr>
                <w:rFonts w:ascii="Arial" w:hAnsi="Arial" w:cs="Arial"/>
                <w:color w:val="000000"/>
                <w:sz w:val="18"/>
                <w:szCs w:val="18"/>
                <w:lang w:val="es-AR"/>
              </w:rPr>
              <w:t>érdida neta por acción </w:t>
            </w:r>
            <w:r w:rsidRPr="00717B62">
              <w:rPr>
                <w:rFonts w:ascii="Arial" w:hAnsi="Arial" w:cs="Arial"/>
                <w:sz w:val="20"/>
                <w:szCs w:val="20"/>
                <w:vertAlign w:val="superscript"/>
                <w:lang w:val="es-AR"/>
              </w:rPr>
              <w:t>(</w:t>
            </w:r>
            <w:r>
              <w:rPr>
                <w:rFonts w:ascii="Arial" w:hAnsi="Arial" w:cs="Arial"/>
                <w:sz w:val="20"/>
                <w:szCs w:val="20"/>
                <w:vertAlign w:val="superscript"/>
                <w:lang w:val="es-AR"/>
              </w:rPr>
              <w:t>2</w:t>
            </w:r>
            <w:r w:rsidRPr="00717B62">
              <w:rPr>
                <w:rFonts w:ascii="Arial" w:hAnsi="Arial" w:cs="Arial"/>
                <w:sz w:val="20"/>
                <w:szCs w:val="20"/>
                <w:vertAlign w:val="superscript"/>
                <w:lang w:val="es-AR"/>
              </w:rPr>
              <w:t>)</w:t>
            </w:r>
          </w:p>
        </w:tc>
        <w:tc>
          <w:tcPr>
            <w:tcW w:w="1188" w:type="dxa"/>
            <w:shd w:val="clear" w:color="auto" w:fill="auto"/>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(0</w:t>
            </w:r>
            <w:r w:rsidR="000D3DC7">
              <w:rPr>
                <w:rFonts w:ascii="Arial" w:hAnsi="Arial" w:cs="Arial"/>
                <w:sz w:val="18"/>
                <w:szCs w:val="18"/>
              </w:rPr>
              <w:t>,</w:t>
            </w:r>
            <w:r>
              <w:rPr>
                <w:rFonts w:ascii="Arial" w:hAnsi="Arial" w:cs="Arial"/>
                <w:sz w:val="18"/>
                <w:szCs w:val="18"/>
              </w:rPr>
              <w:t>04)</w:t>
            </w:r>
          </w:p>
        </w:tc>
        <w:tc>
          <w:tcPr>
            <w:tcW w:w="1160" w:type="dxa"/>
            <w:shd w:val="clear" w:color="auto" w:fill="auto"/>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(0</w:t>
            </w:r>
            <w:r w:rsidR="000D3DC7">
              <w:rPr>
                <w:rFonts w:ascii="Arial" w:hAnsi="Arial" w:cs="Arial"/>
                <w:sz w:val="18"/>
                <w:szCs w:val="18"/>
              </w:rPr>
              <w:t>,</w:t>
            </w:r>
            <w:r w:rsidRPr="007F1B62">
              <w:rPr>
                <w:rFonts w:ascii="Arial" w:hAnsi="Arial" w:cs="Arial"/>
                <w:sz w:val="18"/>
                <w:szCs w:val="18"/>
              </w:rPr>
              <w:t>03)</w:t>
            </w:r>
          </w:p>
        </w:tc>
        <w:tc>
          <w:tcPr>
            <w:tcW w:w="1249" w:type="dxa"/>
            <w:shd w:val="clear" w:color="auto" w:fill="auto"/>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(0</w:t>
            </w:r>
            <w:r w:rsidR="000D3DC7">
              <w:rPr>
                <w:rFonts w:ascii="Arial" w:hAnsi="Arial" w:cs="Arial"/>
                <w:sz w:val="18"/>
                <w:szCs w:val="18"/>
              </w:rPr>
              <w:t>,</w:t>
            </w:r>
            <w:r>
              <w:rPr>
                <w:rFonts w:ascii="Arial" w:hAnsi="Arial" w:cs="Arial"/>
                <w:sz w:val="18"/>
                <w:szCs w:val="18"/>
              </w:rPr>
              <w:t>13)</w:t>
            </w:r>
          </w:p>
        </w:tc>
        <w:tc>
          <w:tcPr>
            <w:tcW w:w="124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(0</w:t>
            </w:r>
            <w:r w:rsidR="000D3DC7">
              <w:rPr>
                <w:rFonts w:ascii="Arial" w:hAnsi="Arial" w:cs="Arial"/>
                <w:sz w:val="18"/>
                <w:szCs w:val="18"/>
              </w:rPr>
              <w:t>,</w:t>
            </w:r>
            <w:r w:rsidRPr="007F1B62">
              <w:rPr>
                <w:rFonts w:ascii="Arial" w:hAnsi="Arial" w:cs="Arial"/>
                <w:sz w:val="18"/>
                <w:szCs w:val="18"/>
              </w:rPr>
              <w:t>11)</w:t>
            </w:r>
          </w:p>
        </w:tc>
      </w:tr>
      <w:tr w:rsidR="00D122C9" w:rsidRPr="009E0282" w:rsidTr="004505FD">
        <w:tblPrEx>
          <w:tblLook w:val="01E0" w:firstRow="1" w:lastRow="1" w:firstColumn="1" w:lastColumn="1" w:noHBand="0" w:noVBand="0"/>
        </w:tblPrEx>
        <w:trPr>
          <w:gridAfter w:val="1"/>
          <w:wAfter w:w="10" w:type="dxa"/>
          <w:trHeight w:val="240"/>
        </w:trPr>
        <w:tc>
          <w:tcPr>
            <w:tcW w:w="4253" w:type="dxa"/>
            <w:vAlign w:val="bottom"/>
          </w:tcPr>
          <w:p w:rsidR="00D122C9" w:rsidRPr="00A73253" w:rsidRDefault="00D122C9" w:rsidP="00D122C9">
            <w:pPr>
              <w:rPr>
                <w:rFonts w:ascii="Arial" w:hAnsi="Arial" w:cs="Arial"/>
                <w:sz w:val="18"/>
                <w:szCs w:val="18"/>
                <w:lang w:val="es-ES_tradnl"/>
              </w:rPr>
            </w:pPr>
            <w:r w:rsidRPr="00717B62">
              <w:rPr>
                <w:rFonts w:ascii="Arial" w:hAnsi="Arial" w:cs="Arial"/>
                <w:color w:val="000000"/>
                <w:sz w:val="18"/>
                <w:szCs w:val="18"/>
                <w:lang w:val="es-AR"/>
              </w:rPr>
              <w:t xml:space="preserve">Efectivo neto (utilizado en) </w:t>
            </w:r>
            <w:r>
              <w:rPr>
                <w:rFonts w:ascii="Arial" w:hAnsi="Arial" w:cs="Arial"/>
                <w:color w:val="000000"/>
                <w:sz w:val="18"/>
                <w:szCs w:val="18"/>
                <w:lang w:val="es-AR"/>
              </w:rPr>
              <w:t xml:space="preserve">generado por </w:t>
            </w:r>
            <w:r w:rsidRPr="00717B62">
              <w:rPr>
                <w:rFonts w:ascii="Arial" w:hAnsi="Arial" w:cs="Arial"/>
                <w:color w:val="000000"/>
                <w:sz w:val="18"/>
                <w:szCs w:val="18"/>
                <w:lang w:val="es-AR"/>
              </w:rPr>
              <w:t>las actividades operativas</w:t>
            </w:r>
          </w:p>
        </w:tc>
        <w:tc>
          <w:tcPr>
            <w:tcW w:w="1188" w:type="dxa"/>
            <w:vAlign w:val="bottom"/>
          </w:tcPr>
          <w:p w:rsidR="00D122C9" w:rsidRPr="009E0282" w:rsidRDefault="00D122C9" w:rsidP="00D122C9">
            <w:pPr>
              <w:jc w:val="right"/>
              <w:rPr>
                <w:rFonts w:ascii="Arial" w:hAnsi="Arial" w:cs="Arial"/>
                <w:sz w:val="18"/>
                <w:szCs w:val="18"/>
                <w:lang w:val="en-CA"/>
              </w:rPr>
            </w:pPr>
            <w:r w:rsidRPr="0067053E">
              <w:rPr>
                <w:rFonts w:ascii="Arial" w:hAnsi="Arial" w:cs="Arial"/>
                <w:sz w:val="18"/>
                <w:szCs w:val="18"/>
              </w:rPr>
              <w:t>(1</w:t>
            </w:r>
            <w:r>
              <w:rPr>
                <w:rFonts w:ascii="Arial" w:hAnsi="Arial" w:cs="Arial"/>
                <w:sz w:val="18"/>
                <w:szCs w:val="18"/>
              </w:rPr>
              <w:t>.</w:t>
            </w:r>
            <w:r w:rsidRPr="0067053E">
              <w:rPr>
                <w:rFonts w:ascii="Arial" w:hAnsi="Arial" w:cs="Arial"/>
                <w:sz w:val="18"/>
                <w:szCs w:val="18"/>
              </w:rPr>
              <w:t>529</w:t>
            </w:r>
            <w:r>
              <w:rPr>
                <w:rFonts w:ascii="Arial" w:hAnsi="Arial" w:cs="Arial"/>
                <w:sz w:val="18"/>
                <w:szCs w:val="18"/>
              </w:rPr>
              <w:t>.</w:t>
            </w:r>
            <w:r w:rsidRPr="0067053E">
              <w:rPr>
                <w:rFonts w:ascii="Arial" w:hAnsi="Arial" w:cs="Arial"/>
                <w:sz w:val="18"/>
                <w:szCs w:val="18"/>
              </w:rPr>
              <w:t>817)</w:t>
            </w:r>
          </w:p>
        </w:tc>
        <w:tc>
          <w:tcPr>
            <w:tcW w:w="116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1</w:t>
            </w:r>
            <w:r>
              <w:rPr>
                <w:rFonts w:ascii="Arial" w:hAnsi="Arial" w:cs="Arial"/>
                <w:sz w:val="18"/>
                <w:szCs w:val="18"/>
              </w:rPr>
              <w:t>.</w:t>
            </w:r>
            <w:r w:rsidRPr="007F1B62">
              <w:rPr>
                <w:rFonts w:ascii="Arial" w:hAnsi="Arial" w:cs="Arial"/>
                <w:sz w:val="18"/>
                <w:szCs w:val="18"/>
              </w:rPr>
              <w:t>339</w:t>
            </w:r>
            <w:r>
              <w:rPr>
                <w:rFonts w:ascii="Arial" w:hAnsi="Arial" w:cs="Arial"/>
                <w:sz w:val="18"/>
                <w:szCs w:val="18"/>
              </w:rPr>
              <w:t>.</w:t>
            </w:r>
            <w:r w:rsidRPr="007F1B62">
              <w:rPr>
                <w:rFonts w:ascii="Arial" w:hAnsi="Arial" w:cs="Arial"/>
                <w:sz w:val="18"/>
                <w:szCs w:val="18"/>
              </w:rPr>
              <w:t>967</w:t>
            </w:r>
          </w:p>
        </w:tc>
        <w:tc>
          <w:tcPr>
            <w:tcW w:w="1249" w:type="dxa"/>
            <w:vAlign w:val="bottom"/>
          </w:tcPr>
          <w:p w:rsidR="00D122C9" w:rsidRPr="009E0282" w:rsidRDefault="00D122C9" w:rsidP="00D122C9">
            <w:pPr>
              <w:jc w:val="right"/>
              <w:rPr>
                <w:rFonts w:ascii="Arial" w:hAnsi="Arial" w:cs="Arial"/>
                <w:sz w:val="18"/>
                <w:szCs w:val="18"/>
                <w:lang w:val="en-CA"/>
              </w:rPr>
            </w:pPr>
            <w:r w:rsidRPr="007355CD">
              <w:rPr>
                <w:rFonts w:ascii="Arial" w:hAnsi="Arial" w:cs="Arial"/>
                <w:sz w:val="18"/>
                <w:szCs w:val="18"/>
              </w:rPr>
              <w:t>(4</w:t>
            </w:r>
            <w:r>
              <w:rPr>
                <w:rFonts w:ascii="Arial" w:hAnsi="Arial" w:cs="Arial"/>
                <w:sz w:val="18"/>
                <w:szCs w:val="18"/>
              </w:rPr>
              <w:t>.</w:t>
            </w:r>
            <w:r w:rsidRPr="007355CD">
              <w:rPr>
                <w:rFonts w:ascii="Arial" w:hAnsi="Arial" w:cs="Arial"/>
                <w:sz w:val="18"/>
                <w:szCs w:val="18"/>
              </w:rPr>
              <w:t>391</w:t>
            </w:r>
            <w:r>
              <w:rPr>
                <w:rFonts w:ascii="Arial" w:hAnsi="Arial" w:cs="Arial"/>
                <w:sz w:val="18"/>
                <w:szCs w:val="18"/>
              </w:rPr>
              <w:t>.</w:t>
            </w:r>
            <w:r w:rsidRPr="007355CD">
              <w:rPr>
                <w:rFonts w:ascii="Arial" w:hAnsi="Arial" w:cs="Arial"/>
                <w:sz w:val="18"/>
                <w:szCs w:val="18"/>
              </w:rPr>
              <w:t>237)</w:t>
            </w:r>
          </w:p>
        </w:tc>
        <w:tc>
          <w:tcPr>
            <w:tcW w:w="124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3</w:t>
            </w:r>
            <w:r>
              <w:rPr>
                <w:rFonts w:ascii="Arial" w:hAnsi="Arial" w:cs="Arial"/>
                <w:sz w:val="18"/>
                <w:szCs w:val="18"/>
              </w:rPr>
              <w:t>.</w:t>
            </w:r>
            <w:r w:rsidRPr="007F1B62">
              <w:rPr>
                <w:rFonts w:ascii="Arial" w:hAnsi="Arial" w:cs="Arial"/>
                <w:sz w:val="18"/>
                <w:szCs w:val="18"/>
              </w:rPr>
              <w:t>793</w:t>
            </w:r>
            <w:r>
              <w:rPr>
                <w:rFonts w:ascii="Arial" w:hAnsi="Arial" w:cs="Arial"/>
                <w:sz w:val="18"/>
                <w:szCs w:val="18"/>
              </w:rPr>
              <w:t>.</w:t>
            </w:r>
            <w:r w:rsidRPr="007F1B62">
              <w:rPr>
                <w:rFonts w:ascii="Arial" w:hAnsi="Arial" w:cs="Arial"/>
                <w:sz w:val="18"/>
                <w:szCs w:val="18"/>
              </w:rPr>
              <w:t>538</w:t>
            </w:r>
          </w:p>
        </w:tc>
      </w:tr>
      <w:tr w:rsidR="00D122C9" w:rsidRPr="009E0282" w:rsidTr="004505FD">
        <w:tblPrEx>
          <w:tblLook w:val="01E0" w:firstRow="1" w:lastRow="1" w:firstColumn="1" w:lastColumn="1" w:noHBand="0" w:noVBand="0"/>
        </w:tblPrEx>
        <w:trPr>
          <w:gridAfter w:val="1"/>
          <w:wAfter w:w="10" w:type="dxa"/>
          <w:trHeight w:val="240"/>
        </w:trPr>
        <w:tc>
          <w:tcPr>
            <w:tcW w:w="4253" w:type="dxa"/>
            <w:vAlign w:val="bottom"/>
          </w:tcPr>
          <w:p w:rsidR="00D122C9" w:rsidRPr="00A73253" w:rsidRDefault="00D122C9" w:rsidP="00D122C9">
            <w:pPr>
              <w:rPr>
                <w:rFonts w:ascii="Arial" w:hAnsi="Arial" w:cs="Arial"/>
                <w:sz w:val="18"/>
                <w:szCs w:val="18"/>
                <w:lang w:val="es-ES_tradnl"/>
              </w:rPr>
            </w:pPr>
            <w:r w:rsidRPr="00717B62">
              <w:rPr>
                <w:rFonts w:ascii="Arial" w:hAnsi="Arial" w:cs="Arial"/>
                <w:color w:val="000000"/>
                <w:sz w:val="18"/>
                <w:szCs w:val="18"/>
                <w:lang w:val="es-AR"/>
              </w:rPr>
              <w:t>Efectivo neto por acción – actividades operativas </w:t>
            </w:r>
            <w:r w:rsidRPr="00717B62">
              <w:rPr>
                <w:rFonts w:ascii="Arial" w:hAnsi="Arial" w:cs="Arial"/>
                <w:sz w:val="20"/>
                <w:szCs w:val="20"/>
                <w:vertAlign w:val="superscript"/>
                <w:lang w:val="es-AR"/>
              </w:rPr>
              <w:t>(</w:t>
            </w:r>
            <w:r>
              <w:rPr>
                <w:rFonts w:ascii="Arial" w:hAnsi="Arial" w:cs="Arial"/>
                <w:sz w:val="20"/>
                <w:szCs w:val="20"/>
                <w:vertAlign w:val="superscript"/>
                <w:lang w:val="es-AR"/>
              </w:rPr>
              <w:t>1</w:t>
            </w:r>
            <w:r w:rsidRPr="00717B62">
              <w:rPr>
                <w:rFonts w:ascii="Arial" w:hAnsi="Arial" w:cs="Arial"/>
                <w:sz w:val="20"/>
                <w:szCs w:val="20"/>
                <w:vertAlign w:val="superscript"/>
                <w:lang w:val="es-AR"/>
              </w:rPr>
              <w:t>)(</w:t>
            </w:r>
            <w:r>
              <w:rPr>
                <w:rFonts w:ascii="Arial" w:hAnsi="Arial" w:cs="Arial"/>
                <w:sz w:val="20"/>
                <w:szCs w:val="20"/>
                <w:vertAlign w:val="superscript"/>
                <w:lang w:val="es-AR"/>
              </w:rPr>
              <w:t>2</w:t>
            </w:r>
            <w:r w:rsidRPr="00717B62">
              <w:rPr>
                <w:rFonts w:ascii="Arial" w:hAnsi="Arial" w:cs="Arial"/>
                <w:sz w:val="20"/>
                <w:szCs w:val="20"/>
                <w:vertAlign w:val="superscript"/>
                <w:lang w:val="es-AR"/>
              </w:rPr>
              <w:t>)</w:t>
            </w:r>
          </w:p>
        </w:tc>
        <w:tc>
          <w:tcPr>
            <w:tcW w:w="1188" w:type="dxa"/>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(0</w:t>
            </w:r>
            <w:r w:rsidR="000D3DC7">
              <w:rPr>
                <w:rFonts w:ascii="Arial" w:hAnsi="Arial" w:cs="Arial"/>
                <w:sz w:val="18"/>
                <w:szCs w:val="18"/>
              </w:rPr>
              <w:t>,</w:t>
            </w:r>
            <w:r>
              <w:rPr>
                <w:rFonts w:ascii="Arial" w:hAnsi="Arial" w:cs="Arial"/>
                <w:sz w:val="18"/>
                <w:szCs w:val="18"/>
              </w:rPr>
              <w:t>02)</w:t>
            </w:r>
          </w:p>
        </w:tc>
        <w:tc>
          <w:tcPr>
            <w:tcW w:w="116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0</w:t>
            </w:r>
            <w:r w:rsidR="000D3DC7">
              <w:rPr>
                <w:rFonts w:ascii="Arial" w:hAnsi="Arial" w:cs="Arial"/>
                <w:sz w:val="18"/>
                <w:szCs w:val="18"/>
              </w:rPr>
              <w:t>,</w:t>
            </w:r>
            <w:r w:rsidRPr="007F1B62">
              <w:rPr>
                <w:rFonts w:ascii="Arial" w:hAnsi="Arial" w:cs="Arial"/>
                <w:sz w:val="18"/>
                <w:szCs w:val="18"/>
              </w:rPr>
              <w:t>02</w:t>
            </w:r>
          </w:p>
        </w:tc>
        <w:tc>
          <w:tcPr>
            <w:tcW w:w="1249" w:type="dxa"/>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(0</w:t>
            </w:r>
            <w:r w:rsidR="000D3DC7">
              <w:rPr>
                <w:rFonts w:ascii="Arial" w:hAnsi="Arial" w:cs="Arial"/>
                <w:sz w:val="18"/>
                <w:szCs w:val="18"/>
              </w:rPr>
              <w:t>,</w:t>
            </w:r>
            <w:r>
              <w:rPr>
                <w:rFonts w:ascii="Arial" w:hAnsi="Arial" w:cs="Arial"/>
                <w:sz w:val="18"/>
                <w:szCs w:val="18"/>
              </w:rPr>
              <w:t>06)</w:t>
            </w:r>
          </w:p>
        </w:tc>
        <w:tc>
          <w:tcPr>
            <w:tcW w:w="124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0</w:t>
            </w:r>
            <w:r w:rsidR="000D3DC7">
              <w:rPr>
                <w:rFonts w:ascii="Arial" w:hAnsi="Arial" w:cs="Arial"/>
                <w:sz w:val="18"/>
                <w:szCs w:val="18"/>
              </w:rPr>
              <w:t>,</w:t>
            </w:r>
            <w:r w:rsidRPr="007F1B62">
              <w:rPr>
                <w:rFonts w:ascii="Arial" w:hAnsi="Arial" w:cs="Arial"/>
                <w:sz w:val="18"/>
                <w:szCs w:val="18"/>
              </w:rPr>
              <w:t>05</w:t>
            </w:r>
          </w:p>
        </w:tc>
      </w:tr>
      <w:tr w:rsidR="00D122C9" w:rsidRPr="009E0282" w:rsidTr="004505FD">
        <w:tblPrEx>
          <w:tblLook w:val="01E0" w:firstRow="1" w:lastRow="1" w:firstColumn="1" w:lastColumn="1" w:noHBand="0" w:noVBand="0"/>
        </w:tblPrEx>
        <w:trPr>
          <w:gridAfter w:val="1"/>
          <w:wAfter w:w="10" w:type="dxa"/>
          <w:trHeight w:val="219"/>
        </w:trPr>
        <w:tc>
          <w:tcPr>
            <w:tcW w:w="4253" w:type="dxa"/>
            <w:vAlign w:val="bottom"/>
          </w:tcPr>
          <w:p w:rsidR="00D122C9" w:rsidRPr="00A73253" w:rsidRDefault="00D122C9" w:rsidP="00D122C9">
            <w:pPr>
              <w:rPr>
                <w:rFonts w:ascii="Arial" w:hAnsi="Arial" w:cs="Arial"/>
                <w:sz w:val="18"/>
                <w:szCs w:val="18"/>
                <w:lang w:val="es-ES_tradnl"/>
              </w:rPr>
            </w:pPr>
            <w:r w:rsidRPr="00717B62">
              <w:rPr>
                <w:rFonts w:ascii="Arial" w:hAnsi="Arial" w:cs="Arial"/>
                <w:color w:val="000000"/>
                <w:sz w:val="18"/>
                <w:szCs w:val="18"/>
                <w:lang w:val="es-AR"/>
              </w:rPr>
              <w:t xml:space="preserve">Flujo de fondos </w:t>
            </w:r>
            <w:r>
              <w:rPr>
                <w:rFonts w:ascii="Arial" w:hAnsi="Arial" w:cs="Arial"/>
                <w:color w:val="000000"/>
                <w:sz w:val="18"/>
                <w:szCs w:val="18"/>
                <w:lang w:val="es-AR"/>
              </w:rPr>
              <w:t>(utilizado en)</w:t>
            </w:r>
            <w:r w:rsidRPr="00717B62">
              <w:rPr>
                <w:rFonts w:ascii="Arial" w:hAnsi="Arial" w:cs="Arial"/>
                <w:color w:val="000000"/>
                <w:sz w:val="18"/>
                <w:szCs w:val="18"/>
                <w:lang w:val="es-AR"/>
              </w:rPr>
              <w:t xml:space="preserve"> </w:t>
            </w:r>
            <w:r>
              <w:rPr>
                <w:rFonts w:ascii="Arial" w:hAnsi="Arial" w:cs="Arial"/>
                <w:color w:val="000000"/>
                <w:sz w:val="18"/>
                <w:szCs w:val="18"/>
                <w:lang w:val="es-AR"/>
              </w:rPr>
              <w:t xml:space="preserve">generado por </w:t>
            </w:r>
            <w:r w:rsidRPr="00717B62">
              <w:rPr>
                <w:rFonts w:ascii="Arial" w:hAnsi="Arial" w:cs="Arial"/>
                <w:color w:val="000000"/>
                <w:sz w:val="18"/>
                <w:szCs w:val="18"/>
                <w:lang w:val="es-AR"/>
              </w:rPr>
              <w:t xml:space="preserve">las actividades operativas </w:t>
            </w:r>
          </w:p>
        </w:tc>
        <w:tc>
          <w:tcPr>
            <w:tcW w:w="1188" w:type="dxa"/>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991.927</w:t>
            </w:r>
          </w:p>
        </w:tc>
        <w:tc>
          <w:tcPr>
            <w:tcW w:w="116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2</w:t>
            </w:r>
            <w:r>
              <w:rPr>
                <w:rFonts w:ascii="Arial" w:hAnsi="Arial" w:cs="Arial"/>
                <w:sz w:val="18"/>
                <w:szCs w:val="18"/>
              </w:rPr>
              <w:t>.</w:t>
            </w:r>
            <w:r w:rsidRPr="007F1B62">
              <w:rPr>
                <w:rFonts w:ascii="Arial" w:hAnsi="Arial" w:cs="Arial"/>
                <w:sz w:val="18"/>
                <w:szCs w:val="18"/>
              </w:rPr>
              <w:t>109</w:t>
            </w:r>
            <w:r>
              <w:rPr>
                <w:rFonts w:ascii="Arial" w:hAnsi="Arial" w:cs="Arial"/>
                <w:sz w:val="18"/>
                <w:szCs w:val="18"/>
              </w:rPr>
              <w:t>.</w:t>
            </w:r>
            <w:r w:rsidRPr="007F1B62">
              <w:rPr>
                <w:rFonts w:ascii="Arial" w:hAnsi="Arial" w:cs="Arial"/>
                <w:sz w:val="18"/>
                <w:szCs w:val="18"/>
              </w:rPr>
              <w:t>498</w:t>
            </w:r>
          </w:p>
        </w:tc>
        <w:tc>
          <w:tcPr>
            <w:tcW w:w="1249" w:type="dxa"/>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(1.093.965)</w:t>
            </w:r>
          </w:p>
        </w:tc>
        <w:tc>
          <w:tcPr>
            <w:tcW w:w="124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1</w:t>
            </w:r>
            <w:r>
              <w:rPr>
                <w:rFonts w:ascii="Arial" w:hAnsi="Arial" w:cs="Arial"/>
                <w:sz w:val="18"/>
                <w:szCs w:val="18"/>
              </w:rPr>
              <w:t>.</w:t>
            </w:r>
            <w:r w:rsidRPr="007F1B62">
              <w:rPr>
                <w:rFonts w:ascii="Arial" w:hAnsi="Arial" w:cs="Arial"/>
                <w:sz w:val="18"/>
                <w:szCs w:val="18"/>
              </w:rPr>
              <w:t>608</w:t>
            </w:r>
            <w:r>
              <w:rPr>
                <w:rFonts w:ascii="Arial" w:hAnsi="Arial" w:cs="Arial"/>
                <w:sz w:val="18"/>
                <w:szCs w:val="18"/>
              </w:rPr>
              <w:t>.</w:t>
            </w:r>
            <w:r w:rsidRPr="007F1B62">
              <w:rPr>
                <w:rFonts w:ascii="Arial" w:hAnsi="Arial" w:cs="Arial"/>
                <w:sz w:val="18"/>
                <w:szCs w:val="18"/>
              </w:rPr>
              <w:t>310</w:t>
            </w:r>
          </w:p>
        </w:tc>
      </w:tr>
      <w:tr w:rsidR="00D122C9" w:rsidRPr="009E0282" w:rsidTr="004505FD">
        <w:tblPrEx>
          <w:tblLook w:val="01E0" w:firstRow="1" w:lastRow="1" w:firstColumn="1" w:lastColumn="1" w:noHBand="0" w:noVBand="0"/>
        </w:tblPrEx>
        <w:trPr>
          <w:gridAfter w:val="1"/>
          <w:wAfter w:w="10" w:type="dxa"/>
          <w:trHeight w:val="240"/>
        </w:trPr>
        <w:tc>
          <w:tcPr>
            <w:tcW w:w="4253" w:type="dxa"/>
            <w:vAlign w:val="bottom"/>
          </w:tcPr>
          <w:p w:rsidR="00D122C9" w:rsidRPr="00A73253" w:rsidRDefault="00D122C9" w:rsidP="00D122C9">
            <w:pPr>
              <w:rPr>
                <w:rFonts w:ascii="Arial" w:hAnsi="Arial" w:cs="Arial"/>
                <w:sz w:val="18"/>
                <w:szCs w:val="18"/>
                <w:lang w:val="es-ES_tradnl"/>
              </w:rPr>
            </w:pPr>
            <w:r w:rsidRPr="00717B62">
              <w:rPr>
                <w:rFonts w:ascii="Arial" w:hAnsi="Arial" w:cs="Arial"/>
                <w:color w:val="000000"/>
                <w:sz w:val="18"/>
                <w:szCs w:val="18"/>
                <w:lang w:val="es-AR"/>
              </w:rPr>
              <w:t>Flujo de fondos por acción – actividades operativas </w:t>
            </w:r>
            <w:r w:rsidRPr="00717B62">
              <w:rPr>
                <w:rFonts w:ascii="Arial" w:hAnsi="Arial" w:cs="Arial"/>
                <w:sz w:val="20"/>
                <w:szCs w:val="20"/>
                <w:vertAlign w:val="superscript"/>
                <w:lang w:val="es-AR"/>
              </w:rPr>
              <w:t>(</w:t>
            </w:r>
            <w:r>
              <w:rPr>
                <w:rFonts w:ascii="Arial" w:hAnsi="Arial" w:cs="Arial"/>
                <w:sz w:val="20"/>
                <w:szCs w:val="20"/>
                <w:vertAlign w:val="superscript"/>
                <w:lang w:val="es-AR"/>
              </w:rPr>
              <w:t>1</w:t>
            </w:r>
            <w:r w:rsidRPr="00717B62">
              <w:rPr>
                <w:rFonts w:ascii="Arial" w:hAnsi="Arial" w:cs="Arial"/>
                <w:sz w:val="20"/>
                <w:szCs w:val="20"/>
                <w:vertAlign w:val="superscript"/>
                <w:lang w:val="es-AR"/>
              </w:rPr>
              <w:t>)(</w:t>
            </w:r>
            <w:r>
              <w:rPr>
                <w:rFonts w:ascii="Arial" w:hAnsi="Arial" w:cs="Arial"/>
                <w:sz w:val="20"/>
                <w:szCs w:val="20"/>
                <w:vertAlign w:val="superscript"/>
                <w:lang w:val="es-AR"/>
              </w:rPr>
              <w:t>2</w:t>
            </w:r>
            <w:r w:rsidRPr="00717B62">
              <w:rPr>
                <w:rFonts w:ascii="Arial" w:hAnsi="Arial" w:cs="Arial"/>
                <w:sz w:val="20"/>
                <w:szCs w:val="20"/>
                <w:vertAlign w:val="superscript"/>
                <w:lang w:val="es-AR"/>
              </w:rPr>
              <w:t>)</w:t>
            </w:r>
          </w:p>
        </w:tc>
        <w:tc>
          <w:tcPr>
            <w:tcW w:w="1188" w:type="dxa"/>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0</w:t>
            </w:r>
            <w:r w:rsidR="000D3DC7">
              <w:rPr>
                <w:rFonts w:ascii="Arial" w:hAnsi="Arial" w:cs="Arial"/>
                <w:sz w:val="18"/>
                <w:szCs w:val="18"/>
              </w:rPr>
              <w:t>,</w:t>
            </w:r>
            <w:r>
              <w:rPr>
                <w:rFonts w:ascii="Arial" w:hAnsi="Arial" w:cs="Arial"/>
                <w:sz w:val="18"/>
                <w:szCs w:val="18"/>
              </w:rPr>
              <w:t>01</w:t>
            </w:r>
          </w:p>
        </w:tc>
        <w:tc>
          <w:tcPr>
            <w:tcW w:w="116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0</w:t>
            </w:r>
            <w:r w:rsidR="000D3DC7">
              <w:rPr>
                <w:rFonts w:ascii="Arial" w:hAnsi="Arial" w:cs="Arial"/>
                <w:sz w:val="18"/>
                <w:szCs w:val="18"/>
              </w:rPr>
              <w:t>,</w:t>
            </w:r>
            <w:r w:rsidRPr="007F1B62">
              <w:rPr>
                <w:rFonts w:ascii="Arial" w:hAnsi="Arial" w:cs="Arial"/>
                <w:sz w:val="18"/>
                <w:szCs w:val="18"/>
              </w:rPr>
              <w:t>03</w:t>
            </w:r>
          </w:p>
        </w:tc>
        <w:tc>
          <w:tcPr>
            <w:tcW w:w="1249" w:type="dxa"/>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(0</w:t>
            </w:r>
            <w:r w:rsidR="000D3DC7">
              <w:rPr>
                <w:rFonts w:ascii="Arial" w:hAnsi="Arial" w:cs="Arial"/>
                <w:sz w:val="18"/>
                <w:szCs w:val="18"/>
              </w:rPr>
              <w:t>,</w:t>
            </w:r>
            <w:r>
              <w:rPr>
                <w:rFonts w:ascii="Arial" w:hAnsi="Arial" w:cs="Arial"/>
                <w:sz w:val="18"/>
                <w:szCs w:val="18"/>
              </w:rPr>
              <w:t>02)</w:t>
            </w:r>
          </w:p>
        </w:tc>
        <w:tc>
          <w:tcPr>
            <w:tcW w:w="124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0</w:t>
            </w:r>
            <w:r w:rsidR="000D3DC7">
              <w:rPr>
                <w:rFonts w:ascii="Arial" w:hAnsi="Arial" w:cs="Arial"/>
                <w:sz w:val="18"/>
                <w:szCs w:val="18"/>
              </w:rPr>
              <w:t>,</w:t>
            </w:r>
            <w:r w:rsidRPr="007F1B62">
              <w:rPr>
                <w:rFonts w:ascii="Arial" w:hAnsi="Arial" w:cs="Arial"/>
                <w:sz w:val="18"/>
                <w:szCs w:val="18"/>
              </w:rPr>
              <w:t>02</w:t>
            </w:r>
          </w:p>
        </w:tc>
      </w:tr>
      <w:tr w:rsidR="00D122C9" w:rsidRPr="009E0282" w:rsidTr="004505FD">
        <w:tblPrEx>
          <w:tblLook w:val="01E0" w:firstRow="1" w:lastRow="1" w:firstColumn="1" w:lastColumn="1" w:noHBand="0" w:noVBand="0"/>
        </w:tblPrEx>
        <w:trPr>
          <w:gridAfter w:val="1"/>
          <w:wAfter w:w="10" w:type="dxa"/>
          <w:trHeight w:val="219"/>
        </w:trPr>
        <w:tc>
          <w:tcPr>
            <w:tcW w:w="4253" w:type="dxa"/>
            <w:vAlign w:val="bottom"/>
          </w:tcPr>
          <w:p w:rsidR="00D122C9" w:rsidRPr="00A73253" w:rsidRDefault="00D122C9" w:rsidP="00D122C9">
            <w:pPr>
              <w:rPr>
                <w:rFonts w:ascii="Arial" w:hAnsi="Arial" w:cs="Arial"/>
                <w:sz w:val="18"/>
                <w:szCs w:val="18"/>
                <w:lang w:val="es-ES_tradnl"/>
              </w:rPr>
            </w:pPr>
            <w:r w:rsidRPr="00717B62">
              <w:rPr>
                <w:rFonts w:ascii="Arial" w:hAnsi="Arial" w:cs="Arial"/>
                <w:color w:val="000000"/>
                <w:sz w:val="18"/>
                <w:szCs w:val="18"/>
                <w:lang w:val="es-AR"/>
              </w:rPr>
              <w:t xml:space="preserve">Cantidad de acciones promedio ponderada </w:t>
            </w:r>
            <w:r>
              <w:rPr>
                <w:rFonts w:ascii="Arial" w:hAnsi="Arial" w:cs="Arial"/>
                <w:color w:val="000000"/>
                <w:sz w:val="18"/>
                <w:szCs w:val="18"/>
                <w:lang w:val="es-AR"/>
              </w:rPr>
              <w:t>–</w:t>
            </w:r>
            <w:r w:rsidRPr="00717B62">
              <w:rPr>
                <w:rFonts w:ascii="Arial" w:hAnsi="Arial" w:cs="Arial"/>
                <w:color w:val="000000"/>
                <w:sz w:val="18"/>
                <w:szCs w:val="18"/>
                <w:lang w:val="es-AR"/>
              </w:rPr>
              <w:t xml:space="preserve"> básica</w:t>
            </w:r>
            <w:r>
              <w:rPr>
                <w:rFonts w:ascii="Arial" w:hAnsi="Arial" w:cs="Arial"/>
                <w:color w:val="000000"/>
                <w:sz w:val="18"/>
                <w:szCs w:val="18"/>
                <w:lang w:val="es-AR"/>
              </w:rPr>
              <w:t xml:space="preserve">  y diluida</w:t>
            </w:r>
          </w:p>
        </w:tc>
        <w:tc>
          <w:tcPr>
            <w:tcW w:w="1188" w:type="dxa"/>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72.903.038</w:t>
            </w:r>
          </w:p>
        </w:tc>
        <w:tc>
          <w:tcPr>
            <w:tcW w:w="116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72</w:t>
            </w:r>
            <w:r>
              <w:rPr>
                <w:rFonts w:ascii="Arial" w:hAnsi="Arial" w:cs="Arial"/>
                <w:sz w:val="18"/>
                <w:szCs w:val="18"/>
              </w:rPr>
              <w:t>.</w:t>
            </w:r>
            <w:r w:rsidRPr="007F1B62">
              <w:rPr>
                <w:rFonts w:ascii="Arial" w:hAnsi="Arial" w:cs="Arial"/>
                <w:sz w:val="18"/>
                <w:szCs w:val="18"/>
              </w:rPr>
              <w:t>903</w:t>
            </w:r>
            <w:r>
              <w:rPr>
                <w:rFonts w:ascii="Arial" w:hAnsi="Arial" w:cs="Arial"/>
                <w:sz w:val="18"/>
                <w:szCs w:val="18"/>
              </w:rPr>
              <w:t>.</w:t>
            </w:r>
            <w:r w:rsidRPr="007F1B62">
              <w:rPr>
                <w:rFonts w:ascii="Arial" w:hAnsi="Arial" w:cs="Arial"/>
                <w:sz w:val="18"/>
                <w:szCs w:val="18"/>
              </w:rPr>
              <w:t>038</w:t>
            </w:r>
          </w:p>
        </w:tc>
        <w:tc>
          <w:tcPr>
            <w:tcW w:w="1249" w:type="dxa"/>
            <w:vAlign w:val="bottom"/>
          </w:tcPr>
          <w:p w:rsidR="00D122C9" w:rsidRPr="009E0282" w:rsidRDefault="00D122C9" w:rsidP="00D122C9">
            <w:pPr>
              <w:jc w:val="right"/>
              <w:rPr>
                <w:rFonts w:ascii="Arial" w:hAnsi="Arial" w:cs="Arial"/>
                <w:sz w:val="18"/>
                <w:szCs w:val="18"/>
                <w:lang w:val="en-CA"/>
              </w:rPr>
            </w:pPr>
            <w:r>
              <w:rPr>
                <w:rFonts w:ascii="Arial" w:hAnsi="Arial" w:cs="Arial"/>
                <w:sz w:val="18"/>
                <w:szCs w:val="18"/>
              </w:rPr>
              <w:t>72.903.038</w:t>
            </w:r>
          </w:p>
        </w:tc>
        <w:tc>
          <w:tcPr>
            <w:tcW w:w="1240" w:type="dxa"/>
            <w:vAlign w:val="bottom"/>
          </w:tcPr>
          <w:p w:rsidR="00D122C9" w:rsidRPr="009E0282" w:rsidRDefault="00D122C9" w:rsidP="00D122C9">
            <w:pPr>
              <w:jc w:val="right"/>
              <w:rPr>
                <w:rFonts w:ascii="Arial" w:hAnsi="Arial" w:cs="Arial"/>
                <w:sz w:val="18"/>
                <w:szCs w:val="18"/>
                <w:lang w:val="en-CA"/>
              </w:rPr>
            </w:pPr>
            <w:r w:rsidRPr="007F1B62">
              <w:rPr>
                <w:rFonts w:ascii="Arial" w:hAnsi="Arial" w:cs="Arial"/>
                <w:sz w:val="18"/>
                <w:szCs w:val="18"/>
              </w:rPr>
              <w:t>72</w:t>
            </w:r>
            <w:r>
              <w:rPr>
                <w:rFonts w:ascii="Arial" w:hAnsi="Arial" w:cs="Arial"/>
                <w:sz w:val="18"/>
                <w:szCs w:val="18"/>
              </w:rPr>
              <w:t>.</w:t>
            </w:r>
            <w:r w:rsidRPr="007F1B62">
              <w:rPr>
                <w:rFonts w:ascii="Arial" w:hAnsi="Arial" w:cs="Arial"/>
                <w:sz w:val="18"/>
                <w:szCs w:val="18"/>
              </w:rPr>
              <w:t>903</w:t>
            </w:r>
            <w:r>
              <w:rPr>
                <w:rFonts w:ascii="Arial" w:hAnsi="Arial" w:cs="Arial"/>
                <w:sz w:val="18"/>
                <w:szCs w:val="18"/>
              </w:rPr>
              <w:t>.</w:t>
            </w:r>
            <w:r w:rsidRPr="007F1B62">
              <w:rPr>
                <w:rFonts w:ascii="Arial" w:hAnsi="Arial" w:cs="Arial"/>
                <w:sz w:val="18"/>
                <w:szCs w:val="18"/>
              </w:rPr>
              <w:t>038</w:t>
            </w:r>
          </w:p>
        </w:tc>
      </w:tr>
      <w:tr w:rsidR="00A73253" w:rsidRPr="009E0282" w:rsidTr="00A73253">
        <w:tblPrEx>
          <w:tblLook w:val="01E0" w:firstRow="1" w:lastRow="1" w:firstColumn="1" w:lastColumn="1" w:noHBand="0" w:noVBand="0"/>
        </w:tblPrEx>
        <w:trPr>
          <w:gridAfter w:val="1"/>
          <w:wAfter w:w="10" w:type="dxa"/>
          <w:trHeight w:val="49"/>
        </w:trPr>
        <w:tc>
          <w:tcPr>
            <w:tcW w:w="4253" w:type="dxa"/>
            <w:tcBorders>
              <w:top w:val="single" w:sz="12" w:space="0" w:color="auto"/>
            </w:tcBorders>
            <w:vAlign w:val="bottom"/>
          </w:tcPr>
          <w:p w:rsidR="00A73253" w:rsidRPr="009E0282" w:rsidRDefault="00A73253" w:rsidP="00A73253">
            <w:pPr>
              <w:rPr>
                <w:rFonts w:ascii="Arial" w:hAnsi="Arial" w:cs="Arial"/>
                <w:sz w:val="18"/>
                <w:szCs w:val="18"/>
              </w:rPr>
            </w:pPr>
          </w:p>
        </w:tc>
        <w:tc>
          <w:tcPr>
            <w:tcW w:w="1188" w:type="dxa"/>
            <w:tcBorders>
              <w:top w:val="single" w:sz="12" w:space="0" w:color="auto"/>
            </w:tcBorders>
            <w:vAlign w:val="bottom"/>
          </w:tcPr>
          <w:p w:rsidR="00A73253" w:rsidRPr="009E0282" w:rsidRDefault="00A73253" w:rsidP="00A73253">
            <w:pPr>
              <w:rPr>
                <w:rFonts w:ascii="Arial" w:hAnsi="Arial" w:cs="Arial"/>
                <w:sz w:val="18"/>
                <w:szCs w:val="18"/>
                <w:lang w:val="en-CA"/>
              </w:rPr>
            </w:pPr>
          </w:p>
        </w:tc>
        <w:tc>
          <w:tcPr>
            <w:tcW w:w="1160" w:type="dxa"/>
            <w:tcBorders>
              <w:top w:val="single" w:sz="12" w:space="0" w:color="auto"/>
            </w:tcBorders>
            <w:vAlign w:val="bottom"/>
          </w:tcPr>
          <w:p w:rsidR="00A73253" w:rsidRPr="009E0282" w:rsidRDefault="00A73253" w:rsidP="00A73253">
            <w:pPr>
              <w:rPr>
                <w:rFonts w:ascii="Arial" w:hAnsi="Arial" w:cs="Arial"/>
                <w:sz w:val="18"/>
                <w:szCs w:val="18"/>
                <w:lang w:val="en-CA"/>
              </w:rPr>
            </w:pPr>
          </w:p>
        </w:tc>
        <w:tc>
          <w:tcPr>
            <w:tcW w:w="1249" w:type="dxa"/>
            <w:tcBorders>
              <w:top w:val="single" w:sz="12" w:space="0" w:color="auto"/>
            </w:tcBorders>
            <w:vAlign w:val="bottom"/>
          </w:tcPr>
          <w:p w:rsidR="00A73253" w:rsidRPr="009E0282" w:rsidRDefault="00A73253" w:rsidP="00A73253">
            <w:pPr>
              <w:rPr>
                <w:rFonts w:ascii="Arial" w:hAnsi="Arial" w:cs="Arial"/>
                <w:sz w:val="18"/>
                <w:szCs w:val="18"/>
                <w:lang w:val="en-CA"/>
              </w:rPr>
            </w:pPr>
          </w:p>
        </w:tc>
        <w:tc>
          <w:tcPr>
            <w:tcW w:w="1240" w:type="dxa"/>
            <w:tcBorders>
              <w:top w:val="single" w:sz="12" w:space="0" w:color="auto"/>
            </w:tcBorders>
            <w:vAlign w:val="bottom"/>
          </w:tcPr>
          <w:p w:rsidR="00A73253" w:rsidRPr="009E0282" w:rsidRDefault="00A73253" w:rsidP="00A73253">
            <w:pPr>
              <w:rPr>
                <w:rFonts w:ascii="Arial" w:hAnsi="Arial" w:cs="Arial"/>
                <w:sz w:val="18"/>
                <w:szCs w:val="18"/>
                <w:lang w:val="en-CA"/>
              </w:rPr>
            </w:pPr>
          </w:p>
        </w:tc>
      </w:tr>
      <w:bookmarkEnd w:id="0"/>
    </w:tbl>
    <w:p w:rsidR="00AB646E" w:rsidRDefault="00AB646E">
      <w:pPr>
        <w:rPr>
          <w:rFonts w:ascii="Arial" w:hAnsi="Arial" w:cs="Arial"/>
          <w:sz w:val="20"/>
          <w:szCs w:val="20"/>
          <w:lang w:val="es-AR"/>
        </w:rPr>
      </w:pPr>
    </w:p>
    <w:p w:rsidR="00A11329" w:rsidRPr="00717B62" w:rsidRDefault="006429BF" w:rsidP="000D3DC7">
      <w:pPr>
        <w:widowControl w:val="0"/>
        <w:spacing w:before="40"/>
        <w:ind w:left="432" w:hanging="288"/>
        <w:jc w:val="both"/>
        <w:rPr>
          <w:rFonts w:ascii="Arial" w:hAnsi="Arial" w:cs="Arial"/>
          <w:sz w:val="16"/>
          <w:szCs w:val="16"/>
          <w:lang w:val="es-AR"/>
        </w:rPr>
      </w:pPr>
      <w:r w:rsidRPr="00717B62">
        <w:rPr>
          <w:rFonts w:ascii="Arial" w:hAnsi="Arial" w:cs="Arial"/>
          <w:sz w:val="18"/>
          <w:szCs w:val="18"/>
          <w:vertAlign w:val="superscript"/>
          <w:lang w:val="es-AR"/>
        </w:rPr>
        <w:t>(1)</w:t>
      </w:r>
      <w:r w:rsidRPr="00717B62">
        <w:rPr>
          <w:rFonts w:ascii="Arial" w:hAnsi="Arial" w:cs="Arial"/>
          <w:sz w:val="18"/>
          <w:szCs w:val="18"/>
          <w:lang w:val="es-AR"/>
        </w:rPr>
        <w:t xml:space="preserve"> </w:t>
      </w:r>
      <w:r w:rsidRPr="00717B62">
        <w:rPr>
          <w:rFonts w:ascii="Arial" w:hAnsi="Arial" w:cs="Arial"/>
          <w:sz w:val="16"/>
          <w:szCs w:val="16"/>
          <w:lang w:val="es-AR"/>
        </w:rPr>
        <w:t xml:space="preserve"> Aplicamos las Normas Internacionales de Información Financiera (“</w:t>
      </w:r>
      <w:r w:rsidRPr="00394AC6">
        <w:rPr>
          <w:rFonts w:ascii="Arial" w:hAnsi="Arial" w:cs="Arial"/>
          <w:b/>
          <w:sz w:val="16"/>
          <w:szCs w:val="16"/>
          <w:lang w:val="es-AR"/>
        </w:rPr>
        <w:t>NIIF</w:t>
      </w:r>
      <w:r w:rsidRPr="00717B62">
        <w:rPr>
          <w:rFonts w:ascii="Arial" w:hAnsi="Arial" w:cs="Arial"/>
          <w:sz w:val="16"/>
          <w:szCs w:val="16"/>
          <w:lang w:val="es-AR"/>
        </w:rPr>
        <w:t xml:space="preserve">”); sin embargo, la Compañía también emplea ciertas medidas no contempladas en las NIIF para analizar el desempeño financiero, la situación patrimonial y el flujo de fondos. </w:t>
      </w:r>
      <w:r w:rsidR="00CE0655" w:rsidRPr="00717B62">
        <w:rPr>
          <w:rFonts w:ascii="Arial" w:hAnsi="Arial" w:cs="Arial"/>
          <w:sz w:val="16"/>
          <w:szCs w:val="16"/>
          <w:lang w:val="es-AR"/>
        </w:rPr>
        <w:t>“Capital de trabajo” es una medida de gestión de capital. "Pasivos financieros no corrientes" es una medida financiera complementaria. "Efectivo neto por acción – actividades operativas" es una medida financiera complementaria. "Flujo de fondos por acción – actividades operativas" es una medida financiera complementaria.  Véase "Medidas no contempladas en las NIIF y otras medidas financieras".</w:t>
      </w:r>
    </w:p>
    <w:p w:rsidR="00A11329" w:rsidRPr="00717B62" w:rsidRDefault="00A11329" w:rsidP="00A11329">
      <w:pPr>
        <w:widowControl w:val="0"/>
        <w:ind w:left="432" w:hanging="288"/>
        <w:jc w:val="both"/>
        <w:rPr>
          <w:rFonts w:ascii="Arial" w:hAnsi="Arial" w:cs="Arial"/>
          <w:sz w:val="16"/>
          <w:szCs w:val="16"/>
          <w:lang w:val="es-AR"/>
        </w:rPr>
      </w:pPr>
      <w:r w:rsidRPr="00717B62">
        <w:rPr>
          <w:rFonts w:ascii="Arial" w:hAnsi="Arial" w:cs="Arial"/>
          <w:sz w:val="21"/>
          <w:szCs w:val="21"/>
          <w:vertAlign w:val="superscript"/>
          <w:lang w:val="es-AR"/>
        </w:rPr>
        <w:t>(3)</w:t>
      </w:r>
      <w:r w:rsidRPr="00717B62">
        <w:rPr>
          <w:rFonts w:ascii="Arial" w:hAnsi="Arial" w:cs="Arial"/>
          <w:sz w:val="16"/>
          <w:szCs w:val="16"/>
          <w:lang w:val="es-AR"/>
        </w:rPr>
        <w:t>  Todas las cifras por acción son iguales para la cantidad promedio ponderada básica y diluida de acciones en circulación de</w:t>
      </w:r>
      <w:r w:rsidR="00AA5133">
        <w:rPr>
          <w:rFonts w:ascii="Arial" w:hAnsi="Arial" w:cs="Arial"/>
          <w:sz w:val="16"/>
          <w:szCs w:val="16"/>
          <w:lang w:val="es-AR"/>
        </w:rPr>
        <w:t xml:space="preserve"> los</w:t>
      </w:r>
      <w:r w:rsidRPr="00717B62">
        <w:rPr>
          <w:rFonts w:ascii="Arial" w:hAnsi="Arial" w:cs="Arial"/>
          <w:sz w:val="16"/>
          <w:szCs w:val="16"/>
          <w:lang w:val="es-AR"/>
        </w:rPr>
        <w:t xml:space="preserve"> período</w:t>
      </w:r>
      <w:r w:rsidR="00AA5133">
        <w:rPr>
          <w:rFonts w:ascii="Arial" w:hAnsi="Arial" w:cs="Arial"/>
          <w:sz w:val="16"/>
          <w:szCs w:val="16"/>
          <w:lang w:val="es-AR"/>
        </w:rPr>
        <w:t>s</w:t>
      </w:r>
      <w:r w:rsidRPr="00717B62">
        <w:rPr>
          <w:rFonts w:ascii="Arial" w:hAnsi="Arial" w:cs="Arial"/>
          <w:sz w:val="16"/>
          <w:szCs w:val="16"/>
          <w:lang w:val="es-AR"/>
        </w:rPr>
        <w:t>.  Las opciones tienen efecto antidilución en períodos de pérdida.  La suma de las cantidades por acción puede no coincidir debido al redondeo.</w:t>
      </w:r>
    </w:p>
    <w:p w:rsidR="00F21945" w:rsidRDefault="00F21945">
      <w:pPr>
        <w:rPr>
          <w:rFonts w:ascii="Arial" w:hAnsi="Arial" w:cs="Arial"/>
          <w:b/>
          <w:bCs/>
          <w:sz w:val="20"/>
          <w:szCs w:val="20"/>
          <w:lang w:val="es-AR"/>
        </w:rPr>
      </w:pPr>
      <w:r>
        <w:rPr>
          <w:rFonts w:ascii="Arial" w:hAnsi="Arial" w:cs="Arial"/>
          <w:b/>
          <w:bCs/>
          <w:sz w:val="20"/>
          <w:szCs w:val="20"/>
          <w:lang w:val="es-AR"/>
        </w:rPr>
        <w:br w:type="page"/>
      </w:r>
    </w:p>
    <w:p w:rsidR="00570F49" w:rsidRDefault="00570F49" w:rsidP="00893629">
      <w:pPr>
        <w:spacing w:before="120" w:after="120"/>
        <w:rPr>
          <w:rFonts w:ascii="Arial" w:hAnsi="Arial" w:cs="Arial"/>
          <w:b/>
          <w:bCs/>
          <w:sz w:val="20"/>
          <w:szCs w:val="20"/>
          <w:lang w:val="es-AR"/>
        </w:rPr>
      </w:pPr>
      <w:r w:rsidRPr="00717B62">
        <w:rPr>
          <w:rFonts w:ascii="Arial" w:hAnsi="Arial" w:cs="Arial"/>
          <w:b/>
          <w:bCs/>
          <w:sz w:val="20"/>
          <w:szCs w:val="20"/>
          <w:lang w:val="es-AR"/>
        </w:rPr>
        <w:lastRenderedPageBreak/>
        <w:t xml:space="preserve">Volúmenes de venta </w:t>
      </w:r>
    </w:p>
    <w:p w:rsidR="00C52721" w:rsidRDefault="00C52721" w:rsidP="00C52721">
      <w:pPr>
        <w:rPr>
          <w:rFonts w:ascii="Arial" w:hAnsi="Arial" w:cs="Arial"/>
          <w:b/>
          <w:sz w:val="20"/>
          <w:szCs w:val="20"/>
          <w:lang w:val="en-CA"/>
        </w:rPr>
      </w:pPr>
    </w:p>
    <w:tbl>
      <w:tblPr>
        <w:tblW w:w="9701" w:type="dxa"/>
        <w:tblLook w:val="04A0" w:firstRow="1" w:lastRow="0" w:firstColumn="1" w:lastColumn="0" w:noHBand="0" w:noVBand="1"/>
      </w:tblPr>
      <w:tblGrid>
        <w:gridCol w:w="3673"/>
        <w:gridCol w:w="1507"/>
        <w:gridCol w:w="1507"/>
        <w:gridCol w:w="1507"/>
        <w:gridCol w:w="1507"/>
      </w:tblGrid>
      <w:tr w:rsidR="00C52721" w:rsidRPr="008E71FD" w:rsidTr="00AB454D">
        <w:trPr>
          <w:trHeight w:val="249"/>
        </w:trPr>
        <w:tc>
          <w:tcPr>
            <w:tcW w:w="3673" w:type="dxa"/>
            <w:tcBorders>
              <w:top w:val="single" w:sz="8" w:space="0" w:color="auto"/>
              <w:left w:val="single" w:sz="8" w:space="0" w:color="auto"/>
              <w:bottom w:val="nil"/>
              <w:right w:val="single" w:sz="8" w:space="0" w:color="auto"/>
            </w:tcBorders>
            <w:shd w:val="clear" w:color="auto" w:fill="auto"/>
            <w:vAlign w:val="center"/>
            <w:hideMark/>
          </w:tcPr>
          <w:p w:rsidR="00C52721" w:rsidRPr="008E71FD" w:rsidRDefault="00C52721" w:rsidP="00AB454D">
            <w:pPr>
              <w:rPr>
                <w:rFonts w:ascii="Arial" w:hAnsi="Arial" w:cs="Arial"/>
                <w:b/>
                <w:bCs/>
                <w:color w:val="000000"/>
                <w:sz w:val="16"/>
                <w:szCs w:val="16"/>
              </w:rPr>
            </w:pPr>
            <w:r w:rsidRPr="008E71FD">
              <w:rPr>
                <w:rFonts w:ascii="Arial" w:hAnsi="Arial" w:cs="Arial"/>
                <w:b/>
                <w:bCs/>
                <w:color w:val="000000"/>
                <w:sz w:val="16"/>
                <w:szCs w:val="16"/>
                <w:lang w:val="en-CA"/>
              </w:rPr>
              <w:t> </w:t>
            </w:r>
          </w:p>
        </w:tc>
        <w:tc>
          <w:tcPr>
            <w:tcW w:w="3014" w:type="dxa"/>
            <w:gridSpan w:val="2"/>
            <w:tcBorders>
              <w:top w:val="single" w:sz="8" w:space="0" w:color="auto"/>
              <w:left w:val="nil"/>
              <w:bottom w:val="nil"/>
              <w:right w:val="single" w:sz="8" w:space="0" w:color="000000"/>
            </w:tcBorders>
            <w:shd w:val="clear" w:color="auto" w:fill="auto"/>
            <w:vAlign w:val="center"/>
            <w:hideMark/>
          </w:tcPr>
          <w:p w:rsidR="00C52721" w:rsidRPr="00C52721" w:rsidRDefault="00C52721" w:rsidP="00C52721">
            <w:pPr>
              <w:jc w:val="center"/>
              <w:rPr>
                <w:rFonts w:ascii="Arial" w:hAnsi="Arial" w:cs="Arial"/>
                <w:b/>
                <w:bCs/>
                <w:color w:val="000000"/>
                <w:sz w:val="16"/>
                <w:szCs w:val="16"/>
                <w:lang w:val="es-ES_tradnl"/>
              </w:rPr>
            </w:pPr>
            <w:r w:rsidRPr="00C52721">
              <w:rPr>
                <w:rFonts w:ascii="Arial" w:hAnsi="Arial" w:cs="Arial"/>
                <w:b/>
                <w:bCs/>
                <w:color w:val="000000"/>
                <w:sz w:val="16"/>
                <w:szCs w:val="16"/>
                <w:lang w:val="es-ES_tradnl"/>
              </w:rPr>
              <w:t>Período de tres meses finalizado el</w:t>
            </w:r>
          </w:p>
        </w:tc>
        <w:tc>
          <w:tcPr>
            <w:tcW w:w="3014" w:type="dxa"/>
            <w:gridSpan w:val="2"/>
            <w:tcBorders>
              <w:top w:val="single" w:sz="8" w:space="0" w:color="auto"/>
              <w:left w:val="nil"/>
              <w:bottom w:val="nil"/>
              <w:right w:val="single" w:sz="8" w:space="0" w:color="auto"/>
            </w:tcBorders>
            <w:shd w:val="clear" w:color="auto" w:fill="auto"/>
            <w:vAlign w:val="center"/>
            <w:hideMark/>
          </w:tcPr>
          <w:p w:rsidR="00C52721" w:rsidRPr="008E71FD" w:rsidRDefault="00C52721" w:rsidP="00C52721">
            <w:pPr>
              <w:jc w:val="center"/>
              <w:rPr>
                <w:rFonts w:ascii="Arial" w:hAnsi="Arial" w:cs="Arial"/>
                <w:b/>
                <w:bCs/>
                <w:color w:val="000000"/>
                <w:sz w:val="16"/>
                <w:szCs w:val="16"/>
              </w:rPr>
            </w:pPr>
            <w:r>
              <w:rPr>
                <w:rFonts w:ascii="Arial" w:hAnsi="Arial" w:cs="Arial"/>
                <w:b/>
                <w:bCs/>
                <w:color w:val="000000"/>
                <w:sz w:val="16"/>
                <w:szCs w:val="16"/>
              </w:rPr>
              <w:t>Ejercicio finalizado el</w:t>
            </w:r>
          </w:p>
        </w:tc>
      </w:tr>
      <w:tr w:rsidR="00C52721" w:rsidRPr="008E71FD" w:rsidTr="00AB454D">
        <w:trPr>
          <w:trHeight w:val="249"/>
        </w:trPr>
        <w:tc>
          <w:tcPr>
            <w:tcW w:w="3673" w:type="dxa"/>
            <w:tcBorders>
              <w:top w:val="nil"/>
              <w:left w:val="single" w:sz="8" w:space="0" w:color="auto"/>
              <w:bottom w:val="nil"/>
              <w:right w:val="single" w:sz="8" w:space="0" w:color="auto"/>
            </w:tcBorders>
            <w:shd w:val="clear" w:color="auto" w:fill="auto"/>
            <w:vAlign w:val="center"/>
            <w:hideMark/>
          </w:tcPr>
          <w:p w:rsidR="00C52721" w:rsidRPr="008E71FD" w:rsidRDefault="00C52721" w:rsidP="00AB454D">
            <w:pPr>
              <w:rPr>
                <w:rFonts w:ascii="Arial" w:hAnsi="Arial" w:cs="Arial"/>
                <w:b/>
                <w:bCs/>
                <w:color w:val="000000"/>
                <w:sz w:val="16"/>
                <w:szCs w:val="16"/>
              </w:rPr>
            </w:pPr>
            <w:r w:rsidRPr="008E71FD">
              <w:rPr>
                <w:rFonts w:ascii="Arial" w:hAnsi="Arial" w:cs="Arial"/>
                <w:b/>
                <w:bCs/>
                <w:color w:val="000000"/>
                <w:sz w:val="16"/>
                <w:szCs w:val="16"/>
                <w:lang w:val="en-CA"/>
              </w:rPr>
              <w:t> </w:t>
            </w:r>
          </w:p>
        </w:tc>
        <w:tc>
          <w:tcPr>
            <w:tcW w:w="3014" w:type="dxa"/>
            <w:gridSpan w:val="2"/>
            <w:tcBorders>
              <w:top w:val="nil"/>
              <w:left w:val="nil"/>
              <w:bottom w:val="single" w:sz="8" w:space="0" w:color="auto"/>
              <w:right w:val="single" w:sz="8" w:space="0" w:color="000000"/>
            </w:tcBorders>
            <w:shd w:val="clear" w:color="auto" w:fill="auto"/>
            <w:vAlign w:val="center"/>
            <w:hideMark/>
          </w:tcPr>
          <w:p w:rsidR="00C52721" w:rsidRPr="008E71FD" w:rsidRDefault="00C52721" w:rsidP="00AB454D">
            <w:pPr>
              <w:jc w:val="center"/>
              <w:rPr>
                <w:rFonts w:ascii="Arial" w:hAnsi="Arial" w:cs="Arial"/>
                <w:b/>
                <w:bCs/>
                <w:color w:val="000000"/>
                <w:sz w:val="16"/>
                <w:szCs w:val="16"/>
              </w:rPr>
            </w:pPr>
            <w:r>
              <w:rPr>
                <w:rFonts w:ascii="Arial" w:hAnsi="Arial" w:cs="Arial"/>
                <w:b/>
                <w:bCs/>
                <w:color w:val="000000"/>
                <w:sz w:val="16"/>
                <w:szCs w:val="16"/>
              </w:rPr>
              <w:t>31 de diciembre de</w:t>
            </w:r>
          </w:p>
        </w:tc>
        <w:tc>
          <w:tcPr>
            <w:tcW w:w="3014" w:type="dxa"/>
            <w:gridSpan w:val="2"/>
            <w:tcBorders>
              <w:top w:val="nil"/>
              <w:left w:val="nil"/>
              <w:bottom w:val="single" w:sz="8" w:space="0" w:color="auto"/>
              <w:right w:val="single" w:sz="8" w:space="0" w:color="auto"/>
            </w:tcBorders>
            <w:shd w:val="clear" w:color="auto" w:fill="auto"/>
            <w:vAlign w:val="center"/>
            <w:hideMark/>
          </w:tcPr>
          <w:p w:rsidR="00C52721" w:rsidRPr="008E71FD" w:rsidRDefault="00C52721" w:rsidP="00AB454D">
            <w:pPr>
              <w:jc w:val="center"/>
              <w:rPr>
                <w:rFonts w:ascii="Arial" w:hAnsi="Arial" w:cs="Arial"/>
                <w:b/>
                <w:bCs/>
                <w:color w:val="000000"/>
                <w:sz w:val="16"/>
                <w:szCs w:val="16"/>
              </w:rPr>
            </w:pPr>
            <w:r>
              <w:rPr>
                <w:rFonts w:ascii="Arial" w:hAnsi="Arial" w:cs="Arial"/>
                <w:b/>
                <w:bCs/>
                <w:color w:val="000000"/>
                <w:sz w:val="16"/>
                <w:szCs w:val="16"/>
              </w:rPr>
              <w:t>31 de diciembre de</w:t>
            </w:r>
          </w:p>
        </w:tc>
      </w:tr>
      <w:tr w:rsidR="00C52721" w:rsidRPr="008E71FD" w:rsidTr="00AB454D">
        <w:trPr>
          <w:trHeight w:val="249"/>
        </w:trPr>
        <w:tc>
          <w:tcPr>
            <w:tcW w:w="3673" w:type="dxa"/>
            <w:tcBorders>
              <w:top w:val="nil"/>
              <w:left w:val="single" w:sz="8" w:space="0" w:color="auto"/>
              <w:bottom w:val="single" w:sz="8" w:space="0" w:color="auto"/>
              <w:right w:val="single" w:sz="8" w:space="0" w:color="auto"/>
            </w:tcBorders>
            <w:shd w:val="clear" w:color="auto" w:fill="auto"/>
            <w:vAlign w:val="center"/>
            <w:hideMark/>
          </w:tcPr>
          <w:p w:rsidR="00C52721" w:rsidRPr="008E71FD" w:rsidRDefault="00C52721" w:rsidP="00AB454D">
            <w:pPr>
              <w:rPr>
                <w:rFonts w:ascii="Arial" w:hAnsi="Arial" w:cs="Arial"/>
                <w:color w:val="000000"/>
                <w:sz w:val="16"/>
                <w:szCs w:val="16"/>
              </w:rPr>
            </w:pPr>
            <w:r w:rsidRPr="008E71FD">
              <w:rPr>
                <w:rFonts w:ascii="Arial" w:hAnsi="Arial" w:cs="Arial"/>
                <w:bCs/>
                <w:color w:val="000000"/>
                <w:sz w:val="16"/>
                <w:szCs w:val="16"/>
                <w:lang w:val="en-CA"/>
              </w:rPr>
              <w:t> </w:t>
            </w:r>
          </w:p>
        </w:tc>
        <w:tc>
          <w:tcPr>
            <w:tcW w:w="1507" w:type="dxa"/>
            <w:tcBorders>
              <w:top w:val="nil"/>
              <w:left w:val="nil"/>
              <w:bottom w:val="single" w:sz="8" w:space="0" w:color="auto"/>
              <w:right w:val="single" w:sz="8" w:space="0" w:color="auto"/>
            </w:tcBorders>
            <w:shd w:val="clear" w:color="auto" w:fill="auto"/>
            <w:vAlign w:val="center"/>
            <w:hideMark/>
          </w:tcPr>
          <w:p w:rsidR="00C52721" w:rsidRPr="008E71FD" w:rsidRDefault="00D122C9" w:rsidP="00AA5133">
            <w:pPr>
              <w:jc w:val="center"/>
              <w:rPr>
                <w:rFonts w:ascii="Arial" w:hAnsi="Arial" w:cs="Arial"/>
                <w:b/>
                <w:bCs/>
                <w:color w:val="000000"/>
                <w:sz w:val="16"/>
                <w:szCs w:val="16"/>
              </w:rPr>
            </w:pPr>
            <w:r>
              <w:rPr>
                <w:rFonts w:ascii="Arial" w:hAnsi="Arial" w:cs="Arial"/>
                <w:b/>
                <w:bCs/>
                <w:color w:val="000000"/>
                <w:sz w:val="16"/>
                <w:szCs w:val="16"/>
              </w:rPr>
              <w:t>2024</w:t>
            </w:r>
          </w:p>
        </w:tc>
        <w:tc>
          <w:tcPr>
            <w:tcW w:w="1507" w:type="dxa"/>
            <w:tcBorders>
              <w:top w:val="nil"/>
              <w:left w:val="nil"/>
              <w:bottom w:val="single" w:sz="8" w:space="0" w:color="auto"/>
              <w:right w:val="single" w:sz="8" w:space="0" w:color="auto"/>
            </w:tcBorders>
            <w:shd w:val="clear" w:color="auto" w:fill="auto"/>
            <w:vAlign w:val="center"/>
            <w:hideMark/>
          </w:tcPr>
          <w:p w:rsidR="00C52721" w:rsidRPr="008E71FD" w:rsidRDefault="00D122C9" w:rsidP="00AA5133">
            <w:pPr>
              <w:jc w:val="center"/>
              <w:rPr>
                <w:rFonts w:ascii="Arial" w:hAnsi="Arial" w:cs="Arial"/>
                <w:b/>
                <w:bCs/>
                <w:color w:val="000000"/>
                <w:sz w:val="16"/>
                <w:szCs w:val="16"/>
              </w:rPr>
            </w:pPr>
            <w:r>
              <w:rPr>
                <w:rFonts w:ascii="Arial" w:hAnsi="Arial" w:cs="Arial"/>
                <w:b/>
                <w:bCs/>
                <w:color w:val="000000"/>
                <w:sz w:val="16"/>
                <w:szCs w:val="16"/>
              </w:rPr>
              <w:t>2023</w:t>
            </w:r>
          </w:p>
        </w:tc>
        <w:tc>
          <w:tcPr>
            <w:tcW w:w="1507" w:type="dxa"/>
            <w:tcBorders>
              <w:top w:val="nil"/>
              <w:left w:val="nil"/>
              <w:bottom w:val="single" w:sz="8" w:space="0" w:color="auto"/>
              <w:right w:val="single" w:sz="8" w:space="0" w:color="auto"/>
            </w:tcBorders>
            <w:shd w:val="clear" w:color="auto" w:fill="auto"/>
            <w:vAlign w:val="center"/>
            <w:hideMark/>
          </w:tcPr>
          <w:p w:rsidR="00C52721" w:rsidRPr="008E71FD" w:rsidRDefault="00D122C9" w:rsidP="00AA5133">
            <w:pPr>
              <w:jc w:val="center"/>
              <w:rPr>
                <w:rFonts w:ascii="Arial" w:hAnsi="Arial" w:cs="Arial"/>
                <w:b/>
                <w:bCs/>
                <w:color w:val="000000"/>
                <w:sz w:val="16"/>
                <w:szCs w:val="16"/>
              </w:rPr>
            </w:pPr>
            <w:r>
              <w:rPr>
                <w:rFonts w:ascii="Arial" w:hAnsi="Arial" w:cs="Arial"/>
                <w:b/>
                <w:bCs/>
                <w:color w:val="000000"/>
                <w:sz w:val="16"/>
                <w:szCs w:val="16"/>
              </w:rPr>
              <w:t>2024</w:t>
            </w:r>
          </w:p>
        </w:tc>
        <w:tc>
          <w:tcPr>
            <w:tcW w:w="1507" w:type="dxa"/>
            <w:tcBorders>
              <w:top w:val="nil"/>
              <w:left w:val="nil"/>
              <w:bottom w:val="single" w:sz="8" w:space="0" w:color="auto"/>
              <w:right w:val="single" w:sz="8" w:space="0" w:color="auto"/>
            </w:tcBorders>
            <w:shd w:val="clear" w:color="auto" w:fill="auto"/>
            <w:vAlign w:val="center"/>
            <w:hideMark/>
          </w:tcPr>
          <w:p w:rsidR="00C52721" w:rsidRPr="008E71FD" w:rsidRDefault="00D122C9" w:rsidP="00AA5133">
            <w:pPr>
              <w:jc w:val="center"/>
              <w:rPr>
                <w:rFonts w:ascii="Arial" w:hAnsi="Arial" w:cs="Arial"/>
                <w:b/>
                <w:bCs/>
                <w:color w:val="000000"/>
                <w:sz w:val="16"/>
                <w:szCs w:val="16"/>
              </w:rPr>
            </w:pPr>
            <w:r>
              <w:rPr>
                <w:rFonts w:ascii="Arial" w:hAnsi="Arial" w:cs="Arial"/>
                <w:b/>
                <w:bCs/>
                <w:color w:val="000000"/>
                <w:sz w:val="16"/>
                <w:szCs w:val="16"/>
              </w:rPr>
              <w:t>2023</w:t>
            </w:r>
          </w:p>
        </w:tc>
      </w:tr>
      <w:tr w:rsidR="00D122C9" w:rsidRPr="008E71FD" w:rsidTr="00E4387E">
        <w:trPr>
          <w:trHeight w:val="249"/>
        </w:trPr>
        <w:tc>
          <w:tcPr>
            <w:tcW w:w="3673" w:type="dxa"/>
            <w:tcBorders>
              <w:top w:val="nil"/>
              <w:left w:val="single" w:sz="8" w:space="0" w:color="auto"/>
              <w:bottom w:val="single" w:sz="12" w:space="0" w:color="auto"/>
              <w:right w:val="single" w:sz="8" w:space="0" w:color="auto"/>
            </w:tcBorders>
            <w:shd w:val="clear" w:color="auto" w:fill="auto"/>
            <w:vAlign w:val="bottom"/>
            <w:hideMark/>
          </w:tcPr>
          <w:p w:rsidR="00D122C9" w:rsidRPr="00C52721" w:rsidRDefault="00D122C9" w:rsidP="00D122C9">
            <w:pPr>
              <w:rPr>
                <w:rFonts w:ascii="Arial" w:hAnsi="Arial" w:cs="Arial"/>
                <w:color w:val="000000"/>
                <w:sz w:val="16"/>
                <w:szCs w:val="16"/>
                <w:lang w:val="es-ES_tradnl"/>
              </w:rPr>
            </w:pPr>
            <w:r w:rsidRPr="00717B62">
              <w:rPr>
                <w:rFonts w:ascii="Arial" w:hAnsi="Arial" w:cs="Arial"/>
                <w:sz w:val="16"/>
                <w:szCs w:val="16"/>
                <w:lang w:val="es-AR"/>
              </w:rPr>
              <w:t>Volúmenes de venta totales (BOE)</w:t>
            </w:r>
          </w:p>
        </w:tc>
        <w:tc>
          <w:tcPr>
            <w:tcW w:w="1507" w:type="dxa"/>
            <w:tcBorders>
              <w:top w:val="nil"/>
              <w:left w:val="nil"/>
              <w:bottom w:val="single" w:sz="12" w:space="0" w:color="auto"/>
              <w:right w:val="single" w:sz="8" w:space="0" w:color="auto"/>
            </w:tcBorders>
            <w:shd w:val="clear" w:color="auto" w:fill="auto"/>
            <w:vAlign w:val="bottom"/>
            <w:hideMark/>
          </w:tcPr>
          <w:p w:rsidR="00D122C9" w:rsidRPr="008E71FD" w:rsidRDefault="00D122C9" w:rsidP="00D122C9">
            <w:pPr>
              <w:jc w:val="right"/>
              <w:rPr>
                <w:rFonts w:ascii="Arial" w:hAnsi="Arial" w:cs="Arial"/>
                <w:color w:val="000000"/>
                <w:sz w:val="16"/>
                <w:szCs w:val="16"/>
              </w:rPr>
            </w:pPr>
            <w:r>
              <w:rPr>
                <w:rFonts w:ascii="Arial" w:hAnsi="Arial" w:cs="Arial"/>
                <w:sz w:val="16"/>
                <w:szCs w:val="16"/>
              </w:rPr>
              <w:t>306.807</w:t>
            </w:r>
          </w:p>
        </w:tc>
        <w:tc>
          <w:tcPr>
            <w:tcW w:w="1507" w:type="dxa"/>
            <w:tcBorders>
              <w:top w:val="nil"/>
              <w:left w:val="nil"/>
              <w:bottom w:val="single" w:sz="12" w:space="0" w:color="auto"/>
              <w:right w:val="single" w:sz="8" w:space="0" w:color="auto"/>
            </w:tcBorders>
            <w:shd w:val="clear" w:color="auto" w:fill="auto"/>
            <w:vAlign w:val="bottom"/>
            <w:hideMark/>
          </w:tcPr>
          <w:p w:rsidR="00D122C9" w:rsidRPr="008E71FD" w:rsidRDefault="00D122C9" w:rsidP="00D122C9">
            <w:pPr>
              <w:jc w:val="right"/>
              <w:rPr>
                <w:rFonts w:ascii="Arial" w:hAnsi="Arial" w:cs="Arial"/>
                <w:color w:val="000000"/>
                <w:sz w:val="16"/>
                <w:szCs w:val="16"/>
              </w:rPr>
            </w:pPr>
            <w:r w:rsidRPr="007F1B62">
              <w:rPr>
                <w:rFonts w:ascii="Arial" w:hAnsi="Arial" w:cs="Arial"/>
                <w:sz w:val="16"/>
                <w:szCs w:val="16"/>
              </w:rPr>
              <w:t>117</w:t>
            </w:r>
            <w:r>
              <w:rPr>
                <w:rFonts w:ascii="Arial" w:hAnsi="Arial" w:cs="Arial"/>
                <w:sz w:val="16"/>
                <w:szCs w:val="16"/>
              </w:rPr>
              <w:t>.</w:t>
            </w:r>
            <w:r w:rsidRPr="007F1B62">
              <w:rPr>
                <w:rFonts w:ascii="Arial" w:hAnsi="Arial" w:cs="Arial"/>
                <w:sz w:val="16"/>
                <w:szCs w:val="16"/>
              </w:rPr>
              <w:t>252</w:t>
            </w:r>
          </w:p>
        </w:tc>
        <w:tc>
          <w:tcPr>
            <w:tcW w:w="1507" w:type="dxa"/>
            <w:tcBorders>
              <w:top w:val="nil"/>
              <w:left w:val="nil"/>
              <w:bottom w:val="single" w:sz="12" w:space="0" w:color="auto"/>
              <w:right w:val="single" w:sz="8" w:space="0" w:color="auto"/>
            </w:tcBorders>
            <w:shd w:val="clear" w:color="auto" w:fill="auto"/>
            <w:vAlign w:val="bottom"/>
            <w:hideMark/>
          </w:tcPr>
          <w:p w:rsidR="00D122C9" w:rsidRPr="008E71FD" w:rsidRDefault="00D122C9" w:rsidP="00D122C9">
            <w:pPr>
              <w:jc w:val="right"/>
              <w:rPr>
                <w:rFonts w:ascii="Arial" w:hAnsi="Arial" w:cs="Arial"/>
                <w:color w:val="000000"/>
                <w:sz w:val="16"/>
                <w:szCs w:val="16"/>
              </w:rPr>
            </w:pPr>
            <w:r>
              <w:rPr>
                <w:rFonts w:ascii="Arial" w:hAnsi="Arial" w:cs="Arial"/>
                <w:color w:val="000000"/>
                <w:sz w:val="16"/>
                <w:szCs w:val="16"/>
                <w:lang w:val="en-CA"/>
              </w:rPr>
              <w:t>676.990</w:t>
            </w:r>
          </w:p>
        </w:tc>
        <w:tc>
          <w:tcPr>
            <w:tcW w:w="1507" w:type="dxa"/>
            <w:tcBorders>
              <w:top w:val="nil"/>
              <w:left w:val="nil"/>
              <w:bottom w:val="single" w:sz="12" w:space="0" w:color="auto"/>
              <w:right w:val="single" w:sz="8" w:space="0" w:color="auto"/>
            </w:tcBorders>
            <w:shd w:val="clear" w:color="auto" w:fill="auto"/>
            <w:vAlign w:val="bottom"/>
            <w:hideMark/>
          </w:tcPr>
          <w:p w:rsidR="00D122C9" w:rsidRPr="008E71FD" w:rsidRDefault="00D122C9" w:rsidP="00D122C9">
            <w:pPr>
              <w:jc w:val="right"/>
              <w:rPr>
                <w:rFonts w:ascii="Arial" w:hAnsi="Arial" w:cs="Arial"/>
                <w:color w:val="000000"/>
                <w:sz w:val="16"/>
                <w:szCs w:val="16"/>
              </w:rPr>
            </w:pPr>
            <w:r w:rsidRPr="007F1B62">
              <w:rPr>
                <w:rFonts w:ascii="Arial" w:hAnsi="Arial" w:cs="Arial"/>
                <w:sz w:val="16"/>
                <w:szCs w:val="16"/>
              </w:rPr>
              <w:t>525</w:t>
            </w:r>
            <w:r>
              <w:rPr>
                <w:rFonts w:ascii="Arial" w:hAnsi="Arial" w:cs="Arial"/>
                <w:sz w:val="16"/>
                <w:szCs w:val="16"/>
              </w:rPr>
              <w:t>.</w:t>
            </w:r>
            <w:r w:rsidRPr="007F1B62">
              <w:rPr>
                <w:rFonts w:ascii="Arial" w:hAnsi="Arial" w:cs="Arial"/>
                <w:sz w:val="16"/>
                <w:szCs w:val="16"/>
              </w:rPr>
              <w:t>115</w:t>
            </w:r>
          </w:p>
        </w:tc>
      </w:tr>
      <w:tr w:rsidR="00D122C9" w:rsidRPr="008E71FD" w:rsidTr="004505FD">
        <w:trPr>
          <w:trHeight w:val="249"/>
        </w:trPr>
        <w:tc>
          <w:tcPr>
            <w:tcW w:w="3673" w:type="dxa"/>
            <w:tcBorders>
              <w:top w:val="nil"/>
              <w:left w:val="single" w:sz="8" w:space="0" w:color="auto"/>
              <w:bottom w:val="nil"/>
              <w:right w:val="single" w:sz="8" w:space="0" w:color="auto"/>
            </w:tcBorders>
            <w:shd w:val="clear" w:color="auto" w:fill="auto"/>
            <w:vAlign w:val="bottom"/>
            <w:hideMark/>
          </w:tcPr>
          <w:p w:rsidR="00D122C9" w:rsidRPr="00C52721" w:rsidRDefault="00D122C9" w:rsidP="00D122C9">
            <w:pPr>
              <w:rPr>
                <w:rFonts w:ascii="Arial" w:hAnsi="Arial" w:cs="Arial"/>
                <w:color w:val="000000"/>
                <w:sz w:val="16"/>
                <w:szCs w:val="16"/>
                <w:lang w:val="es-ES_tradnl"/>
              </w:rPr>
            </w:pPr>
            <w:r w:rsidRPr="00717B62">
              <w:rPr>
                <w:rFonts w:ascii="Arial" w:hAnsi="Arial" w:cs="Arial"/>
                <w:sz w:val="16"/>
                <w:szCs w:val="16"/>
                <w:lang w:val="es-AR"/>
              </w:rPr>
              <w:t xml:space="preserve">Bbls de petróleo </w:t>
            </w:r>
            <w:r>
              <w:rPr>
                <w:rFonts w:ascii="Arial" w:hAnsi="Arial" w:cs="Arial"/>
                <w:sz w:val="16"/>
                <w:szCs w:val="16"/>
                <w:lang w:val="es-AR"/>
              </w:rPr>
              <w:t>crudo</w:t>
            </w:r>
            <w:r w:rsidRPr="00717B62">
              <w:rPr>
                <w:rFonts w:ascii="Arial" w:hAnsi="Arial" w:cs="Arial"/>
                <w:sz w:val="16"/>
                <w:szCs w:val="16"/>
                <w:lang w:val="es-AR"/>
              </w:rPr>
              <w:t xml:space="preserve"> por día </w:t>
            </w:r>
          </w:p>
        </w:tc>
        <w:tc>
          <w:tcPr>
            <w:tcW w:w="1507" w:type="dxa"/>
            <w:tcBorders>
              <w:top w:val="nil"/>
              <w:left w:val="nil"/>
              <w:bottom w:val="nil"/>
              <w:right w:val="single" w:sz="8" w:space="0" w:color="auto"/>
            </w:tcBorders>
            <w:shd w:val="clear" w:color="auto" w:fill="auto"/>
            <w:hideMark/>
          </w:tcPr>
          <w:p w:rsidR="00D122C9" w:rsidRPr="008E71FD" w:rsidRDefault="00D122C9" w:rsidP="00D122C9">
            <w:pPr>
              <w:jc w:val="right"/>
              <w:rPr>
                <w:rFonts w:ascii="Arial" w:hAnsi="Arial" w:cs="Arial"/>
                <w:color w:val="000000"/>
                <w:sz w:val="16"/>
                <w:szCs w:val="16"/>
              </w:rPr>
            </w:pPr>
            <w:r>
              <w:rPr>
                <w:rFonts w:ascii="Arial" w:hAnsi="Arial" w:cs="Arial"/>
                <w:color w:val="000000"/>
                <w:sz w:val="16"/>
                <w:szCs w:val="16"/>
                <w:lang w:val="en-CA"/>
              </w:rPr>
              <w:t>2.868</w:t>
            </w:r>
          </w:p>
        </w:tc>
        <w:tc>
          <w:tcPr>
            <w:tcW w:w="1507" w:type="dxa"/>
            <w:tcBorders>
              <w:top w:val="nil"/>
              <w:left w:val="nil"/>
              <w:bottom w:val="nil"/>
              <w:right w:val="single" w:sz="8" w:space="0" w:color="auto"/>
            </w:tcBorders>
            <w:shd w:val="clear" w:color="auto" w:fill="auto"/>
            <w:vAlign w:val="bottom"/>
            <w:hideMark/>
          </w:tcPr>
          <w:p w:rsidR="00D122C9" w:rsidRPr="008E71FD" w:rsidRDefault="00D122C9" w:rsidP="00D122C9">
            <w:pPr>
              <w:jc w:val="right"/>
              <w:rPr>
                <w:rFonts w:ascii="Arial" w:hAnsi="Arial" w:cs="Arial"/>
                <w:color w:val="000000"/>
                <w:sz w:val="16"/>
                <w:szCs w:val="16"/>
              </w:rPr>
            </w:pPr>
            <w:r w:rsidRPr="007F1B62">
              <w:rPr>
                <w:rFonts w:ascii="Arial" w:hAnsi="Arial" w:cs="Arial"/>
                <w:sz w:val="16"/>
                <w:szCs w:val="16"/>
              </w:rPr>
              <w:t>840</w:t>
            </w:r>
          </w:p>
        </w:tc>
        <w:tc>
          <w:tcPr>
            <w:tcW w:w="1507" w:type="dxa"/>
            <w:tcBorders>
              <w:top w:val="nil"/>
              <w:left w:val="nil"/>
              <w:bottom w:val="nil"/>
              <w:right w:val="single" w:sz="8" w:space="0" w:color="auto"/>
            </w:tcBorders>
            <w:shd w:val="clear" w:color="auto" w:fill="auto"/>
            <w:hideMark/>
          </w:tcPr>
          <w:p w:rsidR="00D122C9" w:rsidRPr="008E71FD" w:rsidRDefault="00D122C9" w:rsidP="00D122C9">
            <w:pPr>
              <w:jc w:val="right"/>
              <w:rPr>
                <w:rFonts w:ascii="Arial" w:hAnsi="Arial" w:cs="Arial"/>
                <w:color w:val="000000"/>
                <w:sz w:val="16"/>
                <w:szCs w:val="16"/>
              </w:rPr>
            </w:pPr>
            <w:r>
              <w:rPr>
                <w:rFonts w:ascii="Arial" w:hAnsi="Arial" w:cs="Arial"/>
                <w:sz w:val="16"/>
                <w:szCs w:val="16"/>
              </w:rPr>
              <w:t>1.296</w:t>
            </w:r>
          </w:p>
        </w:tc>
        <w:tc>
          <w:tcPr>
            <w:tcW w:w="1507" w:type="dxa"/>
            <w:tcBorders>
              <w:top w:val="nil"/>
              <w:left w:val="nil"/>
              <w:bottom w:val="nil"/>
              <w:right w:val="single" w:sz="8" w:space="0" w:color="auto"/>
            </w:tcBorders>
            <w:shd w:val="clear" w:color="auto" w:fill="auto"/>
            <w:vAlign w:val="bottom"/>
            <w:hideMark/>
          </w:tcPr>
          <w:p w:rsidR="00D122C9" w:rsidRPr="008E71FD" w:rsidRDefault="00D122C9" w:rsidP="00D122C9">
            <w:pPr>
              <w:jc w:val="right"/>
              <w:rPr>
                <w:rFonts w:ascii="Arial" w:hAnsi="Arial" w:cs="Arial"/>
                <w:color w:val="000000"/>
                <w:sz w:val="16"/>
                <w:szCs w:val="16"/>
              </w:rPr>
            </w:pPr>
            <w:r w:rsidRPr="007F1B62">
              <w:rPr>
                <w:rFonts w:ascii="Arial" w:hAnsi="Arial" w:cs="Arial"/>
                <w:sz w:val="16"/>
                <w:szCs w:val="16"/>
              </w:rPr>
              <w:t>915</w:t>
            </w:r>
          </w:p>
        </w:tc>
      </w:tr>
      <w:tr w:rsidR="00D122C9" w:rsidRPr="008E71FD" w:rsidTr="004505FD">
        <w:trPr>
          <w:trHeight w:val="240"/>
        </w:trPr>
        <w:tc>
          <w:tcPr>
            <w:tcW w:w="3673" w:type="dxa"/>
            <w:tcBorders>
              <w:top w:val="nil"/>
              <w:left w:val="single" w:sz="8" w:space="0" w:color="auto"/>
              <w:bottom w:val="nil"/>
              <w:right w:val="single" w:sz="8" w:space="0" w:color="auto"/>
            </w:tcBorders>
            <w:shd w:val="clear" w:color="auto" w:fill="auto"/>
            <w:vAlign w:val="bottom"/>
            <w:hideMark/>
          </w:tcPr>
          <w:p w:rsidR="00D122C9" w:rsidRPr="00C52721" w:rsidRDefault="00D122C9" w:rsidP="00D122C9">
            <w:pPr>
              <w:rPr>
                <w:rFonts w:ascii="Arial" w:hAnsi="Arial" w:cs="Arial"/>
                <w:color w:val="000000"/>
                <w:sz w:val="16"/>
                <w:szCs w:val="16"/>
                <w:lang w:val="es-ES_tradnl"/>
              </w:rPr>
            </w:pPr>
            <w:r w:rsidRPr="00717B62">
              <w:rPr>
                <w:rFonts w:ascii="Arial" w:hAnsi="Arial" w:cs="Arial"/>
                <w:sz w:val="16"/>
                <w:szCs w:val="16"/>
                <w:lang w:val="es-AR"/>
              </w:rPr>
              <w:t xml:space="preserve">Bbls de LGN por día </w:t>
            </w:r>
          </w:p>
        </w:tc>
        <w:tc>
          <w:tcPr>
            <w:tcW w:w="1507" w:type="dxa"/>
            <w:tcBorders>
              <w:top w:val="nil"/>
              <w:left w:val="nil"/>
              <w:bottom w:val="nil"/>
              <w:right w:val="single" w:sz="8" w:space="0" w:color="auto"/>
            </w:tcBorders>
            <w:shd w:val="clear" w:color="auto" w:fill="auto"/>
            <w:hideMark/>
          </w:tcPr>
          <w:p w:rsidR="00D122C9" w:rsidRPr="008E71FD" w:rsidRDefault="00D122C9" w:rsidP="00D122C9">
            <w:pPr>
              <w:jc w:val="right"/>
              <w:rPr>
                <w:rFonts w:ascii="Arial" w:hAnsi="Arial" w:cs="Arial"/>
                <w:color w:val="000000"/>
                <w:sz w:val="16"/>
                <w:szCs w:val="16"/>
              </w:rPr>
            </w:pPr>
            <w:r>
              <w:rPr>
                <w:rFonts w:ascii="Arial" w:hAnsi="Arial" w:cs="Arial"/>
                <w:color w:val="000000"/>
                <w:sz w:val="16"/>
                <w:szCs w:val="16"/>
                <w:lang w:val="en-CA"/>
              </w:rPr>
              <w:t>17</w:t>
            </w:r>
          </w:p>
        </w:tc>
        <w:tc>
          <w:tcPr>
            <w:tcW w:w="1507" w:type="dxa"/>
            <w:tcBorders>
              <w:top w:val="nil"/>
              <w:left w:val="nil"/>
              <w:bottom w:val="nil"/>
              <w:right w:val="single" w:sz="8" w:space="0" w:color="auto"/>
            </w:tcBorders>
            <w:shd w:val="clear" w:color="auto" w:fill="auto"/>
            <w:vAlign w:val="bottom"/>
            <w:hideMark/>
          </w:tcPr>
          <w:p w:rsidR="00D122C9" w:rsidRPr="008E71FD" w:rsidRDefault="00D122C9" w:rsidP="00D122C9">
            <w:pPr>
              <w:jc w:val="right"/>
              <w:rPr>
                <w:rFonts w:ascii="Arial" w:hAnsi="Arial" w:cs="Arial"/>
                <w:color w:val="000000"/>
                <w:sz w:val="16"/>
                <w:szCs w:val="16"/>
              </w:rPr>
            </w:pPr>
            <w:r w:rsidRPr="007F1B62">
              <w:rPr>
                <w:rFonts w:ascii="Arial" w:hAnsi="Arial" w:cs="Arial"/>
                <w:sz w:val="16"/>
                <w:szCs w:val="16"/>
              </w:rPr>
              <w:t>25</w:t>
            </w:r>
          </w:p>
        </w:tc>
        <w:tc>
          <w:tcPr>
            <w:tcW w:w="1507" w:type="dxa"/>
            <w:tcBorders>
              <w:top w:val="nil"/>
              <w:left w:val="nil"/>
              <w:bottom w:val="nil"/>
              <w:right w:val="single" w:sz="8" w:space="0" w:color="auto"/>
            </w:tcBorders>
            <w:shd w:val="clear" w:color="auto" w:fill="auto"/>
            <w:hideMark/>
          </w:tcPr>
          <w:p w:rsidR="00D122C9" w:rsidRPr="008E71FD" w:rsidRDefault="00D122C9" w:rsidP="00D122C9">
            <w:pPr>
              <w:jc w:val="right"/>
              <w:rPr>
                <w:rFonts w:ascii="Arial" w:hAnsi="Arial" w:cs="Arial"/>
                <w:color w:val="000000"/>
                <w:sz w:val="16"/>
                <w:szCs w:val="16"/>
              </w:rPr>
            </w:pPr>
            <w:r w:rsidRPr="00257237">
              <w:rPr>
                <w:rFonts w:ascii="Arial" w:hAnsi="Arial" w:cs="Arial"/>
                <w:sz w:val="16"/>
                <w:szCs w:val="16"/>
              </w:rPr>
              <w:t xml:space="preserve"> 18 </w:t>
            </w:r>
          </w:p>
        </w:tc>
        <w:tc>
          <w:tcPr>
            <w:tcW w:w="1507" w:type="dxa"/>
            <w:tcBorders>
              <w:top w:val="nil"/>
              <w:left w:val="nil"/>
              <w:bottom w:val="nil"/>
              <w:right w:val="single" w:sz="8" w:space="0" w:color="auto"/>
            </w:tcBorders>
            <w:shd w:val="clear" w:color="auto" w:fill="auto"/>
            <w:vAlign w:val="bottom"/>
            <w:hideMark/>
          </w:tcPr>
          <w:p w:rsidR="00D122C9" w:rsidRPr="008E71FD" w:rsidRDefault="00D122C9" w:rsidP="00D122C9">
            <w:pPr>
              <w:jc w:val="right"/>
              <w:rPr>
                <w:rFonts w:ascii="Arial" w:hAnsi="Arial" w:cs="Arial"/>
                <w:color w:val="000000"/>
                <w:sz w:val="16"/>
                <w:szCs w:val="16"/>
              </w:rPr>
            </w:pPr>
            <w:r w:rsidRPr="007F1B62">
              <w:rPr>
                <w:rFonts w:ascii="Arial" w:hAnsi="Arial" w:cs="Arial"/>
                <w:sz w:val="16"/>
                <w:szCs w:val="16"/>
              </w:rPr>
              <w:t>19</w:t>
            </w:r>
          </w:p>
        </w:tc>
      </w:tr>
      <w:tr w:rsidR="00D122C9" w:rsidRPr="008E71FD" w:rsidTr="004505FD">
        <w:trPr>
          <w:trHeight w:val="249"/>
        </w:trPr>
        <w:tc>
          <w:tcPr>
            <w:tcW w:w="3673" w:type="dxa"/>
            <w:tcBorders>
              <w:top w:val="nil"/>
              <w:left w:val="single" w:sz="8" w:space="0" w:color="auto"/>
              <w:bottom w:val="single" w:sz="8" w:space="0" w:color="auto"/>
              <w:right w:val="single" w:sz="8" w:space="0" w:color="auto"/>
            </w:tcBorders>
            <w:shd w:val="clear" w:color="auto" w:fill="auto"/>
            <w:vAlign w:val="bottom"/>
            <w:hideMark/>
          </w:tcPr>
          <w:p w:rsidR="00D122C9" w:rsidRPr="00C52721" w:rsidRDefault="00D122C9" w:rsidP="00D122C9">
            <w:pPr>
              <w:rPr>
                <w:rFonts w:ascii="Arial" w:hAnsi="Arial" w:cs="Arial"/>
                <w:color w:val="000000"/>
                <w:sz w:val="16"/>
                <w:szCs w:val="16"/>
                <w:lang w:val="es-ES_tradnl"/>
              </w:rPr>
            </w:pPr>
            <w:r w:rsidRPr="00717B62">
              <w:rPr>
                <w:rFonts w:ascii="Arial" w:hAnsi="Arial" w:cs="Arial"/>
                <w:sz w:val="16"/>
                <w:szCs w:val="16"/>
                <w:lang w:val="es-AR"/>
              </w:rPr>
              <w:t xml:space="preserve">Mcf de gas natural por día </w:t>
            </w:r>
          </w:p>
        </w:tc>
        <w:tc>
          <w:tcPr>
            <w:tcW w:w="1507" w:type="dxa"/>
            <w:tcBorders>
              <w:top w:val="nil"/>
              <w:left w:val="nil"/>
              <w:bottom w:val="single" w:sz="8" w:space="0" w:color="auto"/>
              <w:right w:val="single" w:sz="8" w:space="0" w:color="auto"/>
            </w:tcBorders>
            <w:shd w:val="clear" w:color="auto" w:fill="auto"/>
            <w:hideMark/>
          </w:tcPr>
          <w:p w:rsidR="00D122C9" w:rsidRPr="008E71FD" w:rsidRDefault="00D122C9" w:rsidP="00D122C9">
            <w:pPr>
              <w:jc w:val="right"/>
              <w:rPr>
                <w:rFonts w:ascii="Arial" w:hAnsi="Arial" w:cs="Arial"/>
                <w:color w:val="000000"/>
                <w:sz w:val="16"/>
                <w:szCs w:val="16"/>
              </w:rPr>
            </w:pPr>
            <w:r>
              <w:rPr>
                <w:rFonts w:ascii="Arial" w:hAnsi="Arial" w:cs="Arial"/>
                <w:color w:val="000000"/>
                <w:sz w:val="16"/>
                <w:szCs w:val="16"/>
                <w:lang w:val="en-CA"/>
              </w:rPr>
              <w:t>2.698</w:t>
            </w:r>
          </w:p>
        </w:tc>
        <w:tc>
          <w:tcPr>
            <w:tcW w:w="1507" w:type="dxa"/>
            <w:tcBorders>
              <w:top w:val="nil"/>
              <w:left w:val="nil"/>
              <w:bottom w:val="single" w:sz="8" w:space="0" w:color="auto"/>
              <w:right w:val="single" w:sz="8" w:space="0" w:color="auto"/>
            </w:tcBorders>
            <w:shd w:val="clear" w:color="auto" w:fill="auto"/>
            <w:vAlign w:val="bottom"/>
            <w:hideMark/>
          </w:tcPr>
          <w:p w:rsidR="00D122C9" w:rsidRPr="008E71FD" w:rsidRDefault="00D122C9" w:rsidP="00D122C9">
            <w:pPr>
              <w:jc w:val="right"/>
              <w:rPr>
                <w:rFonts w:ascii="Arial" w:hAnsi="Arial" w:cs="Arial"/>
                <w:color w:val="000000"/>
                <w:sz w:val="16"/>
                <w:szCs w:val="16"/>
              </w:rPr>
            </w:pPr>
            <w:r w:rsidRPr="007F1B62">
              <w:rPr>
                <w:rFonts w:ascii="Arial" w:hAnsi="Arial" w:cs="Arial"/>
                <w:sz w:val="16"/>
                <w:szCs w:val="16"/>
              </w:rPr>
              <w:t>2</w:t>
            </w:r>
            <w:r>
              <w:rPr>
                <w:rFonts w:ascii="Arial" w:hAnsi="Arial" w:cs="Arial"/>
                <w:sz w:val="16"/>
                <w:szCs w:val="16"/>
              </w:rPr>
              <w:t>.</w:t>
            </w:r>
            <w:r w:rsidRPr="007F1B62">
              <w:rPr>
                <w:rFonts w:ascii="Arial" w:hAnsi="Arial" w:cs="Arial"/>
                <w:sz w:val="16"/>
                <w:szCs w:val="16"/>
              </w:rPr>
              <w:t>458</w:t>
            </w:r>
          </w:p>
        </w:tc>
        <w:tc>
          <w:tcPr>
            <w:tcW w:w="1507" w:type="dxa"/>
            <w:tcBorders>
              <w:top w:val="nil"/>
              <w:left w:val="nil"/>
              <w:bottom w:val="single" w:sz="8" w:space="0" w:color="auto"/>
              <w:right w:val="single" w:sz="8" w:space="0" w:color="auto"/>
            </w:tcBorders>
            <w:shd w:val="clear" w:color="auto" w:fill="auto"/>
            <w:hideMark/>
          </w:tcPr>
          <w:p w:rsidR="00D122C9" w:rsidRPr="008E71FD" w:rsidRDefault="00D122C9" w:rsidP="00D122C9">
            <w:pPr>
              <w:jc w:val="right"/>
              <w:rPr>
                <w:rFonts w:ascii="Arial" w:hAnsi="Arial" w:cs="Arial"/>
                <w:color w:val="000000"/>
                <w:sz w:val="16"/>
                <w:szCs w:val="16"/>
              </w:rPr>
            </w:pPr>
            <w:r w:rsidRPr="00257237">
              <w:rPr>
                <w:rFonts w:ascii="Arial" w:hAnsi="Arial" w:cs="Arial"/>
                <w:sz w:val="16"/>
                <w:szCs w:val="16"/>
              </w:rPr>
              <w:t xml:space="preserve"> 3</w:t>
            </w:r>
            <w:r>
              <w:rPr>
                <w:rFonts w:ascii="Arial" w:hAnsi="Arial" w:cs="Arial"/>
                <w:sz w:val="16"/>
                <w:szCs w:val="16"/>
              </w:rPr>
              <w:t>.217</w:t>
            </w:r>
            <w:r w:rsidRPr="00257237">
              <w:rPr>
                <w:rFonts w:ascii="Arial" w:hAnsi="Arial" w:cs="Arial"/>
                <w:sz w:val="16"/>
                <w:szCs w:val="16"/>
              </w:rPr>
              <w:t xml:space="preserve"> </w:t>
            </w:r>
          </w:p>
        </w:tc>
        <w:tc>
          <w:tcPr>
            <w:tcW w:w="1507" w:type="dxa"/>
            <w:tcBorders>
              <w:top w:val="nil"/>
              <w:left w:val="nil"/>
              <w:bottom w:val="single" w:sz="8" w:space="0" w:color="auto"/>
              <w:right w:val="single" w:sz="8" w:space="0" w:color="auto"/>
            </w:tcBorders>
            <w:shd w:val="clear" w:color="auto" w:fill="auto"/>
            <w:vAlign w:val="bottom"/>
            <w:hideMark/>
          </w:tcPr>
          <w:p w:rsidR="00D122C9" w:rsidRPr="008E71FD" w:rsidRDefault="00D122C9" w:rsidP="00D122C9">
            <w:pPr>
              <w:jc w:val="right"/>
              <w:rPr>
                <w:rFonts w:ascii="Arial" w:hAnsi="Arial" w:cs="Arial"/>
                <w:color w:val="000000"/>
                <w:sz w:val="16"/>
                <w:szCs w:val="16"/>
              </w:rPr>
            </w:pPr>
            <w:r w:rsidRPr="007F1B62">
              <w:rPr>
                <w:rFonts w:ascii="Arial" w:hAnsi="Arial" w:cs="Arial"/>
                <w:sz w:val="16"/>
                <w:szCs w:val="16"/>
              </w:rPr>
              <w:t>3</w:t>
            </w:r>
            <w:r>
              <w:rPr>
                <w:rFonts w:ascii="Arial" w:hAnsi="Arial" w:cs="Arial"/>
                <w:sz w:val="16"/>
                <w:szCs w:val="16"/>
              </w:rPr>
              <w:t>.</w:t>
            </w:r>
            <w:r w:rsidRPr="007F1B62">
              <w:rPr>
                <w:rFonts w:ascii="Arial" w:hAnsi="Arial" w:cs="Arial"/>
                <w:sz w:val="16"/>
                <w:szCs w:val="16"/>
              </w:rPr>
              <w:t>023</w:t>
            </w:r>
          </w:p>
        </w:tc>
      </w:tr>
      <w:tr w:rsidR="00D122C9" w:rsidRPr="008E71FD" w:rsidTr="009D4B81">
        <w:trPr>
          <w:trHeight w:val="249"/>
        </w:trPr>
        <w:tc>
          <w:tcPr>
            <w:tcW w:w="3673" w:type="dxa"/>
            <w:tcBorders>
              <w:top w:val="nil"/>
              <w:left w:val="single" w:sz="8" w:space="0" w:color="auto"/>
              <w:bottom w:val="single" w:sz="8" w:space="0" w:color="auto"/>
              <w:right w:val="single" w:sz="8" w:space="0" w:color="auto"/>
            </w:tcBorders>
            <w:shd w:val="clear" w:color="auto" w:fill="auto"/>
            <w:vAlign w:val="bottom"/>
            <w:hideMark/>
          </w:tcPr>
          <w:p w:rsidR="00D122C9" w:rsidRPr="008E71FD" w:rsidRDefault="00D122C9" w:rsidP="00D122C9">
            <w:pPr>
              <w:rPr>
                <w:rFonts w:ascii="Arial" w:hAnsi="Arial" w:cs="Arial"/>
                <w:color w:val="000000"/>
                <w:sz w:val="16"/>
                <w:szCs w:val="16"/>
              </w:rPr>
            </w:pPr>
            <w:r w:rsidRPr="00717B62">
              <w:rPr>
                <w:rFonts w:ascii="Arial" w:hAnsi="Arial" w:cs="Arial"/>
                <w:sz w:val="16"/>
                <w:szCs w:val="16"/>
                <w:lang w:val="es-AR"/>
              </w:rPr>
              <w:t>Total BOE por día</w:t>
            </w:r>
          </w:p>
        </w:tc>
        <w:tc>
          <w:tcPr>
            <w:tcW w:w="1507" w:type="dxa"/>
            <w:tcBorders>
              <w:top w:val="nil"/>
              <w:left w:val="nil"/>
              <w:bottom w:val="single" w:sz="8" w:space="0" w:color="auto"/>
              <w:right w:val="single" w:sz="8" w:space="0" w:color="auto"/>
            </w:tcBorders>
            <w:shd w:val="clear" w:color="auto" w:fill="auto"/>
            <w:vAlign w:val="center"/>
            <w:hideMark/>
          </w:tcPr>
          <w:p w:rsidR="00D122C9" w:rsidRPr="008E71FD" w:rsidRDefault="00D122C9" w:rsidP="00D122C9">
            <w:pPr>
              <w:jc w:val="right"/>
              <w:rPr>
                <w:rFonts w:ascii="Arial" w:hAnsi="Arial" w:cs="Arial"/>
                <w:color w:val="000000"/>
                <w:sz w:val="16"/>
                <w:szCs w:val="16"/>
              </w:rPr>
            </w:pPr>
            <w:r>
              <w:rPr>
                <w:rFonts w:ascii="Arial" w:hAnsi="Arial" w:cs="Arial"/>
                <w:color w:val="000000"/>
                <w:sz w:val="16"/>
                <w:szCs w:val="16"/>
                <w:lang w:val="en-CA"/>
              </w:rPr>
              <w:t>3.335</w:t>
            </w:r>
          </w:p>
        </w:tc>
        <w:tc>
          <w:tcPr>
            <w:tcW w:w="1507" w:type="dxa"/>
            <w:tcBorders>
              <w:top w:val="nil"/>
              <w:left w:val="nil"/>
              <w:bottom w:val="single" w:sz="8" w:space="0" w:color="auto"/>
              <w:right w:val="single" w:sz="8" w:space="0" w:color="auto"/>
            </w:tcBorders>
            <w:shd w:val="clear" w:color="auto" w:fill="auto"/>
            <w:vAlign w:val="center"/>
            <w:hideMark/>
          </w:tcPr>
          <w:p w:rsidR="00D122C9" w:rsidRPr="008E71FD" w:rsidRDefault="00D122C9" w:rsidP="00D122C9">
            <w:pPr>
              <w:jc w:val="right"/>
              <w:rPr>
                <w:rFonts w:ascii="Arial" w:hAnsi="Arial" w:cs="Arial"/>
                <w:color w:val="000000"/>
                <w:sz w:val="16"/>
                <w:szCs w:val="16"/>
              </w:rPr>
            </w:pPr>
            <w:r w:rsidRPr="007F1B62">
              <w:rPr>
                <w:rFonts w:ascii="Arial" w:hAnsi="Arial" w:cs="Arial"/>
                <w:color w:val="000000"/>
                <w:sz w:val="16"/>
                <w:szCs w:val="16"/>
              </w:rPr>
              <w:t>1</w:t>
            </w:r>
            <w:r>
              <w:rPr>
                <w:rFonts w:ascii="Arial" w:hAnsi="Arial" w:cs="Arial"/>
                <w:color w:val="000000"/>
                <w:sz w:val="16"/>
                <w:szCs w:val="16"/>
              </w:rPr>
              <w:t>.</w:t>
            </w:r>
            <w:r w:rsidRPr="007F1B62">
              <w:rPr>
                <w:rFonts w:ascii="Arial" w:hAnsi="Arial" w:cs="Arial"/>
                <w:color w:val="000000"/>
                <w:sz w:val="16"/>
                <w:szCs w:val="16"/>
              </w:rPr>
              <w:t>275</w:t>
            </w:r>
          </w:p>
        </w:tc>
        <w:tc>
          <w:tcPr>
            <w:tcW w:w="1507" w:type="dxa"/>
            <w:tcBorders>
              <w:top w:val="nil"/>
              <w:left w:val="nil"/>
              <w:bottom w:val="single" w:sz="8" w:space="0" w:color="auto"/>
              <w:right w:val="single" w:sz="8" w:space="0" w:color="auto"/>
            </w:tcBorders>
            <w:shd w:val="clear" w:color="auto" w:fill="auto"/>
            <w:vAlign w:val="center"/>
            <w:hideMark/>
          </w:tcPr>
          <w:p w:rsidR="00D122C9" w:rsidRPr="008E71FD" w:rsidRDefault="00D122C9" w:rsidP="00D122C9">
            <w:pPr>
              <w:jc w:val="right"/>
              <w:rPr>
                <w:rFonts w:ascii="Arial" w:hAnsi="Arial" w:cs="Arial"/>
                <w:color w:val="000000"/>
                <w:sz w:val="16"/>
                <w:szCs w:val="16"/>
              </w:rPr>
            </w:pPr>
            <w:r w:rsidRPr="00257237">
              <w:rPr>
                <w:rFonts w:ascii="Arial" w:hAnsi="Arial" w:cs="Arial"/>
                <w:sz w:val="16"/>
                <w:szCs w:val="16"/>
              </w:rPr>
              <w:t xml:space="preserve"> 1</w:t>
            </w:r>
            <w:r>
              <w:rPr>
                <w:rFonts w:ascii="Arial" w:hAnsi="Arial" w:cs="Arial"/>
                <w:sz w:val="16"/>
                <w:szCs w:val="16"/>
              </w:rPr>
              <w:t>.850</w:t>
            </w:r>
            <w:r w:rsidRPr="00257237">
              <w:rPr>
                <w:rFonts w:ascii="Arial" w:hAnsi="Arial" w:cs="Arial"/>
                <w:sz w:val="16"/>
                <w:szCs w:val="16"/>
              </w:rPr>
              <w:t xml:space="preserve"> </w:t>
            </w:r>
          </w:p>
        </w:tc>
        <w:tc>
          <w:tcPr>
            <w:tcW w:w="1507" w:type="dxa"/>
            <w:tcBorders>
              <w:top w:val="nil"/>
              <w:left w:val="nil"/>
              <w:bottom w:val="single" w:sz="8" w:space="0" w:color="auto"/>
              <w:right w:val="single" w:sz="8" w:space="0" w:color="auto"/>
            </w:tcBorders>
            <w:shd w:val="clear" w:color="auto" w:fill="auto"/>
            <w:vAlign w:val="center"/>
            <w:hideMark/>
          </w:tcPr>
          <w:p w:rsidR="00D122C9" w:rsidRPr="008E71FD" w:rsidRDefault="00D122C9" w:rsidP="00D122C9">
            <w:pPr>
              <w:jc w:val="right"/>
              <w:rPr>
                <w:rFonts w:ascii="Arial" w:hAnsi="Arial" w:cs="Arial"/>
                <w:color w:val="000000"/>
                <w:sz w:val="16"/>
                <w:szCs w:val="16"/>
              </w:rPr>
            </w:pPr>
            <w:r w:rsidRPr="007F1B62">
              <w:rPr>
                <w:rFonts w:ascii="Arial" w:hAnsi="Arial" w:cs="Arial"/>
                <w:color w:val="000000"/>
                <w:sz w:val="16"/>
                <w:szCs w:val="16"/>
              </w:rPr>
              <w:t>1</w:t>
            </w:r>
            <w:r>
              <w:rPr>
                <w:rFonts w:ascii="Arial" w:hAnsi="Arial" w:cs="Arial"/>
                <w:color w:val="000000"/>
                <w:sz w:val="16"/>
                <w:szCs w:val="16"/>
              </w:rPr>
              <w:t>.</w:t>
            </w:r>
            <w:r w:rsidRPr="007F1B62">
              <w:rPr>
                <w:rFonts w:ascii="Arial" w:hAnsi="Arial" w:cs="Arial"/>
                <w:color w:val="000000"/>
                <w:sz w:val="16"/>
                <w:szCs w:val="16"/>
              </w:rPr>
              <w:t>438</w:t>
            </w:r>
          </w:p>
        </w:tc>
      </w:tr>
    </w:tbl>
    <w:p w:rsidR="00C52721" w:rsidRDefault="00C52721" w:rsidP="00C52721">
      <w:pPr>
        <w:rPr>
          <w:rFonts w:ascii="Arial" w:hAnsi="Arial" w:cs="Arial"/>
          <w:b/>
          <w:sz w:val="20"/>
          <w:szCs w:val="20"/>
          <w:lang w:val="en-CA"/>
        </w:rPr>
      </w:pPr>
    </w:p>
    <w:p w:rsidR="00C52721" w:rsidRDefault="00C52721" w:rsidP="00C52721">
      <w:pPr>
        <w:spacing w:before="240" w:after="120"/>
        <w:rPr>
          <w:rFonts w:ascii="Arial" w:hAnsi="Arial" w:cs="Arial"/>
          <w:bCs/>
          <w:sz w:val="18"/>
          <w:szCs w:val="18"/>
          <w:vertAlign w:val="superscript"/>
          <w:lang w:val="en-CA"/>
        </w:rPr>
      </w:pPr>
      <w:r>
        <w:rPr>
          <w:rFonts w:ascii="Arial" w:hAnsi="Arial" w:cs="Arial"/>
          <w:b/>
          <w:sz w:val="18"/>
          <w:szCs w:val="18"/>
          <w:lang w:val="en-CA"/>
        </w:rPr>
        <w:t xml:space="preserve">Netback Operativo </w:t>
      </w:r>
      <w:r w:rsidR="009D4B81">
        <w:rPr>
          <w:rFonts w:ascii="Arial" w:hAnsi="Arial" w:cs="Arial"/>
          <w:bCs/>
          <w:sz w:val="18"/>
          <w:szCs w:val="18"/>
          <w:vertAlign w:val="superscript"/>
          <w:lang w:val="en-CA"/>
        </w:rPr>
        <w:t>(1)</w:t>
      </w:r>
    </w:p>
    <w:tbl>
      <w:tblPr>
        <w:tblW w:w="9918" w:type="dxa"/>
        <w:tblInd w:w="-10" w:type="dxa"/>
        <w:tblLayout w:type="fixed"/>
        <w:tblLook w:val="04A0" w:firstRow="1" w:lastRow="0" w:firstColumn="1" w:lastColumn="0" w:noHBand="0" w:noVBand="1"/>
      </w:tblPr>
      <w:tblGrid>
        <w:gridCol w:w="2425"/>
        <w:gridCol w:w="990"/>
        <w:gridCol w:w="810"/>
        <w:gridCol w:w="990"/>
        <w:gridCol w:w="900"/>
        <w:gridCol w:w="1080"/>
        <w:gridCol w:w="810"/>
        <w:gridCol w:w="1062"/>
        <w:gridCol w:w="851"/>
      </w:tblGrid>
      <w:tr w:rsidR="00BE55D4" w:rsidRPr="00BE55D4" w:rsidTr="00D122C9">
        <w:tc>
          <w:tcPr>
            <w:tcW w:w="2425" w:type="dxa"/>
            <w:tcBorders>
              <w:top w:val="single" w:sz="12" w:space="0" w:color="auto"/>
              <w:left w:val="single" w:sz="4" w:space="0" w:color="auto"/>
              <w:right w:val="single" w:sz="4" w:space="0" w:color="auto"/>
            </w:tcBorders>
            <w:vAlign w:val="bottom"/>
          </w:tcPr>
          <w:p w:rsidR="00BE55D4" w:rsidRPr="00BE55D4" w:rsidRDefault="00BE55D4" w:rsidP="00BE55D4">
            <w:pPr>
              <w:rPr>
                <w:rFonts w:ascii="Arial" w:hAnsi="Arial" w:cs="Arial"/>
                <w:b/>
                <w:bCs/>
                <w:sz w:val="16"/>
                <w:szCs w:val="16"/>
                <w:lang w:val="en-CA"/>
              </w:rPr>
            </w:pPr>
          </w:p>
        </w:tc>
        <w:tc>
          <w:tcPr>
            <w:tcW w:w="3690" w:type="dxa"/>
            <w:gridSpan w:val="4"/>
            <w:tcBorders>
              <w:top w:val="single" w:sz="12" w:space="0" w:color="auto"/>
              <w:left w:val="single" w:sz="4" w:space="0" w:color="auto"/>
              <w:right w:val="single" w:sz="4" w:space="0" w:color="auto"/>
            </w:tcBorders>
            <w:vAlign w:val="bottom"/>
          </w:tcPr>
          <w:p w:rsidR="00BE55D4" w:rsidRPr="00BE55D4" w:rsidRDefault="00BE55D4" w:rsidP="00BE55D4">
            <w:pPr>
              <w:widowControl w:val="0"/>
              <w:spacing w:before="60"/>
              <w:jc w:val="center"/>
              <w:rPr>
                <w:rFonts w:ascii="Arial" w:hAnsi="Arial" w:cs="Arial"/>
                <w:b/>
                <w:bCs/>
                <w:sz w:val="16"/>
                <w:szCs w:val="16"/>
                <w:lang w:val="es-ES_tradnl"/>
              </w:rPr>
            </w:pPr>
            <w:r w:rsidRPr="00BE55D4">
              <w:rPr>
                <w:rFonts w:ascii="Arial" w:hAnsi="Arial" w:cs="Arial"/>
                <w:b/>
                <w:bCs/>
                <w:sz w:val="16"/>
                <w:szCs w:val="16"/>
                <w:lang w:val="es-ES_tradnl"/>
              </w:rPr>
              <w:t>Período de tres meses finalizado el</w:t>
            </w:r>
          </w:p>
        </w:tc>
        <w:tc>
          <w:tcPr>
            <w:tcW w:w="3803" w:type="dxa"/>
            <w:gridSpan w:val="4"/>
            <w:tcBorders>
              <w:top w:val="single" w:sz="12" w:space="0" w:color="auto"/>
              <w:left w:val="single" w:sz="4" w:space="0" w:color="auto"/>
              <w:right w:val="single" w:sz="4" w:space="0" w:color="auto"/>
            </w:tcBorders>
            <w:vAlign w:val="bottom"/>
          </w:tcPr>
          <w:p w:rsidR="00BE55D4" w:rsidRPr="00BE55D4" w:rsidRDefault="00BE55D4" w:rsidP="00BE55D4">
            <w:pPr>
              <w:widowControl w:val="0"/>
              <w:spacing w:before="60"/>
              <w:jc w:val="center"/>
              <w:rPr>
                <w:rFonts w:ascii="Arial" w:hAnsi="Arial" w:cs="Arial"/>
                <w:b/>
                <w:bCs/>
                <w:sz w:val="16"/>
                <w:szCs w:val="16"/>
                <w:lang w:val="en-CA"/>
              </w:rPr>
            </w:pPr>
            <w:r>
              <w:rPr>
                <w:rFonts w:ascii="Arial" w:hAnsi="Arial" w:cs="Arial"/>
                <w:b/>
                <w:bCs/>
                <w:sz w:val="16"/>
                <w:szCs w:val="16"/>
                <w:lang w:val="en-CA"/>
              </w:rPr>
              <w:t>Ejercicio finalizado el</w:t>
            </w:r>
          </w:p>
        </w:tc>
      </w:tr>
      <w:tr w:rsidR="00BE55D4" w:rsidRPr="00BE55D4" w:rsidTr="00D122C9">
        <w:tc>
          <w:tcPr>
            <w:tcW w:w="2425" w:type="dxa"/>
            <w:tcBorders>
              <w:left w:val="single" w:sz="4" w:space="0" w:color="auto"/>
              <w:right w:val="single" w:sz="4" w:space="0" w:color="auto"/>
            </w:tcBorders>
            <w:vAlign w:val="bottom"/>
          </w:tcPr>
          <w:p w:rsidR="00BE55D4" w:rsidRPr="00BE55D4" w:rsidRDefault="00BE55D4" w:rsidP="00BE55D4">
            <w:pPr>
              <w:rPr>
                <w:rFonts w:ascii="Arial" w:hAnsi="Arial" w:cs="Arial"/>
                <w:bCs/>
                <w:sz w:val="16"/>
                <w:szCs w:val="16"/>
                <w:lang w:val="en-CA"/>
              </w:rPr>
            </w:pPr>
          </w:p>
        </w:tc>
        <w:tc>
          <w:tcPr>
            <w:tcW w:w="3690" w:type="dxa"/>
            <w:gridSpan w:val="4"/>
            <w:tcBorders>
              <w:left w:val="single" w:sz="4" w:space="0" w:color="auto"/>
              <w:bottom w:val="single" w:sz="4" w:space="0" w:color="auto"/>
              <w:right w:val="single" w:sz="4" w:space="0" w:color="auto"/>
            </w:tcBorders>
            <w:vAlign w:val="bottom"/>
          </w:tcPr>
          <w:p w:rsidR="00BE55D4" w:rsidRPr="00BE55D4" w:rsidRDefault="00BE55D4" w:rsidP="00BE55D4">
            <w:pPr>
              <w:widowControl w:val="0"/>
              <w:jc w:val="center"/>
              <w:rPr>
                <w:rFonts w:ascii="Arial" w:hAnsi="Arial" w:cs="Arial"/>
                <w:b/>
                <w:bCs/>
                <w:sz w:val="16"/>
                <w:szCs w:val="16"/>
                <w:lang w:val="en-CA"/>
              </w:rPr>
            </w:pPr>
            <w:r w:rsidRPr="00BE55D4">
              <w:rPr>
                <w:rFonts w:ascii="Arial" w:hAnsi="Arial" w:cs="Arial"/>
                <w:b/>
                <w:bCs/>
                <w:sz w:val="16"/>
                <w:szCs w:val="16"/>
                <w:lang w:val="en-CA"/>
              </w:rPr>
              <w:t>31</w:t>
            </w:r>
            <w:r>
              <w:rPr>
                <w:rFonts w:ascii="Arial" w:hAnsi="Arial" w:cs="Arial"/>
                <w:b/>
                <w:bCs/>
                <w:sz w:val="16"/>
                <w:szCs w:val="16"/>
                <w:lang w:val="en-CA"/>
              </w:rPr>
              <w:t xml:space="preserve"> de diciembre de</w:t>
            </w:r>
          </w:p>
        </w:tc>
        <w:tc>
          <w:tcPr>
            <w:tcW w:w="3803" w:type="dxa"/>
            <w:gridSpan w:val="4"/>
            <w:tcBorders>
              <w:left w:val="single" w:sz="4" w:space="0" w:color="auto"/>
              <w:bottom w:val="single" w:sz="4" w:space="0" w:color="auto"/>
              <w:right w:val="single" w:sz="4" w:space="0" w:color="auto"/>
            </w:tcBorders>
            <w:vAlign w:val="bottom"/>
          </w:tcPr>
          <w:p w:rsidR="00BE55D4" w:rsidRPr="00BE55D4" w:rsidRDefault="00BE55D4" w:rsidP="00BE55D4">
            <w:pPr>
              <w:widowControl w:val="0"/>
              <w:jc w:val="center"/>
              <w:rPr>
                <w:rFonts w:ascii="Arial" w:hAnsi="Arial" w:cs="Arial"/>
                <w:b/>
                <w:bCs/>
                <w:sz w:val="16"/>
                <w:szCs w:val="16"/>
                <w:lang w:val="en-CA"/>
              </w:rPr>
            </w:pPr>
            <w:r w:rsidRPr="00BE55D4">
              <w:rPr>
                <w:rFonts w:ascii="Arial" w:hAnsi="Arial" w:cs="Arial"/>
                <w:b/>
                <w:bCs/>
                <w:sz w:val="16"/>
                <w:szCs w:val="16"/>
                <w:lang w:val="en-CA"/>
              </w:rPr>
              <w:t>31</w:t>
            </w:r>
            <w:r>
              <w:rPr>
                <w:rFonts w:ascii="Arial" w:hAnsi="Arial" w:cs="Arial"/>
                <w:b/>
                <w:bCs/>
                <w:sz w:val="16"/>
                <w:szCs w:val="16"/>
                <w:lang w:val="en-CA"/>
              </w:rPr>
              <w:t xml:space="preserve"> de diciembre de</w:t>
            </w:r>
          </w:p>
        </w:tc>
      </w:tr>
      <w:tr w:rsidR="00BE55D4" w:rsidRPr="00BE55D4" w:rsidTr="00D122C9">
        <w:tc>
          <w:tcPr>
            <w:tcW w:w="2425" w:type="dxa"/>
            <w:tcBorders>
              <w:left w:val="single" w:sz="4" w:space="0" w:color="auto"/>
              <w:right w:val="single" w:sz="4" w:space="0" w:color="auto"/>
            </w:tcBorders>
            <w:vAlign w:val="bottom"/>
          </w:tcPr>
          <w:p w:rsidR="00BE55D4" w:rsidRPr="00BE55D4" w:rsidRDefault="00BE55D4" w:rsidP="00BE55D4">
            <w:pPr>
              <w:rPr>
                <w:rFonts w:ascii="Arial" w:hAnsi="Arial" w:cs="Arial"/>
                <w:bCs/>
                <w:sz w:val="16"/>
                <w:szCs w:val="16"/>
                <w:lang w:val="en-CA"/>
              </w:rPr>
            </w:pPr>
          </w:p>
        </w:tc>
        <w:tc>
          <w:tcPr>
            <w:tcW w:w="1800" w:type="dxa"/>
            <w:gridSpan w:val="2"/>
            <w:tcBorders>
              <w:top w:val="single" w:sz="4" w:space="0" w:color="auto"/>
              <w:left w:val="single" w:sz="4" w:space="0" w:color="auto"/>
              <w:right w:val="single" w:sz="4" w:space="0" w:color="auto"/>
            </w:tcBorders>
            <w:vAlign w:val="bottom"/>
          </w:tcPr>
          <w:p w:rsidR="00BE55D4" w:rsidRPr="00BE55D4" w:rsidRDefault="00D122C9" w:rsidP="00BE55D4">
            <w:pPr>
              <w:widowControl w:val="0"/>
              <w:jc w:val="center"/>
              <w:rPr>
                <w:rFonts w:ascii="Arial" w:hAnsi="Arial" w:cs="Arial"/>
                <w:b/>
                <w:bCs/>
                <w:sz w:val="16"/>
                <w:szCs w:val="16"/>
                <w:lang w:val="en-CA"/>
              </w:rPr>
            </w:pPr>
            <w:r>
              <w:rPr>
                <w:rFonts w:ascii="Arial" w:hAnsi="Arial" w:cs="Arial"/>
                <w:b/>
                <w:bCs/>
                <w:sz w:val="16"/>
                <w:szCs w:val="16"/>
                <w:lang w:val="en-CA"/>
              </w:rPr>
              <w:t>2024</w:t>
            </w:r>
          </w:p>
        </w:tc>
        <w:tc>
          <w:tcPr>
            <w:tcW w:w="1890" w:type="dxa"/>
            <w:gridSpan w:val="2"/>
            <w:tcBorders>
              <w:top w:val="single" w:sz="4" w:space="0" w:color="auto"/>
              <w:left w:val="single" w:sz="4" w:space="0" w:color="auto"/>
              <w:right w:val="single" w:sz="4" w:space="0" w:color="auto"/>
            </w:tcBorders>
            <w:vAlign w:val="bottom"/>
          </w:tcPr>
          <w:p w:rsidR="00BE55D4" w:rsidRPr="00BE55D4" w:rsidRDefault="00D122C9" w:rsidP="00BE55D4">
            <w:pPr>
              <w:widowControl w:val="0"/>
              <w:jc w:val="center"/>
              <w:rPr>
                <w:rFonts w:ascii="Arial" w:hAnsi="Arial" w:cs="Arial"/>
                <w:b/>
                <w:bCs/>
                <w:sz w:val="16"/>
                <w:szCs w:val="16"/>
                <w:lang w:val="en-CA"/>
              </w:rPr>
            </w:pPr>
            <w:r>
              <w:rPr>
                <w:rFonts w:ascii="Arial" w:hAnsi="Arial" w:cs="Arial"/>
                <w:b/>
                <w:bCs/>
                <w:sz w:val="16"/>
                <w:szCs w:val="16"/>
                <w:lang w:val="en-CA"/>
              </w:rPr>
              <w:t>2023</w:t>
            </w:r>
          </w:p>
        </w:tc>
        <w:tc>
          <w:tcPr>
            <w:tcW w:w="1890" w:type="dxa"/>
            <w:gridSpan w:val="2"/>
            <w:tcBorders>
              <w:top w:val="single" w:sz="4" w:space="0" w:color="auto"/>
              <w:left w:val="single" w:sz="4" w:space="0" w:color="auto"/>
              <w:bottom w:val="single" w:sz="4" w:space="0" w:color="auto"/>
              <w:right w:val="single" w:sz="4" w:space="0" w:color="auto"/>
            </w:tcBorders>
          </w:tcPr>
          <w:p w:rsidR="00BE55D4" w:rsidRDefault="00D122C9" w:rsidP="00BE55D4">
            <w:pPr>
              <w:jc w:val="center"/>
              <w:rPr>
                <w:rFonts w:ascii="Arial" w:hAnsi="Arial" w:cs="Arial"/>
                <w:b/>
                <w:bCs/>
                <w:sz w:val="16"/>
                <w:szCs w:val="16"/>
                <w:lang w:val="en-CA"/>
              </w:rPr>
            </w:pPr>
            <w:r>
              <w:rPr>
                <w:rFonts w:ascii="Arial" w:hAnsi="Arial" w:cs="Arial"/>
                <w:b/>
                <w:bCs/>
                <w:sz w:val="16"/>
                <w:szCs w:val="16"/>
                <w:lang w:val="en-CA"/>
              </w:rPr>
              <w:t>2024</w:t>
            </w:r>
          </w:p>
          <w:p w:rsidR="000D3DC7" w:rsidRPr="00BE55D4" w:rsidRDefault="000D3DC7" w:rsidP="00BE55D4">
            <w:pPr>
              <w:jc w:val="center"/>
              <w:rPr>
                <w:rFonts w:ascii="Arial" w:hAnsi="Arial" w:cs="Arial"/>
                <w:b/>
                <w:bCs/>
                <w:sz w:val="16"/>
                <w:szCs w:val="16"/>
                <w:lang w:val="en-CA"/>
              </w:rPr>
            </w:pPr>
            <w:r>
              <w:rPr>
                <w:rFonts w:ascii="Arial" w:hAnsi="Arial" w:cs="Arial"/>
                <w:b/>
                <w:bCs/>
                <w:sz w:val="16"/>
                <w:szCs w:val="16"/>
                <w:lang w:val="en-CA"/>
              </w:rPr>
              <w:t>(no auditado)</w:t>
            </w:r>
          </w:p>
        </w:tc>
        <w:tc>
          <w:tcPr>
            <w:tcW w:w="1913" w:type="dxa"/>
            <w:gridSpan w:val="2"/>
            <w:tcBorders>
              <w:top w:val="single" w:sz="4" w:space="0" w:color="auto"/>
              <w:left w:val="single" w:sz="4" w:space="0" w:color="auto"/>
              <w:bottom w:val="single" w:sz="4" w:space="0" w:color="auto"/>
              <w:right w:val="single" w:sz="4" w:space="0" w:color="auto"/>
            </w:tcBorders>
            <w:vAlign w:val="bottom"/>
          </w:tcPr>
          <w:p w:rsidR="00BE55D4" w:rsidRPr="00BE55D4" w:rsidRDefault="00D122C9" w:rsidP="00BE55D4">
            <w:pPr>
              <w:jc w:val="center"/>
              <w:rPr>
                <w:rFonts w:ascii="Arial" w:hAnsi="Arial" w:cs="Arial"/>
                <w:b/>
                <w:bCs/>
                <w:sz w:val="16"/>
                <w:szCs w:val="16"/>
                <w:lang w:val="en-CA"/>
              </w:rPr>
            </w:pPr>
            <w:r>
              <w:rPr>
                <w:rFonts w:ascii="Arial" w:hAnsi="Arial" w:cs="Arial"/>
                <w:b/>
                <w:bCs/>
                <w:sz w:val="16"/>
                <w:szCs w:val="16"/>
                <w:lang w:val="en-CA"/>
              </w:rPr>
              <w:t>2023</w:t>
            </w:r>
          </w:p>
        </w:tc>
      </w:tr>
      <w:tr w:rsidR="00BE55D4" w:rsidRPr="00BE55D4" w:rsidTr="00D122C9">
        <w:tblPrEx>
          <w:tblLook w:val="01E0" w:firstRow="1" w:lastRow="1" w:firstColumn="1" w:lastColumn="1" w:noHBand="0" w:noVBand="0"/>
        </w:tblPrEx>
        <w:tc>
          <w:tcPr>
            <w:tcW w:w="2425" w:type="dxa"/>
            <w:tcBorders>
              <w:top w:val="single" w:sz="4" w:space="0" w:color="auto"/>
              <w:left w:val="single" w:sz="4" w:space="0" w:color="auto"/>
              <w:right w:val="single" w:sz="4" w:space="0" w:color="auto"/>
            </w:tcBorders>
            <w:vAlign w:val="bottom"/>
          </w:tcPr>
          <w:p w:rsidR="00BE55D4" w:rsidRPr="00BE55D4" w:rsidRDefault="00BE55D4" w:rsidP="00BE55D4">
            <w:pPr>
              <w:rPr>
                <w:rFonts w:ascii="Arial" w:hAnsi="Arial" w:cs="Arial"/>
                <w:sz w:val="16"/>
                <w:szCs w:val="16"/>
                <w:lang w:val="en-CA"/>
              </w:rPr>
            </w:pPr>
          </w:p>
        </w:tc>
        <w:tc>
          <w:tcPr>
            <w:tcW w:w="990" w:type="dxa"/>
            <w:tcBorders>
              <w:top w:val="single" w:sz="4" w:space="0" w:color="auto"/>
              <w:left w:val="single" w:sz="4" w:space="0" w:color="auto"/>
            </w:tcBorders>
            <w:shd w:val="clear" w:color="auto" w:fill="auto"/>
            <w:vAlign w:val="bottom"/>
          </w:tcPr>
          <w:p w:rsidR="00BE55D4" w:rsidRPr="00BE55D4" w:rsidRDefault="00BE55D4" w:rsidP="00BE55D4">
            <w:pPr>
              <w:ind w:left="-108"/>
              <w:rPr>
                <w:rFonts w:ascii="Arial" w:hAnsi="Arial" w:cs="Arial"/>
                <w:color w:val="000000"/>
                <w:sz w:val="16"/>
                <w:szCs w:val="16"/>
              </w:rPr>
            </w:pPr>
          </w:p>
        </w:tc>
        <w:tc>
          <w:tcPr>
            <w:tcW w:w="810" w:type="dxa"/>
            <w:tcBorders>
              <w:top w:val="single" w:sz="4" w:space="0" w:color="auto"/>
              <w:right w:val="single" w:sz="4" w:space="0" w:color="auto"/>
            </w:tcBorders>
            <w:vAlign w:val="bottom"/>
          </w:tcPr>
          <w:p w:rsidR="00BE55D4" w:rsidRPr="00BE55D4" w:rsidRDefault="00BE55D4" w:rsidP="00BE55D4">
            <w:pPr>
              <w:widowControl w:val="0"/>
              <w:ind w:right="-86"/>
              <w:jc w:val="center"/>
              <w:rPr>
                <w:rFonts w:ascii="Arial" w:hAnsi="Arial" w:cs="Arial"/>
                <w:color w:val="000000"/>
                <w:sz w:val="16"/>
                <w:szCs w:val="16"/>
              </w:rPr>
            </w:pPr>
            <w:r w:rsidRPr="00BE55D4">
              <w:rPr>
                <w:rFonts w:ascii="Arial" w:hAnsi="Arial" w:cs="Arial"/>
                <w:color w:val="000000"/>
                <w:sz w:val="16"/>
                <w:szCs w:val="16"/>
              </w:rPr>
              <w:t>P</w:t>
            </w:r>
            <w:r>
              <w:rPr>
                <w:rFonts w:ascii="Arial" w:hAnsi="Arial" w:cs="Arial"/>
                <w:color w:val="000000"/>
                <w:sz w:val="16"/>
                <w:szCs w:val="16"/>
              </w:rPr>
              <w:t>o</w:t>
            </w:r>
            <w:r w:rsidRPr="00BE55D4">
              <w:rPr>
                <w:rFonts w:ascii="Arial" w:hAnsi="Arial" w:cs="Arial"/>
                <w:color w:val="000000"/>
                <w:sz w:val="16"/>
                <w:szCs w:val="16"/>
              </w:rPr>
              <w:t>r BOE</w:t>
            </w:r>
          </w:p>
        </w:tc>
        <w:tc>
          <w:tcPr>
            <w:tcW w:w="990" w:type="dxa"/>
            <w:tcBorders>
              <w:top w:val="single" w:sz="4" w:space="0" w:color="auto"/>
              <w:left w:val="single" w:sz="4" w:space="0" w:color="auto"/>
            </w:tcBorders>
            <w:vAlign w:val="bottom"/>
          </w:tcPr>
          <w:p w:rsidR="00BE55D4" w:rsidRPr="00BE55D4" w:rsidRDefault="00BE55D4" w:rsidP="00BE55D4">
            <w:pPr>
              <w:ind w:left="-108"/>
              <w:jc w:val="center"/>
              <w:rPr>
                <w:rFonts w:ascii="Arial" w:hAnsi="Arial" w:cs="Arial"/>
                <w:color w:val="000000"/>
                <w:sz w:val="16"/>
                <w:szCs w:val="16"/>
              </w:rPr>
            </w:pPr>
          </w:p>
        </w:tc>
        <w:tc>
          <w:tcPr>
            <w:tcW w:w="900" w:type="dxa"/>
            <w:tcBorders>
              <w:top w:val="single" w:sz="4" w:space="0" w:color="auto"/>
              <w:right w:val="single" w:sz="4" w:space="0" w:color="auto"/>
            </w:tcBorders>
            <w:vAlign w:val="bottom"/>
          </w:tcPr>
          <w:p w:rsidR="00BE55D4" w:rsidRPr="00BE55D4" w:rsidRDefault="00BE55D4" w:rsidP="00BE55D4">
            <w:pPr>
              <w:widowControl w:val="0"/>
              <w:ind w:right="-86"/>
              <w:jc w:val="center"/>
              <w:rPr>
                <w:rFonts w:ascii="Arial" w:hAnsi="Arial" w:cs="Arial"/>
                <w:color w:val="000000"/>
                <w:sz w:val="16"/>
                <w:szCs w:val="16"/>
              </w:rPr>
            </w:pPr>
            <w:r w:rsidRPr="00BE55D4">
              <w:rPr>
                <w:rFonts w:ascii="Arial" w:hAnsi="Arial" w:cs="Arial"/>
                <w:color w:val="000000"/>
                <w:sz w:val="16"/>
                <w:szCs w:val="16"/>
              </w:rPr>
              <w:t>P</w:t>
            </w:r>
            <w:r>
              <w:rPr>
                <w:rFonts w:ascii="Arial" w:hAnsi="Arial" w:cs="Arial"/>
                <w:color w:val="000000"/>
                <w:sz w:val="16"/>
                <w:szCs w:val="16"/>
              </w:rPr>
              <w:t>o</w:t>
            </w:r>
            <w:r w:rsidRPr="00BE55D4">
              <w:rPr>
                <w:rFonts w:ascii="Arial" w:hAnsi="Arial" w:cs="Arial"/>
                <w:color w:val="000000"/>
                <w:sz w:val="16"/>
                <w:szCs w:val="16"/>
              </w:rPr>
              <w:t>r BOE</w:t>
            </w:r>
          </w:p>
        </w:tc>
        <w:tc>
          <w:tcPr>
            <w:tcW w:w="1080" w:type="dxa"/>
            <w:tcBorders>
              <w:top w:val="single" w:sz="4" w:space="0" w:color="auto"/>
              <w:left w:val="single" w:sz="4" w:space="0" w:color="auto"/>
              <w:bottom w:val="single" w:sz="4" w:space="0" w:color="auto"/>
            </w:tcBorders>
            <w:vAlign w:val="bottom"/>
          </w:tcPr>
          <w:p w:rsidR="00BE55D4" w:rsidRPr="00BE55D4" w:rsidRDefault="00BE55D4" w:rsidP="00BE55D4">
            <w:pPr>
              <w:ind w:left="-108"/>
              <w:jc w:val="center"/>
              <w:rPr>
                <w:rFonts w:ascii="Arial" w:hAnsi="Arial" w:cs="Arial"/>
                <w:color w:val="000000"/>
                <w:sz w:val="16"/>
                <w:szCs w:val="16"/>
              </w:rPr>
            </w:pPr>
          </w:p>
        </w:tc>
        <w:tc>
          <w:tcPr>
            <w:tcW w:w="810" w:type="dxa"/>
            <w:tcBorders>
              <w:top w:val="single" w:sz="4" w:space="0" w:color="auto"/>
              <w:bottom w:val="single" w:sz="4" w:space="0" w:color="auto"/>
              <w:right w:val="single" w:sz="4" w:space="0" w:color="auto"/>
            </w:tcBorders>
            <w:vAlign w:val="bottom"/>
          </w:tcPr>
          <w:p w:rsidR="00BE55D4" w:rsidRPr="00BE55D4" w:rsidRDefault="00BE55D4" w:rsidP="00BE55D4">
            <w:pPr>
              <w:widowControl w:val="0"/>
              <w:ind w:right="-86"/>
              <w:jc w:val="center"/>
              <w:rPr>
                <w:rFonts w:ascii="Arial" w:hAnsi="Arial" w:cs="Arial"/>
                <w:color w:val="000000"/>
                <w:sz w:val="16"/>
                <w:szCs w:val="16"/>
              </w:rPr>
            </w:pPr>
            <w:r>
              <w:rPr>
                <w:rFonts w:ascii="Arial" w:hAnsi="Arial" w:cs="Arial"/>
                <w:color w:val="000000"/>
                <w:sz w:val="16"/>
                <w:szCs w:val="16"/>
              </w:rPr>
              <w:t>Po</w:t>
            </w:r>
            <w:r w:rsidRPr="00BE55D4">
              <w:rPr>
                <w:rFonts w:ascii="Arial" w:hAnsi="Arial" w:cs="Arial"/>
                <w:color w:val="000000"/>
                <w:sz w:val="16"/>
                <w:szCs w:val="16"/>
              </w:rPr>
              <w:t>r BOE</w:t>
            </w:r>
          </w:p>
        </w:tc>
        <w:tc>
          <w:tcPr>
            <w:tcW w:w="1062" w:type="dxa"/>
            <w:tcBorders>
              <w:left w:val="single" w:sz="4" w:space="0" w:color="auto"/>
              <w:bottom w:val="single" w:sz="4" w:space="0" w:color="auto"/>
            </w:tcBorders>
            <w:vAlign w:val="bottom"/>
          </w:tcPr>
          <w:p w:rsidR="00BE55D4" w:rsidRPr="00BE55D4" w:rsidRDefault="00BE55D4" w:rsidP="00BE55D4">
            <w:pPr>
              <w:ind w:left="-108"/>
              <w:jc w:val="center"/>
              <w:rPr>
                <w:rFonts w:ascii="Arial" w:hAnsi="Arial" w:cs="Arial"/>
                <w:color w:val="000000"/>
                <w:sz w:val="16"/>
                <w:szCs w:val="16"/>
              </w:rPr>
            </w:pPr>
          </w:p>
        </w:tc>
        <w:tc>
          <w:tcPr>
            <w:tcW w:w="851" w:type="dxa"/>
            <w:tcBorders>
              <w:bottom w:val="single" w:sz="4" w:space="0" w:color="auto"/>
              <w:right w:val="single" w:sz="4" w:space="0" w:color="auto"/>
            </w:tcBorders>
            <w:vAlign w:val="bottom"/>
          </w:tcPr>
          <w:p w:rsidR="00BE55D4" w:rsidRPr="00BE55D4" w:rsidRDefault="00BE55D4" w:rsidP="00BE55D4">
            <w:pPr>
              <w:widowControl w:val="0"/>
              <w:ind w:right="-86"/>
              <w:jc w:val="center"/>
              <w:rPr>
                <w:rFonts w:ascii="Arial" w:hAnsi="Arial" w:cs="Arial"/>
                <w:color w:val="000000"/>
                <w:sz w:val="16"/>
                <w:szCs w:val="16"/>
              </w:rPr>
            </w:pPr>
            <w:r w:rsidRPr="00BE55D4">
              <w:rPr>
                <w:rFonts w:ascii="Arial" w:hAnsi="Arial" w:cs="Arial"/>
                <w:color w:val="000000"/>
                <w:sz w:val="16"/>
                <w:szCs w:val="16"/>
              </w:rPr>
              <w:t>P</w:t>
            </w:r>
            <w:r>
              <w:rPr>
                <w:rFonts w:ascii="Arial" w:hAnsi="Arial" w:cs="Arial"/>
                <w:color w:val="000000"/>
                <w:sz w:val="16"/>
                <w:szCs w:val="16"/>
              </w:rPr>
              <w:t>o</w:t>
            </w:r>
            <w:r w:rsidRPr="00BE55D4">
              <w:rPr>
                <w:rFonts w:ascii="Arial" w:hAnsi="Arial" w:cs="Arial"/>
                <w:color w:val="000000"/>
                <w:sz w:val="16"/>
                <w:szCs w:val="16"/>
              </w:rPr>
              <w:t>r BOE</w:t>
            </w:r>
          </w:p>
        </w:tc>
      </w:tr>
      <w:tr w:rsidR="00D122C9" w:rsidRPr="00BE55D4" w:rsidTr="00D122C9">
        <w:tblPrEx>
          <w:tblLook w:val="01E0" w:firstRow="1" w:lastRow="1" w:firstColumn="1" w:lastColumn="1" w:noHBand="0" w:noVBand="0"/>
        </w:tblPrEx>
        <w:trPr>
          <w:trHeight w:val="50"/>
        </w:trPr>
        <w:tc>
          <w:tcPr>
            <w:tcW w:w="2425" w:type="dxa"/>
            <w:tcBorders>
              <w:top w:val="single" w:sz="4" w:space="0" w:color="auto"/>
              <w:left w:val="single" w:sz="4" w:space="0" w:color="auto"/>
              <w:right w:val="single" w:sz="4" w:space="0" w:color="auto"/>
            </w:tcBorders>
            <w:vAlign w:val="bottom"/>
          </w:tcPr>
          <w:p w:rsidR="00D122C9" w:rsidRPr="00BE55D4" w:rsidRDefault="00D122C9" w:rsidP="00D122C9">
            <w:pPr>
              <w:rPr>
                <w:rFonts w:ascii="Arial" w:hAnsi="Arial" w:cs="Arial"/>
                <w:sz w:val="16"/>
                <w:szCs w:val="16"/>
                <w:lang w:val="es-ES_tradnl"/>
              </w:rPr>
            </w:pPr>
            <w:r w:rsidRPr="00717B62">
              <w:rPr>
                <w:rFonts w:ascii="Arial" w:hAnsi="Arial" w:cs="Arial"/>
                <w:sz w:val="16"/>
                <w:szCs w:val="16"/>
                <w:lang w:val="es-AR"/>
              </w:rPr>
              <w:t>Ingresos por ventas de petróleo y gas natural ($)</w:t>
            </w:r>
          </w:p>
        </w:tc>
        <w:tc>
          <w:tcPr>
            <w:tcW w:w="990" w:type="dxa"/>
            <w:tcBorders>
              <w:top w:val="single" w:sz="4" w:space="0" w:color="auto"/>
              <w:left w:val="single" w:sz="4" w:space="0" w:color="auto"/>
            </w:tcBorders>
            <w:shd w:val="clear" w:color="auto" w:fill="auto"/>
            <w:vAlign w:val="bottom"/>
          </w:tcPr>
          <w:p w:rsidR="00D122C9" w:rsidRPr="00BE55D4" w:rsidRDefault="00D122C9" w:rsidP="00D122C9">
            <w:pPr>
              <w:tabs>
                <w:tab w:val="decimal" w:pos="702"/>
              </w:tabs>
              <w:ind w:left="-108"/>
              <w:rPr>
                <w:rFonts w:ascii="Arial" w:hAnsi="Arial" w:cs="Arial"/>
                <w:color w:val="000000"/>
                <w:sz w:val="16"/>
                <w:szCs w:val="16"/>
              </w:rPr>
            </w:pPr>
            <w:r w:rsidRPr="00B737B0">
              <w:rPr>
                <w:rFonts w:ascii="Arial" w:hAnsi="Arial" w:cs="Arial"/>
                <w:sz w:val="16"/>
                <w:szCs w:val="16"/>
              </w:rPr>
              <w:t>19</w:t>
            </w:r>
            <w:r w:rsidR="000D3DC7">
              <w:rPr>
                <w:rFonts w:ascii="Arial" w:hAnsi="Arial" w:cs="Arial"/>
                <w:sz w:val="16"/>
                <w:szCs w:val="16"/>
              </w:rPr>
              <w:t>.</w:t>
            </w:r>
            <w:r w:rsidRPr="00B737B0">
              <w:rPr>
                <w:rFonts w:ascii="Arial" w:hAnsi="Arial" w:cs="Arial"/>
                <w:sz w:val="16"/>
                <w:szCs w:val="16"/>
              </w:rPr>
              <w:t>580</w:t>
            </w:r>
            <w:r w:rsidR="000D3DC7">
              <w:rPr>
                <w:rFonts w:ascii="Arial" w:hAnsi="Arial" w:cs="Arial"/>
                <w:sz w:val="16"/>
                <w:szCs w:val="16"/>
              </w:rPr>
              <w:t>.</w:t>
            </w:r>
            <w:r w:rsidRPr="00B737B0">
              <w:rPr>
                <w:rFonts w:ascii="Arial" w:hAnsi="Arial" w:cs="Arial"/>
                <w:sz w:val="16"/>
                <w:szCs w:val="16"/>
              </w:rPr>
              <w:t>949</w:t>
            </w:r>
          </w:p>
        </w:tc>
        <w:tc>
          <w:tcPr>
            <w:tcW w:w="810" w:type="dxa"/>
            <w:tcBorders>
              <w:top w:val="single" w:sz="4" w:space="0" w:color="000000"/>
            </w:tcBorders>
            <w:vAlign w:val="bottom"/>
          </w:tcPr>
          <w:p w:rsidR="00D122C9" w:rsidRPr="00BE55D4" w:rsidRDefault="00D122C9" w:rsidP="00D122C9">
            <w:pPr>
              <w:widowControl w:val="0"/>
              <w:tabs>
                <w:tab w:val="decimal" w:pos="432"/>
              </w:tabs>
              <w:spacing w:line="240" w:lineRule="atLeast"/>
              <w:ind w:right="-86"/>
              <w:rPr>
                <w:rFonts w:ascii="Arial" w:hAnsi="Arial" w:cs="Arial"/>
                <w:color w:val="000000"/>
                <w:sz w:val="16"/>
                <w:szCs w:val="16"/>
              </w:rPr>
            </w:pPr>
            <w:r w:rsidRPr="00B737B0">
              <w:rPr>
                <w:rFonts w:ascii="Arial" w:hAnsi="Arial" w:cs="Arial"/>
                <w:sz w:val="16"/>
                <w:szCs w:val="16"/>
              </w:rPr>
              <w:t>63</w:t>
            </w:r>
            <w:r w:rsidR="000D3DC7">
              <w:rPr>
                <w:rFonts w:ascii="Arial" w:hAnsi="Arial" w:cs="Arial"/>
                <w:sz w:val="16"/>
                <w:szCs w:val="16"/>
              </w:rPr>
              <w:t>,</w:t>
            </w:r>
            <w:r w:rsidRPr="00B737B0">
              <w:rPr>
                <w:rFonts w:ascii="Arial" w:hAnsi="Arial" w:cs="Arial"/>
                <w:sz w:val="16"/>
                <w:szCs w:val="16"/>
              </w:rPr>
              <w:t>82</w:t>
            </w:r>
          </w:p>
        </w:tc>
        <w:tc>
          <w:tcPr>
            <w:tcW w:w="990" w:type="dxa"/>
            <w:tcBorders>
              <w:top w:val="single" w:sz="4" w:space="0" w:color="auto"/>
              <w:left w:val="single" w:sz="4" w:space="0" w:color="auto"/>
            </w:tcBorders>
            <w:vAlign w:val="bottom"/>
          </w:tcPr>
          <w:p w:rsidR="00D122C9" w:rsidRPr="00BE55D4" w:rsidRDefault="00D122C9" w:rsidP="00D122C9">
            <w:pPr>
              <w:tabs>
                <w:tab w:val="decimal" w:pos="702"/>
              </w:tabs>
              <w:ind w:left="-108"/>
              <w:rPr>
                <w:rFonts w:ascii="Arial" w:hAnsi="Arial" w:cs="Arial"/>
                <w:color w:val="000000"/>
                <w:sz w:val="16"/>
                <w:szCs w:val="16"/>
              </w:rPr>
            </w:pPr>
            <w:r w:rsidRPr="007F1B62">
              <w:rPr>
                <w:rFonts w:ascii="Arial" w:hAnsi="Arial" w:cs="Arial"/>
                <w:sz w:val="16"/>
                <w:szCs w:val="16"/>
              </w:rPr>
              <w:t xml:space="preserve"> 5</w:t>
            </w:r>
            <w:r w:rsidR="000D3DC7">
              <w:rPr>
                <w:rFonts w:ascii="Arial" w:hAnsi="Arial" w:cs="Arial"/>
                <w:sz w:val="16"/>
                <w:szCs w:val="16"/>
              </w:rPr>
              <w:t>.</w:t>
            </w:r>
            <w:r w:rsidRPr="007F1B62">
              <w:rPr>
                <w:rFonts w:ascii="Arial" w:hAnsi="Arial" w:cs="Arial"/>
                <w:sz w:val="16"/>
                <w:szCs w:val="16"/>
              </w:rPr>
              <w:t>530</w:t>
            </w:r>
            <w:r w:rsidR="000D3DC7">
              <w:rPr>
                <w:rFonts w:ascii="Arial" w:hAnsi="Arial" w:cs="Arial"/>
                <w:sz w:val="16"/>
                <w:szCs w:val="16"/>
              </w:rPr>
              <w:t>.</w:t>
            </w:r>
            <w:r w:rsidRPr="007F1B62">
              <w:rPr>
                <w:rFonts w:ascii="Arial" w:hAnsi="Arial" w:cs="Arial"/>
                <w:sz w:val="16"/>
                <w:szCs w:val="16"/>
              </w:rPr>
              <w:t xml:space="preserve">896 </w:t>
            </w:r>
          </w:p>
        </w:tc>
        <w:tc>
          <w:tcPr>
            <w:tcW w:w="900" w:type="dxa"/>
            <w:tcBorders>
              <w:top w:val="single" w:sz="4" w:space="0" w:color="auto"/>
            </w:tcBorders>
            <w:vAlign w:val="bottom"/>
          </w:tcPr>
          <w:p w:rsidR="00D122C9" w:rsidRPr="00BE55D4" w:rsidRDefault="00D122C9" w:rsidP="00D122C9">
            <w:pPr>
              <w:widowControl w:val="0"/>
              <w:tabs>
                <w:tab w:val="decimal" w:pos="432"/>
              </w:tabs>
              <w:spacing w:line="240" w:lineRule="atLeast"/>
              <w:ind w:right="-86"/>
              <w:rPr>
                <w:rFonts w:ascii="Arial" w:hAnsi="Arial" w:cs="Arial"/>
                <w:color w:val="000000"/>
                <w:sz w:val="16"/>
                <w:szCs w:val="16"/>
              </w:rPr>
            </w:pPr>
            <w:r w:rsidRPr="007F1B62">
              <w:rPr>
                <w:rFonts w:ascii="Arial" w:hAnsi="Arial" w:cs="Arial"/>
                <w:sz w:val="16"/>
                <w:szCs w:val="16"/>
              </w:rPr>
              <w:t>47</w:t>
            </w:r>
            <w:r w:rsidR="000D3DC7">
              <w:rPr>
                <w:rFonts w:ascii="Arial" w:hAnsi="Arial" w:cs="Arial"/>
                <w:sz w:val="16"/>
                <w:szCs w:val="16"/>
              </w:rPr>
              <w:t>,</w:t>
            </w:r>
            <w:r w:rsidRPr="007F1B62">
              <w:rPr>
                <w:rFonts w:ascii="Arial" w:hAnsi="Arial" w:cs="Arial"/>
                <w:sz w:val="16"/>
                <w:szCs w:val="16"/>
              </w:rPr>
              <w:t>17</w:t>
            </w:r>
          </w:p>
        </w:tc>
        <w:tc>
          <w:tcPr>
            <w:tcW w:w="1080" w:type="dxa"/>
            <w:tcBorders>
              <w:top w:val="single" w:sz="4" w:space="0" w:color="auto"/>
              <w:left w:val="single" w:sz="4" w:space="0" w:color="auto"/>
            </w:tcBorders>
            <w:vAlign w:val="bottom"/>
          </w:tcPr>
          <w:p w:rsidR="00D122C9" w:rsidRPr="00BE55D4" w:rsidRDefault="00D122C9" w:rsidP="00D122C9">
            <w:pPr>
              <w:tabs>
                <w:tab w:val="decimal" w:pos="702"/>
              </w:tabs>
              <w:ind w:left="-108"/>
              <w:rPr>
                <w:rFonts w:ascii="Arial" w:hAnsi="Arial" w:cs="Arial"/>
                <w:color w:val="000000"/>
                <w:sz w:val="16"/>
                <w:szCs w:val="16"/>
              </w:rPr>
            </w:pPr>
            <w:r w:rsidRPr="00B737B0">
              <w:rPr>
                <w:rFonts w:ascii="Arial" w:hAnsi="Arial" w:cs="Arial"/>
                <w:sz w:val="16"/>
                <w:szCs w:val="16"/>
              </w:rPr>
              <w:t>36</w:t>
            </w:r>
            <w:r w:rsidR="000D3DC7">
              <w:rPr>
                <w:rFonts w:ascii="Arial" w:hAnsi="Arial" w:cs="Arial"/>
                <w:sz w:val="16"/>
                <w:szCs w:val="16"/>
              </w:rPr>
              <w:t>.</w:t>
            </w:r>
            <w:r w:rsidRPr="00B737B0">
              <w:rPr>
                <w:rFonts w:ascii="Arial" w:hAnsi="Arial" w:cs="Arial"/>
                <w:sz w:val="16"/>
                <w:szCs w:val="16"/>
              </w:rPr>
              <w:t>827</w:t>
            </w:r>
            <w:r w:rsidR="000D3DC7">
              <w:rPr>
                <w:rFonts w:ascii="Arial" w:hAnsi="Arial" w:cs="Arial"/>
                <w:sz w:val="16"/>
                <w:szCs w:val="16"/>
              </w:rPr>
              <w:t>.</w:t>
            </w:r>
            <w:r w:rsidRPr="00B737B0">
              <w:rPr>
                <w:rFonts w:ascii="Arial" w:hAnsi="Arial" w:cs="Arial"/>
                <w:sz w:val="16"/>
                <w:szCs w:val="16"/>
              </w:rPr>
              <w:t>158</w:t>
            </w:r>
          </w:p>
        </w:tc>
        <w:tc>
          <w:tcPr>
            <w:tcW w:w="810" w:type="dxa"/>
            <w:tcBorders>
              <w:top w:val="single" w:sz="4" w:space="0" w:color="auto"/>
              <w:right w:val="single" w:sz="4" w:space="0" w:color="auto"/>
            </w:tcBorders>
            <w:vAlign w:val="bottom"/>
          </w:tcPr>
          <w:p w:rsidR="00D122C9" w:rsidRPr="00BE55D4" w:rsidRDefault="00D122C9" w:rsidP="00D122C9">
            <w:pPr>
              <w:widowControl w:val="0"/>
              <w:tabs>
                <w:tab w:val="decimal" w:pos="432"/>
              </w:tabs>
              <w:spacing w:line="240" w:lineRule="atLeast"/>
              <w:ind w:right="-86"/>
              <w:rPr>
                <w:rFonts w:ascii="Arial" w:eastAsia="Arial" w:hAnsi="Arial" w:cs="Arial"/>
                <w:color w:val="000000"/>
                <w:sz w:val="16"/>
                <w:szCs w:val="16"/>
              </w:rPr>
            </w:pPr>
            <w:r w:rsidRPr="00B737B0">
              <w:rPr>
                <w:rFonts w:ascii="Arial" w:hAnsi="Arial" w:cs="Arial"/>
                <w:sz w:val="16"/>
                <w:szCs w:val="16"/>
              </w:rPr>
              <w:t>54</w:t>
            </w:r>
            <w:r w:rsidR="000D3DC7">
              <w:rPr>
                <w:rFonts w:ascii="Arial" w:hAnsi="Arial" w:cs="Arial"/>
                <w:sz w:val="16"/>
                <w:szCs w:val="16"/>
              </w:rPr>
              <w:t>,</w:t>
            </w:r>
            <w:r w:rsidRPr="00B737B0">
              <w:rPr>
                <w:rFonts w:ascii="Arial" w:hAnsi="Arial" w:cs="Arial"/>
                <w:sz w:val="16"/>
                <w:szCs w:val="16"/>
              </w:rPr>
              <w:t>40</w:t>
            </w:r>
          </w:p>
        </w:tc>
        <w:tc>
          <w:tcPr>
            <w:tcW w:w="1062" w:type="dxa"/>
            <w:tcBorders>
              <w:top w:val="single" w:sz="4" w:space="0" w:color="auto"/>
              <w:left w:val="single" w:sz="4" w:space="0" w:color="auto"/>
            </w:tcBorders>
            <w:vAlign w:val="bottom"/>
          </w:tcPr>
          <w:p w:rsidR="00D122C9" w:rsidRPr="00BE55D4" w:rsidRDefault="00D122C9" w:rsidP="00D122C9">
            <w:pPr>
              <w:tabs>
                <w:tab w:val="decimal" w:pos="702"/>
              </w:tabs>
              <w:ind w:left="-108"/>
              <w:rPr>
                <w:rFonts w:ascii="Arial" w:hAnsi="Arial" w:cs="Arial"/>
                <w:color w:val="000000"/>
                <w:sz w:val="16"/>
                <w:szCs w:val="16"/>
              </w:rPr>
            </w:pPr>
            <w:r w:rsidRPr="007F1B62">
              <w:rPr>
                <w:rFonts w:ascii="Arial" w:hAnsi="Arial" w:cs="Arial"/>
                <w:color w:val="000000"/>
                <w:sz w:val="16"/>
                <w:szCs w:val="16"/>
              </w:rPr>
              <w:t>26</w:t>
            </w:r>
            <w:r w:rsidR="000D3DC7">
              <w:rPr>
                <w:rFonts w:ascii="Arial" w:hAnsi="Arial" w:cs="Arial"/>
                <w:color w:val="000000"/>
                <w:sz w:val="16"/>
                <w:szCs w:val="16"/>
              </w:rPr>
              <w:t>.</w:t>
            </w:r>
            <w:r w:rsidRPr="007F1B62">
              <w:rPr>
                <w:rFonts w:ascii="Arial" w:hAnsi="Arial" w:cs="Arial"/>
                <w:color w:val="000000"/>
                <w:sz w:val="16"/>
                <w:szCs w:val="16"/>
              </w:rPr>
              <w:t>766</w:t>
            </w:r>
            <w:r w:rsidR="000D3DC7">
              <w:rPr>
                <w:rFonts w:ascii="Arial" w:hAnsi="Arial" w:cs="Arial"/>
                <w:color w:val="000000"/>
                <w:sz w:val="16"/>
                <w:szCs w:val="16"/>
              </w:rPr>
              <w:t>.</w:t>
            </w:r>
            <w:r w:rsidRPr="007F1B62">
              <w:rPr>
                <w:rFonts w:ascii="Arial" w:hAnsi="Arial" w:cs="Arial"/>
                <w:color w:val="000000"/>
                <w:sz w:val="16"/>
                <w:szCs w:val="16"/>
              </w:rPr>
              <w:t>228</w:t>
            </w:r>
          </w:p>
        </w:tc>
        <w:tc>
          <w:tcPr>
            <w:tcW w:w="851" w:type="dxa"/>
            <w:tcBorders>
              <w:top w:val="single" w:sz="4" w:space="0" w:color="auto"/>
              <w:right w:val="single" w:sz="4" w:space="0" w:color="auto"/>
            </w:tcBorders>
            <w:vAlign w:val="bottom"/>
          </w:tcPr>
          <w:p w:rsidR="00D122C9" w:rsidRPr="00BE55D4" w:rsidRDefault="00D122C9" w:rsidP="00D122C9">
            <w:pPr>
              <w:widowControl w:val="0"/>
              <w:tabs>
                <w:tab w:val="decimal" w:pos="432"/>
              </w:tabs>
              <w:spacing w:line="240" w:lineRule="atLeast"/>
              <w:ind w:right="-86"/>
              <w:rPr>
                <w:rFonts w:ascii="Arial" w:eastAsia="Arial" w:hAnsi="Arial" w:cs="Arial"/>
                <w:color w:val="000000"/>
                <w:sz w:val="16"/>
                <w:szCs w:val="16"/>
              </w:rPr>
            </w:pPr>
            <w:r w:rsidRPr="007F1B62">
              <w:rPr>
                <w:rFonts w:ascii="Arial" w:hAnsi="Arial" w:cs="Arial"/>
                <w:sz w:val="16"/>
                <w:szCs w:val="16"/>
              </w:rPr>
              <w:t>50</w:t>
            </w:r>
            <w:r w:rsidR="000D3DC7">
              <w:rPr>
                <w:rFonts w:ascii="Arial" w:hAnsi="Arial" w:cs="Arial"/>
                <w:sz w:val="16"/>
                <w:szCs w:val="16"/>
              </w:rPr>
              <w:t>,</w:t>
            </w:r>
            <w:r w:rsidRPr="007F1B62">
              <w:rPr>
                <w:rFonts w:ascii="Arial" w:hAnsi="Arial" w:cs="Arial"/>
                <w:sz w:val="16"/>
                <w:szCs w:val="16"/>
              </w:rPr>
              <w:t>97</w:t>
            </w:r>
          </w:p>
        </w:tc>
      </w:tr>
      <w:tr w:rsidR="00D122C9" w:rsidRPr="00BE55D4" w:rsidTr="004505FD">
        <w:tblPrEx>
          <w:tblLook w:val="01E0" w:firstRow="1" w:lastRow="1" w:firstColumn="1" w:lastColumn="1" w:noHBand="0" w:noVBand="0"/>
        </w:tblPrEx>
        <w:tc>
          <w:tcPr>
            <w:tcW w:w="2425" w:type="dxa"/>
            <w:tcBorders>
              <w:left w:val="single" w:sz="4" w:space="0" w:color="auto"/>
              <w:right w:val="single" w:sz="4" w:space="0" w:color="auto"/>
            </w:tcBorders>
            <w:vAlign w:val="bottom"/>
          </w:tcPr>
          <w:p w:rsidR="00D122C9" w:rsidRPr="00BE55D4" w:rsidRDefault="00D122C9" w:rsidP="00D122C9">
            <w:pPr>
              <w:rPr>
                <w:rFonts w:ascii="Arial" w:hAnsi="Arial" w:cs="Arial"/>
                <w:sz w:val="16"/>
                <w:szCs w:val="16"/>
                <w:lang w:val="en-CA"/>
              </w:rPr>
            </w:pPr>
            <w:r w:rsidRPr="00717B62">
              <w:rPr>
                <w:rFonts w:ascii="Arial" w:hAnsi="Arial" w:cs="Arial"/>
                <w:sz w:val="16"/>
                <w:szCs w:val="16"/>
                <w:lang w:val="es-AR"/>
              </w:rPr>
              <w:t>Derechos de exportación ($)</w:t>
            </w:r>
          </w:p>
        </w:tc>
        <w:tc>
          <w:tcPr>
            <w:tcW w:w="990" w:type="dxa"/>
            <w:tcBorders>
              <w:left w:val="single" w:sz="4" w:space="0" w:color="auto"/>
            </w:tcBorders>
            <w:shd w:val="clear" w:color="auto" w:fill="auto"/>
            <w:vAlign w:val="center"/>
          </w:tcPr>
          <w:p w:rsidR="00D122C9" w:rsidRPr="00BE55D4" w:rsidRDefault="00D122C9" w:rsidP="00D122C9">
            <w:pPr>
              <w:tabs>
                <w:tab w:val="decimal" w:pos="702"/>
              </w:tabs>
              <w:ind w:left="-108"/>
              <w:rPr>
                <w:rFonts w:ascii="Arial" w:hAnsi="Arial" w:cs="Arial"/>
                <w:color w:val="000000"/>
                <w:sz w:val="16"/>
                <w:szCs w:val="16"/>
              </w:rPr>
            </w:pPr>
            <w:r w:rsidRPr="00B737B0">
              <w:rPr>
                <w:rFonts w:ascii="Arial" w:hAnsi="Arial" w:cs="Arial"/>
                <w:sz w:val="16"/>
                <w:szCs w:val="16"/>
              </w:rPr>
              <w:t>(112</w:t>
            </w:r>
            <w:r w:rsidR="000D3DC7">
              <w:rPr>
                <w:rFonts w:ascii="Arial" w:hAnsi="Arial" w:cs="Arial"/>
                <w:sz w:val="16"/>
                <w:szCs w:val="16"/>
              </w:rPr>
              <w:t>.</w:t>
            </w:r>
            <w:r w:rsidRPr="00B737B0">
              <w:rPr>
                <w:rFonts w:ascii="Arial" w:hAnsi="Arial" w:cs="Arial"/>
                <w:sz w:val="16"/>
                <w:szCs w:val="16"/>
              </w:rPr>
              <w:t>047)</w:t>
            </w:r>
          </w:p>
        </w:tc>
        <w:tc>
          <w:tcPr>
            <w:tcW w:w="810" w:type="dxa"/>
            <w:vAlign w:val="bottom"/>
          </w:tcPr>
          <w:p w:rsidR="00D122C9" w:rsidRPr="00BE55D4" w:rsidRDefault="00D122C9" w:rsidP="00D122C9">
            <w:pPr>
              <w:widowControl w:val="0"/>
              <w:tabs>
                <w:tab w:val="decimal" w:pos="432"/>
              </w:tabs>
              <w:spacing w:line="240" w:lineRule="atLeast"/>
              <w:ind w:right="-86"/>
              <w:rPr>
                <w:rFonts w:ascii="Arial" w:hAnsi="Arial" w:cs="Arial"/>
                <w:color w:val="000000"/>
                <w:sz w:val="16"/>
                <w:szCs w:val="16"/>
              </w:rPr>
            </w:pPr>
            <w:r w:rsidRPr="00B737B0">
              <w:rPr>
                <w:rFonts w:ascii="Arial" w:hAnsi="Arial" w:cs="Arial"/>
                <w:sz w:val="16"/>
                <w:szCs w:val="16"/>
              </w:rPr>
              <w:t>(0</w:t>
            </w:r>
            <w:r w:rsidR="000D3DC7">
              <w:rPr>
                <w:rFonts w:ascii="Arial" w:hAnsi="Arial" w:cs="Arial"/>
                <w:sz w:val="16"/>
                <w:szCs w:val="16"/>
              </w:rPr>
              <w:t>,</w:t>
            </w:r>
            <w:r w:rsidRPr="00B737B0">
              <w:rPr>
                <w:rFonts w:ascii="Arial" w:hAnsi="Arial" w:cs="Arial"/>
                <w:sz w:val="16"/>
                <w:szCs w:val="16"/>
              </w:rPr>
              <w:t>37)</w:t>
            </w:r>
          </w:p>
        </w:tc>
        <w:tc>
          <w:tcPr>
            <w:tcW w:w="990" w:type="dxa"/>
            <w:tcBorders>
              <w:left w:val="single" w:sz="4" w:space="0" w:color="auto"/>
            </w:tcBorders>
            <w:vAlign w:val="bottom"/>
          </w:tcPr>
          <w:p w:rsidR="00D122C9" w:rsidRPr="00BE55D4" w:rsidRDefault="00D122C9" w:rsidP="00D122C9">
            <w:pPr>
              <w:tabs>
                <w:tab w:val="decimal" w:pos="702"/>
              </w:tabs>
              <w:ind w:left="-108"/>
              <w:rPr>
                <w:rFonts w:ascii="Arial" w:hAnsi="Arial" w:cs="Arial"/>
                <w:color w:val="000000"/>
                <w:sz w:val="16"/>
                <w:szCs w:val="16"/>
              </w:rPr>
            </w:pPr>
            <w:r w:rsidRPr="007F1B62">
              <w:rPr>
                <w:rFonts w:ascii="Arial" w:hAnsi="Arial" w:cs="Arial"/>
                <w:sz w:val="16"/>
                <w:szCs w:val="16"/>
              </w:rPr>
              <w:t xml:space="preserve"> (125</w:t>
            </w:r>
            <w:r w:rsidR="000D3DC7">
              <w:rPr>
                <w:rFonts w:ascii="Arial" w:hAnsi="Arial" w:cs="Arial"/>
                <w:sz w:val="16"/>
                <w:szCs w:val="16"/>
              </w:rPr>
              <w:t>.</w:t>
            </w:r>
            <w:r w:rsidRPr="007F1B62">
              <w:rPr>
                <w:rFonts w:ascii="Arial" w:hAnsi="Arial" w:cs="Arial"/>
                <w:sz w:val="16"/>
                <w:szCs w:val="16"/>
              </w:rPr>
              <w:t>304)</w:t>
            </w:r>
          </w:p>
        </w:tc>
        <w:tc>
          <w:tcPr>
            <w:tcW w:w="900" w:type="dxa"/>
            <w:vAlign w:val="bottom"/>
          </w:tcPr>
          <w:p w:rsidR="00D122C9" w:rsidRPr="00BE55D4" w:rsidRDefault="00D122C9" w:rsidP="00D122C9">
            <w:pPr>
              <w:widowControl w:val="0"/>
              <w:tabs>
                <w:tab w:val="decimal" w:pos="432"/>
              </w:tabs>
              <w:spacing w:line="240" w:lineRule="atLeast"/>
              <w:ind w:right="-86"/>
              <w:rPr>
                <w:rFonts w:ascii="Arial" w:hAnsi="Arial" w:cs="Arial"/>
                <w:color w:val="000000"/>
                <w:sz w:val="16"/>
                <w:szCs w:val="16"/>
              </w:rPr>
            </w:pPr>
            <w:r w:rsidRPr="007F1B62">
              <w:rPr>
                <w:rFonts w:ascii="Arial" w:hAnsi="Arial" w:cs="Arial"/>
                <w:sz w:val="16"/>
                <w:szCs w:val="16"/>
              </w:rPr>
              <w:t>(1</w:t>
            </w:r>
            <w:r w:rsidR="000D3DC7">
              <w:rPr>
                <w:rFonts w:ascii="Arial" w:hAnsi="Arial" w:cs="Arial"/>
                <w:sz w:val="16"/>
                <w:szCs w:val="16"/>
              </w:rPr>
              <w:t>,</w:t>
            </w:r>
            <w:r w:rsidRPr="007F1B62">
              <w:rPr>
                <w:rFonts w:ascii="Arial" w:hAnsi="Arial" w:cs="Arial"/>
                <w:sz w:val="16"/>
                <w:szCs w:val="16"/>
              </w:rPr>
              <w:t>07)</w:t>
            </w:r>
          </w:p>
        </w:tc>
        <w:tc>
          <w:tcPr>
            <w:tcW w:w="1080" w:type="dxa"/>
            <w:tcBorders>
              <w:left w:val="single" w:sz="4" w:space="0" w:color="auto"/>
            </w:tcBorders>
            <w:vAlign w:val="center"/>
          </w:tcPr>
          <w:p w:rsidR="00D122C9" w:rsidRPr="00BE55D4" w:rsidRDefault="00D122C9" w:rsidP="00D122C9">
            <w:pPr>
              <w:tabs>
                <w:tab w:val="decimal" w:pos="702"/>
              </w:tabs>
              <w:ind w:left="-108"/>
              <w:rPr>
                <w:rFonts w:ascii="Arial" w:hAnsi="Arial" w:cs="Arial"/>
                <w:color w:val="000000"/>
                <w:sz w:val="16"/>
                <w:szCs w:val="16"/>
              </w:rPr>
            </w:pPr>
            <w:r w:rsidRPr="00B737B0">
              <w:rPr>
                <w:rFonts w:ascii="Arial" w:hAnsi="Arial" w:cs="Arial"/>
                <w:sz w:val="16"/>
                <w:szCs w:val="16"/>
              </w:rPr>
              <w:t>(421</w:t>
            </w:r>
            <w:r w:rsidR="000D3DC7">
              <w:rPr>
                <w:rFonts w:ascii="Arial" w:hAnsi="Arial" w:cs="Arial"/>
                <w:sz w:val="16"/>
                <w:szCs w:val="16"/>
              </w:rPr>
              <w:t>.</w:t>
            </w:r>
            <w:r w:rsidRPr="00B737B0">
              <w:rPr>
                <w:rFonts w:ascii="Arial" w:hAnsi="Arial" w:cs="Arial"/>
                <w:sz w:val="16"/>
                <w:szCs w:val="16"/>
              </w:rPr>
              <w:t>356)</w:t>
            </w:r>
          </w:p>
        </w:tc>
        <w:tc>
          <w:tcPr>
            <w:tcW w:w="810" w:type="dxa"/>
            <w:tcBorders>
              <w:right w:val="single" w:sz="4" w:space="0" w:color="auto"/>
            </w:tcBorders>
            <w:vAlign w:val="bottom"/>
          </w:tcPr>
          <w:p w:rsidR="00D122C9" w:rsidRPr="00BE55D4" w:rsidRDefault="00D122C9" w:rsidP="00D122C9">
            <w:pPr>
              <w:widowControl w:val="0"/>
              <w:tabs>
                <w:tab w:val="decimal" w:pos="432"/>
              </w:tabs>
              <w:spacing w:line="240" w:lineRule="atLeast"/>
              <w:ind w:right="-86"/>
              <w:rPr>
                <w:rFonts w:ascii="Arial" w:eastAsia="Arial" w:hAnsi="Arial" w:cs="Arial"/>
                <w:color w:val="000000"/>
                <w:sz w:val="16"/>
                <w:szCs w:val="16"/>
              </w:rPr>
            </w:pPr>
            <w:r w:rsidRPr="00B737B0">
              <w:rPr>
                <w:rFonts w:ascii="Arial" w:hAnsi="Arial" w:cs="Arial"/>
                <w:sz w:val="16"/>
                <w:szCs w:val="16"/>
              </w:rPr>
              <w:t>(0</w:t>
            </w:r>
            <w:r w:rsidR="000D3DC7">
              <w:rPr>
                <w:rFonts w:ascii="Arial" w:hAnsi="Arial" w:cs="Arial"/>
                <w:sz w:val="16"/>
                <w:szCs w:val="16"/>
              </w:rPr>
              <w:t>,</w:t>
            </w:r>
            <w:r w:rsidRPr="00B737B0">
              <w:rPr>
                <w:rFonts w:ascii="Arial" w:hAnsi="Arial" w:cs="Arial"/>
                <w:sz w:val="16"/>
                <w:szCs w:val="16"/>
              </w:rPr>
              <w:t>62)</w:t>
            </w:r>
          </w:p>
        </w:tc>
        <w:tc>
          <w:tcPr>
            <w:tcW w:w="1062" w:type="dxa"/>
            <w:tcBorders>
              <w:left w:val="single" w:sz="4" w:space="0" w:color="auto"/>
            </w:tcBorders>
            <w:vAlign w:val="bottom"/>
          </w:tcPr>
          <w:p w:rsidR="00D122C9" w:rsidRPr="00BE55D4" w:rsidRDefault="00D122C9" w:rsidP="00D122C9">
            <w:pPr>
              <w:tabs>
                <w:tab w:val="decimal" w:pos="702"/>
              </w:tabs>
              <w:ind w:left="-108"/>
              <w:rPr>
                <w:rFonts w:ascii="Arial" w:hAnsi="Arial" w:cs="Arial"/>
                <w:color w:val="000000"/>
                <w:sz w:val="16"/>
                <w:szCs w:val="16"/>
              </w:rPr>
            </w:pPr>
            <w:r w:rsidRPr="007F1B62">
              <w:rPr>
                <w:rFonts w:ascii="Arial" w:hAnsi="Arial" w:cs="Arial"/>
                <w:color w:val="000000"/>
                <w:sz w:val="16"/>
                <w:szCs w:val="16"/>
              </w:rPr>
              <w:t>(503</w:t>
            </w:r>
            <w:r w:rsidR="000D3DC7">
              <w:rPr>
                <w:rFonts w:ascii="Arial" w:hAnsi="Arial" w:cs="Arial"/>
                <w:color w:val="000000"/>
                <w:sz w:val="16"/>
                <w:szCs w:val="16"/>
              </w:rPr>
              <w:t>.</w:t>
            </w:r>
            <w:r w:rsidRPr="007F1B62">
              <w:rPr>
                <w:rFonts w:ascii="Arial" w:hAnsi="Arial" w:cs="Arial"/>
                <w:color w:val="000000"/>
                <w:sz w:val="16"/>
                <w:szCs w:val="16"/>
              </w:rPr>
              <w:t>268)</w:t>
            </w:r>
          </w:p>
        </w:tc>
        <w:tc>
          <w:tcPr>
            <w:tcW w:w="851" w:type="dxa"/>
            <w:tcBorders>
              <w:right w:val="single" w:sz="4" w:space="0" w:color="auto"/>
            </w:tcBorders>
            <w:vAlign w:val="bottom"/>
          </w:tcPr>
          <w:p w:rsidR="00D122C9" w:rsidRPr="00BE55D4" w:rsidRDefault="00D122C9" w:rsidP="00D122C9">
            <w:pPr>
              <w:widowControl w:val="0"/>
              <w:tabs>
                <w:tab w:val="decimal" w:pos="432"/>
              </w:tabs>
              <w:spacing w:line="240" w:lineRule="atLeast"/>
              <w:ind w:right="-86"/>
              <w:rPr>
                <w:rFonts w:ascii="Arial" w:eastAsia="Arial" w:hAnsi="Arial" w:cs="Arial"/>
                <w:color w:val="000000"/>
                <w:sz w:val="16"/>
                <w:szCs w:val="16"/>
              </w:rPr>
            </w:pPr>
            <w:r w:rsidRPr="007F1B62">
              <w:rPr>
                <w:rFonts w:ascii="Arial" w:hAnsi="Arial" w:cs="Arial"/>
                <w:sz w:val="16"/>
                <w:szCs w:val="16"/>
              </w:rPr>
              <w:t>(0</w:t>
            </w:r>
            <w:r w:rsidR="000D3DC7">
              <w:rPr>
                <w:rFonts w:ascii="Arial" w:hAnsi="Arial" w:cs="Arial"/>
                <w:sz w:val="16"/>
                <w:szCs w:val="16"/>
              </w:rPr>
              <w:t>,</w:t>
            </w:r>
            <w:r w:rsidRPr="007F1B62">
              <w:rPr>
                <w:rFonts w:ascii="Arial" w:hAnsi="Arial" w:cs="Arial"/>
                <w:sz w:val="16"/>
                <w:szCs w:val="16"/>
              </w:rPr>
              <w:t>96)</w:t>
            </w:r>
          </w:p>
        </w:tc>
      </w:tr>
      <w:tr w:rsidR="00D122C9" w:rsidRPr="00BE55D4" w:rsidTr="004505FD">
        <w:tblPrEx>
          <w:tblLook w:val="01E0" w:firstRow="1" w:lastRow="1" w:firstColumn="1" w:lastColumn="1" w:noHBand="0" w:noVBand="0"/>
        </w:tblPrEx>
        <w:tc>
          <w:tcPr>
            <w:tcW w:w="2425" w:type="dxa"/>
            <w:tcBorders>
              <w:left w:val="single" w:sz="4" w:space="0" w:color="auto"/>
              <w:right w:val="single" w:sz="4" w:space="0" w:color="auto"/>
            </w:tcBorders>
            <w:vAlign w:val="bottom"/>
          </w:tcPr>
          <w:p w:rsidR="00D122C9" w:rsidRPr="00BE55D4" w:rsidRDefault="00D122C9" w:rsidP="00D122C9">
            <w:pPr>
              <w:rPr>
                <w:rFonts w:ascii="Arial" w:hAnsi="Arial" w:cs="Arial"/>
                <w:sz w:val="16"/>
                <w:szCs w:val="16"/>
                <w:lang w:val="es-ES_tradnl"/>
              </w:rPr>
            </w:pPr>
            <w:r w:rsidRPr="00717B62">
              <w:rPr>
                <w:rFonts w:ascii="Arial" w:hAnsi="Arial" w:cs="Arial"/>
                <w:sz w:val="16"/>
                <w:szCs w:val="16"/>
                <w:lang w:val="es-AR"/>
              </w:rPr>
              <w:t>Regalías e impuesto a los ingresos brutos ($)</w:t>
            </w:r>
          </w:p>
        </w:tc>
        <w:tc>
          <w:tcPr>
            <w:tcW w:w="990" w:type="dxa"/>
            <w:tcBorders>
              <w:left w:val="single" w:sz="4" w:space="0" w:color="auto"/>
            </w:tcBorders>
            <w:shd w:val="clear" w:color="auto" w:fill="auto"/>
            <w:vAlign w:val="center"/>
          </w:tcPr>
          <w:p w:rsidR="00D122C9" w:rsidRPr="00BE55D4" w:rsidRDefault="00D122C9" w:rsidP="00D122C9">
            <w:pPr>
              <w:tabs>
                <w:tab w:val="decimal" w:pos="702"/>
              </w:tabs>
              <w:ind w:left="-108"/>
              <w:rPr>
                <w:rFonts w:ascii="Arial" w:hAnsi="Arial" w:cs="Arial"/>
                <w:color w:val="000000"/>
                <w:sz w:val="16"/>
                <w:szCs w:val="16"/>
              </w:rPr>
            </w:pPr>
            <w:r w:rsidRPr="00B737B0">
              <w:rPr>
                <w:rFonts w:ascii="Arial" w:hAnsi="Arial" w:cs="Arial"/>
                <w:sz w:val="16"/>
                <w:szCs w:val="16"/>
              </w:rPr>
              <w:t>(3</w:t>
            </w:r>
            <w:r w:rsidR="000D3DC7">
              <w:rPr>
                <w:rFonts w:ascii="Arial" w:hAnsi="Arial" w:cs="Arial"/>
                <w:sz w:val="16"/>
                <w:szCs w:val="16"/>
              </w:rPr>
              <w:t>.</w:t>
            </w:r>
            <w:r w:rsidRPr="00B737B0">
              <w:rPr>
                <w:rFonts w:ascii="Arial" w:hAnsi="Arial" w:cs="Arial"/>
                <w:sz w:val="16"/>
                <w:szCs w:val="16"/>
              </w:rPr>
              <w:t>430</w:t>
            </w:r>
            <w:r w:rsidR="000D3DC7">
              <w:rPr>
                <w:rFonts w:ascii="Arial" w:hAnsi="Arial" w:cs="Arial"/>
                <w:sz w:val="16"/>
                <w:szCs w:val="16"/>
              </w:rPr>
              <w:t>.</w:t>
            </w:r>
            <w:r w:rsidRPr="00B737B0">
              <w:rPr>
                <w:rFonts w:ascii="Arial" w:hAnsi="Arial" w:cs="Arial"/>
                <w:sz w:val="16"/>
                <w:szCs w:val="16"/>
              </w:rPr>
              <w:t>729)</w:t>
            </w:r>
          </w:p>
        </w:tc>
        <w:tc>
          <w:tcPr>
            <w:tcW w:w="810" w:type="dxa"/>
            <w:vAlign w:val="bottom"/>
          </w:tcPr>
          <w:p w:rsidR="00D122C9" w:rsidRPr="00BE55D4" w:rsidRDefault="00D122C9" w:rsidP="00D122C9">
            <w:pPr>
              <w:widowControl w:val="0"/>
              <w:tabs>
                <w:tab w:val="decimal" w:pos="432"/>
              </w:tabs>
              <w:spacing w:line="240" w:lineRule="atLeast"/>
              <w:ind w:right="-86"/>
              <w:rPr>
                <w:rFonts w:ascii="Arial" w:hAnsi="Arial" w:cs="Arial"/>
                <w:color w:val="000000"/>
                <w:sz w:val="16"/>
                <w:szCs w:val="16"/>
              </w:rPr>
            </w:pPr>
            <w:r w:rsidRPr="00B737B0">
              <w:rPr>
                <w:rFonts w:ascii="Arial" w:hAnsi="Arial" w:cs="Arial"/>
                <w:sz w:val="16"/>
                <w:szCs w:val="16"/>
              </w:rPr>
              <w:t>(11</w:t>
            </w:r>
            <w:r w:rsidR="000D3DC7">
              <w:rPr>
                <w:rFonts w:ascii="Arial" w:hAnsi="Arial" w:cs="Arial"/>
                <w:sz w:val="16"/>
                <w:szCs w:val="16"/>
              </w:rPr>
              <w:t>,</w:t>
            </w:r>
            <w:r w:rsidRPr="00B737B0">
              <w:rPr>
                <w:rFonts w:ascii="Arial" w:hAnsi="Arial" w:cs="Arial"/>
                <w:sz w:val="16"/>
                <w:szCs w:val="16"/>
              </w:rPr>
              <w:t>18)</w:t>
            </w:r>
          </w:p>
        </w:tc>
        <w:tc>
          <w:tcPr>
            <w:tcW w:w="990" w:type="dxa"/>
            <w:tcBorders>
              <w:left w:val="single" w:sz="4" w:space="0" w:color="auto"/>
            </w:tcBorders>
            <w:vAlign w:val="bottom"/>
          </w:tcPr>
          <w:p w:rsidR="00D122C9" w:rsidRPr="00BE55D4" w:rsidRDefault="00D122C9" w:rsidP="00D122C9">
            <w:pPr>
              <w:tabs>
                <w:tab w:val="decimal" w:pos="702"/>
              </w:tabs>
              <w:ind w:left="-108"/>
              <w:rPr>
                <w:rFonts w:ascii="Arial" w:hAnsi="Arial" w:cs="Arial"/>
                <w:color w:val="000000"/>
                <w:sz w:val="16"/>
                <w:szCs w:val="16"/>
              </w:rPr>
            </w:pPr>
            <w:r w:rsidRPr="007F1B62">
              <w:rPr>
                <w:rFonts w:ascii="Arial" w:hAnsi="Arial" w:cs="Arial"/>
                <w:sz w:val="16"/>
                <w:szCs w:val="16"/>
              </w:rPr>
              <w:t xml:space="preserve"> (961</w:t>
            </w:r>
            <w:r w:rsidR="000D3DC7">
              <w:rPr>
                <w:rFonts w:ascii="Arial" w:hAnsi="Arial" w:cs="Arial"/>
                <w:sz w:val="16"/>
                <w:szCs w:val="16"/>
              </w:rPr>
              <w:t>.</w:t>
            </w:r>
            <w:r w:rsidRPr="007F1B62">
              <w:rPr>
                <w:rFonts w:ascii="Arial" w:hAnsi="Arial" w:cs="Arial"/>
                <w:sz w:val="16"/>
                <w:szCs w:val="16"/>
              </w:rPr>
              <w:t>852)</w:t>
            </w:r>
          </w:p>
        </w:tc>
        <w:tc>
          <w:tcPr>
            <w:tcW w:w="900" w:type="dxa"/>
            <w:vAlign w:val="bottom"/>
          </w:tcPr>
          <w:p w:rsidR="00D122C9" w:rsidRPr="00BE55D4" w:rsidRDefault="00D122C9" w:rsidP="00D122C9">
            <w:pPr>
              <w:widowControl w:val="0"/>
              <w:tabs>
                <w:tab w:val="decimal" w:pos="432"/>
              </w:tabs>
              <w:spacing w:line="240" w:lineRule="atLeast"/>
              <w:ind w:right="-86"/>
              <w:rPr>
                <w:rFonts w:ascii="Arial" w:hAnsi="Arial" w:cs="Arial"/>
                <w:color w:val="000000"/>
                <w:sz w:val="16"/>
                <w:szCs w:val="16"/>
              </w:rPr>
            </w:pPr>
            <w:r w:rsidRPr="007F1B62">
              <w:rPr>
                <w:rFonts w:ascii="Arial" w:hAnsi="Arial" w:cs="Arial"/>
                <w:sz w:val="16"/>
                <w:szCs w:val="16"/>
              </w:rPr>
              <w:t>(8</w:t>
            </w:r>
            <w:r w:rsidR="000D3DC7">
              <w:rPr>
                <w:rFonts w:ascii="Arial" w:hAnsi="Arial" w:cs="Arial"/>
                <w:sz w:val="16"/>
                <w:szCs w:val="16"/>
              </w:rPr>
              <w:t>,</w:t>
            </w:r>
            <w:r w:rsidRPr="007F1B62">
              <w:rPr>
                <w:rFonts w:ascii="Arial" w:hAnsi="Arial" w:cs="Arial"/>
                <w:sz w:val="16"/>
                <w:szCs w:val="16"/>
              </w:rPr>
              <w:t>20)</w:t>
            </w:r>
          </w:p>
        </w:tc>
        <w:tc>
          <w:tcPr>
            <w:tcW w:w="1080" w:type="dxa"/>
            <w:tcBorders>
              <w:left w:val="single" w:sz="4" w:space="0" w:color="auto"/>
            </w:tcBorders>
            <w:vAlign w:val="center"/>
          </w:tcPr>
          <w:p w:rsidR="00D122C9" w:rsidRPr="00BE55D4" w:rsidRDefault="00D122C9" w:rsidP="00D122C9">
            <w:pPr>
              <w:tabs>
                <w:tab w:val="decimal" w:pos="702"/>
              </w:tabs>
              <w:ind w:left="-108"/>
              <w:rPr>
                <w:rFonts w:ascii="Arial" w:hAnsi="Arial" w:cs="Arial"/>
                <w:color w:val="000000"/>
                <w:sz w:val="16"/>
                <w:szCs w:val="16"/>
              </w:rPr>
            </w:pPr>
            <w:r w:rsidRPr="00B737B0">
              <w:rPr>
                <w:rFonts w:ascii="Arial" w:hAnsi="Arial" w:cs="Arial"/>
                <w:sz w:val="16"/>
                <w:szCs w:val="16"/>
              </w:rPr>
              <w:t>(6</w:t>
            </w:r>
            <w:r w:rsidR="000D3DC7">
              <w:rPr>
                <w:rFonts w:ascii="Arial" w:hAnsi="Arial" w:cs="Arial"/>
                <w:sz w:val="16"/>
                <w:szCs w:val="16"/>
              </w:rPr>
              <w:t>.</w:t>
            </w:r>
            <w:r w:rsidRPr="00B737B0">
              <w:rPr>
                <w:rFonts w:ascii="Arial" w:hAnsi="Arial" w:cs="Arial"/>
                <w:sz w:val="16"/>
                <w:szCs w:val="16"/>
              </w:rPr>
              <w:t>475</w:t>
            </w:r>
            <w:r w:rsidR="000D3DC7">
              <w:rPr>
                <w:rFonts w:ascii="Arial" w:hAnsi="Arial" w:cs="Arial"/>
                <w:sz w:val="16"/>
                <w:szCs w:val="16"/>
              </w:rPr>
              <w:t>.</w:t>
            </w:r>
            <w:r w:rsidRPr="00B737B0">
              <w:rPr>
                <w:rFonts w:ascii="Arial" w:hAnsi="Arial" w:cs="Arial"/>
                <w:sz w:val="16"/>
                <w:szCs w:val="16"/>
              </w:rPr>
              <w:t>746)</w:t>
            </w:r>
          </w:p>
        </w:tc>
        <w:tc>
          <w:tcPr>
            <w:tcW w:w="810" w:type="dxa"/>
            <w:tcBorders>
              <w:right w:val="single" w:sz="4" w:space="0" w:color="auto"/>
            </w:tcBorders>
            <w:vAlign w:val="bottom"/>
          </w:tcPr>
          <w:p w:rsidR="00D122C9" w:rsidRPr="00BE55D4" w:rsidRDefault="00D122C9" w:rsidP="00D122C9">
            <w:pPr>
              <w:widowControl w:val="0"/>
              <w:tabs>
                <w:tab w:val="decimal" w:pos="432"/>
              </w:tabs>
              <w:spacing w:line="240" w:lineRule="atLeast"/>
              <w:ind w:right="-86"/>
              <w:rPr>
                <w:rFonts w:ascii="Arial" w:eastAsia="Arial" w:hAnsi="Arial" w:cs="Arial"/>
                <w:color w:val="000000"/>
                <w:sz w:val="16"/>
                <w:szCs w:val="16"/>
              </w:rPr>
            </w:pPr>
            <w:r w:rsidRPr="00B737B0">
              <w:rPr>
                <w:rFonts w:ascii="Arial" w:hAnsi="Arial" w:cs="Arial"/>
                <w:sz w:val="16"/>
                <w:szCs w:val="16"/>
              </w:rPr>
              <w:t>(9</w:t>
            </w:r>
            <w:r w:rsidR="000D3DC7">
              <w:rPr>
                <w:rFonts w:ascii="Arial" w:hAnsi="Arial" w:cs="Arial"/>
                <w:sz w:val="16"/>
                <w:szCs w:val="16"/>
              </w:rPr>
              <w:t>,</w:t>
            </w:r>
            <w:r w:rsidRPr="00B737B0">
              <w:rPr>
                <w:rFonts w:ascii="Arial" w:hAnsi="Arial" w:cs="Arial"/>
                <w:sz w:val="16"/>
                <w:szCs w:val="16"/>
              </w:rPr>
              <w:t>57)</w:t>
            </w:r>
          </w:p>
        </w:tc>
        <w:tc>
          <w:tcPr>
            <w:tcW w:w="1062" w:type="dxa"/>
            <w:tcBorders>
              <w:left w:val="single" w:sz="4" w:space="0" w:color="auto"/>
            </w:tcBorders>
            <w:vAlign w:val="bottom"/>
          </w:tcPr>
          <w:p w:rsidR="00D122C9" w:rsidRPr="00BE55D4" w:rsidRDefault="00D122C9" w:rsidP="00D122C9">
            <w:pPr>
              <w:tabs>
                <w:tab w:val="decimal" w:pos="702"/>
              </w:tabs>
              <w:ind w:left="-108"/>
              <w:rPr>
                <w:rFonts w:ascii="Arial" w:hAnsi="Arial" w:cs="Arial"/>
                <w:color w:val="000000"/>
                <w:sz w:val="16"/>
                <w:szCs w:val="16"/>
              </w:rPr>
            </w:pPr>
            <w:r w:rsidRPr="007F1B62">
              <w:rPr>
                <w:rFonts w:ascii="Arial" w:hAnsi="Arial" w:cs="Arial"/>
                <w:color w:val="000000"/>
                <w:sz w:val="16"/>
                <w:szCs w:val="16"/>
              </w:rPr>
              <w:t>(4</w:t>
            </w:r>
            <w:r w:rsidR="000D3DC7">
              <w:rPr>
                <w:rFonts w:ascii="Arial" w:hAnsi="Arial" w:cs="Arial"/>
                <w:color w:val="000000"/>
                <w:sz w:val="16"/>
                <w:szCs w:val="16"/>
              </w:rPr>
              <w:t>.</w:t>
            </w:r>
            <w:r w:rsidRPr="007F1B62">
              <w:rPr>
                <w:rFonts w:ascii="Arial" w:hAnsi="Arial" w:cs="Arial"/>
                <w:color w:val="000000"/>
                <w:sz w:val="16"/>
                <w:szCs w:val="16"/>
              </w:rPr>
              <w:t>519</w:t>
            </w:r>
            <w:r w:rsidR="000D3DC7">
              <w:rPr>
                <w:rFonts w:ascii="Arial" w:hAnsi="Arial" w:cs="Arial"/>
                <w:color w:val="000000"/>
                <w:sz w:val="16"/>
                <w:szCs w:val="16"/>
              </w:rPr>
              <w:t>.</w:t>
            </w:r>
            <w:r w:rsidRPr="007F1B62">
              <w:rPr>
                <w:rFonts w:ascii="Arial" w:hAnsi="Arial" w:cs="Arial"/>
                <w:color w:val="000000"/>
                <w:sz w:val="16"/>
                <w:szCs w:val="16"/>
              </w:rPr>
              <w:t>702)</w:t>
            </w:r>
          </w:p>
        </w:tc>
        <w:tc>
          <w:tcPr>
            <w:tcW w:w="851" w:type="dxa"/>
            <w:tcBorders>
              <w:right w:val="single" w:sz="4" w:space="0" w:color="auto"/>
            </w:tcBorders>
            <w:vAlign w:val="bottom"/>
          </w:tcPr>
          <w:p w:rsidR="00D122C9" w:rsidRPr="00BE55D4" w:rsidRDefault="00D122C9" w:rsidP="00D122C9">
            <w:pPr>
              <w:widowControl w:val="0"/>
              <w:tabs>
                <w:tab w:val="decimal" w:pos="432"/>
              </w:tabs>
              <w:spacing w:line="240" w:lineRule="atLeast"/>
              <w:ind w:right="-86"/>
              <w:rPr>
                <w:rFonts w:ascii="Arial" w:eastAsia="Arial" w:hAnsi="Arial" w:cs="Arial"/>
                <w:color w:val="000000"/>
                <w:sz w:val="16"/>
                <w:szCs w:val="16"/>
              </w:rPr>
            </w:pPr>
            <w:r w:rsidRPr="007F1B62">
              <w:rPr>
                <w:rFonts w:ascii="Arial" w:hAnsi="Arial" w:cs="Arial"/>
                <w:sz w:val="16"/>
                <w:szCs w:val="16"/>
              </w:rPr>
              <w:t>(8</w:t>
            </w:r>
            <w:r w:rsidR="000D3DC7">
              <w:rPr>
                <w:rFonts w:ascii="Arial" w:hAnsi="Arial" w:cs="Arial"/>
                <w:sz w:val="16"/>
                <w:szCs w:val="16"/>
              </w:rPr>
              <w:t>,</w:t>
            </w:r>
            <w:r w:rsidRPr="007F1B62">
              <w:rPr>
                <w:rFonts w:ascii="Arial" w:hAnsi="Arial" w:cs="Arial"/>
                <w:sz w:val="16"/>
                <w:szCs w:val="16"/>
              </w:rPr>
              <w:t>61)</w:t>
            </w:r>
          </w:p>
        </w:tc>
      </w:tr>
      <w:tr w:rsidR="00D122C9" w:rsidRPr="00BE55D4" w:rsidTr="004505FD">
        <w:tblPrEx>
          <w:tblLook w:val="01E0" w:firstRow="1" w:lastRow="1" w:firstColumn="1" w:lastColumn="1" w:noHBand="0" w:noVBand="0"/>
        </w:tblPrEx>
        <w:tc>
          <w:tcPr>
            <w:tcW w:w="2425" w:type="dxa"/>
            <w:tcBorders>
              <w:left w:val="single" w:sz="4" w:space="0" w:color="auto"/>
              <w:bottom w:val="single" w:sz="4" w:space="0" w:color="auto"/>
              <w:right w:val="single" w:sz="4" w:space="0" w:color="auto"/>
            </w:tcBorders>
            <w:vAlign w:val="bottom"/>
          </w:tcPr>
          <w:p w:rsidR="00D122C9" w:rsidRPr="00BE55D4" w:rsidRDefault="00D122C9" w:rsidP="00D122C9">
            <w:pPr>
              <w:rPr>
                <w:rFonts w:ascii="Arial" w:hAnsi="Arial" w:cs="Arial"/>
                <w:sz w:val="16"/>
                <w:szCs w:val="16"/>
                <w:lang w:val="en-CA"/>
              </w:rPr>
            </w:pPr>
            <w:r w:rsidRPr="00717B62">
              <w:rPr>
                <w:rFonts w:ascii="Arial" w:hAnsi="Arial" w:cs="Arial"/>
                <w:sz w:val="16"/>
                <w:szCs w:val="16"/>
                <w:lang w:val="es-AR"/>
              </w:rPr>
              <w:t>Costos operativos ($)</w:t>
            </w:r>
          </w:p>
        </w:tc>
        <w:tc>
          <w:tcPr>
            <w:tcW w:w="990" w:type="dxa"/>
            <w:tcBorders>
              <w:left w:val="single" w:sz="4" w:space="0" w:color="auto"/>
              <w:bottom w:val="single" w:sz="4" w:space="0" w:color="auto"/>
            </w:tcBorders>
            <w:shd w:val="clear" w:color="auto" w:fill="auto"/>
            <w:vAlign w:val="center"/>
          </w:tcPr>
          <w:p w:rsidR="00D122C9" w:rsidRPr="00BE55D4" w:rsidRDefault="00D122C9" w:rsidP="00D122C9">
            <w:pPr>
              <w:tabs>
                <w:tab w:val="decimal" w:pos="702"/>
              </w:tabs>
              <w:ind w:left="-108"/>
              <w:rPr>
                <w:rFonts w:ascii="Arial" w:hAnsi="Arial" w:cs="Arial"/>
                <w:color w:val="000000"/>
                <w:sz w:val="16"/>
                <w:szCs w:val="16"/>
              </w:rPr>
            </w:pPr>
            <w:r w:rsidRPr="00B737B0">
              <w:rPr>
                <w:rFonts w:ascii="Arial" w:hAnsi="Arial" w:cs="Arial"/>
                <w:sz w:val="16"/>
                <w:szCs w:val="16"/>
              </w:rPr>
              <w:t>(14</w:t>
            </w:r>
            <w:r w:rsidR="000D3DC7">
              <w:rPr>
                <w:rFonts w:ascii="Arial" w:hAnsi="Arial" w:cs="Arial"/>
                <w:sz w:val="16"/>
                <w:szCs w:val="16"/>
              </w:rPr>
              <w:t>.</w:t>
            </w:r>
            <w:r w:rsidRPr="00B737B0">
              <w:rPr>
                <w:rFonts w:ascii="Arial" w:hAnsi="Arial" w:cs="Arial"/>
                <w:sz w:val="16"/>
                <w:szCs w:val="16"/>
              </w:rPr>
              <w:t>822</w:t>
            </w:r>
            <w:r w:rsidR="000D3DC7">
              <w:rPr>
                <w:rFonts w:ascii="Arial" w:hAnsi="Arial" w:cs="Arial"/>
                <w:sz w:val="16"/>
                <w:szCs w:val="16"/>
              </w:rPr>
              <w:t>.</w:t>
            </w:r>
            <w:r w:rsidRPr="00B737B0">
              <w:rPr>
                <w:rFonts w:ascii="Arial" w:hAnsi="Arial" w:cs="Arial"/>
                <w:sz w:val="16"/>
                <w:szCs w:val="16"/>
              </w:rPr>
              <w:t>678)</w:t>
            </w:r>
          </w:p>
        </w:tc>
        <w:tc>
          <w:tcPr>
            <w:tcW w:w="810" w:type="dxa"/>
            <w:tcBorders>
              <w:bottom w:val="single" w:sz="4" w:space="0" w:color="000000"/>
            </w:tcBorders>
            <w:vAlign w:val="bottom"/>
          </w:tcPr>
          <w:p w:rsidR="00D122C9" w:rsidRPr="00BE55D4" w:rsidRDefault="00D122C9" w:rsidP="00D122C9">
            <w:pPr>
              <w:widowControl w:val="0"/>
              <w:tabs>
                <w:tab w:val="decimal" w:pos="432"/>
              </w:tabs>
              <w:spacing w:line="240" w:lineRule="atLeast"/>
              <w:ind w:right="-86"/>
              <w:rPr>
                <w:rFonts w:ascii="Arial" w:hAnsi="Arial" w:cs="Arial"/>
                <w:color w:val="000000"/>
                <w:sz w:val="16"/>
                <w:szCs w:val="16"/>
              </w:rPr>
            </w:pPr>
            <w:r w:rsidRPr="00B737B0">
              <w:rPr>
                <w:rFonts w:ascii="Arial" w:hAnsi="Arial" w:cs="Arial"/>
                <w:sz w:val="16"/>
                <w:szCs w:val="16"/>
              </w:rPr>
              <w:t>(48</w:t>
            </w:r>
            <w:r w:rsidR="000D3DC7">
              <w:rPr>
                <w:rFonts w:ascii="Arial" w:hAnsi="Arial" w:cs="Arial"/>
                <w:sz w:val="16"/>
                <w:szCs w:val="16"/>
              </w:rPr>
              <w:t>,</w:t>
            </w:r>
            <w:r w:rsidRPr="00B737B0">
              <w:rPr>
                <w:rFonts w:ascii="Arial" w:hAnsi="Arial" w:cs="Arial"/>
                <w:sz w:val="16"/>
                <w:szCs w:val="16"/>
              </w:rPr>
              <w:t>31)</w:t>
            </w:r>
          </w:p>
        </w:tc>
        <w:tc>
          <w:tcPr>
            <w:tcW w:w="990" w:type="dxa"/>
            <w:tcBorders>
              <w:left w:val="single" w:sz="4" w:space="0" w:color="auto"/>
              <w:bottom w:val="single" w:sz="4" w:space="0" w:color="auto"/>
            </w:tcBorders>
            <w:vAlign w:val="bottom"/>
          </w:tcPr>
          <w:p w:rsidR="00D122C9" w:rsidRPr="00BE55D4" w:rsidRDefault="00D122C9" w:rsidP="00D122C9">
            <w:pPr>
              <w:tabs>
                <w:tab w:val="decimal" w:pos="702"/>
              </w:tabs>
              <w:ind w:left="-108"/>
              <w:rPr>
                <w:rFonts w:ascii="Arial" w:hAnsi="Arial" w:cs="Arial"/>
                <w:color w:val="000000"/>
                <w:sz w:val="16"/>
                <w:szCs w:val="16"/>
              </w:rPr>
            </w:pPr>
            <w:r w:rsidRPr="007F1B62">
              <w:rPr>
                <w:rFonts w:ascii="Arial" w:hAnsi="Arial" w:cs="Arial"/>
                <w:sz w:val="16"/>
                <w:szCs w:val="16"/>
              </w:rPr>
              <w:t xml:space="preserve"> (3</w:t>
            </w:r>
            <w:r w:rsidR="000D3DC7">
              <w:rPr>
                <w:rFonts w:ascii="Arial" w:hAnsi="Arial" w:cs="Arial"/>
                <w:sz w:val="16"/>
                <w:szCs w:val="16"/>
              </w:rPr>
              <w:t>.</w:t>
            </w:r>
            <w:r w:rsidRPr="007F1B62">
              <w:rPr>
                <w:rFonts w:ascii="Arial" w:hAnsi="Arial" w:cs="Arial"/>
                <w:sz w:val="16"/>
                <w:szCs w:val="16"/>
              </w:rPr>
              <w:t>356</w:t>
            </w:r>
            <w:r w:rsidR="000D3DC7">
              <w:rPr>
                <w:rFonts w:ascii="Arial" w:hAnsi="Arial" w:cs="Arial"/>
                <w:sz w:val="16"/>
                <w:szCs w:val="16"/>
              </w:rPr>
              <w:t>.</w:t>
            </w:r>
            <w:r w:rsidRPr="007F1B62">
              <w:rPr>
                <w:rFonts w:ascii="Arial" w:hAnsi="Arial" w:cs="Arial"/>
                <w:sz w:val="16"/>
                <w:szCs w:val="16"/>
              </w:rPr>
              <w:t>776)</w:t>
            </w:r>
          </w:p>
        </w:tc>
        <w:tc>
          <w:tcPr>
            <w:tcW w:w="900" w:type="dxa"/>
            <w:tcBorders>
              <w:bottom w:val="single" w:sz="4" w:space="0" w:color="000000"/>
            </w:tcBorders>
            <w:vAlign w:val="bottom"/>
          </w:tcPr>
          <w:p w:rsidR="00D122C9" w:rsidRPr="00BE55D4" w:rsidRDefault="00D122C9" w:rsidP="00D122C9">
            <w:pPr>
              <w:widowControl w:val="0"/>
              <w:tabs>
                <w:tab w:val="decimal" w:pos="432"/>
              </w:tabs>
              <w:spacing w:line="240" w:lineRule="atLeast"/>
              <w:ind w:right="-86"/>
              <w:rPr>
                <w:rFonts w:ascii="Arial" w:hAnsi="Arial" w:cs="Arial"/>
                <w:color w:val="000000"/>
                <w:sz w:val="16"/>
                <w:szCs w:val="16"/>
              </w:rPr>
            </w:pPr>
            <w:r w:rsidRPr="007F1B62">
              <w:rPr>
                <w:rFonts w:ascii="Arial" w:hAnsi="Arial" w:cs="Arial"/>
                <w:sz w:val="16"/>
                <w:szCs w:val="16"/>
              </w:rPr>
              <w:t>(28</w:t>
            </w:r>
            <w:r w:rsidR="000D3DC7">
              <w:rPr>
                <w:rFonts w:ascii="Arial" w:hAnsi="Arial" w:cs="Arial"/>
                <w:sz w:val="16"/>
                <w:szCs w:val="16"/>
              </w:rPr>
              <w:t>,</w:t>
            </w:r>
            <w:r w:rsidRPr="007F1B62">
              <w:rPr>
                <w:rFonts w:ascii="Arial" w:hAnsi="Arial" w:cs="Arial"/>
                <w:sz w:val="16"/>
                <w:szCs w:val="16"/>
              </w:rPr>
              <w:t>63)</w:t>
            </w:r>
          </w:p>
        </w:tc>
        <w:tc>
          <w:tcPr>
            <w:tcW w:w="1080" w:type="dxa"/>
            <w:tcBorders>
              <w:left w:val="single" w:sz="4" w:space="0" w:color="auto"/>
              <w:bottom w:val="single" w:sz="4" w:space="0" w:color="auto"/>
            </w:tcBorders>
            <w:vAlign w:val="center"/>
          </w:tcPr>
          <w:p w:rsidR="00D122C9" w:rsidRPr="00BE55D4" w:rsidRDefault="00D122C9" w:rsidP="00D122C9">
            <w:pPr>
              <w:tabs>
                <w:tab w:val="decimal" w:pos="702"/>
              </w:tabs>
              <w:ind w:left="-108"/>
              <w:rPr>
                <w:rFonts w:ascii="Arial" w:hAnsi="Arial" w:cs="Arial"/>
                <w:color w:val="000000"/>
                <w:sz w:val="16"/>
                <w:szCs w:val="16"/>
              </w:rPr>
            </w:pPr>
            <w:r w:rsidRPr="00B737B0">
              <w:rPr>
                <w:rFonts w:ascii="Arial" w:hAnsi="Arial" w:cs="Arial"/>
                <w:sz w:val="16"/>
                <w:szCs w:val="16"/>
              </w:rPr>
              <w:t>(28</w:t>
            </w:r>
            <w:r w:rsidR="000D3DC7">
              <w:rPr>
                <w:rFonts w:ascii="Arial" w:hAnsi="Arial" w:cs="Arial"/>
                <w:sz w:val="16"/>
                <w:szCs w:val="16"/>
              </w:rPr>
              <w:t>.</w:t>
            </w:r>
            <w:r w:rsidRPr="00B737B0">
              <w:rPr>
                <w:rFonts w:ascii="Arial" w:hAnsi="Arial" w:cs="Arial"/>
                <w:sz w:val="16"/>
                <w:szCs w:val="16"/>
              </w:rPr>
              <w:t>941</w:t>
            </w:r>
            <w:r w:rsidR="000D3DC7">
              <w:rPr>
                <w:rFonts w:ascii="Arial" w:hAnsi="Arial" w:cs="Arial"/>
                <w:sz w:val="16"/>
                <w:szCs w:val="16"/>
              </w:rPr>
              <w:t>.</w:t>
            </w:r>
            <w:r w:rsidRPr="00B737B0">
              <w:rPr>
                <w:rFonts w:ascii="Arial" w:hAnsi="Arial" w:cs="Arial"/>
                <w:sz w:val="16"/>
                <w:szCs w:val="16"/>
              </w:rPr>
              <w:t>451)</w:t>
            </w:r>
          </w:p>
        </w:tc>
        <w:tc>
          <w:tcPr>
            <w:tcW w:w="810" w:type="dxa"/>
            <w:tcBorders>
              <w:bottom w:val="single" w:sz="4" w:space="0" w:color="auto"/>
              <w:right w:val="single" w:sz="4" w:space="0" w:color="auto"/>
            </w:tcBorders>
            <w:vAlign w:val="bottom"/>
          </w:tcPr>
          <w:p w:rsidR="00D122C9" w:rsidRPr="00BE55D4" w:rsidRDefault="00D122C9" w:rsidP="00D122C9">
            <w:pPr>
              <w:widowControl w:val="0"/>
              <w:tabs>
                <w:tab w:val="decimal" w:pos="432"/>
              </w:tabs>
              <w:spacing w:line="240" w:lineRule="atLeast"/>
              <w:ind w:right="-86"/>
              <w:rPr>
                <w:rFonts w:ascii="Arial" w:eastAsia="Arial" w:hAnsi="Arial" w:cs="Arial"/>
                <w:color w:val="000000"/>
                <w:sz w:val="16"/>
                <w:szCs w:val="16"/>
              </w:rPr>
            </w:pPr>
            <w:r w:rsidRPr="00B737B0">
              <w:rPr>
                <w:rFonts w:ascii="Arial" w:hAnsi="Arial" w:cs="Arial"/>
                <w:sz w:val="16"/>
                <w:szCs w:val="16"/>
              </w:rPr>
              <w:t>(42</w:t>
            </w:r>
            <w:r w:rsidR="000D3DC7">
              <w:rPr>
                <w:rFonts w:ascii="Arial" w:hAnsi="Arial" w:cs="Arial"/>
                <w:sz w:val="16"/>
                <w:szCs w:val="16"/>
              </w:rPr>
              <w:t>,</w:t>
            </w:r>
            <w:r w:rsidRPr="00B737B0">
              <w:rPr>
                <w:rFonts w:ascii="Arial" w:hAnsi="Arial" w:cs="Arial"/>
                <w:sz w:val="16"/>
                <w:szCs w:val="16"/>
              </w:rPr>
              <w:t>75)</w:t>
            </w:r>
          </w:p>
        </w:tc>
        <w:tc>
          <w:tcPr>
            <w:tcW w:w="1062" w:type="dxa"/>
            <w:tcBorders>
              <w:left w:val="single" w:sz="4" w:space="0" w:color="auto"/>
              <w:bottom w:val="single" w:sz="4" w:space="0" w:color="auto"/>
            </w:tcBorders>
            <w:vAlign w:val="bottom"/>
          </w:tcPr>
          <w:p w:rsidR="00D122C9" w:rsidRPr="00BE55D4" w:rsidRDefault="00D122C9" w:rsidP="00D122C9">
            <w:pPr>
              <w:tabs>
                <w:tab w:val="decimal" w:pos="702"/>
              </w:tabs>
              <w:ind w:left="-108"/>
              <w:rPr>
                <w:rFonts w:ascii="Arial" w:hAnsi="Arial" w:cs="Arial"/>
                <w:color w:val="000000"/>
                <w:sz w:val="16"/>
                <w:szCs w:val="16"/>
              </w:rPr>
            </w:pPr>
            <w:r w:rsidRPr="007F1B62">
              <w:rPr>
                <w:rFonts w:ascii="Arial" w:hAnsi="Arial" w:cs="Arial"/>
                <w:color w:val="000000"/>
                <w:sz w:val="16"/>
                <w:szCs w:val="16"/>
              </w:rPr>
              <w:t>(18</w:t>
            </w:r>
            <w:r w:rsidR="000D3DC7">
              <w:rPr>
                <w:rFonts w:ascii="Arial" w:hAnsi="Arial" w:cs="Arial"/>
                <w:color w:val="000000"/>
                <w:sz w:val="16"/>
                <w:szCs w:val="16"/>
              </w:rPr>
              <w:t>.</w:t>
            </w:r>
            <w:r w:rsidRPr="007F1B62">
              <w:rPr>
                <w:rFonts w:ascii="Arial" w:hAnsi="Arial" w:cs="Arial"/>
                <w:color w:val="000000"/>
                <w:sz w:val="16"/>
                <w:szCs w:val="16"/>
              </w:rPr>
              <w:t>405</w:t>
            </w:r>
            <w:r w:rsidR="000D3DC7">
              <w:rPr>
                <w:rFonts w:ascii="Arial" w:hAnsi="Arial" w:cs="Arial"/>
                <w:color w:val="000000"/>
                <w:sz w:val="16"/>
                <w:szCs w:val="16"/>
              </w:rPr>
              <w:t>.</w:t>
            </w:r>
            <w:r w:rsidRPr="007F1B62">
              <w:rPr>
                <w:rFonts w:ascii="Arial" w:hAnsi="Arial" w:cs="Arial"/>
                <w:color w:val="000000"/>
                <w:sz w:val="16"/>
                <w:szCs w:val="16"/>
              </w:rPr>
              <w:t>512)</w:t>
            </w:r>
          </w:p>
        </w:tc>
        <w:tc>
          <w:tcPr>
            <w:tcW w:w="851" w:type="dxa"/>
            <w:tcBorders>
              <w:bottom w:val="single" w:sz="4" w:space="0" w:color="auto"/>
              <w:right w:val="single" w:sz="4" w:space="0" w:color="auto"/>
            </w:tcBorders>
            <w:vAlign w:val="bottom"/>
          </w:tcPr>
          <w:p w:rsidR="00D122C9" w:rsidRPr="00BE55D4" w:rsidRDefault="00D122C9" w:rsidP="00D122C9">
            <w:pPr>
              <w:widowControl w:val="0"/>
              <w:tabs>
                <w:tab w:val="decimal" w:pos="432"/>
              </w:tabs>
              <w:spacing w:line="240" w:lineRule="atLeast"/>
              <w:ind w:right="-86"/>
              <w:rPr>
                <w:rFonts w:ascii="Arial" w:eastAsia="Arial" w:hAnsi="Arial" w:cs="Arial"/>
                <w:color w:val="000000"/>
                <w:sz w:val="16"/>
                <w:szCs w:val="16"/>
              </w:rPr>
            </w:pPr>
            <w:r w:rsidRPr="007F1B62">
              <w:rPr>
                <w:rFonts w:ascii="Arial" w:hAnsi="Arial" w:cs="Arial"/>
                <w:sz w:val="16"/>
                <w:szCs w:val="16"/>
              </w:rPr>
              <w:t>(35</w:t>
            </w:r>
            <w:r w:rsidR="000D3DC7">
              <w:rPr>
                <w:rFonts w:ascii="Arial" w:hAnsi="Arial" w:cs="Arial"/>
                <w:sz w:val="16"/>
                <w:szCs w:val="16"/>
              </w:rPr>
              <w:t>,</w:t>
            </w:r>
            <w:r w:rsidRPr="007F1B62">
              <w:rPr>
                <w:rFonts w:ascii="Arial" w:hAnsi="Arial" w:cs="Arial"/>
                <w:sz w:val="16"/>
                <w:szCs w:val="16"/>
              </w:rPr>
              <w:t>05)</w:t>
            </w:r>
          </w:p>
        </w:tc>
      </w:tr>
      <w:tr w:rsidR="00D122C9" w:rsidRPr="00BE55D4" w:rsidTr="00D122C9">
        <w:tblPrEx>
          <w:tblLook w:val="01E0" w:firstRow="1" w:lastRow="1" w:firstColumn="1" w:lastColumn="1" w:noHBand="0" w:noVBand="0"/>
        </w:tblPrEx>
        <w:trPr>
          <w:trHeight w:val="287"/>
        </w:trPr>
        <w:tc>
          <w:tcPr>
            <w:tcW w:w="2425" w:type="dxa"/>
            <w:tcBorders>
              <w:top w:val="single" w:sz="4" w:space="0" w:color="auto"/>
              <w:left w:val="single" w:sz="4" w:space="0" w:color="auto"/>
              <w:bottom w:val="single" w:sz="12" w:space="0" w:color="auto"/>
              <w:right w:val="single" w:sz="4" w:space="0" w:color="auto"/>
            </w:tcBorders>
            <w:vAlign w:val="bottom"/>
          </w:tcPr>
          <w:p w:rsidR="00D122C9" w:rsidRPr="00BE55D4" w:rsidRDefault="00D122C9" w:rsidP="00D122C9">
            <w:pPr>
              <w:rPr>
                <w:rFonts w:ascii="Arial" w:hAnsi="Arial" w:cs="Arial"/>
                <w:sz w:val="16"/>
                <w:szCs w:val="16"/>
                <w:lang w:val="en-CA"/>
              </w:rPr>
            </w:pPr>
            <w:r w:rsidRPr="00717B62">
              <w:rPr>
                <w:rFonts w:ascii="Arial" w:hAnsi="Arial" w:cs="Arial"/>
                <w:sz w:val="16"/>
                <w:szCs w:val="16"/>
                <w:lang w:val="es-AR"/>
              </w:rPr>
              <w:t>Netback operativo </w:t>
            </w:r>
            <w:r w:rsidRPr="00717B62">
              <w:rPr>
                <w:rFonts w:ascii="Arial" w:hAnsi="Arial" w:cs="Arial"/>
                <w:sz w:val="16"/>
                <w:szCs w:val="16"/>
                <w:vertAlign w:val="superscript"/>
                <w:lang w:val="es-AR"/>
              </w:rPr>
              <w:t>(1)</w:t>
            </w:r>
            <w:r w:rsidRPr="00717B62">
              <w:rPr>
                <w:rFonts w:ascii="Arial" w:hAnsi="Arial" w:cs="Arial"/>
                <w:sz w:val="16"/>
                <w:szCs w:val="16"/>
                <w:lang w:val="es-AR"/>
              </w:rPr>
              <w:t> ($)</w:t>
            </w:r>
          </w:p>
        </w:tc>
        <w:tc>
          <w:tcPr>
            <w:tcW w:w="990" w:type="dxa"/>
            <w:tcBorders>
              <w:top w:val="single" w:sz="4" w:space="0" w:color="auto"/>
              <w:left w:val="single" w:sz="4" w:space="0" w:color="auto"/>
              <w:bottom w:val="single" w:sz="12" w:space="0" w:color="auto"/>
            </w:tcBorders>
            <w:shd w:val="clear" w:color="auto" w:fill="auto"/>
            <w:vAlign w:val="center"/>
          </w:tcPr>
          <w:p w:rsidR="00D122C9" w:rsidRPr="00BE55D4" w:rsidRDefault="00D122C9" w:rsidP="00D122C9">
            <w:pPr>
              <w:tabs>
                <w:tab w:val="decimal" w:pos="702"/>
              </w:tabs>
              <w:ind w:left="-108"/>
              <w:rPr>
                <w:rFonts w:ascii="Arial" w:hAnsi="Arial" w:cs="Arial"/>
                <w:color w:val="000000"/>
                <w:sz w:val="16"/>
                <w:szCs w:val="16"/>
              </w:rPr>
            </w:pPr>
            <w:r w:rsidRPr="00B737B0">
              <w:rPr>
                <w:rFonts w:ascii="Arial" w:hAnsi="Arial" w:cs="Arial"/>
                <w:sz w:val="16"/>
                <w:szCs w:val="16"/>
              </w:rPr>
              <w:t>1</w:t>
            </w:r>
            <w:r w:rsidR="000D3DC7">
              <w:rPr>
                <w:rFonts w:ascii="Arial" w:hAnsi="Arial" w:cs="Arial"/>
                <w:sz w:val="16"/>
                <w:szCs w:val="16"/>
              </w:rPr>
              <w:t>.</w:t>
            </w:r>
            <w:r w:rsidRPr="00B737B0">
              <w:rPr>
                <w:rFonts w:ascii="Arial" w:hAnsi="Arial" w:cs="Arial"/>
                <w:sz w:val="16"/>
                <w:szCs w:val="16"/>
              </w:rPr>
              <w:t>215</w:t>
            </w:r>
            <w:r w:rsidR="000D3DC7">
              <w:rPr>
                <w:rFonts w:ascii="Arial" w:hAnsi="Arial" w:cs="Arial"/>
                <w:sz w:val="16"/>
                <w:szCs w:val="16"/>
              </w:rPr>
              <w:t>.</w:t>
            </w:r>
            <w:r w:rsidRPr="00B737B0">
              <w:rPr>
                <w:rFonts w:ascii="Arial" w:hAnsi="Arial" w:cs="Arial"/>
                <w:sz w:val="16"/>
                <w:szCs w:val="16"/>
              </w:rPr>
              <w:t>495</w:t>
            </w:r>
          </w:p>
        </w:tc>
        <w:tc>
          <w:tcPr>
            <w:tcW w:w="810" w:type="dxa"/>
            <w:tcBorders>
              <w:top w:val="single" w:sz="4" w:space="0" w:color="000000"/>
              <w:bottom w:val="single" w:sz="12" w:space="0" w:color="000000"/>
            </w:tcBorders>
            <w:vAlign w:val="center"/>
          </w:tcPr>
          <w:p w:rsidR="00D122C9" w:rsidRPr="00BE55D4" w:rsidRDefault="00D122C9" w:rsidP="00D122C9">
            <w:pPr>
              <w:widowControl w:val="0"/>
              <w:tabs>
                <w:tab w:val="decimal" w:pos="432"/>
              </w:tabs>
              <w:spacing w:line="240" w:lineRule="atLeast"/>
              <w:ind w:right="-86"/>
              <w:rPr>
                <w:rFonts w:ascii="Arial" w:hAnsi="Arial" w:cs="Arial"/>
                <w:color w:val="000000"/>
                <w:sz w:val="16"/>
                <w:szCs w:val="16"/>
              </w:rPr>
            </w:pPr>
            <w:r w:rsidRPr="00B737B0">
              <w:rPr>
                <w:rFonts w:ascii="Arial" w:hAnsi="Arial" w:cs="Arial"/>
                <w:sz w:val="16"/>
                <w:szCs w:val="16"/>
              </w:rPr>
              <w:t>3</w:t>
            </w:r>
            <w:r w:rsidR="000D3DC7">
              <w:rPr>
                <w:rFonts w:ascii="Arial" w:hAnsi="Arial" w:cs="Arial"/>
                <w:sz w:val="16"/>
                <w:szCs w:val="16"/>
              </w:rPr>
              <w:t>,</w:t>
            </w:r>
            <w:r w:rsidRPr="00B737B0">
              <w:rPr>
                <w:rFonts w:ascii="Arial" w:hAnsi="Arial" w:cs="Arial"/>
                <w:sz w:val="16"/>
                <w:szCs w:val="16"/>
              </w:rPr>
              <w:t>96</w:t>
            </w:r>
          </w:p>
        </w:tc>
        <w:tc>
          <w:tcPr>
            <w:tcW w:w="990" w:type="dxa"/>
            <w:tcBorders>
              <w:top w:val="single" w:sz="4" w:space="0" w:color="auto"/>
              <w:left w:val="single" w:sz="4" w:space="0" w:color="auto"/>
              <w:bottom w:val="single" w:sz="12" w:space="0" w:color="auto"/>
            </w:tcBorders>
            <w:vAlign w:val="center"/>
          </w:tcPr>
          <w:p w:rsidR="00D122C9" w:rsidRPr="00BE55D4" w:rsidRDefault="00D122C9" w:rsidP="00D122C9">
            <w:pPr>
              <w:tabs>
                <w:tab w:val="decimal" w:pos="702"/>
              </w:tabs>
              <w:ind w:left="-108"/>
              <w:rPr>
                <w:rFonts w:ascii="Arial" w:hAnsi="Arial" w:cs="Arial"/>
                <w:color w:val="000000"/>
                <w:sz w:val="16"/>
                <w:szCs w:val="16"/>
              </w:rPr>
            </w:pPr>
            <w:r w:rsidRPr="007F1B62">
              <w:rPr>
                <w:rFonts w:ascii="Arial" w:hAnsi="Arial" w:cs="Arial"/>
                <w:sz w:val="16"/>
                <w:szCs w:val="16"/>
              </w:rPr>
              <w:t xml:space="preserve"> 1</w:t>
            </w:r>
            <w:r w:rsidR="000D3DC7">
              <w:rPr>
                <w:rFonts w:ascii="Arial" w:hAnsi="Arial" w:cs="Arial"/>
                <w:sz w:val="16"/>
                <w:szCs w:val="16"/>
              </w:rPr>
              <w:t>.</w:t>
            </w:r>
            <w:r w:rsidRPr="007F1B62">
              <w:rPr>
                <w:rFonts w:ascii="Arial" w:hAnsi="Arial" w:cs="Arial"/>
                <w:sz w:val="16"/>
                <w:szCs w:val="16"/>
              </w:rPr>
              <w:t>086</w:t>
            </w:r>
            <w:r w:rsidR="000D3DC7">
              <w:rPr>
                <w:rFonts w:ascii="Arial" w:hAnsi="Arial" w:cs="Arial"/>
                <w:sz w:val="16"/>
                <w:szCs w:val="16"/>
              </w:rPr>
              <w:t>.</w:t>
            </w:r>
            <w:r w:rsidRPr="007F1B62">
              <w:rPr>
                <w:rFonts w:ascii="Arial" w:hAnsi="Arial" w:cs="Arial"/>
                <w:sz w:val="16"/>
                <w:szCs w:val="16"/>
              </w:rPr>
              <w:t xml:space="preserve">964 </w:t>
            </w:r>
          </w:p>
        </w:tc>
        <w:tc>
          <w:tcPr>
            <w:tcW w:w="900" w:type="dxa"/>
            <w:tcBorders>
              <w:top w:val="single" w:sz="4" w:space="0" w:color="000000"/>
              <w:bottom w:val="single" w:sz="12" w:space="0" w:color="000000"/>
            </w:tcBorders>
            <w:vAlign w:val="center"/>
          </w:tcPr>
          <w:p w:rsidR="00D122C9" w:rsidRPr="00BE55D4" w:rsidRDefault="00D122C9" w:rsidP="00D122C9">
            <w:pPr>
              <w:widowControl w:val="0"/>
              <w:tabs>
                <w:tab w:val="decimal" w:pos="432"/>
              </w:tabs>
              <w:spacing w:line="240" w:lineRule="atLeast"/>
              <w:ind w:right="-86"/>
              <w:rPr>
                <w:rFonts w:ascii="Arial" w:hAnsi="Arial" w:cs="Arial"/>
                <w:color w:val="000000"/>
                <w:sz w:val="16"/>
                <w:szCs w:val="16"/>
              </w:rPr>
            </w:pPr>
            <w:r w:rsidRPr="007F1B62">
              <w:rPr>
                <w:rFonts w:ascii="Arial" w:hAnsi="Arial" w:cs="Arial"/>
                <w:color w:val="000000"/>
                <w:sz w:val="16"/>
                <w:szCs w:val="16"/>
              </w:rPr>
              <w:t>9</w:t>
            </w:r>
            <w:r w:rsidR="000D3DC7">
              <w:rPr>
                <w:rFonts w:ascii="Arial" w:hAnsi="Arial" w:cs="Arial"/>
                <w:color w:val="000000"/>
                <w:sz w:val="16"/>
                <w:szCs w:val="16"/>
              </w:rPr>
              <w:t>,</w:t>
            </w:r>
            <w:r w:rsidRPr="007F1B62">
              <w:rPr>
                <w:rFonts w:ascii="Arial" w:hAnsi="Arial" w:cs="Arial"/>
                <w:color w:val="000000"/>
                <w:sz w:val="16"/>
                <w:szCs w:val="16"/>
              </w:rPr>
              <w:t>27</w:t>
            </w:r>
          </w:p>
        </w:tc>
        <w:tc>
          <w:tcPr>
            <w:tcW w:w="1080" w:type="dxa"/>
            <w:tcBorders>
              <w:top w:val="single" w:sz="4" w:space="0" w:color="auto"/>
              <w:left w:val="single" w:sz="4" w:space="0" w:color="auto"/>
              <w:bottom w:val="single" w:sz="12" w:space="0" w:color="auto"/>
            </w:tcBorders>
            <w:vAlign w:val="center"/>
          </w:tcPr>
          <w:p w:rsidR="00D122C9" w:rsidRPr="00BE55D4" w:rsidRDefault="00D122C9" w:rsidP="00D122C9">
            <w:pPr>
              <w:tabs>
                <w:tab w:val="decimal" w:pos="702"/>
              </w:tabs>
              <w:ind w:left="-108"/>
              <w:rPr>
                <w:rFonts w:ascii="Arial" w:hAnsi="Arial" w:cs="Arial"/>
                <w:color w:val="000000"/>
                <w:sz w:val="16"/>
                <w:szCs w:val="16"/>
              </w:rPr>
            </w:pPr>
            <w:r w:rsidRPr="00B737B0">
              <w:rPr>
                <w:rFonts w:ascii="Arial" w:hAnsi="Arial" w:cs="Arial"/>
                <w:sz w:val="16"/>
                <w:szCs w:val="16"/>
              </w:rPr>
              <w:t>988</w:t>
            </w:r>
            <w:r w:rsidR="000D3DC7">
              <w:rPr>
                <w:rFonts w:ascii="Arial" w:hAnsi="Arial" w:cs="Arial"/>
                <w:sz w:val="16"/>
                <w:szCs w:val="16"/>
              </w:rPr>
              <w:t>.</w:t>
            </w:r>
            <w:r w:rsidRPr="00B737B0">
              <w:rPr>
                <w:rFonts w:ascii="Arial" w:hAnsi="Arial" w:cs="Arial"/>
                <w:sz w:val="16"/>
                <w:szCs w:val="16"/>
              </w:rPr>
              <w:t>605</w:t>
            </w:r>
          </w:p>
        </w:tc>
        <w:tc>
          <w:tcPr>
            <w:tcW w:w="810" w:type="dxa"/>
            <w:tcBorders>
              <w:top w:val="single" w:sz="4" w:space="0" w:color="auto"/>
              <w:bottom w:val="single" w:sz="12" w:space="0" w:color="auto"/>
              <w:right w:val="single" w:sz="4" w:space="0" w:color="auto"/>
            </w:tcBorders>
            <w:vAlign w:val="center"/>
          </w:tcPr>
          <w:p w:rsidR="00D122C9" w:rsidRPr="00BE55D4" w:rsidRDefault="00D122C9" w:rsidP="00D122C9">
            <w:pPr>
              <w:widowControl w:val="0"/>
              <w:tabs>
                <w:tab w:val="decimal" w:pos="432"/>
              </w:tabs>
              <w:spacing w:line="240" w:lineRule="atLeast"/>
              <w:ind w:right="-86"/>
              <w:rPr>
                <w:rFonts w:ascii="Arial" w:eastAsia="Arial" w:hAnsi="Arial" w:cs="Arial"/>
                <w:color w:val="000000"/>
                <w:sz w:val="16"/>
                <w:szCs w:val="16"/>
              </w:rPr>
            </w:pPr>
            <w:r w:rsidRPr="00B737B0">
              <w:rPr>
                <w:rFonts w:ascii="Arial" w:hAnsi="Arial" w:cs="Arial"/>
                <w:sz w:val="16"/>
                <w:szCs w:val="16"/>
              </w:rPr>
              <w:t>1</w:t>
            </w:r>
            <w:r w:rsidR="000D3DC7">
              <w:rPr>
                <w:rFonts w:ascii="Arial" w:hAnsi="Arial" w:cs="Arial"/>
                <w:sz w:val="16"/>
                <w:szCs w:val="16"/>
              </w:rPr>
              <w:t>,</w:t>
            </w:r>
            <w:r w:rsidRPr="00B737B0">
              <w:rPr>
                <w:rFonts w:ascii="Arial" w:hAnsi="Arial" w:cs="Arial"/>
                <w:sz w:val="16"/>
                <w:szCs w:val="16"/>
              </w:rPr>
              <w:t>46</w:t>
            </w:r>
          </w:p>
        </w:tc>
        <w:tc>
          <w:tcPr>
            <w:tcW w:w="1062" w:type="dxa"/>
            <w:tcBorders>
              <w:top w:val="single" w:sz="4" w:space="0" w:color="auto"/>
              <w:left w:val="single" w:sz="4" w:space="0" w:color="auto"/>
              <w:bottom w:val="single" w:sz="12" w:space="0" w:color="auto"/>
            </w:tcBorders>
            <w:vAlign w:val="center"/>
          </w:tcPr>
          <w:p w:rsidR="00D122C9" w:rsidRPr="00BE55D4" w:rsidRDefault="00D122C9" w:rsidP="00D122C9">
            <w:pPr>
              <w:tabs>
                <w:tab w:val="decimal" w:pos="702"/>
              </w:tabs>
              <w:ind w:left="-108"/>
              <w:rPr>
                <w:rFonts w:ascii="Arial" w:hAnsi="Arial" w:cs="Arial"/>
                <w:color w:val="000000"/>
                <w:sz w:val="16"/>
                <w:szCs w:val="16"/>
              </w:rPr>
            </w:pPr>
            <w:r w:rsidRPr="007F1B62">
              <w:rPr>
                <w:rFonts w:ascii="Arial" w:hAnsi="Arial" w:cs="Arial"/>
                <w:color w:val="000000"/>
                <w:sz w:val="16"/>
                <w:szCs w:val="16"/>
              </w:rPr>
              <w:t>3</w:t>
            </w:r>
            <w:r w:rsidR="000D3DC7">
              <w:rPr>
                <w:rFonts w:ascii="Arial" w:hAnsi="Arial" w:cs="Arial"/>
                <w:color w:val="000000"/>
                <w:sz w:val="16"/>
                <w:szCs w:val="16"/>
              </w:rPr>
              <w:t>.</w:t>
            </w:r>
            <w:r w:rsidRPr="007F1B62">
              <w:rPr>
                <w:rFonts w:ascii="Arial" w:hAnsi="Arial" w:cs="Arial"/>
                <w:color w:val="000000"/>
                <w:sz w:val="16"/>
                <w:szCs w:val="16"/>
              </w:rPr>
              <w:t>337</w:t>
            </w:r>
            <w:r w:rsidR="000D3DC7">
              <w:rPr>
                <w:rFonts w:ascii="Arial" w:hAnsi="Arial" w:cs="Arial"/>
                <w:color w:val="000000"/>
                <w:sz w:val="16"/>
                <w:szCs w:val="16"/>
              </w:rPr>
              <w:t>.</w:t>
            </w:r>
            <w:r w:rsidRPr="007F1B62">
              <w:rPr>
                <w:rFonts w:ascii="Arial" w:hAnsi="Arial" w:cs="Arial"/>
                <w:color w:val="000000"/>
                <w:sz w:val="16"/>
                <w:szCs w:val="16"/>
              </w:rPr>
              <w:t>746</w:t>
            </w:r>
          </w:p>
        </w:tc>
        <w:tc>
          <w:tcPr>
            <w:tcW w:w="851" w:type="dxa"/>
            <w:tcBorders>
              <w:top w:val="single" w:sz="4" w:space="0" w:color="auto"/>
              <w:bottom w:val="single" w:sz="12" w:space="0" w:color="auto"/>
              <w:right w:val="single" w:sz="4" w:space="0" w:color="auto"/>
            </w:tcBorders>
            <w:vAlign w:val="center"/>
          </w:tcPr>
          <w:p w:rsidR="00D122C9" w:rsidRPr="00BE55D4" w:rsidRDefault="00D122C9" w:rsidP="00D122C9">
            <w:pPr>
              <w:widowControl w:val="0"/>
              <w:tabs>
                <w:tab w:val="decimal" w:pos="432"/>
              </w:tabs>
              <w:spacing w:line="240" w:lineRule="atLeast"/>
              <w:ind w:right="-86"/>
              <w:rPr>
                <w:rFonts w:ascii="Arial" w:eastAsia="Arial" w:hAnsi="Arial" w:cs="Arial"/>
                <w:color w:val="000000"/>
                <w:sz w:val="16"/>
                <w:szCs w:val="16"/>
              </w:rPr>
            </w:pPr>
            <w:r w:rsidRPr="007F1B62">
              <w:rPr>
                <w:rFonts w:ascii="Arial" w:hAnsi="Arial" w:cs="Arial"/>
                <w:color w:val="000000"/>
                <w:sz w:val="16"/>
                <w:szCs w:val="16"/>
              </w:rPr>
              <w:t>6</w:t>
            </w:r>
            <w:r w:rsidR="000D3DC7">
              <w:rPr>
                <w:rFonts w:ascii="Arial" w:hAnsi="Arial" w:cs="Arial"/>
                <w:color w:val="000000"/>
                <w:sz w:val="16"/>
                <w:szCs w:val="16"/>
              </w:rPr>
              <w:t>,</w:t>
            </w:r>
            <w:r w:rsidRPr="007F1B62">
              <w:rPr>
                <w:rFonts w:ascii="Arial" w:hAnsi="Arial" w:cs="Arial"/>
                <w:color w:val="000000"/>
                <w:sz w:val="16"/>
                <w:szCs w:val="16"/>
              </w:rPr>
              <w:t>35</w:t>
            </w:r>
          </w:p>
        </w:tc>
      </w:tr>
      <w:tr w:rsidR="00BE55D4" w:rsidRPr="00BE55D4" w:rsidTr="00D122C9">
        <w:tblPrEx>
          <w:tblLook w:val="01E0" w:firstRow="1" w:lastRow="1" w:firstColumn="1" w:lastColumn="1" w:noHBand="0" w:noVBand="0"/>
        </w:tblPrEx>
        <w:trPr>
          <w:trHeight w:val="78"/>
        </w:trPr>
        <w:tc>
          <w:tcPr>
            <w:tcW w:w="2425" w:type="dxa"/>
            <w:tcBorders>
              <w:top w:val="single" w:sz="12" w:space="0" w:color="auto"/>
            </w:tcBorders>
            <w:vAlign w:val="bottom"/>
          </w:tcPr>
          <w:p w:rsidR="00BE55D4" w:rsidRPr="00BE55D4" w:rsidRDefault="00BE55D4" w:rsidP="00BE55D4">
            <w:pPr>
              <w:rPr>
                <w:rFonts w:ascii="Arial" w:hAnsi="Arial" w:cs="Arial"/>
                <w:sz w:val="4"/>
                <w:szCs w:val="4"/>
                <w:lang w:val="en-CA"/>
              </w:rPr>
            </w:pPr>
          </w:p>
        </w:tc>
        <w:tc>
          <w:tcPr>
            <w:tcW w:w="990" w:type="dxa"/>
            <w:tcBorders>
              <w:top w:val="single" w:sz="12" w:space="0" w:color="auto"/>
            </w:tcBorders>
            <w:shd w:val="clear" w:color="auto" w:fill="auto"/>
            <w:vAlign w:val="bottom"/>
          </w:tcPr>
          <w:p w:rsidR="00BE55D4" w:rsidRPr="00BE55D4" w:rsidRDefault="00BE55D4" w:rsidP="00BE55D4">
            <w:pPr>
              <w:tabs>
                <w:tab w:val="decimal" w:pos="882"/>
              </w:tabs>
              <w:ind w:left="-108"/>
              <w:rPr>
                <w:rFonts w:ascii="Arial" w:hAnsi="Arial" w:cs="Arial"/>
                <w:color w:val="000000"/>
                <w:sz w:val="4"/>
                <w:szCs w:val="4"/>
              </w:rPr>
            </w:pPr>
          </w:p>
        </w:tc>
        <w:tc>
          <w:tcPr>
            <w:tcW w:w="810" w:type="dxa"/>
            <w:tcBorders>
              <w:top w:val="single" w:sz="12" w:space="0" w:color="auto"/>
            </w:tcBorders>
            <w:vAlign w:val="bottom"/>
          </w:tcPr>
          <w:p w:rsidR="00BE55D4" w:rsidRPr="00BE55D4" w:rsidRDefault="00BE55D4" w:rsidP="00BE55D4">
            <w:pPr>
              <w:widowControl w:val="0"/>
              <w:tabs>
                <w:tab w:val="decimal" w:pos="252"/>
              </w:tabs>
              <w:ind w:right="-86"/>
              <w:rPr>
                <w:rFonts w:ascii="Arial" w:hAnsi="Arial" w:cs="Arial"/>
                <w:color w:val="000000"/>
                <w:sz w:val="4"/>
                <w:szCs w:val="4"/>
              </w:rPr>
            </w:pPr>
          </w:p>
        </w:tc>
        <w:tc>
          <w:tcPr>
            <w:tcW w:w="990" w:type="dxa"/>
            <w:tcBorders>
              <w:top w:val="single" w:sz="12" w:space="0" w:color="auto"/>
            </w:tcBorders>
          </w:tcPr>
          <w:p w:rsidR="00BE55D4" w:rsidRPr="00BE55D4" w:rsidRDefault="00BE55D4" w:rsidP="00BE55D4">
            <w:pPr>
              <w:tabs>
                <w:tab w:val="decimal" w:pos="864"/>
              </w:tabs>
              <w:ind w:left="-108"/>
              <w:rPr>
                <w:rFonts w:ascii="Arial" w:hAnsi="Arial" w:cs="Arial"/>
                <w:color w:val="000000"/>
                <w:sz w:val="4"/>
                <w:szCs w:val="4"/>
              </w:rPr>
            </w:pPr>
          </w:p>
        </w:tc>
        <w:tc>
          <w:tcPr>
            <w:tcW w:w="900" w:type="dxa"/>
            <w:tcBorders>
              <w:top w:val="single" w:sz="12" w:space="0" w:color="auto"/>
            </w:tcBorders>
            <w:vAlign w:val="bottom"/>
          </w:tcPr>
          <w:p w:rsidR="00BE55D4" w:rsidRPr="00BE55D4" w:rsidRDefault="00BE55D4" w:rsidP="00BE55D4">
            <w:pPr>
              <w:widowControl w:val="0"/>
              <w:tabs>
                <w:tab w:val="decimal" w:pos="252"/>
              </w:tabs>
              <w:ind w:right="-86"/>
              <w:rPr>
                <w:rFonts w:ascii="Arial" w:hAnsi="Arial" w:cs="Arial"/>
                <w:color w:val="000000"/>
                <w:sz w:val="4"/>
                <w:szCs w:val="4"/>
              </w:rPr>
            </w:pPr>
          </w:p>
        </w:tc>
        <w:tc>
          <w:tcPr>
            <w:tcW w:w="1080" w:type="dxa"/>
            <w:tcBorders>
              <w:top w:val="single" w:sz="12" w:space="0" w:color="auto"/>
            </w:tcBorders>
          </w:tcPr>
          <w:p w:rsidR="00BE55D4" w:rsidRPr="00BE55D4" w:rsidRDefault="00BE55D4" w:rsidP="00BE55D4">
            <w:pPr>
              <w:tabs>
                <w:tab w:val="decimal" w:pos="864"/>
              </w:tabs>
              <w:ind w:left="-108"/>
              <w:rPr>
                <w:rFonts w:ascii="Arial" w:hAnsi="Arial" w:cs="Arial"/>
                <w:color w:val="000000"/>
                <w:sz w:val="4"/>
                <w:szCs w:val="4"/>
              </w:rPr>
            </w:pPr>
          </w:p>
        </w:tc>
        <w:tc>
          <w:tcPr>
            <w:tcW w:w="810" w:type="dxa"/>
            <w:tcBorders>
              <w:top w:val="single" w:sz="12" w:space="0" w:color="auto"/>
            </w:tcBorders>
            <w:vAlign w:val="bottom"/>
          </w:tcPr>
          <w:p w:rsidR="00BE55D4" w:rsidRPr="00BE55D4" w:rsidRDefault="00BE55D4" w:rsidP="00BE55D4">
            <w:pPr>
              <w:widowControl w:val="0"/>
              <w:tabs>
                <w:tab w:val="decimal" w:pos="252"/>
              </w:tabs>
              <w:ind w:right="-86"/>
              <w:rPr>
                <w:rFonts w:ascii="Arial" w:hAnsi="Arial" w:cs="Arial"/>
                <w:color w:val="000000"/>
                <w:sz w:val="4"/>
                <w:szCs w:val="4"/>
              </w:rPr>
            </w:pPr>
          </w:p>
        </w:tc>
        <w:tc>
          <w:tcPr>
            <w:tcW w:w="1062" w:type="dxa"/>
            <w:tcBorders>
              <w:top w:val="single" w:sz="12" w:space="0" w:color="auto"/>
            </w:tcBorders>
          </w:tcPr>
          <w:p w:rsidR="00BE55D4" w:rsidRPr="00BE55D4" w:rsidRDefault="00BE55D4" w:rsidP="00BE55D4">
            <w:pPr>
              <w:tabs>
                <w:tab w:val="decimal" w:pos="882"/>
              </w:tabs>
              <w:ind w:left="-108"/>
              <w:rPr>
                <w:rFonts w:ascii="Arial" w:hAnsi="Arial" w:cs="Arial"/>
                <w:color w:val="000000"/>
                <w:sz w:val="4"/>
                <w:szCs w:val="4"/>
              </w:rPr>
            </w:pPr>
          </w:p>
        </w:tc>
        <w:tc>
          <w:tcPr>
            <w:tcW w:w="851" w:type="dxa"/>
            <w:tcBorders>
              <w:top w:val="single" w:sz="12" w:space="0" w:color="auto"/>
            </w:tcBorders>
            <w:vAlign w:val="bottom"/>
          </w:tcPr>
          <w:p w:rsidR="00BE55D4" w:rsidRPr="00BE55D4" w:rsidRDefault="00BE55D4" w:rsidP="00BE55D4">
            <w:pPr>
              <w:widowControl w:val="0"/>
              <w:tabs>
                <w:tab w:val="decimal" w:pos="252"/>
              </w:tabs>
              <w:ind w:right="-86"/>
              <w:rPr>
                <w:rFonts w:ascii="Arial" w:hAnsi="Arial" w:cs="Arial"/>
                <w:color w:val="000000"/>
                <w:sz w:val="4"/>
                <w:szCs w:val="4"/>
              </w:rPr>
            </w:pPr>
          </w:p>
        </w:tc>
      </w:tr>
    </w:tbl>
    <w:p w:rsidR="00AB3773" w:rsidRDefault="00570F49" w:rsidP="001402A6">
      <w:pPr>
        <w:widowControl w:val="0"/>
        <w:autoSpaceDE w:val="0"/>
        <w:autoSpaceDN w:val="0"/>
        <w:adjustRightInd w:val="0"/>
        <w:spacing w:before="40"/>
        <w:ind w:left="450" w:hanging="270"/>
        <w:jc w:val="both"/>
        <w:rPr>
          <w:rFonts w:ascii="Arial" w:hAnsi="Arial" w:cs="Arial"/>
          <w:sz w:val="16"/>
          <w:szCs w:val="16"/>
          <w:lang w:val="es-AR"/>
        </w:rPr>
      </w:pPr>
      <w:r w:rsidRPr="00717B62">
        <w:rPr>
          <w:rFonts w:ascii="Arial" w:hAnsi="Arial" w:cs="Arial"/>
          <w:sz w:val="18"/>
          <w:szCs w:val="18"/>
          <w:lang w:val="es-AR"/>
        </w:rPr>
        <w:t> </w:t>
      </w:r>
      <w:r w:rsidRPr="00717B62">
        <w:rPr>
          <w:rFonts w:ascii="Arial" w:hAnsi="Arial" w:cs="Arial"/>
          <w:sz w:val="18"/>
          <w:szCs w:val="18"/>
          <w:vertAlign w:val="superscript"/>
          <w:lang w:val="es-AR"/>
        </w:rPr>
        <w:t>(1) </w:t>
      </w:r>
      <w:r w:rsidRPr="00717B62">
        <w:rPr>
          <w:rFonts w:ascii="Arial" w:hAnsi="Arial" w:cs="Arial"/>
          <w:sz w:val="16"/>
          <w:szCs w:val="16"/>
          <w:lang w:val="es-AR"/>
        </w:rPr>
        <w:t> El “Netback operativo” es una medida no contemplada en las NIIF. El “Ne</w:t>
      </w:r>
      <w:r w:rsidR="00394AC6">
        <w:rPr>
          <w:rFonts w:ascii="Arial" w:hAnsi="Arial" w:cs="Arial"/>
          <w:sz w:val="16"/>
          <w:szCs w:val="16"/>
          <w:lang w:val="es-AR"/>
        </w:rPr>
        <w:t>tback operativo por BOE” es un índice no contemplado</w:t>
      </w:r>
      <w:r w:rsidRPr="00717B62">
        <w:rPr>
          <w:rFonts w:ascii="Arial" w:hAnsi="Arial" w:cs="Arial"/>
          <w:sz w:val="16"/>
          <w:szCs w:val="16"/>
          <w:lang w:val="es-AR"/>
        </w:rPr>
        <w:t xml:space="preserve"> en las NIIF. Véase "Medidas no contempladas en las NIIF y otras medidas financieras".</w:t>
      </w:r>
    </w:p>
    <w:p w:rsidR="00D122C9" w:rsidRDefault="00D122C9" w:rsidP="001402A6">
      <w:pPr>
        <w:widowControl w:val="0"/>
        <w:autoSpaceDE w:val="0"/>
        <w:autoSpaceDN w:val="0"/>
        <w:adjustRightInd w:val="0"/>
        <w:spacing w:before="40"/>
        <w:ind w:left="450" w:hanging="270"/>
        <w:jc w:val="both"/>
        <w:rPr>
          <w:rFonts w:ascii="Arial" w:hAnsi="Arial" w:cs="Arial"/>
          <w:sz w:val="16"/>
          <w:szCs w:val="16"/>
          <w:lang w:val="es-AR"/>
        </w:rPr>
      </w:pPr>
    </w:p>
    <w:p w:rsidR="00394AC6" w:rsidRDefault="00D122C9" w:rsidP="00D122C9">
      <w:pPr>
        <w:widowControl w:val="0"/>
        <w:jc w:val="both"/>
        <w:rPr>
          <w:rFonts w:ascii="Arial" w:hAnsi="Arial" w:cs="Arial"/>
          <w:sz w:val="20"/>
          <w:szCs w:val="20"/>
          <w:lang w:val="es-AR"/>
        </w:rPr>
      </w:pPr>
      <w:r>
        <w:rPr>
          <w:rFonts w:ascii="Arial" w:hAnsi="Arial" w:cs="Arial"/>
          <w:sz w:val="20"/>
          <w:szCs w:val="20"/>
          <w:lang w:val="es-AR"/>
        </w:rPr>
        <w:t>Los estados financieros comparativos consolidados auditados de la Compañía para el ejercicio finalizado el 31 de diciembre de 2024 y la reseña y perspectiva operativa y financiera relacionada (“</w:t>
      </w:r>
      <w:r w:rsidRPr="000D3DC7">
        <w:rPr>
          <w:rFonts w:ascii="Arial" w:hAnsi="Arial" w:cs="Arial"/>
          <w:b/>
          <w:sz w:val="20"/>
          <w:szCs w:val="20"/>
          <w:lang w:val="es-AR"/>
        </w:rPr>
        <w:t>MD&amp;A</w:t>
      </w:r>
      <w:r>
        <w:rPr>
          <w:rFonts w:ascii="Arial" w:hAnsi="Arial" w:cs="Arial"/>
          <w:sz w:val="20"/>
          <w:szCs w:val="20"/>
          <w:lang w:val="es-AR"/>
        </w:rPr>
        <w:t xml:space="preserve">”) serán debidamente presentados ante las autoridades regulatorias de títulos valores de Canadá y se pondrán a disposición en el perfil de la Compañía en </w:t>
      </w:r>
      <w:hyperlink r:id="rId11" w:history="1">
        <w:r w:rsidRPr="00AD3FFD">
          <w:rPr>
            <w:rStyle w:val="Hipervnculo"/>
            <w:rFonts w:ascii="Arial" w:hAnsi="Arial" w:cs="Arial"/>
            <w:sz w:val="20"/>
            <w:szCs w:val="20"/>
            <w:lang w:val="es-AR"/>
          </w:rPr>
          <w:t>www.sedarplus.ca</w:t>
        </w:r>
      </w:hyperlink>
      <w:r>
        <w:rPr>
          <w:rFonts w:ascii="Arial" w:hAnsi="Arial" w:cs="Arial"/>
          <w:sz w:val="20"/>
          <w:szCs w:val="20"/>
          <w:lang w:val="es-AR"/>
        </w:rPr>
        <w:t xml:space="preserve"> y en el sitio de Internet de la Compañía www.crownpointenergy.com. </w:t>
      </w:r>
    </w:p>
    <w:p w:rsidR="00D122C9" w:rsidRDefault="00D122C9" w:rsidP="004E259A">
      <w:pPr>
        <w:widowControl w:val="0"/>
        <w:rPr>
          <w:rFonts w:ascii="Arial" w:hAnsi="Arial" w:cs="Arial"/>
          <w:sz w:val="20"/>
          <w:szCs w:val="20"/>
          <w:lang w:val="es-AR"/>
        </w:rPr>
      </w:pPr>
    </w:p>
    <w:p w:rsidR="004E259A" w:rsidRPr="00717B62" w:rsidRDefault="004E259A" w:rsidP="004E259A">
      <w:pPr>
        <w:widowControl w:val="0"/>
        <w:rPr>
          <w:rFonts w:ascii="Arial" w:hAnsi="Arial" w:cs="Arial"/>
          <w:sz w:val="20"/>
          <w:szCs w:val="20"/>
          <w:lang w:val="es-AR"/>
        </w:rPr>
      </w:pPr>
      <w:r w:rsidRPr="00717B62">
        <w:rPr>
          <w:rFonts w:ascii="Arial" w:hAnsi="Arial" w:cs="Arial"/>
          <w:sz w:val="20"/>
          <w:szCs w:val="20"/>
          <w:lang w:val="es-AR"/>
        </w:rPr>
        <w:t>Ante cualquier consulta, contactarse con:</w:t>
      </w:r>
    </w:p>
    <w:p w:rsidR="004E259A" w:rsidRPr="00717B62" w:rsidRDefault="004E259A" w:rsidP="004E259A">
      <w:pPr>
        <w:widowControl w:val="0"/>
        <w:spacing w:before="120"/>
        <w:outlineLvl w:val="0"/>
        <w:rPr>
          <w:rFonts w:ascii="Arial" w:hAnsi="Arial" w:cs="Arial"/>
          <w:sz w:val="20"/>
          <w:szCs w:val="20"/>
          <w:lang w:val="es-AR"/>
        </w:rPr>
      </w:pPr>
      <w:r w:rsidRPr="00717B62">
        <w:rPr>
          <w:rFonts w:ascii="Arial" w:hAnsi="Arial" w:cs="Arial"/>
          <w:sz w:val="20"/>
          <w:szCs w:val="20"/>
          <w:lang w:val="es-AR"/>
        </w:rPr>
        <w:t>Gabriel Obrador</w:t>
      </w:r>
      <w:r w:rsidRPr="00717B62">
        <w:rPr>
          <w:rFonts w:ascii="Arial" w:hAnsi="Arial" w:cs="Arial"/>
          <w:sz w:val="20"/>
          <w:szCs w:val="20"/>
          <w:lang w:val="es-AR"/>
        </w:rPr>
        <w:tab/>
        <w:t xml:space="preserve"> </w:t>
      </w:r>
      <w:r w:rsidRPr="00717B62">
        <w:rPr>
          <w:rFonts w:ascii="Arial" w:hAnsi="Arial" w:cs="Arial"/>
          <w:sz w:val="20"/>
          <w:szCs w:val="20"/>
          <w:lang w:val="es-AR"/>
        </w:rPr>
        <w:tab/>
      </w:r>
      <w:r w:rsidRPr="00717B62">
        <w:rPr>
          <w:rFonts w:ascii="Arial" w:hAnsi="Arial" w:cs="Arial"/>
          <w:sz w:val="20"/>
          <w:szCs w:val="20"/>
          <w:lang w:val="es-AR"/>
        </w:rPr>
        <w:tab/>
      </w:r>
      <w:r w:rsidRPr="00717B62">
        <w:rPr>
          <w:rFonts w:ascii="Arial" w:hAnsi="Arial" w:cs="Arial"/>
          <w:sz w:val="20"/>
          <w:szCs w:val="20"/>
          <w:lang w:val="es-AR"/>
        </w:rPr>
        <w:tab/>
      </w:r>
      <w:r w:rsidRPr="00717B62">
        <w:rPr>
          <w:rFonts w:ascii="Arial" w:hAnsi="Arial" w:cs="Arial"/>
          <w:sz w:val="20"/>
          <w:szCs w:val="20"/>
          <w:lang w:val="es-AR"/>
        </w:rPr>
        <w:tab/>
        <w:t>Marisa Tormakh</w:t>
      </w:r>
    </w:p>
    <w:p w:rsidR="004E259A" w:rsidRPr="00717B62" w:rsidRDefault="004E259A" w:rsidP="004E259A">
      <w:pPr>
        <w:widowControl w:val="0"/>
        <w:outlineLvl w:val="0"/>
        <w:rPr>
          <w:rFonts w:ascii="Arial" w:hAnsi="Arial" w:cs="Arial"/>
          <w:sz w:val="20"/>
          <w:szCs w:val="20"/>
          <w:lang w:val="es-AR"/>
        </w:rPr>
      </w:pPr>
      <w:r w:rsidRPr="00717B62">
        <w:rPr>
          <w:rFonts w:ascii="Arial" w:hAnsi="Arial" w:cs="Arial"/>
          <w:sz w:val="20"/>
          <w:szCs w:val="20"/>
          <w:lang w:val="es-AR"/>
        </w:rPr>
        <w:t>Presidente y Director Ejecutivo</w:t>
      </w:r>
      <w:r w:rsidRPr="00717B62">
        <w:rPr>
          <w:rFonts w:ascii="Arial" w:hAnsi="Arial" w:cs="Arial"/>
          <w:sz w:val="20"/>
          <w:szCs w:val="20"/>
          <w:lang w:val="es-AR"/>
        </w:rPr>
        <w:tab/>
      </w:r>
      <w:r w:rsidRPr="00717B62">
        <w:rPr>
          <w:rFonts w:ascii="Arial" w:hAnsi="Arial" w:cs="Arial"/>
          <w:sz w:val="20"/>
          <w:szCs w:val="20"/>
          <w:lang w:val="es-AR"/>
        </w:rPr>
        <w:tab/>
      </w:r>
      <w:r w:rsidRPr="00717B62">
        <w:rPr>
          <w:rFonts w:ascii="Arial" w:hAnsi="Arial" w:cs="Arial"/>
          <w:sz w:val="20"/>
          <w:szCs w:val="20"/>
          <w:lang w:val="es-AR"/>
        </w:rPr>
        <w:tab/>
        <w:t>Vicepresidenta de Finanzas y Directora Financiera</w:t>
      </w:r>
    </w:p>
    <w:p w:rsidR="004E259A" w:rsidRPr="004E259A" w:rsidRDefault="004E259A" w:rsidP="004E259A">
      <w:pPr>
        <w:widowControl w:val="0"/>
        <w:rPr>
          <w:rFonts w:ascii="Arial" w:hAnsi="Arial" w:cs="Arial"/>
          <w:sz w:val="20"/>
          <w:szCs w:val="20"/>
        </w:rPr>
      </w:pPr>
      <w:r w:rsidRPr="004E259A">
        <w:rPr>
          <w:rFonts w:ascii="Arial" w:hAnsi="Arial" w:cs="Arial"/>
          <w:sz w:val="20"/>
          <w:szCs w:val="20"/>
        </w:rPr>
        <w:t>Teléfono: (403) 232-1150</w:t>
      </w:r>
      <w:r w:rsidRPr="004E259A">
        <w:rPr>
          <w:rFonts w:ascii="Arial" w:hAnsi="Arial" w:cs="Arial"/>
          <w:sz w:val="20"/>
          <w:szCs w:val="20"/>
        </w:rPr>
        <w:tab/>
      </w:r>
      <w:r w:rsidRPr="004E259A">
        <w:rPr>
          <w:rFonts w:ascii="Arial" w:hAnsi="Arial" w:cs="Arial"/>
          <w:sz w:val="20"/>
          <w:szCs w:val="20"/>
        </w:rPr>
        <w:tab/>
      </w:r>
      <w:r w:rsidRPr="004E259A">
        <w:rPr>
          <w:rFonts w:ascii="Arial" w:hAnsi="Arial" w:cs="Arial"/>
          <w:sz w:val="20"/>
          <w:szCs w:val="20"/>
        </w:rPr>
        <w:tab/>
        <w:t>Teléfono: (403) 232-1150</w:t>
      </w:r>
    </w:p>
    <w:p w:rsidR="004E259A" w:rsidRPr="004E259A" w:rsidRDefault="004E259A" w:rsidP="004E259A">
      <w:pPr>
        <w:widowControl w:val="0"/>
        <w:rPr>
          <w:rFonts w:ascii="Arial" w:hAnsi="Arial" w:cs="Arial"/>
          <w:sz w:val="20"/>
          <w:szCs w:val="20"/>
        </w:rPr>
      </w:pPr>
      <w:r w:rsidRPr="004E259A">
        <w:rPr>
          <w:rFonts w:ascii="Arial" w:hAnsi="Arial" w:cs="Arial"/>
          <w:sz w:val="20"/>
          <w:szCs w:val="20"/>
        </w:rPr>
        <w:t>Crown Point Energy Inc.</w:t>
      </w:r>
      <w:r w:rsidRPr="004E259A">
        <w:rPr>
          <w:rFonts w:ascii="Arial" w:hAnsi="Arial" w:cs="Arial"/>
          <w:sz w:val="20"/>
          <w:szCs w:val="20"/>
        </w:rPr>
        <w:tab/>
      </w:r>
      <w:r w:rsidRPr="004E259A">
        <w:rPr>
          <w:rFonts w:ascii="Arial" w:hAnsi="Arial" w:cs="Arial"/>
          <w:sz w:val="20"/>
          <w:szCs w:val="20"/>
        </w:rPr>
        <w:tab/>
      </w:r>
      <w:r w:rsidRPr="004E259A">
        <w:rPr>
          <w:rFonts w:ascii="Arial" w:hAnsi="Arial" w:cs="Arial"/>
          <w:sz w:val="20"/>
          <w:szCs w:val="20"/>
        </w:rPr>
        <w:tab/>
      </w:r>
      <w:r w:rsidRPr="004E259A">
        <w:rPr>
          <w:rFonts w:ascii="Arial" w:hAnsi="Arial" w:cs="Arial"/>
          <w:sz w:val="20"/>
          <w:szCs w:val="20"/>
        </w:rPr>
        <w:tab/>
        <w:t>Crown Point Energy Inc.</w:t>
      </w:r>
    </w:p>
    <w:p w:rsidR="004E259A" w:rsidRPr="004E259A" w:rsidRDefault="009B2BF0" w:rsidP="004E259A">
      <w:pPr>
        <w:widowControl w:val="0"/>
        <w:rPr>
          <w:rFonts w:ascii="Arial" w:hAnsi="Arial" w:cs="Arial"/>
          <w:sz w:val="20"/>
          <w:szCs w:val="20"/>
        </w:rPr>
      </w:pPr>
      <w:hyperlink r:id="rId12" w:history="1">
        <w:r w:rsidR="004E259A" w:rsidRPr="004E259A">
          <w:rPr>
            <w:rStyle w:val="Hipervnculo"/>
            <w:rFonts w:ascii="Arial" w:hAnsi="Arial" w:cs="Arial"/>
            <w:sz w:val="20"/>
            <w:szCs w:val="20"/>
          </w:rPr>
          <w:t>gobrador@crownpointenergy.com</w:t>
        </w:r>
      </w:hyperlink>
      <w:r w:rsidR="004E259A" w:rsidRPr="004E259A">
        <w:rPr>
          <w:rFonts w:ascii="Arial" w:hAnsi="Arial" w:cs="Arial"/>
          <w:sz w:val="20"/>
          <w:szCs w:val="20"/>
        </w:rPr>
        <w:tab/>
      </w:r>
      <w:r w:rsidR="004E259A" w:rsidRPr="004E259A">
        <w:rPr>
          <w:rFonts w:ascii="Arial" w:hAnsi="Arial" w:cs="Arial"/>
          <w:sz w:val="20"/>
          <w:szCs w:val="20"/>
        </w:rPr>
        <w:tab/>
      </w:r>
      <w:hyperlink r:id="rId13" w:history="1">
        <w:r w:rsidR="004E259A" w:rsidRPr="004E259A">
          <w:rPr>
            <w:rStyle w:val="Hipervnculo"/>
            <w:rFonts w:ascii="Arial" w:hAnsi="Arial" w:cs="Arial"/>
            <w:sz w:val="20"/>
            <w:szCs w:val="20"/>
          </w:rPr>
          <w:t>mtormakh@crownpointenergy.com</w:t>
        </w:r>
      </w:hyperlink>
      <w:r w:rsidR="004E259A" w:rsidRPr="004E259A">
        <w:rPr>
          <w:rFonts w:ascii="Arial" w:hAnsi="Arial" w:cs="Arial"/>
          <w:sz w:val="20"/>
          <w:szCs w:val="20"/>
        </w:rPr>
        <w:t xml:space="preserve"> </w:t>
      </w:r>
    </w:p>
    <w:p w:rsidR="004E259A" w:rsidRPr="004E259A" w:rsidRDefault="004E259A" w:rsidP="004E259A">
      <w:pPr>
        <w:widowControl w:val="0"/>
        <w:rPr>
          <w:rFonts w:ascii="Arial" w:hAnsi="Arial" w:cs="Arial"/>
          <w:b/>
          <w:i/>
          <w:sz w:val="20"/>
          <w:szCs w:val="20"/>
        </w:rPr>
      </w:pPr>
    </w:p>
    <w:p w:rsidR="004E259A" w:rsidRPr="00717B62" w:rsidRDefault="004E259A" w:rsidP="004E259A">
      <w:pPr>
        <w:widowControl w:val="0"/>
        <w:rPr>
          <w:rFonts w:ascii="Arial" w:hAnsi="Arial" w:cs="Arial"/>
          <w:b/>
          <w:i/>
          <w:sz w:val="20"/>
          <w:szCs w:val="20"/>
          <w:lang w:val="es-AR"/>
        </w:rPr>
      </w:pPr>
      <w:r w:rsidRPr="00717B62">
        <w:rPr>
          <w:rFonts w:ascii="Arial" w:hAnsi="Arial" w:cs="Arial"/>
          <w:b/>
          <w:bCs/>
          <w:i/>
          <w:iCs/>
          <w:sz w:val="20"/>
          <w:szCs w:val="20"/>
          <w:lang w:val="es-AR"/>
        </w:rPr>
        <w:t>Información sobre Crown Point</w:t>
      </w:r>
    </w:p>
    <w:p w:rsidR="004E259A" w:rsidRPr="00717B62" w:rsidRDefault="004E259A" w:rsidP="004E259A">
      <w:pPr>
        <w:pStyle w:val="MICONHEADER1"/>
        <w:widowControl w:val="0"/>
        <w:spacing w:line="240" w:lineRule="atLeast"/>
        <w:ind w:left="0"/>
        <w:rPr>
          <w:rFonts w:ascii="Arial" w:hAnsi="Arial" w:cs="Arial"/>
          <w:b w:val="0"/>
          <w:bCs/>
          <w:caps w:val="0"/>
          <w:sz w:val="22"/>
          <w:szCs w:val="22"/>
          <w:lang w:val="es-AR"/>
        </w:rPr>
      </w:pPr>
      <w:r w:rsidRPr="00717B62">
        <w:rPr>
          <w:rFonts w:ascii="Arial" w:hAnsi="Arial" w:cs="Arial"/>
          <w:b w:val="0"/>
          <w:caps w:val="0"/>
          <w:sz w:val="20"/>
          <w:szCs w:val="20"/>
          <w:lang w:val="es-AR"/>
        </w:rPr>
        <w:t xml:space="preserve">Crown Point Energy Inc. es una compañía internacional de exploración y desarrollo de petróleo y gas con sede en </w:t>
      </w:r>
      <w:r w:rsidR="00D122C9">
        <w:rPr>
          <w:rFonts w:ascii="Arial" w:hAnsi="Arial" w:cs="Arial"/>
          <w:b w:val="0"/>
          <w:caps w:val="0"/>
          <w:sz w:val="20"/>
          <w:szCs w:val="20"/>
          <w:lang w:val="es-AR"/>
        </w:rPr>
        <w:t>Buenos Aires</w:t>
      </w:r>
      <w:r w:rsidRPr="00717B62">
        <w:rPr>
          <w:rFonts w:ascii="Arial" w:hAnsi="Arial" w:cs="Arial"/>
          <w:b w:val="0"/>
          <w:caps w:val="0"/>
          <w:sz w:val="20"/>
          <w:szCs w:val="20"/>
          <w:lang w:val="es-AR"/>
        </w:rPr>
        <w:t xml:space="preserve">, </w:t>
      </w:r>
      <w:r w:rsidR="00D122C9">
        <w:rPr>
          <w:rFonts w:ascii="Arial" w:hAnsi="Arial" w:cs="Arial"/>
          <w:b w:val="0"/>
          <w:caps w:val="0"/>
          <w:sz w:val="20"/>
          <w:szCs w:val="20"/>
          <w:lang w:val="es-AR"/>
        </w:rPr>
        <w:t>Argentina</w:t>
      </w:r>
      <w:r w:rsidRPr="00717B62">
        <w:rPr>
          <w:rFonts w:ascii="Arial" w:hAnsi="Arial" w:cs="Arial"/>
          <w:b w:val="0"/>
          <w:caps w:val="0"/>
          <w:sz w:val="20"/>
          <w:szCs w:val="20"/>
          <w:lang w:val="es-AR"/>
        </w:rPr>
        <w:t xml:space="preserve">, constituida en Canadá, cuyas acciones cotizan en la Bolsa de Valores de Toronto y que posee operaciones en Argentina. Las actividades de exploración y desarrollo de Crown Point están concentradas en </w:t>
      </w:r>
      <w:r w:rsidR="000110A9">
        <w:rPr>
          <w:rFonts w:ascii="Arial" w:hAnsi="Arial" w:cs="Arial"/>
          <w:b w:val="0"/>
          <w:caps w:val="0"/>
          <w:sz w:val="20"/>
          <w:szCs w:val="20"/>
          <w:lang w:val="es-AR"/>
        </w:rPr>
        <w:t>cuatro</w:t>
      </w:r>
      <w:r w:rsidR="000110A9" w:rsidRPr="00717B62">
        <w:rPr>
          <w:rFonts w:ascii="Arial" w:hAnsi="Arial" w:cs="Arial"/>
          <w:b w:val="0"/>
          <w:caps w:val="0"/>
          <w:sz w:val="20"/>
          <w:szCs w:val="20"/>
          <w:lang w:val="es-AR"/>
        </w:rPr>
        <w:t xml:space="preserve"> </w:t>
      </w:r>
      <w:r w:rsidRPr="00717B62">
        <w:rPr>
          <w:rFonts w:ascii="Arial" w:hAnsi="Arial" w:cs="Arial"/>
          <w:b w:val="0"/>
          <w:caps w:val="0"/>
          <w:sz w:val="20"/>
          <w:szCs w:val="20"/>
          <w:lang w:val="es-AR"/>
        </w:rPr>
        <w:t>cuencas de producción de Argentina,</w:t>
      </w:r>
      <w:r w:rsidR="000110A9">
        <w:rPr>
          <w:rFonts w:ascii="Arial" w:hAnsi="Arial" w:cs="Arial"/>
          <w:b w:val="0"/>
          <w:caps w:val="0"/>
          <w:sz w:val="20"/>
          <w:szCs w:val="20"/>
          <w:lang w:val="es-AR"/>
        </w:rPr>
        <w:t xml:space="preserve"> la Cuenca del Golfo San Jorge</w:t>
      </w:r>
      <w:r w:rsidR="000D3DC7">
        <w:rPr>
          <w:rFonts w:ascii="Arial" w:hAnsi="Arial" w:cs="Arial"/>
          <w:b w:val="0"/>
          <w:caps w:val="0"/>
          <w:sz w:val="20"/>
          <w:szCs w:val="20"/>
          <w:lang w:val="es-AR"/>
        </w:rPr>
        <w:t>, situada</w:t>
      </w:r>
      <w:r w:rsidR="000110A9">
        <w:rPr>
          <w:rFonts w:ascii="Arial" w:hAnsi="Arial" w:cs="Arial"/>
          <w:b w:val="0"/>
          <w:caps w:val="0"/>
          <w:sz w:val="20"/>
          <w:szCs w:val="20"/>
          <w:lang w:val="es-AR"/>
        </w:rPr>
        <w:t xml:space="preserve"> en la Provincia de Santa Cruz,</w:t>
      </w:r>
      <w:r w:rsidRPr="00717B62">
        <w:rPr>
          <w:rFonts w:ascii="Arial" w:hAnsi="Arial" w:cs="Arial"/>
          <w:b w:val="0"/>
          <w:caps w:val="0"/>
          <w:sz w:val="20"/>
          <w:szCs w:val="20"/>
          <w:lang w:val="es-AR"/>
        </w:rPr>
        <w:t xml:space="preserve"> la Cuenca Austral, situada en la Provincia de Tierra del Fuego, y las Cuencas Neuquina y Cuyana, en la Provincia de Mendoza. Crown Point tiene una estrategia basada en construir una cartera de activos productivos, introducir mejoras en la producción y aprovechar oportunidades de exploración para sentar las bases de su futuro crecimiento. </w:t>
      </w:r>
    </w:p>
    <w:p w:rsidR="004E259A" w:rsidRPr="00717B62" w:rsidRDefault="004E259A" w:rsidP="004E259A">
      <w:pPr>
        <w:widowControl w:val="0"/>
        <w:jc w:val="both"/>
        <w:rPr>
          <w:rFonts w:ascii="Arial" w:hAnsi="Arial"/>
          <w:b/>
          <w:i/>
          <w:sz w:val="14"/>
          <w:lang w:val="es-AR"/>
        </w:rPr>
      </w:pPr>
    </w:p>
    <w:p w:rsidR="004E259A" w:rsidRPr="00717B62" w:rsidRDefault="004E259A" w:rsidP="004E259A">
      <w:pPr>
        <w:widowControl w:val="0"/>
        <w:jc w:val="both"/>
        <w:rPr>
          <w:rFonts w:ascii="Arial" w:hAnsi="Arial"/>
          <w:b/>
          <w:i/>
          <w:sz w:val="14"/>
          <w:lang w:val="es-AR"/>
        </w:rPr>
      </w:pPr>
      <w:r w:rsidRPr="00717B62">
        <w:rPr>
          <w:rFonts w:ascii="Arial" w:hAnsi="Arial"/>
          <w:b/>
          <w:bCs/>
          <w:i/>
          <w:iCs/>
          <w:sz w:val="14"/>
          <w:lang w:val="es-AR"/>
        </w:rPr>
        <w:t>Advertencia</w:t>
      </w:r>
    </w:p>
    <w:p w:rsidR="000110A9" w:rsidRDefault="000110A9" w:rsidP="000110A9">
      <w:pPr>
        <w:pStyle w:val="Textoindependiente"/>
        <w:widowControl w:val="0"/>
        <w:spacing w:before="60" w:after="0" w:line="240" w:lineRule="auto"/>
        <w:rPr>
          <w:rFonts w:ascii="Arial" w:hAnsi="Arial" w:cs="Arial"/>
          <w:i/>
          <w:iCs/>
          <w:sz w:val="14"/>
          <w:szCs w:val="14"/>
          <w:u w:val="single"/>
          <w:lang w:val="es-AR"/>
        </w:rPr>
      </w:pPr>
      <w:r w:rsidRPr="000110A9">
        <w:rPr>
          <w:rFonts w:ascii="Arial" w:hAnsi="Arial" w:cs="Arial"/>
          <w:i/>
          <w:iCs/>
          <w:sz w:val="14"/>
          <w:szCs w:val="14"/>
          <w:u w:val="single"/>
          <w:lang w:val="es-AR"/>
        </w:rPr>
        <w:t xml:space="preserve">Información financiera preliminar: Las expectativas de la Compañía en cuanto a </w:t>
      </w:r>
      <w:r w:rsidR="000D3DC7">
        <w:rPr>
          <w:rFonts w:ascii="Arial" w:hAnsi="Arial" w:cs="Arial"/>
          <w:i/>
          <w:iCs/>
          <w:sz w:val="14"/>
          <w:szCs w:val="14"/>
          <w:u w:val="single"/>
          <w:lang w:val="es-AR"/>
        </w:rPr>
        <w:t>sus</w:t>
      </w:r>
      <w:r w:rsidRPr="000110A9">
        <w:rPr>
          <w:rFonts w:ascii="Arial" w:hAnsi="Arial" w:cs="Arial"/>
          <w:i/>
          <w:iCs/>
          <w:sz w:val="14"/>
          <w:szCs w:val="14"/>
          <w:u w:val="single"/>
          <w:lang w:val="es-AR"/>
        </w:rPr>
        <w:t xml:space="preserve"> resultados financieros para los tres meses y el ejercicio finalizado el 31 de diciembre de 2024 aquí contenidas se basan, entre otras cosas, en </w:t>
      </w:r>
      <w:r w:rsidR="000D3DC7">
        <w:rPr>
          <w:rFonts w:ascii="Arial" w:hAnsi="Arial" w:cs="Arial"/>
          <w:i/>
          <w:iCs/>
          <w:sz w:val="14"/>
          <w:szCs w:val="14"/>
          <w:u w:val="single"/>
          <w:lang w:val="es-AR"/>
        </w:rPr>
        <w:t>sus</w:t>
      </w:r>
      <w:r w:rsidRPr="000110A9">
        <w:rPr>
          <w:rFonts w:ascii="Arial" w:hAnsi="Arial" w:cs="Arial"/>
          <w:i/>
          <w:iCs/>
          <w:sz w:val="14"/>
          <w:szCs w:val="14"/>
          <w:u w:val="single"/>
          <w:lang w:val="es-AR"/>
        </w:rPr>
        <w:t xml:space="preserve"> resultados financieros </w:t>
      </w:r>
      <w:r w:rsidR="000D3DC7">
        <w:rPr>
          <w:rFonts w:ascii="Arial" w:hAnsi="Arial" w:cs="Arial"/>
          <w:i/>
          <w:iCs/>
          <w:sz w:val="14"/>
          <w:szCs w:val="14"/>
          <w:u w:val="single"/>
          <w:lang w:val="es-AR"/>
        </w:rPr>
        <w:t>previstos</w:t>
      </w:r>
      <w:r w:rsidRPr="000110A9">
        <w:rPr>
          <w:rFonts w:ascii="Arial" w:hAnsi="Arial" w:cs="Arial"/>
          <w:i/>
          <w:iCs/>
          <w:sz w:val="14"/>
          <w:szCs w:val="14"/>
          <w:u w:val="single"/>
          <w:lang w:val="es-AR"/>
        </w:rPr>
        <w:t xml:space="preserve"> para el ejercicio finalizado el 31 de diciembre de 2024. Los resultados financieros previstos de la </w:t>
      </w:r>
      <w:r w:rsidR="000D3DC7">
        <w:rPr>
          <w:rFonts w:ascii="Arial" w:hAnsi="Arial" w:cs="Arial"/>
          <w:i/>
          <w:iCs/>
          <w:sz w:val="14"/>
          <w:szCs w:val="14"/>
          <w:u w:val="single"/>
          <w:lang w:val="es-AR"/>
        </w:rPr>
        <w:t>Compañía</w:t>
      </w:r>
      <w:r w:rsidRPr="000110A9">
        <w:rPr>
          <w:rFonts w:ascii="Arial" w:hAnsi="Arial" w:cs="Arial"/>
          <w:i/>
          <w:iCs/>
          <w:sz w:val="14"/>
          <w:szCs w:val="14"/>
          <w:u w:val="single"/>
          <w:lang w:val="es-AR"/>
        </w:rPr>
        <w:t xml:space="preserve"> son estimaciones no auditadas y preliminares que: (i) representan la información más actualizada de que dispone la dirección </w:t>
      </w:r>
      <w:r w:rsidR="000D3DC7">
        <w:rPr>
          <w:rFonts w:ascii="Arial" w:hAnsi="Arial" w:cs="Arial"/>
          <w:i/>
          <w:iCs/>
          <w:sz w:val="14"/>
          <w:szCs w:val="14"/>
          <w:u w:val="single"/>
          <w:lang w:val="es-AR"/>
        </w:rPr>
        <w:t>a</w:t>
      </w:r>
      <w:r w:rsidRPr="000110A9">
        <w:rPr>
          <w:rFonts w:ascii="Arial" w:hAnsi="Arial" w:cs="Arial"/>
          <w:i/>
          <w:iCs/>
          <w:sz w:val="14"/>
          <w:szCs w:val="14"/>
          <w:u w:val="single"/>
          <w:lang w:val="es-AR"/>
        </w:rPr>
        <w:t xml:space="preserve"> la fecha del presente; (ii) están sujetos a la realización de procedimientos de auditoría y/o revisión que podrían dar lugar a cambios significativos en los importes estimados; y (iii) no presentan toda la información necesaria para comprender la situación financiera de la </w:t>
      </w:r>
      <w:r w:rsidR="000D3DC7">
        <w:rPr>
          <w:rFonts w:ascii="Arial" w:hAnsi="Arial" w:cs="Arial"/>
          <w:i/>
          <w:iCs/>
          <w:sz w:val="14"/>
          <w:szCs w:val="14"/>
          <w:u w:val="single"/>
          <w:lang w:val="es-AR"/>
        </w:rPr>
        <w:t>Compañía</w:t>
      </w:r>
      <w:r w:rsidRPr="000110A9">
        <w:rPr>
          <w:rFonts w:ascii="Arial" w:hAnsi="Arial" w:cs="Arial"/>
          <w:i/>
          <w:iCs/>
          <w:sz w:val="14"/>
          <w:szCs w:val="14"/>
          <w:u w:val="single"/>
          <w:lang w:val="es-AR"/>
        </w:rPr>
        <w:t xml:space="preserve"> en dichos periodos ni los resultados de las operaciones de la </w:t>
      </w:r>
      <w:r w:rsidR="000D3DC7">
        <w:rPr>
          <w:rFonts w:ascii="Arial" w:hAnsi="Arial" w:cs="Arial"/>
          <w:i/>
          <w:iCs/>
          <w:sz w:val="14"/>
          <w:szCs w:val="14"/>
          <w:u w:val="single"/>
          <w:lang w:val="es-AR"/>
        </w:rPr>
        <w:t>Compañía</w:t>
      </w:r>
      <w:r w:rsidRPr="000110A9">
        <w:rPr>
          <w:rFonts w:ascii="Arial" w:hAnsi="Arial" w:cs="Arial"/>
          <w:i/>
          <w:iCs/>
          <w:sz w:val="14"/>
          <w:szCs w:val="14"/>
          <w:u w:val="single"/>
          <w:lang w:val="es-AR"/>
        </w:rPr>
        <w:t xml:space="preserve"> en los mismos. Los resultados financieros previstos están sujetos a las mismas limitaciones y riesgos que se comentan más adelante en el apartado «Información </w:t>
      </w:r>
      <w:r w:rsidR="000D3DC7">
        <w:rPr>
          <w:rFonts w:ascii="Arial" w:hAnsi="Arial" w:cs="Arial"/>
          <w:i/>
          <w:iCs/>
          <w:sz w:val="14"/>
          <w:szCs w:val="14"/>
          <w:u w:val="single"/>
          <w:lang w:val="es-AR"/>
        </w:rPr>
        <w:t>sobre hechos futuros</w:t>
      </w:r>
      <w:r w:rsidRPr="000110A9">
        <w:rPr>
          <w:rFonts w:ascii="Arial" w:hAnsi="Arial" w:cs="Arial"/>
          <w:i/>
          <w:iCs/>
          <w:sz w:val="14"/>
          <w:szCs w:val="14"/>
          <w:u w:val="single"/>
          <w:lang w:val="es-AR"/>
        </w:rPr>
        <w:t xml:space="preserve">». En consecuencia, los resultados financieros previstos de la </w:t>
      </w:r>
      <w:r w:rsidR="000D3DC7">
        <w:rPr>
          <w:rFonts w:ascii="Arial" w:hAnsi="Arial" w:cs="Arial"/>
          <w:i/>
          <w:iCs/>
          <w:sz w:val="14"/>
          <w:szCs w:val="14"/>
          <w:u w:val="single"/>
          <w:lang w:val="es-AR"/>
        </w:rPr>
        <w:t>Compañía</w:t>
      </w:r>
      <w:r w:rsidRPr="000110A9">
        <w:rPr>
          <w:rFonts w:ascii="Arial" w:hAnsi="Arial" w:cs="Arial"/>
          <w:i/>
          <w:iCs/>
          <w:sz w:val="14"/>
          <w:szCs w:val="14"/>
          <w:u w:val="single"/>
          <w:lang w:val="es-AR"/>
        </w:rPr>
        <w:t xml:space="preserve"> para dichos </w:t>
      </w:r>
      <w:r w:rsidR="000D3DC7">
        <w:rPr>
          <w:rFonts w:ascii="Arial" w:hAnsi="Arial" w:cs="Arial"/>
          <w:i/>
          <w:iCs/>
          <w:sz w:val="14"/>
          <w:szCs w:val="14"/>
          <w:u w:val="single"/>
          <w:lang w:val="es-AR"/>
        </w:rPr>
        <w:t>períodos</w:t>
      </w:r>
      <w:r w:rsidRPr="000110A9">
        <w:rPr>
          <w:rFonts w:ascii="Arial" w:hAnsi="Arial" w:cs="Arial"/>
          <w:i/>
          <w:iCs/>
          <w:sz w:val="14"/>
          <w:szCs w:val="14"/>
          <w:u w:val="single"/>
          <w:lang w:val="es-AR"/>
        </w:rPr>
        <w:t xml:space="preserve"> pueden cambiar tras la finalización y aprobación de los estados financieros para dichos </w:t>
      </w:r>
      <w:r w:rsidR="000D3DC7">
        <w:rPr>
          <w:rFonts w:ascii="Arial" w:hAnsi="Arial" w:cs="Arial"/>
          <w:i/>
          <w:iCs/>
          <w:sz w:val="14"/>
          <w:szCs w:val="14"/>
          <w:u w:val="single"/>
          <w:lang w:val="es-AR"/>
        </w:rPr>
        <w:t>períodos</w:t>
      </w:r>
      <w:r w:rsidRPr="000110A9">
        <w:rPr>
          <w:rFonts w:ascii="Arial" w:hAnsi="Arial" w:cs="Arial"/>
          <w:i/>
          <w:iCs/>
          <w:sz w:val="14"/>
          <w:szCs w:val="14"/>
          <w:u w:val="single"/>
          <w:lang w:val="es-AR"/>
        </w:rPr>
        <w:t>, y los cambios podrían ser significativos.</w:t>
      </w:r>
    </w:p>
    <w:p w:rsidR="004E259A" w:rsidRPr="00717B62" w:rsidRDefault="004E259A" w:rsidP="004E259A">
      <w:pPr>
        <w:pStyle w:val="Textoindependiente"/>
        <w:widowControl w:val="0"/>
        <w:spacing w:before="60" w:after="0" w:line="240" w:lineRule="auto"/>
        <w:rPr>
          <w:rFonts w:ascii="Arial" w:hAnsi="Arial" w:cs="Arial"/>
          <w:i/>
          <w:sz w:val="14"/>
          <w:szCs w:val="14"/>
          <w:lang w:val="es-AR"/>
        </w:rPr>
      </w:pPr>
      <w:r w:rsidRPr="00717B62">
        <w:rPr>
          <w:rFonts w:ascii="Arial" w:hAnsi="Arial" w:cs="Arial"/>
          <w:i/>
          <w:iCs/>
          <w:sz w:val="14"/>
          <w:szCs w:val="14"/>
          <w:u w:val="single"/>
          <w:lang w:val="es-AR"/>
        </w:rPr>
        <w:t>Medidas no contempladas en las NIIF y otras medidas financieras</w:t>
      </w:r>
      <w:r w:rsidRPr="00717B62">
        <w:rPr>
          <w:rFonts w:ascii="Arial" w:hAnsi="Arial" w:cs="Arial"/>
          <w:i/>
          <w:iCs/>
          <w:sz w:val="14"/>
          <w:szCs w:val="14"/>
          <w:lang w:val="es-AR"/>
        </w:rPr>
        <w:t xml:space="preserve">: En este comunicado de prensa y en otros materiales difundidos por la Compañía, empleamos ciertas medidas para analizar el desempeño financiero, la situación patrimonial y el flujo de efectivo. Estas medidas no contempladas en las NIIF y otras medidas financieras no tienen significados estandarizados indicados en las NIIF y por ende pueden no ser comparables con medidas similares presentadas por otras entidades.  Las medidas no contempladas en las NIIF y otras medidas financieras no deben considerarse medidas más significativas que las medidas financieras calculadas conforme a las NIIF, tales como la ganancia (pérdida) neta, los ingresos por ventas de petróleo y gas natural y el efectivo neto (utilizado en) </w:t>
      </w:r>
      <w:r w:rsidR="009F202E" w:rsidRPr="00717B62">
        <w:rPr>
          <w:rFonts w:ascii="Arial" w:hAnsi="Arial" w:cs="Arial"/>
          <w:i/>
          <w:iCs/>
          <w:sz w:val="14"/>
          <w:szCs w:val="14"/>
          <w:lang w:val="es-AR"/>
        </w:rPr>
        <w:t xml:space="preserve">generado por </w:t>
      </w:r>
      <w:r w:rsidRPr="00717B62">
        <w:rPr>
          <w:rFonts w:ascii="Arial" w:hAnsi="Arial" w:cs="Arial"/>
          <w:i/>
          <w:iCs/>
          <w:sz w:val="14"/>
          <w:szCs w:val="14"/>
          <w:lang w:val="es-AR"/>
        </w:rPr>
        <w:t xml:space="preserve">las actividades operativas, como indicadores del desempeño de la Compañía.  </w:t>
      </w:r>
    </w:p>
    <w:p w:rsidR="004E259A" w:rsidRPr="00717B62" w:rsidRDefault="004E259A" w:rsidP="004E259A">
      <w:pPr>
        <w:pStyle w:val="Textoindependiente"/>
        <w:widowControl w:val="0"/>
        <w:spacing w:before="60" w:after="0" w:line="240" w:lineRule="auto"/>
        <w:rPr>
          <w:rFonts w:ascii="Arial" w:hAnsi="Arial" w:cs="Arial"/>
          <w:i/>
          <w:sz w:val="14"/>
          <w:szCs w:val="14"/>
          <w:lang w:val="es-AR"/>
        </w:rPr>
      </w:pPr>
      <w:r w:rsidRPr="00717B62">
        <w:rPr>
          <w:rFonts w:ascii="Arial" w:hAnsi="Arial" w:cs="Arial"/>
          <w:i/>
          <w:iCs/>
          <w:sz w:val="14"/>
          <w:szCs w:val="14"/>
          <w:lang w:val="es-AR"/>
        </w:rPr>
        <w:t xml:space="preserve">"Flujo de fondos por acción – actividades operativas" es una medida financiera complementaria.  El flujo de fondos por acción – actividades operativas se compone del flujo de fondos generado por (utilizado en) </w:t>
      </w:r>
      <w:r w:rsidR="00394AC6">
        <w:rPr>
          <w:rFonts w:ascii="Arial" w:hAnsi="Arial" w:cs="Arial"/>
          <w:i/>
          <w:iCs/>
          <w:sz w:val="14"/>
          <w:szCs w:val="14"/>
          <w:lang w:val="es-AR"/>
        </w:rPr>
        <w:t xml:space="preserve">las </w:t>
      </w:r>
      <w:r w:rsidRPr="00717B62">
        <w:rPr>
          <w:rFonts w:ascii="Arial" w:hAnsi="Arial" w:cs="Arial"/>
          <w:i/>
          <w:iCs/>
          <w:sz w:val="14"/>
          <w:szCs w:val="14"/>
          <w:lang w:val="es-AR"/>
        </w:rPr>
        <w:t xml:space="preserve">actividades operativas dividido la cantidad promedio ponderada básica y diluida de acciones ordinarias en circulación del período. Véase "Información Financiera Resumida". </w:t>
      </w:r>
    </w:p>
    <w:p w:rsidR="004E259A" w:rsidRPr="00717B62" w:rsidRDefault="004E259A" w:rsidP="004E259A">
      <w:pPr>
        <w:pStyle w:val="Textoindependiente"/>
        <w:widowControl w:val="0"/>
        <w:spacing w:before="60" w:after="0" w:line="240" w:lineRule="auto"/>
        <w:rPr>
          <w:rFonts w:ascii="Arial" w:hAnsi="Arial" w:cs="Arial"/>
          <w:i/>
          <w:sz w:val="14"/>
          <w:szCs w:val="14"/>
          <w:lang w:val="es-AR"/>
        </w:rPr>
      </w:pPr>
      <w:r w:rsidRPr="00717B62">
        <w:rPr>
          <w:rFonts w:ascii="Arial" w:hAnsi="Arial" w:cs="Arial"/>
          <w:i/>
          <w:iCs/>
          <w:sz w:val="14"/>
          <w:szCs w:val="14"/>
          <w:lang w:val="es-AR"/>
        </w:rPr>
        <w:t>"Efectivo neto por acción – actividades operativas" es una medida financiera complementaria. E</w:t>
      </w:r>
      <w:r w:rsidR="00394AC6">
        <w:rPr>
          <w:rFonts w:ascii="Arial" w:hAnsi="Arial" w:cs="Arial"/>
          <w:i/>
          <w:iCs/>
          <w:sz w:val="14"/>
          <w:szCs w:val="14"/>
          <w:lang w:val="es-AR"/>
        </w:rPr>
        <w:t>l e</w:t>
      </w:r>
      <w:r w:rsidRPr="00717B62">
        <w:rPr>
          <w:rFonts w:ascii="Arial" w:hAnsi="Arial" w:cs="Arial"/>
          <w:i/>
          <w:iCs/>
          <w:sz w:val="14"/>
          <w:szCs w:val="14"/>
          <w:lang w:val="es-AR"/>
        </w:rPr>
        <w:t xml:space="preserve">fectivo neto por acción – actividades operativas se compone del efectivo neto generado por (utilizado en) </w:t>
      </w:r>
      <w:r w:rsidR="00394AC6">
        <w:rPr>
          <w:rFonts w:ascii="Arial" w:hAnsi="Arial" w:cs="Arial"/>
          <w:i/>
          <w:iCs/>
          <w:sz w:val="14"/>
          <w:szCs w:val="14"/>
          <w:lang w:val="es-AR"/>
        </w:rPr>
        <w:t xml:space="preserve">las </w:t>
      </w:r>
      <w:r w:rsidRPr="00717B62">
        <w:rPr>
          <w:rFonts w:ascii="Arial" w:hAnsi="Arial" w:cs="Arial"/>
          <w:i/>
          <w:iCs/>
          <w:sz w:val="14"/>
          <w:szCs w:val="14"/>
          <w:lang w:val="es-AR"/>
        </w:rPr>
        <w:t>actividades operativas dividido por la cantidad promedio ponderada básica y diluida de acciones ordinarias en circulación del período. Véase "Información Financiera Resumida".</w:t>
      </w:r>
    </w:p>
    <w:p w:rsidR="004E259A" w:rsidRPr="00717B62" w:rsidRDefault="004E259A" w:rsidP="004E259A">
      <w:pPr>
        <w:pStyle w:val="Textoindependiente"/>
        <w:widowControl w:val="0"/>
        <w:spacing w:before="60" w:after="0" w:line="240" w:lineRule="auto"/>
        <w:rPr>
          <w:rFonts w:ascii="Arial" w:hAnsi="Arial" w:cs="Arial"/>
          <w:i/>
          <w:sz w:val="14"/>
          <w:szCs w:val="14"/>
          <w:lang w:val="es-AR"/>
        </w:rPr>
      </w:pPr>
      <w:r w:rsidRPr="00717B62">
        <w:rPr>
          <w:rFonts w:ascii="Arial" w:hAnsi="Arial" w:cs="Arial"/>
          <w:i/>
          <w:iCs/>
          <w:sz w:val="14"/>
          <w:szCs w:val="14"/>
          <w:lang w:val="es-AR"/>
        </w:rPr>
        <w:t>"Pasivos financieros no corrientes" es una medi</w:t>
      </w:r>
      <w:r w:rsidR="00394AC6">
        <w:rPr>
          <w:rFonts w:ascii="Arial" w:hAnsi="Arial" w:cs="Arial"/>
          <w:i/>
          <w:iCs/>
          <w:sz w:val="14"/>
          <w:szCs w:val="14"/>
          <w:lang w:val="es-AR"/>
        </w:rPr>
        <w:t>da financiera complementaria.  Los p</w:t>
      </w:r>
      <w:r w:rsidRPr="00717B62">
        <w:rPr>
          <w:rFonts w:ascii="Arial" w:hAnsi="Arial" w:cs="Arial"/>
          <w:i/>
          <w:iCs/>
          <w:sz w:val="14"/>
          <w:szCs w:val="14"/>
          <w:lang w:val="es-AR"/>
        </w:rPr>
        <w:t>asivos financieros no corrientes se compone</w:t>
      </w:r>
      <w:r w:rsidR="00394AC6">
        <w:rPr>
          <w:rFonts w:ascii="Arial" w:hAnsi="Arial" w:cs="Arial"/>
          <w:i/>
          <w:iCs/>
          <w:sz w:val="14"/>
          <w:szCs w:val="14"/>
          <w:lang w:val="es-AR"/>
        </w:rPr>
        <w:t>n</w:t>
      </w:r>
      <w:r w:rsidRPr="00717B62">
        <w:rPr>
          <w:rFonts w:ascii="Arial" w:hAnsi="Arial" w:cs="Arial"/>
          <w:i/>
          <w:iCs/>
          <w:sz w:val="14"/>
          <w:szCs w:val="14"/>
          <w:lang w:val="es-AR"/>
        </w:rPr>
        <w:t xml:space="preserve"> de las porciones no corrientes de deudas comerciales y otros pasivos, documentos a pagar y pasivos por arrendamientos, según surge de los estados de situación patrimonial consolidados de la Compañía.  Véase "Información Financiera Resumida".</w:t>
      </w:r>
    </w:p>
    <w:p w:rsidR="004E259A" w:rsidRPr="00717B62" w:rsidRDefault="004E259A" w:rsidP="004E259A">
      <w:pPr>
        <w:pStyle w:val="Ne3"/>
        <w:widowControl w:val="0"/>
        <w:spacing w:before="60" w:line="240" w:lineRule="auto"/>
        <w:ind w:left="0"/>
        <w:rPr>
          <w:rFonts w:cs="Arial"/>
          <w:i/>
          <w:sz w:val="14"/>
          <w:szCs w:val="14"/>
          <w:lang w:val="es-AR"/>
        </w:rPr>
      </w:pPr>
      <w:r w:rsidRPr="00717B62">
        <w:rPr>
          <w:i/>
          <w:iCs/>
          <w:sz w:val="14"/>
          <w:szCs w:val="14"/>
          <w:lang w:val="es-AR"/>
        </w:rPr>
        <w:t xml:space="preserve">“Netback operativo” es una medida no contemplada en las NIIF.  El </w:t>
      </w:r>
      <w:r w:rsidR="002071BE">
        <w:rPr>
          <w:i/>
          <w:iCs/>
          <w:sz w:val="14"/>
          <w:szCs w:val="14"/>
          <w:lang w:val="es-AR"/>
        </w:rPr>
        <w:t>n</w:t>
      </w:r>
      <w:r w:rsidRPr="00717B62">
        <w:rPr>
          <w:i/>
          <w:iCs/>
          <w:sz w:val="14"/>
          <w:szCs w:val="14"/>
          <w:lang w:val="es-AR"/>
        </w:rPr>
        <w:t xml:space="preserve">etback operativo se compone de </w:t>
      </w:r>
      <w:r>
        <w:rPr>
          <w:i/>
          <w:iCs/>
          <w:sz w:val="14"/>
          <w:szCs w:val="14"/>
          <w:lang w:val="es-AR"/>
        </w:rPr>
        <w:t>los ingresos por</w:t>
      </w:r>
      <w:r w:rsidRPr="00717B62">
        <w:rPr>
          <w:i/>
          <w:iCs/>
          <w:sz w:val="14"/>
          <w:szCs w:val="14"/>
          <w:lang w:val="es-AR"/>
        </w:rPr>
        <w:t xml:space="preserve"> ventas de petróleo y gas natural, menos los derechos de exportación, regalías e impuesto a los ingresos brutos y costos operativos.  La dirección considera que esta es una medida complementaria útil de la rentabilidad de la Compañía con relación a los precios de los commodities.  Véase "Netback operativo" para una conciliación del netback operativo con los ingresos por ventas de petróleo y gas natural, que es nuestra medida más cercana contemplada en las NIIF.</w:t>
      </w:r>
    </w:p>
    <w:p w:rsidR="004E259A" w:rsidRPr="00717B62" w:rsidRDefault="004E259A" w:rsidP="004E259A">
      <w:pPr>
        <w:pStyle w:val="Textoindependiente"/>
        <w:widowControl w:val="0"/>
        <w:spacing w:before="60" w:after="0" w:line="240" w:lineRule="auto"/>
        <w:rPr>
          <w:rFonts w:ascii="Arial" w:hAnsi="Arial" w:cs="Arial"/>
          <w:i/>
          <w:sz w:val="14"/>
          <w:szCs w:val="14"/>
          <w:lang w:val="es-AR"/>
        </w:rPr>
      </w:pPr>
      <w:r w:rsidRPr="00717B62">
        <w:rPr>
          <w:rFonts w:ascii="Arial" w:hAnsi="Arial" w:cs="Arial"/>
          <w:i/>
          <w:iCs/>
          <w:sz w:val="14"/>
          <w:szCs w:val="14"/>
          <w:lang w:val="es-AR"/>
        </w:rPr>
        <w:t>“Netback ope</w:t>
      </w:r>
      <w:r w:rsidR="00394AC6">
        <w:rPr>
          <w:rFonts w:ascii="Arial" w:hAnsi="Arial" w:cs="Arial"/>
          <w:i/>
          <w:iCs/>
          <w:sz w:val="14"/>
          <w:szCs w:val="14"/>
          <w:lang w:val="es-AR"/>
        </w:rPr>
        <w:t>rativo por BOE” es un índice no contemplado</w:t>
      </w:r>
      <w:r w:rsidRPr="00717B62">
        <w:rPr>
          <w:rFonts w:ascii="Arial" w:hAnsi="Arial" w:cs="Arial"/>
          <w:i/>
          <w:iCs/>
          <w:sz w:val="14"/>
          <w:szCs w:val="14"/>
          <w:lang w:val="es-AR"/>
        </w:rPr>
        <w:t xml:space="preserve"> en las NIIF.  El Netback operativo por BOE se compone del netback operativo dividido por los volúmenes de venta en BOE del período.  La dirección considera que esta es una medida complementaria útil de la rentabilidad de la Compañía con relación a los precios de los commodities.  Asimismo, la dirección considera que el netback operativo por BOE es una medida clave de desempeño de la industria que mide la eficiencia operacional y brinda a los inversores información que también es presentada usualmente por otras productoras de petróleo crudo y gas natural.  El netback operativo es una medida no contemplada en las NIIF.  Véase "Netback Operativo” para ver la forma de cálculo del netback operativo por BOE.</w:t>
      </w:r>
    </w:p>
    <w:p w:rsidR="004E259A" w:rsidRPr="00717B62" w:rsidRDefault="004E259A" w:rsidP="004E259A">
      <w:pPr>
        <w:pStyle w:val="Textoindependiente"/>
        <w:widowControl w:val="0"/>
        <w:spacing w:before="60" w:after="0" w:line="240" w:lineRule="auto"/>
        <w:rPr>
          <w:rFonts w:ascii="Arial" w:hAnsi="Arial" w:cs="Arial"/>
          <w:i/>
          <w:sz w:val="14"/>
          <w:szCs w:val="14"/>
          <w:lang w:val="es-AR"/>
        </w:rPr>
      </w:pPr>
      <w:r w:rsidRPr="00717B62">
        <w:rPr>
          <w:rFonts w:ascii="Arial" w:hAnsi="Arial" w:cs="Arial"/>
          <w:i/>
          <w:iCs/>
          <w:sz w:val="14"/>
          <w:szCs w:val="14"/>
          <w:lang w:val="es-AR"/>
        </w:rPr>
        <w:t xml:space="preserve">“Capital de trabajo” es una medida de gestión de capital.  El capital de trabajo se compone del activo corriente menos el pasivo corriente.  La dirección considera que el capital de trabajo es una medida útil para evaluar la posición de capital de la Compañía y su capacidad de llevar adelante sus compromisos de exploración existentes y su participación en programas de desarrollo.  Véase "Información Financiera Resumida” para una conciliación del capital de trabajo con </w:t>
      </w:r>
      <w:r w:rsidR="00394AC6">
        <w:rPr>
          <w:rFonts w:ascii="Arial" w:hAnsi="Arial" w:cs="Arial"/>
          <w:i/>
          <w:iCs/>
          <w:sz w:val="14"/>
          <w:szCs w:val="14"/>
          <w:lang w:val="es-AR"/>
        </w:rPr>
        <w:t xml:space="preserve">el </w:t>
      </w:r>
      <w:r w:rsidRPr="00717B62">
        <w:rPr>
          <w:rFonts w:ascii="Arial" w:hAnsi="Arial" w:cs="Arial"/>
          <w:i/>
          <w:iCs/>
          <w:sz w:val="14"/>
          <w:szCs w:val="14"/>
          <w:lang w:val="es-AR"/>
        </w:rPr>
        <w:t>activo corriente y el pasivo corriente, que son nuestras medidas más cercanas contempladas en las NIIF.</w:t>
      </w:r>
    </w:p>
    <w:p w:rsidR="004E259A" w:rsidRDefault="004E259A" w:rsidP="004E259A">
      <w:pPr>
        <w:widowControl w:val="0"/>
        <w:spacing w:before="60"/>
        <w:jc w:val="both"/>
        <w:rPr>
          <w:rFonts w:ascii="Arial" w:hAnsi="Arial" w:cs="Arial"/>
          <w:i/>
          <w:iCs/>
          <w:sz w:val="14"/>
          <w:szCs w:val="14"/>
          <w:lang w:val="es-AR"/>
        </w:rPr>
      </w:pPr>
      <w:r w:rsidRPr="00717B62">
        <w:rPr>
          <w:rFonts w:ascii="Arial" w:hAnsi="Arial"/>
          <w:i/>
          <w:iCs/>
          <w:sz w:val="14"/>
          <w:szCs w:val="14"/>
          <w:u w:val="single"/>
          <w:lang w:val="es-AR"/>
        </w:rPr>
        <w:t>Abreviaturas y presentación de BOE</w:t>
      </w:r>
      <w:r w:rsidRPr="00717B62">
        <w:rPr>
          <w:rFonts w:ascii="Arial" w:hAnsi="Arial"/>
          <w:i/>
          <w:iCs/>
          <w:sz w:val="14"/>
          <w:szCs w:val="14"/>
          <w:lang w:val="es-AR"/>
        </w:rPr>
        <w:t xml:space="preserve">: “bbl” significa barril,  “bbls” significa barriles,  "BOE” significa barril equivalente de petróleo,  </w:t>
      </w:r>
      <w:r w:rsidRPr="00717B62">
        <w:rPr>
          <w:rFonts w:ascii="Arial" w:hAnsi="Arial" w:cs="Arial"/>
          <w:i/>
          <w:iCs/>
          <w:sz w:val="14"/>
          <w:szCs w:val="14"/>
          <w:lang w:val="es-AR"/>
        </w:rPr>
        <w:t>“mcf” significa miles de pies cúbicos, “mmcf” significa millones de pies cúbicos, “LGN” significa líquidos de gas natural, "UTE" significa Unión Transitoria de Empresas, que constituye un contrato de joint venture inscripto establecido bajo las leyes de Argentina; "WI"  significa participación. Todas las conversiones de BOE incluidas en este comunicado de prensa provienen de la conversión de gas natural en petróleo a una razón de seis mcf de gas por un bbl de petróleo.</w:t>
      </w:r>
      <w:r w:rsidRPr="00717B62">
        <w:rPr>
          <w:rFonts w:ascii="Arial" w:hAnsi="Arial" w:cs="Arial"/>
          <w:sz w:val="14"/>
          <w:szCs w:val="14"/>
          <w:lang w:val="es-AR"/>
        </w:rPr>
        <w:t xml:space="preserve"> </w:t>
      </w:r>
      <w:r w:rsidRPr="00717B62">
        <w:rPr>
          <w:rFonts w:ascii="Arial" w:hAnsi="Arial" w:cs="Arial"/>
          <w:i/>
          <w:iCs/>
          <w:sz w:val="14"/>
          <w:szCs w:val="14"/>
          <w:lang w:val="es-AR"/>
        </w:rPr>
        <w:t xml:space="preserve"> El término BOE puede ser conducente a error, en especial, si se utiliza en forma aislada.  La conversión de BOE a una razón de seis mcf de gas por un bbl de petróleo (6 mcf: 1 bbl) se basa en un método de conversión de equivalencias de energía aplicable en la boquilla del quemador y no representa una equivalencia de valores a boca de pozo.  Atento a que la razón de valor basada en el precio del crudo comparado con el precio del gas natural en Argentina puede diferir eventualmente de la razón de conversión de equivalencias de energía de 6:1, el uso de una conversión a razón de 6:1 puede conducir a error como indicación de valor.</w:t>
      </w:r>
    </w:p>
    <w:p w:rsidR="004E259A" w:rsidRPr="00717B62" w:rsidRDefault="004E259A" w:rsidP="001813D7">
      <w:pPr>
        <w:pStyle w:val="Ne3"/>
        <w:widowControl w:val="0"/>
        <w:spacing w:before="60" w:line="240" w:lineRule="auto"/>
        <w:ind w:left="0"/>
        <w:rPr>
          <w:rFonts w:cs="Arial"/>
          <w:i/>
          <w:sz w:val="14"/>
          <w:szCs w:val="14"/>
          <w:lang w:val="es-AR"/>
        </w:rPr>
      </w:pPr>
      <w:r w:rsidRPr="00717B62">
        <w:rPr>
          <w:i/>
          <w:iCs/>
          <w:sz w:val="14"/>
          <w:u w:val="single"/>
          <w:lang w:val="es-AR"/>
        </w:rPr>
        <w:t>Información sobre hechos futuros</w:t>
      </w:r>
      <w:r w:rsidRPr="00717B62">
        <w:rPr>
          <w:i/>
          <w:iCs/>
          <w:sz w:val="14"/>
          <w:lang w:val="es-AR"/>
        </w:rPr>
        <w:t>:</w:t>
      </w:r>
      <w:r w:rsidRPr="00717B62">
        <w:rPr>
          <w:sz w:val="14"/>
          <w:lang w:val="es-AR"/>
        </w:rPr>
        <w:t xml:space="preserve"> </w:t>
      </w:r>
      <w:r w:rsidRPr="00717B62">
        <w:rPr>
          <w:i/>
          <w:iCs/>
          <w:sz w:val="14"/>
          <w:lang w:val="es-AR"/>
        </w:rPr>
        <w:t xml:space="preserve">Este documento contiene información sobre hechos futuros.  Esta información se relaciona con acontecimientos futuros y con el futuro desempeño de la Compañía.  Toda la información y las declaraciones contenidas en el presente que no sean de índole claramente histórica constituyen información sobre hechos futuros.  Dicha información representa las proyecciones internas, estimaciones, expectativas, creencias, planes, objetivos, supuestos, intenciones o declaraciones de la Compañía sobre acontecimientos futuros o sobre su futuro desempeño.  Esta información conlleva riesgos, incertidumbres y demás factores, conocidos o desconocidos, que podrían provocar que los resultados o acontecimientos reales difieran significativamente de los anticipados en dicha información sobre hechos futuros.  Asimismo, este documento puede contener información sobre hechos futuros proveniente de fuentes de la industria externas.  Crown Point cree que las expectativas reflejadas en esta información sobre hechos futuros son razonables. Sin embargo, no debe depositarse excesiva confianza en esta información sobre hechos futuros ya que no se puede asegurar que los </w:t>
      </w:r>
      <w:r w:rsidRPr="009D254A">
        <w:rPr>
          <w:i/>
          <w:iCs/>
          <w:sz w:val="14"/>
          <w:lang w:val="es-AR"/>
        </w:rPr>
        <w:t xml:space="preserve">planes, las intenciones o las expectativas sobre las cuales se basa irán a ocurrir o a concretarse. Este comunicado de prensa contiene información sobre hechos futuros relativa a las siguientes cuestiones, entre otras: </w:t>
      </w:r>
      <w:r w:rsidR="009F202E" w:rsidRPr="009D254A">
        <w:rPr>
          <w:i/>
          <w:iCs/>
          <w:sz w:val="14"/>
          <w:lang w:val="es-AR"/>
        </w:rPr>
        <w:t xml:space="preserve">en </w:t>
      </w:r>
      <w:r w:rsidR="00E937AC" w:rsidRPr="009D254A">
        <w:rPr>
          <w:i/>
          <w:iCs/>
          <w:sz w:val="14"/>
          <w:lang w:val="es-AR"/>
        </w:rPr>
        <w:t xml:space="preserve">“Resumen del 4º trimestre de 2024”, </w:t>
      </w:r>
      <w:r w:rsidR="009F202E" w:rsidRPr="009D254A">
        <w:rPr>
          <w:i/>
          <w:iCs/>
          <w:sz w:val="14"/>
          <w:lang w:val="es-AR"/>
        </w:rPr>
        <w:t xml:space="preserve">las expectativas de la Compañía sobre </w:t>
      </w:r>
      <w:r w:rsidR="00E937AC" w:rsidRPr="009D254A">
        <w:rPr>
          <w:i/>
          <w:iCs/>
          <w:sz w:val="14"/>
          <w:lang w:val="es-AR"/>
        </w:rPr>
        <w:t xml:space="preserve">obligaciones de seguir adelante </w:t>
      </w:r>
      <w:r w:rsidR="009F202E" w:rsidRPr="009D254A">
        <w:rPr>
          <w:i/>
          <w:iCs/>
          <w:sz w:val="14"/>
          <w:lang w:val="es-AR"/>
        </w:rPr>
        <w:t>e</w:t>
      </w:r>
      <w:r w:rsidR="00E937AC" w:rsidRPr="009D254A">
        <w:rPr>
          <w:i/>
          <w:iCs/>
          <w:sz w:val="14"/>
          <w:lang w:val="es-AR"/>
        </w:rPr>
        <w:t>n relación con</w:t>
      </w:r>
      <w:r w:rsidR="009F202E" w:rsidRPr="009D254A">
        <w:rPr>
          <w:i/>
          <w:iCs/>
          <w:sz w:val="14"/>
          <w:lang w:val="es-AR"/>
        </w:rPr>
        <w:t xml:space="preserve"> las Concesiones de Santa Cruz; </w:t>
      </w:r>
      <w:r w:rsidRPr="009D254A">
        <w:rPr>
          <w:i/>
          <w:iCs/>
          <w:sz w:val="14"/>
          <w:lang w:val="es-AR"/>
        </w:rPr>
        <w:t xml:space="preserve">en </w:t>
      </w:r>
      <w:r w:rsidRPr="009D254A">
        <w:rPr>
          <w:i/>
          <w:iCs/>
          <w:sz w:val="14"/>
          <w:szCs w:val="14"/>
          <w:lang w:val="es-AR"/>
        </w:rPr>
        <w:t xml:space="preserve">“Perspectivas”, </w:t>
      </w:r>
      <w:r w:rsidR="00E937AC" w:rsidRPr="009D254A">
        <w:rPr>
          <w:i/>
          <w:iCs/>
          <w:sz w:val="14"/>
          <w:szCs w:val="14"/>
          <w:lang w:val="es-AR"/>
        </w:rPr>
        <w:t xml:space="preserve">el </w:t>
      </w:r>
      <w:r w:rsidR="00722F1F" w:rsidRPr="009D254A">
        <w:rPr>
          <w:i/>
          <w:iCs/>
          <w:sz w:val="14"/>
          <w:szCs w:val="14"/>
          <w:lang w:val="es-AR"/>
        </w:rPr>
        <w:t xml:space="preserve">presupuesto de </w:t>
      </w:r>
      <w:r w:rsidRPr="009D254A">
        <w:rPr>
          <w:i/>
          <w:iCs/>
          <w:sz w:val="14"/>
          <w:szCs w:val="14"/>
          <w:lang w:val="es-AR"/>
        </w:rPr>
        <w:t>gasto</w:t>
      </w:r>
      <w:r w:rsidR="00722F1F" w:rsidRPr="009D254A">
        <w:rPr>
          <w:i/>
          <w:iCs/>
          <w:sz w:val="14"/>
          <w:szCs w:val="14"/>
          <w:lang w:val="es-AR"/>
        </w:rPr>
        <w:t>s</w:t>
      </w:r>
      <w:r w:rsidRPr="009D254A">
        <w:rPr>
          <w:i/>
          <w:iCs/>
          <w:sz w:val="14"/>
          <w:szCs w:val="14"/>
          <w:lang w:val="es-AR"/>
        </w:rPr>
        <w:t xml:space="preserve"> de capital estimado</w:t>
      </w:r>
      <w:r w:rsidR="00722F1F" w:rsidRPr="009D254A">
        <w:rPr>
          <w:i/>
          <w:iCs/>
          <w:sz w:val="14"/>
          <w:szCs w:val="14"/>
          <w:lang w:val="es-AR"/>
        </w:rPr>
        <w:t>s</w:t>
      </w:r>
      <w:r w:rsidRPr="009D254A">
        <w:rPr>
          <w:i/>
          <w:iCs/>
          <w:sz w:val="14"/>
          <w:szCs w:val="14"/>
          <w:lang w:val="es-AR"/>
        </w:rPr>
        <w:t xml:space="preserve"> de la Compañía pa</w:t>
      </w:r>
      <w:r w:rsidR="00722F1F" w:rsidRPr="009D254A">
        <w:rPr>
          <w:i/>
          <w:iCs/>
          <w:sz w:val="14"/>
          <w:szCs w:val="14"/>
          <w:lang w:val="es-AR"/>
        </w:rPr>
        <w:t xml:space="preserve">ra el ejercicio </w:t>
      </w:r>
      <w:r w:rsidR="00E937AC" w:rsidRPr="009D254A">
        <w:rPr>
          <w:i/>
          <w:iCs/>
          <w:sz w:val="14"/>
          <w:szCs w:val="14"/>
          <w:lang w:val="es-AR"/>
        </w:rPr>
        <w:t>2025</w:t>
      </w:r>
      <w:r w:rsidRPr="009D254A">
        <w:rPr>
          <w:i/>
          <w:iCs/>
          <w:sz w:val="14"/>
          <w:szCs w:val="14"/>
          <w:lang w:val="es-AR"/>
        </w:rPr>
        <w:t xml:space="preserve">, </w:t>
      </w:r>
      <w:r w:rsidR="001813D7" w:rsidRPr="009D254A">
        <w:rPr>
          <w:i/>
          <w:iCs/>
          <w:sz w:val="14"/>
          <w:szCs w:val="14"/>
          <w:lang w:val="es-AR"/>
        </w:rPr>
        <w:t>y los gastos de capital que prevé realizar</w:t>
      </w:r>
      <w:r w:rsidR="00E937AC" w:rsidRPr="009D254A">
        <w:rPr>
          <w:i/>
          <w:iCs/>
          <w:sz w:val="14"/>
          <w:szCs w:val="14"/>
          <w:lang w:val="es-AR"/>
        </w:rPr>
        <w:t xml:space="preserve">, entre otras cosas, </w:t>
      </w:r>
      <w:r w:rsidR="000D3DC7" w:rsidRPr="009D254A">
        <w:rPr>
          <w:i/>
          <w:iCs/>
          <w:sz w:val="14"/>
          <w:szCs w:val="14"/>
          <w:lang w:val="es-AR"/>
        </w:rPr>
        <w:t xml:space="preserve">en </w:t>
      </w:r>
      <w:r w:rsidR="00E937AC" w:rsidRPr="009D254A">
        <w:rPr>
          <w:i/>
          <w:iCs/>
          <w:sz w:val="14"/>
          <w:szCs w:val="14"/>
          <w:lang w:val="es-AR"/>
        </w:rPr>
        <w:t xml:space="preserve">las concesiones </w:t>
      </w:r>
      <w:r w:rsidR="00781121" w:rsidRPr="009D254A">
        <w:rPr>
          <w:i/>
          <w:iCs/>
          <w:sz w:val="14"/>
          <w:szCs w:val="14"/>
          <w:lang w:val="es-AR"/>
        </w:rPr>
        <w:t>durante dicho período</w:t>
      </w:r>
      <w:r w:rsidR="001813D7" w:rsidRPr="009D254A">
        <w:rPr>
          <w:i/>
          <w:iCs/>
          <w:sz w:val="14"/>
          <w:szCs w:val="14"/>
          <w:lang w:val="es-AR"/>
        </w:rPr>
        <w:t xml:space="preserve">; </w:t>
      </w:r>
      <w:r w:rsidR="00E937AC" w:rsidRPr="009D254A">
        <w:rPr>
          <w:i/>
          <w:iCs/>
          <w:sz w:val="14"/>
          <w:szCs w:val="14"/>
          <w:lang w:val="es-AR"/>
        </w:rPr>
        <w:t xml:space="preserve">y </w:t>
      </w:r>
      <w:r w:rsidRPr="009D254A">
        <w:rPr>
          <w:i/>
          <w:iCs/>
          <w:sz w:val="14"/>
          <w:szCs w:val="14"/>
          <w:lang w:val="es-AR"/>
        </w:rPr>
        <w:t>en la sección “Información sobre Crown</w:t>
      </w:r>
      <w:r w:rsidRPr="00717B62">
        <w:rPr>
          <w:i/>
          <w:iCs/>
          <w:sz w:val="14"/>
          <w:szCs w:val="14"/>
          <w:lang w:val="es-AR"/>
        </w:rPr>
        <w:t xml:space="preserve"> Point”, todos los elementos que hacen a la estrategia de negocio y al objeto de la Compañía.</w:t>
      </w:r>
      <w:r w:rsidRPr="00717B62">
        <w:rPr>
          <w:sz w:val="14"/>
          <w:szCs w:val="14"/>
          <w:lang w:val="es-AR"/>
        </w:rPr>
        <w:t xml:space="preserve"> </w:t>
      </w:r>
      <w:r w:rsidRPr="00717B62">
        <w:rPr>
          <w:i/>
          <w:iCs/>
          <w:sz w:val="14"/>
          <w:szCs w:val="14"/>
          <w:lang w:val="es-AR"/>
        </w:rPr>
        <w:t xml:space="preserve">Se advierte al lector que si bien la Compañía considera que dicha información es razonable, la misma podría resultar ser incorrecta. Los resultados reales obtenidos durante el período proyectado pueden variar respecto a la información provista en este documento debido a numerosos riesgos e incertidumbres y demás factores, conocidos y desconocidos. Existen distintos riesgos y demás factores que podrían provocar que los resultados reales difieran significativamente de los expresados en la información sobre hechos futuros vertida en este documento, incluyendo, sin limitación, los siguientes: que la Compañía no pueda transportar petróleo por vía terrestre a la refinería Enap y/o a la terminal marítima Rio Cullen y/o el riesgo de que el costo de hacerlo incremente y/o se torne antieconómico; el riesgo de que la Compañía reciba un precio por el petróleo que produce con un descuento significativo respecto al precio del Brent; </w:t>
      </w:r>
      <w:r w:rsidR="00781121">
        <w:rPr>
          <w:i/>
          <w:iCs/>
          <w:sz w:val="14"/>
          <w:szCs w:val="14"/>
          <w:lang w:val="es-AR"/>
        </w:rPr>
        <w:t xml:space="preserve">que la Compañía no pueda cumplir sus obligaciones a su vencimiento y continuar como una empresa en marcha; </w:t>
      </w:r>
      <w:r w:rsidR="00E937AC">
        <w:rPr>
          <w:i/>
          <w:iCs/>
          <w:sz w:val="14"/>
          <w:szCs w:val="14"/>
          <w:lang w:val="es-AR"/>
        </w:rPr>
        <w:t xml:space="preserve">riesgos asociados con la insolvencia y/o quiebra de </w:t>
      </w:r>
      <w:r w:rsidR="00F4514C">
        <w:rPr>
          <w:i/>
          <w:iCs/>
          <w:sz w:val="14"/>
          <w:szCs w:val="14"/>
          <w:lang w:val="es-AR"/>
        </w:rPr>
        <w:t xml:space="preserve">las UTE socias </w:t>
      </w:r>
      <w:r w:rsidR="00E937AC">
        <w:rPr>
          <w:i/>
          <w:iCs/>
          <w:sz w:val="14"/>
          <w:szCs w:val="14"/>
          <w:lang w:val="es-AR"/>
        </w:rPr>
        <w:t>y/o los operadores de las concesiones en las que la Compañía tiene una participación, incluyendo el riesgo de que dicha insolvencia y/o quiebra tenga un efecto adverso sobre una de las UTE  de la Compañía, una de sus concesiones y/o la Compañía</w:t>
      </w:r>
      <w:r w:rsidR="000D3DC7">
        <w:rPr>
          <w:i/>
          <w:iCs/>
          <w:sz w:val="14"/>
          <w:szCs w:val="14"/>
          <w:lang w:val="es-AR"/>
        </w:rPr>
        <w:t xml:space="preserve">, y los riesgos y otros factores descriptos en </w:t>
      </w:r>
      <w:r w:rsidRPr="00717B62">
        <w:rPr>
          <w:i/>
          <w:iCs/>
          <w:sz w:val="14"/>
          <w:szCs w:val="14"/>
          <w:lang w:val="es-AR"/>
        </w:rPr>
        <w:t xml:space="preserve">“Riesgos e incertidumbres del negocio”  de la reseña y perspectiva operativa y financiera de la Compañía y en la </w:t>
      </w:r>
      <w:r w:rsidRPr="00717B62">
        <w:rPr>
          <w:i/>
          <w:iCs/>
          <w:sz w:val="14"/>
          <w:szCs w:val="14"/>
          <w:lang w:val="es-AR"/>
        </w:rPr>
        <w:lastRenderedPageBreak/>
        <w:t>sección “Factores de riesgo” del último formulario de información anual presentado por la Compañía, el cual se encuentra disponible en el sitio web de SEDAR</w:t>
      </w:r>
      <w:r w:rsidR="00F21945">
        <w:rPr>
          <w:i/>
          <w:iCs/>
          <w:sz w:val="14"/>
          <w:szCs w:val="14"/>
          <w:lang w:val="es-AR"/>
        </w:rPr>
        <w:t>+</w:t>
      </w:r>
      <w:r w:rsidRPr="00717B62">
        <w:rPr>
          <w:i/>
          <w:iCs/>
          <w:sz w:val="14"/>
          <w:szCs w:val="14"/>
          <w:lang w:val="es-AR"/>
        </w:rPr>
        <w:t>, </w:t>
      </w:r>
      <w:hyperlink r:id="rId14" w:history="1">
        <w:r w:rsidR="000A5B77" w:rsidRPr="0090454F">
          <w:rPr>
            <w:rStyle w:val="Hipervnculo"/>
            <w:i/>
            <w:iCs/>
            <w:sz w:val="14"/>
            <w:szCs w:val="14"/>
            <w:lang w:val="es-AR"/>
          </w:rPr>
          <w:t>www.sedarplus.ca</w:t>
        </w:r>
      </w:hyperlink>
      <w:r w:rsidRPr="00717B62">
        <w:rPr>
          <w:i/>
          <w:iCs/>
          <w:sz w:val="14"/>
          <w:szCs w:val="14"/>
          <w:lang w:val="es-AR"/>
        </w:rPr>
        <w:t>. Con respecto a la información sobre hechos futuros contenida en este documento, la Compañía ha elaborado supuestos respecto a diversas cuestiones, entre ellas, la capacidad y voluntad de los países miembros de la OPEP+ y otros grandes productores de crudo de equilibrar los niveles de producción de crudo y así sostener mayores precios del crudo a e</w:t>
      </w:r>
      <w:r w:rsidRPr="00673315">
        <w:rPr>
          <w:i/>
          <w:iCs/>
          <w:sz w:val="14"/>
          <w:szCs w:val="14"/>
          <w:lang w:val="es-AR"/>
        </w:rPr>
        <w:t xml:space="preserve">scala mundial; </w:t>
      </w:r>
      <w:r w:rsidR="00673315" w:rsidRPr="00673315">
        <w:rPr>
          <w:i/>
          <w:iCs/>
          <w:sz w:val="14"/>
          <w:szCs w:val="16"/>
          <w:lang w:val="es-AR"/>
        </w:rPr>
        <w:t xml:space="preserve">que las UTE socias de la Compañía y los operadores de las concesiones de la Compañía que esta no opera honrarán sus compromisos contractuales en forma oportuna y no se tornarán insolventes ni se declararán en quiebra; </w:t>
      </w:r>
      <w:r w:rsidRPr="00673315">
        <w:rPr>
          <w:i/>
          <w:iCs/>
          <w:sz w:val="14"/>
          <w:szCs w:val="14"/>
          <w:lang w:val="es-AR"/>
        </w:rPr>
        <w:t>el impacto que tiene la inflación en Argentina y la devaluación del peso argentino frente al USD para la Compañía; el impacto de una mayor competencia; la estabilidad genera</w:t>
      </w:r>
      <w:r w:rsidRPr="00717B62">
        <w:rPr>
          <w:i/>
          <w:iCs/>
          <w:sz w:val="14"/>
          <w:szCs w:val="14"/>
          <w:lang w:val="es-AR"/>
        </w:rPr>
        <w:t xml:space="preserve">l de la coyuntura económica y política en la que opera la Compañía, lo que abarca operar en un marco jurídico y regulatorio coherente en Argentina; los futuros precios del petróleo, gas natural y LGN (incluidos los efectos que puedan tener sobre los mismos programas de incentivo del gobierno y los controles de precios del gobierno); la recepción oportuna de las aprobaciones regulatorias requeridas; la capacidad de la Compañía de obtener empleados calificados, equipos y servicios en forma oportuna y económicamente rentable; los resultados de las actividades de perforación; el costo de obtener equipos y personal para cumplir con el plan de inversiones en bienes de capital de la Compañía; la capacidad </w:t>
      </w:r>
      <w:r w:rsidR="00477B67">
        <w:rPr>
          <w:i/>
          <w:iCs/>
          <w:sz w:val="14"/>
          <w:szCs w:val="14"/>
          <w:lang w:val="es-AR"/>
        </w:rPr>
        <w:t xml:space="preserve">de operar </w:t>
      </w:r>
      <w:r w:rsidRPr="00717B62">
        <w:rPr>
          <w:i/>
          <w:iCs/>
          <w:sz w:val="14"/>
          <w:szCs w:val="14"/>
          <w:lang w:val="es-AR"/>
        </w:rPr>
        <w:t>los proyectos en los que la Compañía tiene participación de manera segura, eficiente y efectiva; el hecho de que la Compañía no pagará dividendos en el futuro previsible; la capacidad de la Compañía de obtener financiamiento en términos aceptables, de ser necesario y en el momento oportuno</w:t>
      </w:r>
      <w:r w:rsidR="00EB4B3E">
        <w:rPr>
          <w:i/>
          <w:iCs/>
          <w:sz w:val="14"/>
          <w:szCs w:val="14"/>
          <w:lang w:val="es-AR"/>
        </w:rPr>
        <w:t>, y de continuar como una empresa en marcha</w:t>
      </w:r>
      <w:r w:rsidRPr="00717B62">
        <w:rPr>
          <w:i/>
          <w:iCs/>
          <w:sz w:val="14"/>
          <w:szCs w:val="14"/>
          <w:lang w:val="es-AR"/>
        </w:rPr>
        <w:t xml:space="preserve">; la capacidad de la Compañía de hacer frente al servicio de sus deudas oportunamente; los índices de producción y los índices de agotamiento del yacimiento; la capacidad de reemplazar y expandir las reservas de petróleo y gas natural mediante actividades de adquisición, desarrollo y exploración; los plazos y costos de las actividades de construcción y ampliación de ductos, capacidad de almacenamiento e instalaciones </w:t>
      </w:r>
      <w:bookmarkStart w:id="1" w:name="_GoBack"/>
      <w:bookmarkEnd w:id="1"/>
      <w:r w:rsidRPr="00717B62">
        <w:rPr>
          <w:i/>
          <w:iCs/>
          <w:sz w:val="14"/>
          <w:szCs w:val="14"/>
          <w:lang w:val="es-AR"/>
        </w:rPr>
        <w:t>y la capacidad de la Compañía de garantizar el transporte adecuado de productos; los tipos de cambio de las divisas</w:t>
      </w:r>
      <w:r w:rsidR="00AE1232">
        <w:rPr>
          <w:i/>
          <w:iCs/>
          <w:sz w:val="14"/>
          <w:szCs w:val="14"/>
          <w:lang w:val="es-AR"/>
        </w:rPr>
        <w:t>, la inflación</w:t>
      </w:r>
      <w:r w:rsidRPr="00717B62">
        <w:rPr>
          <w:i/>
          <w:iCs/>
          <w:sz w:val="14"/>
          <w:szCs w:val="14"/>
          <w:lang w:val="es-AR"/>
        </w:rPr>
        <w:t xml:space="preserve"> y las tasas de interés; el marco regulatorio en materia de regalías, impuestos y asuntos ambientales en Argentina; y la capacidad de la Compañía de comercializar exitosamente el petróleo y el gas natural que produce.  La dirección de Crown Point ha incorporado el resumen precedente de supuestos y riesgos relacionados con la información sobre hechos futuros incluida en este documento con el fin de proporcionar al público inversor una perspectiva más cabal sobre las futuras operaciones de la Compañía.  Se advierte al lector que esta información puede no ser apropiada para otros propósitos.</w:t>
      </w:r>
      <w:r w:rsidRPr="00717B62">
        <w:rPr>
          <w:sz w:val="14"/>
          <w:szCs w:val="14"/>
          <w:lang w:val="es-AR"/>
        </w:rPr>
        <w:t xml:space="preserve"> </w:t>
      </w:r>
      <w:r w:rsidRPr="00717B62">
        <w:rPr>
          <w:i/>
          <w:iCs/>
          <w:sz w:val="14"/>
          <w:szCs w:val="14"/>
          <w:lang w:val="es-AR"/>
        </w:rPr>
        <w:t>También se advierte al lector que las listas precedentes de factores no son taxativas.  La información sobre hechos futuros vertida en este documento se encuentra expresamente supeditada a esta advertencia. La información sobre hechos futuros contenida en el presente se brinda a la fecha de este documento y la Compañía desconoce toda intención u obligación de actualizarla públicamente, ya sea como consecuencia de información nueva, acontecimientos o resultados futuros o por otras razones, salvo en la medida de lo exigido por las leyes canadienses sobre títulos valores aplicables.</w:t>
      </w:r>
    </w:p>
    <w:p w:rsidR="004E259A" w:rsidRPr="00717B62" w:rsidRDefault="004E259A" w:rsidP="004E259A">
      <w:pPr>
        <w:widowControl w:val="0"/>
        <w:spacing w:before="60"/>
        <w:jc w:val="both"/>
        <w:rPr>
          <w:rFonts w:ascii="Arial" w:hAnsi="Arial"/>
          <w:b/>
          <w:i/>
          <w:sz w:val="14"/>
          <w:szCs w:val="14"/>
          <w:lang w:val="es-AR"/>
        </w:rPr>
      </w:pPr>
      <w:r w:rsidRPr="00717B62">
        <w:rPr>
          <w:rFonts w:ascii="Arial" w:hAnsi="Arial"/>
          <w:b/>
          <w:bCs/>
          <w:i/>
          <w:iCs/>
          <w:sz w:val="14"/>
          <w:szCs w:val="14"/>
          <w:lang w:val="es-AR"/>
        </w:rPr>
        <w:t>Ni la Bolsa de Valores de Toronto ni su Proveedor de Servicios Regulatorios (conforme ese término se define en las políticas de la Bolsa de Valores de Toronto) asumen responsabilidad alguna por la adecuación o exactitud de este comunicado de prensa.</w:t>
      </w:r>
    </w:p>
    <w:p w:rsidR="004E259A" w:rsidRDefault="004E259A" w:rsidP="004E259A">
      <w:pPr>
        <w:widowControl w:val="0"/>
        <w:autoSpaceDE w:val="0"/>
        <w:autoSpaceDN w:val="0"/>
        <w:adjustRightInd w:val="0"/>
        <w:spacing w:before="40"/>
        <w:jc w:val="both"/>
        <w:rPr>
          <w:rFonts w:ascii="Arial" w:hAnsi="Arial" w:cs="Arial"/>
          <w:sz w:val="16"/>
          <w:szCs w:val="16"/>
          <w:lang w:val="es-AR"/>
        </w:rPr>
      </w:pPr>
    </w:p>
    <w:p w:rsidR="004E259A" w:rsidRDefault="004E259A" w:rsidP="004E259A">
      <w:pPr>
        <w:widowControl w:val="0"/>
        <w:autoSpaceDE w:val="0"/>
        <w:autoSpaceDN w:val="0"/>
        <w:adjustRightInd w:val="0"/>
        <w:spacing w:before="40"/>
        <w:jc w:val="both"/>
        <w:rPr>
          <w:rFonts w:ascii="Arial" w:hAnsi="Arial" w:cs="Arial"/>
          <w:sz w:val="16"/>
          <w:szCs w:val="16"/>
          <w:lang w:val="es-AR"/>
        </w:rPr>
      </w:pPr>
    </w:p>
    <w:sectPr w:rsidR="004E259A" w:rsidSect="000D0E50">
      <w:headerReference w:type="default" r:id="rId15"/>
      <w:footerReference w:type="default" r:id="rId16"/>
      <w:pgSz w:w="12240" w:h="15840"/>
      <w:pgMar w:top="1440" w:right="1440" w:bottom="1260" w:left="1440" w:header="36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C9" w:rsidRDefault="00D122C9" w:rsidP="00451CF4">
      <w:r>
        <w:separator/>
      </w:r>
    </w:p>
  </w:endnote>
  <w:endnote w:type="continuationSeparator" w:id="0">
    <w:p w:rsidR="00D122C9" w:rsidRDefault="00D122C9" w:rsidP="00451CF4">
      <w:r>
        <w:continuationSeparator/>
      </w:r>
    </w:p>
  </w:endnote>
  <w:endnote w:type="continuationNotice" w:id="1">
    <w:p w:rsidR="00D122C9" w:rsidRDefault="00D12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EngravrsRoman BT">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2C9" w:rsidRDefault="00D122C9" w:rsidP="00F768A1">
    <w:pPr>
      <w:pStyle w:val="Piedepgina"/>
      <w:jc w:val="center"/>
      <w:rPr>
        <w:rFonts w:ascii="Arial Narrow" w:hAnsi="Arial Narrow"/>
        <w:color w:val="002060"/>
        <w:sz w:val="20"/>
        <w:szCs w:val="20"/>
      </w:rPr>
    </w:pPr>
    <w:r>
      <w:rPr>
        <w:rFonts w:ascii="Arial Narrow" w:hAnsi="Arial Narrow"/>
        <w:color w:val="002060"/>
        <w:sz w:val="20"/>
        <w:szCs w:val="20"/>
        <w:lang w:val="es-AR"/>
      </w:rPr>
      <w:t xml:space="preserve">PO Box 1562 Station M., Calgary, Alberta, Canada T2P 3B9 </w:t>
    </w:r>
    <w:r>
      <w:rPr>
        <w:rFonts w:ascii="Arial Narrow" w:hAnsi="Arial Narrow"/>
        <w:b/>
        <w:bCs/>
        <w:color w:val="002060"/>
        <w:sz w:val="20"/>
        <w:szCs w:val="20"/>
        <w:lang w:val="es-AR"/>
      </w:rPr>
      <w:t>T</w:t>
    </w:r>
    <w:r>
      <w:rPr>
        <w:rFonts w:ascii="Arial Narrow" w:hAnsi="Arial Narrow"/>
        <w:color w:val="002060"/>
        <w:sz w:val="20"/>
        <w:szCs w:val="20"/>
        <w:lang w:val="es-AR"/>
      </w:rPr>
      <w:t xml:space="preserve"> 403.232.1150 </w:t>
    </w:r>
    <w:r>
      <w:rPr>
        <w:rFonts w:ascii="Arial Narrow" w:hAnsi="Arial Narrow"/>
        <w:b/>
        <w:bCs/>
        <w:color w:val="002060"/>
        <w:sz w:val="20"/>
        <w:szCs w:val="20"/>
        <w:lang w:val="es-AR"/>
      </w:rPr>
      <w:t>F</w:t>
    </w:r>
    <w:r>
      <w:rPr>
        <w:rFonts w:ascii="Arial Narrow" w:hAnsi="Arial Narrow"/>
        <w:color w:val="002060"/>
        <w:sz w:val="20"/>
        <w:szCs w:val="20"/>
        <w:lang w:val="es-AR"/>
      </w:rPr>
      <w:t xml:space="preserve"> 403.232.1158</w:t>
    </w:r>
  </w:p>
  <w:p w:rsidR="00D122C9" w:rsidRDefault="00D122C9" w:rsidP="00F768A1">
    <w:pPr>
      <w:pStyle w:val="Piedepgina"/>
      <w:jc w:val="center"/>
      <w:rPr>
        <w:rFonts w:ascii="Arial Narrow" w:hAnsi="Arial Narrow"/>
        <w:b/>
        <w:color w:val="002060"/>
        <w:sz w:val="20"/>
        <w:szCs w:val="20"/>
      </w:rPr>
    </w:pPr>
    <w:r>
      <w:rPr>
        <w:rFonts w:ascii="Arial Narrow" w:hAnsi="Arial Narrow"/>
        <w:b/>
        <w:bCs/>
        <w:color w:val="002060"/>
        <w:sz w:val="20"/>
        <w:szCs w:val="20"/>
        <w:lang w:val="es-AR"/>
      </w:rPr>
      <w:t>www.crownpointenergy.com</w:t>
    </w:r>
  </w:p>
  <w:p w:rsidR="00D122C9" w:rsidRPr="005E10D3" w:rsidRDefault="00D122C9" w:rsidP="00FD5D14">
    <w:pPr>
      <w:pStyle w:val="Piedepgina"/>
      <w:spacing w:line="200" w:lineRule="exact"/>
      <w:rPr>
        <w:rFonts w:ascii="Arial Narrow" w:hAnsi="Arial Narrow"/>
        <w:b/>
        <w:color w:val="0020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C9" w:rsidRDefault="00D122C9" w:rsidP="00451CF4">
      <w:r>
        <w:separator/>
      </w:r>
    </w:p>
  </w:footnote>
  <w:footnote w:type="continuationSeparator" w:id="0">
    <w:p w:rsidR="00D122C9" w:rsidRDefault="00D122C9" w:rsidP="00451CF4">
      <w:r>
        <w:continuationSeparator/>
      </w:r>
    </w:p>
  </w:footnote>
  <w:footnote w:type="continuationNotice" w:id="1">
    <w:p w:rsidR="00D122C9" w:rsidRDefault="00D122C9"/>
  </w:footnote>
  <w:footnote w:id="2">
    <w:p w:rsidR="00D122C9" w:rsidRPr="00320949" w:rsidRDefault="00D122C9">
      <w:pPr>
        <w:pStyle w:val="Textonotapie"/>
        <w:rPr>
          <w:rFonts w:ascii="Arial" w:hAnsi="Arial" w:cs="Arial"/>
          <w:sz w:val="16"/>
          <w:szCs w:val="16"/>
          <w:lang w:val="es-ES_tradnl"/>
        </w:rPr>
      </w:pPr>
      <w:r>
        <w:rPr>
          <w:rStyle w:val="Refdenotaalpie"/>
          <w:rFonts w:ascii="Arial" w:hAnsi="Arial" w:cs="Arial"/>
          <w:sz w:val="16"/>
          <w:szCs w:val="16"/>
          <w:lang w:val="es-AR"/>
        </w:rPr>
        <w:footnoteRef/>
      </w:r>
      <w:r>
        <w:rPr>
          <w:rFonts w:ascii="Arial" w:hAnsi="Arial" w:cs="Arial"/>
          <w:sz w:val="16"/>
          <w:szCs w:val="16"/>
          <w:lang w:val="es-AR"/>
        </w:rPr>
        <w:t xml:space="preserve"> Índice financiero no contemplado en las NIIF.  Véase "Medidas no contempladas en las NIIF y otras medidas financieras".</w:t>
      </w:r>
    </w:p>
  </w:footnote>
  <w:footnote w:id="3">
    <w:p w:rsidR="00D122C9" w:rsidRPr="00320949" w:rsidRDefault="00D122C9">
      <w:pPr>
        <w:pStyle w:val="Textonotapie"/>
        <w:rPr>
          <w:rFonts w:ascii="Arial" w:hAnsi="Arial" w:cs="Arial"/>
          <w:sz w:val="14"/>
          <w:szCs w:val="14"/>
          <w:lang w:val="es-ES_tradnl"/>
        </w:rPr>
      </w:pPr>
      <w:r>
        <w:rPr>
          <w:rStyle w:val="Refdenotaalpie"/>
          <w:rFonts w:ascii="Arial" w:hAnsi="Arial" w:cs="Arial"/>
          <w:sz w:val="16"/>
          <w:szCs w:val="16"/>
          <w:lang w:val="es-AR"/>
        </w:rPr>
        <w:footnoteRef/>
      </w:r>
      <w:r>
        <w:rPr>
          <w:rFonts w:ascii="Arial" w:hAnsi="Arial" w:cs="Arial"/>
          <w:sz w:val="16"/>
          <w:szCs w:val="16"/>
          <w:lang w:val="es-AR"/>
        </w:rPr>
        <w:t xml:space="preserve"> Medida de gestión de capital.  Véase "Medidas no contempladas en las NIIF y otras medidas financieras".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2C9" w:rsidRDefault="00D122C9" w:rsidP="00451CF4">
    <w:pPr>
      <w:pStyle w:val="Encabezado"/>
      <w:ind w:left="540" w:hanging="540"/>
      <w:jc w:val="right"/>
    </w:pPr>
    <w:r>
      <w:rPr>
        <w:noProof/>
        <w:lang w:val="es-ES_tradnl" w:eastAsia="es-ES_tradnl"/>
      </w:rPr>
      <w:drawing>
        <wp:inline distT="0" distB="0" distL="0" distR="0">
          <wp:extent cx="1697355" cy="1038860"/>
          <wp:effectExtent l="19050" t="0" r="0" b="0"/>
          <wp:docPr id="1" name="Picture 0" descr="CWV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srcRect t="6818"/>
                  <a:stretch>
                    <a:fillRect/>
                  </a:stretch>
                </pic:blipFill>
                <pic:spPr bwMode="auto">
                  <a:xfrm>
                    <a:off x="0" y="0"/>
                    <a:ext cx="1697355" cy="1038860"/>
                  </a:xfrm>
                  <a:prstGeom prst="rect">
                    <a:avLst/>
                  </a:prstGeom>
                  <a:noFill/>
                  <a:ln w="9525">
                    <a:noFill/>
                    <a:miter lim="800000"/>
                    <a:headEnd/>
                    <a:tailEnd/>
                  </a:ln>
                </pic:spPr>
              </pic:pic>
            </a:graphicData>
          </a:graphic>
        </wp:inline>
      </w:drawing>
    </w:r>
  </w:p>
  <w:p w:rsidR="00D122C9" w:rsidRDefault="00D122C9" w:rsidP="00451CF4">
    <w:pPr>
      <w:pStyle w:val="Encabezado"/>
      <w:ind w:left="540" w:hanging="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416895CE"/>
    <w:lvl w:ilvl="0">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1">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2">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3">
      <w:start w:val="1"/>
      <w:numFmt w:val="none"/>
      <w:lvlRestart w:val="0"/>
      <w:suff w:val="nothing"/>
      <w:lvlText w:val=""/>
      <w:lvlJc w:val="left"/>
      <w:pPr>
        <w:tabs>
          <w:tab w:val="num" w:pos="1440"/>
        </w:tabs>
        <w:ind w:left="720"/>
      </w:pPr>
      <w:rPr>
        <w:rFonts w:ascii="Times New Roman" w:hAnsi="Times New Roman" w:cs="Times New Roman"/>
        <w:b w:val="0"/>
        <w:i w:val="0"/>
        <w:caps w:val="0"/>
        <w:color w:val="auto"/>
        <w:sz w:val="22"/>
        <w:u w:val="none"/>
      </w:rPr>
    </w:lvl>
    <w:lvl w:ilvl="4">
      <w:start w:val="1"/>
      <w:numFmt w:val="decimal"/>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suff w:val="nothing"/>
      <w:lvlText w:val=""/>
      <w:lvlJc w:val="left"/>
      <w:pPr>
        <w:tabs>
          <w:tab w:val="num" w:pos="720"/>
        </w:tabs>
      </w:pPr>
      <w:rPr>
        <w:rFonts w:ascii="Times New Roman" w:hAnsi="Times New Roman" w:cs="Times New Roman"/>
        <w:b w:val="0"/>
        <w:i w:val="0"/>
        <w:caps w:val="0"/>
        <w:color w:val="auto"/>
        <w:sz w:val="18"/>
        <w:u w:val="none"/>
      </w:rPr>
    </w:lvl>
    <w:lvl w:ilvl="8">
      <w:start w:val="1"/>
      <w:numFmt w:val="decimal"/>
      <w:lvlText w:val="(%9)"/>
      <w:lvlJc w:val="left"/>
      <w:pPr>
        <w:tabs>
          <w:tab w:val="num" w:pos="900"/>
        </w:tabs>
        <w:ind w:left="720" w:hanging="720"/>
      </w:pPr>
      <w:rPr>
        <w:rFonts w:ascii="Times New Roman" w:hAnsi="Times New Roman" w:cs="Times New Roman"/>
        <w:b w:val="0"/>
        <w:i w:val="0"/>
        <w:caps w:val="0"/>
        <w:color w:val="auto"/>
        <w:sz w:val="12"/>
        <w:u w:val="none"/>
      </w:rPr>
    </w:lvl>
  </w:abstractNum>
  <w:abstractNum w:abstractNumId="1">
    <w:nsid w:val="012C29E5"/>
    <w:multiLevelType w:val="hybridMultilevel"/>
    <w:tmpl w:val="D24069C4"/>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05067914"/>
    <w:multiLevelType w:val="hybridMultilevel"/>
    <w:tmpl w:val="87764B36"/>
    <w:lvl w:ilvl="0" w:tplc="E16C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E5863"/>
    <w:multiLevelType w:val="hybridMultilevel"/>
    <w:tmpl w:val="11B0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BE5D24"/>
    <w:multiLevelType w:val="hybridMultilevel"/>
    <w:tmpl w:val="7E7E1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6">
    <w:nsid w:val="12B556C4"/>
    <w:multiLevelType w:val="hybridMultilevel"/>
    <w:tmpl w:val="B09863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nsid w:val="14577A96"/>
    <w:multiLevelType w:val="hybridMultilevel"/>
    <w:tmpl w:val="8D3A53C0"/>
    <w:lvl w:ilvl="0" w:tplc="10090001">
      <w:start w:val="1"/>
      <w:numFmt w:val="bullet"/>
      <w:lvlText w:val=""/>
      <w:lvlJc w:val="left"/>
      <w:pPr>
        <w:ind w:left="720" w:hanging="360"/>
      </w:pPr>
      <w:rPr>
        <w:rFonts w:ascii="Symbol" w:hAnsi="Symbol" w:hint="default"/>
      </w:rPr>
    </w:lvl>
    <w:lvl w:ilvl="1" w:tplc="5F8258F0">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9A46E63"/>
    <w:multiLevelType w:val="hybridMultilevel"/>
    <w:tmpl w:val="10BA31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1B902948"/>
    <w:multiLevelType w:val="hybridMultilevel"/>
    <w:tmpl w:val="CD7C8C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BD617EC"/>
    <w:multiLevelType w:val="hybridMultilevel"/>
    <w:tmpl w:val="EC2E31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D4B04C5"/>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FE10E4"/>
    <w:multiLevelType w:val="hybridMultilevel"/>
    <w:tmpl w:val="68028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20980EAD"/>
    <w:multiLevelType w:val="hybridMultilevel"/>
    <w:tmpl w:val="84C04322"/>
    <w:lvl w:ilvl="0" w:tplc="5F8258F0">
      <w:numFmt w:val="bullet"/>
      <w:lvlText w:val="-"/>
      <w:lvlJc w:val="left"/>
      <w:pPr>
        <w:ind w:left="1004" w:hanging="360"/>
      </w:pPr>
      <w:rPr>
        <w:rFonts w:ascii="Arial" w:eastAsia="Times New Roman" w:hAnsi="Arial" w:cs="Aria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nsid w:val="23510409"/>
    <w:multiLevelType w:val="hybridMultilevel"/>
    <w:tmpl w:val="0BD099FA"/>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5">
    <w:nsid w:val="32FE0003"/>
    <w:multiLevelType w:val="hybridMultilevel"/>
    <w:tmpl w:val="EC04E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71138"/>
    <w:multiLevelType w:val="hybridMultilevel"/>
    <w:tmpl w:val="7EF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77F0F"/>
    <w:multiLevelType w:val="hybridMultilevel"/>
    <w:tmpl w:val="8F368B92"/>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8">
    <w:nsid w:val="43060989"/>
    <w:multiLevelType w:val="hybridMultilevel"/>
    <w:tmpl w:val="E890588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nsid w:val="45CF493B"/>
    <w:multiLevelType w:val="hybridMultilevel"/>
    <w:tmpl w:val="4E3C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9A0421F"/>
    <w:multiLevelType w:val="hybridMultilevel"/>
    <w:tmpl w:val="B7F49D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A9508DC"/>
    <w:multiLevelType w:val="hybridMultilevel"/>
    <w:tmpl w:val="E5A6C3C0"/>
    <w:lvl w:ilvl="0" w:tplc="C224835C">
      <w:start w:val="4"/>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AA27161"/>
    <w:multiLevelType w:val="hybridMultilevel"/>
    <w:tmpl w:val="CFF8D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E5A0A38"/>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AD73D7"/>
    <w:multiLevelType w:val="hybridMultilevel"/>
    <w:tmpl w:val="AEE87EBA"/>
    <w:lvl w:ilvl="0" w:tplc="04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1FC6DD3"/>
    <w:multiLevelType w:val="hybridMultilevel"/>
    <w:tmpl w:val="F4E0B8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5624EAB"/>
    <w:multiLevelType w:val="hybridMultilevel"/>
    <w:tmpl w:val="545A7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AD6472"/>
    <w:multiLevelType w:val="hybridMultilevel"/>
    <w:tmpl w:val="4FC6D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7C6162F"/>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9E7C79"/>
    <w:multiLevelType w:val="hybridMultilevel"/>
    <w:tmpl w:val="257A3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981771C"/>
    <w:multiLevelType w:val="hybridMultilevel"/>
    <w:tmpl w:val="5F443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9E3173E"/>
    <w:multiLevelType w:val="hybridMultilevel"/>
    <w:tmpl w:val="530A0B36"/>
    <w:lvl w:ilvl="0" w:tplc="0409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5F4D5A9C"/>
    <w:multiLevelType w:val="hybridMultilevel"/>
    <w:tmpl w:val="9FC61CD0"/>
    <w:lvl w:ilvl="0" w:tplc="DB14293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02D5D06"/>
    <w:multiLevelType w:val="hybridMultilevel"/>
    <w:tmpl w:val="E9924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3A87E83"/>
    <w:multiLevelType w:val="hybridMultilevel"/>
    <w:tmpl w:val="70EA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7EA5528"/>
    <w:multiLevelType w:val="hybridMultilevel"/>
    <w:tmpl w:val="D5E2E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B1D7463"/>
    <w:multiLevelType w:val="hybridMultilevel"/>
    <w:tmpl w:val="9E42C9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BB9618F"/>
    <w:multiLevelType w:val="hybridMultilevel"/>
    <w:tmpl w:val="0052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C4733F0"/>
    <w:multiLevelType w:val="hybridMultilevel"/>
    <w:tmpl w:val="9C722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DAB15B3"/>
    <w:multiLevelType w:val="multilevel"/>
    <w:tmpl w:val="8D80E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nsid w:val="6EAD222E"/>
    <w:multiLevelType w:val="hybridMultilevel"/>
    <w:tmpl w:val="148CA5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6FF6113A"/>
    <w:multiLevelType w:val="hybridMultilevel"/>
    <w:tmpl w:val="220EEEF2"/>
    <w:lvl w:ilvl="0" w:tplc="521A2B4C">
      <w:start w:val="1"/>
      <w:numFmt w:val="lowerLetter"/>
      <w:lvlText w:val="(%1)"/>
      <w:lvlJc w:val="left"/>
      <w:pPr>
        <w:ind w:left="1800" w:hanging="360"/>
      </w:pPr>
      <w:rPr>
        <w:rFonts w:ascii="Arial" w:hAnsi="Arial" w:hint="default"/>
        <w:b w:val="0"/>
        <w:i w:val="0"/>
        <w:caps w:val="0"/>
        <w:sz w:val="20"/>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39E44B9"/>
    <w:multiLevelType w:val="hybridMultilevel"/>
    <w:tmpl w:val="3D4011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3B819FB"/>
    <w:multiLevelType w:val="hybridMultilevel"/>
    <w:tmpl w:val="BB3A1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5025C1"/>
    <w:multiLevelType w:val="hybridMultilevel"/>
    <w:tmpl w:val="4F143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CB4464E"/>
    <w:multiLevelType w:val="hybridMultilevel"/>
    <w:tmpl w:val="9EE2C10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F2D22EE"/>
    <w:multiLevelType w:val="hybridMultilevel"/>
    <w:tmpl w:val="8D80E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8"/>
  </w:num>
  <w:num w:numId="2">
    <w:abstractNumId w:val="37"/>
  </w:num>
  <w:num w:numId="3">
    <w:abstractNumId w:val="12"/>
  </w:num>
  <w:num w:numId="4">
    <w:abstractNumId w:val="7"/>
  </w:num>
  <w:num w:numId="5">
    <w:abstractNumId w:val="25"/>
  </w:num>
  <w:num w:numId="6">
    <w:abstractNumId w:val="44"/>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
  </w:num>
  <w:num w:numId="11">
    <w:abstractNumId w:val="38"/>
  </w:num>
  <w:num w:numId="12">
    <w:abstractNumId w:val="16"/>
  </w:num>
  <w:num w:numId="13">
    <w:abstractNumId w:val="2"/>
  </w:num>
  <w:num w:numId="14">
    <w:abstractNumId w:val="26"/>
  </w:num>
  <w:num w:numId="15">
    <w:abstractNumId w:val="20"/>
  </w:num>
  <w:num w:numId="16">
    <w:abstractNumId w:val="42"/>
  </w:num>
  <w:num w:numId="17">
    <w:abstractNumId w:val="4"/>
  </w:num>
  <w:num w:numId="18">
    <w:abstractNumId w:val="29"/>
  </w:num>
  <w:num w:numId="19">
    <w:abstractNumId w:val="8"/>
  </w:num>
  <w:num w:numId="20">
    <w:abstractNumId w:val="34"/>
  </w:num>
  <w:num w:numId="21">
    <w:abstractNumId w:val="6"/>
  </w:num>
  <w:num w:numId="22">
    <w:abstractNumId w:val="13"/>
  </w:num>
  <w:num w:numId="23">
    <w:abstractNumId w:val="14"/>
  </w:num>
  <w:num w:numId="24">
    <w:abstractNumId w:val="17"/>
  </w:num>
  <w:num w:numId="25">
    <w:abstractNumId w:val="30"/>
  </w:num>
  <w:num w:numId="26">
    <w:abstractNumId w:val="27"/>
  </w:num>
  <w:num w:numId="27">
    <w:abstractNumId w:val="9"/>
  </w:num>
  <w:num w:numId="28">
    <w:abstractNumId w:val="35"/>
  </w:num>
  <w:num w:numId="29">
    <w:abstractNumId w:val="19"/>
  </w:num>
  <w:num w:numId="30">
    <w:abstractNumId w:val="10"/>
  </w:num>
  <w:num w:numId="31">
    <w:abstractNumId w:val="45"/>
  </w:num>
  <w:num w:numId="32">
    <w:abstractNumId w:val="40"/>
  </w:num>
  <w:num w:numId="33">
    <w:abstractNumId w:val="46"/>
  </w:num>
  <w:num w:numId="34">
    <w:abstractNumId w:val="43"/>
  </w:num>
  <w:num w:numId="35">
    <w:abstractNumId w:val="23"/>
  </w:num>
  <w:num w:numId="36">
    <w:abstractNumId w:val="11"/>
  </w:num>
  <w:num w:numId="37">
    <w:abstractNumId w:val="39"/>
  </w:num>
  <w:num w:numId="38">
    <w:abstractNumId w:val="33"/>
  </w:num>
  <w:num w:numId="39">
    <w:abstractNumId w:val="22"/>
  </w:num>
  <w:num w:numId="40">
    <w:abstractNumId w:val="0"/>
  </w:num>
  <w:num w:numId="41">
    <w:abstractNumId w:val="41"/>
  </w:num>
  <w:num w:numId="42">
    <w:abstractNumId w:val="24"/>
  </w:num>
  <w:num w:numId="43">
    <w:abstractNumId w:val="15"/>
  </w:num>
  <w:num w:numId="44">
    <w:abstractNumId w:val="1"/>
  </w:num>
  <w:num w:numId="45">
    <w:abstractNumId w:val="46"/>
  </w:num>
  <w:num w:numId="46">
    <w:abstractNumId w:val="32"/>
  </w:num>
  <w:num w:numId="47">
    <w:abstractNumId w:val="21"/>
  </w:num>
  <w:num w:numId="48">
    <w:abstractNumId w:val="3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s-AR"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0"/>
  <w:activeWritingStyle w:appName="MSWord" w:lang="en-US" w:vendorID="64" w:dllVersion="4096" w:nlCheck="1" w:checkStyle="0"/>
  <w:activeWritingStyle w:appName="MSWord" w:lang="fr-CA" w:vendorID="64" w:dllVersion="4096" w:nlCheck="1" w:checkStyle="0"/>
  <w:activeWritingStyle w:appName="MSWord" w:lang="en-CA" w:vendorID="64" w:dllVersion="4096" w:nlCheck="1" w:checkStyle="0"/>
  <w:activeWritingStyle w:appName="MSWord" w:lang="en-US" w:vendorID="64" w:dllVersion="131078" w:nlCheck="1" w:checkStyle="1"/>
  <w:activeWritingStyle w:appName="MSWord" w:lang="fr-CA" w:vendorID="64" w:dllVersion="131078" w:nlCheck="1" w:checkStyle="1"/>
  <w:activeWritingStyle w:appName="MSWord" w:lang="es-AR" w:vendorID="64" w:dllVersion="131078" w:nlCheck="1" w:checkStyle="1"/>
  <w:activeWritingStyle w:appName="MSWord" w:lang="en-CA" w:vendorID="64" w:dllVersion="131078" w:nlCheck="1" w:checkStyle="1"/>
  <w:activeWritingStyle w:appName="MSWord" w:lang="es-ES_tradnl" w:vendorID="64" w:dllVersion="131078" w:nlCheck="1" w:checkStyle="1"/>
  <w:proofState w:grammar="clean"/>
  <w:trackRevisions/>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Ón"/>
    <w:docVar w:name="85TrailerDateField" w:val="~}šÓj"/>
    <w:docVar w:name="85TrailerDraft" w:val="~}¡Óc"/>
    <w:docVar w:name="85TrailerTime" w:val="~}›Ói"/>
    <w:docVar w:name="DocStamp_1_OptionalControlValues" w:val="~} Ó"/>
    <w:docVar w:name="MPDocID" w:val="~}Óhiknilkjhg"/>
    <w:docVar w:name="MPDocIDTemplate" w:val="~}—Ó"/>
    <w:docVar w:name="MPDocIDTemplateDefault" w:val="~}ŸÓZ¤e]ª"/>
    <w:docVar w:name="NewDocStampType" w:val="~}¢Ói"/>
    <w:docVar w:name="zzmp10NoTrailerPromptID" w:val="Active.11548722.1"/>
  </w:docVars>
  <w:rsids>
    <w:rsidRoot w:val="00451CF4"/>
    <w:rsid w:val="00002052"/>
    <w:rsid w:val="00002CBC"/>
    <w:rsid w:val="00003873"/>
    <w:rsid w:val="00004044"/>
    <w:rsid w:val="000064D8"/>
    <w:rsid w:val="00010DF6"/>
    <w:rsid w:val="00010F36"/>
    <w:rsid w:val="000110A9"/>
    <w:rsid w:val="00013941"/>
    <w:rsid w:val="00016F54"/>
    <w:rsid w:val="00017090"/>
    <w:rsid w:val="00020D0D"/>
    <w:rsid w:val="0002124D"/>
    <w:rsid w:val="00021565"/>
    <w:rsid w:val="00023706"/>
    <w:rsid w:val="00023BC5"/>
    <w:rsid w:val="00023DBC"/>
    <w:rsid w:val="00025614"/>
    <w:rsid w:val="00025949"/>
    <w:rsid w:val="0002742B"/>
    <w:rsid w:val="00031C63"/>
    <w:rsid w:val="000327A2"/>
    <w:rsid w:val="000328AA"/>
    <w:rsid w:val="00033C41"/>
    <w:rsid w:val="00033EA2"/>
    <w:rsid w:val="000359CC"/>
    <w:rsid w:val="000365C5"/>
    <w:rsid w:val="00036D51"/>
    <w:rsid w:val="00040690"/>
    <w:rsid w:val="00040FBA"/>
    <w:rsid w:val="0004158B"/>
    <w:rsid w:val="0004284E"/>
    <w:rsid w:val="00042B65"/>
    <w:rsid w:val="00043229"/>
    <w:rsid w:val="00043586"/>
    <w:rsid w:val="00043C17"/>
    <w:rsid w:val="00043F8E"/>
    <w:rsid w:val="0004484E"/>
    <w:rsid w:val="0004588D"/>
    <w:rsid w:val="0004735E"/>
    <w:rsid w:val="0004747B"/>
    <w:rsid w:val="000504E8"/>
    <w:rsid w:val="00050555"/>
    <w:rsid w:val="00050A9F"/>
    <w:rsid w:val="00050DBD"/>
    <w:rsid w:val="000528F0"/>
    <w:rsid w:val="00057387"/>
    <w:rsid w:val="00061FDB"/>
    <w:rsid w:val="0006263A"/>
    <w:rsid w:val="00062C79"/>
    <w:rsid w:val="00064773"/>
    <w:rsid w:val="0006551B"/>
    <w:rsid w:val="000716D5"/>
    <w:rsid w:val="00071BCD"/>
    <w:rsid w:val="00071DF4"/>
    <w:rsid w:val="00077A03"/>
    <w:rsid w:val="00082FA6"/>
    <w:rsid w:val="00084355"/>
    <w:rsid w:val="000853A5"/>
    <w:rsid w:val="00087147"/>
    <w:rsid w:val="00092E13"/>
    <w:rsid w:val="000932B1"/>
    <w:rsid w:val="00096F6B"/>
    <w:rsid w:val="00096FA7"/>
    <w:rsid w:val="00097F5E"/>
    <w:rsid w:val="000A1EF3"/>
    <w:rsid w:val="000A5B77"/>
    <w:rsid w:val="000B0A76"/>
    <w:rsid w:val="000B11A0"/>
    <w:rsid w:val="000B18A4"/>
    <w:rsid w:val="000B2104"/>
    <w:rsid w:val="000B226F"/>
    <w:rsid w:val="000B260D"/>
    <w:rsid w:val="000B42AC"/>
    <w:rsid w:val="000B4702"/>
    <w:rsid w:val="000B5AC7"/>
    <w:rsid w:val="000B712C"/>
    <w:rsid w:val="000C124D"/>
    <w:rsid w:val="000C3157"/>
    <w:rsid w:val="000C5953"/>
    <w:rsid w:val="000D001A"/>
    <w:rsid w:val="000D0E50"/>
    <w:rsid w:val="000D1245"/>
    <w:rsid w:val="000D3DC7"/>
    <w:rsid w:val="000D3E93"/>
    <w:rsid w:val="000D45D4"/>
    <w:rsid w:val="000D67E4"/>
    <w:rsid w:val="000D7DDC"/>
    <w:rsid w:val="000E1597"/>
    <w:rsid w:val="000E15D7"/>
    <w:rsid w:val="000E2B52"/>
    <w:rsid w:val="000E3366"/>
    <w:rsid w:val="000E466B"/>
    <w:rsid w:val="000E565B"/>
    <w:rsid w:val="000F076D"/>
    <w:rsid w:val="000F113B"/>
    <w:rsid w:val="000F2EBB"/>
    <w:rsid w:val="000F4F65"/>
    <w:rsid w:val="000F5DC2"/>
    <w:rsid w:val="000F6D34"/>
    <w:rsid w:val="000F6DC0"/>
    <w:rsid w:val="00100490"/>
    <w:rsid w:val="0010536B"/>
    <w:rsid w:val="00105738"/>
    <w:rsid w:val="00105A4A"/>
    <w:rsid w:val="00106A1F"/>
    <w:rsid w:val="00107F1A"/>
    <w:rsid w:val="00111924"/>
    <w:rsid w:val="00111AED"/>
    <w:rsid w:val="00111F93"/>
    <w:rsid w:val="0011602C"/>
    <w:rsid w:val="001221DA"/>
    <w:rsid w:val="00124B40"/>
    <w:rsid w:val="00124CC6"/>
    <w:rsid w:val="0012698E"/>
    <w:rsid w:val="00127416"/>
    <w:rsid w:val="00130191"/>
    <w:rsid w:val="00130CE8"/>
    <w:rsid w:val="00133EFB"/>
    <w:rsid w:val="001340CF"/>
    <w:rsid w:val="001350B6"/>
    <w:rsid w:val="001402A6"/>
    <w:rsid w:val="00143924"/>
    <w:rsid w:val="001448D4"/>
    <w:rsid w:val="00147EB6"/>
    <w:rsid w:val="00150AAE"/>
    <w:rsid w:val="00150D8D"/>
    <w:rsid w:val="00151262"/>
    <w:rsid w:val="00152632"/>
    <w:rsid w:val="001548FF"/>
    <w:rsid w:val="0015763C"/>
    <w:rsid w:val="0016148F"/>
    <w:rsid w:val="00163687"/>
    <w:rsid w:val="00163CC7"/>
    <w:rsid w:val="00163F57"/>
    <w:rsid w:val="00165DB6"/>
    <w:rsid w:val="00165FD0"/>
    <w:rsid w:val="00166A46"/>
    <w:rsid w:val="0016764C"/>
    <w:rsid w:val="00171E7C"/>
    <w:rsid w:val="00172E2F"/>
    <w:rsid w:val="001736B6"/>
    <w:rsid w:val="00175025"/>
    <w:rsid w:val="001757BE"/>
    <w:rsid w:val="00177A20"/>
    <w:rsid w:val="0018034E"/>
    <w:rsid w:val="00180591"/>
    <w:rsid w:val="001813D7"/>
    <w:rsid w:val="0018209F"/>
    <w:rsid w:val="00183B25"/>
    <w:rsid w:val="0018437C"/>
    <w:rsid w:val="00184829"/>
    <w:rsid w:val="00186D93"/>
    <w:rsid w:val="0019019A"/>
    <w:rsid w:val="00191DD8"/>
    <w:rsid w:val="0019349D"/>
    <w:rsid w:val="00193809"/>
    <w:rsid w:val="0019396D"/>
    <w:rsid w:val="00193DB3"/>
    <w:rsid w:val="001958AD"/>
    <w:rsid w:val="001959BF"/>
    <w:rsid w:val="001962FB"/>
    <w:rsid w:val="00197745"/>
    <w:rsid w:val="001A0FBE"/>
    <w:rsid w:val="001A18FA"/>
    <w:rsid w:val="001A2143"/>
    <w:rsid w:val="001A2FFF"/>
    <w:rsid w:val="001A4EF4"/>
    <w:rsid w:val="001A5D38"/>
    <w:rsid w:val="001A750D"/>
    <w:rsid w:val="001B3527"/>
    <w:rsid w:val="001B3DD2"/>
    <w:rsid w:val="001B4784"/>
    <w:rsid w:val="001B5749"/>
    <w:rsid w:val="001C13CF"/>
    <w:rsid w:val="001C23B1"/>
    <w:rsid w:val="001C3A55"/>
    <w:rsid w:val="001C4321"/>
    <w:rsid w:val="001C57CC"/>
    <w:rsid w:val="001C732D"/>
    <w:rsid w:val="001D1F97"/>
    <w:rsid w:val="001D2046"/>
    <w:rsid w:val="001D2FCD"/>
    <w:rsid w:val="001D3C6E"/>
    <w:rsid w:val="001D4E4B"/>
    <w:rsid w:val="001D50E7"/>
    <w:rsid w:val="001D7957"/>
    <w:rsid w:val="001E04EC"/>
    <w:rsid w:val="001E082A"/>
    <w:rsid w:val="001E2415"/>
    <w:rsid w:val="001E38D5"/>
    <w:rsid w:val="001E52F0"/>
    <w:rsid w:val="001E7429"/>
    <w:rsid w:val="001F3710"/>
    <w:rsid w:val="001F4B94"/>
    <w:rsid w:val="001F5DB2"/>
    <w:rsid w:val="001F6291"/>
    <w:rsid w:val="001F70CE"/>
    <w:rsid w:val="001F719A"/>
    <w:rsid w:val="002001A1"/>
    <w:rsid w:val="00201A1C"/>
    <w:rsid w:val="00204799"/>
    <w:rsid w:val="0020498C"/>
    <w:rsid w:val="00204DD7"/>
    <w:rsid w:val="00205E97"/>
    <w:rsid w:val="002071BE"/>
    <w:rsid w:val="0020731E"/>
    <w:rsid w:val="00207F74"/>
    <w:rsid w:val="0021022C"/>
    <w:rsid w:val="0021087B"/>
    <w:rsid w:val="0021137C"/>
    <w:rsid w:val="00214319"/>
    <w:rsid w:val="0021452F"/>
    <w:rsid w:val="002150FE"/>
    <w:rsid w:val="00216E19"/>
    <w:rsid w:val="00221DD0"/>
    <w:rsid w:val="00224562"/>
    <w:rsid w:val="00224564"/>
    <w:rsid w:val="00224989"/>
    <w:rsid w:val="002250FD"/>
    <w:rsid w:val="002251DB"/>
    <w:rsid w:val="00226AF8"/>
    <w:rsid w:val="00227D59"/>
    <w:rsid w:val="002300CD"/>
    <w:rsid w:val="002305ED"/>
    <w:rsid w:val="0023639F"/>
    <w:rsid w:val="0023725A"/>
    <w:rsid w:val="00237B81"/>
    <w:rsid w:val="00237BD0"/>
    <w:rsid w:val="00242114"/>
    <w:rsid w:val="0024282E"/>
    <w:rsid w:val="00242953"/>
    <w:rsid w:val="00243DE1"/>
    <w:rsid w:val="00244EDD"/>
    <w:rsid w:val="002455EC"/>
    <w:rsid w:val="00246DC8"/>
    <w:rsid w:val="00250882"/>
    <w:rsid w:val="00251D5C"/>
    <w:rsid w:val="0025247B"/>
    <w:rsid w:val="00256865"/>
    <w:rsid w:val="00257531"/>
    <w:rsid w:val="00257631"/>
    <w:rsid w:val="00260E18"/>
    <w:rsid w:val="00261484"/>
    <w:rsid w:val="00261490"/>
    <w:rsid w:val="00261E3B"/>
    <w:rsid w:val="0026227D"/>
    <w:rsid w:val="002649E7"/>
    <w:rsid w:val="00270E00"/>
    <w:rsid w:val="00271DD1"/>
    <w:rsid w:val="002729B8"/>
    <w:rsid w:val="002755B9"/>
    <w:rsid w:val="00276834"/>
    <w:rsid w:val="00276A89"/>
    <w:rsid w:val="00276D5A"/>
    <w:rsid w:val="00277BA3"/>
    <w:rsid w:val="00282185"/>
    <w:rsid w:val="00282271"/>
    <w:rsid w:val="00282EE9"/>
    <w:rsid w:val="00285B22"/>
    <w:rsid w:val="0028761D"/>
    <w:rsid w:val="00290BF2"/>
    <w:rsid w:val="00292BEA"/>
    <w:rsid w:val="002935B9"/>
    <w:rsid w:val="00294A5A"/>
    <w:rsid w:val="002955AA"/>
    <w:rsid w:val="002A2079"/>
    <w:rsid w:val="002A3E04"/>
    <w:rsid w:val="002A49FB"/>
    <w:rsid w:val="002A5742"/>
    <w:rsid w:val="002A671A"/>
    <w:rsid w:val="002A7212"/>
    <w:rsid w:val="002A7277"/>
    <w:rsid w:val="002B08E6"/>
    <w:rsid w:val="002B0AA5"/>
    <w:rsid w:val="002B3F93"/>
    <w:rsid w:val="002B58A2"/>
    <w:rsid w:val="002B58FA"/>
    <w:rsid w:val="002C0819"/>
    <w:rsid w:val="002C1F1B"/>
    <w:rsid w:val="002C2184"/>
    <w:rsid w:val="002C35DF"/>
    <w:rsid w:val="002C476A"/>
    <w:rsid w:val="002D12FD"/>
    <w:rsid w:val="002D18EB"/>
    <w:rsid w:val="002D2781"/>
    <w:rsid w:val="002D2B1A"/>
    <w:rsid w:val="002D2CA8"/>
    <w:rsid w:val="002D3324"/>
    <w:rsid w:val="002D437E"/>
    <w:rsid w:val="002D4926"/>
    <w:rsid w:val="002D5874"/>
    <w:rsid w:val="002D5F29"/>
    <w:rsid w:val="002D728B"/>
    <w:rsid w:val="002D7E84"/>
    <w:rsid w:val="002E10DF"/>
    <w:rsid w:val="002E1BE1"/>
    <w:rsid w:val="002E2665"/>
    <w:rsid w:val="002E3BD6"/>
    <w:rsid w:val="002E4CEF"/>
    <w:rsid w:val="002E6351"/>
    <w:rsid w:val="002E696C"/>
    <w:rsid w:val="002F1211"/>
    <w:rsid w:val="002F58C1"/>
    <w:rsid w:val="00300A6A"/>
    <w:rsid w:val="00302DB2"/>
    <w:rsid w:val="0030594E"/>
    <w:rsid w:val="00306C05"/>
    <w:rsid w:val="00311088"/>
    <w:rsid w:val="003111C0"/>
    <w:rsid w:val="00311748"/>
    <w:rsid w:val="00312941"/>
    <w:rsid w:val="00312FFB"/>
    <w:rsid w:val="0031322E"/>
    <w:rsid w:val="003136C8"/>
    <w:rsid w:val="0031396D"/>
    <w:rsid w:val="00314102"/>
    <w:rsid w:val="00314734"/>
    <w:rsid w:val="00315C11"/>
    <w:rsid w:val="00317357"/>
    <w:rsid w:val="003176C0"/>
    <w:rsid w:val="00320949"/>
    <w:rsid w:val="003223CF"/>
    <w:rsid w:val="00326995"/>
    <w:rsid w:val="003300CB"/>
    <w:rsid w:val="00330EAF"/>
    <w:rsid w:val="00331B5F"/>
    <w:rsid w:val="00331FEE"/>
    <w:rsid w:val="00331FFF"/>
    <w:rsid w:val="0033254F"/>
    <w:rsid w:val="00333973"/>
    <w:rsid w:val="00335EAB"/>
    <w:rsid w:val="0033680E"/>
    <w:rsid w:val="003409A2"/>
    <w:rsid w:val="0034165A"/>
    <w:rsid w:val="0034194B"/>
    <w:rsid w:val="00343121"/>
    <w:rsid w:val="00347D43"/>
    <w:rsid w:val="003510F5"/>
    <w:rsid w:val="00351B1F"/>
    <w:rsid w:val="00352472"/>
    <w:rsid w:val="003535B4"/>
    <w:rsid w:val="0035496E"/>
    <w:rsid w:val="00356261"/>
    <w:rsid w:val="003565FD"/>
    <w:rsid w:val="00360903"/>
    <w:rsid w:val="00360B79"/>
    <w:rsid w:val="00361D69"/>
    <w:rsid w:val="00362AC3"/>
    <w:rsid w:val="00363C9C"/>
    <w:rsid w:val="00363E05"/>
    <w:rsid w:val="00364347"/>
    <w:rsid w:val="00364E20"/>
    <w:rsid w:val="003651A6"/>
    <w:rsid w:val="0036598D"/>
    <w:rsid w:val="003660A7"/>
    <w:rsid w:val="00366F03"/>
    <w:rsid w:val="00367986"/>
    <w:rsid w:val="003730CD"/>
    <w:rsid w:val="00373A5A"/>
    <w:rsid w:val="00375815"/>
    <w:rsid w:val="00376229"/>
    <w:rsid w:val="0038056F"/>
    <w:rsid w:val="0038118E"/>
    <w:rsid w:val="0038150D"/>
    <w:rsid w:val="00381F7A"/>
    <w:rsid w:val="003828A1"/>
    <w:rsid w:val="00382FD1"/>
    <w:rsid w:val="00384EE0"/>
    <w:rsid w:val="00385916"/>
    <w:rsid w:val="003871F4"/>
    <w:rsid w:val="00387B39"/>
    <w:rsid w:val="003911F5"/>
    <w:rsid w:val="00394995"/>
    <w:rsid w:val="00394AC6"/>
    <w:rsid w:val="00397FCF"/>
    <w:rsid w:val="003A153C"/>
    <w:rsid w:val="003A2584"/>
    <w:rsid w:val="003A364B"/>
    <w:rsid w:val="003A442A"/>
    <w:rsid w:val="003A4861"/>
    <w:rsid w:val="003A5D6C"/>
    <w:rsid w:val="003A6999"/>
    <w:rsid w:val="003A7F98"/>
    <w:rsid w:val="003B034C"/>
    <w:rsid w:val="003B0C94"/>
    <w:rsid w:val="003B10AC"/>
    <w:rsid w:val="003B161A"/>
    <w:rsid w:val="003B1A61"/>
    <w:rsid w:val="003B3C88"/>
    <w:rsid w:val="003B51FA"/>
    <w:rsid w:val="003B6B71"/>
    <w:rsid w:val="003C1736"/>
    <w:rsid w:val="003C2512"/>
    <w:rsid w:val="003C3173"/>
    <w:rsid w:val="003C5C0A"/>
    <w:rsid w:val="003C74EE"/>
    <w:rsid w:val="003D0414"/>
    <w:rsid w:val="003D056F"/>
    <w:rsid w:val="003D2A18"/>
    <w:rsid w:val="003D2ABA"/>
    <w:rsid w:val="003D3760"/>
    <w:rsid w:val="003D3CB8"/>
    <w:rsid w:val="003D46D7"/>
    <w:rsid w:val="003D5265"/>
    <w:rsid w:val="003D6FD4"/>
    <w:rsid w:val="003E1653"/>
    <w:rsid w:val="003E2504"/>
    <w:rsid w:val="003E72F5"/>
    <w:rsid w:val="003E749F"/>
    <w:rsid w:val="003E7896"/>
    <w:rsid w:val="003E78A4"/>
    <w:rsid w:val="003F11B9"/>
    <w:rsid w:val="003F2314"/>
    <w:rsid w:val="003F2629"/>
    <w:rsid w:val="003F2A86"/>
    <w:rsid w:val="003F2DC9"/>
    <w:rsid w:val="003F390F"/>
    <w:rsid w:val="003F3DB3"/>
    <w:rsid w:val="003F48A8"/>
    <w:rsid w:val="003F6225"/>
    <w:rsid w:val="003F6502"/>
    <w:rsid w:val="004040D4"/>
    <w:rsid w:val="00404FBC"/>
    <w:rsid w:val="00406C3A"/>
    <w:rsid w:val="00410670"/>
    <w:rsid w:val="00411ECA"/>
    <w:rsid w:val="00415EE8"/>
    <w:rsid w:val="004162E7"/>
    <w:rsid w:val="0042016C"/>
    <w:rsid w:val="00420A54"/>
    <w:rsid w:val="0042130F"/>
    <w:rsid w:val="0042133D"/>
    <w:rsid w:val="00421439"/>
    <w:rsid w:val="004226A6"/>
    <w:rsid w:val="00422F75"/>
    <w:rsid w:val="004230C2"/>
    <w:rsid w:val="00424546"/>
    <w:rsid w:val="00424A5E"/>
    <w:rsid w:val="00425CF4"/>
    <w:rsid w:val="0042733B"/>
    <w:rsid w:val="00427A41"/>
    <w:rsid w:val="00430A92"/>
    <w:rsid w:val="0043147E"/>
    <w:rsid w:val="00431AE5"/>
    <w:rsid w:val="00433016"/>
    <w:rsid w:val="00433408"/>
    <w:rsid w:val="004365FF"/>
    <w:rsid w:val="00440E89"/>
    <w:rsid w:val="00442A8E"/>
    <w:rsid w:val="0044467D"/>
    <w:rsid w:val="00444737"/>
    <w:rsid w:val="00444BB3"/>
    <w:rsid w:val="00444BDB"/>
    <w:rsid w:val="00444DAF"/>
    <w:rsid w:val="004505FD"/>
    <w:rsid w:val="00451504"/>
    <w:rsid w:val="00451C2D"/>
    <w:rsid w:val="00451CF4"/>
    <w:rsid w:val="004524AF"/>
    <w:rsid w:val="00454132"/>
    <w:rsid w:val="004558E2"/>
    <w:rsid w:val="004561FE"/>
    <w:rsid w:val="00456BA5"/>
    <w:rsid w:val="004606BC"/>
    <w:rsid w:val="004607BF"/>
    <w:rsid w:val="0046388A"/>
    <w:rsid w:val="00467343"/>
    <w:rsid w:val="0047043F"/>
    <w:rsid w:val="00471421"/>
    <w:rsid w:val="00472F63"/>
    <w:rsid w:val="00473983"/>
    <w:rsid w:val="00473BB3"/>
    <w:rsid w:val="00476357"/>
    <w:rsid w:val="004765E0"/>
    <w:rsid w:val="00476F8A"/>
    <w:rsid w:val="00477B67"/>
    <w:rsid w:val="00477D6C"/>
    <w:rsid w:val="00481185"/>
    <w:rsid w:val="004813E2"/>
    <w:rsid w:val="004835F9"/>
    <w:rsid w:val="004837E0"/>
    <w:rsid w:val="0048492B"/>
    <w:rsid w:val="00486ADF"/>
    <w:rsid w:val="00490BF6"/>
    <w:rsid w:val="004915EA"/>
    <w:rsid w:val="00491C14"/>
    <w:rsid w:val="00492E7A"/>
    <w:rsid w:val="004946E4"/>
    <w:rsid w:val="004951CB"/>
    <w:rsid w:val="004A125B"/>
    <w:rsid w:val="004A162B"/>
    <w:rsid w:val="004A22F6"/>
    <w:rsid w:val="004A56D3"/>
    <w:rsid w:val="004A5E44"/>
    <w:rsid w:val="004A62EF"/>
    <w:rsid w:val="004A72E9"/>
    <w:rsid w:val="004B3239"/>
    <w:rsid w:val="004B3350"/>
    <w:rsid w:val="004B38BC"/>
    <w:rsid w:val="004B7A11"/>
    <w:rsid w:val="004C3EED"/>
    <w:rsid w:val="004C41BA"/>
    <w:rsid w:val="004C7547"/>
    <w:rsid w:val="004D007F"/>
    <w:rsid w:val="004D1773"/>
    <w:rsid w:val="004D30A2"/>
    <w:rsid w:val="004D43B3"/>
    <w:rsid w:val="004D53DC"/>
    <w:rsid w:val="004D7A0C"/>
    <w:rsid w:val="004E1F41"/>
    <w:rsid w:val="004E259A"/>
    <w:rsid w:val="004E275F"/>
    <w:rsid w:val="004E3F38"/>
    <w:rsid w:val="004F0CD4"/>
    <w:rsid w:val="004F14A0"/>
    <w:rsid w:val="004F1A2A"/>
    <w:rsid w:val="004F3AF4"/>
    <w:rsid w:val="005031C4"/>
    <w:rsid w:val="00503790"/>
    <w:rsid w:val="005047CA"/>
    <w:rsid w:val="00504942"/>
    <w:rsid w:val="00505674"/>
    <w:rsid w:val="00506357"/>
    <w:rsid w:val="00507610"/>
    <w:rsid w:val="00510753"/>
    <w:rsid w:val="00511BFC"/>
    <w:rsid w:val="005125B4"/>
    <w:rsid w:val="00512967"/>
    <w:rsid w:val="00516385"/>
    <w:rsid w:val="00521406"/>
    <w:rsid w:val="00521575"/>
    <w:rsid w:val="00524F06"/>
    <w:rsid w:val="00525A77"/>
    <w:rsid w:val="00526C37"/>
    <w:rsid w:val="00527E54"/>
    <w:rsid w:val="00534994"/>
    <w:rsid w:val="00535FCD"/>
    <w:rsid w:val="00537C71"/>
    <w:rsid w:val="005410CE"/>
    <w:rsid w:val="00545286"/>
    <w:rsid w:val="005455C7"/>
    <w:rsid w:val="00545AF7"/>
    <w:rsid w:val="00550248"/>
    <w:rsid w:val="005510D2"/>
    <w:rsid w:val="0055136D"/>
    <w:rsid w:val="005530D5"/>
    <w:rsid w:val="005537C0"/>
    <w:rsid w:val="005538A3"/>
    <w:rsid w:val="00554BA3"/>
    <w:rsid w:val="00556A17"/>
    <w:rsid w:val="00557B5A"/>
    <w:rsid w:val="00557EF1"/>
    <w:rsid w:val="00560BF7"/>
    <w:rsid w:val="00561698"/>
    <w:rsid w:val="00561DCA"/>
    <w:rsid w:val="0056207A"/>
    <w:rsid w:val="00562B74"/>
    <w:rsid w:val="005635F2"/>
    <w:rsid w:val="005642EA"/>
    <w:rsid w:val="00564F26"/>
    <w:rsid w:val="005650AA"/>
    <w:rsid w:val="005677EF"/>
    <w:rsid w:val="00567DAB"/>
    <w:rsid w:val="00570F49"/>
    <w:rsid w:val="00575CCA"/>
    <w:rsid w:val="00576FAF"/>
    <w:rsid w:val="00577316"/>
    <w:rsid w:val="00580163"/>
    <w:rsid w:val="005808F2"/>
    <w:rsid w:val="00580D2A"/>
    <w:rsid w:val="00582E74"/>
    <w:rsid w:val="00585291"/>
    <w:rsid w:val="00585A15"/>
    <w:rsid w:val="00585AFD"/>
    <w:rsid w:val="00586159"/>
    <w:rsid w:val="00590381"/>
    <w:rsid w:val="005903FD"/>
    <w:rsid w:val="00592C42"/>
    <w:rsid w:val="005930C7"/>
    <w:rsid w:val="00595CFF"/>
    <w:rsid w:val="005A332A"/>
    <w:rsid w:val="005A3BED"/>
    <w:rsid w:val="005A54AE"/>
    <w:rsid w:val="005A76EE"/>
    <w:rsid w:val="005B0CA0"/>
    <w:rsid w:val="005B101B"/>
    <w:rsid w:val="005B2A9F"/>
    <w:rsid w:val="005B3A0F"/>
    <w:rsid w:val="005B3B95"/>
    <w:rsid w:val="005B54CC"/>
    <w:rsid w:val="005B57D3"/>
    <w:rsid w:val="005B5DEC"/>
    <w:rsid w:val="005B66FF"/>
    <w:rsid w:val="005B6E81"/>
    <w:rsid w:val="005B7CF0"/>
    <w:rsid w:val="005C0268"/>
    <w:rsid w:val="005C1221"/>
    <w:rsid w:val="005C1A8F"/>
    <w:rsid w:val="005C2CAA"/>
    <w:rsid w:val="005C42FD"/>
    <w:rsid w:val="005C4CA1"/>
    <w:rsid w:val="005C51FA"/>
    <w:rsid w:val="005C5F09"/>
    <w:rsid w:val="005D19BE"/>
    <w:rsid w:val="005D220E"/>
    <w:rsid w:val="005D3131"/>
    <w:rsid w:val="005D4AE2"/>
    <w:rsid w:val="005D59C7"/>
    <w:rsid w:val="005D5E6B"/>
    <w:rsid w:val="005D6CDC"/>
    <w:rsid w:val="005D7A7F"/>
    <w:rsid w:val="005E037E"/>
    <w:rsid w:val="005E10D3"/>
    <w:rsid w:val="005E150A"/>
    <w:rsid w:val="005E47B1"/>
    <w:rsid w:val="005E5C39"/>
    <w:rsid w:val="005E6FD2"/>
    <w:rsid w:val="005E7D4B"/>
    <w:rsid w:val="005F2B3F"/>
    <w:rsid w:val="005F3BD4"/>
    <w:rsid w:val="00600AD8"/>
    <w:rsid w:val="00600F10"/>
    <w:rsid w:val="00603465"/>
    <w:rsid w:val="00604D4C"/>
    <w:rsid w:val="00612407"/>
    <w:rsid w:val="0061268E"/>
    <w:rsid w:val="006129D0"/>
    <w:rsid w:val="00614D39"/>
    <w:rsid w:val="006152F0"/>
    <w:rsid w:val="00615EAB"/>
    <w:rsid w:val="00616468"/>
    <w:rsid w:val="00620130"/>
    <w:rsid w:val="006205E9"/>
    <w:rsid w:val="00621BDE"/>
    <w:rsid w:val="0062427C"/>
    <w:rsid w:val="0062710F"/>
    <w:rsid w:val="00630F44"/>
    <w:rsid w:val="00632DCB"/>
    <w:rsid w:val="00634146"/>
    <w:rsid w:val="00636042"/>
    <w:rsid w:val="0063768C"/>
    <w:rsid w:val="00641069"/>
    <w:rsid w:val="006429BF"/>
    <w:rsid w:val="00643A42"/>
    <w:rsid w:val="006440C6"/>
    <w:rsid w:val="006441EC"/>
    <w:rsid w:val="006450F3"/>
    <w:rsid w:val="00647903"/>
    <w:rsid w:val="00647A3A"/>
    <w:rsid w:val="0065036C"/>
    <w:rsid w:val="00650B31"/>
    <w:rsid w:val="00651DB8"/>
    <w:rsid w:val="006525BF"/>
    <w:rsid w:val="00652FDE"/>
    <w:rsid w:val="006536A0"/>
    <w:rsid w:val="006537C6"/>
    <w:rsid w:val="00654301"/>
    <w:rsid w:val="00657FED"/>
    <w:rsid w:val="00660CEE"/>
    <w:rsid w:val="0066523D"/>
    <w:rsid w:val="00665CD8"/>
    <w:rsid w:val="00666006"/>
    <w:rsid w:val="006676F8"/>
    <w:rsid w:val="00671196"/>
    <w:rsid w:val="00671597"/>
    <w:rsid w:val="00673315"/>
    <w:rsid w:val="00673696"/>
    <w:rsid w:val="00673AE9"/>
    <w:rsid w:val="00674C25"/>
    <w:rsid w:val="006752C5"/>
    <w:rsid w:val="006765D3"/>
    <w:rsid w:val="006804F0"/>
    <w:rsid w:val="00680AF3"/>
    <w:rsid w:val="00680B0F"/>
    <w:rsid w:val="0068141D"/>
    <w:rsid w:val="0068268A"/>
    <w:rsid w:val="00682D56"/>
    <w:rsid w:val="006865E7"/>
    <w:rsid w:val="00687575"/>
    <w:rsid w:val="0069094C"/>
    <w:rsid w:val="00691764"/>
    <w:rsid w:val="00692619"/>
    <w:rsid w:val="006927BD"/>
    <w:rsid w:val="006A00E1"/>
    <w:rsid w:val="006A05C7"/>
    <w:rsid w:val="006A0FBE"/>
    <w:rsid w:val="006A35F2"/>
    <w:rsid w:val="006A49D9"/>
    <w:rsid w:val="006B0B93"/>
    <w:rsid w:val="006B19DD"/>
    <w:rsid w:val="006B1AA5"/>
    <w:rsid w:val="006B42DD"/>
    <w:rsid w:val="006B5970"/>
    <w:rsid w:val="006B76F6"/>
    <w:rsid w:val="006C31C2"/>
    <w:rsid w:val="006C3601"/>
    <w:rsid w:val="006C5430"/>
    <w:rsid w:val="006D2324"/>
    <w:rsid w:val="006D58DE"/>
    <w:rsid w:val="006D70DD"/>
    <w:rsid w:val="006E01EA"/>
    <w:rsid w:val="006E2A6A"/>
    <w:rsid w:val="006E2E70"/>
    <w:rsid w:val="006E3CA5"/>
    <w:rsid w:val="006E3DAB"/>
    <w:rsid w:val="006E4BCC"/>
    <w:rsid w:val="006E4FDF"/>
    <w:rsid w:val="006F0463"/>
    <w:rsid w:val="006F1857"/>
    <w:rsid w:val="006F2E1B"/>
    <w:rsid w:val="006F49B6"/>
    <w:rsid w:val="006F574E"/>
    <w:rsid w:val="006F6422"/>
    <w:rsid w:val="006F79CF"/>
    <w:rsid w:val="007017C7"/>
    <w:rsid w:val="00702424"/>
    <w:rsid w:val="007035D8"/>
    <w:rsid w:val="00704C4B"/>
    <w:rsid w:val="007051B2"/>
    <w:rsid w:val="0070547D"/>
    <w:rsid w:val="00705876"/>
    <w:rsid w:val="007068A8"/>
    <w:rsid w:val="00706B11"/>
    <w:rsid w:val="00710380"/>
    <w:rsid w:val="007107B9"/>
    <w:rsid w:val="00710E87"/>
    <w:rsid w:val="00712DEE"/>
    <w:rsid w:val="00714855"/>
    <w:rsid w:val="00716692"/>
    <w:rsid w:val="007176BE"/>
    <w:rsid w:val="00717B62"/>
    <w:rsid w:val="007217F0"/>
    <w:rsid w:val="007225FB"/>
    <w:rsid w:val="00722F1F"/>
    <w:rsid w:val="0072396E"/>
    <w:rsid w:val="00723A6C"/>
    <w:rsid w:val="007250DB"/>
    <w:rsid w:val="0072716B"/>
    <w:rsid w:val="007308DC"/>
    <w:rsid w:val="00731862"/>
    <w:rsid w:val="0073215F"/>
    <w:rsid w:val="007322B7"/>
    <w:rsid w:val="007323F4"/>
    <w:rsid w:val="00732D37"/>
    <w:rsid w:val="00732E00"/>
    <w:rsid w:val="00733B9A"/>
    <w:rsid w:val="007350C5"/>
    <w:rsid w:val="007359BD"/>
    <w:rsid w:val="0073723B"/>
    <w:rsid w:val="00737588"/>
    <w:rsid w:val="00741B18"/>
    <w:rsid w:val="00742571"/>
    <w:rsid w:val="007476F4"/>
    <w:rsid w:val="007541AF"/>
    <w:rsid w:val="00756921"/>
    <w:rsid w:val="00760643"/>
    <w:rsid w:val="007607DA"/>
    <w:rsid w:val="007623D2"/>
    <w:rsid w:val="00764D43"/>
    <w:rsid w:val="007706BB"/>
    <w:rsid w:val="0077216A"/>
    <w:rsid w:val="00772EDD"/>
    <w:rsid w:val="00774F93"/>
    <w:rsid w:val="00780C91"/>
    <w:rsid w:val="00781121"/>
    <w:rsid w:val="00782B0E"/>
    <w:rsid w:val="007841B4"/>
    <w:rsid w:val="00784275"/>
    <w:rsid w:val="007902A7"/>
    <w:rsid w:val="0079101C"/>
    <w:rsid w:val="00791696"/>
    <w:rsid w:val="007926D8"/>
    <w:rsid w:val="00792DE7"/>
    <w:rsid w:val="00794110"/>
    <w:rsid w:val="007943B5"/>
    <w:rsid w:val="007965EC"/>
    <w:rsid w:val="00796733"/>
    <w:rsid w:val="007967A2"/>
    <w:rsid w:val="00796FBE"/>
    <w:rsid w:val="007A0BC2"/>
    <w:rsid w:val="007B1463"/>
    <w:rsid w:val="007B278E"/>
    <w:rsid w:val="007B2A35"/>
    <w:rsid w:val="007B3383"/>
    <w:rsid w:val="007B3EA0"/>
    <w:rsid w:val="007B573B"/>
    <w:rsid w:val="007B608F"/>
    <w:rsid w:val="007C0668"/>
    <w:rsid w:val="007C0984"/>
    <w:rsid w:val="007C2985"/>
    <w:rsid w:val="007C3AF5"/>
    <w:rsid w:val="007C5641"/>
    <w:rsid w:val="007C5BC3"/>
    <w:rsid w:val="007C6484"/>
    <w:rsid w:val="007D1BFB"/>
    <w:rsid w:val="007D2EC1"/>
    <w:rsid w:val="007D3FA8"/>
    <w:rsid w:val="007D4AFB"/>
    <w:rsid w:val="007E009C"/>
    <w:rsid w:val="007E148B"/>
    <w:rsid w:val="007E35A3"/>
    <w:rsid w:val="007E51B9"/>
    <w:rsid w:val="007E7C6B"/>
    <w:rsid w:val="007F029A"/>
    <w:rsid w:val="007F4A31"/>
    <w:rsid w:val="007F60DD"/>
    <w:rsid w:val="007F7102"/>
    <w:rsid w:val="007F7668"/>
    <w:rsid w:val="00801187"/>
    <w:rsid w:val="00803BC6"/>
    <w:rsid w:val="00804AC8"/>
    <w:rsid w:val="008077EB"/>
    <w:rsid w:val="008100FA"/>
    <w:rsid w:val="00810E7B"/>
    <w:rsid w:val="008120DC"/>
    <w:rsid w:val="008130F7"/>
    <w:rsid w:val="0081326E"/>
    <w:rsid w:val="00813ACB"/>
    <w:rsid w:val="008152FC"/>
    <w:rsid w:val="00815A2C"/>
    <w:rsid w:val="00816866"/>
    <w:rsid w:val="00817879"/>
    <w:rsid w:val="00821524"/>
    <w:rsid w:val="0082234E"/>
    <w:rsid w:val="00824AF3"/>
    <w:rsid w:val="00824B0A"/>
    <w:rsid w:val="00825896"/>
    <w:rsid w:val="00826004"/>
    <w:rsid w:val="008262F6"/>
    <w:rsid w:val="008275CC"/>
    <w:rsid w:val="0083377B"/>
    <w:rsid w:val="00834882"/>
    <w:rsid w:val="0083503B"/>
    <w:rsid w:val="00835906"/>
    <w:rsid w:val="008359E3"/>
    <w:rsid w:val="00836849"/>
    <w:rsid w:val="0083782D"/>
    <w:rsid w:val="00841A1C"/>
    <w:rsid w:val="008424E2"/>
    <w:rsid w:val="008438D6"/>
    <w:rsid w:val="00843B59"/>
    <w:rsid w:val="00844E6E"/>
    <w:rsid w:val="00845B2D"/>
    <w:rsid w:val="008464E0"/>
    <w:rsid w:val="008527B2"/>
    <w:rsid w:val="00855332"/>
    <w:rsid w:val="008562E0"/>
    <w:rsid w:val="00856984"/>
    <w:rsid w:val="008573AF"/>
    <w:rsid w:val="00857C65"/>
    <w:rsid w:val="00857CD0"/>
    <w:rsid w:val="00860011"/>
    <w:rsid w:val="00860260"/>
    <w:rsid w:val="00860FDB"/>
    <w:rsid w:val="00861EBD"/>
    <w:rsid w:val="008624FE"/>
    <w:rsid w:val="00862703"/>
    <w:rsid w:val="0086643A"/>
    <w:rsid w:val="00866799"/>
    <w:rsid w:val="008667EA"/>
    <w:rsid w:val="0087035E"/>
    <w:rsid w:val="00870BD2"/>
    <w:rsid w:val="00870C86"/>
    <w:rsid w:val="0087217B"/>
    <w:rsid w:val="00875D8F"/>
    <w:rsid w:val="00876008"/>
    <w:rsid w:val="008805F3"/>
    <w:rsid w:val="008809C0"/>
    <w:rsid w:val="0088103E"/>
    <w:rsid w:val="00882412"/>
    <w:rsid w:val="00882EDA"/>
    <w:rsid w:val="0088424E"/>
    <w:rsid w:val="008872C5"/>
    <w:rsid w:val="008872D7"/>
    <w:rsid w:val="00890F97"/>
    <w:rsid w:val="00893629"/>
    <w:rsid w:val="00895F23"/>
    <w:rsid w:val="008A143F"/>
    <w:rsid w:val="008A4513"/>
    <w:rsid w:val="008A49FA"/>
    <w:rsid w:val="008A56D8"/>
    <w:rsid w:val="008A624E"/>
    <w:rsid w:val="008A75ED"/>
    <w:rsid w:val="008B2B13"/>
    <w:rsid w:val="008B5CC5"/>
    <w:rsid w:val="008B69C7"/>
    <w:rsid w:val="008B78DC"/>
    <w:rsid w:val="008C0F33"/>
    <w:rsid w:val="008C1019"/>
    <w:rsid w:val="008C1295"/>
    <w:rsid w:val="008C20EC"/>
    <w:rsid w:val="008C4810"/>
    <w:rsid w:val="008D091D"/>
    <w:rsid w:val="008D1042"/>
    <w:rsid w:val="008D19C4"/>
    <w:rsid w:val="008D292B"/>
    <w:rsid w:val="008D2C84"/>
    <w:rsid w:val="008D3D4A"/>
    <w:rsid w:val="008D41B2"/>
    <w:rsid w:val="008D470D"/>
    <w:rsid w:val="008D4C13"/>
    <w:rsid w:val="008D650E"/>
    <w:rsid w:val="008D7AFB"/>
    <w:rsid w:val="008E0951"/>
    <w:rsid w:val="008E0F22"/>
    <w:rsid w:val="008E16E3"/>
    <w:rsid w:val="008E2129"/>
    <w:rsid w:val="008E4852"/>
    <w:rsid w:val="008E49CD"/>
    <w:rsid w:val="008F120E"/>
    <w:rsid w:val="008F1BFD"/>
    <w:rsid w:val="008F51EB"/>
    <w:rsid w:val="008F70DB"/>
    <w:rsid w:val="008F7A9E"/>
    <w:rsid w:val="00900B13"/>
    <w:rsid w:val="00900F80"/>
    <w:rsid w:val="00902562"/>
    <w:rsid w:val="00907AB0"/>
    <w:rsid w:val="00912885"/>
    <w:rsid w:val="00912EFB"/>
    <w:rsid w:val="009202BA"/>
    <w:rsid w:val="009204F7"/>
    <w:rsid w:val="00920EEF"/>
    <w:rsid w:val="009238DC"/>
    <w:rsid w:val="00925A81"/>
    <w:rsid w:val="00925C49"/>
    <w:rsid w:val="00927936"/>
    <w:rsid w:val="00930A9B"/>
    <w:rsid w:val="00930BAD"/>
    <w:rsid w:val="00934D3A"/>
    <w:rsid w:val="00937CED"/>
    <w:rsid w:val="00941B64"/>
    <w:rsid w:val="009448CC"/>
    <w:rsid w:val="0095091C"/>
    <w:rsid w:val="00950AA0"/>
    <w:rsid w:val="0095155B"/>
    <w:rsid w:val="009515BD"/>
    <w:rsid w:val="00951EC6"/>
    <w:rsid w:val="00953B3F"/>
    <w:rsid w:val="00954C45"/>
    <w:rsid w:val="00955565"/>
    <w:rsid w:val="00957300"/>
    <w:rsid w:val="00957E3D"/>
    <w:rsid w:val="00961051"/>
    <w:rsid w:val="00963AA7"/>
    <w:rsid w:val="0096680F"/>
    <w:rsid w:val="0096744F"/>
    <w:rsid w:val="00971D7F"/>
    <w:rsid w:val="0097313E"/>
    <w:rsid w:val="00975594"/>
    <w:rsid w:val="00975DCF"/>
    <w:rsid w:val="00980261"/>
    <w:rsid w:val="00980A99"/>
    <w:rsid w:val="00982DAA"/>
    <w:rsid w:val="00982DAE"/>
    <w:rsid w:val="00982F0A"/>
    <w:rsid w:val="009839F3"/>
    <w:rsid w:val="0098509E"/>
    <w:rsid w:val="009851ED"/>
    <w:rsid w:val="009857AA"/>
    <w:rsid w:val="00986FC7"/>
    <w:rsid w:val="00987DDD"/>
    <w:rsid w:val="009906BB"/>
    <w:rsid w:val="00990C4D"/>
    <w:rsid w:val="009934F9"/>
    <w:rsid w:val="00995198"/>
    <w:rsid w:val="009963AA"/>
    <w:rsid w:val="00996D4E"/>
    <w:rsid w:val="00997945"/>
    <w:rsid w:val="00997C3F"/>
    <w:rsid w:val="00997CEA"/>
    <w:rsid w:val="009A0939"/>
    <w:rsid w:val="009A1BB3"/>
    <w:rsid w:val="009A1FA6"/>
    <w:rsid w:val="009A5786"/>
    <w:rsid w:val="009A6AD7"/>
    <w:rsid w:val="009A6CC7"/>
    <w:rsid w:val="009A6E28"/>
    <w:rsid w:val="009A734E"/>
    <w:rsid w:val="009B046E"/>
    <w:rsid w:val="009B0F06"/>
    <w:rsid w:val="009B2468"/>
    <w:rsid w:val="009B2BF0"/>
    <w:rsid w:val="009B2F2C"/>
    <w:rsid w:val="009B438D"/>
    <w:rsid w:val="009B45DF"/>
    <w:rsid w:val="009C04C3"/>
    <w:rsid w:val="009C0BA0"/>
    <w:rsid w:val="009C2921"/>
    <w:rsid w:val="009C3391"/>
    <w:rsid w:val="009C60DE"/>
    <w:rsid w:val="009C61D9"/>
    <w:rsid w:val="009C6B6E"/>
    <w:rsid w:val="009C7150"/>
    <w:rsid w:val="009D0669"/>
    <w:rsid w:val="009D0A2C"/>
    <w:rsid w:val="009D1B61"/>
    <w:rsid w:val="009D254A"/>
    <w:rsid w:val="009D2DAF"/>
    <w:rsid w:val="009D3314"/>
    <w:rsid w:val="009D4B81"/>
    <w:rsid w:val="009D5DEE"/>
    <w:rsid w:val="009D7168"/>
    <w:rsid w:val="009E0261"/>
    <w:rsid w:val="009E250B"/>
    <w:rsid w:val="009E387C"/>
    <w:rsid w:val="009E3C33"/>
    <w:rsid w:val="009E3CE6"/>
    <w:rsid w:val="009E4841"/>
    <w:rsid w:val="009E6B86"/>
    <w:rsid w:val="009F202E"/>
    <w:rsid w:val="009F2B34"/>
    <w:rsid w:val="009F2BBE"/>
    <w:rsid w:val="009F2F45"/>
    <w:rsid w:val="009F4905"/>
    <w:rsid w:val="009F4DF7"/>
    <w:rsid w:val="009F4FC6"/>
    <w:rsid w:val="009F4FE5"/>
    <w:rsid w:val="009F7CDA"/>
    <w:rsid w:val="00A0003C"/>
    <w:rsid w:val="00A002C0"/>
    <w:rsid w:val="00A016C1"/>
    <w:rsid w:val="00A0323B"/>
    <w:rsid w:val="00A07A7F"/>
    <w:rsid w:val="00A07EAA"/>
    <w:rsid w:val="00A10A15"/>
    <w:rsid w:val="00A11329"/>
    <w:rsid w:val="00A12654"/>
    <w:rsid w:val="00A12697"/>
    <w:rsid w:val="00A15D9F"/>
    <w:rsid w:val="00A1643D"/>
    <w:rsid w:val="00A17031"/>
    <w:rsid w:val="00A212BB"/>
    <w:rsid w:val="00A213E0"/>
    <w:rsid w:val="00A21573"/>
    <w:rsid w:val="00A218C5"/>
    <w:rsid w:val="00A21C71"/>
    <w:rsid w:val="00A22450"/>
    <w:rsid w:val="00A23AD1"/>
    <w:rsid w:val="00A24966"/>
    <w:rsid w:val="00A249C0"/>
    <w:rsid w:val="00A253F2"/>
    <w:rsid w:val="00A26206"/>
    <w:rsid w:val="00A2750B"/>
    <w:rsid w:val="00A30DB3"/>
    <w:rsid w:val="00A31745"/>
    <w:rsid w:val="00A31BB0"/>
    <w:rsid w:val="00A32499"/>
    <w:rsid w:val="00A326BF"/>
    <w:rsid w:val="00A3369F"/>
    <w:rsid w:val="00A344A6"/>
    <w:rsid w:val="00A35913"/>
    <w:rsid w:val="00A36152"/>
    <w:rsid w:val="00A365D0"/>
    <w:rsid w:val="00A4393E"/>
    <w:rsid w:val="00A44435"/>
    <w:rsid w:val="00A44C95"/>
    <w:rsid w:val="00A46D20"/>
    <w:rsid w:val="00A47544"/>
    <w:rsid w:val="00A47572"/>
    <w:rsid w:val="00A476CC"/>
    <w:rsid w:val="00A52F91"/>
    <w:rsid w:val="00A53AD2"/>
    <w:rsid w:val="00A546C2"/>
    <w:rsid w:val="00A54FD7"/>
    <w:rsid w:val="00A61F67"/>
    <w:rsid w:val="00A66D89"/>
    <w:rsid w:val="00A72D81"/>
    <w:rsid w:val="00A73130"/>
    <w:rsid w:val="00A73253"/>
    <w:rsid w:val="00A734A8"/>
    <w:rsid w:val="00A75555"/>
    <w:rsid w:val="00A75E12"/>
    <w:rsid w:val="00A762A3"/>
    <w:rsid w:val="00A77C94"/>
    <w:rsid w:val="00A80E42"/>
    <w:rsid w:val="00A82B43"/>
    <w:rsid w:val="00A83AEC"/>
    <w:rsid w:val="00A83BFA"/>
    <w:rsid w:val="00A8504D"/>
    <w:rsid w:val="00A85457"/>
    <w:rsid w:val="00A87FDE"/>
    <w:rsid w:val="00A90252"/>
    <w:rsid w:val="00A90797"/>
    <w:rsid w:val="00A9353F"/>
    <w:rsid w:val="00A93FB5"/>
    <w:rsid w:val="00A94390"/>
    <w:rsid w:val="00A9662C"/>
    <w:rsid w:val="00AA4346"/>
    <w:rsid w:val="00AA5133"/>
    <w:rsid w:val="00AA66CD"/>
    <w:rsid w:val="00AA7D73"/>
    <w:rsid w:val="00AB182C"/>
    <w:rsid w:val="00AB3773"/>
    <w:rsid w:val="00AB454D"/>
    <w:rsid w:val="00AB646E"/>
    <w:rsid w:val="00AB6DBB"/>
    <w:rsid w:val="00AB6FE7"/>
    <w:rsid w:val="00AC0F50"/>
    <w:rsid w:val="00AC201D"/>
    <w:rsid w:val="00AC45A0"/>
    <w:rsid w:val="00AC4EEE"/>
    <w:rsid w:val="00AC53DA"/>
    <w:rsid w:val="00AC59F9"/>
    <w:rsid w:val="00AD12DE"/>
    <w:rsid w:val="00AD2147"/>
    <w:rsid w:val="00AD3178"/>
    <w:rsid w:val="00AD38C1"/>
    <w:rsid w:val="00AD7F91"/>
    <w:rsid w:val="00AE1232"/>
    <w:rsid w:val="00AE4739"/>
    <w:rsid w:val="00AE5142"/>
    <w:rsid w:val="00AE5DA5"/>
    <w:rsid w:val="00AF1A68"/>
    <w:rsid w:val="00AF23D5"/>
    <w:rsid w:val="00AF42C9"/>
    <w:rsid w:val="00AF66E4"/>
    <w:rsid w:val="00B0030C"/>
    <w:rsid w:val="00B00BA3"/>
    <w:rsid w:val="00B02E3F"/>
    <w:rsid w:val="00B0359B"/>
    <w:rsid w:val="00B03885"/>
    <w:rsid w:val="00B03A0B"/>
    <w:rsid w:val="00B05DB1"/>
    <w:rsid w:val="00B06234"/>
    <w:rsid w:val="00B07920"/>
    <w:rsid w:val="00B10579"/>
    <w:rsid w:val="00B1286D"/>
    <w:rsid w:val="00B129BD"/>
    <w:rsid w:val="00B145D2"/>
    <w:rsid w:val="00B14E53"/>
    <w:rsid w:val="00B15372"/>
    <w:rsid w:val="00B2026E"/>
    <w:rsid w:val="00B208CB"/>
    <w:rsid w:val="00B20A89"/>
    <w:rsid w:val="00B20E9D"/>
    <w:rsid w:val="00B21FD1"/>
    <w:rsid w:val="00B24ED2"/>
    <w:rsid w:val="00B30EEA"/>
    <w:rsid w:val="00B32A34"/>
    <w:rsid w:val="00B37CCC"/>
    <w:rsid w:val="00B44BBA"/>
    <w:rsid w:val="00B466D5"/>
    <w:rsid w:val="00B46C42"/>
    <w:rsid w:val="00B47767"/>
    <w:rsid w:val="00B47D8A"/>
    <w:rsid w:val="00B50951"/>
    <w:rsid w:val="00B50F3F"/>
    <w:rsid w:val="00B51400"/>
    <w:rsid w:val="00B524E4"/>
    <w:rsid w:val="00B53113"/>
    <w:rsid w:val="00B53F36"/>
    <w:rsid w:val="00B54EFC"/>
    <w:rsid w:val="00B56B58"/>
    <w:rsid w:val="00B604C4"/>
    <w:rsid w:val="00B6129D"/>
    <w:rsid w:val="00B6188C"/>
    <w:rsid w:val="00B62AB6"/>
    <w:rsid w:val="00B62CEA"/>
    <w:rsid w:val="00B6426B"/>
    <w:rsid w:val="00B64644"/>
    <w:rsid w:val="00B66255"/>
    <w:rsid w:val="00B67EB4"/>
    <w:rsid w:val="00B702D9"/>
    <w:rsid w:val="00B713C4"/>
    <w:rsid w:val="00B72977"/>
    <w:rsid w:val="00B7311C"/>
    <w:rsid w:val="00B734E0"/>
    <w:rsid w:val="00B744E9"/>
    <w:rsid w:val="00B7467A"/>
    <w:rsid w:val="00B74C3F"/>
    <w:rsid w:val="00B7529F"/>
    <w:rsid w:val="00B75759"/>
    <w:rsid w:val="00B75916"/>
    <w:rsid w:val="00B77E63"/>
    <w:rsid w:val="00B820F8"/>
    <w:rsid w:val="00B8387B"/>
    <w:rsid w:val="00B8398E"/>
    <w:rsid w:val="00B83F6A"/>
    <w:rsid w:val="00B84147"/>
    <w:rsid w:val="00B843E6"/>
    <w:rsid w:val="00B84B7A"/>
    <w:rsid w:val="00B85175"/>
    <w:rsid w:val="00B87D06"/>
    <w:rsid w:val="00B90333"/>
    <w:rsid w:val="00B9156C"/>
    <w:rsid w:val="00B91B60"/>
    <w:rsid w:val="00B91D54"/>
    <w:rsid w:val="00B91F97"/>
    <w:rsid w:val="00B939F8"/>
    <w:rsid w:val="00BA093B"/>
    <w:rsid w:val="00BA0AC9"/>
    <w:rsid w:val="00BA1356"/>
    <w:rsid w:val="00BA18DD"/>
    <w:rsid w:val="00BA24CD"/>
    <w:rsid w:val="00BA2BD6"/>
    <w:rsid w:val="00BA6974"/>
    <w:rsid w:val="00BA6EB7"/>
    <w:rsid w:val="00BA74B6"/>
    <w:rsid w:val="00BB0385"/>
    <w:rsid w:val="00BB0B76"/>
    <w:rsid w:val="00BB25C6"/>
    <w:rsid w:val="00BB2EDC"/>
    <w:rsid w:val="00BB411D"/>
    <w:rsid w:val="00BB5EFE"/>
    <w:rsid w:val="00BB6649"/>
    <w:rsid w:val="00BB733D"/>
    <w:rsid w:val="00BB73D8"/>
    <w:rsid w:val="00BC1A5C"/>
    <w:rsid w:val="00BC1CE6"/>
    <w:rsid w:val="00BC219F"/>
    <w:rsid w:val="00BC2840"/>
    <w:rsid w:val="00BC482A"/>
    <w:rsid w:val="00BC4C21"/>
    <w:rsid w:val="00BD1797"/>
    <w:rsid w:val="00BD20B6"/>
    <w:rsid w:val="00BD48C2"/>
    <w:rsid w:val="00BD4CB6"/>
    <w:rsid w:val="00BD5EAF"/>
    <w:rsid w:val="00BD7BD6"/>
    <w:rsid w:val="00BE1E11"/>
    <w:rsid w:val="00BE2F7C"/>
    <w:rsid w:val="00BE3F49"/>
    <w:rsid w:val="00BE4AA1"/>
    <w:rsid w:val="00BE520E"/>
    <w:rsid w:val="00BE55D4"/>
    <w:rsid w:val="00BE66D1"/>
    <w:rsid w:val="00BE6F17"/>
    <w:rsid w:val="00BF16F1"/>
    <w:rsid w:val="00BF3B4C"/>
    <w:rsid w:val="00BF685C"/>
    <w:rsid w:val="00C001D5"/>
    <w:rsid w:val="00C024AD"/>
    <w:rsid w:val="00C033B3"/>
    <w:rsid w:val="00C03807"/>
    <w:rsid w:val="00C03A84"/>
    <w:rsid w:val="00C03A8B"/>
    <w:rsid w:val="00C0453E"/>
    <w:rsid w:val="00C05133"/>
    <w:rsid w:val="00C051EA"/>
    <w:rsid w:val="00C1193D"/>
    <w:rsid w:val="00C125DE"/>
    <w:rsid w:val="00C1690E"/>
    <w:rsid w:val="00C17119"/>
    <w:rsid w:val="00C23FE6"/>
    <w:rsid w:val="00C25EC1"/>
    <w:rsid w:val="00C26D1C"/>
    <w:rsid w:val="00C27448"/>
    <w:rsid w:val="00C27578"/>
    <w:rsid w:val="00C31778"/>
    <w:rsid w:val="00C31CFF"/>
    <w:rsid w:val="00C33202"/>
    <w:rsid w:val="00C35452"/>
    <w:rsid w:val="00C36867"/>
    <w:rsid w:val="00C36EF0"/>
    <w:rsid w:val="00C3730E"/>
    <w:rsid w:val="00C37B50"/>
    <w:rsid w:val="00C462DD"/>
    <w:rsid w:val="00C4796D"/>
    <w:rsid w:val="00C51199"/>
    <w:rsid w:val="00C522C0"/>
    <w:rsid w:val="00C52721"/>
    <w:rsid w:val="00C551D6"/>
    <w:rsid w:val="00C60DD9"/>
    <w:rsid w:val="00C6129A"/>
    <w:rsid w:val="00C6135D"/>
    <w:rsid w:val="00C6173E"/>
    <w:rsid w:val="00C61838"/>
    <w:rsid w:val="00C6415E"/>
    <w:rsid w:val="00C643FD"/>
    <w:rsid w:val="00C64F6E"/>
    <w:rsid w:val="00C65BCB"/>
    <w:rsid w:val="00C65F29"/>
    <w:rsid w:val="00C6794D"/>
    <w:rsid w:val="00C67CBE"/>
    <w:rsid w:val="00C67F9C"/>
    <w:rsid w:val="00C70EF5"/>
    <w:rsid w:val="00C71323"/>
    <w:rsid w:val="00C714F9"/>
    <w:rsid w:val="00C7270D"/>
    <w:rsid w:val="00C73804"/>
    <w:rsid w:val="00C744A5"/>
    <w:rsid w:val="00C75AAF"/>
    <w:rsid w:val="00C76DC8"/>
    <w:rsid w:val="00C77492"/>
    <w:rsid w:val="00C84483"/>
    <w:rsid w:val="00C85965"/>
    <w:rsid w:val="00C86E04"/>
    <w:rsid w:val="00C871FB"/>
    <w:rsid w:val="00C8794C"/>
    <w:rsid w:val="00C90410"/>
    <w:rsid w:val="00C90D58"/>
    <w:rsid w:val="00C91765"/>
    <w:rsid w:val="00C919C8"/>
    <w:rsid w:val="00C91C19"/>
    <w:rsid w:val="00C931ED"/>
    <w:rsid w:val="00C9330E"/>
    <w:rsid w:val="00C93AFF"/>
    <w:rsid w:val="00C95348"/>
    <w:rsid w:val="00C95640"/>
    <w:rsid w:val="00C96065"/>
    <w:rsid w:val="00C973CC"/>
    <w:rsid w:val="00C97550"/>
    <w:rsid w:val="00CA0093"/>
    <w:rsid w:val="00CA15D4"/>
    <w:rsid w:val="00CA243A"/>
    <w:rsid w:val="00CA24A5"/>
    <w:rsid w:val="00CA63BD"/>
    <w:rsid w:val="00CA79AF"/>
    <w:rsid w:val="00CB0FB8"/>
    <w:rsid w:val="00CB4013"/>
    <w:rsid w:val="00CC163C"/>
    <w:rsid w:val="00CC2CB8"/>
    <w:rsid w:val="00CC540D"/>
    <w:rsid w:val="00CC5A37"/>
    <w:rsid w:val="00CC64F1"/>
    <w:rsid w:val="00CC6996"/>
    <w:rsid w:val="00CC6AE6"/>
    <w:rsid w:val="00CC7BD0"/>
    <w:rsid w:val="00CD148F"/>
    <w:rsid w:val="00CD177E"/>
    <w:rsid w:val="00CD19BB"/>
    <w:rsid w:val="00CD2E31"/>
    <w:rsid w:val="00CD3687"/>
    <w:rsid w:val="00CD57B9"/>
    <w:rsid w:val="00CD5EA2"/>
    <w:rsid w:val="00CD6FC1"/>
    <w:rsid w:val="00CE0655"/>
    <w:rsid w:val="00CE49A0"/>
    <w:rsid w:val="00CF2A04"/>
    <w:rsid w:val="00CF3A31"/>
    <w:rsid w:val="00CF5F3F"/>
    <w:rsid w:val="00CF672F"/>
    <w:rsid w:val="00CF6772"/>
    <w:rsid w:val="00D00130"/>
    <w:rsid w:val="00D0069E"/>
    <w:rsid w:val="00D00DC9"/>
    <w:rsid w:val="00D01F85"/>
    <w:rsid w:val="00D03E33"/>
    <w:rsid w:val="00D0432A"/>
    <w:rsid w:val="00D04A7A"/>
    <w:rsid w:val="00D07811"/>
    <w:rsid w:val="00D078E0"/>
    <w:rsid w:val="00D10D0B"/>
    <w:rsid w:val="00D10FF0"/>
    <w:rsid w:val="00D11834"/>
    <w:rsid w:val="00D11851"/>
    <w:rsid w:val="00D122C9"/>
    <w:rsid w:val="00D127F8"/>
    <w:rsid w:val="00D134FD"/>
    <w:rsid w:val="00D15AC3"/>
    <w:rsid w:val="00D15F09"/>
    <w:rsid w:val="00D15F20"/>
    <w:rsid w:val="00D17181"/>
    <w:rsid w:val="00D178B9"/>
    <w:rsid w:val="00D21BFD"/>
    <w:rsid w:val="00D2517E"/>
    <w:rsid w:val="00D25E5A"/>
    <w:rsid w:val="00D30079"/>
    <w:rsid w:val="00D33C6D"/>
    <w:rsid w:val="00D34593"/>
    <w:rsid w:val="00D347E1"/>
    <w:rsid w:val="00D351E9"/>
    <w:rsid w:val="00D3561F"/>
    <w:rsid w:val="00D40B65"/>
    <w:rsid w:val="00D464B0"/>
    <w:rsid w:val="00D4741F"/>
    <w:rsid w:val="00D52DA9"/>
    <w:rsid w:val="00D5314B"/>
    <w:rsid w:val="00D534F5"/>
    <w:rsid w:val="00D53534"/>
    <w:rsid w:val="00D53638"/>
    <w:rsid w:val="00D5388A"/>
    <w:rsid w:val="00D54876"/>
    <w:rsid w:val="00D54F6A"/>
    <w:rsid w:val="00D5656C"/>
    <w:rsid w:val="00D57D43"/>
    <w:rsid w:val="00D602DD"/>
    <w:rsid w:val="00D61746"/>
    <w:rsid w:val="00D621C0"/>
    <w:rsid w:val="00D6512F"/>
    <w:rsid w:val="00D65626"/>
    <w:rsid w:val="00D67B09"/>
    <w:rsid w:val="00D71A86"/>
    <w:rsid w:val="00D73D44"/>
    <w:rsid w:val="00D7466A"/>
    <w:rsid w:val="00D747D0"/>
    <w:rsid w:val="00D75DB3"/>
    <w:rsid w:val="00D80268"/>
    <w:rsid w:val="00D80B98"/>
    <w:rsid w:val="00D815F6"/>
    <w:rsid w:val="00D83897"/>
    <w:rsid w:val="00D86F16"/>
    <w:rsid w:val="00D87A46"/>
    <w:rsid w:val="00D91329"/>
    <w:rsid w:val="00D91DD5"/>
    <w:rsid w:val="00D929FE"/>
    <w:rsid w:val="00D92D24"/>
    <w:rsid w:val="00D93084"/>
    <w:rsid w:val="00D93AE6"/>
    <w:rsid w:val="00D93BC1"/>
    <w:rsid w:val="00D94005"/>
    <w:rsid w:val="00D94365"/>
    <w:rsid w:val="00D9493A"/>
    <w:rsid w:val="00D96670"/>
    <w:rsid w:val="00D97909"/>
    <w:rsid w:val="00DA1EA3"/>
    <w:rsid w:val="00DA73C5"/>
    <w:rsid w:val="00DA7925"/>
    <w:rsid w:val="00DA79E0"/>
    <w:rsid w:val="00DB083B"/>
    <w:rsid w:val="00DB0BA4"/>
    <w:rsid w:val="00DB282D"/>
    <w:rsid w:val="00DB2B32"/>
    <w:rsid w:val="00DB2CEE"/>
    <w:rsid w:val="00DB491A"/>
    <w:rsid w:val="00DB4F42"/>
    <w:rsid w:val="00DB5EA5"/>
    <w:rsid w:val="00DB66AA"/>
    <w:rsid w:val="00DB6774"/>
    <w:rsid w:val="00DB755B"/>
    <w:rsid w:val="00DC0C04"/>
    <w:rsid w:val="00DC0C3A"/>
    <w:rsid w:val="00DC126D"/>
    <w:rsid w:val="00DC14CF"/>
    <w:rsid w:val="00DC25AF"/>
    <w:rsid w:val="00DC2AB3"/>
    <w:rsid w:val="00DC4A9C"/>
    <w:rsid w:val="00DC6030"/>
    <w:rsid w:val="00DC6A43"/>
    <w:rsid w:val="00DC72CD"/>
    <w:rsid w:val="00DC7778"/>
    <w:rsid w:val="00DC7989"/>
    <w:rsid w:val="00DD076F"/>
    <w:rsid w:val="00DD11D4"/>
    <w:rsid w:val="00DD2B76"/>
    <w:rsid w:val="00DD351A"/>
    <w:rsid w:val="00DD4275"/>
    <w:rsid w:val="00DD4691"/>
    <w:rsid w:val="00DD7381"/>
    <w:rsid w:val="00DE05E3"/>
    <w:rsid w:val="00DE0E96"/>
    <w:rsid w:val="00DE55C1"/>
    <w:rsid w:val="00DE7180"/>
    <w:rsid w:val="00DE7D9E"/>
    <w:rsid w:val="00DF196D"/>
    <w:rsid w:val="00DF22A0"/>
    <w:rsid w:val="00DF27B2"/>
    <w:rsid w:val="00DF5EE5"/>
    <w:rsid w:val="00DF645C"/>
    <w:rsid w:val="00DF6F5C"/>
    <w:rsid w:val="00DF6F95"/>
    <w:rsid w:val="00E01E2D"/>
    <w:rsid w:val="00E0248F"/>
    <w:rsid w:val="00E0378D"/>
    <w:rsid w:val="00E03B91"/>
    <w:rsid w:val="00E059D8"/>
    <w:rsid w:val="00E06B73"/>
    <w:rsid w:val="00E1019E"/>
    <w:rsid w:val="00E10FFF"/>
    <w:rsid w:val="00E11BC1"/>
    <w:rsid w:val="00E12977"/>
    <w:rsid w:val="00E12A63"/>
    <w:rsid w:val="00E134B7"/>
    <w:rsid w:val="00E159A8"/>
    <w:rsid w:val="00E15BD1"/>
    <w:rsid w:val="00E16611"/>
    <w:rsid w:val="00E17544"/>
    <w:rsid w:val="00E21B53"/>
    <w:rsid w:val="00E21D60"/>
    <w:rsid w:val="00E2236E"/>
    <w:rsid w:val="00E2266C"/>
    <w:rsid w:val="00E22B95"/>
    <w:rsid w:val="00E26C31"/>
    <w:rsid w:val="00E30706"/>
    <w:rsid w:val="00E31AF3"/>
    <w:rsid w:val="00E32976"/>
    <w:rsid w:val="00E34519"/>
    <w:rsid w:val="00E372D8"/>
    <w:rsid w:val="00E37CDD"/>
    <w:rsid w:val="00E40952"/>
    <w:rsid w:val="00E4148A"/>
    <w:rsid w:val="00E41A68"/>
    <w:rsid w:val="00E41AA8"/>
    <w:rsid w:val="00E41E6D"/>
    <w:rsid w:val="00E42633"/>
    <w:rsid w:val="00E4387E"/>
    <w:rsid w:val="00E45203"/>
    <w:rsid w:val="00E46032"/>
    <w:rsid w:val="00E47784"/>
    <w:rsid w:val="00E479EC"/>
    <w:rsid w:val="00E47E6A"/>
    <w:rsid w:val="00E5147C"/>
    <w:rsid w:val="00E526DE"/>
    <w:rsid w:val="00E53CE7"/>
    <w:rsid w:val="00E5435D"/>
    <w:rsid w:val="00E55168"/>
    <w:rsid w:val="00E55499"/>
    <w:rsid w:val="00E57ACD"/>
    <w:rsid w:val="00E6045B"/>
    <w:rsid w:val="00E60ECE"/>
    <w:rsid w:val="00E63BC0"/>
    <w:rsid w:val="00E64D98"/>
    <w:rsid w:val="00E658FA"/>
    <w:rsid w:val="00E65E38"/>
    <w:rsid w:val="00E66412"/>
    <w:rsid w:val="00E664A3"/>
    <w:rsid w:val="00E66532"/>
    <w:rsid w:val="00E66AEF"/>
    <w:rsid w:val="00E66B43"/>
    <w:rsid w:val="00E67961"/>
    <w:rsid w:val="00E70B74"/>
    <w:rsid w:val="00E71D2F"/>
    <w:rsid w:val="00E72AFE"/>
    <w:rsid w:val="00E731C6"/>
    <w:rsid w:val="00E73243"/>
    <w:rsid w:val="00E75784"/>
    <w:rsid w:val="00E81BD7"/>
    <w:rsid w:val="00E82897"/>
    <w:rsid w:val="00E82E43"/>
    <w:rsid w:val="00E84A4C"/>
    <w:rsid w:val="00E924C4"/>
    <w:rsid w:val="00E937AC"/>
    <w:rsid w:val="00E94CF9"/>
    <w:rsid w:val="00E95796"/>
    <w:rsid w:val="00E95D75"/>
    <w:rsid w:val="00E964CB"/>
    <w:rsid w:val="00EA0222"/>
    <w:rsid w:val="00EA460F"/>
    <w:rsid w:val="00EA5ECE"/>
    <w:rsid w:val="00EA7716"/>
    <w:rsid w:val="00EA7D4B"/>
    <w:rsid w:val="00EB1650"/>
    <w:rsid w:val="00EB3B30"/>
    <w:rsid w:val="00EB4B3E"/>
    <w:rsid w:val="00EB5093"/>
    <w:rsid w:val="00EB6E8D"/>
    <w:rsid w:val="00EC1D34"/>
    <w:rsid w:val="00EC2F77"/>
    <w:rsid w:val="00EC30B5"/>
    <w:rsid w:val="00EC57AF"/>
    <w:rsid w:val="00EC5899"/>
    <w:rsid w:val="00EC714A"/>
    <w:rsid w:val="00ED0BC2"/>
    <w:rsid w:val="00ED13DE"/>
    <w:rsid w:val="00ED1647"/>
    <w:rsid w:val="00ED3233"/>
    <w:rsid w:val="00ED3AE5"/>
    <w:rsid w:val="00ED44DC"/>
    <w:rsid w:val="00ED5D29"/>
    <w:rsid w:val="00ED60BC"/>
    <w:rsid w:val="00EE1188"/>
    <w:rsid w:val="00EE18BF"/>
    <w:rsid w:val="00EE32F4"/>
    <w:rsid w:val="00EE4B85"/>
    <w:rsid w:val="00EE4E4F"/>
    <w:rsid w:val="00EE6439"/>
    <w:rsid w:val="00EE7583"/>
    <w:rsid w:val="00EE7F3B"/>
    <w:rsid w:val="00EF02BB"/>
    <w:rsid w:val="00EF06DB"/>
    <w:rsid w:val="00EF19D3"/>
    <w:rsid w:val="00EF1A5C"/>
    <w:rsid w:val="00EF39FD"/>
    <w:rsid w:val="00F00375"/>
    <w:rsid w:val="00F01240"/>
    <w:rsid w:val="00F017CE"/>
    <w:rsid w:val="00F04DFF"/>
    <w:rsid w:val="00F04F95"/>
    <w:rsid w:val="00F053C5"/>
    <w:rsid w:val="00F05EE7"/>
    <w:rsid w:val="00F05FDE"/>
    <w:rsid w:val="00F067EE"/>
    <w:rsid w:val="00F07203"/>
    <w:rsid w:val="00F11C6C"/>
    <w:rsid w:val="00F14E87"/>
    <w:rsid w:val="00F1501D"/>
    <w:rsid w:val="00F154FC"/>
    <w:rsid w:val="00F15AB9"/>
    <w:rsid w:val="00F179DD"/>
    <w:rsid w:val="00F202EE"/>
    <w:rsid w:val="00F21838"/>
    <w:rsid w:val="00F21945"/>
    <w:rsid w:val="00F223FF"/>
    <w:rsid w:val="00F226E9"/>
    <w:rsid w:val="00F2290B"/>
    <w:rsid w:val="00F26419"/>
    <w:rsid w:val="00F26B93"/>
    <w:rsid w:val="00F276B7"/>
    <w:rsid w:val="00F35191"/>
    <w:rsid w:val="00F36937"/>
    <w:rsid w:val="00F37DE2"/>
    <w:rsid w:val="00F434A0"/>
    <w:rsid w:val="00F4514C"/>
    <w:rsid w:val="00F45898"/>
    <w:rsid w:val="00F458A0"/>
    <w:rsid w:val="00F45C1E"/>
    <w:rsid w:val="00F5214C"/>
    <w:rsid w:val="00F535F0"/>
    <w:rsid w:val="00F53C49"/>
    <w:rsid w:val="00F53D5F"/>
    <w:rsid w:val="00F55596"/>
    <w:rsid w:val="00F56788"/>
    <w:rsid w:val="00F567D2"/>
    <w:rsid w:val="00F57A09"/>
    <w:rsid w:val="00F57A38"/>
    <w:rsid w:val="00F73237"/>
    <w:rsid w:val="00F734E1"/>
    <w:rsid w:val="00F749D0"/>
    <w:rsid w:val="00F768A1"/>
    <w:rsid w:val="00F830DB"/>
    <w:rsid w:val="00F839F3"/>
    <w:rsid w:val="00F856E9"/>
    <w:rsid w:val="00F862ED"/>
    <w:rsid w:val="00F87807"/>
    <w:rsid w:val="00F8798A"/>
    <w:rsid w:val="00F931A9"/>
    <w:rsid w:val="00F9338B"/>
    <w:rsid w:val="00F93BA0"/>
    <w:rsid w:val="00F94B48"/>
    <w:rsid w:val="00F96519"/>
    <w:rsid w:val="00F96B4A"/>
    <w:rsid w:val="00F9711F"/>
    <w:rsid w:val="00F971C6"/>
    <w:rsid w:val="00FA0458"/>
    <w:rsid w:val="00FA3281"/>
    <w:rsid w:val="00FA4BC4"/>
    <w:rsid w:val="00FA5421"/>
    <w:rsid w:val="00FA6F10"/>
    <w:rsid w:val="00FA741E"/>
    <w:rsid w:val="00FA748C"/>
    <w:rsid w:val="00FB09DF"/>
    <w:rsid w:val="00FB2509"/>
    <w:rsid w:val="00FB3AC9"/>
    <w:rsid w:val="00FB47F0"/>
    <w:rsid w:val="00FB51AD"/>
    <w:rsid w:val="00FB7038"/>
    <w:rsid w:val="00FB723C"/>
    <w:rsid w:val="00FC1E37"/>
    <w:rsid w:val="00FC3220"/>
    <w:rsid w:val="00FC34EC"/>
    <w:rsid w:val="00FC4555"/>
    <w:rsid w:val="00FC615B"/>
    <w:rsid w:val="00FC7D20"/>
    <w:rsid w:val="00FD06B8"/>
    <w:rsid w:val="00FD14C2"/>
    <w:rsid w:val="00FD1D01"/>
    <w:rsid w:val="00FD43DD"/>
    <w:rsid w:val="00FD5180"/>
    <w:rsid w:val="00FD5D14"/>
    <w:rsid w:val="00FD5F91"/>
    <w:rsid w:val="00FD6757"/>
    <w:rsid w:val="00FD7B68"/>
    <w:rsid w:val="00FD7E8D"/>
    <w:rsid w:val="00FE125B"/>
    <w:rsid w:val="00FE197F"/>
    <w:rsid w:val="00FE1B8F"/>
    <w:rsid w:val="00FE2AF8"/>
    <w:rsid w:val="00FE2CD4"/>
    <w:rsid w:val="00FE2E48"/>
    <w:rsid w:val="00FE35CA"/>
    <w:rsid w:val="00FE3BCC"/>
    <w:rsid w:val="00FE4367"/>
    <w:rsid w:val="00FE73FC"/>
    <w:rsid w:val="00FE7A9F"/>
    <w:rsid w:val="00FF07E6"/>
    <w:rsid w:val="00FF08CA"/>
    <w:rsid w:val="00FF14CF"/>
    <w:rsid w:val="00FF21A3"/>
    <w:rsid w:val="00FF263A"/>
    <w:rsid w:val="00FF36F5"/>
    <w:rsid w:val="00FF4451"/>
    <w:rsid w:val="00FF5428"/>
    <w:rsid w:val="2604BA06"/>
    <w:rsid w:val="2EDE7CCC"/>
    <w:rsid w:val="4787B810"/>
    <w:rsid w:val="4932A9B6"/>
    <w:rsid w:val="4D22C853"/>
    <w:rsid w:val="51D37E9D"/>
    <w:rsid w:val="7AD5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7A63651-E722-4566-988C-3F258FA0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631"/>
    <w:rPr>
      <w:rFonts w:ascii="Verdana" w:eastAsia="Times New Roman" w:hAnsi="Verdana"/>
      <w:sz w:val="22"/>
      <w:szCs w:val="24"/>
    </w:rPr>
  </w:style>
  <w:style w:type="paragraph" w:styleId="Ttulo8">
    <w:name w:val="heading 8"/>
    <w:basedOn w:val="Normal"/>
    <w:next w:val="Normal"/>
    <w:link w:val="Ttulo8Car"/>
    <w:qFormat/>
    <w:rsid w:val="004951CB"/>
    <w:pPr>
      <w:keepNext/>
      <w:jc w:val="both"/>
      <w:outlineLvl w:val="7"/>
    </w:pPr>
    <w:rPr>
      <w:rFonts w:ascii="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CF4"/>
    <w:pPr>
      <w:tabs>
        <w:tab w:val="center" w:pos="4680"/>
        <w:tab w:val="right" w:pos="9360"/>
      </w:tabs>
    </w:pPr>
    <w:rPr>
      <w:rFonts w:ascii="Calibri" w:eastAsia="Calibri" w:hAnsi="Calibri"/>
      <w:szCs w:val="22"/>
    </w:rPr>
  </w:style>
  <w:style w:type="character" w:customStyle="1" w:styleId="EncabezadoCar">
    <w:name w:val="Encabezado Car"/>
    <w:basedOn w:val="Fuentedeprrafopredeter"/>
    <w:link w:val="Encabezado"/>
    <w:uiPriority w:val="99"/>
    <w:rsid w:val="00451CF4"/>
  </w:style>
  <w:style w:type="paragraph" w:styleId="Piedepgina">
    <w:name w:val="footer"/>
    <w:basedOn w:val="Normal"/>
    <w:link w:val="PiedepginaCar"/>
    <w:uiPriority w:val="99"/>
    <w:unhideWhenUsed/>
    <w:rsid w:val="00451CF4"/>
    <w:pPr>
      <w:tabs>
        <w:tab w:val="center" w:pos="4680"/>
        <w:tab w:val="right" w:pos="9360"/>
      </w:tabs>
    </w:pPr>
    <w:rPr>
      <w:rFonts w:ascii="Calibri" w:eastAsia="Calibri" w:hAnsi="Calibri"/>
      <w:szCs w:val="22"/>
    </w:rPr>
  </w:style>
  <w:style w:type="character" w:customStyle="1" w:styleId="PiedepginaCar">
    <w:name w:val="Pie de página Car"/>
    <w:basedOn w:val="Fuentedeprrafopredeter"/>
    <w:link w:val="Piedepgina"/>
    <w:uiPriority w:val="99"/>
    <w:rsid w:val="00451CF4"/>
  </w:style>
  <w:style w:type="paragraph" w:styleId="Textodeglobo">
    <w:name w:val="Balloon Text"/>
    <w:basedOn w:val="Normal"/>
    <w:link w:val="TextodegloboCar"/>
    <w:unhideWhenUsed/>
    <w:rsid w:val="00451CF4"/>
    <w:rPr>
      <w:rFonts w:ascii="Tahoma" w:eastAsia="Calibri" w:hAnsi="Tahoma" w:cs="Tahoma"/>
      <w:sz w:val="16"/>
      <w:szCs w:val="16"/>
    </w:rPr>
  </w:style>
  <w:style w:type="character" w:customStyle="1" w:styleId="TextodegloboCar">
    <w:name w:val="Texto de globo Car"/>
    <w:basedOn w:val="Fuentedeprrafopredeter"/>
    <w:link w:val="Textodeglobo"/>
    <w:rsid w:val="00451CF4"/>
    <w:rPr>
      <w:rFonts w:ascii="Tahoma" w:hAnsi="Tahoma" w:cs="Tahoma"/>
      <w:sz w:val="16"/>
      <w:szCs w:val="16"/>
    </w:rPr>
  </w:style>
  <w:style w:type="character" w:styleId="Hipervnculo">
    <w:name w:val="Hyperlink"/>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Prrafodelista">
    <w:name w:val="List Paragraph"/>
    <w:basedOn w:val="Normal"/>
    <w:uiPriority w:val="34"/>
    <w:qFormat/>
    <w:rsid w:val="00997CEA"/>
    <w:pPr>
      <w:ind w:left="720"/>
      <w:contextualSpacing/>
    </w:pPr>
    <w:rPr>
      <w:rFonts w:ascii="Times New Roman" w:hAnsi="Times New Roman"/>
      <w:sz w:val="24"/>
    </w:rPr>
  </w:style>
  <w:style w:type="paragraph" w:styleId="Textonotapie">
    <w:name w:val="footnote text"/>
    <w:basedOn w:val="Normal"/>
    <w:link w:val="TextonotapieCar"/>
    <w:uiPriority w:val="99"/>
    <w:semiHidden/>
    <w:unhideWhenUsed/>
    <w:rsid w:val="00F567D2"/>
    <w:rPr>
      <w:sz w:val="20"/>
      <w:szCs w:val="20"/>
    </w:rPr>
  </w:style>
  <w:style w:type="paragraph" w:styleId="Textosinformato">
    <w:name w:val="Plain Text"/>
    <w:basedOn w:val="Normal"/>
    <w:link w:val="TextosinformatoCar"/>
    <w:uiPriority w:val="99"/>
    <w:unhideWhenUsed/>
    <w:rsid w:val="00431AE5"/>
    <w:rPr>
      <w:rFonts w:ascii="Consolas" w:eastAsia="Calibri" w:hAnsi="Consolas" w:cs="Consolas"/>
      <w:sz w:val="21"/>
      <w:szCs w:val="21"/>
      <w:lang w:val="en-CA"/>
    </w:rPr>
  </w:style>
  <w:style w:type="character" w:customStyle="1" w:styleId="TextosinformatoCar">
    <w:name w:val="Texto sin formato Car"/>
    <w:basedOn w:val="Fuentedeprrafopredeter"/>
    <w:link w:val="Textosinformato"/>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7"/>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rsid w:val="00B62AB6"/>
    <w:pPr>
      <w:numPr>
        <w:ilvl w:val="7"/>
      </w:numPr>
      <w:spacing w:before="120" w:after="120"/>
      <w:outlineLvl w:val="7"/>
    </w:pPr>
    <w:rPr>
      <w:sz w:val="18"/>
    </w:rPr>
  </w:style>
  <w:style w:type="paragraph" w:customStyle="1" w:styleId="SecurityL9">
    <w:name w:val="Security_L9"/>
    <w:basedOn w:val="SecurityL8"/>
    <w:rsid w:val="00B62AB6"/>
    <w:pPr>
      <w:numPr>
        <w:ilvl w:val="8"/>
      </w:numPr>
      <w:spacing w:before="0" w:after="60"/>
      <w:outlineLvl w:val="8"/>
    </w:pPr>
    <w:rPr>
      <w:i/>
    </w:rPr>
  </w:style>
  <w:style w:type="paragraph" w:styleId="Textoindependiente">
    <w:name w:val="Body Text"/>
    <w:aliases w:val="bt"/>
    <w:basedOn w:val="Normal"/>
    <w:link w:val="TextoindependienteCar"/>
    <w:rsid w:val="00B62AB6"/>
    <w:pPr>
      <w:spacing w:after="240" w:line="240" w:lineRule="atLeast"/>
      <w:jc w:val="both"/>
    </w:pPr>
    <w:rPr>
      <w:rFonts w:ascii="Times New Roman" w:hAnsi="Times New Roman"/>
      <w:lang w:val="en-CA"/>
    </w:rPr>
  </w:style>
  <w:style w:type="character" w:customStyle="1" w:styleId="TextoindependienteCar">
    <w:name w:val="Texto independiente Car"/>
    <w:aliases w:val="bt Car"/>
    <w:basedOn w:val="Fuentedeprrafopredeter"/>
    <w:link w:val="Textoindependiente"/>
    <w:rsid w:val="00B62AB6"/>
    <w:rPr>
      <w:rFonts w:ascii="Times New Roman" w:eastAsia="Times New Roman" w:hAnsi="Times New Roman" w:cs="Times New Roman"/>
      <w:szCs w:val="24"/>
      <w:lang w:val="en-CA"/>
    </w:rPr>
  </w:style>
  <w:style w:type="character" w:customStyle="1" w:styleId="TableTextChar">
    <w:name w:val="Table Text Char"/>
    <w:aliases w:val="tt Char"/>
    <w:basedOn w:val="Fuentedeprrafopredeter"/>
    <w:link w:val="tabletext"/>
    <w:rsid w:val="00B62AB6"/>
    <w:rPr>
      <w:rFonts w:ascii="Times New Roman" w:eastAsia="Times New Roman" w:hAnsi="Times New Roman" w:cs="Times New Roman"/>
      <w:sz w:val="20"/>
      <w:szCs w:val="24"/>
      <w:lang w:val="en-CA"/>
    </w:rPr>
  </w:style>
  <w:style w:type="character" w:customStyle="1" w:styleId="Ttulo8Car">
    <w:name w:val="Título 8 Car"/>
    <w:basedOn w:val="Fuentedeprrafopredeter"/>
    <w:link w:val="Ttulo8"/>
    <w:rsid w:val="004951CB"/>
    <w:rPr>
      <w:rFonts w:ascii="Arial" w:eastAsia="Times New Roman" w:hAnsi="Arial" w:cs="Times New Roman"/>
      <w:b/>
      <w:bCs/>
      <w:sz w:val="20"/>
      <w:szCs w:val="20"/>
    </w:rPr>
  </w:style>
  <w:style w:type="character" w:styleId="Refdecomentario">
    <w:name w:val="annotation reference"/>
    <w:unhideWhenUsed/>
    <w:rsid w:val="004951CB"/>
    <w:rPr>
      <w:sz w:val="16"/>
      <w:szCs w:val="16"/>
    </w:rPr>
  </w:style>
  <w:style w:type="paragraph" w:styleId="Textocomentario">
    <w:name w:val="annotation text"/>
    <w:basedOn w:val="Normal"/>
    <w:link w:val="TextocomentarioCar"/>
    <w:uiPriority w:val="99"/>
    <w:semiHidden/>
    <w:unhideWhenUsed/>
    <w:rsid w:val="004951CB"/>
    <w:rPr>
      <w:rFonts w:ascii="Arial" w:hAnsi="Arial"/>
      <w:sz w:val="20"/>
      <w:szCs w:val="20"/>
    </w:rPr>
  </w:style>
  <w:style w:type="character" w:customStyle="1" w:styleId="TextocomentarioCar">
    <w:name w:val="Texto comentario Car"/>
    <w:basedOn w:val="Fuentedeprrafopredeter"/>
    <w:link w:val="Textocomentario"/>
    <w:uiPriority w:val="99"/>
    <w:semiHidden/>
    <w:rsid w:val="004951CB"/>
    <w:rPr>
      <w:rFonts w:ascii="Arial" w:eastAsia="Times New Roman" w:hAnsi="Arial" w:cs="Times New Roman"/>
      <w:sz w:val="20"/>
      <w:szCs w:val="20"/>
    </w:rPr>
  </w:style>
  <w:style w:type="paragraph" w:styleId="Textoindependiente2">
    <w:name w:val="Body Text 2"/>
    <w:basedOn w:val="Normal"/>
    <w:link w:val="Textoindependiente2Car"/>
    <w:unhideWhenUsed/>
    <w:rsid w:val="003E2504"/>
    <w:pPr>
      <w:spacing w:after="120" w:line="480" w:lineRule="auto"/>
    </w:pPr>
  </w:style>
  <w:style w:type="character" w:customStyle="1" w:styleId="Textoindependiente2Car">
    <w:name w:val="Texto independiente 2 Car"/>
    <w:basedOn w:val="Fuentedeprrafopredeter"/>
    <w:link w:val="Textoindependiente2"/>
    <w:rsid w:val="003E2504"/>
    <w:rPr>
      <w:rFonts w:ascii="Verdana" w:eastAsia="Times New Roman" w:hAnsi="Verdana" w:cs="Times New Roman"/>
      <w:szCs w:val="24"/>
    </w:rPr>
  </w:style>
  <w:style w:type="paragraph" w:styleId="Sangradetextonormal">
    <w:name w:val="Body Text Indent"/>
    <w:basedOn w:val="Normal"/>
    <w:link w:val="SangradetextonormalCar"/>
    <w:uiPriority w:val="99"/>
    <w:semiHidden/>
    <w:unhideWhenUsed/>
    <w:rsid w:val="002A7212"/>
    <w:pPr>
      <w:spacing w:after="120"/>
      <w:ind w:left="283"/>
    </w:pPr>
  </w:style>
  <w:style w:type="character" w:customStyle="1" w:styleId="SangradetextonormalCar">
    <w:name w:val="Sangría de texto normal Car"/>
    <w:basedOn w:val="Fuentedeprrafopredeter"/>
    <w:link w:val="Sangradetextonormal"/>
    <w:uiPriority w:val="99"/>
    <w:semiHidden/>
    <w:rsid w:val="002A7212"/>
    <w:rPr>
      <w:rFonts w:ascii="Verdana" w:eastAsia="Times New Roman" w:hAnsi="Verdana"/>
      <w:sz w:val="22"/>
      <w:szCs w:val="24"/>
    </w:rPr>
  </w:style>
  <w:style w:type="paragraph" w:styleId="Asuntodelcomentario">
    <w:name w:val="annotation subject"/>
    <w:basedOn w:val="Textocomentario"/>
    <w:next w:val="Textocomentario"/>
    <w:link w:val="AsuntodelcomentarioCar"/>
    <w:uiPriority w:val="99"/>
    <w:semiHidden/>
    <w:unhideWhenUsed/>
    <w:rsid w:val="008A56D8"/>
    <w:rPr>
      <w:rFonts w:ascii="Verdana" w:hAnsi="Verdana"/>
      <w:b/>
      <w:bCs/>
    </w:rPr>
  </w:style>
  <w:style w:type="character" w:customStyle="1" w:styleId="AsuntodelcomentarioCar">
    <w:name w:val="Asunto del comentario Car"/>
    <w:basedOn w:val="TextocomentarioCar"/>
    <w:link w:val="Asuntodelcomentario"/>
    <w:uiPriority w:val="99"/>
    <w:semiHidden/>
    <w:rsid w:val="008A56D8"/>
    <w:rPr>
      <w:rFonts w:ascii="Verdana" w:eastAsia="Times New Roman" w:hAnsi="Verdana" w:cs="Times New Roman"/>
      <w:b/>
      <w:bCs/>
      <w:sz w:val="20"/>
      <w:szCs w:val="20"/>
    </w:rPr>
  </w:style>
  <w:style w:type="paragraph" w:styleId="Revisin">
    <w:name w:val="Revision"/>
    <w:hidden/>
    <w:uiPriority w:val="99"/>
    <w:semiHidden/>
    <w:rsid w:val="008A56D8"/>
    <w:rPr>
      <w:rFonts w:ascii="Verdana" w:eastAsia="Times New Roman" w:hAnsi="Verdana"/>
      <w:sz w:val="22"/>
      <w:szCs w:val="24"/>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rsid w:val="00810E7B"/>
    <w:pPr>
      <w:spacing w:after="240"/>
      <w:jc w:val="both"/>
    </w:pPr>
    <w:rPr>
      <w:rFonts w:ascii="Times New Roman" w:hAnsi="Times New Roman"/>
      <w:sz w:val="20"/>
      <w:szCs w:val="20"/>
      <w:lang w:val="en-CA"/>
    </w:rPr>
  </w:style>
  <w:style w:type="paragraph" w:styleId="NormalWeb">
    <w:name w:val="Normal (Web)"/>
    <w:basedOn w:val="Normal"/>
    <w:uiPriority w:val="99"/>
    <w:semiHidden/>
    <w:unhideWhenUsed/>
    <w:rsid w:val="0098509E"/>
    <w:pPr>
      <w:spacing w:before="100" w:beforeAutospacing="1" w:after="100" w:afterAutospacing="1"/>
    </w:pPr>
    <w:rPr>
      <w:rFonts w:ascii="Times New Roman" w:eastAsiaTheme="minorHAnsi" w:hAnsi="Times New Roman"/>
      <w:sz w:val="24"/>
      <w:lang w:val="es-AR" w:eastAsia="es-AR"/>
    </w:rPr>
  </w:style>
  <w:style w:type="paragraph" w:customStyle="1" w:styleId="SecurityCont3">
    <w:name w:val="Security Cont 3"/>
    <w:aliases w:val="s3"/>
    <w:basedOn w:val="SecurityCont2"/>
    <w:link w:val="SecurityCont3Char"/>
    <w:uiPriority w:val="99"/>
    <w:rsid w:val="00427A41"/>
  </w:style>
  <w:style w:type="character" w:customStyle="1" w:styleId="SecurityCont3Char">
    <w:name w:val="Security Cont 3 Char"/>
    <w:aliases w:val="s3 Char"/>
    <w:link w:val="SecurityCont3"/>
    <w:uiPriority w:val="99"/>
    <w:locked/>
    <w:rsid w:val="00427A41"/>
    <w:rPr>
      <w:rFonts w:ascii="Times New Roman" w:eastAsia="Times New Roman" w:hAnsi="Times New Roman"/>
      <w:lang w:val="en-CA"/>
    </w:rPr>
  </w:style>
  <w:style w:type="character" w:styleId="nfasis">
    <w:name w:val="Emphasis"/>
    <w:uiPriority w:val="20"/>
    <w:qFormat/>
    <w:rsid w:val="003176C0"/>
    <w:rPr>
      <w:i/>
      <w:iCs/>
    </w:rPr>
  </w:style>
  <w:style w:type="paragraph" w:customStyle="1" w:styleId="Ne3">
    <w:name w:val="Ne3"/>
    <w:basedOn w:val="Normal"/>
    <w:link w:val="Ne3Char"/>
    <w:rsid w:val="005D19BE"/>
    <w:pPr>
      <w:overflowPunct w:val="0"/>
      <w:autoSpaceDE w:val="0"/>
      <w:autoSpaceDN w:val="0"/>
      <w:adjustRightInd w:val="0"/>
      <w:spacing w:before="120" w:line="280" w:lineRule="atLeast"/>
      <w:ind w:left="720"/>
      <w:jc w:val="both"/>
      <w:textAlignment w:val="baseline"/>
    </w:pPr>
    <w:rPr>
      <w:rFonts w:ascii="Arial" w:hAnsi="Arial"/>
      <w:sz w:val="20"/>
      <w:szCs w:val="20"/>
    </w:rPr>
  </w:style>
  <w:style w:type="character" w:customStyle="1" w:styleId="Ne3Char">
    <w:name w:val="Ne3 Char"/>
    <w:link w:val="Ne3"/>
    <w:rsid w:val="005D19BE"/>
    <w:rPr>
      <w:rFonts w:ascii="Arial" w:eastAsia="Times New Roman" w:hAnsi="Arial"/>
    </w:rPr>
  </w:style>
  <w:style w:type="paragraph" w:styleId="HTMLconformatoprevio">
    <w:name w:val="HTML Preformatted"/>
    <w:basedOn w:val="Normal"/>
    <w:link w:val="HTMLconformatoprevioCar"/>
    <w:uiPriority w:val="99"/>
    <w:rsid w:val="006429BF"/>
    <w:pPr>
      <w:jc w:val="both"/>
    </w:pPr>
    <w:rPr>
      <w:rFonts w:ascii="Courier New" w:hAnsi="Courier New"/>
      <w:sz w:val="20"/>
      <w:lang w:val="en-CA"/>
    </w:rPr>
  </w:style>
  <w:style w:type="character" w:customStyle="1" w:styleId="HTMLconformatoprevioCar">
    <w:name w:val="HTML con formato previo Car"/>
    <w:basedOn w:val="Fuentedeprrafopredeter"/>
    <w:link w:val="HTMLconformatoprevio"/>
    <w:uiPriority w:val="99"/>
    <w:rsid w:val="006429BF"/>
    <w:rPr>
      <w:rFonts w:ascii="Courier New" w:eastAsia="Times New Roman" w:hAnsi="Courier New"/>
      <w:szCs w:val="24"/>
      <w:lang w:val="en-CA"/>
    </w:rPr>
  </w:style>
  <w:style w:type="paragraph" w:customStyle="1" w:styleId="Ne4">
    <w:name w:val="Ne4"/>
    <w:basedOn w:val="Normal"/>
    <w:rsid w:val="006B42DD"/>
    <w:pPr>
      <w:overflowPunct w:val="0"/>
      <w:autoSpaceDE w:val="0"/>
      <w:autoSpaceDN w:val="0"/>
      <w:adjustRightInd w:val="0"/>
      <w:spacing w:before="120" w:line="280" w:lineRule="atLeast"/>
      <w:ind w:left="1080"/>
      <w:jc w:val="both"/>
    </w:pPr>
    <w:rPr>
      <w:rFonts w:ascii="Arial" w:hAnsi="Arial"/>
      <w:sz w:val="20"/>
      <w:szCs w:val="20"/>
      <w:lang w:val="en-CA"/>
    </w:rPr>
  </w:style>
  <w:style w:type="paragraph" w:styleId="Sinespaciado">
    <w:name w:val="No Spacing"/>
    <w:link w:val="SinespaciadoCar"/>
    <w:qFormat/>
    <w:rsid w:val="00043F8E"/>
    <w:pPr>
      <w:jc w:val="both"/>
    </w:pPr>
    <w:rPr>
      <w:rFonts w:ascii="Times New Roman" w:eastAsia="Batang" w:hAnsi="Times New Roman"/>
      <w:sz w:val="22"/>
      <w:szCs w:val="24"/>
      <w:lang w:val="en-CA"/>
    </w:rPr>
  </w:style>
  <w:style w:type="character" w:customStyle="1" w:styleId="SinespaciadoCar">
    <w:name w:val="Sin espaciado Car"/>
    <w:link w:val="Sinespaciado"/>
    <w:rsid w:val="00043F8E"/>
    <w:rPr>
      <w:rFonts w:ascii="Times New Roman" w:eastAsia="Batang" w:hAnsi="Times New Roman"/>
      <w:sz w:val="22"/>
      <w:szCs w:val="24"/>
      <w:lang w:val="en-CA"/>
    </w:rPr>
  </w:style>
  <w:style w:type="paragraph" w:customStyle="1" w:styleId="LHFirmName">
    <w:name w:val="LH Firm Name"/>
    <w:basedOn w:val="Normal"/>
    <w:rsid w:val="00EE18BF"/>
    <w:pPr>
      <w:spacing w:after="120"/>
      <w:ind w:left="-720"/>
      <w:jc w:val="both"/>
    </w:pPr>
    <w:rPr>
      <w:rFonts w:ascii="EngravrsRoman BT" w:hAnsi="EngravrsRoman BT"/>
      <w:b/>
      <w:spacing w:val="10"/>
      <w:sz w:val="15"/>
      <w:lang w:val="en-CA"/>
    </w:rPr>
  </w:style>
  <w:style w:type="character" w:customStyle="1" w:styleId="TextonotapieCar">
    <w:name w:val="Texto nota pie Car"/>
    <w:basedOn w:val="Fuentedeprrafopredeter"/>
    <w:link w:val="Textonotapie"/>
    <w:uiPriority w:val="99"/>
    <w:semiHidden/>
    <w:rsid w:val="00F567D2"/>
    <w:rPr>
      <w:rFonts w:ascii="Verdana" w:eastAsia="Times New Roman" w:hAnsi="Verdana"/>
    </w:rPr>
  </w:style>
  <w:style w:type="character" w:styleId="Refdenotaalpie">
    <w:name w:val="footnote reference"/>
    <w:basedOn w:val="Fuentedeprrafopredeter"/>
    <w:uiPriority w:val="99"/>
    <w:semiHidden/>
    <w:unhideWhenUsed/>
    <w:rsid w:val="00F56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dden@crownpointenerg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brador@crownpointenerg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darplus.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darplu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A7A42-98EC-4DCF-877C-029BB7440B25}">
  <ds:schemaRefs>
    <ds:schemaRef ds:uri="http://schemas.openxmlformats.org/officeDocument/2006/bibliography"/>
  </ds:schemaRefs>
</ds:datastoreItem>
</file>

<file path=customXml/itemProps2.xml><?xml version="1.0" encoding="utf-8"?>
<ds:datastoreItem xmlns:ds="http://schemas.openxmlformats.org/officeDocument/2006/customXml" ds:itemID="{73726298-FAC2-4DED-AD56-E526E7343C17}">
  <ds:schemaRefs>
    <ds:schemaRef ds:uri="http://schemas.openxmlformats.org/officeDocument/2006/bibliography"/>
  </ds:schemaRefs>
</ds:datastoreItem>
</file>

<file path=customXml/itemProps3.xml><?xml version="1.0" encoding="utf-8"?>
<ds:datastoreItem xmlns:ds="http://schemas.openxmlformats.org/officeDocument/2006/customXml" ds:itemID="{E2796B83-E5F5-4155-BE39-76DB4F2048DF}">
  <ds:schemaRefs>
    <ds:schemaRef ds:uri="http://schemas.openxmlformats.org/officeDocument/2006/bibliography"/>
  </ds:schemaRefs>
</ds:datastoreItem>
</file>

<file path=customXml/itemProps4.xml><?xml version="1.0" encoding="utf-8"?>
<ds:datastoreItem xmlns:ds="http://schemas.openxmlformats.org/officeDocument/2006/customXml" ds:itemID="{B90FC9F3-0FA4-412E-9006-4D04161E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3752</Words>
  <Characters>20636</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24340</CharactersWithSpaces>
  <SharedDoc>false</SharedDoc>
  <HLinks>
    <vt:vector size="48" baseType="variant">
      <vt:variant>
        <vt:i4>4259923</vt:i4>
      </vt:variant>
      <vt:variant>
        <vt:i4>21</vt:i4>
      </vt:variant>
      <vt:variant>
        <vt:i4>0</vt:i4>
      </vt:variant>
      <vt:variant>
        <vt:i4>5</vt:i4>
      </vt:variant>
      <vt:variant>
        <vt:lpwstr>http://www.crownpointenergy.com/</vt:lpwstr>
      </vt:variant>
      <vt:variant>
        <vt:lpwstr/>
      </vt:variant>
      <vt:variant>
        <vt:i4>2949128</vt:i4>
      </vt:variant>
      <vt:variant>
        <vt:i4>18</vt:i4>
      </vt:variant>
      <vt:variant>
        <vt:i4>0</vt:i4>
      </vt:variant>
      <vt:variant>
        <vt:i4>5</vt:i4>
      </vt:variant>
      <vt:variant>
        <vt:lpwstr>mailto:amadden@crownpointenergy.com</vt:lpwstr>
      </vt:variant>
      <vt:variant>
        <vt:lpwstr/>
      </vt:variant>
      <vt:variant>
        <vt:i4>2162777</vt:i4>
      </vt:variant>
      <vt:variant>
        <vt:i4>15</vt:i4>
      </vt:variant>
      <vt:variant>
        <vt:i4>0</vt:i4>
      </vt:variant>
      <vt:variant>
        <vt:i4>5</vt:i4>
      </vt:variant>
      <vt:variant>
        <vt:lpwstr>mailto:m.mccartney@crownpointenergy.com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4194325</vt:i4>
      </vt:variant>
      <vt:variant>
        <vt:i4>9</vt:i4>
      </vt:variant>
      <vt:variant>
        <vt:i4>0</vt:i4>
      </vt:variant>
      <vt:variant>
        <vt:i4>5</vt:i4>
      </vt:variant>
      <vt:variant>
        <vt:lpwstr>http://www.sedar.com/</vt:lpwstr>
      </vt:variant>
      <vt:variant>
        <vt:lpwstr/>
      </vt:variant>
      <vt:variant>
        <vt:i4>4259923</vt:i4>
      </vt:variant>
      <vt:variant>
        <vt:i4>6</vt:i4>
      </vt:variant>
      <vt:variant>
        <vt:i4>0</vt:i4>
      </vt:variant>
      <vt:variant>
        <vt:i4>5</vt:i4>
      </vt:variant>
      <vt:variant>
        <vt:lpwstr>http://www.crownpointenergy.com/</vt:lpwstr>
      </vt:variant>
      <vt:variant>
        <vt:lpwstr/>
      </vt:variant>
      <vt:variant>
        <vt:i4>4194325</vt:i4>
      </vt:variant>
      <vt:variant>
        <vt:i4>3</vt:i4>
      </vt:variant>
      <vt:variant>
        <vt:i4>0</vt:i4>
      </vt:variant>
      <vt:variant>
        <vt:i4>5</vt:i4>
      </vt:variant>
      <vt:variant>
        <vt:lpwstr>http://www.sedar.com/</vt:lpwstr>
      </vt:variant>
      <vt:variant>
        <vt:lpwstr/>
      </vt:variant>
      <vt:variant>
        <vt:i4>4259923</vt:i4>
      </vt:variant>
      <vt:variant>
        <vt:i4>0</vt:i4>
      </vt:variant>
      <vt:variant>
        <vt:i4>0</vt:i4>
      </vt:variant>
      <vt:variant>
        <vt:i4>5</vt:i4>
      </vt:variant>
      <vt:variant>
        <vt:lpwstr>http://www.crownpointenergy.com/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Seifert</dc:creator>
  <cp:keywords/>
  <dc:description/>
  <cp:lastModifiedBy>rmc</cp:lastModifiedBy>
  <cp:revision>11</cp:revision>
  <cp:lastPrinted>2025-03-18T13:00:00Z</cp:lastPrinted>
  <dcterms:created xsi:type="dcterms:W3CDTF">2025-03-16T19:06:00Z</dcterms:created>
  <dcterms:modified xsi:type="dcterms:W3CDTF">2025-03-18T15:28:00Z</dcterms:modified>
</cp:coreProperties>
</file>