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31" w:rsidRPr="007B6295" w:rsidRDefault="00257631" w:rsidP="00257631">
      <w:pPr>
        <w:autoSpaceDE w:val="0"/>
        <w:autoSpaceDN w:val="0"/>
        <w:adjustRightInd w:val="0"/>
        <w:jc w:val="right"/>
        <w:rPr>
          <w:rFonts w:ascii="Times New Roman" w:hAnsi="Times New Roman"/>
          <w:szCs w:val="22"/>
        </w:rPr>
      </w:pPr>
    </w:p>
    <w:p w:rsidR="00997CEA" w:rsidRPr="00870D01" w:rsidRDefault="00997CEA" w:rsidP="00997CEA">
      <w:pPr>
        <w:tabs>
          <w:tab w:val="right" w:pos="8640"/>
        </w:tabs>
        <w:jc w:val="both"/>
        <w:rPr>
          <w:sz w:val="20"/>
          <w:szCs w:val="20"/>
          <w:lang w:val="es-ES_tradnl"/>
        </w:rPr>
      </w:pPr>
      <w:r>
        <w:rPr>
          <w:sz w:val="20"/>
          <w:szCs w:val="20"/>
          <w:lang w:val="es-AR"/>
        </w:rPr>
        <w:t xml:space="preserve">PARA PUBLICACIÓN INMEDIATA </w:t>
      </w:r>
      <w:r>
        <w:rPr>
          <w:sz w:val="20"/>
          <w:szCs w:val="20"/>
          <w:lang w:val="es-AR"/>
        </w:rPr>
        <w:tab/>
        <w:t>CWV: TSX.V</w:t>
      </w:r>
    </w:p>
    <w:p w:rsidR="00997CEA" w:rsidRPr="00870D01" w:rsidRDefault="00D101CD" w:rsidP="00997CEA">
      <w:pPr>
        <w:rPr>
          <w:sz w:val="20"/>
          <w:szCs w:val="20"/>
          <w:lang w:val="es-ES_tradnl"/>
        </w:rPr>
      </w:pPr>
      <w:r>
        <w:rPr>
          <w:sz w:val="20"/>
          <w:szCs w:val="20"/>
          <w:lang w:val="es-AR"/>
        </w:rPr>
        <w:t xml:space="preserve">11 </w:t>
      </w:r>
      <w:r w:rsidR="00870D01">
        <w:rPr>
          <w:sz w:val="20"/>
          <w:szCs w:val="20"/>
          <w:lang w:val="es-AR"/>
        </w:rPr>
        <w:t xml:space="preserve">de marzo de </w:t>
      </w:r>
      <w:r w:rsidR="00424407">
        <w:rPr>
          <w:sz w:val="20"/>
          <w:szCs w:val="20"/>
          <w:lang w:val="es-AR"/>
        </w:rPr>
        <w:t>2025</w:t>
      </w:r>
    </w:p>
    <w:p w:rsidR="00997CEA" w:rsidRPr="00870D01" w:rsidRDefault="00997CEA" w:rsidP="00997CEA">
      <w:pPr>
        <w:rPr>
          <w:b/>
          <w:sz w:val="20"/>
          <w:szCs w:val="20"/>
          <w:lang w:val="es-ES_tradnl"/>
        </w:rPr>
      </w:pPr>
    </w:p>
    <w:p w:rsidR="00F26419" w:rsidRPr="00870D01" w:rsidRDefault="00E5435D" w:rsidP="00E5435D">
      <w:pPr>
        <w:ind w:left="720"/>
        <w:jc w:val="center"/>
        <w:outlineLvl w:val="0"/>
        <w:rPr>
          <w:b/>
          <w:sz w:val="20"/>
          <w:szCs w:val="20"/>
          <w:lang w:val="es-ES_tradnl"/>
        </w:rPr>
      </w:pPr>
      <w:r>
        <w:rPr>
          <w:b/>
          <w:bCs/>
          <w:sz w:val="20"/>
          <w:szCs w:val="20"/>
          <w:lang w:val="es-AR"/>
        </w:rPr>
        <w:t xml:space="preserve">Crown Point anuncia </w:t>
      </w:r>
    </w:p>
    <w:p w:rsidR="00B91062" w:rsidRDefault="00F11C6C" w:rsidP="00E5435D">
      <w:pPr>
        <w:ind w:left="720"/>
        <w:jc w:val="center"/>
        <w:outlineLvl w:val="0"/>
        <w:rPr>
          <w:b/>
          <w:bCs/>
          <w:sz w:val="20"/>
          <w:szCs w:val="20"/>
          <w:lang w:val="es-AR"/>
        </w:rPr>
      </w:pPr>
      <w:proofErr w:type="gramStart"/>
      <w:r>
        <w:rPr>
          <w:b/>
          <w:bCs/>
          <w:sz w:val="20"/>
          <w:szCs w:val="20"/>
          <w:lang w:val="es-AR"/>
        </w:rPr>
        <w:t>información</w:t>
      </w:r>
      <w:proofErr w:type="gramEnd"/>
      <w:r>
        <w:rPr>
          <w:b/>
          <w:bCs/>
          <w:sz w:val="20"/>
          <w:szCs w:val="20"/>
          <w:lang w:val="es-AR"/>
        </w:rPr>
        <w:t xml:space="preserve"> sobre reservas correspondiente </w:t>
      </w:r>
    </w:p>
    <w:p w:rsidR="00E66412" w:rsidRPr="00870D01" w:rsidRDefault="00F11C6C" w:rsidP="00E5435D">
      <w:pPr>
        <w:ind w:left="720"/>
        <w:jc w:val="center"/>
        <w:outlineLvl w:val="0"/>
        <w:rPr>
          <w:b/>
          <w:sz w:val="20"/>
          <w:szCs w:val="20"/>
          <w:lang w:val="es-ES_tradnl"/>
        </w:rPr>
      </w:pPr>
      <w:proofErr w:type="gramStart"/>
      <w:r>
        <w:rPr>
          <w:b/>
          <w:bCs/>
          <w:sz w:val="20"/>
          <w:szCs w:val="20"/>
          <w:lang w:val="es-AR"/>
        </w:rPr>
        <w:t>al</w:t>
      </w:r>
      <w:proofErr w:type="gramEnd"/>
      <w:r>
        <w:rPr>
          <w:b/>
          <w:bCs/>
          <w:sz w:val="20"/>
          <w:szCs w:val="20"/>
          <w:lang w:val="es-AR"/>
        </w:rPr>
        <w:t xml:space="preserve"> ejercicio finalizado el 31 de diciembre de </w:t>
      </w:r>
      <w:r w:rsidR="00424407">
        <w:rPr>
          <w:b/>
          <w:bCs/>
          <w:sz w:val="20"/>
          <w:szCs w:val="20"/>
          <w:lang w:val="es-AR"/>
        </w:rPr>
        <w:t>2024</w:t>
      </w:r>
    </w:p>
    <w:p w:rsidR="00997CEA" w:rsidRPr="00870D01" w:rsidRDefault="00997CEA" w:rsidP="00997CEA">
      <w:pPr>
        <w:outlineLvl w:val="0"/>
        <w:rPr>
          <w:b/>
          <w:sz w:val="20"/>
          <w:szCs w:val="20"/>
          <w:lang w:val="es-ES_tradnl"/>
        </w:rPr>
      </w:pPr>
    </w:p>
    <w:p w:rsidR="00335EAB" w:rsidRPr="00870D01" w:rsidRDefault="00997CEA" w:rsidP="00AF42C9">
      <w:pPr>
        <w:tabs>
          <w:tab w:val="left" w:pos="1440"/>
        </w:tabs>
        <w:jc w:val="both"/>
        <w:rPr>
          <w:sz w:val="20"/>
          <w:szCs w:val="20"/>
          <w:lang w:val="es-ES_tradnl"/>
        </w:rPr>
      </w:pPr>
      <w:r>
        <w:rPr>
          <w:b/>
          <w:bCs/>
          <w:sz w:val="20"/>
          <w:szCs w:val="20"/>
          <w:lang w:val="es-AR"/>
        </w:rPr>
        <w:t xml:space="preserve">TSX-V: CWV: </w:t>
      </w:r>
      <w:r>
        <w:rPr>
          <w:sz w:val="20"/>
          <w:szCs w:val="20"/>
          <w:lang w:val="es-AR"/>
        </w:rPr>
        <w:t xml:space="preserve">En el día de hoy, </w:t>
      </w:r>
      <w:r>
        <w:rPr>
          <w:b/>
          <w:bCs/>
          <w:sz w:val="20"/>
          <w:szCs w:val="20"/>
          <w:lang w:val="es-AR"/>
        </w:rPr>
        <w:t>Crown Point Energy Inc. (“Crown Point”,</w:t>
      </w:r>
      <w:r>
        <w:rPr>
          <w:sz w:val="20"/>
          <w:szCs w:val="20"/>
          <w:lang w:val="es-AR"/>
        </w:rPr>
        <w:t xml:space="preserve"> o la</w:t>
      </w:r>
      <w:r>
        <w:rPr>
          <w:b/>
          <w:bCs/>
          <w:sz w:val="20"/>
          <w:szCs w:val="20"/>
          <w:lang w:val="es-AR"/>
        </w:rPr>
        <w:t> “Compañía”)</w:t>
      </w:r>
      <w:r>
        <w:rPr>
          <w:sz w:val="20"/>
          <w:szCs w:val="20"/>
          <w:lang w:val="es-AR"/>
        </w:rPr>
        <w:t xml:space="preserve"> anunció cierta información sobre reservas correspondiente al ejercicio finalizado el 31 de diciembre de </w:t>
      </w:r>
      <w:r w:rsidR="00424407">
        <w:rPr>
          <w:sz w:val="20"/>
          <w:szCs w:val="20"/>
          <w:lang w:val="es-AR"/>
        </w:rPr>
        <w:t>2024</w:t>
      </w:r>
      <w:r>
        <w:rPr>
          <w:sz w:val="20"/>
          <w:szCs w:val="20"/>
          <w:lang w:val="es-AR"/>
        </w:rPr>
        <w:t>. Todas las cifras en dólares se encuentran expresadas en dólares estadounidenses (“</w:t>
      </w:r>
      <w:r>
        <w:rPr>
          <w:b/>
          <w:bCs/>
          <w:sz w:val="20"/>
          <w:szCs w:val="20"/>
          <w:lang w:val="es-AR"/>
        </w:rPr>
        <w:t>USD</w:t>
      </w:r>
      <w:r>
        <w:rPr>
          <w:sz w:val="20"/>
          <w:szCs w:val="20"/>
          <w:lang w:val="es-AR"/>
        </w:rPr>
        <w:t>” o "</w:t>
      </w:r>
      <w:r>
        <w:rPr>
          <w:b/>
          <w:bCs/>
          <w:sz w:val="20"/>
          <w:szCs w:val="20"/>
          <w:lang w:val="es-AR"/>
        </w:rPr>
        <w:t>US$"</w:t>
      </w:r>
      <w:r>
        <w:rPr>
          <w:sz w:val="20"/>
          <w:szCs w:val="20"/>
          <w:lang w:val="es-AR"/>
        </w:rPr>
        <w:t>), salvo que se indique lo contrario</w:t>
      </w:r>
      <w:r w:rsidR="00681409">
        <w:rPr>
          <w:sz w:val="20"/>
          <w:szCs w:val="20"/>
          <w:lang w:val="es-AR"/>
        </w:rPr>
        <w:t>,</w:t>
      </w:r>
      <w:r>
        <w:rPr>
          <w:sz w:val="20"/>
          <w:szCs w:val="20"/>
          <w:lang w:val="es-AR"/>
        </w:rPr>
        <w:t xml:space="preserve"> y “</w:t>
      </w:r>
      <w:r>
        <w:rPr>
          <w:b/>
          <w:bCs/>
          <w:sz w:val="20"/>
          <w:szCs w:val="20"/>
          <w:lang w:val="es-AR"/>
        </w:rPr>
        <w:t>MMUS$</w:t>
      </w:r>
      <w:r>
        <w:rPr>
          <w:sz w:val="20"/>
          <w:szCs w:val="20"/>
          <w:lang w:val="es-AR"/>
        </w:rPr>
        <w:t xml:space="preserve">” significa millones de USD. </w:t>
      </w:r>
    </w:p>
    <w:p w:rsidR="006E2E70" w:rsidRPr="00870D01" w:rsidRDefault="00D101CD" w:rsidP="00C35452">
      <w:pPr>
        <w:tabs>
          <w:tab w:val="left" w:pos="1440"/>
        </w:tabs>
        <w:spacing w:before="120" w:line="240" w:lineRule="atLeast"/>
        <w:jc w:val="both"/>
        <w:rPr>
          <w:sz w:val="20"/>
          <w:szCs w:val="20"/>
          <w:lang w:val="es-ES_tradnl"/>
        </w:rPr>
      </w:pPr>
      <w:r>
        <w:rPr>
          <w:sz w:val="20"/>
          <w:szCs w:val="20"/>
          <w:lang w:val="es-AR"/>
        </w:rPr>
        <w:t xml:space="preserve">Sproule </w:t>
      </w:r>
      <w:r w:rsidR="002F1371">
        <w:rPr>
          <w:sz w:val="20"/>
          <w:szCs w:val="20"/>
          <w:lang w:val="es-AR"/>
        </w:rPr>
        <w:t xml:space="preserve">Associates </w:t>
      </w:r>
      <w:r>
        <w:rPr>
          <w:sz w:val="20"/>
          <w:szCs w:val="20"/>
          <w:lang w:val="es-AR"/>
        </w:rPr>
        <w:t xml:space="preserve">Limited </w:t>
      </w:r>
      <w:r w:rsidR="002F1371">
        <w:rPr>
          <w:sz w:val="20"/>
          <w:szCs w:val="20"/>
          <w:lang w:val="es-AR"/>
        </w:rPr>
        <w:t>(“</w:t>
      </w:r>
      <w:r>
        <w:rPr>
          <w:b/>
          <w:bCs/>
          <w:sz w:val="20"/>
          <w:szCs w:val="20"/>
          <w:lang w:val="es-AR"/>
        </w:rPr>
        <w:t>Sproule</w:t>
      </w:r>
      <w:r w:rsidR="002F1371">
        <w:rPr>
          <w:sz w:val="20"/>
          <w:szCs w:val="20"/>
          <w:lang w:val="es-AR"/>
        </w:rPr>
        <w:t xml:space="preserve">”), una firma de </w:t>
      </w:r>
      <w:r w:rsidR="008A2DCD">
        <w:rPr>
          <w:sz w:val="20"/>
          <w:szCs w:val="20"/>
          <w:lang w:val="es-AR"/>
        </w:rPr>
        <w:t xml:space="preserve">ingeniería </w:t>
      </w:r>
      <w:r w:rsidR="002F1371">
        <w:rPr>
          <w:sz w:val="20"/>
          <w:szCs w:val="20"/>
          <w:lang w:val="es-AR"/>
        </w:rPr>
        <w:t xml:space="preserve">de reservas </w:t>
      </w:r>
      <w:r w:rsidR="00681409">
        <w:rPr>
          <w:sz w:val="20"/>
          <w:szCs w:val="20"/>
          <w:lang w:val="es-AR"/>
        </w:rPr>
        <w:t xml:space="preserve">calificada </w:t>
      </w:r>
      <w:r w:rsidR="002F1371">
        <w:rPr>
          <w:sz w:val="20"/>
          <w:szCs w:val="20"/>
          <w:lang w:val="es-AR"/>
        </w:rPr>
        <w:t xml:space="preserve">independiente, evaluó las reservas de petróleo y gas natural atribuibles a todos los activos de Crown Point al 31 de diciembre de </w:t>
      </w:r>
      <w:r w:rsidR="00424407">
        <w:rPr>
          <w:sz w:val="20"/>
          <w:szCs w:val="20"/>
          <w:lang w:val="es-AR"/>
        </w:rPr>
        <w:t xml:space="preserve">2024 </w:t>
      </w:r>
      <w:r w:rsidR="002F1371">
        <w:rPr>
          <w:sz w:val="20"/>
          <w:szCs w:val="20"/>
          <w:lang w:val="es-AR"/>
        </w:rPr>
        <w:t>sobre la base de proyecciones de precios y costos y de conformidad con el Instrumento Nacional 51-101 (“</w:t>
      </w:r>
      <w:r w:rsidR="002F1371">
        <w:rPr>
          <w:b/>
          <w:bCs/>
          <w:sz w:val="20"/>
          <w:szCs w:val="20"/>
          <w:lang w:val="es-AR"/>
        </w:rPr>
        <w:t>NI 51-101</w:t>
      </w:r>
      <w:r w:rsidR="002F1371">
        <w:rPr>
          <w:sz w:val="20"/>
          <w:szCs w:val="20"/>
          <w:lang w:val="es-AR"/>
        </w:rPr>
        <w:t>“) y el Manual Canadiense de Evaluación de Petróleo y Gas (el “</w:t>
      </w:r>
      <w:r w:rsidR="002F1371">
        <w:rPr>
          <w:b/>
          <w:bCs/>
          <w:sz w:val="20"/>
          <w:szCs w:val="20"/>
          <w:lang w:val="es-AR"/>
        </w:rPr>
        <w:t>Manual Canadiense de Evaluación de Petróleo y Gas</w:t>
      </w:r>
      <w:r w:rsidR="002F1371">
        <w:rPr>
          <w:sz w:val="20"/>
          <w:szCs w:val="20"/>
          <w:lang w:val="es-AR"/>
        </w:rPr>
        <w:t xml:space="preserve">"). El informe de evaluación elaborado por </w:t>
      </w:r>
      <w:r w:rsidR="008A2DCD">
        <w:rPr>
          <w:sz w:val="20"/>
          <w:szCs w:val="20"/>
          <w:lang w:val="es-AR"/>
        </w:rPr>
        <w:t xml:space="preserve">Sproule </w:t>
      </w:r>
      <w:r w:rsidR="002F1371">
        <w:rPr>
          <w:sz w:val="20"/>
          <w:szCs w:val="20"/>
          <w:lang w:val="es-AR"/>
        </w:rPr>
        <w:t>(el "</w:t>
      </w:r>
      <w:r w:rsidR="002F1371">
        <w:rPr>
          <w:b/>
          <w:bCs/>
          <w:sz w:val="20"/>
          <w:szCs w:val="20"/>
          <w:lang w:val="es-AR"/>
        </w:rPr>
        <w:t xml:space="preserve">Informe de </w:t>
      </w:r>
      <w:r w:rsidR="008A2DCD">
        <w:rPr>
          <w:b/>
          <w:bCs/>
          <w:sz w:val="20"/>
          <w:szCs w:val="20"/>
          <w:lang w:val="es-AR"/>
        </w:rPr>
        <w:t>Sproule</w:t>
      </w:r>
      <w:r w:rsidR="002F1371">
        <w:rPr>
          <w:sz w:val="20"/>
          <w:szCs w:val="20"/>
          <w:lang w:val="es-AR"/>
        </w:rPr>
        <w:t>") también presenta el valor presente neto estimado de los ingresos netos futuros asociados a las reservas de Crown Point. El siguiente cuadro contiene un resumen de las reservas de crudo, gas natural y líquidos de gas natural de Crown Point evaluadas por</w:t>
      </w:r>
      <w:r w:rsidR="008A2DCD">
        <w:rPr>
          <w:sz w:val="20"/>
          <w:szCs w:val="20"/>
          <w:lang w:val="es-AR"/>
        </w:rPr>
        <w:t xml:space="preserve"> Sproule</w:t>
      </w:r>
      <w:r w:rsidR="002F1371">
        <w:rPr>
          <w:sz w:val="20"/>
          <w:szCs w:val="20"/>
          <w:lang w:val="es-AR"/>
        </w:rPr>
        <w:t xml:space="preserve">, y el respectivo valor presente neto de los ingresos netos futuros relacionados con tales reservas al 31 de diciembre de </w:t>
      </w:r>
      <w:r w:rsidR="00424407">
        <w:rPr>
          <w:sz w:val="20"/>
          <w:szCs w:val="20"/>
          <w:lang w:val="es-AR"/>
        </w:rPr>
        <w:t>2024</w:t>
      </w:r>
      <w:r w:rsidR="002F1371">
        <w:rPr>
          <w:sz w:val="20"/>
          <w:szCs w:val="20"/>
          <w:lang w:val="es-AR"/>
        </w:rPr>
        <w:t xml:space="preserve">. </w:t>
      </w:r>
    </w:p>
    <w:p w:rsidR="00767618" w:rsidRPr="00870D01" w:rsidRDefault="00767618" w:rsidP="00767618">
      <w:pPr>
        <w:keepNext/>
        <w:tabs>
          <w:tab w:val="left" w:pos="1440"/>
        </w:tabs>
        <w:spacing w:before="120" w:line="240" w:lineRule="atLeast"/>
        <w:jc w:val="both"/>
        <w:rPr>
          <w:sz w:val="20"/>
          <w:szCs w:val="20"/>
          <w:lang w:val="es-ES_tradnl"/>
        </w:rPr>
      </w:pPr>
      <w:r>
        <w:rPr>
          <w:sz w:val="20"/>
          <w:szCs w:val="20"/>
          <w:lang w:val="es-AR"/>
        </w:rPr>
        <w:t xml:space="preserve">El siguiente cuadro presenta, en total, las reservas probables y probadas brutas y netas de la Compañía, calculadas utilizando proyecciones de precios y costos, por tipo de producto y por barril equivalente de petróleo, al 31 de diciembre de </w:t>
      </w:r>
      <w:r w:rsidR="00424407">
        <w:rPr>
          <w:sz w:val="20"/>
          <w:szCs w:val="20"/>
          <w:lang w:val="es-AR"/>
        </w:rPr>
        <w:t>2024</w:t>
      </w:r>
      <w:r>
        <w:rPr>
          <w:sz w:val="20"/>
          <w:szCs w:val="20"/>
          <w:lang w:val="es-AR"/>
        </w:rPr>
        <w:t>.</w:t>
      </w:r>
    </w:p>
    <w:p w:rsidR="00767618" w:rsidRPr="00870D01" w:rsidRDefault="00767618" w:rsidP="00767618">
      <w:pPr>
        <w:keepNext/>
        <w:jc w:val="center"/>
        <w:rPr>
          <w:rFonts w:ascii="Times New Roman" w:hAnsi="Times New Roman"/>
          <w:b/>
          <w:szCs w:val="22"/>
          <w:lang w:val="es-ES_tradnl"/>
        </w:rPr>
      </w:pPr>
    </w:p>
    <w:p w:rsidR="00767618" w:rsidRPr="00870D01" w:rsidRDefault="00767618" w:rsidP="001A6102">
      <w:pPr>
        <w:keepNext/>
        <w:jc w:val="center"/>
        <w:rPr>
          <w:rFonts w:ascii="Times New Roman" w:hAnsi="Times New Roman"/>
          <w:b/>
          <w:szCs w:val="22"/>
          <w:lang w:val="es-ES_tradnl"/>
        </w:rPr>
      </w:pPr>
      <w:bookmarkStart w:id="0" w:name="OLE_LINK1"/>
      <w:r>
        <w:rPr>
          <w:rFonts w:ascii="Times New Roman" w:hAnsi="Times New Roman"/>
          <w:b/>
          <w:bCs/>
          <w:szCs w:val="22"/>
          <w:lang w:val="es-AR"/>
        </w:rPr>
        <w:t xml:space="preserve">RESUMEN DE RESERVAS AL 31 DE DICIEMBRE DE </w:t>
      </w:r>
      <w:r w:rsidR="00424407">
        <w:rPr>
          <w:rFonts w:ascii="Times New Roman" w:hAnsi="Times New Roman"/>
          <w:b/>
          <w:bCs/>
          <w:szCs w:val="22"/>
          <w:lang w:val="es-AR"/>
        </w:rPr>
        <w:t>2024</w:t>
      </w:r>
    </w:p>
    <w:p w:rsidR="00424407" w:rsidRDefault="00767618" w:rsidP="00C93607">
      <w:pPr>
        <w:keepNext/>
        <w:spacing w:after="120" w:line="276" w:lineRule="auto"/>
        <w:jc w:val="center"/>
        <w:rPr>
          <w:rFonts w:ascii="Times New Roman" w:hAnsi="Times New Roman"/>
          <w:b/>
          <w:bCs/>
          <w:szCs w:val="22"/>
          <w:lang w:val="es-AR"/>
        </w:rPr>
      </w:pPr>
      <w:r>
        <w:rPr>
          <w:rFonts w:ascii="Times New Roman" w:hAnsi="Times New Roman"/>
          <w:b/>
          <w:bCs/>
          <w:szCs w:val="22"/>
          <w:lang w:val="es-AR"/>
        </w:rPr>
        <w:t>(</w:t>
      </w:r>
      <w:proofErr w:type="gramStart"/>
      <w:r>
        <w:rPr>
          <w:rFonts w:ascii="Times New Roman" w:hAnsi="Times New Roman"/>
          <w:b/>
          <w:bCs/>
          <w:szCs w:val="22"/>
          <w:lang w:val="es-AR"/>
        </w:rPr>
        <w:t>precios</w:t>
      </w:r>
      <w:proofErr w:type="gramEnd"/>
      <w:r>
        <w:rPr>
          <w:rFonts w:ascii="Times New Roman" w:hAnsi="Times New Roman"/>
          <w:b/>
          <w:bCs/>
          <w:szCs w:val="22"/>
          <w:lang w:val="es-AR"/>
        </w:rPr>
        <w:t xml:space="preserve"> y costos proyectados)</w:t>
      </w:r>
      <w:bookmarkEnd w:id="0"/>
    </w:p>
    <w:tbl>
      <w:tblPr>
        <w:tblW w:w="11274" w:type="dxa"/>
        <w:tblInd w:w="-953" w:type="dxa"/>
        <w:tblLayout w:type="fixed"/>
        <w:tblCellMar>
          <w:left w:w="70" w:type="dxa"/>
          <w:right w:w="70" w:type="dxa"/>
        </w:tblCellMar>
        <w:tblLook w:val="04A0" w:firstRow="1" w:lastRow="0" w:firstColumn="1" w:lastColumn="0" w:noHBand="0" w:noVBand="1"/>
      </w:tblPr>
      <w:tblGrid>
        <w:gridCol w:w="2480"/>
        <w:gridCol w:w="883"/>
        <w:gridCol w:w="905"/>
        <w:gridCol w:w="845"/>
        <w:gridCol w:w="845"/>
        <w:gridCol w:w="844"/>
        <w:gridCol w:w="819"/>
        <w:gridCol w:w="814"/>
        <w:gridCol w:w="740"/>
        <w:gridCol w:w="965"/>
        <w:gridCol w:w="1134"/>
      </w:tblGrid>
      <w:tr w:rsidR="00424407" w:rsidRPr="00424407" w:rsidTr="00473E4E">
        <w:trPr>
          <w:trHeight w:val="645"/>
        </w:trPr>
        <w:tc>
          <w:tcPr>
            <w:tcW w:w="2480" w:type="dxa"/>
            <w:vMerge w:val="restart"/>
            <w:tcBorders>
              <w:top w:val="nil"/>
              <w:left w:val="nil"/>
              <w:bottom w:val="nil"/>
              <w:right w:val="nil"/>
            </w:tcBorders>
            <w:shd w:val="clear" w:color="auto" w:fill="auto"/>
            <w:vAlign w:val="center"/>
            <w:hideMark/>
          </w:tcPr>
          <w:p w:rsidR="00424407" w:rsidRPr="00424407" w:rsidRDefault="00424407" w:rsidP="00473E4E">
            <w:pPr>
              <w:rPr>
                <w:rFonts w:ascii="Arial" w:hAnsi="Arial" w:cs="Arial"/>
                <w:sz w:val="20"/>
                <w:szCs w:val="20"/>
                <w:lang w:val="es-AR" w:eastAsia="es-AR"/>
              </w:rPr>
            </w:pPr>
          </w:p>
        </w:tc>
        <w:tc>
          <w:tcPr>
            <w:tcW w:w="1788" w:type="dxa"/>
            <w:gridSpan w:val="2"/>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eastAsia="es-AR"/>
              </w:rPr>
            </w:pPr>
            <w:r w:rsidRPr="00424407">
              <w:rPr>
                <w:rFonts w:ascii="Arial" w:hAnsi="Arial" w:cs="Arial"/>
                <w:b/>
                <w:bCs/>
                <w:color w:val="000000"/>
                <w:sz w:val="20"/>
                <w:szCs w:val="20"/>
                <w:lang w:eastAsia="es-AR"/>
              </w:rPr>
              <w:t>Crudo medio y liviano</w:t>
            </w:r>
          </w:p>
        </w:tc>
        <w:tc>
          <w:tcPr>
            <w:tcW w:w="1690" w:type="dxa"/>
            <w:gridSpan w:val="2"/>
            <w:tcBorders>
              <w:top w:val="nil"/>
              <w:left w:val="nil"/>
              <w:bottom w:val="nil"/>
              <w:right w:val="nil"/>
            </w:tcBorders>
            <w:vAlign w:val="center"/>
          </w:tcPr>
          <w:p w:rsidR="00424407" w:rsidRPr="00424407" w:rsidRDefault="00424407" w:rsidP="00473E4E">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Crudo pesado</w:t>
            </w:r>
          </w:p>
        </w:tc>
        <w:tc>
          <w:tcPr>
            <w:tcW w:w="1663" w:type="dxa"/>
            <w:gridSpan w:val="2"/>
            <w:tcBorders>
              <w:top w:val="nil"/>
              <w:left w:val="nil"/>
              <w:bottom w:val="nil"/>
              <w:right w:val="nil"/>
            </w:tcBorders>
            <w:shd w:val="clear" w:color="auto" w:fill="auto"/>
            <w:vAlign w:val="center"/>
            <w:hideMark/>
          </w:tcPr>
          <w:p w:rsidR="00424407" w:rsidRPr="00424407" w:rsidRDefault="00424407" w:rsidP="00473E4E">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Gas natural convencional</w:t>
            </w:r>
          </w:p>
        </w:tc>
        <w:tc>
          <w:tcPr>
            <w:tcW w:w="1554" w:type="dxa"/>
            <w:gridSpan w:val="2"/>
            <w:tcBorders>
              <w:top w:val="nil"/>
              <w:left w:val="nil"/>
              <w:bottom w:val="nil"/>
              <w:right w:val="nil"/>
            </w:tcBorders>
            <w:shd w:val="clear" w:color="auto" w:fill="auto"/>
            <w:vAlign w:val="center"/>
            <w:hideMark/>
          </w:tcPr>
          <w:p w:rsidR="00424407" w:rsidRPr="00424407" w:rsidRDefault="00424407" w:rsidP="00473E4E">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Líquidos de gas natural</w:t>
            </w:r>
          </w:p>
        </w:tc>
        <w:tc>
          <w:tcPr>
            <w:tcW w:w="2099" w:type="dxa"/>
            <w:gridSpan w:val="2"/>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Total reservas</w:t>
            </w:r>
          </w:p>
        </w:tc>
      </w:tr>
      <w:tr w:rsidR="00424407" w:rsidRPr="00424407" w:rsidTr="00473E4E">
        <w:trPr>
          <w:trHeight w:val="315"/>
        </w:trPr>
        <w:tc>
          <w:tcPr>
            <w:tcW w:w="2480" w:type="dxa"/>
            <w:vMerge/>
            <w:tcBorders>
              <w:top w:val="nil"/>
              <w:left w:val="nil"/>
              <w:bottom w:val="nil"/>
              <w:right w:val="nil"/>
            </w:tcBorders>
            <w:vAlign w:val="center"/>
            <w:hideMark/>
          </w:tcPr>
          <w:p w:rsidR="00424407" w:rsidRPr="00424407" w:rsidRDefault="00424407" w:rsidP="00473E4E">
            <w:pPr>
              <w:rPr>
                <w:rFonts w:ascii="Arial" w:hAnsi="Arial" w:cs="Arial"/>
                <w:sz w:val="20"/>
                <w:szCs w:val="20"/>
                <w:lang w:val="es-AR" w:eastAsia="es-AR"/>
              </w:rPr>
            </w:pPr>
          </w:p>
        </w:tc>
        <w:tc>
          <w:tcPr>
            <w:tcW w:w="1788" w:type="dxa"/>
            <w:gridSpan w:val="2"/>
            <w:tcBorders>
              <w:top w:val="nil"/>
              <w:left w:val="nil"/>
              <w:bottom w:val="single" w:sz="8" w:space="0" w:color="auto"/>
              <w:right w:val="nil"/>
            </w:tcBorders>
            <w:shd w:val="clear" w:color="auto" w:fill="auto"/>
            <w:vAlign w:val="center"/>
            <w:hideMark/>
          </w:tcPr>
          <w:p w:rsidR="00424407" w:rsidRPr="00424407" w:rsidRDefault="00424407" w:rsidP="00473E4E">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(Mbbl)</w:t>
            </w:r>
          </w:p>
        </w:tc>
        <w:tc>
          <w:tcPr>
            <w:tcW w:w="1690" w:type="dxa"/>
            <w:gridSpan w:val="2"/>
            <w:tcBorders>
              <w:top w:val="nil"/>
              <w:left w:val="nil"/>
              <w:bottom w:val="single" w:sz="8" w:space="0" w:color="auto"/>
              <w:right w:val="nil"/>
            </w:tcBorders>
          </w:tcPr>
          <w:p w:rsidR="00424407" w:rsidRPr="00424407" w:rsidRDefault="00424407" w:rsidP="00473E4E">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(Mbbl)</w:t>
            </w:r>
          </w:p>
        </w:tc>
        <w:tc>
          <w:tcPr>
            <w:tcW w:w="1663" w:type="dxa"/>
            <w:gridSpan w:val="2"/>
            <w:tcBorders>
              <w:top w:val="nil"/>
              <w:left w:val="nil"/>
              <w:bottom w:val="single" w:sz="8" w:space="0" w:color="auto"/>
              <w:right w:val="nil"/>
            </w:tcBorders>
            <w:shd w:val="clear" w:color="auto" w:fill="auto"/>
            <w:vAlign w:val="center"/>
            <w:hideMark/>
          </w:tcPr>
          <w:p w:rsidR="00424407" w:rsidRPr="00424407" w:rsidRDefault="00424407" w:rsidP="00473E4E">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(MMcf)</w:t>
            </w:r>
          </w:p>
        </w:tc>
        <w:tc>
          <w:tcPr>
            <w:tcW w:w="1554" w:type="dxa"/>
            <w:gridSpan w:val="2"/>
            <w:tcBorders>
              <w:top w:val="nil"/>
              <w:left w:val="nil"/>
              <w:bottom w:val="single" w:sz="8" w:space="0" w:color="auto"/>
              <w:right w:val="nil"/>
            </w:tcBorders>
            <w:shd w:val="clear" w:color="auto" w:fill="auto"/>
            <w:vAlign w:val="center"/>
            <w:hideMark/>
          </w:tcPr>
          <w:p w:rsidR="00424407" w:rsidRPr="00424407" w:rsidRDefault="00424407" w:rsidP="00473E4E">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(Mbbl)</w:t>
            </w:r>
          </w:p>
        </w:tc>
        <w:tc>
          <w:tcPr>
            <w:tcW w:w="2099" w:type="dxa"/>
            <w:gridSpan w:val="2"/>
            <w:tcBorders>
              <w:top w:val="nil"/>
              <w:left w:val="nil"/>
              <w:bottom w:val="single" w:sz="8" w:space="0" w:color="auto"/>
              <w:right w:val="nil"/>
            </w:tcBorders>
            <w:shd w:val="clear" w:color="auto" w:fill="auto"/>
            <w:noWrap/>
            <w:vAlign w:val="bottom"/>
            <w:hideMark/>
          </w:tcPr>
          <w:p w:rsidR="00424407" w:rsidRPr="00424407" w:rsidRDefault="00424407" w:rsidP="00473E4E">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MBOE</w:t>
            </w:r>
          </w:p>
        </w:tc>
      </w:tr>
      <w:tr w:rsidR="00424407" w:rsidRPr="00424407" w:rsidTr="00473E4E">
        <w:trPr>
          <w:trHeight w:val="300"/>
        </w:trPr>
        <w:tc>
          <w:tcPr>
            <w:tcW w:w="2480" w:type="dxa"/>
            <w:tcBorders>
              <w:top w:val="nil"/>
              <w:left w:val="nil"/>
              <w:bottom w:val="nil"/>
              <w:right w:val="nil"/>
            </w:tcBorders>
            <w:shd w:val="clear" w:color="auto" w:fill="auto"/>
            <w:vAlign w:val="center"/>
            <w:hideMark/>
          </w:tcPr>
          <w:p w:rsidR="00424407" w:rsidRPr="00424407" w:rsidRDefault="00424407" w:rsidP="00424407">
            <w:pPr>
              <w:rPr>
                <w:rFonts w:ascii="Arial" w:hAnsi="Arial" w:cs="Arial"/>
                <w:b/>
                <w:bCs/>
                <w:color w:val="000000"/>
                <w:sz w:val="20"/>
                <w:szCs w:val="20"/>
                <w:vertAlign w:val="superscript"/>
              </w:rPr>
            </w:pPr>
            <w:r w:rsidRPr="00424407">
              <w:rPr>
                <w:rFonts w:ascii="Arial" w:hAnsi="Arial" w:cs="Arial"/>
                <w:b/>
                <w:bCs/>
                <w:color w:val="000000"/>
                <w:sz w:val="20"/>
                <w:szCs w:val="20"/>
                <w:lang w:val="es-AR"/>
              </w:rPr>
              <w:t>Categoría de reservas</w:t>
            </w:r>
            <w:r w:rsidRPr="00424407">
              <w:rPr>
                <w:rFonts w:ascii="Arial" w:hAnsi="Arial" w:cs="Arial"/>
                <w:b/>
                <w:bCs/>
                <w:color w:val="000000"/>
                <w:sz w:val="20"/>
                <w:szCs w:val="20"/>
                <w:vertAlign w:val="superscript"/>
                <w:lang w:val="es-AR"/>
              </w:rPr>
              <w:t>(2)</w:t>
            </w:r>
          </w:p>
        </w:tc>
        <w:tc>
          <w:tcPr>
            <w:tcW w:w="883"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Brutas</w:t>
            </w:r>
          </w:p>
        </w:tc>
        <w:tc>
          <w:tcPr>
            <w:tcW w:w="905"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Netas</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Brutas</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Netas</w:t>
            </w:r>
          </w:p>
        </w:tc>
        <w:tc>
          <w:tcPr>
            <w:tcW w:w="84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Brutas</w:t>
            </w:r>
          </w:p>
        </w:tc>
        <w:tc>
          <w:tcPr>
            <w:tcW w:w="819"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Netas</w:t>
            </w:r>
          </w:p>
        </w:tc>
        <w:tc>
          <w:tcPr>
            <w:tcW w:w="81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Brutas</w:t>
            </w:r>
          </w:p>
        </w:tc>
        <w:tc>
          <w:tcPr>
            <w:tcW w:w="740"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Netas</w:t>
            </w:r>
          </w:p>
        </w:tc>
        <w:tc>
          <w:tcPr>
            <w:tcW w:w="965"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Brutas</w:t>
            </w:r>
          </w:p>
        </w:tc>
        <w:tc>
          <w:tcPr>
            <w:tcW w:w="1134" w:type="dxa"/>
            <w:tcBorders>
              <w:top w:val="single" w:sz="8"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color w:val="000000"/>
                <w:sz w:val="20"/>
                <w:szCs w:val="20"/>
                <w:lang w:val="es-AR" w:eastAsia="es-AR"/>
              </w:rPr>
            </w:pPr>
            <w:r w:rsidRPr="00424407">
              <w:rPr>
                <w:rFonts w:ascii="Arial" w:hAnsi="Arial" w:cs="Arial"/>
                <w:b/>
                <w:bCs/>
                <w:color w:val="000000"/>
                <w:sz w:val="20"/>
                <w:szCs w:val="20"/>
                <w:lang w:val="es-AR" w:eastAsia="es-AR"/>
              </w:rPr>
              <w:t>Netas</w:t>
            </w:r>
          </w:p>
        </w:tc>
      </w:tr>
      <w:tr w:rsidR="00424407" w:rsidRPr="00424407" w:rsidTr="00473E4E">
        <w:trPr>
          <w:trHeight w:val="300"/>
        </w:trPr>
        <w:tc>
          <w:tcPr>
            <w:tcW w:w="2480" w:type="dxa"/>
            <w:tcBorders>
              <w:top w:val="nil"/>
              <w:left w:val="nil"/>
              <w:bottom w:val="nil"/>
              <w:right w:val="nil"/>
            </w:tcBorders>
            <w:shd w:val="clear" w:color="auto" w:fill="auto"/>
            <w:vAlign w:val="center"/>
            <w:hideMark/>
          </w:tcPr>
          <w:p w:rsidR="00424407" w:rsidRPr="00424407" w:rsidRDefault="00424407" w:rsidP="00424407">
            <w:pPr>
              <w:rPr>
                <w:rFonts w:ascii="Arial" w:hAnsi="Arial" w:cs="Arial"/>
                <w:color w:val="000000"/>
                <w:sz w:val="20"/>
                <w:szCs w:val="20"/>
              </w:rPr>
            </w:pPr>
            <w:r w:rsidRPr="00424407">
              <w:rPr>
                <w:rFonts w:ascii="Arial" w:hAnsi="Arial" w:cs="Arial"/>
                <w:color w:val="000000"/>
                <w:sz w:val="20"/>
                <w:szCs w:val="20"/>
                <w:lang w:val="es-AR"/>
              </w:rPr>
              <w:t>Probadas:</w:t>
            </w:r>
          </w:p>
        </w:tc>
        <w:tc>
          <w:tcPr>
            <w:tcW w:w="883" w:type="dxa"/>
            <w:tcBorders>
              <w:top w:val="nil"/>
              <w:left w:val="nil"/>
              <w:bottom w:val="nil"/>
              <w:right w:val="nil"/>
            </w:tcBorders>
            <w:shd w:val="clear" w:color="auto" w:fill="auto"/>
            <w:vAlign w:val="center"/>
            <w:hideMark/>
          </w:tcPr>
          <w:p w:rsidR="00424407" w:rsidRPr="00424407" w:rsidRDefault="00424407" w:rsidP="00424407">
            <w:pPr>
              <w:rPr>
                <w:rFonts w:ascii="Arial" w:hAnsi="Arial" w:cs="Arial"/>
                <w:color w:val="000000"/>
                <w:sz w:val="20"/>
                <w:szCs w:val="20"/>
                <w:lang w:val="es-AR" w:eastAsia="es-AR"/>
              </w:rPr>
            </w:pPr>
          </w:p>
        </w:tc>
        <w:tc>
          <w:tcPr>
            <w:tcW w:w="905" w:type="dxa"/>
            <w:tcBorders>
              <w:top w:val="nil"/>
              <w:left w:val="nil"/>
              <w:bottom w:val="nil"/>
              <w:right w:val="nil"/>
            </w:tcBorders>
            <w:shd w:val="clear" w:color="auto" w:fill="auto"/>
            <w:vAlign w:val="center"/>
            <w:hideMark/>
          </w:tcPr>
          <w:p w:rsidR="00424407" w:rsidRPr="00424407" w:rsidRDefault="00424407" w:rsidP="00424407">
            <w:pPr>
              <w:jc w:val="both"/>
              <w:rPr>
                <w:rFonts w:ascii="Arial" w:hAnsi="Arial" w:cs="Arial"/>
                <w:sz w:val="20"/>
                <w:szCs w:val="20"/>
                <w:lang w:val="es-AR" w:eastAsia="es-AR"/>
              </w:rPr>
            </w:pPr>
          </w:p>
        </w:tc>
        <w:tc>
          <w:tcPr>
            <w:tcW w:w="845" w:type="dxa"/>
            <w:tcBorders>
              <w:top w:val="nil"/>
              <w:left w:val="nil"/>
              <w:bottom w:val="nil"/>
              <w:right w:val="nil"/>
            </w:tcBorders>
          </w:tcPr>
          <w:p w:rsidR="00424407" w:rsidRPr="00424407" w:rsidRDefault="00424407" w:rsidP="00424407">
            <w:pPr>
              <w:jc w:val="both"/>
              <w:rPr>
                <w:rFonts w:ascii="Arial" w:hAnsi="Arial" w:cs="Arial"/>
                <w:sz w:val="20"/>
                <w:szCs w:val="20"/>
                <w:lang w:val="es-AR" w:eastAsia="es-AR"/>
              </w:rPr>
            </w:pPr>
          </w:p>
        </w:tc>
        <w:tc>
          <w:tcPr>
            <w:tcW w:w="845" w:type="dxa"/>
            <w:tcBorders>
              <w:top w:val="nil"/>
              <w:left w:val="nil"/>
              <w:bottom w:val="nil"/>
              <w:right w:val="nil"/>
            </w:tcBorders>
          </w:tcPr>
          <w:p w:rsidR="00424407" w:rsidRPr="00424407" w:rsidRDefault="00424407" w:rsidP="00424407">
            <w:pPr>
              <w:jc w:val="both"/>
              <w:rPr>
                <w:rFonts w:ascii="Arial" w:hAnsi="Arial" w:cs="Arial"/>
                <w:sz w:val="20"/>
                <w:szCs w:val="20"/>
                <w:lang w:val="es-AR" w:eastAsia="es-AR"/>
              </w:rPr>
            </w:pPr>
          </w:p>
        </w:tc>
        <w:tc>
          <w:tcPr>
            <w:tcW w:w="844" w:type="dxa"/>
            <w:tcBorders>
              <w:top w:val="nil"/>
              <w:left w:val="nil"/>
              <w:bottom w:val="nil"/>
              <w:right w:val="nil"/>
            </w:tcBorders>
            <w:shd w:val="clear" w:color="auto" w:fill="auto"/>
            <w:vAlign w:val="center"/>
            <w:hideMark/>
          </w:tcPr>
          <w:p w:rsidR="00424407" w:rsidRPr="00424407" w:rsidRDefault="00424407" w:rsidP="00424407">
            <w:pPr>
              <w:jc w:val="both"/>
              <w:rPr>
                <w:rFonts w:ascii="Arial" w:hAnsi="Arial" w:cs="Arial"/>
                <w:sz w:val="20"/>
                <w:szCs w:val="20"/>
                <w:lang w:val="es-AR" w:eastAsia="es-AR"/>
              </w:rPr>
            </w:pPr>
          </w:p>
        </w:tc>
        <w:tc>
          <w:tcPr>
            <w:tcW w:w="819" w:type="dxa"/>
            <w:tcBorders>
              <w:top w:val="nil"/>
              <w:left w:val="nil"/>
              <w:bottom w:val="nil"/>
              <w:right w:val="nil"/>
            </w:tcBorders>
            <w:shd w:val="clear" w:color="auto" w:fill="auto"/>
            <w:vAlign w:val="center"/>
            <w:hideMark/>
          </w:tcPr>
          <w:p w:rsidR="00424407" w:rsidRPr="00424407" w:rsidRDefault="00424407" w:rsidP="00424407">
            <w:pPr>
              <w:jc w:val="both"/>
              <w:rPr>
                <w:rFonts w:ascii="Arial" w:hAnsi="Arial" w:cs="Arial"/>
                <w:sz w:val="20"/>
                <w:szCs w:val="20"/>
                <w:lang w:val="es-AR" w:eastAsia="es-AR"/>
              </w:rPr>
            </w:pPr>
          </w:p>
        </w:tc>
        <w:tc>
          <w:tcPr>
            <w:tcW w:w="814" w:type="dxa"/>
            <w:tcBorders>
              <w:top w:val="nil"/>
              <w:left w:val="nil"/>
              <w:bottom w:val="nil"/>
              <w:right w:val="nil"/>
            </w:tcBorders>
            <w:shd w:val="clear" w:color="auto" w:fill="auto"/>
            <w:vAlign w:val="center"/>
            <w:hideMark/>
          </w:tcPr>
          <w:p w:rsidR="00424407" w:rsidRPr="00424407" w:rsidRDefault="00424407" w:rsidP="00424407">
            <w:pPr>
              <w:jc w:val="both"/>
              <w:rPr>
                <w:rFonts w:ascii="Arial" w:hAnsi="Arial" w:cs="Arial"/>
                <w:sz w:val="20"/>
                <w:szCs w:val="20"/>
                <w:lang w:val="es-AR" w:eastAsia="es-AR"/>
              </w:rPr>
            </w:pPr>
          </w:p>
        </w:tc>
        <w:tc>
          <w:tcPr>
            <w:tcW w:w="740" w:type="dxa"/>
            <w:tcBorders>
              <w:top w:val="nil"/>
              <w:left w:val="nil"/>
              <w:bottom w:val="nil"/>
              <w:right w:val="nil"/>
            </w:tcBorders>
            <w:shd w:val="clear" w:color="auto" w:fill="auto"/>
            <w:vAlign w:val="center"/>
            <w:hideMark/>
          </w:tcPr>
          <w:p w:rsidR="00424407" w:rsidRPr="00424407" w:rsidRDefault="00424407" w:rsidP="00424407">
            <w:pPr>
              <w:jc w:val="both"/>
              <w:rPr>
                <w:rFonts w:ascii="Arial" w:hAnsi="Arial" w:cs="Arial"/>
                <w:sz w:val="20"/>
                <w:szCs w:val="20"/>
                <w:lang w:val="es-AR" w:eastAsia="es-AR"/>
              </w:rPr>
            </w:pPr>
          </w:p>
        </w:tc>
        <w:tc>
          <w:tcPr>
            <w:tcW w:w="965" w:type="dxa"/>
            <w:tcBorders>
              <w:top w:val="nil"/>
              <w:left w:val="nil"/>
              <w:bottom w:val="nil"/>
              <w:right w:val="nil"/>
            </w:tcBorders>
            <w:shd w:val="clear" w:color="auto" w:fill="auto"/>
            <w:noWrap/>
            <w:vAlign w:val="bottom"/>
            <w:hideMark/>
          </w:tcPr>
          <w:p w:rsidR="00424407" w:rsidRPr="00424407" w:rsidRDefault="00424407" w:rsidP="00424407">
            <w:pPr>
              <w:jc w:val="both"/>
              <w:rPr>
                <w:rFonts w:ascii="Arial" w:hAnsi="Arial" w:cs="Arial"/>
                <w:sz w:val="20"/>
                <w:szCs w:val="20"/>
                <w:lang w:val="es-AR" w:eastAsia="es-AR"/>
              </w:rPr>
            </w:pPr>
          </w:p>
        </w:tc>
        <w:tc>
          <w:tcPr>
            <w:tcW w:w="1134" w:type="dxa"/>
            <w:tcBorders>
              <w:top w:val="nil"/>
              <w:left w:val="nil"/>
              <w:bottom w:val="nil"/>
              <w:right w:val="nil"/>
            </w:tcBorders>
            <w:shd w:val="clear" w:color="auto" w:fill="auto"/>
            <w:noWrap/>
            <w:vAlign w:val="bottom"/>
            <w:hideMark/>
          </w:tcPr>
          <w:p w:rsidR="00424407" w:rsidRPr="00424407" w:rsidRDefault="00424407" w:rsidP="00424407">
            <w:pPr>
              <w:rPr>
                <w:rFonts w:ascii="Arial" w:hAnsi="Arial" w:cs="Arial"/>
                <w:sz w:val="20"/>
                <w:szCs w:val="20"/>
                <w:lang w:val="es-AR" w:eastAsia="es-AR"/>
              </w:rPr>
            </w:pPr>
          </w:p>
        </w:tc>
      </w:tr>
      <w:tr w:rsidR="00424407" w:rsidRPr="00424407" w:rsidTr="00473E4E">
        <w:trPr>
          <w:trHeight w:val="300"/>
        </w:trPr>
        <w:tc>
          <w:tcPr>
            <w:tcW w:w="2480" w:type="dxa"/>
            <w:tcBorders>
              <w:top w:val="nil"/>
              <w:left w:val="nil"/>
              <w:bottom w:val="nil"/>
              <w:right w:val="nil"/>
            </w:tcBorders>
            <w:shd w:val="clear" w:color="auto" w:fill="auto"/>
            <w:vAlign w:val="center"/>
            <w:hideMark/>
          </w:tcPr>
          <w:p w:rsidR="00424407" w:rsidRPr="00424407" w:rsidRDefault="00424407" w:rsidP="00424407">
            <w:pPr>
              <w:rPr>
                <w:rFonts w:ascii="Arial" w:hAnsi="Arial" w:cs="Arial"/>
                <w:b/>
                <w:color w:val="000000"/>
                <w:sz w:val="20"/>
                <w:szCs w:val="20"/>
              </w:rPr>
            </w:pPr>
            <w:r w:rsidRPr="00424407">
              <w:rPr>
                <w:rFonts w:ascii="Arial" w:hAnsi="Arial" w:cs="Arial"/>
                <w:color w:val="000000"/>
                <w:sz w:val="20"/>
                <w:szCs w:val="20"/>
                <w:lang w:val="es-AR"/>
              </w:rPr>
              <w:t xml:space="preserve"> </w:t>
            </w:r>
            <w:r w:rsidRPr="00424407">
              <w:rPr>
                <w:rFonts w:ascii="Arial" w:hAnsi="Arial" w:cs="Arial"/>
                <w:b/>
                <w:bCs/>
                <w:color w:val="000000"/>
                <w:sz w:val="20"/>
                <w:szCs w:val="20"/>
                <w:lang w:val="es-AR"/>
              </w:rPr>
              <w:t xml:space="preserve"> Desarrolladas en producción</w:t>
            </w:r>
          </w:p>
        </w:tc>
        <w:tc>
          <w:tcPr>
            <w:tcW w:w="883"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5.298</w:t>
            </w:r>
          </w:p>
        </w:tc>
        <w:tc>
          <w:tcPr>
            <w:tcW w:w="905"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4.548</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7.908</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6.804</w:t>
            </w:r>
          </w:p>
        </w:tc>
        <w:tc>
          <w:tcPr>
            <w:tcW w:w="84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2.186</w:t>
            </w:r>
          </w:p>
        </w:tc>
        <w:tc>
          <w:tcPr>
            <w:tcW w:w="819"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1.891</w:t>
            </w:r>
          </w:p>
        </w:tc>
        <w:tc>
          <w:tcPr>
            <w:tcW w:w="81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22</w:t>
            </w:r>
          </w:p>
        </w:tc>
        <w:tc>
          <w:tcPr>
            <w:tcW w:w="740"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19</w:t>
            </w:r>
          </w:p>
        </w:tc>
        <w:tc>
          <w:tcPr>
            <w:tcW w:w="965" w:type="dxa"/>
            <w:tcBorders>
              <w:top w:val="nil"/>
              <w:left w:val="nil"/>
              <w:bottom w:val="nil"/>
              <w:right w:val="nil"/>
            </w:tcBorders>
            <w:shd w:val="clear" w:color="auto" w:fill="auto"/>
            <w:noWrap/>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13.592</w:t>
            </w:r>
          </w:p>
        </w:tc>
        <w:tc>
          <w:tcPr>
            <w:tcW w:w="1134" w:type="dxa"/>
            <w:tcBorders>
              <w:top w:val="nil"/>
              <w:left w:val="nil"/>
              <w:bottom w:val="nil"/>
              <w:right w:val="nil"/>
            </w:tcBorders>
            <w:shd w:val="clear" w:color="auto" w:fill="auto"/>
            <w:noWrap/>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11.686</w:t>
            </w:r>
          </w:p>
        </w:tc>
      </w:tr>
      <w:tr w:rsidR="00424407" w:rsidRPr="00424407" w:rsidTr="00473E4E">
        <w:trPr>
          <w:trHeight w:val="300"/>
        </w:trPr>
        <w:tc>
          <w:tcPr>
            <w:tcW w:w="2480" w:type="dxa"/>
            <w:tcBorders>
              <w:top w:val="nil"/>
              <w:left w:val="nil"/>
              <w:bottom w:val="nil"/>
              <w:right w:val="nil"/>
            </w:tcBorders>
            <w:shd w:val="clear" w:color="auto" w:fill="auto"/>
            <w:vAlign w:val="center"/>
            <w:hideMark/>
          </w:tcPr>
          <w:p w:rsidR="00424407" w:rsidRPr="00424407" w:rsidRDefault="00424407" w:rsidP="00424407">
            <w:pPr>
              <w:rPr>
                <w:rFonts w:ascii="Arial" w:hAnsi="Arial" w:cs="Arial"/>
                <w:color w:val="000000"/>
                <w:sz w:val="20"/>
                <w:szCs w:val="20"/>
              </w:rPr>
            </w:pPr>
            <w:r w:rsidRPr="00424407">
              <w:rPr>
                <w:rFonts w:ascii="Arial" w:hAnsi="Arial" w:cs="Arial"/>
                <w:color w:val="000000"/>
                <w:sz w:val="20"/>
                <w:szCs w:val="20"/>
                <w:lang w:val="es-AR"/>
              </w:rPr>
              <w:t xml:space="preserve">  Desarrolladas, no en producción</w:t>
            </w:r>
          </w:p>
        </w:tc>
        <w:tc>
          <w:tcPr>
            <w:tcW w:w="883"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3.475</w:t>
            </w:r>
          </w:p>
        </w:tc>
        <w:tc>
          <w:tcPr>
            <w:tcW w:w="905"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2.995</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sz w:val="20"/>
                <w:szCs w:val="20"/>
              </w:rPr>
            </w:pPr>
            <w:r w:rsidRPr="00424407">
              <w:rPr>
                <w:rFonts w:ascii="Arial" w:hAnsi="Arial" w:cs="Arial"/>
                <w:sz w:val="20"/>
                <w:szCs w:val="20"/>
              </w:rPr>
              <w:t>1.890</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sz w:val="20"/>
                <w:szCs w:val="20"/>
              </w:rPr>
            </w:pPr>
            <w:r w:rsidRPr="00424407">
              <w:rPr>
                <w:rFonts w:ascii="Arial" w:hAnsi="Arial" w:cs="Arial"/>
                <w:sz w:val="20"/>
                <w:szCs w:val="20"/>
              </w:rPr>
              <w:t>1.626</w:t>
            </w:r>
          </w:p>
        </w:tc>
        <w:tc>
          <w:tcPr>
            <w:tcW w:w="84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w:t>
            </w:r>
          </w:p>
        </w:tc>
        <w:tc>
          <w:tcPr>
            <w:tcW w:w="819"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w:t>
            </w:r>
          </w:p>
        </w:tc>
        <w:tc>
          <w:tcPr>
            <w:tcW w:w="81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w:t>
            </w:r>
          </w:p>
        </w:tc>
        <w:tc>
          <w:tcPr>
            <w:tcW w:w="740"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w:t>
            </w:r>
          </w:p>
        </w:tc>
        <w:tc>
          <w:tcPr>
            <w:tcW w:w="965" w:type="dxa"/>
            <w:tcBorders>
              <w:top w:val="nil"/>
              <w:left w:val="nil"/>
              <w:bottom w:val="nil"/>
              <w:right w:val="nil"/>
            </w:tcBorders>
            <w:shd w:val="clear" w:color="auto" w:fill="auto"/>
            <w:noWrap/>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5.365</w:t>
            </w:r>
          </w:p>
        </w:tc>
        <w:tc>
          <w:tcPr>
            <w:tcW w:w="1134" w:type="dxa"/>
            <w:tcBorders>
              <w:top w:val="nil"/>
              <w:left w:val="nil"/>
              <w:bottom w:val="nil"/>
              <w:right w:val="nil"/>
            </w:tcBorders>
            <w:shd w:val="clear" w:color="auto" w:fill="auto"/>
            <w:noWrap/>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4.621</w:t>
            </w:r>
          </w:p>
        </w:tc>
      </w:tr>
      <w:tr w:rsidR="00424407" w:rsidRPr="00424407" w:rsidTr="00473E4E">
        <w:trPr>
          <w:trHeight w:val="300"/>
        </w:trPr>
        <w:tc>
          <w:tcPr>
            <w:tcW w:w="2480" w:type="dxa"/>
            <w:tcBorders>
              <w:top w:val="nil"/>
              <w:left w:val="nil"/>
              <w:bottom w:val="nil"/>
              <w:right w:val="nil"/>
            </w:tcBorders>
            <w:shd w:val="clear" w:color="auto" w:fill="auto"/>
            <w:vAlign w:val="center"/>
            <w:hideMark/>
          </w:tcPr>
          <w:p w:rsidR="00424407" w:rsidRPr="00424407" w:rsidRDefault="00424407" w:rsidP="00424407">
            <w:pPr>
              <w:rPr>
                <w:rFonts w:ascii="Arial" w:hAnsi="Arial" w:cs="Arial"/>
                <w:color w:val="000000"/>
                <w:sz w:val="20"/>
                <w:szCs w:val="20"/>
              </w:rPr>
            </w:pPr>
            <w:r w:rsidRPr="00424407">
              <w:rPr>
                <w:rFonts w:ascii="Arial" w:hAnsi="Arial" w:cs="Arial"/>
                <w:color w:val="000000"/>
                <w:sz w:val="20"/>
                <w:szCs w:val="20"/>
                <w:lang w:val="es-AR"/>
              </w:rPr>
              <w:t xml:space="preserve">  No desarrolladas</w:t>
            </w:r>
          </w:p>
        </w:tc>
        <w:tc>
          <w:tcPr>
            <w:tcW w:w="883"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4.553</w:t>
            </w:r>
          </w:p>
        </w:tc>
        <w:tc>
          <w:tcPr>
            <w:tcW w:w="905"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3.911</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sz w:val="20"/>
                <w:szCs w:val="20"/>
              </w:rPr>
            </w:pPr>
            <w:r w:rsidRPr="00424407">
              <w:rPr>
                <w:rFonts w:ascii="Arial" w:hAnsi="Arial" w:cs="Arial"/>
                <w:sz w:val="20"/>
                <w:szCs w:val="20"/>
              </w:rPr>
              <w:t>1.110</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sz w:val="20"/>
                <w:szCs w:val="20"/>
              </w:rPr>
            </w:pPr>
            <w:r w:rsidRPr="00424407">
              <w:rPr>
                <w:rFonts w:ascii="Arial" w:hAnsi="Arial" w:cs="Arial"/>
                <w:sz w:val="20"/>
                <w:szCs w:val="20"/>
              </w:rPr>
              <w:t>955</w:t>
            </w:r>
          </w:p>
        </w:tc>
        <w:tc>
          <w:tcPr>
            <w:tcW w:w="84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w:t>
            </w:r>
          </w:p>
        </w:tc>
        <w:tc>
          <w:tcPr>
            <w:tcW w:w="819"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w:t>
            </w:r>
          </w:p>
        </w:tc>
        <w:tc>
          <w:tcPr>
            <w:tcW w:w="81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w:t>
            </w:r>
          </w:p>
        </w:tc>
        <w:tc>
          <w:tcPr>
            <w:tcW w:w="740"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w:t>
            </w:r>
          </w:p>
        </w:tc>
        <w:tc>
          <w:tcPr>
            <w:tcW w:w="965" w:type="dxa"/>
            <w:tcBorders>
              <w:top w:val="nil"/>
              <w:left w:val="nil"/>
              <w:bottom w:val="nil"/>
              <w:right w:val="nil"/>
            </w:tcBorders>
            <w:shd w:val="clear" w:color="auto" w:fill="auto"/>
            <w:noWrap/>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5.663</w:t>
            </w:r>
          </w:p>
        </w:tc>
        <w:tc>
          <w:tcPr>
            <w:tcW w:w="1134" w:type="dxa"/>
            <w:tcBorders>
              <w:top w:val="nil"/>
              <w:left w:val="nil"/>
              <w:bottom w:val="nil"/>
              <w:right w:val="nil"/>
            </w:tcBorders>
            <w:shd w:val="clear" w:color="auto" w:fill="auto"/>
            <w:noWrap/>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4.866</w:t>
            </w:r>
          </w:p>
        </w:tc>
      </w:tr>
      <w:tr w:rsidR="00424407" w:rsidRPr="00424407" w:rsidTr="00473E4E">
        <w:trPr>
          <w:trHeight w:val="300"/>
        </w:trPr>
        <w:tc>
          <w:tcPr>
            <w:tcW w:w="2480" w:type="dxa"/>
            <w:tcBorders>
              <w:top w:val="nil"/>
              <w:left w:val="nil"/>
              <w:bottom w:val="nil"/>
              <w:right w:val="nil"/>
            </w:tcBorders>
            <w:shd w:val="clear" w:color="auto" w:fill="auto"/>
            <w:vAlign w:val="center"/>
            <w:hideMark/>
          </w:tcPr>
          <w:p w:rsidR="00424407" w:rsidRPr="00424407" w:rsidRDefault="00424407" w:rsidP="00424407">
            <w:pPr>
              <w:rPr>
                <w:rFonts w:ascii="Arial" w:hAnsi="Arial" w:cs="Arial"/>
                <w:b/>
                <w:color w:val="000000"/>
                <w:sz w:val="20"/>
                <w:szCs w:val="20"/>
              </w:rPr>
            </w:pPr>
            <w:r w:rsidRPr="00424407">
              <w:rPr>
                <w:rFonts w:ascii="Arial" w:hAnsi="Arial" w:cs="Arial"/>
                <w:b/>
                <w:bCs/>
                <w:color w:val="000000"/>
                <w:sz w:val="20"/>
                <w:szCs w:val="20"/>
                <w:lang w:val="es-AR"/>
              </w:rPr>
              <w:t>Total reservas probadas</w:t>
            </w:r>
          </w:p>
        </w:tc>
        <w:tc>
          <w:tcPr>
            <w:tcW w:w="883"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13.326</w:t>
            </w:r>
          </w:p>
        </w:tc>
        <w:tc>
          <w:tcPr>
            <w:tcW w:w="905"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11.454</w:t>
            </w:r>
          </w:p>
        </w:tc>
        <w:tc>
          <w:tcPr>
            <w:tcW w:w="845" w:type="dxa"/>
            <w:tcBorders>
              <w:top w:val="single" w:sz="4" w:space="0" w:color="auto"/>
              <w:left w:val="nil"/>
              <w:bottom w:val="nil"/>
              <w:right w:val="nil"/>
            </w:tcBorders>
            <w:vAlign w:val="center"/>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10.908</w:t>
            </w:r>
          </w:p>
        </w:tc>
        <w:tc>
          <w:tcPr>
            <w:tcW w:w="845" w:type="dxa"/>
            <w:tcBorders>
              <w:top w:val="single" w:sz="4" w:space="0" w:color="auto"/>
              <w:left w:val="nil"/>
              <w:bottom w:val="nil"/>
              <w:right w:val="nil"/>
            </w:tcBorders>
            <w:vAlign w:val="center"/>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9.385</w:t>
            </w:r>
          </w:p>
        </w:tc>
        <w:tc>
          <w:tcPr>
            <w:tcW w:w="844"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2.186</w:t>
            </w:r>
          </w:p>
        </w:tc>
        <w:tc>
          <w:tcPr>
            <w:tcW w:w="819"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1.891</w:t>
            </w:r>
          </w:p>
        </w:tc>
        <w:tc>
          <w:tcPr>
            <w:tcW w:w="814"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22</w:t>
            </w:r>
          </w:p>
        </w:tc>
        <w:tc>
          <w:tcPr>
            <w:tcW w:w="740"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19</w:t>
            </w:r>
          </w:p>
        </w:tc>
        <w:tc>
          <w:tcPr>
            <w:tcW w:w="965" w:type="dxa"/>
            <w:tcBorders>
              <w:top w:val="single" w:sz="4" w:space="0" w:color="auto"/>
              <w:left w:val="nil"/>
              <w:bottom w:val="nil"/>
              <w:right w:val="nil"/>
            </w:tcBorders>
            <w:shd w:val="clear" w:color="auto" w:fill="auto"/>
            <w:noWrap/>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24.620</w:t>
            </w:r>
          </w:p>
        </w:tc>
        <w:tc>
          <w:tcPr>
            <w:tcW w:w="1134" w:type="dxa"/>
            <w:tcBorders>
              <w:top w:val="single" w:sz="4" w:space="0" w:color="auto"/>
              <w:left w:val="nil"/>
              <w:bottom w:val="nil"/>
              <w:right w:val="nil"/>
            </w:tcBorders>
            <w:shd w:val="clear" w:color="auto" w:fill="auto"/>
            <w:noWrap/>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21.173</w:t>
            </w:r>
          </w:p>
        </w:tc>
      </w:tr>
      <w:tr w:rsidR="00424407" w:rsidRPr="00424407" w:rsidTr="00473E4E">
        <w:trPr>
          <w:trHeight w:val="300"/>
        </w:trPr>
        <w:tc>
          <w:tcPr>
            <w:tcW w:w="2480" w:type="dxa"/>
            <w:tcBorders>
              <w:top w:val="nil"/>
              <w:left w:val="nil"/>
              <w:bottom w:val="nil"/>
              <w:right w:val="nil"/>
            </w:tcBorders>
            <w:shd w:val="clear" w:color="auto" w:fill="auto"/>
            <w:vAlign w:val="center"/>
            <w:hideMark/>
          </w:tcPr>
          <w:p w:rsidR="00424407" w:rsidRPr="00424407" w:rsidRDefault="00424407" w:rsidP="00424407">
            <w:pPr>
              <w:rPr>
                <w:rFonts w:ascii="Arial" w:hAnsi="Arial" w:cs="Arial"/>
                <w:color w:val="000000"/>
                <w:sz w:val="20"/>
                <w:szCs w:val="20"/>
              </w:rPr>
            </w:pPr>
            <w:r w:rsidRPr="00424407">
              <w:rPr>
                <w:rFonts w:ascii="Arial" w:hAnsi="Arial" w:cs="Arial"/>
                <w:color w:val="000000"/>
                <w:sz w:val="20"/>
                <w:szCs w:val="20"/>
                <w:lang w:val="es-AR"/>
              </w:rPr>
              <w:t>Total reservas probables</w:t>
            </w:r>
          </w:p>
        </w:tc>
        <w:tc>
          <w:tcPr>
            <w:tcW w:w="883"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13.926</w:t>
            </w:r>
          </w:p>
        </w:tc>
        <w:tc>
          <w:tcPr>
            <w:tcW w:w="905"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11.956</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sz w:val="20"/>
                <w:szCs w:val="20"/>
              </w:rPr>
            </w:pPr>
            <w:r w:rsidRPr="00424407">
              <w:rPr>
                <w:rFonts w:ascii="Arial" w:hAnsi="Arial" w:cs="Arial"/>
                <w:sz w:val="20"/>
                <w:szCs w:val="20"/>
              </w:rPr>
              <w:t>10.791</w:t>
            </w:r>
          </w:p>
        </w:tc>
        <w:tc>
          <w:tcPr>
            <w:tcW w:w="845" w:type="dxa"/>
            <w:tcBorders>
              <w:top w:val="nil"/>
              <w:left w:val="nil"/>
              <w:bottom w:val="nil"/>
              <w:right w:val="nil"/>
            </w:tcBorders>
            <w:vAlign w:val="center"/>
          </w:tcPr>
          <w:p w:rsidR="00424407" w:rsidRPr="00424407" w:rsidRDefault="00424407" w:rsidP="00424407">
            <w:pPr>
              <w:jc w:val="center"/>
              <w:rPr>
                <w:rFonts w:ascii="Arial" w:hAnsi="Arial" w:cs="Arial"/>
                <w:sz w:val="20"/>
                <w:szCs w:val="20"/>
              </w:rPr>
            </w:pPr>
            <w:r w:rsidRPr="00424407">
              <w:rPr>
                <w:rFonts w:ascii="Arial" w:hAnsi="Arial" w:cs="Arial"/>
                <w:sz w:val="20"/>
                <w:szCs w:val="20"/>
              </w:rPr>
              <w:t>9.284</w:t>
            </w:r>
          </w:p>
        </w:tc>
        <w:tc>
          <w:tcPr>
            <w:tcW w:w="84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6.675</w:t>
            </w:r>
          </w:p>
        </w:tc>
        <w:tc>
          <w:tcPr>
            <w:tcW w:w="819"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5.774</w:t>
            </w:r>
          </w:p>
        </w:tc>
        <w:tc>
          <w:tcPr>
            <w:tcW w:w="814"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69</w:t>
            </w:r>
          </w:p>
        </w:tc>
        <w:tc>
          <w:tcPr>
            <w:tcW w:w="740" w:type="dxa"/>
            <w:tcBorders>
              <w:top w:val="nil"/>
              <w:left w:val="nil"/>
              <w:bottom w:val="nil"/>
              <w:right w:val="nil"/>
            </w:tcBorders>
            <w:shd w:val="clear" w:color="auto" w:fill="auto"/>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58</w:t>
            </w:r>
          </w:p>
        </w:tc>
        <w:tc>
          <w:tcPr>
            <w:tcW w:w="965" w:type="dxa"/>
            <w:tcBorders>
              <w:top w:val="nil"/>
              <w:left w:val="nil"/>
              <w:bottom w:val="nil"/>
              <w:right w:val="nil"/>
            </w:tcBorders>
            <w:shd w:val="clear" w:color="auto" w:fill="auto"/>
            <w:noWrap/>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25.899</w:t>
            </w:r>
          </w:p>
        </w:tc>
        <w:tc>
          <w:tcPr>
            <w:tcW w:w="1134" w:type="dxa"/>
            <w:tcBorders>
              <w:top w:val="nil"/>
              <w:left w:val="nil"/>
              <w:bottom w:val="nil"/>
              <w:right w:val="nil"/>
            </w:tcBorders>
            <w:shd w:val="clear" w:color="auto" w:fill="auto"/>
            <w:noWrap/>
            <w:vAlign w:val="center"/>
            <w:hideMark/>
          </w:tcPr>
          <w:p w:rsidR="00424407" w:rsidRPr="00424407" w:rsidRDefault="00424407" w:rsidP="00424407">
            <w:pPr>
              <w:jc w:val="center"/>
              <w:rPr>
                <w:rFonts w:ascii="Arial" w:hAnsi="Arial" w:cs="Arial"/>
                <w:sz w:val="20"/>
                <w:szCs w:val="20"/>
              </w:rPr>
            </w:pPr>
            <w:r w:rsidRPr="00424407">
              <w:rPr>
                <w:rFonts w:ascii="Arial" w:hAnsi="Arial" w:cs="Arial"/>
                <w:sz w:val="20"/>
                <w:szCs w:val="20"/>
              </w:rPr>
              <w:t>22.260</w:t>
            </w:r>
          </w:p>
        </w:tc>
      </w:tr>
      <w:tr w:rsidR="00424407" w:rsidRPr="00424407" w:rsidTr="00473E4E">
        <w:trPr>
          <w:trHeight w:val="300"/>
        </w:trPr>
        <w:tc>
          <w:tcPr>
            <w:tcW w:w="2480" w:type="dxa"/>
            <w:tcBorders>
              <w:top w:val="nil"/>
              <w:left w:val="nil"/>
              <w:bottom w:val="nil"/>
              <w:right w:val="nil"/>
            </w:tcBorders>
            <w:shd w:val="clear" w:color="auto" w:fill="auto"/>
            <w:vAlign w:val="center"/>
            <w:hideMark/>
          </w:tcPr>
          <w:p w:rsidR="00424407" w:rsidRPr="00424407" w:rsidRDefault="00424407" w:rsidP="00424407">
            <w:pPr>
              <w:rPr>
                <w:rFonts w:ascii="Arial" w:hAnsi="Arial" w:cs="Arial"/>
                <w:b/>
                <w:color w:val="000000"/>
                <w:sz w:val="20"/>
                <w:szCs w:val="20"/>
                <w:lang w:val="es-ES_tradnl"/>
              </w:rPr>
            </w:pPr>
            <w:r w:rsidRPr="00424407">
              <w:rPr>
                <w:rFonts w:ascii="Arial" w:hAnsi="Arial" w:cs="Arial"/>
                <w:b/>
                <w:bCs/>
                <w:color w:val="000000"/>
                <w:sz w:val="20"/>
                <w:szCs w:val="20"/>
                <w:lang w:val="es-AR"/>
              </w:rPr>
              <w:t>Total reservas probadas más probables</w:t>
            </w:r>
          </w:p>
        </w:tc>
        <w:tc>
          <w:tcPr>
            <w:tcW w:w="883"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27.252</w:t>
            </w:r>
          </w:p>
        </w:tc>
        <w:tc>
          <w:tcPr>
            <w:tcW w:w="905"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23.410</w:t>
            </w:r>
          </w:p>
        </w:tc>
        <w:tc>
          <w:tcPr>
            <w:tcW w:w="845" w:type="dxa"/>
            <w:tcBorders>
              <w:top w:val="single" w:sz="4" w:space="0" w:color="auto"/>
              <w:left w:val="nil"/>
              <w:bottom w:val="nil"/>
              <w:right w:val="nil"/>
            </w:tcBorders>
            <w:vAlign w:val="center"/>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21.699</w:t>
            </w:r>
          </w:p>
        </w:tc>
        <w:tc>
          <w:tcPr>
            <w:tcW w:w="845" w:type="dxa"/>
            <w:tcBorders>
              <w:top w:val="single" w:sz="4" w:space="0" w:color="auto"/>
              <w:left w:val="nil"/>
              <w:bottom w:val="nil"/>
              <w:right w:val="nil"/>
            </w:tcBorders>
            <w:vAlign w:val="center"/>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18.669</w:t>
            </w:r>
          </w:p>
        </w:tc>
        <w:tc>
          <w:tcPr>
            <w:tcW w:w="844"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8.861</w:t>
            </w:r>
          </w:p>
        </w:tc>
        <w:tc>
          <w:tcPr>
            <w:tcW w:w="819"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7.665</w:t>
            </w:r>
          </w:p>
        </w:tc>
        <w:tc>
          <w:tcPr>
            <w:tcW w:w="814"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89</w:t>
            </w:r>
          </w:p>
        </w:tc>
        <w:tc>
          <w:tcPr>
            <w:tcW w:w="740" w:type="dxa"/>
            <w:tcBorders>
              <w:top w:val="single" w:sz="4" w:space="0" w:color="auto"/>
              <w:left w:val="nil"/>
              <w:bottom w:val="nil"/>
              <w:right w:val="nil"/>
            </w:tcBorders>
            <w:shd w:val="clear" w:color="auto" w:fill="auto"/>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77</w:t>
            </w:r>
          </w:p>
        </w:tc>
        <w:tc>
          <w:tcPr>
            <w:tcW w:w="965" w:type="dxa"/>
            <w:tcBorders>
              <w:top w:val="single" w:sz="4" w:space="0" w:color="auto"/>
              <w:left w:val="nil"/>
              <w:bottom w:val="nil"/>
              <w:right w:val="nil"/>
            </w:tcBorders>
            <w:shd w:val="clear" w:color="auto" w:fill="auto"/>
            <w:noWrap/>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50.517</w:t>
            </w:r>
          </w:p>
        </w:tc>
        <w:tc>
          <w:tcPr>
            <w:tcW w:w="1134" w:type="dxa"/>
            <w:tcBorders>
              <w:top w:val="single" w:sz="4" w:space="0" w:color="auto"/>
              <w:left w:val="nil"/>
              <w:bottom w:val="nil"/>
              <w:right w:val="nil"/>
            </w:tcBorders>
            <w:shd w:val="clear" w:color="auto" w:fill="auto"/>
            <w:noWrap/>
            <w:vAlign w:val="center"/>
            <w:hideMark/>
          </w:tcPr>
          <w:p w:rsidR="00424407" w:rsidRPr="00424407" w:rsidRDefault="00424407" w:rsidP="00424407">
            <w:pPr>
              <w:jc w:val="center"/>
              <w:rPr>
                <w:rFonts w:ascii="Arial" w:hAnsi="Arial" w:cs="Arial"/>
                <w:b/>
                <w:bCs/>
                <w:sz w:val="20"/>
                <w:szCs w:val="20"/>
              </w:rPr>
            </w:pPr>
            <w:r w:rsidRPr="00424407">
              <w:rPr>
                <w:rFonts w:ascii="Arial" w:hAnsi="Arial" w:cs="Arial"/>
                <w:b/>
                <w:bCs/>
                <w:sz w:val="20"/>
                <w:szCs w:val="20"/>
              </w:rPr>
              <w:t>43.434</w:t>
            </w:r>
          </w:p>
        </w:tc>
      </w:tr>
    </w:tbl>
    <w:p w:rsidR="00424407" w:rsidRDefault="00424407" w:rsidP="00C93607">
      <w:pPr>
        <w:keepNext/>
        <w:spacing w:after="120" w:line="276" w:lineRule="auto"/>
        <w:jc w:val="center"/>
        <w:rPr>
          <w:rFonts w:ascii="Times New Roman" w:hAnsi="Times New Roman"/>
          <w:b/>
          <w:bCs/>
          <w:szCs w:val="22"/>
          <w:lang w:val="es-AR"/>
        </w:rPr>
      </w:pPr>
    </w:p>
    <w:p w:rsidR="0092574E" w:rsidRPr="007B6295" w:rsidRDefault="0092574E" w:rsidP="00C93607">
      <w:pPr>
        <w:keepNext/>
        <w:spacing w:after="120" w:line="276" w:lineRule="auto"/>
        <w:jc w:val="center"/>
        <w:rPr>
          <w:rFonts w:ascii="Times New Roman" w:eastAsia="Calibri" w:hAnsi="Times New Roman"/>
          <w:sz w:val="20"/>
          <w:szCs w:val="20"/>
        </w:rPr>
      </w:pPr>
      <w:r>
        <w:rPr>
          <w:rFonts w:ascii="Times New Roman" w:hAnsi="Times New Roman"/>
          <w:lang w:val="es-AR"/>
        </w:rPr>
        <w:fldChar w:fldCharType="begin"/>
      </w:r>
      <w:r w:rsidR="00767618">
        <w:rPr>
          <w:rFonts w:ascii="Times New Roman" w:hAnsi="Times New Roman"/>
          <w:lang w:val="es-AR"/>
        </w:rPr>
        <w:instrText xml:space="preserve"> LINK Excel.Sheet.12 "C:\\Users\\bmoss\\Dropbox\\Reserve Tables Dec 2019 Mar 20.xlsx" "PR Tables!R8C4:R18C16" \a \f 4 \h  \* MERGEFORMAT </w:instrText>
      </w:r>
      <w:r>
        <w:rPr>
          <w:rFonts w:ascii="Times New Roman" w:hAnsi="Times New Roman"/>
          <w:lang w:val="es-AR"/>
        </w:rPr>
        <w:fldChar w:fldCharType="separate"/>
      </w:r>
    </w:p>
    <w:p w:rsidR="00394A3E" w:rsidRPr="007B6295" w:rsidRDefault="0092574E" w:rsidP="0092574E">
      <w:pPr>
        <w:tabs>
          <w:tab w:val="left" w:pos="1440"/>
        </w:tabs>
        <w:spacing w:before="120" w:line="240" w:lineRule="atLeast"/>
        <w:jc w:val="both"/>
        <w:rPr>
          <w:rFonts w:ascii="Times New Roman" w:hAnsi="Times New Roman"/>
          <w:szCs w:val="22"/>
        </w:rPr>
      </w:pPr>
      <w:r>
        <w:rPr>
          <w:rFonts w:ascii="Times New Roman" w:hAnsi="Times New Roman"/>
          <w:szCs w:val="22"/>
          <w:lang w:val="es-AR"/>
        </w:rPr>
        <w:fldChar w:fldCharType="end"/>
      </w:r>
    </w:p>
    <w:p w:rsidR="004E7D42" w:rsidRPr="00870D01" w:rsidRDefault="004E7D42" w:rsidP="00394A3E">
      <w:pPr>
        <w:tabs>
          <w:tab w:val="left" w:pos="1440"/>
        </w:tabs>
        <w:spacing w:before="120" w:line="240" w:lineRule="atLeast"/>
        <w:jc w:val="both"/>
        <w:rPr>
          <w:sz w:val="20"/>
          <w:szCs w:val="20"/>
          <w:lang w:val="es-ES_tradnl"/>
        </w:rPr>
      </w:pPr>
      <w:r>
        <w:rPr>
          <w:sz w:val="20"/>
          <w:szCs w:val="20"/>
          <w:lang w:val="es-AR"/>
        </w:rPr>
        <w:t>El siguiente cuadro presenta, en total, el valor presente neto de los ingresos netos futuros de la Compañía atribuibles a las categorías de reservas indicadas en el cuadro anterior, calculado utilizando proyecciones de precios y costos, antes de deducir el cargo por el impuesto a las ganancias futuro, y calculado sin descuento y utilizando tasas de descuento del 5%, 10%, 15% y 20%.</w:t>
      </w:r>
    </w:p>
    <w:p w:rsidR="004A2E5D" w:rsidRPr="00D204CA" w:rsidRDefault="004E7D42" w:rsidP="004A2E5D">
      <w:pPr>
        <w:pStyle w:val="Textoindependiente"/>
        <w:keepNext/>
        <w:keepLines/>
        <w:spacing w:before="240" w:after="120"/>
        <w:ind w:left="1080"/>
        <w:jc w:val="center"/>
        <w:rPr>
          <w:rFonts w:ascii="Verdana" w:hAnsi="Verdana"/>
          <w:b/>
          <w:sz w:val="16"/>
          <w:szCs w:val="16"/>
          <w:lang w:val="es-ES_tradnl"/>
        </w:rPr>
      </w:pPr>
      <w:r>
        <w:rPr>
          <w:rFonts w:ascii="Verdana" w:hAnsi="Verdana"/>
          <w:b/>
          <w:bCs/>
          <w:sz w:val="16"/>
          <w:szCs w:val="16"/>
          <w:lang w:val="es-AR"/>
        </w:rPr>
        <w:t>RESUMEN DEL VALOR PRESENTE NETO DEL INGRESO NETO FUTURO</w:t>
      </w:r>
      <w:r>
        <w:rPr>
          <w:rFonts w:ascii="Verdana" w:hAnsi="Verdana"/>
          <w:sz w:val="16"/>
          <w:szCs w:val="16"/>
          <w:lang w:val="es-AR"/>
        </w:rPr>
        <w:br/>
      </w:r>
      <w:r>
        <w:rPr>
          <w:rFonts w:ascii="Verdana" w:hAnsi="Verdana"/>
          <w:b/>
          <w:bCs/>
          <w:sz w:val="16"/>
          <w:szCs w:val="16"/>
          <w:lang w:val="es-AR"/>
        </w:rPr>
        <w:t xml:space="preserve">AL 31 DE DICIEMBRE DE </w:t>
      </w:r>
      <w:r w:rsidR="00473E4E">
        <w:rPr>
          <w:rFonts w:ascii="Verdana" w:hAnsi="Verdana"/>
          <w:b/>
          <w:bCs/>
          <w:sz w:val="16"/>
          <w:szCs w:val="16"/>
          <w:lang w:val="es-AR"/>
        </w:rPr>
        <w:t>2024</w:t>
      </w:r>
      <w:r>
        <w:rPr>
          <w:rFonts w:ascii="Verdana" w:hAnsi="Verdana"/>
          <w:sz w:val="16"/>
          <w:szCs w:val="16"/>
          <w:lang w:val="es-AR"/>
        </w:rPr>
        <w:br/>
      </w:r>
      <w:r>
        <w:rPr>
          <w:rFonts w:ascii="Verdana" w:hAnsi="Verdana"/>
          <w:b/>
          <w:bCs/>
          <w:sz w:val="16"/>
          <w:szCs w:val="16"/>
          <w:lang w:val="es-AR"/>
        </w:rPr>
        <w:t>(precios y costos proyectados)</w:t>
      </w:r>
      <w:r w:rsidR="004A2E5D">
        <w:rPr>
          <w:rFonts w:ascii="Verdana" w:hAnsi="Verdana"/>
          <w:sz w:val="16"/>
          <w:szCs w:val="16"/>
          <w:lang w:val="es-AR"/>
        </w:rPr>
        <w:fldChar w:fldCharType="begin"/>
      </w:r>
      <w:r>
        <w:rPr>
          <w:rFonts w:ascii="Verdana" w:hAnsi="Verdana"/>
          <w:sz w:val="16"/>
          <w:szCs w:val="16"/>
          <w:lang w:val="es-AR"/>
        </w:rPr>
        <w:instrText xml:space="preserve"> LINK Excel.Sheet.12 "C:\\Users\\bmoss\\Dropbox\\Reserve Tables Dec 2019 Mar 20.xlsx" "PR Tables!R36C18:R46C23" \a \f 4 \h  \* MERGEFORMAT </w:instrText>
      </w:r>
      <w:r w:rsidR="004A2E5D">
        <w:rPr>
          <w:rFonts w:ascii="Verdana" w:hAnsi="Verdana"/>
          <w:sz w:val="16"/>
          <w:szCs w:val="16"/>
          <w:lang w:val="es-AR"/>
        </w:rPr>
        <w:fldChar w:fldCharType="separate"/>
      </w:r>
    </w:p>
    <w:tbl>
      <w:tblPr>
        <w:tblW w:w="6591" w:type="dxa"/>
        <w:tblInd w:w="1620" w:type="dxa"/>
        <w:tblCellMar>
          <w:left w:w="70" w:type="dxa"/>
          <w:right w:w="70" w:type="dxa"/>
        </w:tblCellMar>
        <w:tblLook w:val="04A0" w:firstRow="1" w:lastRow="0" w:firstColumn="1" w:lastColumn="0" w:noHBand="0" w:noVBand="1"/>
      </w:tblPr>
      <w:tblGrid>
        <w:gridCol w:w="2473"/>
        <w:gridCol w:w="801"/>
        <w:gridCol w:w="801"/>
        <w:gridCol w:w="858"/>
        <w:gridCol w:w="819"/>
        <w:gridCol w:w="839"/>
      </w:tblGrid>
      <w:tr w:rsidR="004A2E5D" w:rsidRPr="008F2F4C" w:rsidTr="00870D01">
        <w:trPr>
          <w:trHeight w:val="495"/>
        </w:trPr>
        <w:tc>
          <w:tcPr>
            <w:tcW w:w="2473" w:type="dxa"/>
            <w:vMerge w:val="restart"/>
            <w:tcBorders>
              <w:top w:val="nil"/>
              <w:left w:val="nil"/>
              <w:bottom w:val="nil"/>
              <w:right w:val="nil"/>
            </w:tcBorders>
            <w:shd w:val="clear" w:color="auto" w:fill="FFFFFF" w:themeFill="background1"/>
            <w:vAlign w:val="center"/>
            <w:hideMark/>
          </w:tcPr>
          <w:p w:rsidR="004A2E5D" w:rsidRPr="00D204CA" w:rsidRDefault="004A2E5D" w:rsidP="004A2E5D">
            <w:pPr>
              <w:rPr>
                <w:sz w:val="16"/>
                <w:szCs w:val="16"/>
                <w:lang w:val="es-ES_tradnl"/>
              </w:rPr>
            </w:pPr>
          </w:p>
        </w:tc>
        <w:tc>
          <w:tcPr>
            <w:tcW w:w="4118" w:type="dxa"/>
            <w:gridSpan w:val="5"/>
            <w:tcBorders>
              <w:top w:val="nil"/>
              <w:left w:val="nil"/>
              <w:bottom w:val="nil"/>
              <w:right w:val="nil"/>
            </w:tcBorders>
            <w:shd w:val="clear" w:color="auto" w:fill="FFFFFF" w:themeFill="background1"/>
            <w:vAlign w:val="center"/>
            <w:hideMark/>
          </w:tcPr>
          <w:p w:rsidR="004A2E5D" w:rsidRPr="00D204CA" w:rsidRDefault="004A2E5D" w:rsidP="004A2E5D">
            <w:pPr>
              <w:jc w:val="center"/>
              <w:rPr>
                <w:b/>
                <w:bCs/>
                <w:color w:val="000000"/>
                <w:sz w:val="16"/>
                <w:szCs w:val="16"/>
                <w:lang w:val="es-ES_tradnl"/>
              </w:rPr>
            </w:pPr>
            <w:r>
              <w:rPr>
                <w:b/>
                <w:bCs/>
                <w:color w:val="000000"/>
                <w:sz w:val="16"/>
                <w:szCs w:val="16"/>
                <w:lang w:val="es-AR"/>
              </w:rPr>
              <w:t>Valores presentes netos del ingreso neto futuro antes del impuesto a las ganancias</w:t>
            </w:r>
            <w:r>
              <w:rPr>
                <w:b/>
                <w:bCs/>
                <w:color w:val="000000"/>
                <w:sz w:val="16"/>
                <w:szCs w:val="16"/>
                <w:vertAlign w:val="superscript"/>
                <w:lang w:val="es-AR"/>
              </w:rPr>
              <w:t>(1)</w:t>
            </w:r>
          </w:p>
        </w:tc>
      </w:tr>
      <w:tr w:rsidR="004A2E5D" w:rsidRPr="002335EE" w:rsidTr="00870D01">
        <w:trPr>
          <w:trHeight w:val="300"/>
        </w:trPr>
        <w:tc>
          <w:tcPr>
            <w:tcW w:w="2473" w:type="dxa"/>
            <w:vMerge/>
            <w:tcBorders>
              <w:top w:val="nil"/>
              <w:left w:val="nil"/>
              <w:bottom w:val="nil"/>
              <w:right w:val="nil"/>
            </w:tcBorders>
            <w:shd w:val="clear" w:color="auto" w:fill="FFFFFF" w:themeFill="background1"/>
            <w:vAlign w:val="center"/>
            <w:hideMark/>
          </w:tcPr>
          <w:p w:rsidR="004A2E5D" w:rsidRPr="00D204CA" w:rsidRDefault="004A2E5D" w:rsidP="004A2E5D">
            <w:pPr>
              <w:rPr>
                <w:sz w:val="16"/>
                <w:szCs w:val="16"/>
                <w:lang w:val="es-ES_tradnl"/>
              </w:rPr>
            </w:pPr>
          </w:p>
        </w:tc>
        <w:tc>
          <w:tcPr>
            <w:tcW w:w="4118" w:type="dxa"/>
            <w:gridSpan w:val="5"/>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Descontado al (%/año)</w:t>
            </w:r>
          </w:p>
        </w:tc>
      </w:tr>
      <w:tr w:rsidR="004A2E5D" w:rsidRPr="002335EE" w:rsidTr="00870D01">
        <w:trPr>
          <w:trHeight w:val="435"/>
        </w:trPr>
        <w:tc>
          <w:tcPr>
            <w:tcW w:w="2473" w:type="dxa"/>
            <w:vMerge w:val="restart"/>
            <w:tcBorders>
              <w:top w:val="nil"/>
              <w:left w:val="nil"/>
              <w:bottom w:val="nil"/>
              <w:right w:val="nil"/>
            </w:tcBorders>
            <w:shd w:val="clear" w:color="auto" w:fill="FFFFFF" w:themeFill="background1"/>
            <w:vAlign w:val="center"/>
            <w:hideMark/>
          </w:tcPr>
          <w:p w:rsidR="004A2E5D" w:rsidRPr="002335EE" w:rsidRDefault="004A2E5D" w:rsidP="004A2E5D">
            <w:pPr>
              <w:rPr>
                <w:b/>
                <w:bCs/>
                <w:color w:val="000000"/>
                <w:sz w:val="16"/>
                <w:szCs w:val="16"/>
              </w:rPr>
            </w:pPr>
            <w:r>
              <w:rPr>
                <w:b/>
                <w:bCs/>
                <w:color w:val="000000"/>
                <w:sz w:val="16"/>
                <w:szCs w:val="16"/>
                <w:lang w:val="es-AR"/>
              </w:rPr>
              <w:t>Categoría de reservas</w:t>
            </w:r>
            <w:r>
              <w:rPr>
                <w:b/>
                <w:bCs/>
                <w:color w:val="000000"/>
                <w:sz w:val="16"/>
                <w:szCs w:val="16"/>
                <w:vertAlign w:val="superscript"/>
                <w:lang w:val="es-AR"/>
              </w:rPr>
              <w:t>(2)</w:t>
            </w:r>
          </w:p>
        </w:tc>
        <w:tc>
          <w:tcPr>
            <w:tcW w:w="801"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0%</w:t>
            </w:r>
          </w:p>
        </w:tc>
        <w:tc>
          <w:tcPr>
            <w:tcW w:w="801"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5%</w:t>
            </w:r>
          </w:p>
        </w:tc>
        <w:tc>
          <w:tcPr>
            <w:tcW w:w="858"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10%</w:t>
            </w:r>
          </w:p>
        </w:tc>
        <w:tc>
          <w:tcPr>
            <w:tcW w:w="819"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15%</w:t>
            </w:r>
          </w:p>
        </w:tc>
        <w:tc>
          <w:tcPr>
            <w:tcW w:w="839"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20%</w:t>
            </w:r>
          </w:p>
        </w:tc>
      </w:tr>
      <w:tr w:rsidR="004A2E5D" w:rsidRPr="002335EE" w:rsidTr="00870D01">
        <w:trPr>
          <w:trHeight w:val="315"/>
        </w:trPr>
        <w:tc>
          <w:tcPr>
            <w:tcW w:w="2473" w:type="dxa"/>
            <w:vMerge/>
            <w:tcBorders>
              <w:top w:val="nil"/>
              <w:left w:val="nil"/>
              <w:bottom w:val="nil"/>
              <w:right w:val="nil"/>
            </w:tcBorders>
            <w:shd w:val="clear" w:color="auto" w:fill="FFFFFF" w:themeFill="background1"/>
            <w:vAlign w:val="center"/>
            <w:hideMark/>
          </w:tcPr>
          <w:p w:rsidR="004A2E5D" w:rsidRPr="002335EE" w:rsidRDefault="004A2E5D" w:rsidP="004A2E5D">
            <w:pPr>
              <w:rPr>
                <w:b/>
                <w:bCs/>
                <w:color w:val="000000"/>
                <w:sz w:val="16"/>
                <w:szCs w:val="16"/>
              </w:rPr>
            </w:pPr>
          </w:p>
        </w:tc>
        <w:tc>
          <w:tcPr>
            <w:tcW w:w="801"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MMUS$</w:t>
            </w:r>
          </w:p>
        </w:tc>
        <w:tc>
          <w:tcPr>
            <w:tcW w:w="801"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MMUS$</w:t>
            </w:r>
          </w:p>
        </w:tc>
        <w:tc>
          <w:tcPr>
            <w:tcW w:w="858"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MMUS$</w:t>
            </w:r>
          </w:p>
        </w:tc>
        <w:tc>
          <w:tcPr>
            <w:tcW w:w="819"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MMUS$</w:t>
            </w:r>
          </w:p>
        </w:tc>
        <w:tc>
          <w:tcPr>
            <w:tcW w:w="839" w:type="dxa"/>
            <w:tcBorders>
              <w:top w:val="nil"/>
              <w:left w:val="nil"/>
              <w:bottom w:val="nil"/>
              <w:right w:val="nil"/>
            </w:tcBorders>
            <w:shd w:val="clear" w:color="auto" w:fill="FFFFFF" w:themeFill="background1"/>
            <w:vAlign w:val="center"/>
            <w:hideMark/>
          </w:tcPr>
          <w:p w:rsidR="004A2E5D" w:rsidRPr="002335EE" w:rsidRDefault="004A2E5D" w:rsidP="004A2E5D">
            <w:pPr>
              <w:jc w:val="center"/>
              <w:rPr>
                <w:b/>
                <w:bCs/>
                <w:color w:val="000000"/>
                <w:sz w:val="16"/>
                <w:szCs w:val="16"/>
              </w:rPr>
            </w:pPr>
            <w:r>
              <w:rPr>
                <w:b/>
                <w:bCs/>
                <w:color w:val="000000"/>
                <w:sz w:val="16"/>
                <w:szCs w:val="16"/>
                <w:lang w:val="es-AR"/>
              </w:rPr>
              <w:t>MMUS$</w:t>
            </w:r>
          </w:p>
        </w:tc>
      </w:tr>
      <w:tr w:rsidR="004A2E5D" w:rsidRPr="002335EE" w:rsidTr="00870D01">
        <w:trPr>
          <w:trHeight w:val="300"/>
        </w:trPr>
        <w:tc>
          <w:tcPr>
            <w:tcW w:w="2473" w:type="dxa"/>
            <w:tcBorders>
              <w:top w:val="nil"/>
              <w:left w:val="nil"/>
              <w:bottom w:val="nil"/>
              <w:right w:val="nil"/>
            </w:tcBorders>
            <w:shd w:val="clear" w:color="auto" w:fill="FFFFFF" w:themeFill="background1"/>
            <w:vAlign w:val="center"/>
            <w:hideMark/>
          </w:tcPr>
          <w:p w:rsidR="004A2E5D" w:rsidRPr="002335EE" w:rsidRDefault="004A2E5D" w:rsidP="004A2E5D">
            <w:pPr>
              <w:rPr>
                <w:color w:val="000000"/>
                <w:sz w:val="16"/>
                <w:szCs w:val="16"/>
              </w:rPr>
            </w:pPr>
            <w:r>
              <w:rPr>
                <w:color w:val="000000"/>
                <w:sz w:val="16"/>
                <w:szCs w:val="16"/>
                <w:lang w:val="es-AR"/>
              </w:rPr>
              <w:t>Probadas:</w:t>
            </w:r>
          </w:p>
        </w:tc>
        <w:tc>
          <w:tcPr>
            <w:tcW w:w="801" w:type="dxa"/>
            <w:tcBorders>
              <w:top w:val="single" w:sz="4" w:space="0" w:color="auto"/>
              <w:left w:val="nil"/>
              <w:bottom w:val="nil"/>
              <w:right w:val="nil"/>
            </w:tcBorders>
            <w:shd w:val="clear" w:color="auto" w:fill="FFFFFF" w:themeFill="background1"/>
            <w:vAlign w:val="center"/>
            <w:hideMark/>
          </w:tcPr>
          <w:p w:rsidR="004A2E5D" w:rsidRPr="002335EE" w:rsidRDefault="004A2E5D" w:rsidP="004A2E5D">
            <w:pPr>
              <w:jc w:val="both"/>
              <w:rPr>
                <w:color w:val="000000"/>
                <w:sz w:val="16"/>
                <w:szCs w:val="16"/>
              </w:rPr>
            </w:pPr>
            <w:r>
              <w:rPr>
                <w:color w:val="000000"/>
                <w:sz w:val="16"/>
                <w:szCs w:val="16"/>
                <w:lang w:val="es-AR"/>
              </w:rPr>
              <w:t> </w:t>
            </w:r>
          </w:p>
        </w:tc>
        <w:tc>
          <w:tcPr>
            <w:tcW w:w="801" w:type="dxa"/>
            <w:tcBorders>
              <w:top w:val="single" w:sz="4" w:space="0" w:color="auto"/>
              <w:left w:val="nil"/>
              <w:bottom w:val="nil"/>
              <w:right w:val="nil"/>
            </w:tcBorders>
            <w:shd w:val="clear" w:color="auto" w:fill="FFFFFF" w:themeFill="background1"/>
            <w:vAlign w:val="center"/>
            <w:hideMark/>
          </w:tcPr>
          <w:p w:rsidR="004A2E5D" w:rsidRPr="002335EE" w:rsidRDefault="004A2E5D" w:rsidP="004A2E5D">
            <w:pPr>
              <w:jc w:val="both"/>
              <w:rPr>
                <w:color w:val="000000"/>
                <w:sz w:val="16"/>
                <w:szCs w:val="16"/>
              </w:rPr>
            </w:pPr>
            <w:r>
              <w:rPr>
                <w:color w:val="000000"/>
                <w:sz w:val="16"/>
                <w:szCs w:val="16"/>
                <w:lang w:val="es-AR"/>
              </w:rPr>
              <w:t> </w:t>
            </w:r>
          </w:p>
        </w:tc>
        <w:tc>
          <w:tcPr>
            <w:tcW w:w="858" w:type="dxa"/>
            <w:tcBorders>
              <w:top w:val="single" w:sz="4" w:space="0" w:color="auto"/>
              <w:left w:val="nil"/>
              <w:bottom w:val="nil"/>
              <w:right w:val="nil"/>
            </w:tcBorders>
            <w:shd w:val="clear" w:color="auto" w:fill="FFFFFF" w:themeFill="background1"/>
            <w:vAlign w:val="center"/>
            <w:hideMark/>
          </w:tcPr>
          <w:p w:rsidR="004A2E5D" w:rsidRPr="002335EE" w:rsidRDefault="004A2E5D" w:rsidP="004A2E5D">
            <w:pPr>
              <w:jc w:val="both"/>
              <w:rPr>
                <w:color w:val="000000"/>
                <w:sz w:val="16"/>
                <w:szCs w:val="16"/>
              </w:rPr>
            </w:pPr>
            <w:r>
              <w:rPr>
                <w:color w:val="000000"/>
                <w:sz w:val="16"/>
                <w:szCs w:val="16"/>
                <w:lang w:val="es-AR"/>
              </w:rPr>
              <w:t> </w:t>
            </w:r>
          </w:p>
        </w:tc>
        <w:tc>
          <w:tcPr>
            <w:tcW w:w="819" w:type="dxa"/>
            <w:tcBorders>
              <w:top w:val="single" w:sz="4" w:space="0" w:color="auto"/>
              <w:left w:val="nil"/>
              <w:bottom w:val="nil"/>
              <w:right w:val="nil"/>
            </w:tcBorders>
            <w:shd w:val="clear" w:color="auto" w:fill="FFFFFF" w:themeFill="background1"/>
            <w:vAlign w:val="center"/>
            <w:hideMark/>
          </w:tcPr>
          <w:p w:rsidR="004A2E5D" w:rsidRPr="002335EE" w:rsidRDefault="004A2E5D" w:rsidP="004A2E5D">
            <w:pPr>
              <w:jc w:val="both"/>
              <w:rPr>
                <w:color w:val="000000"/>
                <w:sz w:val="16"/>
                <w:szCs w:val="16"/>
              </w:rPr>
            </w:pPr>
            <w:r>
              <w:rPr>
                <w:color w:val="000000"/>
                <w:sz w:val="16"/>
                <w:szCs w:val="16"/>
                <w:lang w:val="es-AR"/>
              </w:rPr>
              <w:t> </w:t>
            </w:r>
          </w:p>
        </w:tc>
        <w:tc>
          <w:tcPr>
            <w:tcW w:w="839" w:type="dxa"/>
            <w:tcBorders>
              <w:top w:val="single" w:sz="4" w:space="0" w:color="auto"/>
              <w:left w:val="nil"/>
              <w:bottom w:val="nil"/>
              <w:right w:val="nil"/>
            </w:tcBorders>
            <w:shd w:val="clear" w:color="auto" w:fill="FFFFFF" w:themeFill="background1"/>
            <w:vAlign w:val="center"/>
            <w:hideMark/>
          </w:tcPr>
          <w:p w:rsidR="004A2E5D" w:rsidRPr="002335EE" w:rsidRDefault="004A2E5D" w:rsidP="004A2E5D">
            <w:pPr>
              <w:jc w:val="both"/>
              <w:rPr>
                <w:color w:val="000000"/>
                <w:sz w:val="16"/>
                <w:szCs w:val="16"/>
              </w:rPr>
            </w:pPr>
            <w:r>
              <w:rPr>
                <w:color w:val="000000"/>
                <w:sz w:val="16"/>
                <w:szCs w:val="16"/>
                <w:lang w:val="es-AR"/>
              </w:rPr>
              <w:t> </w:t>
            </w:r>
          </w:p>
        </w:tc>
      </w:tr>
      <w:tr w:rsidR="00473E4E" w:rsidRPr="002335EE" w:rsidTr="00212580">
        <w:trPr>
          <w:trHeight w:val="315"/>
        </w:trPr>
        <w:tc>
          <w:tcPr>
            <w:tcW w:w="2473" w:type="dxa"/>
            <w:tcBorders>
              <w:top w:val="nil"/>
              <w:left w:val="nil"/>
              <w:bottom w:val="nil"/>
              <w:right w:val="nil"/>
            </w:tcBorders>
            <w:shd w:val="clear" w:color="auto" w:fill="FFFFFF" w:themeFill="background1"/>
            <w:hideMark/>
          </w:tcPr>
          <w:p w:rsidR="00473E4E" w:rsidRPr="002335EE" w:rsidRDefault="00473E4E" w:rsidP="00473E4E">
            <w:pPr>
              <w:rPr>
                <w:color w:val="000000"/>
                <w:sz w:val="16"/>
                <w:szCs w:val="16"/>
              </w:rPr>
            </w:pPr>
            <w:r>
              <w:rPr>
                <w:color w:val="000000"/>
                <w:sz w:val="16"/>
                <w:szCs w:val="16"/>
                <w:lang w:val="es-AR"/>
              </w:rPr>
              <w:t>Desarrolladas en producción</w:t>
            </w:r>
          </w:p>
        </w:tc>
        <w:tc>
          <w:tcPr>
            <w:tcW w:w="801"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b/>
                <w:bCs/>
                <w:sz w:val="16"/>
                <w:szCs w:val="16"/>
              </w:rPr>
              <w:t>297,6</w:t>
            </w:r>
          </w:p>
        </w:tc>
        <w:tc>
          <w:tcPr>
            <w:tcW w:w="801"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b/>
                <w:bCs/>
                <w:sz w:val="16"/>
                <w:szCs w:val="16"/>
              </w:rPr>
              <w:t>209,0</w:t>
            </w:r>
          </w:p>
        </w:tc>
        <w:tc>
          <w:tcPr>
            <w:tcW w:w="858"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b/>
                <w:bCs/>
                <w:sz w:val="16"/>
                <w:szCs w:val="16"/>
              </w:rPr>
              <w:t>157,2</w:t>
            </w:r>
          </w:p>
        </w:tc>
        <w:tc>
          <w:tcPr>
            <w:tcW w:w="819"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b/>
                <w:bCs/>
                <w:sz w:val="16"/>
                <w:szCs w:val="16"/>
              </w:rPr>
              <w:t>124,9</w:t>
            </w:r>
          </w:p>
        </w:tc>
        <w:tc>
          <w:tcPr>
            <w:tcW w:w="839"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b/>
                <w:bCs/>
                <w:sz w:val="16"/>
                <w:szCs w:val="16"/>
              </w:rPr>
              <w:t>103,6</w:t>
            </w:r>
          </w:p>
        </w:tc>
      </w:tr>
      <w:tr w:rsidR="00473E4E" w:rsidRPr="002335EE" w:rsidTr="00212580">
        <w:trPr>
          <w:trHeight w:val="315"/>
        </w:trPr>
        <w:tc>
          <w:tcPr>
            <w:tcW w:w="2473" w:type="dxa"/>
            <w:tcBorders>
              <w:top w:val="nil"/>
              <w:left w:val="nil"/>
              <w:bottom w:val="nil"/>
              <w:right w:val="nil"/>
            </w:tcBorders>
            <w:shd w:val="clear" w:color="auto" w:fill="FFFFFF" w:themeFill="background1"/>
            <w:hideMark/>
          </w:tcPr>
          <w:p w:rsidR="00473E4E" w:rsidRPr="002335EE" w:rsidRDefault="00473E4E" w:rsidP="00473E4E">
            <w:pPr>
              <w:rPr>
                <w:color w:val="000000"/>
                <w:sz w:val="16"/>
                <w:szCs w:val="16"/>
              </w:rPr>
            </w:pPr>
            <w:r>
              <w:rPr>
                <w:color w:val="000000"/>
                <w:sz w:val="16"/>
                <w:szCs w:val="16"/>
                <w:lang w:val="es-AR"/>
              </w:rPr>
              <w:t>Desarrolladas, no en producción</w:t>
            </w:r>
          </w:p>
        </w:tc>
        <w:tc>
          <w:tcPr>
            <w:tcW w:w="801"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101,8</w:t>
            </w:r>
          </w:p>
        </w:tc>
        <w:tc>
          <w:tcPr>
            <w:tcW w:w="801"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52,7</w:t>
            </w:r>
          </w:p>
        </w:tc>
        <w:tc>
          <w:tcPr>
            <w:tcW w:w="858"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27,9</w:t>
            </w:r>
          </w:p>
        </w:tc>
        <w:tc>
          <w:tcPr>
            <w:tcW w:w="819"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14,5</w:t>
            </w:r>
          </w:p>
        </w:tc>
        <w:tc>
          <w:tcPr>
            <w:tcW w:w="839"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6,9</w:t>
            </w:r>
          </w:p>
        </w:tc>
      </w:tr>
      <w:tr w:rsidR="00473E4E" w:rsidRPr="002335EE" w:rsidTr="00212580">
        <w:trPr>
          <w:trHeight w:val="315"/>
        </w:trPr>
        <w:tc>
          <w:tcPr>
            <w:tcW w:w="2473" w:type="dxa"/>
            <w:tcBorders>
              <w:top w:val="nil"/>
              <w:left w:val="nil"/>
              <w:bottom w:val="nil"/>
              <w:right w:val="nil"/>
            </w:tcBorders>
            <w:shd w:val="clear" w:color="auto" w:fill="FFFFFF" w:themeFill="background1"/>
            <w:hideMark/>
          </w:tcPr>
          <w:p w:rsidR="00473E4E" w:rsidRPr="002335EE" w:rsidRDefault="00473E4E" w:rsidP="00473E4E">
            <w:pPr>
              <w:rPr>
                <w:color w:val="000000"/>
                <w:sz w:val="16"/>
                <w:szCs w:val="16"/>
              </w:rPr>
            </w:pPr>
            <w:r>
              <w:rPr>
                <w:color w:val="000000"/>
                <w:sz w:val="16"/>
                <w:szCs w:val="16"/>
                <w:lang w:val="es-AR"/>
              </w:rPr>
              <w:t>No desarrolladas</w:t>
            </w:r>
          </w:p>
        </w:tc>
        <w:tc>
          <w:tcPr>
            <w:tcW w:w="801"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116,3</w:t>
            </w:r>
          </w:p>
        </w:tc>
        <w:tc>
          <w:tcPr>
            <w:tcW w:w="801"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66,1</w:t>
            </w:r>
          </w:p>
        </w:tc>
        <w:tc>
          <w:tcPr>
            <w:tcW w:w="858"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37,5</w:t>
            </w:r>
          </w:p>
        </w:tc>
        <w:tc>
          <w:tcPr>
            <w:tcW w:w="819"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20,2</w:t>
            </w:r>
          </w:p>
        </w:tc>
        <w:tc>
          <w:tcPr>
            <w:tcW w:w="839"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9,2</w:t>
            </w:r>
          </w:p>
        </w:tc>
      </w:tr>
      <w:tr w:rsidR="00473E4E" w:rsidRPr="002335EE" w:rsidTr="00212580">
        <w:trPr>
          <w:trHeight w:val="315"/>
        </w:trPr>
        <w:tc>
          <w:tcPr>
            <w:tcW w:w="2473" w:type="dxa"/>
            <w:tcBorders>
              <w:top w:val="nil"/>
              <w:left w:val="nil"/>
              <w:bottom w:val="nil"/>
              <w:right w:val="nil"/>
            </w:tcBorders>
            <w:shd w:val="clear" w:color="auto" w:fill="FFFFFF" w:themeFill="background1"/>
            <w:hideMark/>
          </w:tcPr>
          <w:p w:rsidR="00473E4E" w:rsidRPr="002335EE" w:rsidRDefault="00473E4E" w:rsidP="00473E4E">
            <w:pPr>
              <w:rPr>
                <w:color w:val="000000"/>
                <w:sz w:val="16"/>
                <w:szCs w:val="16"/>
              </w:rPr>
            </w:pPr>
            <w:r>
              <w:rPr>
                <w:color w:val="000000"/>
                <w:sz w:val="16"/>
                <w:szCs w:val="16"/>
                <w:lang w:val="es-AR"/>
              </w:rPr>
              <w:t>Total reservas probadas</w:t>
            </w:r>
          </w:p>
        </w:tc>
        <w:tc>
          <w:tcPr>
            <w:tcW w:w="801" w:type="dxa"/>
            <w:tcBorders>
              <w:top w:val="single" w:sz="4" w:space="0" w:color="auto"/>
              <w:left w:val="nil"/>
              <w:bottom w:val="nil"/>
              <w:right w:val="nil"/>
            </w:tcBorders>
            <w:shd w:val="clear" w:color="auto" w:fill="FFFFFF" w:themeFill="background1"/>
            <w:vAlign w:val="center"/>
            <w:hideMark/>
          </w:tcPr>
          <w:p w:rsidR="00473E4E" w:rsidRPr="002335EE" w:rsidRDefault="00473E4E" w:rsidP="00473E4E">
            <w:pPr>
              <w:jc w:val="center"/>
              <w:rPr>
                <w:b/>
                <w:bCs/>
                <w:color w:val="000000"/>
                <w:sz w:val="16"/>
                <w:szCs w:val="16"/>
              </w:rPr>
            </w:pPr>
            <w:r>
              <w:rPr>
                <w:b/>
                <w:bCs/>
                <w:sz w:val="16"/>
                <w:szCs w:val="16"/>
              </w:rPr>
              <w:t>515,7</w:t>
            </w:r>
          </w:p>
        </w:tc>
        <w:tc>
          <w:tcPr>
            <w:tcW w:w="801" w:type="dxa"/>
            <w:tcBorders>
              <w:top w:val="single" w:sz="4" w:space="0" w:color="auto"/>
              <w:left w:val="nil"/>
              <w:bottom w:val="nil"/>
              <w:right w:val="nil"/>
            </w:tcBorders>
            <w:shd w:val="clear" w:color="auto" w:fill="FFFFFF" w:themeFill="background1"/>
            <w:vAlign w:val="center"/>
            <w:hideMark/>
          </w:tcPr>
          <w:p w:rsidR="00473E4E" w:rsidRPr="002335EE" w:rsidRDefault="00473E4E" w:rsidP="00473E4E">
            <w:pPr>
              <w:jc w:val="center"/>
              <w:rPr>
                <w:b/>
                <w:bCs/>
                <w:color w:val="000000"/>
                <w:sz w:val="16"/>
                <w:szCs w:val="16"/>
              </w:rPr>
            </w:pPr>
            <w:r>
              <w:rPr>
                <w:b/>
                <w:bCs/>
                <w:sz w:val="16"/>
                <w:szCs w:val="16"/>
              </w:rPr>
              <w:t>327,8</w:t>
            </w:r>
          </w:p>
        </w:tc>
        <w:tc>
          <w:tcPr>
            <w:tcW w:w="858" w:type="dxa"/>
            <w:tcBorders>
              <w:top w:val="single" w:sz="4" w:space="0" w:color="auto"/>
              <w:left w:val="nil"/>
              <w:bottom w:val="nil"/>
              <w:right w:val="nil"/>
            </w:tcBorders>
            <w:shd w:val="clear" w:color="auto" w:fill="FFFFFF" w:themeFill="background1"/>
            <w:vAlign w:val="center"/>
            <w:hideMark/>
          </w:tcPr>
          <w:p w:rsidR="00473E4E" w:rsidRPr="002335EE" w:rsidRDefault="00473E4E" w:rsidP="00473E4E">
            <w:pPr>
              <w:jc w:val="center"/>
              <w:rPr>
                <w:b/>
                <w:bCs/>
                <w:color w:val="000000"/>
                <w:sz w:val="16"/>
                <w:szCs w:val="16"/>
              </w:rPr>
            </w:pPr>
            <w:r>
              <w:rPr>
                <w:b/>
                <w:bCs/>
                <w:sz w:val="16"/>
                <w:szCs w:val="16"/>
              </w:rPr>
              <w:t>222,6</w:t>
            </w:r>
          </w:p>
        </w:tc>
        <w:tc>
          <w:tcPr>
            <w:tcW w:w="819" w:type="dxa"/>
            <w:tcBorders>
              <w:top w:val="single" w:sz="4" w:space="0" w:color="auto"/>
              <w:left w:val="nil"/>
              <w:bottom w:val="nil"/>
              <w:right w:val="nil"/>
            </w:tcBorders>
            <w:shd w:val="clear" w:color="auto" w:fill="FFFFFF" w:themeFill="background1"/>
            <w:vAlign w:val="center"/>
            <w:hideMark/>
          </w:tcPr>
          <w:p w:rsidR="00473E4E" w:rsidRPr="002335EE" w:rsidRDefault="00473E4E" w:rsidP="00473E4E">
            <w:pPr>
              <w:jc w:val="center"/>
              <w:rPr>
                <w:b/>
                <w:bCs/>
                <w:color w:val="000000"/>
                <w:sz w:val="16"/>
                <w:szCs w:val="16"/>
              </w:rPr>
            </w:pPr>
            <w:r>
              <w:rPr>
                <w:b/>
                <w:bCs/>
                <w:sz w:val="16"/>
                <w:szCs w:val="16"/>
              </w:rPr>
              <w:t>159,6</w:t>
            </w:r>
          </w:p>
        </w:tc>
        <w:tc>
          <w:tcPr>
            <w:tcW w:w="839" w:type="dxa"/>
            <w:tcBorders>
              <w:top w:val="single" w:sz="4" w:space="0" w:color="auto"/>
              <w:left w:val="nil"/>
              <w:bottom w:val="nil"/>
              <w:right w:val="nil"/>
            </w:tcBorders>
            <w:shd w:val="clear" w:color="auto" w:fill="FFFFFF" w:themeFill="background1"/>
            <w:vAlign w:val="center"/>
            <w:hideMark/>
          </w:tcPr>
          <w:p w:rsidR="00473E4E" w:rsidRPr="002335EE" w:rsidRDefault="00473E4E" w:rsidP="00473E4E">
            <w:pPr>
              <w:jc w:val="center"/>
              <w:rPr>
                <w:b/>
                <w:bCs/>
                <w:color w:val="000000"/>
                <w:sz w:val="16"/>
                <w:szCs w:val="16"/>
              </w:rPr>
            </w:pPr>
            <w:r>
              <w:rPr>
                <w:b/>
                <w:bCs/>
                <w:sz w:val="16"/>
                <w:szCs w:val="16"/>
              </w:rPr>
              <w:t>119,7</w:t>
            </w:r>
          </w:p>
        </w:tc>
      </w:tr>
      <w:tr w:rsidR="00473E4E" w:rsidRPr="002335EE" w:rsidTr="00212580">
        <w:trPr>
          <w:trHeight w:val="300"/>
        </w:trPr>
        <w:tc>
          <w:tcPr>
            <w:tcW w:w="2473" w:type="dxa"/>
            <w:tcBorders>
              <w:top w:val="nil"/>
              <w:left w:val="nil"/>
              <w:bottom w:val="nil"/>
              <w:right w:val="nil"/>
            </w:tcBorders>
            <w:shd w:val="clear" w:color="auto" w:fill="FFFFFF" w:themeFill="background1"/>
            <w:hideMark/>
          </w:tcPr>
          <w:p w:rsidR="00473E4E" w:rsidRPr="002335EE" w:rsidRDefault="00473E4E" w:rsidP="00473E4E">
            <w:pPr>
              <w:rPr>
                <w:color w:val="000000"/>
                <w:sz w:val="16"/>
                <w:szCs w:val="16"/>
              </w:rPr>
            </w:pPr>
            <w:r>
              <w:rPr>
                <w:color w:val="000000"/>
                <w:sz w:val="16"/>
                <w:szCs w:val="16"/>
                <w:lang w:val="es-AR"/>
              </w:rPr>
              <w:t>Total reservas probables</w:t>
            </w:r>
          </w:p>
        </w:tc>
        <w:tc>
          <w:tcPr>
            <w:tcW w:w="801"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498,1</w:t>
            </w:r>
          </w:p>
        </w:tc>
        <w:tc>
          <w:tcPr>
            <w:tcW w:w="801"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252,8</w:t>
            </w:r>
          </w:p>
        </w:tc>
        <w:tc>
          <w:tcPr>
            <w:tcW w:w="858"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136,3</w:t>
            </w:r>
          </w:p>
        </w:tc>
        <w:tc>
          <w:tcPr>
            <w:tcW w:w="819"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77,0</w:t>
            </w:r>
          </w:p>
        </w:tc>
        <w:tc>
          <w:tcPr>
            <w:tcW w:w="839" w:type="dxa"/>
            <w:tcBorders>
              <w:top w:val="nil"/>
              <w:left w:val="nil"/>
              <w:bottom w:val="nil"/>
              <w:right w:val="nil"/>
            </w:tcBorders>
            <w:shd w:val="clear" w:color="auto" w:fill="FFFFFF" w:themeFill="background1"/>
            <w:vAlign w:val="center"/>
            <w:hideMark/>
          </w:tcPr>
          <w:p w:rsidR="00473E4E" w:rsidRPr="002335EE" w:rsidRDefault="00473E4E" w:rsidP="00473E4E">
            <w:pPr>
              <w:jc w:val="center"/>
              <w:rPr>
                <w:color w:val="000000"/>
                <w:sz w:val="16"/>
                <w:szCs w:val="16"/>
              </w:rPr>
            </w:pPr>
            <w:r>
              <w:rPr>
                <w:sz w:val="16"/>
                <w:szCs w:val="16"/>
              </w:rPr>
              <w:t>46,7</w:t>
            </w:r>
          </w:p>
        </w:tc>
      </w:tr>
      <w:tr w:rsidR="00473E4E" w:rsidRPr="002335EE" w:rsidTr="00212580">
        <w:trPr>
          <w:trHeight w:val="315"/>
        </w:trPr>
        <w:tc>
          <w:tcPr>
            <w:tcW w:w="2473" w:type="dxa"/>
            <w:tcBorders>
              <w:top w:val="nil"/>
              <w:left w:val="nil"/>
              <w:bottom w:val="nil"/>
              <w:right w:val="nil"/>
            </w:tcBorders>
            <w:shd w:val="clear" w:color="auto" w:fill="FFFFFF" w:themeFill="background1"/>
            <w:hideMark/>
          </w:tcPr>
          <w:p w:rsidR="00473E4E" w:rsidRPr="00D204CA" w:rsidRDefault="00473E4E" w:rsidP="00473E4E">
            <w:pPr>
              <w:rPr>
                <w:color w:val="000000"/>
                <w:sz w:val="16"/>
                <w:szCs w:val="16"/>
                <w:lang w:val="es-ES_tradnl"/>
              </w:rPr>
            </w:pPr>
            <w:r>
              <w:rPr>
                <w:color w:val="000000"/>
                <w:sz w:val="16"/>
                <w:szCs w:val="16"/>
                <w:lang w:val="es-AR"/>
              </w:rPr>
              <w:t>Total reservas probadas más probables</w:t>
            </w:r>
          </w:p>
        </w:tc>
        <w:tc>
          <w:tcPr>
            <w:tcW w:w="801" w:type="dxa"/>
            <w:tcBorders>
              <w:top w:val="single" w:sz="4" w:space="0" w:color="auto"/>
              <w:left w:val="nil"/>
              <w:bottom w:val="nil"/>
              <w:right w:val="nil"/>
            </w:tcBorders>
            <w:shd w:val="clear" w:color="auto" w:fill="FFFFFF" w:themeFill="background1"/>
            <w:vAlign w:val="center"/>
            <w:hideMark/>
          </w:tcPr>
          <w:p w:rsidR="00473E4E" w:rsidRPr="002335EE" w:rsidRDefault="00473E4E" w:rsidP="00C700E3">
            <w:pPr>
              <w:jc w:val="center"/>
              <w:rPr>
                <w:b/>
                <w:bCs/>
                <w:color w:val="000000"/>
                <w:sz w:val="16"/>
                <w:szCs w:val="16"/>
              </w:rPr>
            </w:pPr>
            <w:r>
              <w:rPr>
                <w:b/>
                <w:bCs/>
                <w:sz w:val="16"/>
                <w:szCs w:val="16"/>
              </w:rPr>
              <w:t>1</w:t>
            </w:r>
            <w:r w:rsidR="00C700E3">
              <w:rPr>
                <w:b/>
                <w:bCs/>
                <w:sz w:val="16"/>
                <w:szCs w:val="16"/>
              </w:rPr>
              <w:t>.</w:t>
            </w:r>
            <w:r>
              <w:rPr>
                <w:b/>
                <w:bCs/>
                <w:sz w:val="16"/>
                <w:szCs w:val="16"/>
              </w:rPr>
              <w:t>014</w:t>
            </w:r>
          </w:p>
        </w:tc>
        <w:tc>
          <w:tcPr>
            <w:tcW w:w="801" w:type="dxa"/>
            <w:tcBorders>
              <w:top w:val="single" w:sz="4" w:space="0" w:color="auto"/>
              <w:left w:val="nil"/>
              <w:bottom w:val="nil"/>
              <w:right w:val="nil"/>
            </w:tcBorders>
            <w:shd w:val="clear" w:color="auto" w:fill="FFFFFF" w:themeFill="background1"/>
            <w:vAlign w:val="center"/>
            <w:hideMark/>
          </w:tcPr>
          <w:p w:rsidR="00473E4E" w:rsidRPr="002335EE" w:rsidRDefault="00473E4E" w:rsidP="00473E4E">
            <w:pPr>
              <w:jc w:val="center"/>
              <w:rPr>
                <w:b/>
                <w:bCs/>
                <w:color w:val="000000"/>
                <w:sz w:val="16"/>
                <w:szCs w:val="16"/>
              </w:rPr>
            </w:pPr>
            <w:r>
              <w:rPr>
                <w:b/>
                <w:bCs/>
                <w:sz w:val="16"/>
                <w:szCs w:val="16"/>
              </w:rPr>
              <w:t>580,6</w:t>
            </w:r>
          </w:p>
        </w:tc>
        <w:tc>
          <w:tcPr>
            <w:tcW w:w="858" w:type="dxa"/>
            <w:tcBorders>
              <w:top w:val="single" w:sz="4" w:space="0" w:color="auto"/>
              <w:left w:val="nil"/>
              <w:bottom w:val="nil"/>
              <w:right w:val="nil"/>
            </w:tcBorders>
            <w:shd w:val="clear" w:color="auto" w:fill="FFFFFF" w:themeFill="background1"/>
            <w:vAlign w:val="center"/>
            <w:hideMark/>
          </w:tcPr>
          <w:p w:rsidR="00473E4E" w:rsidRPr="002335EE" w:rsidRDefault="00473E4E" w:rsidP="00473E4E">
            <w:pPr>
              <w:jc w:val="center"/>
              <w:rPr>
                <w:b/>
                <w:bCs/>
                <w:color w:val="000000"/>
                <w:sz w:val="16"/>
                <w:szCs w:val="16"/>
              </w:rPr>
            </w:pPr>
            <w:r>
              <w:rPr>
                <w:b/>
                <w:bCs/>
                <w:sz w:val="16"/>
                <w:szCs w:val="16"/>
              </w:rPr>
              <w:t>358,9</w:t>
            </w:r>
          </w:p>
        </w:tc>
        <w:tc>
          <w:tcPr>
            <w:tcW w:w="819" w:type="dxa"/>
            <w:tcBorders>
              <w:top w:val="single" w:sz="4" w:space="0" w:color="auto"/>
              <w:left w:val="nil"/>
              <w:bottom w:val="nil"/>
              <w:right w:val="nil"/>
            </w:tcBorders>
            <w:shd w:val="clear" w:color="auto" w:fill="FFFFFF" w:themeFill="background1"/>
            <w:vAlign w:val="center"/>
            <w:hideMark/>
          </w:tcPr>
          <w:p w:rsidR="00473E4E" w:rsidRPr="002335EE" w:rsidRDefault="00473E4E" w:rsidP="00473E4E">
            <w:pPr>
              <w:jc w:val="center"/>
              <w:rPr>
                <w:b/>
                <w:bCs/>
                <w:color w:val="000000"/>
                <w:sz w:val="16"/>
                <w:szCs w:val="16"/>
              </w:rPr>
            </w:pPr>
            <w:r>
              <w:rPr>
                <w:b/>
                <w:bCs/>
                <w:sz w:val="16"/>
                <w:szCs w:val="16"/>
              </w:rPr>
              <w:t>237,3</w:t>
            </w:r>
          </w:p>
        </w:tc>
        <w:tc>
          <w:tcPr>
            <w:tcW w:w="839" w:type="dxa"/>
            <w:tcBorders>
              <w:top w:val="single" w:sz="4" w:space="0" w:color="auto"/>
              <w:left w:val="nil"/>
              <w:bottom w:val="nil"/>
              <w:right w:val="nil"/>
            </w:tcBorders>
            <w:shd w:val="clear" w:color="auto" w:fill="FFFFFF" w:themeFill="background1"/>
            <w:vAlign w:val="center"/>
            <w:hideMark/>
          </w:tcPr>
          <w:p w:rsidR="00473E4E" w:rsidRPr="002335EE" w:rsidRDefault="00473E4E" w:rsidP="00473E4E">
            <w:pPr>
              <w:jc w:val="center"/>
              <w:rPr>
                <w:b/>
                <w:bCs/>
                <w:color w:val="000000"/>
                <w:sz w:val="16"/>
                <w:szCs w:val="16"/>
              </w:rPr>
            </w:pPr>
            <w:r>
              <w:rPr>
                <w:b/>
                <w:bCs/>
                <w:sz w:val="16"/>
                <w:szCs w:val="16"/>
              </w:rPr>
              <w:t>166,4</w:t>
            </w:r>
          </w:p>
        </w:tc>
      </w:tr>
    </w:tbl>
    <w:p w:rsidR="004A2E5D" w:rsidRPr="00D204CA" w:rsidRDefault="004A2E5D" w:rsidP="004A2E5D">
      <w:pPr>
        <w:numPr>
          <w:ilvl w:val="0"/>
          <w:numId w:val="1"/>
        </w:numPr>
        <w:spacing w:before="60"/>
        <w:ind w:left="425" w:hanging="425"/>
        <w:jc w:val="both"/>
        <w:rPr>
          <w:rFonts w:ascii="Times New Roman" w:hAnsi="Times New Roman"/>
          <w:sz w:val="18"/>
          <w:szCs w:val="16"/>
          <w:lang w:val="es-ES_tradnl"/>
        </w:rPr>
      </w:pPr>
      <w:r>
        <w:rPr>
          <w:rFonts w:ascii="Times New Roman" w:hAnsi="Times New Roman"/>
          <w:sz w:val="16"/>
          <w:szCs w:val="16"/>
          <w:lang w:val="es-AR"/>
        </w:rPr>
        <w:fldChar w:fldCharType="end"/>
      </w:r>
      <w:r>
        <w:rPr>
          <w:rFonts w:ascii="Times New Roman" w:hAnsi="Times New Roman"/>
          <w:sz w:val="18"/>
          <w:szCs w:val="16"/>
          <w:lang w:val="es-AR"/>
        </w:rPr>
        <w:t>Los valores presentes netos estimados del ingreso neto futuro indicados no representan el valor razonable de mercado.</w:t>
      </w:r>
    </w:p>
    <w:p w:rsidR="004A2E5D" w:rsidRPr="00870D01" w:rsidRDefault="004A2E5D" w:rsidP="004A2E5D">
      <w:pPr>
        <w:numPr>
          <w:ilvl w:val="0"/>
          <w:numId w:val="1"/>
        </w:numPr>
        <w:spacing w:before="60"/>
        <w:ind w:left="425" w:hanging="425"/>
        <w:jc w:val="both"/>
        <w:rPr>
          <w:rFonts w:ascii="Times New Roman" w:hAnsi="Times New Roman"/>
          <w:sz w:val="18"/>
          <w:szCs w:val="16"/>
          <w:lang w:val="es-ES_tradnl"/>
        </w:rPr>
      </w:pPr>
      <w:r>
        <w:rPr>
          <w:rFonts w:ascii="Times New Roman" w:hAnsi="Times New Roman"/>
          <w:sz w:val="18"/>
          <w:szCs w:val="16"/>
          <w:lang w:val="es-AR"/>
        </w:rPr>
        <w:t>Las definiciones de las distintas categorías de reservas son las indicadas en NI 51-101 y en el Manual Canadiense de Evaluación de Petróleo y Gas.</w:t>
      </w:r>
    </w:p>
    <w:p w:rsidR="001A6102" w:rsidRPr="00870D01" w:rsidRDefault="001A6102" w:rsidP="003A2F45">
      <w:pPr>
        <w:tabs>
          <w:tab w:val="left" w:pos="1440"/>
        </w:tabs>
        <w:spacing w:before="120" w:line="240" w:lineRule="atLeast"/>
        <w:jc w:val="both"/>
        <w:rPr>
          <w:rFonts w:ascii="Times New Roman" w:hAnsi="Times New Roman"/>
          <w:szCs w:val="22"/>
          <w:lang w:val="es-ES_tradnl"/>
        </w:rPr>
      </w:pPr>
    </w:p>
    <w:p w:rsidR="00EE79E4" w:rsidRPr="00870D01" w:rsidRDefault="003A2F45" w:rsidP="00473E4E">
      <w:pPr>
        <w:tabs>
          <w:tab w:val="left" w:pos="1440"/>
        </w:tabs>
        <w:spacing w:before="120" w:line="240" w:lineRule="atLeast"/>
        <w:jc w:val="both"/>
        <w:rPr>
          <w:sz w:val="20"/>
          <w:szCs w:val="20"/>
          <w:lang w:val="es-ES_tradnl"/>
        </w:rPr>
      </w:pPr>
      <w:r>
        <w:rPr>
          <w:sz w:val="20"/>
          <w:szCs w:val="20"/>
          <w:lang w:val="es-AR"/>
        </w:rPr>
        <w:t>Las reservas probadas más probables ("</w:t>
      </w:r>
      <w:r>
        <w:rPr>
          <w:b/>
          <w:bCs/>
          <w:sz w:val="20"/>
          <w:szCs w:val="20"/>
          <w:lang w:val="es-AR"/>
        </w:rPr>
        <w:t>2P</w:t>
      </w:r>
      <w:r>
        <w:rPr>
          <w:sz w:val="20"/>
          <w:szCs w:val="20"/>
          <w:lang w:val="es-AR"/>
        </w:rPr>
        <w:t xml:space="preserve">") brutas de la Compañía al 31 de diciembre de </w:t>
      </w:r>
      <w:r w:rsidR="00473E4E">
        <w:rPr>
          <w:sz w:val="20"/>
          <w:szCs w:val="20"/>
          <w:lang w:val="es-AR"/>
        </w:rPr>
        <w:t>2024</w:t>
      </w:r>
      <w:r>
        <w:rPr>
          <w:sz w:val="20"/>
          <w:szCs w:val="20"/>
          <w:lang w:val="es-AR"/>
        </w:rPr>
        <w:t xml:space="preserve">, evaluadas por </w:t>
      </w:r>
      <w:proofErr w:type="spellStart"/>
      <w:r w:rsidR="00955DD0">
        <w:rPr>
          <w:sz w:val="20"/>
          <w:szCs w:val="20"/>
          <w:lang w:val="es-AR"/>
        </w:rPr>
        <w:t>Sproule</w:t>
      </w:r>
      <w:proofErr w:type="spellEnd"/>
      <w:r>
        <w:rPr>
          <w:sz w:val="20"/>
          <w:szCs w:val="20"/>
          <w:lang w:val="es-AR"/>
        </w:rPr>
        <w:t xml:space="preserve">, ascendieron a </w:t>
      </w:r>
      <w:r w:rsidR="00473E4E">
        <w:rPr>
          <w:sz w:val="20"/>
          <w:szCs w:val="20"/>
          <w:lang w:val="es-AR"/>
        </w:rPr>
        <w:t>50.517</w:t>
      </w:r>
      <w:r>
        <w:rPr>
          <w:sz w:val="20"/>
          <w:szCs w:val="20"/>
          <w:lang w:val="es-AR"/>
        </w:rPr>
        <w:t xml:space="preserve"> </w:t>
      </w:r>
      <w:proofErr w:type="spellStart"/>
      <w:r>
        <w:rPr>
          <w:sz w:val="20"/>
          <w:szCs w:val="20"/>
          <w:lang w:val="es-AR"/>
        </w:rPr>
        <w:t>MBOE</w:t>
      </w:r>
      <w:proofErr w:type="spellEnd"/>
      <w:r>
        <w:rPr>
          <w:sz w:val="20"/>
          <w:szCs w:val="20"/>
          <w:lang w:val="es-AR"/>
        </w:rPr>
        <w:t xml:space="preserve"> frente a </w:t>
      </w:r>
      <w:r w:rsidR="00955DD0">
        <w:rPr>
          <w:sz w:val="20"/>
          <w:szCs w:val="20"/>
          <w:lang w:val="es-AR"/>
        </w:rPr>
        <w:t>7</w:t>
      </w:r>
      <w:r w:rsidR="00354987">
        <w:rPr>
          <w:sz w:val="20"/>
          <w:szCs w:val="20"/>
          <w:lang w:val="es-AR"/>
        </w:rPr>
        <w:t>.</w:t>
      </w:r>
      <w:r w:rsidR="00473E4E">
        <w:rPr>
          <w:sz w:val="20"/>
          <w:szCs w:val="20"/>
          <w:lang w:val="es-AR"/>
        </w:rPr>
        <w:t xml:space="preserve">813 </w:t>
      </w:r>
      <w:proofErr w:type="spellStart"/>
      <w:r>
        <w:rPr>
          <w:sz w:val="20"/>
          <w:szCs w:val="20"/>
          <w:lang w:val="es-AR"/>
        </w:rPr>
        <w:t>MBOE</w:t>
      </w:r>
      <w:proofErr w:type="spellEnd"/>
      <w:r>
        <w:rPr>
          <w:sz w:val="20"/>
          <w:szCs w:val="20"/>
          <w:lang w:val="es-AR"/>
        </w:rPr>
        <w:t xml:space="preserve"> </w:t>
      </w:r>
      <w:r w:rsidR="00D02CA9">
        <w:rPr>
          <w:sz w:val="20"/>
          <w:szCs w:val="20"/>
          <w:lang w:val="es-AR"/>
        </w:rPr>
        <w:t xml:space="preserve">evaluadas por </w:t>
      </w:r>
      <w:proofErr w:type="spellStart"/>
      <w:r w:rsidR="00473E4E">
        <w:rPr>
          <w:sz w:val="20"/>
          <w:szCs w:val="20"/>
          <w:lang w:val="es-AR"/>
        </w:rPr>
        <w:t>Sproule</w:t>
      </w:r>
      <w:proofErr w:type="spellEnd"/>
      <w:r w:rsidR="00D02CA9">
        <w:rPr>
          <w:sz w:val="20"/>
          <w:szCs w:val="20"/>
          <w:lang w:val="es-AR"/>
        </w:rPr>
        <w:t xml:space="preserve"> </w:t>
      </w:r>
      <w:r w:rsidR="005766DD">
        <w:rPr>
          <w:sz w:val="20"/>
          <w:szCs w:val="20"/>
          <w:lang w:val="es-AR"/>
        </w:rPr>
        <w:t>e</w:t>
      </w:r>
      <w:r w:rsidR="00D02CA9">
        <w:rPr>
          <w:sz w:val="20"/>
          <w:szCs w:val="20"/>
          <w:lang w:val="es-AR"/>
        </w:rPr>
        <w:t xml:space="preserve">n su informe </w:t>
      </w:r>
      <w:r w:rsidR="00473E4E">
        <w:rPr>
          <w:sz w:val="20"/>
          <w:szCs w:val="20"/>
          <w:lang w:val="es-AR"/>
        </w:rPr>
        <w:t xml:space="preserve">del </w:t>
      </w:r>
      <w:r>
        <w:rPr>
          <w:sz w:val="20"/>
          <w:szCs w:val="20"/>
          <w:lang w:val="es-AR"/>
        </w:rPr>
        <w:t xml:space="preserve">31 de diciembre de </w:t>
      </w:r>
      <w:r w:rsidR="00473E4E">
        <w:rPr>
          <w:sz w:val="20"/>
          <w:szCs w:val="20"/>
          <w:lang w:val="es-AR"/>
        </w:rPr>
        <w:t>2023</w:t>
      </w:r>
      <w:r>
        <w:rPr>
          <w:sz w:val="20"/>
          <w:szCs w:val="20"/>
          <w:lang w:val="es-AR"/>
        </w:rPr>
        <w:t>. Est</w:t>
      </w:r>
      <w:r w:rsidR="00473E4E">
        <w:rPr>
          <w:sz w:val="20"/>
          <w:szCs w:val="20"/>
          <w:lang w:val="es-AR"/>
        </w:rPr>
        <w:t>e</w:t>
      </w:r>
      <w:r>
        <w:rPr>
          <w:sz w:val="20"/>
          <w:szCs w:val="20"/>
          <w:lang w:val="es-AR"/>
        </w:rPr>
        <w:t xml:space="preserve"> </w:t>
      </w:r>
      <w:r w:rsidR="00473E4E">
        <w:rPr>
          <w:sz w:val="20"/>
          <w:szCs w:val="20"/>
          <w:lang w:val="es-AR"/>
        </w:rPr>
        <w:t xml:space="preserve">aumento </w:t>
      </w:r>
      <w:r w:rsidR="00354987">
        <w:rPr>
          <w:sz w:val="20"/>
          <w:szCs w:val="20"/>
          <w:lang w:val="es-AR"/>
        </w:rPr>
        <w:t xml:space="preserve">en las reservas 2P </w:t>
      </w:r>
      <w:r>
        <w:rPr>
          <w:sz w:val="20"/>
          <w:szCs w:val="20"/>
          <w:lang w:val="es-AR"/>
        </w:rPr>
        <w:t>es atribuible a</w:t>
      </w:r>
      <w:r w:rsidR="00473E4E">
        <w:rPr>
          <w:sz w:val="20"/>
          <w:szCs w:val="20"/>
          <w:lang w:val="es-AR"/>
        </w:rPr>
        <w:t xml:space="preserve"> la adquisición previamente informada de una participación operativa del 100% en las concesiones Koluel Kaike y Piedra Clavada</w:t>
      </w:r>
      <w:r w:rsidR="00C700E3">
        <w:rPr>
          <w:sz w:val="20"/>
          <w:szCs w:val="20"/>
          <w:lang w:val="es-AR"/>
        </w:rPr>
        <w:t>,</w:t>
      </w:r>
      <w:r w:rsidR="00473E4E">
        <w:rPr>
          <w:sz w:val="20"/>
          <w:szCs w:val="20"/>
          <w:lang w:val="es-AR"/>
        </w:rPr>
        <w:t xml:space="preserve"> </w:t>
      </w:r>
      <w:r w:rsidR="00473E4E" w:rsidRPr="008F2F4C">
        <w:rPr>
          <w:sz w:val="20"/>
          <w:szCs w:val="20"/>
          <w:lang w:val="es-AR"/>
        </w:rPr>
        <w:t xml:space="preserve">que se cerró el 1º de noviembre de 2024, </w:t>
      </w:r>
      <w:r w:rsidR="00955DD0" w:rsidRPr="008F2F4C">
        <w:rPr>
          <w:sz w:val="20"/>
          <w:szCs w:val="20"/>
          <w:lang w:val="es-AR"/>
        </w:rPr>
        <w:t>compensada</w:t>
      </w:r>
      <w:r w:rsidRPr="008F2F4C">
        <w:rPr>
          <w:sz w:val="20"/>
          <w:szCs w:val="20"/>
          <w:lang w:val="es-AR"/>
        </w:rPr>
        <w:t xml:space="preserve">, en parte, </w:t>
      </w:r>
      <w:r w:rsidR="00C700E3" w:rsidRPr="008F2F4C">
        <w:rPr>
          <w:sz w:val="20"/>
          <w:szCs w:val="20"/>
          <w:lang w:val="es-AR"/>
        </w:rPr>
        <w:t xml:space="preserve">por </w:t>
      </w:r>
      <w:r w:rsidR="00473E4E" w:rsidRPr="008F2F4C">
        <w:rPr>
          <w:sz w:val="20"/>
          <w:szCs w:val="20"/>
          <w:lang w:val="es-AR"/>
        </w:rPr>
        <w:t xml:space="preserve">la producción de 2024 de 677 </w:t>
      </w:r>
      <w:proofErr w:type="spellStart"/>
      <w:r w:rsidR="00473E4E" w:rsidRPr="008F2F4C">
        <w:rPr>
          <w:sz w:val="20"/>
          <w:szCs w:val="20"/>
          <w:lang w:val="es-AR"/>
        </w:rPr>
        <w:t>MBO</w:t>
      </w:r>
      <w:r w:rsidR="0082298B" w:rsidRPr="008F2F4C">
        <w:rPr>
          <w:sz w:val="20"/>
          <w:szCs w:val="20"/>
          <w:lang w:val="es-AR"/>
        </w:rPr>
        <w:t>E</w:t>
      </w:r>
      <w:proofErr w:type="spellEnd"/>
      <w:r w:rsidR="00473E4E" w:rsidRPr="008F2F4C">
        <w:rPr>
          <w:sz w:val="20"/>
          <w:szCs w:val="20"/>
          <w:lang w:val="es-AR"/>
        </w:rPr>
        <w:t>.</w:t>
      </w:r>
    </w:p>
    <w:p w:rsidR="003A2F45" w:rsidRPr="00870D01" w:rsidRDefault="003A2F45" w:rsidP="003A2F45">
      <w:pPr>
        <w:tabs>
          <w:tab w:val="left" w:pos="1440"/>
        </w:tabs>
        <w:spacing w:before="120" w:line="240" w:lineRule="atLeast"/>
        <w:jc w:val="both"/>
        <w:rPr>
          <w:sz w:val="20"/>
          <w:szCs w:val="20"/>
          <w:lang w:val="es-ES_tradnl"/>
        </w:rPr>
      </w:pPr>
      <w:r>
        <w:rPr>
          <w:sz w:val="20"/>
          <w:szCs w:val="20"/>
          <w:lang w:val="es-AR"/>
        </w:rPr>
        <w:t xml:space="preserve">El valor presente neto estimado antes de impuestos de las reservas 2P de la Compañía al 31 de diciembre de </w:t>
      </w:r>
      <w:r w:rsidR="00473E4E">
        <w:rPr>
          <w:sz w:val="20"/>
          <w:szCs w:val="20"/>
          <w:lang w:val="es-AR"/>
        </w:rPr>
        <w:t xml:space="preserve">2024 </w:t>
      </w:r>
      <w:r>
        <w:rPr>
          <w:sz w:val="20"/>
          <w:szCs w:val="20"/>
          <w:lang w:val="es-AR"/>
        </w:rPr>
        <w:t>(descontado al 10%) fue de $</w:t>
      </w:r>
      <w:r w:rsidR="00473E4E">
        <w:rPr>
          <w:sz w:val="20"/>
          <w:szCs w:val="20"/>
          <w:lang w:val="es-AR"/>
        </w:rPr>
        <w:t>358,9</w:t>
      </w:r>
      <w:r>
        <w:rPr>
          <w:sz w:val="20"/>
          <w:szCs w:val="20"/>
          <w:lang w:val="es-AR"/>
        </w:rPr>
        <w:t xml:space="preserve"> millones, en comparación con $</w:t>
      </w:r>
      <w:r w:rsidR="00473E4E">
        <w:rPr>
          <w:sz w:val="20"/>
          <w:szCs w:val="20"/>
          <w:lang w:val="es-AR"/>
        </w:rPr>
        <w:t>74,6</w:t>
      </w:r>
      <w:r>
        <w:rPr>
          <w:sz w:val="20"/>
          <w:szCs w:val="20"/>
          <w:lang w:val="es-AR"/>
        </w:rPr>
        <w:t xml:space="preserve"> millones al 31 de diciembre de </w:t>
      </w:r>
      <w:r w:rsidR="00473E4E">
        <w:rPr>
          <w:sz w:val="20"/>
          <w:szCs w:val="20"/>
          <w:lang w:val="es-AR"/>
        </w:rPr>
        <w:t>2023</w:t>
      </w:r>
      <w:r>
        <w:rPr>
          <w:sz w:val="20"/>
          <w:szCs w:val="20"/>
          <w:lang w:val="es-AR"/>
        </w:rPr>
        <w:t>. El incremento del valor presente neto antes de impuestos obedece a</w:t>
      </w:r>
      <w:r w:rsidR="00473E4E">
        <w:rPr>
          <w:sz w:val="20"/>
          <w:szCs w:val="20"/>
          <w:lang w:val="es-AR"/>
        </w:rPr>
        <w:t xml:space="preserve"> las adquisiciones mencionadas anteriormente junto con un</w:t>
      </w:r>
      <w:r w:rsidR="004367FD">
        <w:rPr>
          <w:sz w:val="20"/>
          <w:szCs w:val="20"/>
          <w:lang w:val="es-AR"/>
        </w:rPr>
        <w:t xml:space="preserve"> aumento en los precios del petróleo y gas </w:t>
      </w:r>
      <w:r w:rsidR="00473E4E">
        <w:rPr>
          <w:sz w:val="20"/>
          <w:szCs w:val="20"/>
          <w:lang w:val="es-AR"/>
        </w:rPr>
        <w:t xml:space="preserve">internos </w:t>
      </w:r>
      <w:r w:rsidR="004367FD">
        <w:rPr>
          <w:sz w:val="20"/>
          <w:szCs w:val="20"/>
          <w:lang w:val="es-AR"/>
        </w:rPr>
        <w:t xml:space="preserve">como consecuencia de la normalización </w:t>
      </w:r>
      <w:r w:rsidR="00473E4E">
        <w:rPr>
          <w:sz w:val="20"/>
          <w:szCs w:val="20"/>
          <w:lang w:val="es-AR"/>
        </w:rPr>
        <w:t xml:space="preserve">en curso </w:t>
      </w:r>
      <w:r w:rsidR="004367FD">
        <w:rPr>
          <w:sz w:val="20"/>
          <w:szCs w:val="20"/>
          <w:lang w:val="es-AR"/>
        </w:rPr>
        <w:t>del mercado en Argentina.</w:t>
      </w:r>
    </w:p>
    <w:p w:rsidR="006E2E70" w:rsidRPr="00870D01" w:rsidRDefault="006E2E70" w:rsidP="00C35452">
      <w:pPr>
        <w:tabs>
          <w:tab w:val="left" w:pos="1440"/>
        </w:tabs>
        <w:spacing w:before="120" w:line="240" w:lineRule="atLeast"/>
        <w:jc w:val="both"/>
        <w:rPr>
          <w:sz w:val="20"/>
          <w:szCs w:val="20"/>
          <w:lang w:val="es-ES_tradnl"/>
        </w:rPr>
      </w:pPr>
      <w:r>
        <w:rPr>
          <w:sz w:val="20"/>
          <w:szCs w:val="20"/>
          <w:lang w:val="es-AR"/>
        </w:rPr>
        <w:t xml:space="preserve">Aproximadamente el </w:t>
      </w:r>
      <w:r w:rsidR="00473E4E">
        <w:rPr>
          <w:sz w:val="20"/>
          <w:szCs w:val="20"/>
          <w:lang w:val="es-AR"/>
        </w:rPr>
        <w:t>44</w:t>
      </w:r>
      <w:r>
        <w:rPr>
          <w:sz w:val="20"/>
          <w:szCs w:val="20"/>
          <w:lang w:val="es-AR"/>
        </w:rPr>
        <w:t xml:space="preserve">% del valor presente neto antes de impuestos de las reservas 2P de la Compañía (descontado al 10%) se clasifica como reservas “desarrolladas en producción” y </w:t>
      </w:r>
      <w:r>
        <w:rPr>
          <w:sz w:val="20"/>
          <w:szCs w:val="20"/>
          <w:lang w:val="es-AR"/>
        </w:rPr>
        <w:lastRenderedPageBreak/>
        <w:t xml:space="preserve">el valor presente neto antes de impuestos del ingreso neto futuro relacionado con las reservas probadas totales de la Compañía (descontado al 10%) representa aproximadamente el </w:t>
      </w:r>
      <w:r w:rsidR="00473E4E">
        <w:rPr>
          <w:sz w:val="20"/>
          <w:szCs w:val="20"/>
          <w:lang w:val="es-AR"/>
        </w:rPr>
        <w:t>62</w:t>
      </w:r>
      <w:r>
        <w:rPr>
          <w:sz w:val="20"/>
          <w:szCs w:val="20"/>
          <w:lang w:val="es-AR"/>
        </w:rPr>
        <w:t xml:space="preserve">% del valor presente neto antes de impuestos del ingreso neto </w:t>
      </w:r>
      <w:r w:rsidR="00825CEA">
        <w:rPr>
          <w:sz w:val="20"/>
          <w:szCs w:val="20"/>
          <w:lang w:val="es-AR"/>
        </w:rPr>
        <w:t xml:space="preserve">futuro </w:t>
      </w:r>
      <w:r>
        <w:rPr>
          <w:sz w:val="20"/>
          <w:szCs w:val="20"/>
          <w:lang w:val="es-AR"/>
        </w:rPr>
        <w:t xml:space="preserve">de la Compañía relacionado con todas sus reservas 2P. El crudo representa aproximadamente el </w:t>
      </w:r>
      <w:r w:rsidR="00473E4E">
        <w:rPr>
          <w:sz w:val="20"/>
          <w:szCs w:val="20"/>
          <w:lang w:val="es-AR"/>
        </w:rPr>
        <w:t>97</w:t>
      </w:r>
      <w:r>
        <w:rPr>
          <w:sz w:val="20"/>
          <w:szCs w:val="20"/>
          <w:lang w:val="es-AR"/>
        </w:rPr>
        <w:t xml:space="preserve">% de las reservas 2P brutas de la Compañía al 31 de diciembre de </w:t>
      </w:r>
      <w:r w:rsidR="00473E4E">
        <w:rPr>
          <w:sz w:val="20"/>
          <w:szCs w:val="20"/>
          <w:lang w:val="es-AR"/>
        </w:rPr>
        <w:t xml:space="preserve">2024 </w:t>
      </w:r>
      <w:r>
        <w:rPr>
          <w:sz w:val="20"/>
          <w:szCs w:val="20"/>
          <w:lang w:val="es-AR"/>
        </w:rPr>
        <w:t xml:space="preserve">frente al </w:t>
      </w:r>
      <w:r w:rsidR="00473E4E">
        <w:rPr>
          <w:sz w:val="20"/>
          <w:szCs w:val="20"/>
          <w:lang w:val="es-AR"/>
        </w:rPr>
        <w:t>83</w:t>
      </w:r>
      <w:r>
        <w:rPr>
          <w:sz w:val="20"/>
          <w:szCs w:val="20"/>
          <w:lang w:val="es-AR"/>
        </w:rPr>
        <w:t xml:space="preserve">% al 31 de diciembre de </w:t>
      </w:r>
      <w:r w:rsidR="00473E4E">
        <w:rPr>
          <w:sz w:val="20"/>
          <w:szCs w:val="20"/>
          <w:lang w:val="es-AR"/>
        </w:rPr>
        <w:t>2023</w:t>
      </w:r>
      <w:r>
        <w:rPr>
          <w:sz w:val="20"/>
          <w:szCs w:val="20"/>
          <w:lang w:val="es-AR"/>
        </w:rPr>
        <w:t xml:space="preserve">, mientras que </w:t>
      </w:r>
      <w:r w:rsidR="00C700E3">
        <w:rPr>
          <w:sz w:val="20"/>
          <w:szCs w:val="20"/>
          <w:lang w:val="es-AR"/>
        </w:rPr>
        <w:t xml:space="preserve">el gas natural y los </w:t>
      </w:r>
      <w:r w:rsidR="00473E4E">
        <w:rPr>
          <w:sz w:val="20"/>
          <w:szCs w:val="20"/>
          <w:lang w:val="es-AR"/>
        </w:rPr>
        <w:t xml:space="preserve">líquidos de </w:t>
      </w:r>
      <w:r>
        <w:rPr>
          <w:sz w:val="20"/>
          <w:szCs w:val="20"/>
          <w:lang w:val="es-AR"/>
        </w:rPr>
        <w:t>gas natural representa</w:t>
      </w:r>
      <w:r w:rsidR="00473E4E">
        <w:rPr>
          <w:sz w:val="20"/>
          <w:szCs w:val="20"/>
          <w:lang w:val="es-AR"/>
        </w:rPr>
        <w:t>n</w:t>
      </w:r>
      <w:r>
        <w:rPr>
          <w:sz w:val="20"/>
          <w:szCs w:val="20"/>
          <w:lang w:val="es-AR"/>
        </w:rPr>
        <w:t xml:space="preserve"> </w:t>
      </w:r>
      <w:r w:rsidR="004F2349">
        <w:rPr>
          <w:sz w:val="20"/>
          <w:szCs w:val="20"/>
          <w:lang w:val="es-AR"/>
        </w:rPr>
        <w:t xml:space="preserve">el </w:t>
      </w:r>
      <w:r w:rsidR="00473E4E">
        <w:rPr>
          <w:sz w:val="20"/>
          <w:szCs w:val="20"/>
          <w:lang w:val="es-AR"/>
        </w:rPr>
        <w:t>3</w:t>
      </w:r>
      <w:r>
        <w:rPr>
          <w:sz w:val="20"/>
          <w:szCs w:val="20"/>
          <w:lang w:val="es-AR"/>
        </w:rPr>
        <w:t xml:space="preserve">% </w:t>
      </w:r>
      <w:r w:rsidR="0063777D">
        <w:rPr>
          <w:sz w:val="20"/>
          <w:szCs w:val="20"/>
          <w:lang w:val="es-AR"/>
        </w:rPr>
        <w:t xml:space="preserve">restante </w:t>
      </w:r>
      <w:r>
        <w:rPr>
          <w:sz w:val="20"/>
          <w:szCs w:val="20"/>
          <w:lang w:val="es-AR"/>
        </w:rPr>
        <w:t xml:space="preserve">de las reservas 2P brutas de la Compañía </w:t>
      </w:r>
      <w:r w:rsidR="004F2349">
        <w:rPr>
          <w:sz w:val="20"/>
          <w:szCs w:val="20"/>
          <w:lang w:val="es-AR"/>
        </w:rPr>
        <w:t xml:space="preserve">al 31 de diciembre de </w:t>
      </w:r>
      <w:r w:rsidR="00555804">
        <w:rPr>
          <w:sz w:val="20"/>
          <w:szCs w:val="20"/>
          <w:lang w:val="es-AR"/>
        </w:rPr>
        <w:t xml:space="preserve">2024 </w:t>
      </w:r>
      <w:r>
        <w:rPr>
          <w:sz w:val="20"/>
          <w:szCs w:val="20"/>
          <w:lang w:val="es-AR"/>
        </w:rPr>
        <w:t xml:space="preserve">frente al </w:t>
      </w:r>
      <w:r w:rsidR="00555804">
        <w:rPr>
          <w:sz w:val="20"/>
          <w:szCs w:val="20"/>
          <w:lang w:val="es-AR"/>
        </w:rPr>
        <w:t>17</w:t>
      </w:r>
      <w:r>
        <w:rPr>
          <w:sz w:val="20"/>
          <w:szCs w:val="20"/>
          <w:lang w:val="es-AR"/>
        </w:rPr>
        <w:t xml:space="preserve">% al 31 de diciembre de </w:t>
      </w:r>
      <w:r w:rsidR="00555804">
        <w:rPr>
          <w:sz w:val="20"/>
          <w:szCs w:val="20"/>
          <w:lang w:val="es-AR"/>
        </w:rPr>
        <w:t>2023</w:t>
      </w:r>
      <w:r>
        <w:rPr>
          <w:sz w:val="20"/>
          <w:szCs w:val="20"/>
          <w:lang w:val="es-AR"/>
        </w:rPr>
        <w:t>.</w:t>
      </w:r>
    </w:p>
    <w:p w:rsidR="00D57427" w:rsidRPr="00870D01" w:rsidRDefault="00D57427" w:rsidP="004E3226">
      <w:pPr>
        <w:tabs>
          <w:tab w:val="left" w:pos="1440"/>
        </w:tabs>
        <w:spacing w:before="120" w:line="240" w:lineRule="atLeast"/>
        <w:jc w:val="both"/>
        <w:rPr>
          <w:sz w:val="20"/>
          <w:szCs w:val="20"/>
          <w:lang w:val="es-ES_tradnl"/>
        </w:rPr>
      </w:pPr>
    </w:p>
    <w:p w:rsidR="00CD4697" w:rsidRPr="00870D01" w:rsidRDefault="00CD4697" w:rsidP="00CD4697">
      <w:pPr>
        <w:pStyle w:val="Textoindependiente"/>
        <w:keepNext/>
        <w:keepLines/>
        <w:rPr>
          <w:rFonts w:ascii="Verdana" w:hAnsi="Verdana"/>
          <w:sz w:val="20"/>
          <w:szCs w:val="20"/>
          <w:lang w:val="es-ES_tradnl"/>
        </w:rPr>
      </w:pPr>
      <w:r>
        <w:rPr>
          <w:rFonts w:ascii="Verdana" w:hAnsi="Verdana"/>
          <w:sz w:val="20"/>
          <w:szCs w:val="20"/>
          <w:lang w:val="es-AR"/>
        </w:rPr>
        <w:t xml:space="preserve">El siguiente cuadro presenta, para cada tipo de producto, los supuestos de precios utilizados por </w:t>
      </w:r>
      <w:r w:rsidR="00E20332">
        <w:rPr>
          <w:rFonts w:ascii="Verdana" w:hAnsi="Verdana"/>
          <w:sz w:val="20"/>
          <w:szCs w:val="20"/>
          <w:lang w:val="es-AR"/>
        </w:rPr>
        <w:t xml:space="preserve">Sproule </w:t>
      </w:r>
      <w:r>
        <w:rPr>
          <w:rFonts w:ascii="Verdana" w:hAnsi="Verdana"/>
          <w:sz w:val="20"/>
          <w:szCs w:val="20"/>
          <w:lang w:val="es-AR"/>
        </w:rPr>
        <w:t xml:space="preserve">para calcular los datos de reservas aquí presentados al 31 de diciembre de </w:t>
      </w:r>
      <w:r w:rsidR="00555804">
        <w:rPr>
          <w:rFonts w:ascii="Verdana" w:hAnsi="Verdana"/>
          <w:sz w:val="20"/>
          <w:szCs w:val="20"/>
          <w:lang w:val="es-AR"/>
        </w:rPr>
        <w:t>2024</w:t>
      </w:r>
      <w:r>
        <w:rPr>
          <w:rFonts w:ascii="Verdana" w:hAnsi="Verdana"/>
          <w:sz w:val="20"/>
          <w:szCs w:val="20"/>
          <w:lang w:val="es-AR"/>
        </w:rPr>
        <w:t>.</w:t>
      </w:r>
    </w:p>
    <w:p w:rsidR="007E75DC" w:rsidRPr="00870D01" w:rsidRDefault="007E75DC" w:rsidP="007E75DC">
      <w:pPr>
        <w:pStyle w:val="SecurityCont2"/>
        <w:keepNext/>
        <w:spacing w:after="0"/>
        <w:jc w:val="center"/>
        <w:rPr>
          <w:rFonts w:ascii="Verdana" w:hAnsi="Verdana" w:cs="Arial"/>
          <w:b/>
          <w:sz w:val="18"/>
          <w:szCs w:val="18"/>
          <w:lang w:val="es-ES_tradnl"/>
        </w:rPr>
      </w:pPr>
      <w:r>
        <w:rPr>
          <w:rFonts w:ascii="Verdana" w:hAnsi="Verdana" w:cs="Arial"/>
          <w:b/>
          <w:bCs/>
          <w:sz w:val="18"/>
          <w:szCs w:val="18"/>
          <w:lang w:val="es-AR"/>
        </w:rPr>
        <w:t>RESUMEN DE SUPUESTOS DE</w:t>
      </w:r>
      <w:bookmarkStart w:id="1" w:name="_GoBack"/>
      <w:bookmarkEnd w:id="1"/>
      <w:r>
        <w:rPr>
          <w:rFonts w:ascii="Verdana" w:hAnsi="Verdana" w:cs="Arial"/>
          <w:b/>
          <w:bCs/>
          <w:sz w:val="18"/>
          <w:szCs w:val="18"/>
          <w:lang w:val="es-AR"/>
        </w:rPr>
        <w:t xml:space="preserve"> PRECIOS Y TASAS DE INFLACIÓN</w:t>
      </w:r>
    </w:p>
    <w:p w:rsidR="007E75DC" w:rsidRDefault="007E75DC" w:rsidP="007E75DC">
      <w:pPr>
        <w:pStyle w:val="SecurityCont2"/>
        <w:keepNext/>
        <w:jc w:val="center"/>
        <w:rPr>
          <w:rFonts w:ascii="Verdana" w:hAnsi="Verdana" w:cs="Arial"/>
          <w:b/>
          <w:bCs/>
          <w:sz w:val="18"/>
          <w:szCs w:val="18"/>
          <w:lang w:val="es-AR"/>
        </w:rPr>
      </w:pPr>
      <w:r>
        <w:rPr>
          <w:rFonts w:ascii="Verdana" w:hAnsi="Verdana" w:cs="Arial"/>
          <w:b/>
          <w:bCs/>
          <w:sz w:val="18"/>
          <w:szCs w:val="18"/>
          <w:lang w:val="es-AR"/>
        </w:rPr>
        <w:t xml:space="preserve">AL 31 DE DICIEMBRE DE </w:t>
      </w:r>
      <w:r w:rsidR="00555804">
        <w:rPr>
          <w:rFonts w:ascii="Verdana" w:hAnsi="Verdana" w:cs="Arial"/>
          <w:b/>
          <w:bCs/>
          <w:sz w:val="18"/>
          <w:szCs w:val="18"/>
          <w:lang w:val="es-AR"/>
        </w:rPr>
        <w:t xml:space="preserve">2024 </w:t>
      </w:r>
      <w:r>
        <w:rPr>
          <w:rFonts w:ascii="Verdana" w:hAnsi="Verdana" w:cs="Arial"/>
          <w:b/>
          <w:bCs/>
          <w:sz w:val="18"/>
          <w:szCs w:val="18"/>
          <w:lang w:val="es-AR"/>
        </w:rPr>
        <w:t>(precios y costos proyectados)</w:t>
      </w:r>
    </w:p>
    <w:tbl>
      <w:tblPr>
        <w:tblW w:w="5000" w:type="pct"/>
        <w:tblLayout w:type="fixed"/>
        <w:tblLook w:val="0000" w:firstRow="0" w:lastRow="0" w:firstColumn="0" w:lastColumn="0" w:noHBand="0" w:noVBand="0"/>
      </w:tblPr>
      <w:tblGrid>
        <w:gridCol w:w="1178"/>
        <w:gridCol w:w="1177"/>
        <w:gridCol w:w="1177"/>
        <w:gridCol w:w="1176"/>
        <w:gridCol w:w="1176"/>
        <w:gridCol w:w="1224"/>
        <w:gridCol w:w="1127"/>
        <w:gridCol w:w="1125"/>
      </w:tblGrid>
      <w:tr w:rsidR="00555804" w:rsidRPr="002034F8" w:rsidTr="005C2415">
        <w:tc>
          <w:tcPr>
            <w:tcW w:w="629" w:type="pct"/>
            <w:tcBorders>
              <w:top w:val="nil"/>
              <w:left w:val="nil"/>
              <w:bottom w:val="nil"/>
              <w:right w:val="nil"/>
            </w:tcBorders>
            <w:vAlign w:val="bottom"/>
          </w:tcPr>
          <w:p w:rsidR="00555804" w:rsidRPr="002034F8" w:rsidRDefault="00555804" w:rsidP="00555804">
            <w:pPr>
              <w:pStyle w:val="SecurityCont2"/>
              <w:keepNext/>
              <w:pBdr>
                <w:bottom w:val="single" w:sz="4" w:space="1" w:color="auto"/>
              </w:pBdr>
              <w:spacing w:after="0"/>
              <w:jc w:val="center"/>
              <w:rPr>
                <w:rFonts w:ascii="Verdana" w:hAnsi="Verdana" w:cstheme="minorHAnsi"/>
                <w:b/>
                <w:sz w:val="18"/>
                <w:szCs w:val="18"/>
              </w:rPr>
            </w:pPr>
            <w:r>
              <w:rPr>
                <w:rFonts w:ascii="Verdana" w:hAnsi="Verdana" w:cstheme="minorHAnsi"/>
                <w:b/>
                <w:sz w:val="18"/>
                <w:szCs w:val="18"/>
              </w:rPr>
              <w:t>Año</w:t>
            </w:r>
          </w:p>
        </w:tc>
        <w:tc>
          <w:tcPr>
            <w:tcW w:w="629" w:type="pct"/>
            <w:tcBorders>
              <w:top w:val="nil"/>
              <w:left w:val="nil"/>
              <w:bottom w:val="nil"/>
              <w:right w:val="nil"/>
            </w:tcBorders>
            <w:vAlign w:val="bottom"/>
          </w:tcPr>
          <w:p w:rsidR="00555804" w:rsidRPr="00870D01" w:rsidRDefault="00555804" w:rsidP="00555804">
            <w:pPr>
              <w:pStyle w:val="SecurityCont2"/>
              <w:keepNext/>
              <w:pBdr>
                <w:bottom w:val="single" w:sz="4" w:space="1" w:color="auto"/>
              </w:pBdr>
              <w:spacing w:after="0"/>
              <w:jc w:val="center"/>
              <w:rPr>
                <w:rFonts w:ascii="Verdana" w:hAnsi="Verdana" w:cs="Arial"/>
                <w:b/>
                <w:sz w:val="18"/>
                <w:szCs w:val="18"/>
                <w:vertAlign w:val="superscript"/>
                <w:lang w:val="es-ES_tradnl"/>
              </w:rPr>
            </w:pPr>
            <w:r>
              <w:rPr>
                <w:rFonts w:ascii="Verdana" w:hAnsi="Verdana" w:cs="Arial"/>
                <w:b/>
                <w:bCs/>
                <w:sz w:val="18"/>
                <w:szCs w:val="18"/>
                <w:lang w:val="es-AR"/>
              </w:rPr>
              <w:t>Precio del crudo Brent</w:t>
            </w:r>
            <w:r>
              <w:rPr>
                <w:rFonts w:ascii="Verdana" w:hAnsi="Verdana" w:cs="Arial"/>
                <w:b/>
                <w:bCs/>
                <w:sz w:val="18"/>
                <w:szCs w:val="18"/>
                <w:vertAlign w:val="superscript"/>
                <w:lang w:val="es-AR"/>
              </w:rPr>
              <w:t>(1)</w:t>
            </w:r>
          </w:p>
          <w:p w:rsidR="00555804" w:rsidRPr="008F2F4C" w:rsidRDefault="00555804" w:rsidP="00555804">
            <w:pPr>
              <w:pStyle w:val="SecurityCont2"/>
              <w:keepNext/>
              <w:pBdr>
                <w:bottom w:val="single" w:sz="4" w:space="1" w:color="auto"/>
              </w:pBdr>
              <w:spacing w:after="0"/>
              <w:jc w:val="center"/>
              <w:rPr>
                <w:rFonts w:ascii="Verdana" w:hAnsi="Verdana" w:cstheme="minorHAnsi"/>
                <w:b/>
                <w:sz w:val="18"/>
                <w:szCs w:val="18"/>
                <w:lang w:val="es-ES_tradnl"/>
              </w:rPr>
            </w:pPr>
            <w:r>
              <w:rPr>
                <w:rFonts w:ascii="Verdana" w:hAnsi="Verdana" w:cs="Arial"/>
                <w:b/>
                <w:bCs/>
                <w:sz w:val="18"/>
                <w:szCs w:val="18"/>
                <w:lang w:val="es-AR"/>
              </w:rPr>
              <w:t>US$/bbl</w:t>
            </w:r>
          </w:p>
        </w:tc>
        <w:tc>
          <w:tcPr>
            <w:tcW w:w="629" w:type="pct"/>
            <w:tcBorders>
              <w:top w:val="nil"/>
              <w:left w:val="nil"/>
              <w:bottom w:val="nil"/>
              <w:right w:val="nil"/>
            </w:tcBorders>
            <w:vAlign w:val="bottom"/>
          </w:tcPr>
          <w:p w:rsidR="00555804" w:rsidRPr="00870D01" w:rsidRDefault="00555804" w:rsidP="00555804">
            <w:pPr>
              <w:pStyle w:val="SecurityCont2"/>
              <w:keepNext/>
              <w:pBdr>
                <w:bottom w:val="single" w:sz="4" w:space="1" w:color="auto"/>
              </w:pBdr>
              <w:spacing w:after="0"/>
              <w:jc w:val="center"/>
              <w:rPr>
                <w:rFonts w:ascii="Verdana" w:hAnsi="Verdana" w:cs="Arial"/>
                <w:b/>
                <w:sz w:val="18"/>
                <w:szCs w:val="18"/>
                <w:lang w:val="es-ES_tradnl"/>
              </w:rPr>
            </w:pPr>
            <w:r>
              <w:rPr>
                <w:rFonts w:ascii="Verdana" w:hAnsi="Verdana" w:cs="Arial"/>
                <w:b/>
                <w:bCs/>
                <w:sz w:val="18"/>
                <w:szCs w:val="18"/>
                <w:lang w:val="es-AR"/>
              </w:rPr>
              <w:t>Precio del crudo TDF</w:t>
            </w:r>
            <w:r>
              <w:rPr>
                <w:rFonts w:ascii="Verdana" w:hAnsi="Verdana" w:cs="Arial"/>
                <w:b/>
                <w:bCs/>
                <w:sz w:val="18"/>
                <w:szCs w:val="18"/>
                <w:vertAlign w:val="superscript"/>
                <w:lang w:val="es-AR"/>
              </w:rPr>
              <w:t>(2)</w:t>
            </w:r>
          </w:p>
          <w:p w:rsidR="00555804" w:rsidRPr="008F2F4C" w:rsidRDefault="00555804" w:rsidP="00555804">
            <w:pPr>
              <w:pStyle w:val="SecurityCont2"/>
              <w:keepNext/>
              <w:pBdr>
                <w:bottom w:val="single" w:sz="4" w:space="1" w:color="auto"/>
              </w:pBdr>
              <w:spacing w:after="0"/>
              <w:jc w:val="center"/>
              <w:rPr>
                <w:rFonts w:ascii="Verdana" w:hAnsi="Verdana" w:cstheme="minorHAnsi"/>
                <w:b/>
                <w:sz w:val="18"/>
                <w:szCs w:val="18"/>
                <w:lang w:val="es-ES_tradnl"/>
              </w:rPr>
            </w:pPr>
            <w:r>
              <w:rPr>
                <w:rFonts w:ascii="Verdana" w:hAnsi="Verdana" w:cs="Arial"/>
                <w:b/>
                <w:bCs/>
                <w:sz w:val="18"/>
                <w:szCs w:val="18"/>
                <w:lang w:val="es-AR"/>
              </w:rPr>
              <w:t>US$/bbl</w:t>
            </w:r>
          </w:p>
        </w:tc>
        <w:tc>
          <w:tcPr>
            <w:tcW w:w="628" w:type="pct"/>
            <w:tcBorders>
              <w:top w:val="nil"/>
              <w:left w:val="nil"/>
              <w:bottom w:val="nil"/>
              <w:right w:val="nil"/>
            </w:tcBorders>
            <w:vAlign w:val="bottom"/>
          </w:tcPr>
          <w:p w:rsidR="00555804" w:rsidRPr="00870D01" w:rsidRDefault="00555804" w:rsidP="00555804">
            <w:pPr>
              <w:pStyle w:val="SecurityCont2"/>
              <w:keepNext/>
              <w:pBdr>
                <w:bottom w:val="single" w:sz="4" w:space="1" w:color="auto"/>
              </w:pBdr>
              <w:spacing w:after="0"/>
              <w:jc w:val="center"/>
              <w:rPr>
                <w:rFonts w:ascii="Verdana" w:hAnsi="Verdana" w:cs="Arial"/>
                <w:b/>
                <w:bCs/>
                <w:sz w:val="18"/>
                <w:szCs w:val="18"/>
                <w:lang w:val="es-ES_tradnl"/>
              </w:rPr>
            </w:pPr>
            <w:r w:rsidRPr="00870D01">
              <w:rPr>
                <w:rFonts w:ascii="Verdana" w:hAnsi="Verdana" w:cs="Arial"/>
                <w:b/>
                <w:bCs/>
                <w:sz w:val="18"/>
                <w:szCs w:val="18"/>
                <w:lang w:val="es-ES_tradnl"/>
              </w:rPr>
              <w:t xml:space="preserve">Precio del </w:t>
            </w:r>
          </w:p>
          <w:p w:rsidR="00555804" w:rsidRPr="00870D01" w:rsidRDefault="00555804" w:rsidP="00555804">
            <w:pPr>
              <w:pStyle w:val="SecurityCont2"/>
              <w:keepNext/>
              <w:pBdr>
                <w:bottom w:val="single" w:sz="4" w:space="1" w:color="auto"/>
              </w:pBdr>
              <w:spacing w:after="0"/>
              <w:jc w:val="center"/>
              <w:rPr>
                <w:rFonts w:ascii="Verdana" w:hAnsi="Verdana" w:cs="Arial"/>
                <w:b/>
                <w:sz w:val="18"/>
                <w:szCs w:val="18"/>
                <w:lang w:val="es-ES_tradnl"/>
              </w:rPr>
            </w:pPr>
            <w:r w:rsidRPr="00870D01">
              <w:rPr>
                <w:rFonts w:ascii="Verdana" w:hAnsi="Verdana" w:cs="Arial"/>
                <w:b/>
                <w:bCs/>
                <w:sz w:val="18"/>
                <w:szCs w:val="18"/>
                <w:lang w:val="es-ES_tradnl"/>
              </w:rPr>
              <w:t>LGN TDF</w:t>
            </w:r>
            <w:r w:rsidRPr="00E20332">
              <w:rPr>
                <w:rFonts w:ascii="Verdana" w:hAnsi="Verdana" w:cs="Arial"/>
                <w:b/>
                <w:bCs/>
                <w:sz w:val="18"/>
                <w:szCs w:val="18"/>
                <w:lang w:val="es-ES_tradnl"/>
              </w:rPr>
              <w:t>(</w:t>
            </w:r>
            <w:r>
              <w:rPr>
                <w:rFonts w:ascii="Verdana" w:hAnsi="Verdana" w:cs="Arial"/>
                <w:b/>
                <w:bCs/>
                <w:sz w:val="18"/>
                <w:szCs w:val="18"/>
                <w:vertAlign w:val="superscript"/>
                <w:lang w:val="es-ES_tradnl"/>
              </w:rPr>
              <w:t>3</w:t>
            </w:r>
            <w:r w:rsidRPr="00E20332">
              <w:rPr>
                <w:rFonts w:ascii="Verdana" w:hAnsi="Verdana" w:cs="Arial"/>
                <w:b/>
                <w:bCs/>
                <w:sz w:val="18"/>
                <w:szCs w:val="18"/>
                <w:lang w:val="es-ES_tradnl"/>
              </w:rPr>
              <w:t>)</w:t>
            </w:r>
          </w:p>
          <w:p w:rsidR="00555804" w:rsidRPr="008F2F4C" w:rsidRDefault="00555804" w:rsidP="00555804">
            <w:pPr>
              <w:pStyle w:val="SecurityCont2"/>
              <w:keepNext/>
              <w:pBdr>
                <w:bottom w:val="single" w:sz="4" w:space="1" w:color="auto"/>
              </w:pBdr>
              <w:spacing w:after="0"/>
              <w:jc w:val="center"/>
              <w:rPr>
                <w:rFonts w:ascii="Verdana" w:hAnsi="Verdana" w:cstheme="minorHAnsi"/>
                <w:b/>
                <w:sz w:val="18"/>
                <w:szCs w:val="18"/>
                <w:lang w:val="es-ES_tradnl"/>
              </w:rPr>
            </w:pPr>
            <w:r w:rsidRPr="00870D01">
              <w:rPr>
                <w:rFonts w:ascii="Verdana" w:hAnsi="Verdana" w:cs="Arial"/>
                <w:b/>
                <w:bCs/>
                <w:sz w:val="18"/>
                <w:szCs w:val="18"/>
                <w:lang w:val="es-ES_tradnl"/>
              </w:rPr>
              <w:t>US$/bbl</w:t>
            </w:r>
          </w:p>
        </w:tc>
        <w:tc>
          <w:tcPr>
            <w:tcW w:w="628" w:type="pct"/>
            <w:tcBorders>
              <w:top w:val="nil"/>
              <w:left w:val="nil"/>
              <w:bottom w:val="nil"/>
              <w:right w:val="nil"/>
            </w:tcBorders>
            <w:vAlign w:val="bottom"/>
          </w:tcPr>
          <w:p w:rsidR="00555804" w:rsidRPr="00870D01" w:rsidRDefault="00555804" w:rsidP="00555804">
            <w:pPr>
              <w:pStyle w:val="SecurityCont2"/>
              <w:keepNext/>
              <w:pBdr>
                <w:bottom w:val="single" w:sz="4" w:space="1" w:color="auto"/>
              </w:pBdr>
              <w:spacing w:after="0"/>
              <w:jc w:val="center"/>
              <w:rPr>
                <w:rFonts w:ascii="Verdana" w:hAnsi="Verdana" w:cs="Arial"/>
                <w:b/>
                <w:sz w:val="18"/>
                <w:szCs w:val="18"/>
                <w:lang w:val="es-ES_tradnl"/>
              </w:rPr>
            </w:pPr>
            <w:r>
              <w:rPr>
                <w:rFonts w:ascii="Verdana" w:hAnsi="Verdana" w:cs="Arial"/>
                <w:b/>
                <w:bCs/>
                <w:sz w:val="18"/>
                <w:szCs w:val="18"/>
                <w:lang w:val="es-AR"/>
              </w:rPr>
              <w:t xml:space="preserve">Precio del gas natural </w:t>
            </w:r>
          </w:p>
          <w:p w:rsidR="00555804" w:rsidRPr="00870D01" w:rsidRDefault="00555804" w:rsidP="00555804">
            <w:pPr>
              <w:pStyle w:val="SecurityCont2"/>
              <w:keepNext/>
              <w:pBdr>
                <w:bottom w:val="single" w:sz="4" w:space="1" w:color="auto"/>
              </w:pBdr>
              <w:spacing w:after="0"/>
              <w:jc w:val="center"/>
              <w:rPr>
                <w:rFonts w:ascii="Verdana" w:hAnsi="Verdana" w:cs="Arial"/>
                <w:b/>
                <w:sz w:val="18"/>
                <w:szCs w:val="18"/>
                <w:lang w:val="es-ES_tradnl"/>
              </w:rPr>
            </w:pPr>
            <w:r>
              <w:rPr>
                <w:rFonts w:ascii="Verdana" w:hAnsi="Verdana" w:cs="Arial"/>
                <w:b/>
                <w:bCs/>
                <w:sz w:val="18"/>
                <w:szCs w:val="18"/>
                <w:lang w:val="es-AR"/>
              </w:rPr>
              <w:t>TDF</w:t>
            </w:r>
            <w:r>
              <w:rPr>
                <w:rFonts w:ascii="Verdana" w:hAnsi="Verdana" w:cs="Arial"/>
                <w:b/>
                <w:bCs/>
                <w:sz w:val="18"/>
                <w:szCs w:val="18"/>
                <w:vertAlign w:val="superscript"/>
                <w:lang w:val="es-AR"/>
              </w:rPr>
              <w:t>(4)</w:t>
            </w:r>
          </w:p>
          <w:p w:rsidR="00555804" w:rsidRPr="002034F8" w:rsidRDefault="00555804" w:rsidP="00555804">
            <w:pPr>
              <w:pStyle w:val="SecurityCont2"/>
              <w:keepNext/>
              <w:pBdr>
                <w:bottom w:val="single" w:sz="4" w:space="1" w:color="auto"/>
              </w:pBdr>
              <w:spacing w:after="0"/>
              <w:jc w:val="center"/>
              <w:rPr>
                <w:rFonts w:ascii="Verdana" w:hAnsi="Verdana" w:cstheme="minorHAnsi"/>
                <w:b/>
                <w:sz w:val="18"/>
                <w:szCs w:val="18"/>
              </w:rPr>
            </w:pPr>
            <w:r>
              <w:rPr>
                <w:rFonts w:ascii="Verdana" w:hAnsi="Verdana" w:cs="Arial"/>
                <w:b/>
                <w:bCs/>
                <w:sz w:val="18"/>
                <w:szCs w:val="18"/>
                <w:lang w:val="es-AR"/>
              </w:rPr>
              <w:t>US$/Mcf</w:t>
            </w:r>
          </w:p>
        </w:tc>
        <w:tc>
          <w:tcPr>
            <w:tcW w:w="654" w:type="pct"/>
            <w:tcBorders>
              <w:top w:val="nil"/>
              <w:left w:val="nil"/>
              <w:bottom w:val="nil"/>
              <w:right w:val="nil"/>
            </w:tcBorders>
            <w:vAlign w:val="bottom"/>
          </w:tcPr>
          <w:p w:rsidR="00555804" w:rsidRPr="00870D01" w:rsidRDefault="00555804" w:rsidP="00555804">
            <w:pPr>
              <w:pStyle w:val="SecurityCont2"/>
              <w:keepNext/>
              <w:pBdr>
                <w:bottom w:val="single" w:sz="4" w:space="1" w:color="auto"/>
              </w:pBdr>
              <w:spacing w:after="0"/>
              <w:jc w:val="center"/>
              <w:rPr>
                <w:rFonts w:ascii="Verdana" w:hAnsi="Verdana" w:cs="Arial"/>
                <w:b/>
                <w:sz w:val="18"/>
                <w:szCs w:val="18"/>
                <w:lang w:val="es-ES_tradnl"/>
              </w:rPr>
            </w:pPr>
            <w:r>
              <w:rPr>
                <w:rFonts w:ascii="Verdana" w:hAnsi="Verdana" w:cs="Arial"/>
                <w:b/>
                <w:bCs/>
                <w:sz w:val="18"/>
                <w:szCs w:val="18"/>
                <w:lang w:val="es-AR"/>
              </w:rPr>
              <w:t xml:space="preserve">Precio del petróleo </w:t>
            </w:r>
          </w:p>
          <w:p w:rsidR="00555804" w:rsidRPr="00870D01" w:rsidRDefault="00555804" w:rsidP="00555804">
            <w:pPr>
              <w:pStyle w:val="SecurityCont2"/>
              <w:keepNext/>
              <w:pBdr>
                <w:bottom w:val="single" w:sz="4" w:space="1" w:color="auto"/>
              </w:pBdr>
              <w:spacing w:after="0"/>
              <w:jc w:val="center"/>
              <w:rPr>
                <w:rFonts w:ascii="Verdana" w:hAnsi="Verdana" w:cs="Arial"/>
                <w:b/>
                <w:sz w:val="18"/>
                <w:szCs w:val="18"/>
                <w:vertAlign w:val="superscript"/>
                <w:lang w:val="es-ES_tradnl"/>
              </w:rPr>
            </w:pPr>
            <w:r>
              <w:rPr>
                <w:rFonts w:ascii="Verdana" w:hAnsi="Verdana" w:cs="Arial"/>
                <w:b/>
                <w:bCs/>
                <w:sz w:val="18"/>
                <w:szCs w:val="18"/>
                <w:lang w:val="es-AR"/>
              </w:rPr>
              <w:t>CH/PPCO</w:t>
            </w:r>
            <w:r w:rsidDel="0071742C">
              <w:rPr>
                <w:rFonts w:ascii="Verdana" w:hAnsi="Verdana" w:cs="Arial"/>
                <w:b/>
                <w:bCs/>
                <w:sz w:val="18"/>
                <w:szCs w:val="18"/>
                <w:lang w:val="es-AR"/>
              </w:rPr>
              <w:t xml:space="preserve"> </w:t>
            </w:r>
            <w:r>
              <w:rPr>
                <w:rFonts w:ascii="Verdana" w:hAnsi="Verdana" w:cs="Arial"/>
                <w:b/>
                <w:bCs/>
                <w:sz w:val="18"/>
                <w:szCs w:val="18"/>
                <w:vertAlign w:val="superscript"/>
                <w:lang w:val="es-AR"/>
              </w:rPr>
              <w:t>(5)</w:t>
            </w:r>
          </w:p>
          <w:p w:rsidR="00555804" w:rsidRPr="002034F8" w:rsidRDefault="00555804" w:rsidP="00555804">
            <w:pPr>
              <w:pStyle w:val="SecurityCont2"/>
              <w:keepNext/>
              <w:pBdr>
                <w:bottom w:val="single" w:sz="4" w:space="1" w:color="auto"/>
              </w:pBdr>
              <w:spacing w:after="0"/>
              <w:jc w:val="center"/>
              <w:rPr>
                <w:rFonts w:ascii="Verdana" w:hAnsi="Verdana" w:cstheme="minorHAnsi"/>
                <w:b/>
                <w:sz w:val="18"/>
                <w:szCs w:val="18"/>
              </w:rPr>
            </w:pPr>
            <w:r>
              <w:rPr>
                <w:rFonts w:ascii="Verdana" w:hAnsi="Verdana" w:cs="Arial"/>
                <w:b/>
                <w:bCs/>
                <w:sz w:val="18"/>
                <w:szCs w:val="18"/>
                <w:lang w:val="es-AR"/>
              </w:rPr>
              <w:t>US$/bbl</w:t>
            </w:r>
          </w:p>
        </w:tc>
        <w:tc>
          <w:tcPr>
            <w:tcW w:w="602" w:type="pct"/>
            <w:tcBorders>
              <w:top w:val="nil"/>
              <w:left w:val="nil"/>
              <w:bottom w:val="nil"/>
              <w:right w:val="nil"/>
            </w:tcBorders>
            <w:vAlign w:val="bottom"/>
          </w:tcPr>
          <w:p w:rsidR="00555804" w:rsidRPr="008F2F4C" w:rsidRDefault="00555804" w:rsidP="00555804">
            <w:pPr>
              <w:pStyle w:val="SecurityCont2"/>
              <w:keepNext/>
              <w:pBdr>
                <w:bottom w:val="single" w:sz="4" w:space="1" w:color="auto"/>
              </w:pBdr>
              <w:spacing w:after="0"/>
              <w:jc w:val="center"/>
              <w:rPr>
                <w:rFonts w:ascii="Verdana" w:hAnsi="Verdana" w:cstheme="minorHAnsi"/>
                <w:b/>
                <w:sz w:val="18"/>
                <w:szCs w:val="18"/>
                <w:lang w:val="es-ES_tradnl"/>
              </w:rPr>
            </w:pPr>
            <w:r w:rsidRPr="008F2F4C">
              <w:rPr>
                <w:rFonts w:ascii="Verdana" w:hAnsi="Verdana" w:cstheme="minorHAnsi"/>
                <w:b/>
                <w:sz w:val="18"/>
                <w:szCs w:val="18"/>
                <w:lang w:val="es-ES_tradnl"/>
              </w:rPr>
              <w:t>Precio del petróleo PC/KK</w:t>
            </w:r>
          </w:p>
          <w:p w:rsidR="00555804" w:rsidRPr="008F2F4C" w:rsidRDefault="00555804" w:rsidP="00555804">
            <w:pPr>
              <w:pStyle w:val="SecurityCont2"/>
              <w:keepNext/>
              <w:pBdr>
                <w:bottom w:val="single" w:sz="4" w:space="1" w:color="auto"/>
              </w:pBdr>
              <w:spacing w:after="0"/>
              <w:jc w:val="center"/>
              <w:rPr>
                <w:rFonts w:ascii="Verdana" w:hAnsi="Verdana" w:cstheme="minorHAnsi"/>
                <w:b/>
                <w:sz w:val="18"/>
                <w:szCs w:val="18"/>
                <w:vertAlign w:val="superscript"/>
                <w:lang w:val="es-ES_tradnl"/>
              </w:rPr>
            </w:pPr>
            <w:r w:rsidRPr="008F2F4C">
              <w:rPr>
                <w:rFonts w:ascii="Verdana" w:hAnsi="Verdana" w:cstheme="minorHAnsi"/>
                <w:b/>
                <w:sz w:val="18"/>
                <w:szCs w:val="18"/>
                <w:vertAlign w:val="superscript"/>
                <w:lang w:val="es-ES_tradnl"/>
              </w:rPr>
              <w:t>(6)</w:t>
            </w:r>
          </w:p>
          <w:p w:rsidR="00555804" w:rsidRPr="002034F8" w:rsidRDefault="00555804" w:rsidP="00555804">
            <w:pPr>
              <w:pStyle w:val="SecurityCont2"/>
              <w:keepNext/>
              <w:pBdr>
                <w:bottom w:val="single" w:sz="4" w:space="1" w:color="auto"/>
              </w:pBdr>
              <w:spacing w:after="0"/>
              <w:jc w:val="center"/>
              <w:rPr>
                <w:rFonts w:ascii="Verdana" w:hAnsi="Verdana" w:cstheme="minorHAnsi"/>
                <w:b/>
                <w:sz w:val="18"/>
                <w:szCs w:val="18"/>
              </w:rPr>
            </w:pPr>
            <w:r w:rsidRPr="002034F8">
              <w:rPr>
                <w:rFonts w:ascii="Verdana" w:hAnsi="Verdana" w:cstheme="minorHAnsi"/>
                <w:b/>
                <w:sz w:val="18"/>
                <w:szCs w:val="18"/>
              </w:rPr>
              <w:t>US$/Bbl</w:t>
            </w:r>
          </w:p>
        </w:tc>
        <w:tc>
          <w:tcPr>
            <w:tcW w:w="601" w:type="pct"/>
            <w:tcBorders>
              <w:top w:val="nil"/>
              <w:left w:val="nil"/>
              <w:bottom w:val="nil"/>
              <w:right w:val="nil"/>
            </w:tcBorders>
            <w:vAlign w:val="bottom"/>
          </w:tcPr>
          <w:p w:rsidR="00555804" w:rsidRPr="002034F8" w:rsidRDefault="00555804" w:rsidP="00555804">
            <w:pPr>
              <w:pStyle w:val="SecurityCont2"/>
              <w:keepNext/>
              <w:pBdr>
                <w:bottom w:val="single" w:sz="4" w:space="1" w:color="auto"/>
              </w:pBdr>
              <w:spacing w:after="0"/>
              <w:jc w:val="center"/>
              <w:rPr>
                <w:rFonts w:ascii="Verdana" w:hAnsi="Verdana" w:cstheme="minorHAnsi"/>
                <w:b/>
                <w:sz w:val="18"/>
                <w:szCs w:val="18"/>
              </w:rPr>
            </w:pPr>
            <w:r>
              <w:rPr>
                <w:rFonts w:ascii="Verdana" w:hAnsi="Verdana" w:cstheme="minorHAnsi"/>
                <w:b/>
                <w:sz w:val="18"/>
                <w:szCs w:val="18"/>
              </w:rPr>
              <w:t>Inflación</w:t>
            </w:r>
            <w:r w:rsidRPr="002034F8">
              <w:rPr>
                <w:rFonts w:ascii="Verdana" w:hAnsi="Verdana" w:cstheme="minorHAnsi"/>
                <w:b/>
                <w:sz w:val="18"/>
                <w:szCs w:val="18"/>
                <w:vertAlign w:val="superscript"/>
              </w:rPr>
              <w:t xml:space="preserve"> (7)</w:t>
            </w:r>
          </w:p>
          <w:p w:rsidR="00555804" w:rsidRPr="002034F8" w:rsidRDefault="00555804" w:rsidP="00555804">
            <w:pPr>
              <w:pStyle w:val="SecurityCont2"/>
              <w:keepNext/>
              <w:pBdr>
                <w:bottom w:val="single" w:sz="4" w:space="1" w:color="auto"/>
              </w:pBdr>
              <w:spacing w:after="0"/>
              <w:jc w:val="center"/>
              <w:rPr>
                <w:rFonts w:ascii="Verdana" w:hAnsi="Verdana" w:cstheme="minorHAnsi"/>
                <w:b/>
                <w:sz w:val="18"/>
                <w:szCs w:val="18"/>
              </w:rPr>
            </w:pPr>
            <w:r>
              <w:rPr>
                <w:rFonts w:ascii="Verdana" w:hAnsi="Verdana" w:cstheme="minorHAnsi"/>
                <w:b/>
                <w:sz w:val="18"/>
                <w:szCs w:val="18"/>
              </w:rPr>
              <w:t>%/Año</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2025</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75</w:t>
            </w:r>
            <w:r>
              <w:rPr>
                <w:rFonts w:ascii="Verdana" w:hAnsi="Verdana" w:cstheme="minorHAnsi"/>
                <w:sz w:val="18"/>
                <w:szCs w:val="18"/>
              </w:rPr>
              <w:t>,</w:t>
            </w:r>
            <w:r w:rsidRPr="002034F8">
              <w:rPr>
                <w:rFonts w:ascii="Verdana" w:hAnsi="Verdana" w:cstheme="minorHAnsi"/>
                <w:sz w:val="18"/>
                <w:szCs w:val="18"/>
              </w:rPr>
              <w:t>00</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60</w:t>
            </w:r>
            <w:r>
              <w:rPr>
                <w:rFonts w:ascii="Verdana" w:hAnsi="Verdana" w:cstheme="minorHAnsi"/>
                <w:sz w:val="18"/>
                <w:szCs w:val="18"/>
              </w:rPr>
              <w:t>,</w:t>
            </w:r>
            <w:r w:rsidRPr="002034F8">
              <w:rPr>
                <w:rFonts w:ascii="Verdana" w:hAnsi="Verdana" w:cstheme="minorHAnsi"/>
                <w:sz w:val="18"/>
                <w:szCs w:val="18"/>
              </w:rPr>
              <w:t>00</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30</w:t>
            </w:r>
            <w:r>
              <w:rPr>
                <w:rFonts w:ascii="Verdana" w:hAnsi="Verdana" w:cstheme="minorHAnsi"/>
                <w:sz w:val="18"/>
                <w:szCs w:val="18"/>
              </w:rPr>
              <w:t>,</w:t>
            </w:r>
            <w:r w:rsidRPr="002034F8">
              <w:rPr>
                <w:rFonts w:ascii="Verdana" w:hAnsi="Verdana" w:cstheme="minorHAnsi"/>
                <w:sz w:val="18"/>
                <w:szCs w:val="18"/>
              </w:rPr>
              <w:t>57</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3</w:t>
            </w:r>
            <w:r>
              <w:rPr>
                <w:rFonts w:ascii="Verdana" w:hAnsi="Verdana" w:cstheme="minorHAnsi"/>
                <w:sz w:val="18"/>
                <w:szCs w:val="18"/>
              </w:rPr>
              <w:t>,</w:t>
            </w:r>
            <w:r w:rsidRPr="002034F8">
              <w:rPr>
                <w:rFonts w:ascii="Verdana" w:hAnsi="Verdana" w:cstheme="minorHAnsi"/>
                <w:sz w:val="18"/>
                <w:szCs w:val="18"/>
              </w:rPr>
              <w:t>60</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66</w:t>
            </w:r>
            <w:r>
              <w:rPr>
                <w:rFonts w:ascii="Verdana" w:hAnsi="Verdana" w:cstheme="minorHAnsi"/>
                <w:sz w:val="18"/>
                <w:szCs w:val="18"/>
              </w:rPr>
              <w:t>,</w:t>
            </w:r>
            <w:r w:rsidRPr="002034F8">
              <w:rPr>
                <w:rFonts w:ascii="Verdana" w:hAnsi="Verdana" w:cstheme="minorHAnsi"/>
                <w:sz w:val="18"/>
                <w:szCs w:val="18"/>
              </w:rPr>
              <w:t>24</w:t>
            </w:r>
          </w:p>
        </w:tc>
        <w:tc>
          <w:tcPr>
            <w:tcW w:w="602" w:type="pct"/>
            <w:tcBorders>
              <w:top w:val="nil"/>
              <w:left w:val="nil"/>
              <w:bottom w:val="nil"/>
              <w:right w:val="nil"/>
            </w:tcBorders>
            <w:vAlign w:val="bottom"/>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66</w:t>
            </w:r>
            <w:r>
              <w:rPr>
                <w:rFonts w:ascii="Verdana" w:hAnsi="Verdana" w:cstheme="minorHAnsi"/>
                <w:sz w:val="18"/>
                <w:szCs w:val="18"/>
              </w:rPr>
              <w:t>,</w:t>
            </w:r>
            <w:r w:rsidRPr="002034F8">
              <w:rPr>
                <w:rFonts w:ascii="Verdana" w:hAnsi="Verdana" w:cstheme="minorHAnsi"/>
                <w:sz w:val="18"/>
                <w:szCs w:val="18"/>
              </w:rPr>
              <w:t>50</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0</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vertAlign w:val="superscript"/>
              </w:rPr>
            </w:pPr>
            <w:r w:rsidRPr="002034F8">
              <w:rPr>
                <w:rFonts w:ascii="Verdana" w:hAnsi="Verdana" w:cstheme="minorHAnsi"/>
                <w:sz w:val="18"/>
                <w:szCs w:val="18"/>
              </w:rPr>
              <w:t>2026</w:t>
            </w:r>
            <w:r>
              <w:rPr>
                <w:rFonts w:ascii="Verdana" w:hAnsi="Verdana" w:cstheme="minorHAnsi"/>
                <w:sz w:val="18"/>
                <w:szCs w:val="18"/>
                <w:vertAlign w:val="superscript"/>
              </w:rPr>
              <w:t>(8)</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80</w:t>
            </w:r>
            <w:r>
              <w:rPr>
                <w:rFonts w:ascii="Verdana" w:hAnsi="Verdana" w:cstheme="minorHAnsi"/>
                <w:sz w:val="18"/>
                <w:szCs w:val="18"/>
              </w:rPr>
              <w:t>,</w:t>
            </w:r>
            <w:r w:rsidRPr="002034F8">
              <w:rPr>
                <w:rFonts w:ascii="Verdana" w:hAnsi="Verdana" w:cstheme="minorHAnsi"/>
                <w:sz w:val="18"/>
                <w:szCs w:val="18"/>
              </w:rPr>
              <w:t>00</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65</w:t>
            </w:r>
            <w:r>
              <w:rPr>
                <w:rFonts w:ascii="Verdana" w:hAnsi="Verdana" w:cstheme="minorHAnsi"/>
                <w:sz w:val="18"/>
                <w:szCs w:val="18"/>
              </w:rPr>
              <w:t>,</w:t>
            </w:r>
            <w:r w:rsidRPr="002034F8">
              <w:rPr>
                <w:rFonts w:ascii="Verdana" w:hAnsi="Verdana" w:cstheme="minorHAnsi"/>
                <w:sz w:val="18"/>
                <w:szCs w:val="18"/>
              </w:rPr>
              <w:t>00</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33</w:t>
            </w:r>
            <w:r>
              <w:rPr>
                <w:rFonts w:ascii="Verdana" w:hAnsi="Verdana" w:cstheme="minorHAnsi"/>
                <w:sz w:val="18"/>
                <w:szCs w:val="18"/>
              </w:rPr>
              <w:t>,</w:t>
            </w:r>
            <w:r w:rsidRPr="002034F8">
              <w:rPr>
                <w:rFonts w:ascii="Verdana" w:hAnsi="Verdana" w:cstheme="minorHAnsi"/>
                <w:sz w:val="18"/>
                <w:szCs w:val="18"/>
              </w:rPr>
              <w:t>14</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4</w:t>
            </w:r>
            <w:r>
              <w:rPr>
                <w:rFonts w:ascii="Verdana" w:hAnsi="Verdana" w:cstheme="minorHAnsi"/>
                <w:sz w:val="18"/>
                <w:szCs w:val="18"/>
              </w:rPr>
              <w:t>,</w:t>
            </w:r>
            <w:r w:rsidRPr="002034F8">
              <w:rPr>
                <w:rFonts w:ascii="Verdana" w:hAnsi="Verdana" w:cstheme="minorHAnsi"/>
                <w:sz w:val="18"/>
                <w:szCs w:val="18"/>
              </w:rPr>
              <w:t>90</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70</w:t>
            </w:r>
            <w:r>
              <w:rPr>
                <w:rFonts w:ascii="Verdana" w:hAnsi="Verdana" w:cstheme="minorHAnsi"/>
                <w:sz w:val="18"/>
                <w:szCs w:val="18"/>
              </w:rPr>
              <w:t>,</w:t>
            </w:r>
            <w:r w:rsidRPr="002034F8">
              <w:rPr>
                <w:rFonts w:ascii="Verdana" w:hAnsi="Verdana" w:cstheme="minorHAnsi"/>
                <w:sz w:val="18"/>
                <w:szCs w:val="18"/>
              </w:rPr>
              <w:t>84</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71</w:t>
            </w:r>
            <w:r>
              <w:rPr>
                <w:rFonts w:ascii="Verdana" w:hAnsi="Verdana" w:cstheme="minorHAnsi"/>
                <w:sz w:val="18"/>
                <w:szCs w:val="18"/>
              </w:rPr>
              <w:t>,</w:t>
            </w:r>
            <w:r w:rsidRPr="002034F8">
              <w:rPr>
                <w:rFonts w:ascii="Verdana" w:hAnsi="Verdana" w:cstheme="minorHAnsi"/>
                <w:sz w:val="18"/>
                <w:szCs w:val="18"/>
              </w:rPr>
              <w:t>50</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 xml:space="preserve"> 2027</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80</w:t>
            </w:r>
            <w:r>
              <w:rPr>
                <w:rFonts w:ascii="Verdana" w:hAnsi="Verdana" w:cstheme="minorHAnsi"/>
                <w:sz w:val="18"/>
                <w:szCs w:val="18"/>
              </w:rPr>
              <w:t>,</w:t>
            </w:r>
            <w:r w:rsidRPr="002034F8">
              <w:rPr>
                <w:rFonts w:ascii="Verdana" w:hAnsi="Verdana" w:cstheme="minorHAnsi"/>
                <w:sz w:val="18"/>
                <w:szCs w:val="18"/>
              </w:rPr>
              <w:t>00</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65</w:t>
            </w:r>
            <w:r>
              <w:rPr>
                <w:rFonts w:ascii="Verdana" w:hAnsi="Verdana" w:cstheme="minorHAnsi"/>
                <w:sz w:val="18"/>
                <w:szCs w:val="18"/>
              </w:rPr>
              <w:t>,</w:t>
            </w:r>
            <w:r w:rsidRPr="002034F8">
              <w:rPr>
                <w:rFonts w:ascii="Verdana" w:hAnsi="Verdana" w:cstheme="minorHAnsi"/>
                <w:sz w:val="18"/>
                <w:szCs w:val="18"/>
              </w:rPr>
              <w:t>00</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33</w:t>
            </w:r>
            <w:r>
              <w:rPr>
                <w:rFonts w:ascii="Verdana" w:hAnsi="Verdana" w:cstheme="minorHAnsi"/>
                <w:sz w:val="18"/>
                <w:szCs w:val="18"/>
              </w:rPr>
              <w:t>,</w:t>
            </w:r>
            <w:r w:rsidRPr="002034F8">
              <w:rPr>
                <w:rFonts w:ascii="Verdana" w:hAnsi="Verdana" w:cstheme="minorHAnsi"/>
                <w:sz w:val="18"/>
                <w:szCs w:val="18"/>
              </w:rPr>
              <w:t>14</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4</w:t>
            </w:r>
            <w:r>
              <w:rPr>
                <w:rFonts w:ascii="Verdana" w:hAnsi="Verdana" w:cstheme="minorHAnsi"/>
                <w:sz w:val="18"/>
                <w:szCs w:val="18"/>
              </w:rPr>
              <w:t>,</w:t>
            </w:r>
            <w:r w:rsidRPr="002034F8">
              <w:rPr>
                <w:rFonts w:ascii="Verdana" w:hAnsi="Verdana" w:cstheme="minorHAnsi"/>
                <w:sz w:val="18"/>
                <w:szCs w:val="18"/>
              </w:rPr>
              <w:t>90</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70</w:t>
            </w:r>
            <w:r>
              <w:rPr>
                <w:rFonts w:ascii="Verdana" w:hAnsi="Verdana" w:cstheme="minorHAnsi"/>
                <w:sz w:val="18"/>
                <w:szCs w:val="18"/>
              </w:rPr>
              <w:t>,</w:t>
            </w:r>
            <w:r w:rsidRPr="002034F8">
              <w:rPr>
                <w:rFonts w:ascii="Verdana" w:hAnsi="Verdana" w:cstheme="minorHAnsi"/>
                <w:sz w:val="18"/>
                <w:szCs w:val="18"/>
              </w:rPr>
              <w:t>84</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71</w:t>
            </w:r>
            <w:r>
              <w:rPr>
                <w:rFonts w:ascii="Verdana" w:hAnsi="Verdana" w:cstheme="minorHAnsi"/>
                <w:sz w:val="18"/>
                <w:szCs w:val="18"/>
              </w:rPr>
              <w:t>,</w:t>
            </w:r>
            <w:r w:rsidRPr="002034F8">
              <w:rPr>
                <w:rFonts w:ascii="Verdana" w:hAnsi="Verdana" w:cstheme="minorHAnsi"/>
                <w:sz w:val="18"/>
                <w:szCs w:val="18"/>
              </w:rPr>
              <w:t>50</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2028</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81</w:t>
            </w:r>
            <w:r>
              <w:rPr>
                <w:rFonts w:ascii="Verdana" w:hAnsi="Verdana" w:cstheme="minorHAnsi"/>
                <w:sz w:val="18"/>
                <w:szCs w:val="18"/>
              </w:rPr>
              <w:t>,</w:t>
            </w:r>
            <w:r w:rsidRPr="002034F8">
              <w:rPr>
                <w:rFonts w:ascii="Verdana" w:hAnsi="Verdana" w:cstheme="minorHAnsi"/>
                <w:sz w:val="18"/>
                <w:szCs w:val="18"/>
              </w:rPr>
              <w:t>60</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66</w:t>
            </w:r>
            <w:r>
              <w:rPr>
                <w:rFonts w:ascii="Verdana" w:hAnsi="Verdana" w:cstheme="minorHAnsi"/>
                <w:sz w:val="18"/>
                <w:szCs w:val="18"/>
              </w:rPr>
              <w:t>,</w:t>
            </w:r>
            <w:r w:rsidRPr="002034F8">
              <w:rPr>
                <w:rFonts w:ascii="Verdana" w:hAnsi="Verdana" w:cstheme="minorHAnsi"/>
                <w:sz w:val="18"/>
                <w:szCs w:val="18"/>
              </w:rPr>
              <w:t>60</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33</w:t>
            </w:r>
            <w:r>
              <w:rPr>
                <w:rFonts w:ascii="Verdana" w:hAnsi="Verdana" w:cstheme="minorHAnsi"/>
                <w:sz w:val="18"/>
                <w:szCs w:val="18"/>
              </w:rPr>
              <w:t>,</w:t>
            </w:r>
            <w:r w:rsidRPr="002034F8">
              <w:rPr>
                <w:rFonts w:ascii="Verdana" w:hAnsi="Verdana" w:cstheme="minorHAnsi"/>
                <w:sz w:val="18"/>
                <w:szCs w:val="18"/>
              </w:rPr>
              <w:t>92</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4</w:t>
            </w:r>
            <w:r>
              <w:rPr>
                <w:rFonts w:ascii="Verdana" w:hAnsi="Verdana" w:cstheme="minorHAnsi"/>
                <w:sz w:val="18"/>
                <w:szCs w:val="18"/>
              </w:rPr>
              <w:t>,</w:t>
            </w:r>
            <w:r w:rsidRPr="002034F8">
              <w:rPr>
                <w:rFonts w:ascii="Verdana" w:hAnsi="Verdana" w:cstheme="minorHAnsi"/>
                <w:sz w:val="18"/>
                <w:szCs w:val="18"/>
              </w:rPr>
              <w:t>97</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72</w:t>
            </w:r>
            <w:r>
              <w:rPr>
                <w:rFonts w:ascii="Verdana" w:hAnsi="Verdana" w:cstheme="minorHAnsi"/>
                <w:sz w:val="18"/>
                <w:szCs w:val="18"/>
              </w:rPr>
              <w:t>,</w:t>
            </w:r>
            <w:r w:rsidRPr="002034F8">
              <w:rPr>
                <w:rFonts w:ascii="Verdana" w:hAnsi="Verdana" w:cstheme="minorHAnsi"/>
                <w:sz w:val="18"/>
                <w:szCs w:val="18"/>
              </w:rPr>
              <w:t>31</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73</w:t>
            </w:r>
            <w:r>
              <w:rPr>
                <w:rFonts w:ascii="Verdana" w:hAnsi="Verdana" w:cstheme="minorHAnsi"/>
                <w:sz w:val="18"/>
                <w:szCs w:val="18"/>
              </w:rPr>
              <w:t>,</w:t>
            </w:r>
            <w:r w:rsidRPr="002034F8">
              <w:rPr>
                <w:rFonts w:ascii="Verdana" w:hAnsi="Verdana" w:cstheme="minorHAnsi"/>
                <w:sz w:val="18"/>
                <w:szCs w:val="18"/>
              </w:rPr>
              <w:t>10</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2029</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83</w:t>
            </w:r>
            <w:r>
              <w:rPr>
                <w:rFonts w:ascii="Verdana" w:hAnsi="Verdana" w:cstheme="minorHAnsi"/>
                <w:sz w:val="18"/>
                <w:szCs w:val="18"/>
              </w:rPr>
              <w:t>,</w:t>
            </w:r>
            <w:r w:rsidRPr="002034F8">
              <w:rPr>
                <w:rFonts w:ascii="Verdana" w:hAnsi="Verdana" w:cstheme="minorHAnsi"/>
                <w:sz w:val="18"/>
                <w:szCs w:val="18"/>
              </w:rPr>
              <w:t>23</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68</w:t>
            </w:r>
            <w:r>
              <w:rPr>
                <w:rFonts w:ascii="Verdana" w:hAnsi="Verdana" w:cstheme="minorHAnsi"/>
                <w:sz w:val="18"/>
                <w:szCs w:val="18"/>
              </w:rPr>
              <w:t>,</w:t>
            </w:r>
            <w:r w:rsidRPr="002034F8">
              <w:rPr>
                <w:rFonts w:ascii="Verdana" w:hAnsi="Verdana" w:cstheme="minorHAnsi"/>
                <w:sz w:val="18"/>
                <w:szCs w:val="18"/>
              </w:rPr>
              <w:t>23</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34</w:t>
            </w:r>
            <w:r>
              <w:rPr>
                <w:rFonts w:ascii="Verdana" w:hAnsi="Verdana" w:cstheme="minorHAnsi"/>
                <w:sz w:val="18"/>
                <w:szCs w:val="18"/>
              </w:rPr>
              <w:t>,</w:t>
            </w:r>
            <w:r w:rsidRPr="002034F8">
              <w:rPr>
                <w:rFonts w:ascii="Verdana" w:hAnsi="Verdana" w:cstheme="minorHAnsi"/>
                <w:sz w:val="18"/>
                <w:szCs w:val="18"/>
              </w:rPr>
              <w:t>72</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w:t>
            </w:r>
            <w:r>
              <w:rPr>
                <w:rFonts w:ascii="Verdana" w:hAnsi="Verdana" w:cstheme="minorHAnsi"/>
                <w:sz w:val="18"/>
                <w:szCs w:val="18"/>
              </w:rPr>
              <w:t>,</w:t>
            </w:r>
            <w:r w:rsidRPr="002034F8">
              <w:rPr>
                <w:rFonts w:ascii="Verdana" w:hAnsi="Verdana" w:cstheme="minorHAnsi"/>
                <w:sz w:val="18"/>
                <w:szCs w:val="18"/>
              </w:rPr>
              <w:t>04</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73</w:t>
            </w:r>
            <w:r>
              <w:rPr>
                <w:rFonts w:ascii="Verdana" w:hAnsi="Verdana" w:cstheme="minorHAnsi"/>
                <w:sz w:val="18"/>
                <w:szCs w:val="18"/>
              </w:rPr>
              <w:t>,</w:t>
            </w:r>
            <w:r w:rsidRPr="002034F8">
              <w:rPr>
                <w:rFonts w:ascii="Verdana" w:hAnsi="Verdana" w:cstheme="minorHAnsi"/>
                <w:sz w:val="18"/>
                <w:szCs w:val="18"/>
              </w:rPr>
              <w:t>81</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74</w:t>
            </w:r>
            <w:r>
              <w:rPr>
                <w:rFonts w:ascii="Verdana" w:hAnsi="Verdana" w:cstheme="minorHAnsi"/>
                <w:sz w:val="18"/>
                <w:szCs w:val="18"/>
              </w:rPr>
              <w:t>,</w:t>
            </w:r>
            <w:r w:rsidRPr="002034F8">
              <w:rPr>
                <w:rFonts w:ascii="Verdana" w:hAnsi="Verdana" w:cstheme="minorHAnsi"/>
                <w:sz w:val="18"/>
                <w:szCs w:val="18"/>
              </w:rPr>
              <w:t>73</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2030</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84</w:t>
            </w:r>
            <w:r>
              <w:rPr>
                <w:rFonts w:ascii="Verdana" w:hAnsi="Verdana" w:cstheme="minorHAnsi"/>
                <w:sz w:val="18"/>
                <w:szCs w:val="18"/>
              </w:rPr>
              <w:t>,</w:t>
            </w:r>
            <w:r w:rsidRPr="002034F8">
              <w:rPr>
                <w:rFonts w:ascii="Verdana" w:hAnsi="Verdana" w:cstheme="minorHAnsi"/>
                <w:sz w:val="18"/>
                <w:szCs w:val="18"/>
              </w:rPr>
              <w:t>90</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69</w:t>
            </w:r>
            <w:r>
              <w:rPr>
                <w:rFonts w:ascii="Verdana" w:hAnsi="Verdana" w:cstheme="minorHAnsi"/>
                <w:sz w:val="18"/>
                <w:szCs w:val="18"/>
              </w:rPr>
              <w:t>,</w:t>
            </w:r>
            <w:r w:rsidRPr="002034F8">
              <w:rPr>
                <w:rFonts w:ascii="Verdana" w:hAnsi="Verdana" w:cstheme="minorHAnsi"/>
                <w:sz w:val="18"/>
                <w:szCs w:val="18"/>
              </w:rPr>
              <w:t>90</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35</w:t>
            </w:r>
            <w:r>
              <w:rPr>
                <w:rFonts w:ascii="Verdana" w:hAnsi="Verdana" w:cstheme="minorHAnsi"/>
                <w:sz w:val="18"/>
                <w:szCs w:val="18"/>
              </w:rPr>
              <w:t>,</w:t>
            </w:r>
            <w:r w:rsidRPr="002034F8">
              <w:rPr>
                <w:rFonts w:ascii="Verdana" w:hAnsi="Verdana" w:cstheme="minorHAnsi"/>
                <w:sz w:val="18"/>
                <w:szCs w:val="18"/>
              </w:rPr>
              <w:t>54</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w:t>
            </w:r>
            <w:r>
              <w:rPr>
                <w:rFonts w:ascii="Verdana" w:hAnsi="Verdana" w:cstheme="minorHAnsi"/>
                <w:sz w:val="18"/>
                <w:szCs w:val="18"/>
              </w:rPr>
              <w:t>,</w:t>
            </w:r>
            <w:r w:rsidRPr="002034F8">
              <w:rPr>
                <w:rFonts w:ascii="Verdana" w:hAnsi="Verdana" w:cstheme="minorHAnsi"/>
                <w:sz w:val="18"/>
                <w:szCs w:val="18"/>
              </w:rPr>
              <w:t>11</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75</w:t>
            </w:r>
            <w:r>
              <w:rPr>
                <w:rFonts w:ascii="Verdana" w:hAnsi="Verdana" w:cstheme="minorHAnsi"/>
                <w:sz w:val="18"/>
                <w:szCs w:val="18"/>
              </w:rPr>
              <w:t>,</w:t>
            </w:r>
            <w:r w:rsidRPr="002034F8">
              <w:rPr>
                <w:rFonts w:ascii="Verdana" w:hAnsi="Verdana" w:cstheme="minorHAnsi"/>
                <w:sz w:val="18"/>
                <w:szCs w:val="18"/>
              </w:rPr>
              <w:t>35</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76</w:t>
            </w:r>
            <w:r>
              <w:rPr>
                <w:rFonts w:ascii="Verdana" w:hAnsi="Verdana" w:cstheme="minorHAnsi"/>
                <w:sz w:val="18"/>
                <w:szCs w:val="18"/>
              </w:rPr>
              <w:t>,</w:t>
            </w:r>
            <w:r w:rsidRPr="002034F8">
              <w:rPr>
                <w:rFonts w:ascii="Verdana" w:hAnsi="Verdana" w:cstheme="minorHAnsi"/>
                <w:sz w:val="18"/>
                <w:szCs w:val="18"/>
              </w:rPr>
              <w:t>40</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2031</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86</w:t>
            </w:r>
            <w:r>
              <w:rPr>
                <w:rFonts w:ascii="Verdana" w:hAnsi="Verdana" w:cstheme="minorHAnsi"/>
                <w:sz w:val="18"/>
                <w:szCs w:val="18"/>
              </w:rPr>
              <w:t>,</w:t>
            </w:r>
            <w:r w:rsidRPr="002034F8">
              <w:rPr>
                <w:rFonts w:ascii="Verdana" w:hAnsi="Verdana" w:cstheme="minorHAnsi"/>
                <w:sz w:val="18"/>
                <w:szCs w:val="18"/>
              </w:rPr>
              <w:t>59</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71</w:t>
            </w:r>
            <w:r>
              <w:rPr>
                <w:rFonts w:ascii="Verdana" w:hAnsi="Verdana" w:cstheme="minorHAnsi"/>
                <w:sz w:val="18"/>
                <w:szCs w:val="18"/>
              </w:rPr>
              <w:t>,</w:t>
            </w:r>
            <w:r w:rsidRPr="002034F8">
              <w:rPr>
                <w:rFonts w:ascii="Verdana" w:hAnsi="Verdana" w:cstheme="minorHAnsi"/>
                <w:sz w:val="18"/>
                <w:szCs w:val="18"/>
              </w:rPr>
              <w:t>59</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36</w:t>
            </w:r>
            <w:r>
              <w:rPr>
                <w:rFonts w:ascii="Verdana" w:hAnsi="Verdana" w:cstheme="minorHAnsi"/>
                <w:sz w:val="18"/>
                <w:szCs w:val="18"/>
              </w:rPr>
              <w:t>,</w:t>
            </w:r>
            <w:r w:rsidRPr="002034F8">
              <w:rPr>
                <w:rFonts w:ascii="Verdana" w:hAnsi="Verdana" w:cstheme="minorHAnsi"/>
                <w:sz w:val="18"/>
                <w:szCs w:val="18"/>
              </w:rPr>
              <w:t>37</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w:t>
            </w:r>
            <w:r>
              <w:rPr>
                <w:rFonts w:ascii="Verdana" w:hAnsi="Verdana" w:cstheme="minorHAnsi"/>
                <w:sz w:val="18"/>
                <w:szCs w:val="18"/>
              </w:rPr>
              <w:t>,</w:t>
            </w:r>
            <w:r w:rsidRPr="002034F8">
              <w:rPr>
                <w:rFonts w:ascii="Verdana" w:hAnsi="Verdana" w:cstheme="minorHAnsi"/>
                <w:sz w:val="18"/>
                <w:szCs w:val="18"/>
              </w:rPr>
              <w:t>19</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76</w:t>
            </w:r>
            <w:r>
              <w:rPr>
                <w:rFonts w:ascii="Verdana" w:hAnsi="Verdana" w:cstheme="minorHAnsi"/>
                <w:sz w:val="18"/>
                <w:szCs w:val="18"/>
              </w:rPr>
              <w:t>,</w:t>
            </w:r>
            <w:r w:rsidRPr="002034F8">
              <w:rPr>
                <w:rFonts w:ascii="Verdana" w:hAnsi="Verdana" w:cstheme="minorHAnsi"/>
                <w:sz w:val="18"/>
                <w:szCs w:val="18"/>
              </w:rPr>
              <w:t>90</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78</w:t>
            </w:r>
            <w:r>
              <w:rPr>
                <w:rFonts w:ascii="Verdana" w:hAnsi="Verdana" w:cstheme="minorHAnsi"/>
                <w:sz w:val="18"/>
                <w:szCs w:val="18"/>
              </w:rPr>
              <w:t>,</w:t>
            </w:r>
            <w:r w:rsidRPr="002034F8">
              <w:rPr>
                <w:rFonts w:ascii="Verdana" w:hAnsi="Verdana" w:cstheme="minorHAnsi"/>
                <w:sz w:val="18"/>
                <w:szCs w:val="18"/>
              </w:rPr>
              <w:t>09</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2032</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88</w:t>
            </w:r>
            <w:r>
              <w:rPr>
                <w:rFonts w:ascii="Verdana" w:hAnsi="Verdana" w:cstheme="minorHAnsi"/>
                <w:sz w:val="18"/>
                <w:szCs w:val="18"/>
              </w:rPr>
              <w:t>,</w:t>
            </w:r>
            <w:r w:rsidRPr="002034F8">
              <w:rPr>
                <w:rFonts w:ascii="Verdana" w:hAnsi="Verdana" w:cstheme="minorHAnsi"/>
                <w:sz w:val="18"/>
                <w:szCs w:val="18"/>
              </w:rPr>
              <w:t>33</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73</w:t>
            </w:r>
            <w:r>
              <w:rPr>
                <w:rFonts w:ascii="Verdana" w:hAnsi="Verdana" w:cstheme="minorHAnsi"/>
                <w:sz w:val="18"/>
                <w:szCs w:val="18"/>
              </w:rPr>
              <w:t>,</w:t>
            </w:r>
            <w:r w:rsidRPr="002034F8">
              <w:rPr>
                <w:rFonts w:ascii="Verdana" w:hAnsi="Verdana" w:cstheme="minorHAnsi"/>
                <w:sz w:val="18"/>
                <w:szCs w:val="18"/>
              </w:rPr>
              <w:t>33</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37</w:t>
            </w:r>
            <w:r>
              <w:rPr>
                <w:rFonts w:ascii="Verdana" w:hAnsi="Verdana" w:cstheme="minorHAnsi"/>
                <w:sz w:val="18"/>
                <w:szCs w:val="18"/>
              </w:rPr>
              <w:t>,</w:t>
            </w:r>
            <w:r w:rsidRPr="002034F8">
              <w:rPr>
                <w:rFonts w:ascii="Verdana" w:hAnsi="Verdana" w:cstheme="minorHAnsi"/>
                <w:sz w:val="18"/>
                <w:szCs w:val="18"/>
              </w:rPr>
              <w:t>21</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w:t>
            </w:r>
            <w:r>
              <w:rPr>
                <w:rFonts w:ascii="Verdana" w:hAnsi="Verdana" w:cstheme="minorHAnsi"/>
                <w:sz w:val="18"/>
                <w:szCs w:val="18"/>
              </w:rPr>
              <w:t>,</w:t>
            </w:r>
            <w:r w:rsidRPr="002034F8">
              <w:rPr>
                <w:rFonts w:ascii="Verdana" w:hAnsi="Verdana" w:cstheme="minorHAnsi"/>
                <w:sz w:val="18"/>
                <w:szCs w:val="18"/>
              </w:rPr>
              <w:t>26</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78</w:t>
            </w:r>
            <w:r>
              <w:rPr>
                <w:rFonts w:ascii="Verdana" w:hAnsi="Verdana" w:cstheme="minorHAnsi"/>
                <w:sz w:val="18"/>
                <w:szCs w:val="18"/>
              </w:rPr>
              <w:t>,</w:t>
            </w:r>
            <w:r w:rsidRPr="002034F8">
              <w:rPr>
                <w:rFonts w:ascii="Verdana" w:hAnsi="Verdana" w:cstheme="minorHAnsi"/>
                <w:sz w:val="18"/>
                <w:szCs w:val="18"/>
              </w:rPr>
              <w:t>50</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79</w:t>
            </w:r>
            <w:r>
              <w:rPr>
                <w:rFonts w:ascii="Verdana" w:hAnsi="Verdana" w:cstheme="minorHAnsi"/>
                <w:sz w:val="18"/>
                <w:szCs w:val="18"/>
              </w:rPr>
              <w:t>,</w:t>
            </w:r>
            <w:r w:rsidRPr="002034F8">
              <w:rPr>
                <w:rFonts w:ascii="Verdana" w:hAnsi="Verdana" w:cstheme="minorHAnsi"/>
                <w:sz w:val="18"/>
                <w:szCs w:val="18"/>
              </w:rPr>
              <w:t>83</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2033</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90</w:t>
            </w:r>
            <w:r>
              <w:rPr>
                <w:rFonts w:ascii="Verdana" w:hAnsi="Verdana" w:cstheme="minorHAnsi"/>
                <w:sz w:val="18"/>
                <w:szCs w:val="18"/>
              </w:rPr>
              <w:t>,</w:t>
            </w:r>
            <w:r w:rsidRPr="002034F8">
              <w:rPr>
                <w:rFonts w:ascii="Verdana" w:hAnsi="Verdana" w:cstheme="minorHAnsi"/>
                <w:sz w:val="18"/>
                <w:szCs w:val="18"/>
              </w:rPr>
              <w:t>09</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75</w:t>
            </w:r>
            <w:r>
              <w:rPr>
                <w:rFonts w:ascii="Verdana" w:hAnsi="Verdana" w:cstheme="minorHAnsi"/>
                <w:sz w:val="18"/>
                <w:szCs w:val="18"/>
              </w:rPr>
              <w:t>,</w:t>
            </w:r>
            <w:r w:rsidRPr="002034F8">
              <w:rPr>
                <w:rFonts w:ascii="Verdana" w:hAnsi="Verdana" w:cstheme="minorHAnsi"/>
                <w:sz w:val="18"/>
                <w:szCs w:val="18"/>
              </w:rPr>
              <w:t>09</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38</w:t>
            </w:r>
            <w:r>
              <w:rPr>
                <w:rFonts w:ascii="Verdana" w:hAnsi="Verdana" w:cstheme="minorHAnsi"/>
                <w:sz w:val="18"/>
                <w:szCs w:val="18"/>
              </w:rPr>
              <w:t>,</w:t>
            </w:r>
            <w:r w:rsidRPr="002034F8">
              <w:rPr>
                <w:rFonts w:ascii="Verdana" w:hAnsi="Verdana" w:cstheme="minorHAnsi"/>
                <w:sz w:val="18"/>
                <w:szCs w:val="18"/>
              </w:rPr>
              <w:t>08</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w:t>
            </w:r>
            <w:r>
              <w:rPr>
                <w:rFonts w:ascii="Verdana" w:hAnsi="Verdana" w:cstheme="minorHAnsi"/>
                <w:sz w:val="18"/>
                <w:szCs w:val="18"/>
              </w:rPr>
              <w:t>,</w:t>
            </w:r>
            <w:r w:rsidRPr="002034F8">
              <w:rPr>
                <w:rFonts w:ascii="Verdana" w:hAnsi="Verdana" w:cstheme="minorHAnsi"/>
                <w:sz w:val="18"/>
                <w:szCs w:val="18"/>
              </w:rPr>
              <w:t>34</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80</w:t>
            </w:r>
            <w:r>
              <w:rPr>
                <w:rFonts w:ascii="Verdana" w:hAnsi="Verdana" w:cstheme="minorHAnsi"/>
                <w:sz w:val="18"/>
                <w:szCs w:val="18"/>
              </w:rPr>
              <w:t>,</w:t>
            </w:r>
            <w:r w:rsidRPr="002034F8">
              <w:rPr>
                <w:rFonts w:ascii="Verdana" w:hAnsi="Verdana" w:cstheme="minorHAnsi"/>
                <w:sz w:val="18"/>
                <w:szCs w:val="18"/>
              </w:rPr>
              <w:t>12</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81</w:t>
            </w:r>
            <w:r>
              <w:rPr>
                <w:rFonts w:ascii="Verdana" w:hAnsi="Verdana" w:cstheme="minorHAnsi"/>
                <w:sz w:val="18"/>
                <w:szCs w:val="18"/>
              </w:rPr>
              <w:t>,</w:t>
            </w:r>
            <w:r w:rsidRPr="002034F8">
              <w:rPr>
                <w:rFonts w:ascii="Verdana" w:hAnsi="Verdana" w:cstheme="minorHAnsi"/>
                <w:sz w:val="18"/>
                <w:szCs w:val="18"/>
              </w:rPr>
              <w:t>59</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2034</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91</w:t>
            </w:r>
            <w:r>
              <w:rPr>
                <w:rFonts w:ascii="Verdana" w:hAnsi="Verdana" w:cstheme="minorHAnsi"/>
                <w:sz w:val="18"/>
                <w:szCs w:val="18"/>
              </w:rPr>
              <w:t>,</w:t>
            </w:r>
            <w:r w:rsidRPr="002034F8">
              <w:rPr>
                <w:rFonts w:ascii="Verdana" w:hAnsi="Verdana" w:cstheme="minorHAnsi"/>
                <w:sz w:val="18"/>
                <w:szCs w:val="18"/>
              </w:rPr>
              <w:t>89</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76</w:t>
            </w:r>
            <w:r>
              <w:rPr>
                <w:rFonts w:ascii="Verdana" w:hAnsi="Verdana" w:cstheme="minorHAnsi"/>
                <w:sz w:val="18"/>
                <w:szCs w:val="18"/>
              </w:rPr>
              <w:t>,</w:t>
            </w:r>
            <w:r w:rsidRPr="002034F8">
              <w:rPr>
                <w:rFonts w:ascii="Verdana" w:hAnsi="Verdana" w:cstheme="minorHAnsi"/>
                <w:sz w:val="18"/>
                <w:szCs w:val="18"/>
              </w:rPr>
              <w:t>89</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38</w:t>
            </w:r>
            <w:r>
              <w:rPr>
                <w:rFonts w:ascii="Verdana" w:hAnsi="Verdana" w:cstheme="minorHAnsi"/>
                <w:sz w:val="18"/>
                <w:szCs w:val="18"/>
              </w:rPr>
              <w:t>,</w:t>
            </w:r>
            <w:r w:rsidRPr="002034F8">
              <w:rPr>
                <w:rFonts w:ascii="Verdana" w:hAnsi="Verdana" w:cstheme="minorHAnsi"/>
                <w:sz w:val="18"/>
                <w:szCs w:val="18"/>
              </w:rPr>
              <w:t>96</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w:t>
            </w:r>
            <w:r>
              <w:rPr>
                <w:rFonts w:ascii="Verdana" w:hAnsi="Verdana" w:cstheme="minorHAnsi"/>
                <w:sz w:val="18"/>
                <w:szCs w:val="18"/>
              </w:rPr>
              <w:t>,</w:t>
            </w:r>
            <w:r w:rsidRPr="002034F8">
              <w:rPr>
                <w:rFonts w:ascii="Verdana" w:hAnsi="Verdana" w:cstheme="minorHAnsi"/>
                <w:sz w:val="18"/>
                <w:szCs w:val="18"/>
              </w:rPr>
              <w:t>42</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81</w:t>
            </w:r>
            <w:r>
              <w:rPr>
                <w:rFonts w:ascii="Verdana" w:hAnsi="Verdana" w:cstheme="minorHAnsi"/>
                <w:sz w:val="18"/>
                <w:szCs w:val="18"/>
              </w:rPr>
              <w:t>,</w:t>
            </w:r>
            <w:r w:rsidRPr="002034F8">
              <w:rPr>
                <w:rFonts w:ascii="Verdana" w:hAnsi="Verdana" w:cstheme="minorHAnsi"/>
                <w:sz w:val="18"/>
                <w:szCs w:val="18"/>
              </w:rPr>
              <w:t>78</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83</w:t>
            </w:r>
            <w:r>
              <w:rPr>
                <w:rFonts w:ascii="Verdana" w:hAnsi="Verdana" w:cstheme="minorHAnsi"/>
                <w:sz w:val="18"/>
                <w:szCs w:val="18"/>
              </w:rPr>
              <w:t>,</w:t>
            </w:r>
            <w:r w:rsidRPr="002034F8">
              <w:rPr>
                <w:rFonts w:ascii="Verdana" w:hAnsi="Verdana" w:cstheme="minorHAnsi"/>
                <w:sz w:val="18"/>
                <w:szCs w:val="18"/>
              </w:rPr>
              <w:t>39</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r w:rsidR="00555804" w:rsidRPr="002034F8" w:rsidTr="005C2415">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2035</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93</w:t>
            </w:r>
            <w:r>
              <w:rPr>
                <w:rFonts w:ascii="Verdana" w:hAnsi="Verdana" w:cstheme="minorHAnsi"/>
                <w:sz w:val="18"/>
                <w:szCs w:val="18"/>
              </w:rPr>
              <w:t>,</w:t>
            </w:r>
            <w:r w:rsidRPr="002034F8">
              <w:rPr>
                <w:rFonts w:ascii="Verdana" w:hAnsi="Verdana" w:cstheme="minorHAnsi"/>
                <w:sz w:val="18"/>
                <w:szCs w:val="18"/>
              </w:rPr>
              <w:t>73</w:t>
            </w:r>
          </w:p>
        </w:tc>
        <w:tc>
          <w:tcPr>
            <w:tcW w:w="629"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78</w:t>
            </w:r>
            <w:r>
              <w:rPr>
                <w:rFonts w:ascii="Verdana" w:hAnsi="Verdana" w:cstheme="minorHAnsi"/>
                <w:sz w:val="18"/>
                <w:szCs w:val="18"/>
              </w:rPr>
              <w:t>,</w:t>
            </w:r>
            <w:r w:rsidRPr="002034F8">
              <w:rPr>
                <w:rFonts w:ascii="Verdana" w:hAnsi="Verdana" w:cstheme="minorHAnsi"/>
                <w:sz w:val="18"/>
                <w:szCs w:val="18"/>
              </w:rPr>
              <w:t>73</w:t>
            </w:r>
          </w:p>
        </w:tc>
        <w:tc>
          <w:tcPr>
            <w:tcW w:w="628"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39</w:t>
            </w:r>
            <w:r>
              <w:rPr>
                <w:rFonts w:ascii="Verdana" w:hAnsi="Verdana" w:cstheme="minorHAnsi"/>
                <w:sz w:val="18"/>
                <w:szCs w:val="18"/>
              </w:rPr>
              <w:t>,</w:t>
            </w:r>
            <w:r w:rsidRPr="002034F8">
              <w:rPr>
                <w:rFonts w:ascii="Verdana" w:hAnsi="Verdana" w:cstheme="minorHAnsi"/>
                <w:sz w:val="18"/>
                <w:szCs w:val="18"/>
              </w:rPr>
              <w:t>86</w:t>
            </w:r>
          </w:p>
        </w:tc>
        <w:tc>
          <w:tcPr>
            <w:tcW w:w="628" w:type="pct"/>
            <w:tcBorders>
              <w:top w:val="nil"/>
              <w:left w:val="nil"/>
              <w:bottom w:val="nil"/>
              <w:right w:val="nil"/>
            </w:tcBorders>
          </w:tcPr>
          <w:p w:rsidR="00555804" w:rsidRPr="002034F8" w:rsidRDefault="00555804" w:rsidP="005C2415">
            <w:pPr>
              <w:pStyle w:val="SecurityCont2"/>
              <w:keepNext/>
              <w:numPr>
                <w:ilvl w:val="2"/>
                <w:numId w:val="40"/>
              </w:numPr>
              <w:autoSpaceDE w:val="0"/>
              <w:autoSpaceDN w:val="0"/>
              <w:adjustRightInd w:val="0"/>
              <w:spacing w:after="0"/>
              <w:jc w:val="center"/>
              <w:outlineLvl w:val="2"/>
              <w:rPr>
                <w:rFonts w:ascii="Verdana" w:hAnsi="Verdana" w:cstheme="minorHAnsi"/>
                <w:sz w:val="18"/>
                <w:szCs w:val="18"/>
              </w:rPr>
            </w:pPr>
            <w:r w:rsidRPr="002034F8">
              <w:rPr>
                <w:rFonts w:ascii="Verdana" w:hAnsi="Verdana" w:cstheme="minorHAnsi"/>
                <w:sz w:val="18"/>
                <w:szCs w:val="18"/>
              </w:rPr>
              <w:t>5</w:t>
            </w:r>
            <w:r>
              <w:rPr>
                <w:rFonts w:ascii="Verdana" w:hAnsi="Verdana" w:cstheme="minorHAnsi"/>
                <w:sz w:val="18"/>
                <w:szCs w:val="18"/>
              </w:rPr>
              <w:t>,</w:t>
            </w:r>
            <w:r w:rsidRPr="002034F8">
              <w:rPr>
                <w:rFonts w:ascii="Verdana" w:hAnsi="Verdana" w:cstheme="minorHAnsi"/>
                <w:sz w:val="18"/>
                <w:szCs w:val="18"/>
              </w:rPr>
              <w:t>50</w:t>
            </w:r>
          </w:p>
        </w:tc>
        <w:tc>
          <w:tcPr>
            <w:tcW w:w="654"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83</w:t>
            </w:r>
            <w:r>
              <w:rPr>
                <w:rFonts w:ascii="Verdana" w:hAnsi="Verdana" w:cstheme="minorHAnsi"/>
                <w:sz w:val="18"/>
                <w:szCs w:val="18"/>
              </w:rPr>
              <w:t>,</w:t>
            </w:r>
            <w:r w:rsidRPr="002034F8">
              <w:rPr>
                <w:rFonts w:ascii="Verdana" w:hAnsi="Verdana" w:cstheme="minorHAnsi"/>
                <w:sz w:val="18"/>
                <w:szCs w:val="18"/>
              </w:rPr>
              <w:t>47</w:t>
            </w:r>
          </w:p>
        </w:tc>
        <w:tc>
          <w:tcPr>
            <w:tcW w:w="602" w:type="pct"/>
            <w:tcBorders>
              <w:top w:val="nil"/>
              <w:left w:val="nil"/>
              <w:bottom w:val="nil"/>
              <w:right w:val="nil"/>
            </w:tcBorders>
          </w:tcPr>
          <w:p w:rsidR="00555804" w:rsidRPr="002034F8" w:rsidRDefault="00555804" w:rsidP="005C2415">
            <w:pPr>
              <w:pStyle w:val="SecurityCont2"/>
              <w:keepNext/>
              <w:spacing w:after="0"/>
              <w:jc w:val="center"/>
              <w:rPr>
                <w:rFonts w:ascii="Verdana" w:hAnsi="Verdana" w:cstheme="minorHAnsi"/>
                <w:sz w:val="18"/>
                <w:szCs w:val="18"/>
              </w:rPr>
            </w:pPr>
            <w:r w:rsidRPr="002034F8">
              <w:rPr>
                <w:rFonts w:ascii="Verdana" w:hAnsi="Verdana" w:cstheme="minorHAnsi"/>
                <w:sz w:val="18"/>
                <w:szCs w:val="18"/>
              </w:rPr>
              <w:t>85</w:t>
            </w:r>
            <w:r>
              <w:rPr>
                <w:rFonts w:ascii="Verdana" w:hAnsi="Verdana" w:cstheme="minorHAnsi"/>
                <w:sz w:val="18"/>
                <w:szCs w:val="18"/>
              </w:rPr>
              <w:t>,</w:t>
            </w:r>
            <w:r w:rsidRPr="002034F8">
              <w:rPr>
                <w:rFonts w:ascii="Verdana" w:hAnsi="Verdana" w:cstheme="minorHAnsi"/>
                <w:sz w:val="18"/>
                <w:szCs w:val="18"/>
              </w:rPr>
              <w:t>23</w:t>
            </w:r>
          </w:p>
        </w:tc>
        <w:tc>
          <w:tcPr>
            <w:tcW w:w="601" w:type="pct"/>
            <w:tcBorders>
              <w:top w:val="nil"/>
              <w:left w:val="nil"/>
              <w:bottom w:val="nil"/>
              <w:right w:val="nil"/>
            </w:tcBorders>
          </w:tcPr>
          <w:p w:rsidR="00555804" w:rsidRPr="00AC19AE" w:rsidRDefault="00555804" w:rsidP="005C2415">
            <w:pPr>
              <w:pStyle w:val="SecurityCont2"/>
              <w:keepNext/>
              <w:spacing w:after="0"/>
              <w:jc w:val="center"/>
              <w:rPr>
                <w:rFonts w:ascii="Verdana" w:hAnsi="Verdana" w:cstheme="minorHAnsi"/>
                <w:sz w:val="18"/>
                <w:szCs w:val="18"/>
              </w:rPr>
            </w:pPr>
            <w:r w:rsidRPr="00AC19AE">
              <w:rPr>
                <w:rFonts w:ascii="Verdana" w:hAnsi="Verdana" w:cstheme="minorHAnsi"/>
                <w:sz w:val="18"/>
                <w:szCs w:val="18"/>
              </w:rPr>
              <w:t>2</w:t>
            </w:r>
            <w:r>
              <w:rPr>
                <w:rFonts w:ascii="Verdana" w:hAnsi="Verdana" w:cstheme="minorHAnsi"/>
                <w:sz w:val="18"/>
                <w:szCs w:val="18"/>
              </w:rPr>
              <w:t>,</w:t>
            </w:r>
            <w:r w:rsidRPr="00AC19AE">
              <w:rPr>
                <w:rFonts w:ascii="Verdana" w:hAnsi="Verdana" w:cstheme="minorHAnsi"/>
                <w:sz w:val="18"/>
                <w:szCs w:val="18"/>
              </w:rPr>
              <w:t>0</w:t>
            </w:r>
          </w:p>
        </w:tc>
      </w:tr>
    </w:tbl>
    <w:p w:rsidR="00CD4697" w:rsidRPr="007B6295" w:rsidRDefault="00CD4697" w:rsidP="008C4159">
      <w:pPr>
        <w:pStyle w:val="SecurityL8"/>
        <w:keepNext/>
        <w:numPr>
          <w:ilvl w:val="0"/>
          <w:numId w:val="0"/>
        </w:numPr>
        <w:autoSpaceDE w:val="0"/>
        <w:autoSpaceDN w:val="0"/>
        <w:adjustRightInd w:val="0"/>
        <w:spacing w:after="0"/>
        <w:rPr>
          <w:sz w:val="16"/>
          <w:szCs w:val="16"/>
        </w:rPr>
      </w:pPr>
    </w:p>
    <w:p w:rsidR="00555804" w:rsidRPr="00555804" w:rsidRDefault="00555804" w:rsidP="00CC65A8">
      <w:pPr>
        <w:pStyle w:val="SecurityL9"/>
        <w:numPr>
          <w:ilvl w:val="8"/>
          <w:numId w:val="40"/>
        </w:numPr>
        <w:autoSpaceDE w:val="0"/>
        <w:autoSpaceDN w:val="0"/>
        <w:adjustRightInd w:val="0"/>
        <w:spacing w:after="0"/>
        <w:rPr>
          <w:rFonts w:ascii="Verdana" w:hAnsi="Verdana"/>
          <w:i w:val="0"/>
          <w:sz w:val="16"/>
          <w:szCs w:val="16"/>
          <w:lang w:val="es-ES_tradnl"/>
        </w:rPr>
      </w:pPr>
      <w:r>
        <w:rPr>
          <w:rFonts w:ascii="Verdana" w:hAnsi="Verdana"/>
          <w:i w:val="0"/>
          <w:sz w:val="16"/>
          <w:szCs w:val="16"/>
          <w:lang w:val="es-ES_tradnl"/>
        </w:rPr>
        <w:t xml:space="preserve">Proyección del precio de referencia del crudo </w:t>
      </w:r>
      <w:r w:rsidR="0082298B">
        <w:rPr>
          <w:rFonts w:ascii="Verdana" w:hAnsi="Verdana"/>
          <w:i w:val="0"/>
          <w:sz w:val="16"/>
          <w:szCs w:val="16"/>
          <w:lang w:val="es-ES_tradnl"/>
        </w:rPr>
        <w:t>Brent</w:t>
      </w:r>
      <w:r>
        <w:rPr>
          <w:rFonts w:ascii="Verdana" w:hAnsi="Verdana"/>
          <w:i w:val="0"/>
          <w:sz w:val="16"/>
          <w:szCs w:val="16"/>
          <w:lang w:val="es-ES_tradnl"/>
        </w:rPr>
        <w:t xml:space="preserve"> publicado por Sproule.</w:t>
      </w:r>
    </w:p>
    <w:p w:rsidR="00CD4697" w:rsidRPr="00870D01" w:rsidRDefault="00CD4697" w:rsidP="00CC65A8">
      <w:pPr>
        <w:pStyle w:val="SecurityL9"/>
        <w:numPr>
          <w:ilvl w:val="8"/>
          <w:numId w:val="40"/>
        </w:numPr>
        <w:autoSpaceDE w:val="0"/>
        <w:autoSpaceDN w:val="0"/>
        <w:adjustRightInd w:val="0"/>
        <w:spacing w:after="0"/>
        <w:rPr>
          <w:rFonts w:ascii="Verdana" w:hAnsi="Verdana"/>
          <w:i w:val="0"/>
          <w:sz w:val="16"/>
          <w:szCs w:val="16"/>
          <w:lang w:val="es-ES_tradnl"/>
        </w:rPr>
      </w:pPr>
      <w:r>
        <w:rPr>
          <w:rFonts w:ascii="Verdana" w:hAnsi="Verdana"/>
          <w:i w:val="0"/>
          <w:sz w:val="16"/>
          <w:szCs w:val="16"/>
          <w:lang w:val="es-AR"/>
        </w:rPr>
        <w:t>Las proyecciones de precios del crudo de Tierra del Fuego (“</w:t>
      </w:r>
      <w:r>
        <w:rPr>
          <w:rFonts w:ascii="Verdana" w:hAnsi="Verdana"/>
          <w:b/>
          <w:bCs/>
          <w:i w:val="0"/>
          <w:sz w:val="16"/>
          <w:szCs w:val="16"/>
          <w:lang w:val="es-AR"/>
        </w:rPr>
        <w:t>TDF</w:t>
      </w:r>
      <w:r>
        <w:rPr>
          <w:rFonts w:ascii="Verdana" w:hAnsi="Verdana"/>
          <w:i w:val="0"/>
          <w:sz w:val="16"/>
          <w:szCs w:val="16"/>
          <w:lang w:val="es-AR"/>
        </w:rPr>
        <w:t>“) se basan en el precio de referencia proyectado del crudo Brent publicado por</w:t>
      </w:r>
      <w:r w:rsidR="0087246F">
        <w:rPr>
          <w:rFonts w:ascii="Verdana" w:hAnsi="Verdana"/>
          <w:i w:val="0"/>
          <w:sz w:val="16"/>
          <w:szCs w:val="16"/>
          <w:lang w:val="es-AR"/>
        </w:rPr>
        <w:t xml:space="preserve"> Sproule</w:t>
      </w:r>
      <w:r>
        <w:rPr>
          <w:rFonts w:ascii="Verdana" w:hAnsi="Verdana"/>
          <w:i w:val="0"/>
          <w:sz w:val="16"/>
          <w:szCs w:val="16"/>
          <w:lang w:val="es-AR"/>
        </w:rPr>
        <w:t>, menos un descuento de US$</w:t>
      </w:r>
      <w:r w:rsidR="0071742C">
        <w:rPr>
          <w:rFonts w:ascii="Verdana" w:hAnsi="Verdana"/>
          <w:i w:val="0"/>
          <w:sz w:val="16"/>
          <w:szCs w:val="16"/>
          <w:lang w:val="es-AR"/>
        </w:rPr>
        <w:t>1</w:t>
      </w:r>
      <w:r w:rsidR="0087246F">
        <w:rPr>
          <w:rFonts w:ascii="Verdana" w:hAnsi="Verdana"/>
          <w:i w:val="0"/>
          <w:sz w:val="16"/>
          <w:szCs w:val="16"/>
          <w:lang w:val="es-AR"/>
        </w:rPr>
        <w:t>5</w:t>
      </w:r>
      <w:r>
        <w:rPr>
          <w:rFonts w:ascii="Verdana" w:hAnsi="Verdana"/>
          <w:i w:val="0"/>
          <w:sz w:val="16"/>
          <w:szCs w:val="16"/>
          <w:lang w:val="es-AR"/>
        </w:rPr>
        <w:t>,00 por bbl.</w:t>
      </w:r>
    </w:p>
    <w:p w:rsidR="0087246F" w:rsidRPr="0087246F" w:rsidRDefault="0087246F" w:rsidP="00CD4697">
      <w:pPr>
        <w:pStyle w:val="SecurityL9"/>
        <w:numPr>
          <w:ilvl w:val="8"/>
          <w:numId w:val="40"/>
        </w:numPr>
        <w:tabs>
          <w:tab w:val="num" w:pos="720"/>
        </w:tabs>
        <w:autoSpaceDE w:val="0"/>
        <w:autoSpaceDN w:val="0"/>
        <w:adjustRightInd w:val="0"/>
        <w:spacing w:after="0"/>
        <w:rPr>
          <w:rFonts w:ascii="Verdana" w:hAnsi="Verdana"/>
          <w:i w:val="0"/>
          <w:sz w:val="16"/>
          <w:szCs w:val="16"/>
          <w:lang w:val="es-ES_tradnl"/>
        </w:rPr>
      </w:pPr>
      <w:r>
        <w:rPr>
          <w:rFonts w:ascii="Verdana" w:hAnsi="Verdana"/>
          <w:i w:val="0"/>
          <w:sz w:val="16"/>
          <w:szCs w:val="16"/>
          <w:lang w:val="es-ES_tradnl"/>
        </w:rPr>
        <w:t xml:space="preserve">El precio </w:t>
      </w:r>
      <w:r>
        <w:rPr>
          <w:rFonts w:ascii="Verdana" w:hAnsi="Verdana"/>
          <w:i w:val="0"/>
          <w:sz w:val="16"/>
          <w:szCs w:val="16"/>
          <w:lang w:val="es-AR"/>
        </w:rPr>
        <w:t xml:space="preserve">del LGN de TDF de </w:t>
      </w:r>
      <w:r w:rsidR="00555804">
        <w:rPr>
          <w:rFonts w:ascii="Verdana" w:hAnsi="Verdana"/>
          <w:i w:val="0"/>
          <w:sz w:val="16"/>
          <w:szCs w:val="16"/>
          <w:lang w:val="es-AR"/>
        </w:rPr>
        <w:t xml:space="preserve">2025 </w:t>
      </w:r>
      <w:r>
        <w:rPr>
          <w:rFonts w:ascii="Verdana" w:hAnsi="Verdana"/>
          <w:i w:val="0"/>
          <w:sz w:val="16"/>
          <w:szCs w:val="16"/>
          <w:lang w:val="es-AR"/>
        </w:rPr>
        <w:t xml:space="preserve">se basa en el promedio del precio ponderado de 12 meses recibido en </w:t>
      </w:r>
      <w:r w:rsidR="00555804">
        <w:rPr>
          <w:rFonts w:ascii="Verdana" w:hAnsi="Verdana"/>
          <w:i w:val="0"/>
          <w:sz w:val="16"/>
          <w:szCs w:val="16"/>
          <w:lang w:val="es-AR"/>
        </w:rPr>
        <w:t>2024</w:t>
      </w:r>
      <w:r>
        <w:rPr>
          <w:rFonts w:ascii="Verdana" w:hAnsi="Verdana"/>
          <w:i w:val="0"/>
          <w:sz w:val="16"/>
          <w:szCs w:val="16"/>
          <w:lang w:val="es-AR"/>
        </w:rPr>
        <w:t>, incrementado en un 2% anual a partir de entonces.</w:t>
      </w:r>
    </w:p>
    <w:p w:rsidR="00CD4697" w:rsidRPr="00870D01" w:rsidRDefault="00CD4697" w:rsidP="00CD4697">
      <w:pPr>
        <w:pStyle w:val="SecurityL9"/>
        <w:numPr>
          <w:ilvl w:val="8"/>
          <w:numId w:val="40"/>
        </w:numPr>
        <w:tabs>
          <w:tab w:val="num" w:pos="720"/>
        </w:tabs>
        <w:autoSpaceDE w:val="0"/>
        <w:autoSpaceDN w:val="0"/>
        <w:adjustRightInd w:val="0"/>
        <w:spacing w:after="0"/>
        <w:rPr>
          <w:rFonts w:ascii="Verdana" w:hAnsi="Verdana"/>
          <w:i w:val="0"/>
          <w:sz w:val="16"/>
          <w:szCs w:val="16"/>
          <w:lang w:val="es-ES_tradnl"/>
        </w:rPr>
      </w:pPr>
      <w:r>
        <w:rPr>
          <w:rFonts w:ascii="Verdana" w:hAnsi="Verdana"/>
          <w:i w:val="0"/>
          <w:sz w:val="16"/>
          <w:szCs w:val="16"/>
          <w:lang w:val="es-AR"/>
        </w:rPr>
        <w:t xml:space="preserve">La producción de gas natural de las concesiones de TDF se comercializa a clientes en TDF y también en el territorio continental de Argentina, recibiendo diferentes precios según lo oportunamente convenido en los contratos de compraventa. </w:t>
      </w:r>
      <w:r w:rsidR="0071742C">
        <w:rPr>
          <w:rFonts w:ascii="Verdana" w:hAnsi="Verdana"/>
          <w:i w:val="0"/>
          <w:sz w:val="16"/>
          <w:szCs w:val="16"/>
          <w:lang w:val="es-AR"/>
        </w:rPr>
        <w:t xml:space="preserve">Las </w:t>
      </w:r>
      <w:r>
        <w:rPr>
          <w:rFonts w:ascii="Verdana" w:hAnsi="Verdana"/>
          <w:i w:val="0"/>
          <w:sz w:val="16"/>
          <w:szCs w:val="16"/>
          <w:lang w:val="es-AR"/>
        </w:rPr>
        <w:t>proyecciones de precios representan una combinación de dichos precios</w:t>
      </w:r>
      <w:r w:rsidR="00077C1C">
        <w:rPr>
          <w:rFonts w:ascii="Verdana" w:hAnsi="Verdana"/>
          <w:i w:val="0"/>
          <w:sz w:val="16"/>
          <w:szCs w:val="16"/>
          <w:lang w:val="es-AR"/>
        </w:rPr>
        <w:t>, ajustada</w:t>
      </w:r>
      <w:r w:rsidR="0071742C">
        <w:rPr>
          <w:rFonts w:ascii="Verdana" w:hAnsi="Verdana"/>
          <w:i w:val="0"/>
          <w:sz w:val="16"/>
          <w:szCs w:val="16"/>
          <w:lang w:val="es-AR"/>
        </w:rPr>
        <w:t xml:space="preserve"> por </w:t>
      </w:r>
      <w:r w:rsidR="006568F0">
        <w:rPr>
          <w:rFonts w:ascii="Verdana" w:hAnsi="Verdana"/>
          <w:i w:val="0"/>
          <w:sz w:val="16"/>
          <w:szCs w:val="16"/>
          <w:lang w:val="es-AR"/>
        </w:rPr>
        <w:t>un poder calorífico de 1.0</w:t>
      </w:r>
      <w:r w:rsidR="0087246F">
        <w:rPr>
          <w:rFonts w:ascii="Verdana" w:hAnsi="Verdana"/>
          <w:i w:val="0"/>
          <w:sz w:val="16"/>
          <w:szCs w:val="16"/>
          <w:lang w:val="es-AR"/>
        </w:rPr>
        <w:t>0</w:t>
      </w:r>
      <w:r w:rsidR="006568F0">
        <w:rPr>
          <w:rFonts w:ascii="Verdana" w:hAnsi="Verdana"/>
          <w:i w:val="0"/>
          <w:sz w:val="16"/>
          <w:szCs w:val="16"/>
          <w:lang w:val="es-AR"/>
        </w:rPr>
        <w:t>0 Btu/Scf</w:t>
      </w:r>
      <w:r>
        <w:rPr>
          <w:rFonts w:ascii="Verdana" w:hAnsi="Verdana"/>
          <w:i w:val="0"/>
          <w:sz w:val="16"/>
          <w:szCs w:val="16"/>
          <w:lang w:val="es-AR"/>
        </w:rPr>
        <w:t>.</w:t>
      </w:r>
    </w:p>
    <w:p w:rsidR="00703EAF" w:rsidRPr="00D02CA9" w:rsidRDefault="00AE4BF0" w:rsidP="00CD4697">
      <w:pPr>
        <w:pStyle w:val="SecurityL9"/>
        <w:numPr>
          <w:ilvl w:val="8"/>
          <w:numId w:val="40"/>
        </w:numPr>
        <w:tabs>
          <w:tab w:val="num" w:pos="720"/>
        </w:tabs>
        <w:autoSpaceDE w:val="0"/>
        <w:autoSpaceDN w:val="0"/>
        <w:adjustRightInd w:val="0"/>
        <w:spacing w:after="0"/>
        <w:rPr>
          <w:rFonts w:ascii="Verdana" w:hAnsi="Verdana"/>
          <w:sz w:val="16"/>
          <w:szCs w:val="16"/>
          <w:lang w:val="es-ES_tradnl"/>
        </w:rPr>
      </w:pPr>
      <w:r>
        <w:rPr>
          <w:rFonts w:ascii="Verdana" w:hAnsi="Verdana"/>
          <w:i w:val="0"/>
          <w:sz w:val="16"/>
          <w:szCs w:val="16"/>
          <w:lang w:val="es-AR"/>
        </w:rPr>
        <w:t>Las proyecciones de precios para el crudo producido en Chañares Herrados (“</w:t>
      </w:r>
      <w:r>
        <w:rPr>
          <w:rFonts w:ascii="Verdana" w:hAnsi="Verdana"/>
          <w:b/>
          <w:bCs/>
          <w:i w:val="0"/>
          <w:sz w:val="16"/>
          <w:szCs w:val="16"/>
          <w:lang w:val="es-AR"/>
        </w:rPr>
        <w:t>CH</w:t>
      </w:r>
      <w:r>
        <w:rPr>
          <w:rFonts w:ascii="Verdana" w:hAnsi="Verdana"/>
          <w:i w:val="0"/>
          <w:sz w:val="16"/>
          <w:szCs w:val="16"/>
          <w:lang w:val="es-AR"/>
        </w:rPr>
        <w:t xml:space="preserve">”) </w:t>
      </w:r>
      <w:r w:rsidR="00AD4F15">
        <w:rPr>
          <w:rFonts w:ascii="Verdana" w:hAnsi="Verdana"/>
          <w:i w:val="0"/>
          <w:sz w:val="16"/>
          <w:szCs w:val="16"/>
          <w:lang w:val="es-AR"/>
        </w:rPr>
        <w:t>y Puesto Pozo Cercado Oriental (“</w:t>
      </w:r>
      <w:proofErr w:type="spellStart"/>
      <w:r w:rsidR="00AD4F15">
        <w:rPr>
          <w:rFonts w:ascii="Verdana" w:hAnsi="Verdana"/>
          <w:b/>
          <w:i w:val="0"/>
          <w:sz w:val="16"/>
          <w:szCs w:val="16"/>
          <w:lang w:val="es-AR"/>
        </w:rPr>
        <w:t>PPCO</w:t>
      </w:r>
      <w:proofErr w:type="spellEnd"/>
      <w:r w:rsidR="00AD4F15">
        <w:rPr>
          <w:rFonts w:ascii="Verdana" w:hAnsi="Verdana"/>
          <w:b/>
          <w:i w:val="0"/>
          <w:sz w:val="16"/>
          <w:szCs w:val="16"/>
          <w:lang w:val="es-AR"/>
        </w:rPr>
        <w:t>”</w:t>
      </w:r>
      <w:r w:rsidR="00AD4F15">
        <w:rPr>
          <w:rFonts w:ascii="Verdana" w:hAnsi="Verdana"/>
          <w:i w:val="0"/>
          <w:sz w:val="16"/>
          <w:szCs w:val="16"/>
          <w:lang w:val="es-AR"/>
        </w:rPr>
        <w:t xml:space="preserve">) </w:t>
      </w:r>
      <w:r w:rsidR="00825CEA">
        <w:rPr>
          <w:rFonts w:ascii="Verdana" w:hAnsi="Verdana"/>
          <w:i w:val="0"/>
          <w:sz w:val="16"/>
          <w:szCs w:val="16"/>
          <w:lang w:val="es-AR"/>
        </w:rPr>
        <w:t xml:space="preserve">de </w:t>
      </w:r>
      <w:r w:rsidR="00555804">
        <w:rPr>
          <w:rFonts w:ascii="Verdana" w:hAnsi="Verdana"/>
          <w:i w:val="0"/>
          <w:sz w:val="16"/>
          <w:szCs w:val="16"/>
          <w:lang w:val="es-AR"/>
        </w:rPr>
        <w:t xml:space="preserve">2025 </w:t>
      </w:r>
      <w:r>
        <w:rPr>
          <w:rFonts w:ascii="Verdana" w:hAnsi="Verdana"/>
          <w:i w:val="0"/>
          <w:sz w:val="16"/>
          <w:szCs w:val="16"/>
          <w:lang w:val="es-AR"/>
        </w:rPr>
        <w:t xml:space="preserve">se basan en </w:t>
      </w:r>
      <w:r w:rsidR="001B3B44">
        <w:rPr>
          <w:rFonts w:ascii="Verdana" w:hAnsi="Verdana"/>
          <w:i w:val="0"/>
          <w:sz w:val="16"/>
          <w:szCs w:val="16"/>
          <w:lang w:val="es-AR"/>
        </w:rPr>
        <w:t xml:space="preserve">los contratos de </w:t>
      </w:r>
      <w:r w:rsidR="00D02CA9">
        <w:rPr>
          <w:rFonts w:ascii="Verdana" w:hAnsi="Verdana"/>
          <w:i w:val="0"/>
          <w:sz w:val="16"/>
          <w:szCs w:val="16"/>
          <w:lang w:val="es-AR"/>
        </w:rPr>
        <w:t>compra</w:t>
      </w:r>
      <w:r w:rsidR="001B3B44">
        <w:rPr>
          <w:rFonts w:ascii="Verdana" w:hAnsi="Verdana"/>
          <w:i w:val="0"/>
          <w:sz w:val="16"/>
          <w:szCs w:val="16"/>
          <w:lang w:val="es-AR"/>
        </w:rPr>
        <w:t xml:space="preserve">venta actuales de la Compañía y los presupuestos del operador para </w:t>
      </w:r>
      <w:r w:rsidR="00555804">
        <w:rPr>
          <w:rFonts w:ascii="Verdana" w:hAnsi="Verdana"/>
          <w:i w:val="0"/>
          <w:sz w:val="16"/>
          <w:szCs w:val="16"/>
          <w:lang w:val="es-AR"/>
        </w:rPr>
        <w:t>2025</w:t>
      </w:r>
      <w:r w:rsidR="001B3B44">
        <w:rPr>
          <w:rFonts w:ascii="Verdana" w:hAnsi="Verdana"/>
          <w:i w:val="0"/>
          <w:sz w:val="16"/>
          <w:szCs w:val="16"/>
          <w:lang w:val="es-AR"/>
        </w:rPr>
        <w:t xml:space="preserve">. </w:t>
      </w:r>
      <w:r w:rsidR="006D75AB">
        <w:rPr>
          <w:rFonts w:ascii="Verdana" w:hAnsi="Verdana"/>
          <w:i w:val="0"/>
          <w:sz w:val="16"/>
          <w:szCs w:val="16"/>
          <w:lang w:val="es-AR"/>
        </w:rPr>
        <w:t xml:space="preserve">De </w:t>
      </w:r>
      <w:r w:rsidR="00555804">
        <w:rPr>
          <w:rFonts w:ascii="Verdana" w:hAnsi="Verdana"/>
          <w:i w:val="0"/>
          <w:sz w:val="16"/>
          <w:szCs w:val="16"/>
          <w:lang w:val="es-AR"/>
        </w:rPr>
        <w:t xml:space="preserve">2026 </w:t>
      </w:r>
      <w:r w:rsidR="006D75AB">
        <w:rPr>
          <w:rFonts w:ascii="Verdana" w:hAnsi="Verdana"/>
          <w:i w:val="0"/>
          <w:sz w:val="16"/>
          <w:szCs w:val="16"/>
          <w:lang w:val="es-AR"/>
        </w:rPr>
        <w:t>en adelante</w:t>
      </w:r>
      <w:r w:rsidR="001B3B44">
        <w:rPr>
          <w:rFonts w:ascii="Verdana" w:hAnsi="Verdana"/>
          <w:i w:val="0"/>
          <w:sz w:val="16"/>
          <w:szCs w:val="16"/>
          <w:lang w:val="es-AR"/>
        </w:rPr>
        <w:t xml:space="preserve">, </w:t>
      </w:r>
      <w:r w:rsidR="00845A85">
        <w:rPr>
          <w:rFonts w:ascii="Verdana" w:hAnsi="Verdana"/>
          <w:i w:val="0"/>
          <w:sz w:val="16"/>
          <w:szCs w:val="16"/>
          <w:lang w:val="es-AR"/>
        </w:rPr>
        <w:t xml:space="preserve">la proyección de </w:t>
      </w:r>
      <w:r w:rsidR="001B3B44">
        <w:rPr>
          <w:rFonts w:ascii="Verdana" w:hAnsi="Verdana"/>
          <w:i w:val="0"/>
          <w:sz w:val="16"/>
          <w:szCs w:val="16"/>
          <w:lang w:val="es-AR"/>
        </w:rPr>
        <w:t>precio</w:t>
      </w:r>
      <w:r w:rsidR="00845A85">
        <w:rPr>
          <w:rFonts w:ascii="Verdana" w:hAnsi="Verdana"/>
          <w:i w:val="0"/>
          <w:sz w:val="16"/>
          <w:szCs w:val="16"/>
          <w:lang w:val="es-AR"/>
        </w:rPr>
        <w:t>s</w:t>
      </w:r>
      <w:r w:rsidR="001B3B44">
        <w:rPr>
          <w:rFonts w:ascii="Verdana" w:hAnsi="Verdana"/>
          <w:i w:val="0"/>
          <w:sz w:val="16"/>
          <w:szCs w:val="16"/>
          <w:lang w:val="es-AR"/>
        </w:rPr>
        <w:t xml:space="preserve"> se basa en 92% </w:t>
      </w:r>
      <w:r w:rsidR="00C4101B">
        <w:rPr>
          <w:rFonts w:ascii="Verdana" w:hAnsi="Verdana"/>
          <w:i w:val="0"/>
          <w:sz w:val="16"/>
          <w:szCs w:val="16"/>
          <w:lang w:val="es-AR"/>
        </w:rPr>
        <w:t xml:space="preserve">de </w:t>
      </w:r>
      <w:r w:rsidR="004F1420">
        <w:rPr>
          <w:rFonts w:ascii="Verdana" w:hAnsi="Verdana"/>
          <w:i w:val="0"/>
          <w:sz w:val="16"/>
          <w:szCs w:val="16"/>
          <w:lang w:val="es-AR"/>
        </w:rPr>
        <w:t xml:space="preserve">la proyección </w:t>
      </w:r>
      <w:r w:rsidR="00DD174B">
        <w:rPr>
          <w:rFonts w:ascii="Verdana" w:hAnsi="Verdana"/>
          <w:i w:val="0"/>
          <w:sz w:val="16"/>
          <w:szCs w:val="16"/>
          <w:lang w:val="es-AR"/>
        </w:rPr>
        <w:t>d</w:t>
      </w:r>
      <w:r w:rsidR="001B3B44">
        <w:rPr>
          <w:rFonts w:ascii="Verdana" w:hAnsi="Verdana"/>
          <w:i w:val="0"/>
          <w:sz w:val="16"/>
          <w:szCs w:val="16"/>
          <w:lang w:val="es-AR"/>
        </w:rPr>
        <w:t>el precio del crudo Brent de Sproule menos un descuento de U</w:t>
      </w:r>
      <w:r w:rsidR="00703EAF">
        <w:rPr>
          <w:rFonts w:ascii="Verdana" w:hAnsi="Verdana"/>
          <w:i w:val="0"/>
          <w:sz w:val="16"/>
          <w:szCs w:val="16"/>
          <w:lang w:val="es-AR"/>
        </w:rPr>
        <w:t>S$3,00 por bbl.</w:t>
      </w:r>
    </w:p>
    <w:p w:rsidR="00555804" w:rsidRPr="00555804" w:rsidRDefault="00555804" w:rsidP="00CD4697">
      <w:pPr>
        <w:pStyle w:val="SecurityL9"/>
        <w:numPr>
          <w:ilvl w:val="8"/>
          <w:numId w:val="40"/>
        </w:numPr>
        <w:tabs>
          <w:tab w:val="num" w:pos="720"/>
        </w:tabs>
        <w:autoSpaceDE w:val="0"/>
        <w:autoSpaceDN w:val="0"/>
        <w:adjustRightInd w:val="0"/>
        <w:spacing w:after="0"/>
        <w:rPr>
          <w:rFonts w:ascii="Verdana" w:hAnsi="Verdana"/>
          <w:sz w:val="16"/>
          <w:szCs w:val="16"/>
          <w:lang w:val="es-ES_tradnl"/>
        </w:rPr>
      </w:pPr>
      <w:r>
        <w:rPr>
          <w:rFonts w:ascii="Verdana" w:hAnsi="Verdana"/>
          <w:i w:val="0"/>
          <w:sz w:val="16"/>
          <w:szCs w:val="16"/>
          <w:lang w:val="es-ES_tradnl"/>
        </w:rPr>
        <w:t>El precio realizado de</w:t>
      </w:r>
      <w:r w:rsidR="00C700E3">
        <w:rPr>
          <w:rFonts w:ascii="Verdana" w:hAnsi="Verdana"/>
          <w:i w:val="0"/>
          <w:sz w:val="16"/>
          <w:szCs w:val="16"/>
          <w:lang w:val="es-ES_tradnl"/>
        </w:rPr>
        <w:t xml:space="preserve"> la</w:t>
      </w:r>
      <w:r>
        <w:rPr>
          <w:rFonts w:ascii="Verdana" w:hAnsi="Verdana"/>
          <w:i w:val="0"/>
          <w:sz w:val="16"/>
          <w:szCs w:val="16"/>
          <w:lang w:val="es-ES_tradnl"/>
        </w:rPr>
        <w:t xml:space="preserve"> producción de petróleo </w:t>
      </w:r>
      <w:r w:rsidR="00C700E3">
        <w:rPr>
          <w:rFonts w:ascii="Verdana" w:hAnsi="Verdana"/>
          <w:i w:val="0"/>
          <w:sz w:val="16"/>
          <w:szCs w:val="16"/>
          <w:lang w:val="es-ES_tradnl"/>
        </w:rPr>
        <w:t xml:space="preserve">de gravedad </w:t>
      </w:r>
      <w:r>
        <w:rPr>
          <w:rFonts w:ascii="Verdana" w:hAnsi="Verdana"/>
          <w:i w:val="0"/>
          <w:sz w:val="16"/>
          <w:szCs w:val="16"/>
          <w:lang w:val="es-ES_tradnl"/>
        </w:rPr>
        <w:t>pesad</w:t>
      </w:r>
      <w:r w:rsidR="00C700E3">
        <w:rPr>
          <w:rFonts w:ascii="Verdana" w:hAnsi="Verdana"/>
          <w:i w:val="0"/>
          <w:sz w:val="16"/>
          <w:szCs w:val="16"/>
          <w:lang w:val="es-ES_tradnl"/>
        </w:rPr>
        <w:t>a</w:t>
      </w:r>
      <w:r>
        <w:rPr>
          <w:rFonts w:ascii="Verdana" w:hAnsi="Verdana"/>
          <w:i w:val="0"/>
          <w:sz w:val="16"/>
          <w:szCs w:val="16"/>
          <w:lang w:val="es-ES_tradnl"/>
        </w:rPr>
        <w:t xml:space="preserve"> y medi</w:t>
      </w:r>
      <w:r w:rsidR="00C700E3">
        <w:rPr>
          <w:rFonts w:ascii="Verdana" w:hAnsi="Verdana"/>
          <w:i w:val="0"/>
          <w:sz w:val="16"/>
          <w:szCs w:val="16"/>
          <w:lang w:val="es-ES_tradnl"/>
        </w:rPr>
        <w:t>a</w:t>
      </w:r>
      <w:r>
        <w:rPr>
          <w:rFonts w:ascii="Verdana" w:hAnsi="Verdana"/>
          <w:i w:val="0"/>
          <w:sz w:val="16"/>
          <w:szCs w:val="16"/>
          <w:lang w:val="es-ES_tradnl"/>
        </w:rPr>
        <w:t xml:space="preserve"> de Piedra Clavada (“</w:t>
      </w:r>
      <w:r w:rsidRPr="00555804">
        <w:rPr>
          <w:rFonts w:ascii="Verdana" w:hAnsi="Verdana"/>
          <w:b/>
          <w:i w:val="0"/>
          <w:sz w:val="16"/>
          <w:szCs w:val="16"/>
          <w:lang w:val="es-ES_tradnl"/>
        </w:rPr>
        <w:t>PC</w:t>
      </w:r>
      <w:r w:rsidRPr="00555804">
        <w:rPr>
          <w:rFonts w:ascii="Verdana" w:hAnsi="Verdana"/>
          <w:i w:val="0"/>
          <w:sz w:val="16"/>
          <w:szCs w:val="16"/>
          <w:lang w:val="es-ES_tradnl"/>
        </w:rPr>
        <w:t>”)</w:t>
      </w:r>
      <w:r>
        <w:rPr>
          <w:rFonts w:ascii="Verdana" w:hAnsi="Verdana"/>
          <w:i w:val="0"/>
          <w:sz w:val="16"/>
          <w:szCs w:val="16"/>
          <w:lang w:val="es-ES_tradnl"/>
        </w:rPr>
        <w:t xml:space="preserve"> y Koluel Kaike (“</w:t>
      </w:r>
      <w:r>
        <w:rPr>
          <w:rFonts w:ascii="Verdana" w:hAnsi="Verdana"/>
          <w:b/>
          <w:i w:val="0"/>
          <w:sz w:val="16"/>
          <w:szCs w:val="16"/>
          <w:lang w:val="es-ES_tradnl"/>
        </w:rPr>
        <w:t>KK</w:t>
      </w:r>
      <w:r>
        <w:rPr>
          <w:rFonts w:ascii="Verdana" w:hAnsi="Verdana"/>
          <w:i w:val="0"/>
          <w:sz w:val="16"/>
          <w:szCs w:val="16"/>
          <w:lang w:val="es-ES_tradnl"/>
        </w:rPr>
        <w:t>”) se basa en la proyección del precio del petróleo Brent menos $8,50/bbl reflejando el descuento de 2024 a Brent.</w:t>
      </w:r>
    </w:p>
    <w:p w:rsidR="00D02CA9" w:rsidRPr="00D02CA9" w:rsidRDefault="00555804" w:rsidP="00CD4697">
      <w:pPr>
        <w:pStyle w:val="SecurityL9"/>
        <w:numPr>
          <w:ilvl w:val="8"/>
          <w:numId w:val="40"/>
        </w:numPr>
        <w:tabs>
          <w:tab w:val="num" w:pos="720"/>
        </w:tabs>
        <w:autoSpaceDE w:val="0"/>
        <w:autoSpaceDN w:val="0"/>
        <w:adjustRightInd w:val="0"/>
        <w:spacing w:after="0"/>
        <w:rPr>
          <w:rFonts w:ascii="Verdana" w:hAnsi="Verdana"/>
          <w:sz w:val="16"/>
          <w:szCs w:val="16"/>
          <w:lang w:val="es-ES_tradnl"/>
        </w:rPr>
      </w:pPr>
      <w:r>
        <w:rPr>
          <w:rFonts w:ascii="Verdana" w:hAnsi="Verdana"/>
          <w:i w:val="0"/>
          <w:sz w:val="16"/>
          <w:szCs w:val="16"/>
          <w:lang w:val="es-AR"/>
        </w:rPr>
        <w:t>Las t</w:t>
      </w:r>
      <w:r w:rsidR="00D02CA9">
        <w:rPr>
          <w:rFonts w:ascii="Verdana" w:hAnsi="Verdana"/>
          <w:i w:val="0"/>
          <w:sz w:val="16"/>
          <w:szCs w:val="16"/>
          <w:lang w:val="es-AR"/>
        </w:rPr>
        <w:t xml:space="preserve">asas de inflación aplicadas para proyectar costos </w:t>
      </w:r>
      <w:r>
        <w:rPr>
          <w:rFonts w:ascii="Verdana" w:hAnsi="Verdana"/>
          <w:i w:val="0"/>
          <w:sz w:val="16"/>
          <w:szCs w:val="16"/>
          <w:lang w:val="es-AR"/>
        </w:rPr>
        <w:t xml:space="preserve">han sido adaptadas para </w:t>
      </w:r>
      <w:r w:rsidR="00C700E3">
        <w:rPr>
          <w:rFonts w:ascii="Verdana" w:hAnsi="Verdana"/>
          <w:i w:val="0"/>
          <w:sz w:val="16"/>
          <w:szCs w:val="16"/>
          <w:lang w:val="es-AR"/>
        </w:rPr>
        <w:t>representar</w:t>
      </w:r>
      <w:r>
        <w:rPr>
          <w:rFonts w:ascii="Verdana" w:hAnsi="Verdana"/>
          <w:i w:val="0"/>
          <w:sz w:val="16"/>
          <w:szCs w:val="16"/>
          <w:lang w:val="es-AR"/>
        </w:rPr>
        <w:t xml:space="preserve"> hechos recientes y </w:t>
      </w:r>
      <w:r w:rsidR="00C700E3">
        <w:rPr>
          <w:rFonts w:ascii="Verdana" w:hAnsi="Verdana"/>
          <w:i w:val="0"/>
          <w:sz w:val="16"/>
          <w:szCs w:val="16"/>
          <w:lang w:val="es-AR"/>
        </w:rPr>
        <w:t>la</w:t>
      </w:r>
      <w:r>
        <w:rPr>
          <w:rFonts w:ascii="Verdana" w:hAnsi="Verdana"/>
          <w:i w:val="0"/>
          <w:sz w:val="16"/>
          <w:szCs w:val="16"/>
          <w:lang w:val="es-AR"/>
        </w:rPr>
        <w:t xml:space="preserve"> inflación regional </w:t>
      </w:r>
      <w:r w:rsidR="00C700E3">
        <w:rPr>
          <w:rFonts w:ascii="Verdana" w:hAnsi="Verdana"/>
          <w:i w:val="0"/>
          <w:sz w:val="16"/>
          <w:szCs w:val="16"/>
          <w:lang w:val="es-AR"/>
        </w:rPr>
        <w:t xml:space="preserve">prevista </w:t>
      </w:r>
      <w:r>
        <w:rPr>
          <w:rFonts w:ascii="Verdana" w:hAnsi="Verdana"/>
          <w:i w:val="0"/>
          <w:sz w:val="16"/>
          <w:szCs w:val="16"/>
          <w:lang w:val="es-AR"/>
        </w:rPr>
        <w:t>en Argentina</w:t>
      </w:r>
      <w:r w:rsidR="00D02CA9">
        <w:rPr>
          <w:rFonts w:ascii="Verdana" w:hAnsi="Verdana"/>
          <w:i w:val="0"/>
          <w:sz w:val="16"/>
          <w:szCs w:val="16"/>
          <w:lang w:val="es-AR"/>
        </w:rPr>
        <w:t>.</w:t>
      </w:r>
    </w:p>
    <w:p w:rsidR="00B65D9C" w:rsidRPr="00870D01" w:rsidRDefault="00D02CA9" w:rsidP="00DD174B">
      <w:pPr>
        <w:pStyle w:val="SecurityL9"/>
        <w:numPr>
          <w:ilvl w:val="8"/>
          <w:numId w:val="40"/>
        </w:numPr>
        <w:tabs>
          <w:tab w:val="num" w:pos="720"/>
        </w:tabs>
        <w:autoSpaceDE w:val="0"/>
        <w:autoSpaceDN w:val="0"/>
        <w:adjustRightInd w:val="0"/>
        <w:spacing w:after="0"/>
        <w:rPr>
          <w:rFonts w:ascii="Verdana" w:hAnsi="Verdana"/>
          <w:sz w:val="16"/>
          <w:szCs w:val="16"/>
          <w:lang w:val="es-ES_tradnl"/>
        </w:rPr>
      </w:pPr>
      <w:r w:rsidRPr="00C5050D">
        <w:rPr>
          <w:rFonts w:ascii="Verdana" w:hAnsi="Verdana"/>
          <w:i w:val="0"/>
          <w:sz w:val="16"/>
          <w:szCs w:val="16"/>
          <w:lang w:val="es-AR"/>
        </w:rPr>
        <w:t xml:space="preserve">Las concesiones de TDF finalizan en agosto de 2026, salvo que las mismas sean prorrogadas previo acuerdo con la Provincia de </w:t>
      </w:r>
      <w:r w:rsidR="0082298B">
        <w:rPr>
          <w:rFonts w:ascii="Verdana" w:hAnsi="Verdana"/>
          <w:i w:val="0"/>
          <w:sz w:val="16"/>
          <w:szCs w:val="16"/>
          <w:lang w:val="es-AR"/>
        </w:rPr>
        <w:t>Tierra</w:t>
      </w:r>
      <w:r w:rsidR="00555804">
        <w:rPr>
          <w:rFonts w:ascii="Verdana" w:hAnsi="Verdana"/>
          <w:i w:val="0"/>
          <w:sz w:val="16"/>
          <w:szCs w:val="16"/>
          <w:lang w:val="es-AR"/>
        </w:rPr>
        <w:t xml:space="preserve"> del Fuego</w:t>
      </w:r>
      <w:r w:rsidRPr="00C5050D">
        <w:rPr>
          <w:rFonts w:ascii="Verdana" w:hAnsi="Verdana"/>
          <w:i w:val="0"/>
          <w:sz w:val="16"/>
          <w:szCs w:val="16"/>
          <w:lang w:val="es-AR"/>
        </w:rPr>
        <w:t>.</w:t>
      </w:r>
      <w:r w:rsidR="005766DD" w:rsidRPr="00C5050D">
        <w:rPr>
          <w:rFonts w:ascii="Verdana" w:hAnsi="Verdana"/>
          <w:i w:val="0"/>
          <w:sz w:val="16"/>
          <w:szCs w:val="16"/>
          <w:lang w:val="es-AR"/>
        </w:rPr>
        <w:t xml:space="preserve"> </w:t>
      </w:r>
      <w:r w:rsidR="00DD174B" w:rsidRPr="00C5050D">
        <w:rPr>
          <w:rFonts w:ascii="Verdana" w:hAnsi="Verdana"/>
          <w:i w:val="0"/>
          <w:sz w:val="16"/>
          <w:szCs w:val="16"/>
          <w:lang w:val="es-AR"/>
        </w:rPr>
        <w:t xml:space="preserve">La Compañía prevé participar con la UTE de TDF para obtener una prórroga en el plazo </w:t>
      </w:r>
      <w:r w:rsidR="006C706A" w:rsidRPr="00C5050D">
        <w:rPr>
          <w:rFonts w:ascii="Verdana" w:hAnsi="Verdana"/>
          <w:i w:val="0"/>
          <w:sz w:val="16"/>
          <w:szCs w:val="16"/>
          <w:lang w:val="es-AR"/>
        </w:rPr>
        <w:t xml:space="preserve">original </w:t>
      </w:r>
      <w:r w:rsidR="00DD174B" w:rsidRPr="00C5050D">
        <w:rPr>
          <w:rFonts w:ascii="Verdana" w:hAnsi="Verdana"/>
          <w:i w:val="0"/>
          <w:sz w:val="16"/>
          <w:szCs w:val="16"/>
          <w:lang w:val="es-AR"/>
        </w:rPr>
        <w:t>de las concesiones de TDF.</w:t>
      </w:r>
    </w:p>
    <w:p w:rsidR="00300A6A" w:rsidRPr="00870D01" w:rsidRDefault="00300A6A" w:rsidP="00CC5A37">
      <w:pPr>
        <w:widowControl w:val="0"/>
        <w:spacing w:before="240"/>
        <w:jc w:val="both"/>
        <w:rPr>
          <w:sz w:val="20"/>
          <w:szCs w:val="20"/>
          <w:lang w:val="es-ES_tradnl"/>
        </w:rPr>
      </w:pPr>
      <w:r>
        <w:rPr>
          <w:sz w:val="20"/>
          <w:szCs w:val="20"/>
          <w:lang w:val="es-AR"/>
        </w:rPr>
        <w:lastRenderedPageBreak/>
        <w:t xml:space="preserve">Se incluirá más información sobre la evaluación de reservas de la Compañía al 31 de diciembre de </w:t>
      </w:r>
      <w:r w:rsidR="00555804">
        <w:rPr>
          <w:sz w:val="20"/>
          <w:szCs w:val="20"/>
          <w:lang w:val="es-AR"/>
        </w:rPr>
        <w:t xml:space="preserve">2024 </w:t>
      </w:r>
      <w:r>
        <w:rPr>
          <w:sz w:val="20"/>
          <w:szCs w:val="20"/>
          <w:lang w:val="es-AR"/>
        </w:rPr>
        <w:t xml:space="preserve">en las presentaciones en virtud del Instrumento Nacional 51-101 correspondientes al ejercicio finalizado el 31 de diciembre de </w:t>
      </w:r>
      <w:r w:rsidR="00555804">
        <w:rPr>
          <w:sz w:val="20"/>
          <w:szCs w:val="20"/>
          <w:lang w:val="es-AR"/>
        </w:rPr>
        <w:t xml:space="preserve">2024 </w:t>
      </w:r>
      <w:r>
        <w:rPr>
          <w:sz w:val="20"/>
          <w:szCs w:val="20"/>
          <w:lang w:val="es-AR"/>
        </w:rPr>
        <w:t xml:space="preserve">que la Compañía realizará en tiempo y forma ante las autoridades regulatorias de títulos valores pertinentes de Canadá. Dicha información estará disponible en el perfil de la Compañía en </w:t>
      </w:r>
      <w:hyperlink r:id="rId11" w:history="1">
        <w:r w:rsidR="006C706A" w:rsidRPr="00257812">
          <w:rPr>
            <w:rStyle w:val="Hipervnculo"/>
            <w:sz w:val="20"/>
            <w:szCs w:val="20"/>
            <w:lang w:val="es-AR"/>
          </w:rPr>
          <w:t>www.sedarplus.ca</w:t>
        </w:r>
      </w:hyperlink>
      <w:r>
        <w:rPr>
          <w:sz w:val="20"/>
          <w:szCs w:val="20"/>
          <w:lang w:val="es-AR"/>
        </w:rPr>
        <w:t> y en el sitio web de la Compañía, </w:t>
      </w:r>
      <w:hyperlink r:id="rId12" w:history="1">
        <w:r>
          <w:rPr>
            <w:color w:val="0000FF"/>
            <w:sz w:val="20"/>
            <w:szCs w:val="20"/>
            <w:u w:val="single"/>
            <w:lang w:val="es-AR"/>
          </w:rPr>
          <w:t>www.crownpointenergy.com</w:t>
        </w:r>
      </w:hyperlink>
      <w:r>
        <w:rPr>
          <w:sz w:val="20"/>
          <w:szCs w:val="20"/>
          <w:lang w:val="es-AR"/>
        </w:rPr>
        <w:t>.</w:t>
      </w:r>
    </w:p>
    <w:p w:rsidR="00300A6A" w:rsidRPr="00870D01" w:rsidRDefault="00300A6A" w:rsidP="00C35452">
      <w:pPr>
        <w:tabs>
          <w:tab w:val="left" w:pos="1440"/>
        </w:tabs>
        <w:spacing w:before="120" w:line="240" w:lineRule="atLeast"/>
        <w:jc w:val="both"/>
        <w:rPr>
          <w:sz w:val="20"/>
          <w:szCs w:val="20"/>
          <w:lang w:val="es-ES_tradnl"/>
        </w:rPr>
      </w:pPr>
    </w:p>
    <w:p w:rsidR="00997CEA" w:rsidRPr="00870D01" w:rsidRDefault="00997CEA" w:rsidP="00997CEA">
      <w:pPr>
        <w:rPr>
          <w:sz w:val="20"/>
          <w:szCs w:val="20"/>
          <w:lang w:val="es-ES_tradnl"/>
        </w:rPr>
      </w:pPr>
      <w:r>
        <w:rPr>
          <w:sz w:val="20"/>
          <w:szCs w:val="20"/>
          <w:lang w:val="es-AR"/>
        </w:rPr>
        <w:t>Ante cualquier consulta, contactarse con:</w:t>
      </w:r>
    </w:p>
    <w:p w:rsidR="00997CEA" w:rsidRPr="00870D01" w:rsidRDefault="00997CEA" w:rsidP="00997CEA">
      <w:pPr>
        <w:rPr>
          <w:sz w:val="20"/>
          <w:szCs w:val="20"/>
          <w:lang w:val="es-ES_tradnl"/>
        </w:rPr>
      </w:pPr>
    </w:p>
    <w:p w:rsidR="00997CEA" w:rsidRPr="00870D01" w:rsidRDefault="002123A8" w:rsidP="001E5C91">
      <w:pPr>
        <w:tabs>
          <w:tab w:val="left" w:pos="4253"/>
        </w:tabs>
        <w:outlineLvl w:val="0"/>
        <w:rPr>
          <w:sz w:val="20"/>
          <w:szCs w:val="20"/>
          <w:lang w:val="es-ES_tradnl"/>
        </w:rPr>
      </w:pPr>
      <w:r>
        <w:rPr>
          <w:sz w:val="20"/>
          <w:szCs w:val="20"/>
          <w:lang w:val="es-AR"/>
        </w:rPr>
        <w:t>Gabriel Obrador</w:t>
      </w:r>
      <w:r w:rsidR="00CA3FA0">
        <w:rPr>
          <w:sz w:val="20"/>
          <w:szCs w:val="20"/>
          <w:lang w:val="es-AR"/>
        </w:rPr>
        <w:tab/>
        <w:t>Marisa Tormakh</w:t>
      </w:r>
    </w:p>
    <w:p w:rsidR="00997CEA" w:rsidRPr="00870D01" w:rsidRDefault="00997CEA" w:rsidP="001E5C91">
      <w:pPr>
        <w:tabs>
          <w:tab w:val="left" w:pos="4395"/>
        </w:tabs>
        <w:ind w:left="4253" w:hanging="4253"/>
        <w:outlineLvl w:val="0"/>
        <w:rPr>
          <w:sz w:val="20"/>
          <w:szCs w:val="20"/>
          <w:lang w:val="es-ES_tradnl"/>
        </w:rPr>
      </w:pPr>
      <w:r>
        <w:rPr>
          <w:sz w:val="20"/>
          <w:szCs w:val="20"/>
          <w:lang w:val="es-AR"/>
        </w:rPr>
        <w:t>Presidente y Director Ejecutivo</w:t>
      </w:r>
      <w:r>
        <w:rPr>
          <w:sz w:val="20"/>
          <w:szCs w:val="20"/>
          <w:lang w:val="es-AR"/>
        </w:rPr>
        <w:tab/>
        <w:t>Vicepresidenta de Finanzas y Directora Financiera</w:t>
      </w:r>
    </w:p>
    <w:p w:rsidR="00997CEA" w:rsidRPr="00120232" w:rsidRDefault="00997CEA" w:rsidP="001E5C91">
      <w:pPr>
        <w:tabs>
          <w:tab w:val="left" w:pos="4253"/>
        </w:tabs>
        <w:rPr>
          <w:sz w:val="20"/>
          <w:szCs w:val="20"/>
        </w:rPr>
      </w:pPr>
      <w:r w:rsidRPr="00B91062">
        <w:rPr>
          <w:sz w:val="20"/>
          <w:szCs w:val="20"/>
        </w:rPr>
        <w:t>Teléfono: (403) 232-1150</w:t>
      </w:r>
      <w:r w:rsidR="00825CEA">
        <w:rPr>
          <w:sz w:val="20"/>
          <w:szCs w:val="20"/>
        </w:rPr>
        <w:tab/>
      </w:r>
      <w:r w:rsidRPr="00B91062">
        <w:rPr>
          <w:sz w:val="20"/>
          <w:szCs w:val="20"/>
        </w:rPr>
        <w:t>Teléfono: (403) 232-1150</w:t>
      </w:r>
    </w:p>
    <w:p w:rsidR="00997CEA" w:rsidRPr="00120232" w:rsidRDefault="00997CEA" w:rsidP="001E5C91">
      <w:pPr>
        <w:tabs>
          <w:tab w:val="left" w:pos="4253"/>
        </w:tabs>
        <w:rPr>
          <w:sz w:val="20"/>
          <w:szCs w:val="20"/>
        </w:rPr>
      </w:pPr>
      <w:r w:rsidRPr="00B91062">
        <w:rPr>
          <w:sz w:val="20"/>
          <w:szCs w:val="20"/>
        </w:rPr>
        <w:t>Crown Point Energy Inc.</w:t>
      </w:r>
      <w:r w:rsidRPr="00B91062">
        <w:rPr>
          <w:sz w:val="20"/>
          <w:szCs w:val="20"/>
        </w:rPr>
        <w:tab/>
        <w:t>Crown Point Energy Inc.</w:t>
      </w:r>
    </w:p>
    <w:p w:rsidR="00997CEA" w:rsidRPr="00120232" w:rsidRDefault="006E0F7F" w:rsidP="001E5C91">
      <w:pPr>
        <w:tabs>
          <w:tab w:val="left" w:pos="4253"/>
        </w:tabs>
        <w:rPr>
          <w:sz w:val="20"/>
          <w:szCs w:val="20"/>
        </w:rPr>
      </w:pPr>
      <w:hyperlink r:id="rId13" w:history="1">
        <w:r w:rsidR="002123A8" w:rsidRPr="00820C4A">
          <w:rPr>
            <w:rStyle w:val="Hipervnculo"/>
            <w:sz w:val="20"/>
            <w:szCs w:val="20"/>
          </w:rPr>
          <w:t>gobrador@crownpointenergy.com</w:t>
        </w:r>
      </w:hyperlink>
      <w:r w:rsidR="00255FB2" w:rsidRPr="00825CEA">
        <w:rPr>
          <w:sz w:val="20"/>
          <w:szCs w:val="20"/>
        </w:rPr>
        <w:tab/>
      </w:r>
      <w:hyperlink r:id="rId14" w:history="1">
        <w:r w:rsidR="00255FB2" w:rsidRPr="00B91062">
          <w:rPr>
            <w:rStyle w:val="Hipervnculo"/>
            <w:sz w:val="20"/>
            <w:szCs w:val="20"/>
          </w:rPr>
          <w:t>mtormakh@crownpointenergy.com</w:t>
        </w:r>
      </w:hyperlink>
      <w:r w:rsidR="00255FB2" w:rsidRPr="00B91062">
        <w:rPr>
          <w:sz w:val="20"/>
          <w:szCs w:val="20"/>
        </w:rPr>
        <w:t xml:space="preserve"> </w:t>
      </w:r>
    </w:p>
    <w:p w:rsidR="00A36152" w:rsidRPr="007B6295" w:rsidRDefault="00A36152" w:rsidP="00997CEA">
      <w:pPr>
        <w:rPr>
          <w:rFonts w:ascii="Times New Roman" w:hAnsi="Times New Roman"/>
          <w:sz w:val="20"/>
          <w:szCs w:val="20"/>
        </w:rPr>
      </w:pPr>
    </w:p>
    <w:p w:rsidR="00997CEA" w:rsidRPr="007B6295" w:rsidRDefault="00997CEA" w:rsidP="00997CEA">
      <w:pPr>
        <w:rPr>
          <w:rFonts w:ascii="Times New Roman" w:hAnsi="Times New Roman"/>
          <w:sz w:val="20"/>
          <w:szCs w:val="20"/>
        </w:rPr>
      </w:pPr>
    </w:p>
    <w:p w:rsidR="00997CEA" w:rsidRPr="00870D01" w:rsidRDefault="00193809" w:rsidP="00FF4E54">
      <w:pPr>
        <w:keepNext/>
        <w:keepLines/>
        <w:rPr>
          <w:b/>
          <w:i/>
          <w:sz w:val="20"/>
          <w:szCs w:val="20"/>
          <w:lang w:val="es-ES_tradnl"/>
        </w:rPr>
      </w:pPr>
      <w:r>
        <w:rPr>
          <w:b/>
          <w:bCs/>
          <w:i/>
          <w:iCs/>
          <w:sz w:val="20"/>
          <w:szCs w:val="20"/>
          <w:lang w:val="es-AR"/>
        </w:rPr>
        <w:t>Información sobre Crown Point</w:t>
      </w:r>
    </w:p>
    <w:p w:rsidR="001757BE" w:rsidRPr="00870D01" w:rsidRDefault="001757BE" w:rsidP="001757BE">
      <w:pPr>
        <w:rPr>
          <w:b/>
          <w:i/>
          <w:sz w:val="20"/>
          <w:szCs w:val="20"/>
          <w:lang w:val="es-ES_tradnl"/>
        </w:rPr>
      </w:pPr>
    </w:p>
    <w:p w:rsidR="00843B59" w:rsidRPr="00870D01" w:rsidRDefault="00843B59" w:rsidP="00843B59">
      <w:pPr>
        <w:pStyle w:val="MICONHEADER1"/>
        <w:widowControl w:val="0"/>
        <w:spacing w:line="240" w:lineRule="atLeast"/>
        <w:ind w:left="0"/>
        <w:rPr>
          <w:rFonts w:ascii="Verdana" w:hAnsi="Verdana"/>
          <w:b w:val="0"/>
          <w:bCs/>
          <w:caps w:val="0"/>
          <w:sz w:val="20"/>
          <w:szCs w:val="20"/>
          <w:lang w:val="es-ES_tradnl"/>
        </w:rPr>
      </w:pPr>
      <w:r>
        <w:rPr>
          <w:rFonts w:ascii="Verdana" w:hAnsi="Verdana"/>
          <w:b w:val="0"/>
          <w:caps w:val="0"/>
          <w:sz w:val="20"/>
          <w:szCs w:val="20"/>
          <w:lang w:val="es-AR"/>
        </w:rPr>
        <w:t xml:space="preserve">Crown Point Energy Inc. es una compañía internacional de exploración y desarrollo de petróleo y gas </w:t>
      </w:r>
      <w:r w:rsidR="005876F9">
        <w:rPr>
          <w:rFonts w:ascii="Verdana" w:hAnsi="Verdana"/>
          <w:b w:val="0"/>
          <w:caps w:val="0"/>
          <w:sz w:val="20"/>
          <w:szCs w:val="20"/>
          <w:lang w:val="es-AR"/>
        </w:rPr>
        <w:t xml:space="preserve">con sede en </w:t>
      </w:r>
      <w:r w:rsidR="00555804">
        <w:rPr>
          <w:rFonts w:ascii="Verdana" w:hAnsi="Verdana"/>
          <w:b w:val="0"/>
          <w:caps w:val="0"/>
          <w:sz w:val="20"/>
          <w:szCs w:val="20"/>
          <w:lang w:val="es-AR"/>
        </w:rPr>
        <w:t>Buenos Aires, Argentina</w:t>
      </w:r>
      <w:r>
        <w:rPr>
          <w:rFonts w:ascii="Verdana" w:hAnsi="Verdana"/>
          <w:b w:val="0"/>
          <w:caps w:val="0"/>
          <w:sz w:val="20"/>
          <w:szCs w:val="20"/>
          <w:lang w:val="es-AR"/>
        </w:rPr>
        <w:t xml:space="preserve">, </w:t>
      </w:r>
      <w:r w:rsidR="005876F9">
        <w:rPr>
          <w:rFonts w:ascii="Verdana" w:hAnsi="Verdana"/>
          <w:b w:val="0"/>
          <w:caps w:val="0"/>
          <w:sz w:val="20"/>
          <w:szCs w:val="20"/>
          <w:lang w:val="es-AR"/>
        </w:rPr>
        <w:t xml:space="preserve">constituida en Canadá, </w:t>
      </w:r>
      <w:r>
        <w:rPr>
          <w:rFonts w:ascii="Verdana" w:hAnsi="Verdana"/>
          <w:b w:val="0"/>
          <w:caps w:val="0"/>
          <w:sz w:val="20"/>
          <w:szCs w:val="20"/>
          <w:lang w:val="es-AR"/>
        </w:rPr>
        <w:t xml:space="preserve">cuyas acciones cotizan en la Bolsa de Valores de Toronto y </w:t>
      </w:r>
      <w:r w:rsidR="00813454">
        <w:rPr>
          <w:rFonts w:ascii="Verdana" w:hAnsi="Verdana"/>
          <w:b w:val="0"/>
          <w:caps w:val="0"/>
          <w:sz w:val="20"/>
          <w:szCs w:val="20"/>
          <w:lang w:val="es-AR"/>
        </w:rPr>
        <w:t xml:space="preserve">que posee </w:t>
      </w:r>
      <w:r>
        <w:rPr>
          <w:rFonts w:ascii="Verdana" w:hAnsi="Verdana"/>
          <w:b w:val="0"/>
          <w:caps w:val="0"/>
          <w:sz w:val="20"/>
          <w:szCs w:val="20"/>
          <w:lang w:val="es-AR"/>
        </w:rPr>
        <w:t xml:space="preserve">operaciones en Argentina. Las actividades de exploración y desarrollo de Crown Point están concentradas en </w:t>
      </w:r>
      <w:r w:rsidR="00555804">
        <w:rPr>
          <w:rFonts w:ascii="Verdana" w:hAnsi="Verdana"/>
          <w:b w:val="0"/>
          <w:caps w:val="0"/>
          <w:sz w:val="20"/>
          <w:szCs w:val="20"/>
          <w:lang w:val="es-AR"/>
        </w:rPr>
        <w:t xml:space="preserve">cuatro </w:t>
      </w:r>
      <w:r>
        <w:rPr>
          <w:rFonts w:ascii="Verdana" w:hAnsi="Verdana"/>
          <w:b w:val="0"/>
          <w:caps w:val="0"/>
          <w:sz w:val="20"/>
          <w:szCs w:val="20"/>
          <w:lang w:val="es-AR"/>
        </w:rPr>
        <w:t>cuencas de producción de Argentina: la Cuenca Austral, situada en la Provincia de Tierra del Fuego</w:t>
      </w:r>
      <w:r w:rsidR="00C700E3">
        <w:rPr>
          <w:rFonts w:ascii="Verdana" w:hAnsi="Verdana"/>
          <w:b w:val="0"/>
          <w:caps w:val="0"/>
          <w:sz w:val="20"/>
          <w:szCs w:val="20"/>
          <w:lang w:val="es-AR"/>
        </w:rPr>
        <w:t>; la</w:t>
      </w:r>
      <w:r w:rsidR="00555804">
        <w:rPr>
          <w:rFonts w:ascii="Verdana" w:hAnsi="Verdana"/>
          <w:b w:val="0"/>
          <w:caps w:val="0"/>
          <w:sz w:val="20"/>
          <w:szCs w:val="20"/>
          <w:lang w:val="es-AR"/>
        </w:rPr>
        <w:t xml:space="preserve"> Cuenca San Jorge</w:t>
      </w:r>
      <w:r w:rsidR="00C700E3">
        <w:rPr>
          <w:rFonts w:ascii="Verdana" w:hAnsi="Verdana"/>
          <w:b w:val="0"/>
          <w:caps w:val="0"/>
          <w:sz w:val="20"/>
          <w:szCs w:val="20"/>
          <w:lang w:val="es-AR"/>
        </w:rPr>
        <w:t>, situada</w:t>
      </w:r>
      <w:r w:rsidR="00555804">
        <w:rPr>
          <w:rFonts w:ascii="Verdana" w:hAnsi="Verdana"/>
          <w:b w:val="0"/>
          <w:caps w:val="0"/>
          <w:sz w:val="20"/>
          <w:szCs w:val="20"/>
          <w:lang w:val="es-AR"/>
        </w:rPr>
        <w:t xml:space="preserve"> en la Provincia de Santa Cruz</w:t>
      </w:r>
      <w:r w:rsidR="00C700E3">
        <w:rPr>
          <w:rFonts w:ascii="Verdana" w:hAnsi="Verdana"/>
          <w:b w:val="0"/>
          <w:caps w:val="0"/>
          <w:sz w:val="20"/>
          <w:szCs w:val="20"/>
          <w:lang w:val="es-AR"/>
        </w:rPr>
        <w:t>,</w:t>
      </w:r>
      <w:r>
        <w:rPr>
          <w:rFonts w:ascii="Verdana" w:hAnsi="Verdana"/>
          <w:b w:val="0"/>
          <w:caps w:val="0"/>
          <w:sz w:val="20"/>
          <w:szCs w:val="20"/>
          <w:lang w:val="es-AR"/>
        </w:rPr>
        <w:t xml:space="preserve"> y la Cuenca Neuquina y la Cuenca de Cuyo, situadas en la Provincia de Mendoza.</w:t>
      </w:r>
      <w:r>
        <w:rPr>
          <w:rFonts w:ascii="Verdana" w:hAnsi="Verdana"/>
          <w:b w:val="0"/>
          <w:sz w:val="20"/>
          <w:szCs w:val="20"/>
          <w:lang w:val="es-AR"/>
        </w:rPr>
        <w:t xml:space="preserve"> </w:t>
      </w:r>
      <w:r>
        <w:rPr>
          <w:rFonts w:ascii="Verdana" w:hAnsi="Verdana"/>
          <w:b w:val="0"/>
          <w:caps w:val="0"/>
          <w:sz w:val="20"/>
          <w:szCs w:val="20"/>
          <w:lang w:val="es-AR"/>
        </w:rPr>
        <w:t>Crown Point tiene una estrategia basada en construir una cartera de activos productivos, introducir mejoras en la producción y aprovechar oportunidades de exploración para sentar las bases de su futuro crecimiento.</w:t>
      </w:r>
    </w:p>
    <w:p w:rsidR="001757BE" w:rsidRPr="00870D01" w:rsidRDefault="001757BE" w:rsidP="001757BE">
      <w:pPr>
        <w:pStyle w:val="MICONHEADER1"/>
        <w:widowControl w:val="0"/>
        <w:spacing w:line="240" w:lineRule="atLeast"/>
        <w:ind w:left="0"/>
        <w:rPr>
          <w:rFonts w:ascii="Verdana" w:hAnsi="Verdana"/>
          <w:b w:val="0"/>
          <w:bCs/>
          <w:caps w:val="0"/>
          <w:sz w:val="22"/>
          <w:szCs w:val="22"/>
          <w:lang w:val="es-ES_tradnl"/>
        </w:rPr>
      </w:pPr>
    </w:p>
    <w:p w:rsidR="001757BE" w:rsidRPr="00870D01" w:rsidRDefault="00CD3E93" w:rsidP="00CE1D64">
      <w:pPr>
        <w:keepNext/>
        <w:jc w:val="both"/>
        <w:rPr>
          <w:b/>
          <w:bCs/>
          <w:i/>
          <w:iCs/>
          <w:sz w:val="16"/>
          <w:szCs w:val="16"/>
          <w:lang w:val="es-ES_tradnl"/>
        </w:rPr>
      </w:pPr>
      <w:r>
        <w:rPr>
          <w:b/>
          <w:bCs/>
          <w:i/>
          <w:iCs/>
          <w:sz w:val="16"/>
          <w:szCs w:val="16"/>
          <w:lang w:val="es-AR"/>
        </w:rPr>
        <w:t>Advertencias relativas al sector de petróleo y gas</w:t>
      </w:r>
    </w:p>
    <w:p w:rsidR="000601E1" w:rsidRPr="00870D01" w:rsidRDefault="000601E1" w:rsidP="00CE1D64">
      <w:pPr>
        <w:keepNext/>
        <w:jc w:val="both"/>
        <w:rPr>
          <w:b/>
          <w:bCs/>
          <w:i/>
          <w:iCs/>
          <w:sz w:val="16"/>
          <w:szCs w:val="16"/>
          <w:lang w:val="es-ES_tradnl"/>
        </w:rPr>
      </w:pPr>
    </w:p>
    <w:p w:rsidR="006F436B" w:rsidRPr="00870D01" w:rsidRDefault="00CA24A5" w:rsidP="00CE1D64">
      <w:pPr>
        <w:keepNext/>
        <w:widowControl w:val="0"/>
        <w:jc w:val="both"/>
        <w:rPr>
          <w:rFonts w:eastAsia="Calibri"/>
          <w:i/>
          <w:sz w:val="16"/>
          <w:szCs w:val="16"/>
          <w:lang w:val="es-ES_tradnl"/>
        </w:rPr>
      </w:pPr>
      <w:r>
        <w:rPr>
          <w:rFonts w:eastAsia="Calibri"/>
          <w:i/>
          <w:iCs/>
          <w:sz w:val="16"/>
          <w:szCs w:val="16"/>
          <w:lang w:val="es-AR"/>
        </w:rPr>
        <w:t>El término barril equivalente de petróleo (“</w:t>
      </w:r>
      <w:r>
        <w:rPr>
          <w:rFonts w:eastAsia="Calibri"/>
          <w:b/>
          <w:bCs/>
          <w:i/>
          <w:iCs/>
          <w:sz w:val="16"/>
          <w:szCs w:val="16"/>
          <w:lang w:val="es-AR"/>
        </w:rPr>
        <w:t>BOE</w:t>
      </w:r>
      <w:r>
        <w:rPr>
          <w:rFonts w:eastAsia="Calibri"/>
          <w:i/>
          <w:iCs/>
          <w:sz w:val="16"/>
          <w:szCs w:val="16"/>
          <w:lang w:val="es-AR"/>
        </w:rPr>
        <w:t>“) puede ser conducente a error, en especial, si se utiliza en forma aislada. La conversión de BOE a una razón de seis mil pies cúbicos (6 Mcf) por un barril (1 bbl) se basa en un método de conversión de equivalencias de energía fundamentalmente aplicable en la boquilla del quemador y no representa una equivalencia de valores a boca de pozo. Asimismo, atento a que la razón de valor basada en el precio actual del crudo en Argentina comparado con el precio actual del gas natural en Argentina difiere significativamente de la equivalencia de energía de 6:1, el uso de una conversión a razón de 6:1 puede ser conducente a error como indicación de valor.</w:t>
      </w:r>
    </w:p>
    <w:p w:rsidR="000601E1" w:rsidRPr="00870D01" w:rsidRDefault="000601E1" w:rsidP="00BC282F">
      <w:pPr>
        <w:widowControl w:val="0"/>
        <w:jc w:val="both"/>
        <w:rPr>
          <w:rFonts w:eastAsia="Calibri"/>
          <w:i/>
          <w:sz w:val="16"/>
          <w:szCs w:val="16"/>
          <w:lang w:val="es-ES_tradnl"/>
        </w:rPr>
      </w:pPr>
    </w:p>
    <w:p w:rsidR="006F436B" w:rsidRPr="00870D01" w:rsidRDefault="000E3366" w:rsidP="00BC282F">
      <w:pPr>
        <w:widowControl w:val="0"/>
        <w:jc w:val="both"/>
        <w:rPr>
          <w:rFonts w:eastAsia="Calibri"/>
          <w:i/>
          <w:sz w:val="16"/>
          <w:szCs w:val="16"/>
          <w:lang w:val="es-ES_tradnl"/>
        </w:rPr>
      </w:pPr>
      <w:r>
        <w:rPr>
          <w:rFonts w:eastAsia="Calibri"/>
          <w:i/>
          <w:iCs/>
          <w:sz w:val="16"/>
          <w:szCs w:val="16"/>
          <w:lang w:val="es-AR"/>
        </w:rPr>
        <w:t>“MBOE” significa miles de barriles de equivalente de petróleo.  “Mcf” significa miles de pies cúbicos.  “MMcf” significa millones de pies cúbicos.  “bbl” significa barril.  “Mbbl” significa miles de barriles.  “LGN” significa líquidos de gas natural.  "</w:t>
      </w:r>
      <w:r w:rsidR="002123A8">
        <w:rPr>
          <w:rFonts w:eastAsia="Calibri"/>
          <w:i/>
          <w:iCs/>
          <w:sz w:val="16"/>
          <w:szCs w:val="16"/>
          <w:lang w:val="es-AR"/>
        </w:rPr>
        <w:t>Btu/Scf” significa unidad térmica británica por pie cúbico estándar.</w:t>
      </w:r>
    </w:p>
    <w:p w:rsidR="006F436B" w:rsidRPr="00870D01" w:rsidRDefault="006F436B" w:rsidP="00BC282F">
      <w:pPr>
        <w:widowControl w:val="0"/>
        <w:jc w:val="both"/>
        <w:rPr>
          <w:rFonts w:eastAsia="Calibri"/>
          <w:i/>
          <w:sz w:val="16"/>
          <w:szCs w:val="16"/>
          <w:lang w:val="es-ES_tradnl"/>
        </w:rPr>
      </w:pPr>
    </w:p>
    <w:p w:rsidR="00606739" w:rsidRPr="00870D01" w:rsidRDefault="006F436B" w:rsidP="00BC282F">
      <w:pPr>
        <w:autoSpaceDE w:val="0"/>
        <w:autoSpaceDN w:val="0"/>
        <w:adjustRightInd w:val="0"/>
        <w:jc w:val="both"/>
        <w:rPr>
          <w:rFonts w:eastAsia="Calibri"/>
          <w:i/>
          <w:sz w:val="16"/>
          <w:szCs w:val="16"/>
          <w:lang w:val="es-ES_tradnl"/>
        </w:rPr>
      </w:pPr>
      <w:r>
        <w:rPr>
          <w:rFonts w:eastAsia="Calibri"/>
          <w:i/>
          <w:iCs/>
          <w:sz w:val="16"/>
          <w:szCs w:val="16"/>
          <w:lang w:val="es-AR"/>
        </w:rPr>
        <w:t xml:space="preserve">Las estimaciones de reservas contenidas en este comunicado de prensa representan las reservas netas y brutas de la Compañía al 31 de diciembre de </w:t>
      </w:r>
      <w:r w:rsidR="00555804">
        <w:rPr>
          <w:rFonts w:eastAsia="Calibri"/>
          <w:i/>
          <w:iCs/>
          <w:sz w:val="16"/>
          <w:szCs w:val="16"/>
          <w:lang w:val="es-AR"/>
        </w:rPr>
        <w:t>2024</w:t>
      </w:r>
      <w:r>
        <w:rPr>
          <w:rFonts w:eastAsia="Calibri"/>
          <w:i/>
          <w:iCs/>
          <w:sz w:val="16"/>
          <w:szCs w:val="16"/>
          <w:lang w:val="es-AR"/>
        </w:rPr>
        <w:t>.  En el NI 51-101, el término reservas brutas se define como la participación (operativa o no operativa) de la Compañía antes de deducir regalías y sin incluir su participación en las regalías.  En el NI 51-101, el término reservas netas se define como la participación (operativa o no operativa) de la Compañía después de deducir obligaciones relacionadas con regalías, más su participación en las regalías respecto a las reservas.  No se debe asumir que el valor presente del los ingresos netos futuros estimados presentados en el cuadro precedente representan el valor razonable de mercado de las reservas. No es posible asegurar que los supuestos sobre precios y costos proyectados se cumplirán y las variaciones pueden ser significativas. Los cálculos de recuperación y reservas de crudo, líquidos de gas natural y gas natural contenidas en el presente son estimaciones solamente y no se puede garantizar que las reservas estimadas se recuperarán. Las reservas reales de crudo, gas natural y líquidos de gas naturales pueden ser mayores o menores que las estimadas en el presente.</w:t>
      </w:r>
    </w:p>
    <w:p w:rsidR="006F436B" w:rsidRPr="00870D01" w:rsidRDefault="006F436B" w:rsidP="00BC282F">
      <w:pPr>
        <w:autoSpaceDE w:val="0"/>
        <w:autoSpaceDN w:val="0"/>
        <w:adjustRightInd w:val="0"/>
        <w:jc w:val="both"/>
        <w:rPr>
          <w:rFonts w:eastAsia="Calibri"/>
          <w:i/>
          <w:sz w:val="16"/>
          <w:szCs w:val="16"/>
          <w:lang w:val="es-ES_tradnl"/>
        </w:rPr>
      </w:pPr>
    </w:p>
    <w:p w:rsidR="006F436B" w:rsidRPr="00870D01" w:rsidRDefault="006F436B" w:rsidP="00BC282F">
      <w:pPr>
        <w:autoSpaceDE w:val="0"/>
        <w:autoSpaceDN w:val="0"/>
        <w:adjustRightInd w:val="0"/>
        <w:jc w:val="both"/>
        <w:rPr>
          <w:rFonts w:eastAsia="Calibri"/>
          <w:i/>
          <w:sz w:val="16"/>
          <w:szCs w:val="16"/>
          <w:lang w:val="es-ES_tradnl"/>
        </w:rPr>
      </w:pPr>
      <w:r>
        <w:rPr>
          <w:rFonts w:eastAsia="Calibri"/>
          <w:i/>
          <w:iCs/>
          <w:sz w:val="16"/>
          <w:szCs w:val="16"/>
          <w:lang w:val="es-AR"/>
        </w:rPr>
        <w:lastRenderedPageBreak/>
        <w:t>Los ingresos netos futuros se estimaron utilizando proyecciones de precios que surgen del desarrollo y la producción previstos de las reservas de la Compañía, neto de las respectivas regalías, costos operativos, costos de desarrollo, costos de abandono y costos de recuperación y se exponen antes de la provisión para intereses y gastos generales y administrativos. Los ingresos netos futuros se presentan antes de impuestos.</w:t>
      </w:r>
    </w:p>
    <w:p w:rsidR="000601E1" w:rsidRPr="00870D01" w:rsidRDefault="000601E1" w:rsidP="00BC282F">
      <w:pPr>
        <w:autoSpaceDE w:val="0"/>
        <w:autoSpaceDN w:val="0"/>
        <w:adjustRightInd w:val="0"/>
        <w:jc w:val="both"/>
        <w:rPr>
          <w:rFonts w:eastAsia="Calibri"/>
          <w:i/>
          <w:sz w:val="16"/>
          <w:szCs w:val="16"/>
          <w:lang w:val="es-ES_tradnl"/>
        </w:rPr>
      </w:pPr>
    </w:p>
    <w:p w:rsidR="00AB6DBB" w:rsidRPr="00870D01" w:rsidRDefault="00606739" w:rsidP="00BC282F">
      <w:pPr>
        <w:autoSpaceDE w:val="0"/>
        <w:autoSpaceDN w:val="0"/>
        <w:adjustRightInd w:val="0"/>
        <w:jc w:val="both"/>
        <w:rPr>
          <w:rFonts w:eastAsia="Calibri"/>
          <w:i/>
          <w:sz w:val="16"/>
          <w:szCs w:val="16"/>
          <w:lang w:val="es-ES_tradnl"/>
        </w:rPr>
      </w:pPr>
      <w:r>
        <w:rPr>
          <w:rFonts w:eastAsia="Calibri"/>
          <w:i/>
          <w:iCs/>
          <w:sz w:val="16"/>
          <w:szCs w:val="16"/>
          <w:lang w:val="es-AR"/>
        </w:rPr>
        <w:t>Las estimaciones de reservas e ingreso neto futuro para activos individuales pueden no reflejar el mismo nivel de confianza que las estimaciones de reservas e ingreso neto futuro correspondientes a todos los activos, debido al efecto de la suma.</w:t>
      </w:r>
    </w:p>
    <w:p w:rsidR="00BC282F" w:rsidRPr="00870D01" w:rsidRDefault="00BC282F" w:rsidP="00BC282F">
      <w:pPr>
        <w:autoSpaceDE w:val="0"/>
        <w:autoSpaceDN w:val="0"/>
        <w:adjustRightInd w:val="0"/>
        <w:jc w:val="both"/>
        <w:rPr>
          <w:rFonts w:eastAsia="Calibri"/>
          <w:i/>
          <w:sz w:val="16"/>
          <w:szCs w:val="16"/>
          <w:lang w:val="es-ES_tradnl"/>
        </w:rPr>
      </w:pPr>
    </w:p>
    <w:p w:rsidR="00E30FD5" w:rsidRPr="00870D01" w:rsidRDefault="00CA24A5" w:rsidP="00BC282F">
      <w:pPr>
        <w:widowControl w:val="0"/>
        <w:jc w:val="both"/>
        <w:rPr>
          <w:rFonts w:eastAsia="Calibri"/>
          <w:b/>
          <w:i/>
          <w:sz w:val="16"/>
          <w:szCs w:val="16"/>
          <w:lang w:val="es-ES_tradnl"/>
        </w:rPr>
      </w:pPr>
      <w:r>
        <w:rPr>
          <w:rFonts w:eastAsia="Calibri"/>
          <w:b/>
          <w:bCs/>
          <w:i/>
          <w:iCs/>
          <w:sz w:val="16"/>
          <w:szCs w:val="16"/>
          <w:lang w:val="es-AR"/>
        </w:rPr>
        <w:t>Declaraciones sobre hechos futuros</w:t>
      </w:r>
    </w:p>
    <w:p w:rsidR="00BC282F" w:rsidRPr="00870D01" w:rsidRDefault="00BC282F" w:rsidP="00BC282F">
      <w:pPr>
        <w:widowControl w:val="0"/>
        <w:jc w:val="both"/>
        <w:rPr>
          <w:rFonts w:eastAsia="Calibri"/>
          <w:b/>
          <w:i/>
          <w:sz w:val="16"/>
          <w:szCs w:val="16"/>
          <w:lang w:val="es-ES_tradnl"/>
        </w:rPr>
      </w:pPr>
    </w:p>
    <w:p w:rsidR="00CA24A5" w:rsidRPr="00870D01" w:rsidRDefault="00CA24A5" w:rsidP="00C700E3">
      <w:pPr>
        <w:widowControl w:val="0"/>
        <w:jc w:val="both"/>
        <w:rPr>
          <w:i/>
          <w:iCs/>
          <w:sz w:val="16"/>
          <w:szCs w:val="16"/>
          <w:lang w:val="es-ES_tradnl"/>
        </w:rPr>
      </w:pPr>
      <w:r>
        <w:rPr>
          <w:i/>
          <w:iCs/>
          <w:sz w:val="16"/>
          <w:szCs w:val="16"/>
          <w:lang w:val="es-AR"/>
        </w:rPr>
        <w:t xml:space="preserve">Cierta información incluida en este documento es considerada información sobre hechos futuros y necesariamente supone riesgos e incertidumbres, algunos de los cuales son ajenos al control de Crown Point.  </w:t>
      </w:r>
      <w:r w:rsidR="00877674">
        <w:rPr>
          <w:i/>
          <w:iCs/>
          <w:sz w:val="16"/>
          <w:szCs w:val="16"/>
          <w:lang w:val="es-AR"/>
        </w:rPr>
        <w:t xml:space="preserve">La información sobre hechos futuros </w:t>
      </w:r>
      <w:r w:rsidR="005876F9">
        <w:rPr>
          <w:i/>
          <w:iCs/>
          <w:sz w:val="16"/>
          <w:szCs w:val="16"/>
          <w:lang w:val="es-AR"/>
        </w:rPr>
        <w:t>d</w:t>
      </w:r>
      <w:r w:rsidR="00877674">
        <w:rPr>
          <w:i/>
          <w:iCs/>
          <w:sz w:val="16"/>
          <w:szCs w:val="16"/>
          <w:lang w:val="es-AR"/>
        </w:rPr>
        <w:t>el presente incluye: la intención de la Compañía de participar con la UTE de TDF en la obtención de una prórroga en el plazo original de las concesiones de T</w:t>
      </w:r>
      <w:r w:rsidR="00BC4924">
        <w:rPr>
          <w:i/>
          <w:iCs/>
          <w:sz w:val="16"/>
          <w:szCs w:val="16"/>
          <w:lang w:val="es-AR"/>
        </w:rPr>
        <w:t>DF</w:t>
      </w:r>
      <w:r w:rsidR="00877674">
        <w:rPr>
          <w:i/>
          <w:iCs/>
          <w:sz w:val="16"/>
          <w:szCs w:val="16"/>
          <w:lang w:val="es-AR"/>
        </w:rPr>
        <w:t xml:space="preserve"> (que </w:t>
      </w:r>
      <w:r w:rsidR="005876F9">
        <w:rPr>
          <w:i/>
          <w:iCs/>
          <w:sz w:val="16"/>
          <w:szCs w:val="16"/>
          <w:lang w:val="es-AR"/>
        </w:rPr>
        <w:t>finaliza en agosto de 2026); y lo</w:t>
      </w:r>
      <w:r w:rsidR="00877674">
        <w:rPr>
          <w:i/>
          <w:iCs/>
          <w:sz w:val="16"/>
          <w:szCs w:val="16"/>
          <w:lang w:val="es-AR"/>
        </w:rPr>
        <w:t xml:space="preserve">s </w:t>
      </w:r>
      <w:r w:rsidR="005876F9">
        <w:rPr>
          <w:i/>
          <w:iCs/>
          <w:sz w:val="16"/>
          <w:szCs w:val="16"/>
          <w:lang w:val="es-AR"/>
        </w:rPr>
        <w:t xml:space="preserve">supuestos </w:t>
      </w:r>
      <w:r w:rsidR="00877674">
        <w:rPr>
          <w:i/>
          <w:iCs/>
          <w:sz w:val="16"/>
          <w:szCs w:val="16"/>
          <w:lang w:val="es-AR"/>
        </w:rPr>
        <w:t>de precios y tasa de inflación proyectad</w:t>
      </w:r>
      <w:r w:rsidR="00077C1C">
        <w:rPr>
          <w:i/>
          <w:iCs/>
          <w:sz w:val="16"/>
          <w:szCs w:val="16"/>
          <w:lang w:val="es-AR"/>
        </w:rPr>
        <w:t>o</w:t>
      </w:r>
      <w:r w:rsidR="00877674">
        <w:rPr>
          <w:i/>
          <w:iCs/>
          <w:sz w:val="16"/>
          <w:szCs w:val="16"/>
          <w:lang w:val="es-AR"/>
        </w:rPr>
        <w:t xml:space="preserve">s que se detallan en el presente. Asimismo, la información relativa a </w:t>
      </w:r>
      <w:r w:rsidR="0031278C">
        <w:rPr>
          <w:i/>
          <w:iCs/>
          <w:sz w:val="16"/>
          <w:szCs w:val="16"/>
          <w:lang w:val="es-AR"/>
        </w:rPr>
        <w:t xml:space="preserve">las </w:t>
      </w:r>
      <w:r>
        <w:rPr>
          <w:i/>
          <w:iCs/>
          <w:sz w:val="16"/>
          <w:szCs w:val="16"/>
          <w:lang w:val="es-AR"/>
        </w:rPr>
        <w:t xml:space="preserve">reservas </w:t>
      </w:r>
      <w:r w:rsidR="0031278C">
        <w:rPr>
          <w:i/>
          <w:iCs/>
          <w:sz w:val="16"/>
          <w:szCs w:val="16"/>
          <w:lang w:val="es-AR"/>
        </w:rPr>
        <w:t xml:space="preserve">de la Compañía </w:t>
      </w:r>
      <w:r>
        <w:rPr>
          <w:i/>
          <w:iCs/>
          <w:sz w:val="16"/>
          <w:szCs w:val="16"/>
          <w:lang w:val="es-AR"/>
        </w:rPr>
        <w:t xml:space="preserve">se considera información sobre hechos futuros, pues conlleva la evaluación implícita, basada en ciertas estimaciones y supuestos, de que las reservas descriptas se podrán producir económicamente en el el futuro.  Dichos riesgos incluyen, sin limitación: </w:t>
      </w:r>
      <w:r w:rsidR="00877674">
        <w:rPr>
          <w:i/>
          <w:iCs/>
          <w:sz w:val="16"/>
          <w:szCs w:val="16"/>
          <w:lang w:val="es-AR"/>
        </w:rPr>
        <w:t>el riesgo de que la UTE de TDF no pueda obtener una prórroga en el plazo original de las concesiones de TDF, ya sea en lo absoluto o en términos aceptables</w:t>
      </w:r>
      <w:r w:rsidR="00481156">
        <w:rPr>
          <w:i/>
          <w:iCs/>
          <w:sz w:val="16"/>
          <w:szCs w:val="16"/>
          <w:lang w:val="es-AR"/>
        </w:rPr>
        <w:t>,</w:t>
      </w:r>
      <w:r w:rsidR="00877674">
        <w:rPr>
          <w:i/>
          <w:iCs/>
          <w:sz w:val="16"/>
          <w:szCs w:val="16"/>
          <w:lang w:val="es-AR"/>
        </w:rPr>
        <w:t xml:space="preserve"> y/o </w:t>
      </w:r>
      <w:r w:rsidR="00BC4924">
        <w:rPr>
          <w:i/>
          <w:iCs/>
          <w:sz w:val="16"/>
          <w:szCs w:val="16"/>
          <w:lang w:val="es-AR"/>
        </w:rPr>
        <w:t xml:space="preserve">que se demore la obtención de </w:t>
      </w:r>
      <w:r w:rsidR="0031278C">
        <w:rPr>
          <w:i/>
          <w:iCs/>
          <w:sz w:val="16"/>
          <w:szCs w:val="16"/>
          <w:lang w:val="es-AR"/>
        </w:rPr>
        <w:t xml:space="preserve">dicha </w:t>
      </w:r>
      <w:r w:rsidR="00BC4924">
        <w:rPr>
          <w:i/>
          <w:iCs/>
          <w:sz w:val="16"/>
          <w:szCs w:val="16"/>
          <w:lang w:val="es-AR"/>
        </w:rPr>
        <w:t>prórroga; los riesgos que suponen las pandemias y los brotes de enfermedades infeccios</w:t>
      </w:r>
      <w:r w:rsidR="005876F9">
        <w:rPr>
          <w:i/>
          <w:iCs/>
          <w:sz w:val="16"/>
          <w:szCs w:val="16"/>
          <w:lang w:val="es-AR"/>
        </w:rPr>
        <w:t>as</w:t>
      </w:r>
      <w:r w:rsidR="00555804">
        <w:rPr>
          <w:i/>
          <w:iCs/>
          <w:sz w:val="16"/>
          <w:szCs w:val="16"/>
          <w:lang w:val="es-AR"/>
        </w:rPr>
        <w:t xml:space="preserve"> </w:t>
      </w:r>
      <w:r>
        <w:rPr>
          <w:i/>
          <w:iCs/>
          <w:sz w:val="16"/>
          <w:szCs w:val="16"/>
          <w:lang w:val="es-AR"/>
        </w:rPr>
        <w:t xml:space="preserve">para la industria de petróleo y gas en general y para nuestra empresa, en particular; riesgos asociados a la exploración, desarrollo, explotación, producción, comercialización y transporte de petróleo y gas, incluido el riesgo de que la infraestructura en la que se apoya la Compañía para producir, transportar y vender sus productos se averíe y requiera piezas que no estén disponibles de inmediato o reparaciones que no puedan realizarse en forma oportuna, y que afecten la capacidad de la Compañía de operar y/o comercializar sus productos; los riesgos inherentes a llevar a cabo operaciones en Argentina, incluso los riesgos de que se modifiquen las reglamentaciones del gobierno (entre ellos, la adopción, modificación o cancelación de programas de incentivo del gobierno u otras leyes y reglamentaciones en materia de precios de los commodities, impuestos, controles cambiarios y restricciones a las exportaciones, en cada caso, que puedan afectar adversamente a Crown Point), riesgos de que las nuevas iniciativas del gobierno no tengan las consecuencias que la Compañía cree (incluidos los beneficios a obtener de las mismas), expropiación/nacionalización de activos, controles sobre los precios de los commodities, imposibilidad de exigir el cumplimiento de contratos en determinadas circunstancias, posible hiperinflación, imposición de controles cambiarios, riesgos asociados al eventual incumplimiento de la deuda pública de Argentina, y demás riesgos de orden económico y político; volatilidad en los precios de los commodities; fluctuación de divisas; imprecisiones en las estimaciones de reservas; riesgos ambientales; competencia de otros productores; imposibilidad de contratar servicios de perforación; estimación incorrecta del valor de adquisiciones e imposibilidad de materializar los beneficios derivados de las mismas; demoras ocasionadas por la imposibilidad de obtener las aprobaciones regulatorias requeridas; falta de disponibilidad de personal calificado o directivo; volatilidad del mercado bursátil; imposibilidad de acceder a capital suficiente a través de fuentes internas y externas; la necesidad de interrumpir, </w:t>
      </w:r>
      <w:r w:rsidR="005876F9">
        <w:rPr>
          <w:i/>
          <w:iCs/>
          <w:sz w:val="16"/>
          <w:szCs w:val="16"/>
          <w:lang w:val="es-AR"/>
        </w:rPr>
        <w:t xml:space="preserve">ventear </w:t>
      </w:r>
      <w:r>
        <w:rPr>
          <w:i/>
          <w:iCs/>
          <w:sz w:val="16"/>
          <w:szCs w:val="16"/>
          <w:lang w:val="es-AR"/>
        </w:rPr>
        <w:t>y/o reducir la producción como consecuencia de la falta de infraestructura y/o de daños en la infraestructura existente; y cambios en las condiciones económicas o de la industria. Los resultados, el desempeño o los logros reales pueden diferir significativamente de los indicados, expresa o implícitamente, en la información sobre hechos futuros; por consiguiente, no se puede asegurar que los acontecimientos anticipados en la información sobre hechos futuros irán a suceder u ocurrir o, si así fuera, qué beneficios traerán aparejados para Crown Point. Con respecto a la información sobre hechos futuros contenida en este documento, la Compañía ha elaborado supuestos respecto a diversas cuestiones</w:t>
      </w:r>
      <w:r w:rsidR="00C700E3">
        <w:rPr>
          <w:i/>
          <w:iCs/>
          <w:sz w:val="16"/>
          <w:szCs w:val="16"/>
          <w:lang w:val="es-AR"/>
        </w:rPr>
        <w:t>, entre ellas</w:t>
      </w:r>
      <w:r>
        <w:rPr>
          <w:i/>
          <w:iCs/>
          <w:sz w:val="16"/>
          <w:szCs w:val="16"/>
          <w:lang w:val="es-AR"/>
        </w:rPr>
        <w:t xml:space="preserve">: </w:t>
      </w:r>
      <w:r w:rsidR="00B667E1">
        <w:rPr>
          <w:i/>
          <w:iCs/>
          <w:sz w:val="16"/>
          <w:szCs w:val="16"/>
          <w:lang w:val="es-AR"/>
        </w:rPr>
        <w:t xml:space="preserve">la capacidad de la UTE de TDF de obtener una prórroga en el plazo original de las concesiones de TDF en términos aceptables, así como </w:t>
      </w:r>
      <w:r w:rsidR="0031278C">
        <w:rPr>
          <w:i/>
          <w:iCs/>
          <w:sz w:val="16"/>
          <w:szCs w:val="16"/>
          <w:lang w:val="es-AR"/>
        </w:rPr>
        <w:t xml:space="preserve">la fecha </w:t>
      </w:r>
      <w:r w:rsidR="00B667E1">
        <w:rPr>
          <w:i/>
          <w:iCs/>
          <w:sz w:val="16"/>
          <w:szCs w:val="16"/>
          <w:lang w:val="es-AR"/>
        </w:rPr>
        <w:t xml:space="preserve">en que ello </w:t>
      </w:r>
      <w:r w:rsidR="00077C1C">
        <w:rPr>
          <w:i/>
          <w:iCs/>
          <w:sz w:val="16"/>
          <w:szCs w:val="16"/>
          <w:lang w:val="es-AR"/>
        </w:rPr>
        <w:t xml:space="preserve">podría </w:t>
      </w:r>
      <w:r w:rsidR="005876F9">
        <w:rPr>
          <w:i/>
          <w:iCs/>
          <w:sz w:val="16"/>
          <w:szCs w:val="16"/>
          <w:lang w:val="es-AR"/>
        </w:rPr>
        <w:t>suceder</w:t>
      </w:r>
      <w:r>
        <w:rPr>
          <w:i/>
          <w:iCs/>
          <w:sz w:val="16"/>
          <w:szCs w:val="16"/>
          <w:lang w:val="es-AR"/>
        </w:rPr>
        <w:t xml:space="preserve">; el impacto de una mayor competencia; la estabilidad general de la coyuntura económica y política en </w:t>
      </w:r>
      <w:r w:rsidR="0082298B">
        <w:rPr>
          <w:i/>
          <w:iCs/>
          <w:sz w:val="16"/>
          <w:szCs w:val="16"/>
          <w:lang w:val="es-AR"/>
        </w:rPr>
        <w:t>la que opera la Compañía, i</w:t>
      </w:r>
      <w:r w:rsidR="00C700E3">
        <w:rPr>
          <w:i/>
          <w:iCs/>
          <w:sz w:val="16"/>
          <w:szCs w:val="16"/>
          <w:lang w:val="es-AR"/>
        </w:rPr>
        <w:t>ncluyendo operar</w:t>
      </w:r>
      <w:r w:rsidR="0082298B">
        <w:rPr>
          <w:i/>
          <w:iCs/>
          <w:sz w:val="16"/>
          <w:szCs w:val="16"/>
          <w:lang w:val="es-AR"/>
        </w:rPr>
        <w:t xml:space="preserve"> en un marco regulatorio y legal congruente en Argentina</w:t>
      </w:r>
      <w:r>
        <w:rPr>
          <w:i/>
          <w:iCs/>
          <w:sz w:val="16"/>
          <w:szCs w:val="16"/>
          <w:lang w:val="es-AR"/>
        </w:rPr>
        <w:t xml:space="preserve">; </w:t>
      </w:r>
      <w:r w:rsidR="00C700E3">
        <w:rPr>
          <w:i/>
          <w:iCs/>
          <w:sz w:val="16"/>
          <w:szCs w:val="16"/>
          <w:lang w:val="es-AR"/>
        </w:rPr>
        <w:t xml:space="preserve">los </w:t>
      </w:r>
      <w:r w:rsidR="0082298B">
        <w:rPr>
          <w:i/>
          <w:iCs/>
          <w:sz w:val="16"/>
          <w:szCs w:val="16"/>
          <w:lang w:val="es-AR"/>
        </w:rPr>
        <w:t xml:space="preserve">precios futuros de petróleo, gas natural y </w:t>
      </w:r>
      <w:r w:rsidR="00C700E3">
        <w:rPr>
          <w:i/>
          <w:iCs/>
          <w:sz w:val="16"/>
          <w:szCs w:val="16"/>
          <w:lang w:val="es-AR"/>
        </w:rPr>
        <w:t xml:space="preserve">LGN </w:t>
      </w:r>
      <w:r w:rsidR="0082298B">
        <w:rPr>
          <w:i/>
          <w:iCs/>
          <w:sz w:val="16"/>
          <w:szCs w:val="16"/>
          <w:lang w:val="es-AR"/>
        </w:rPr>
        <w:t xml:space="preserve">(incluyendo los efectos de programas de incentivo gubernamentales y </w:t>
      </w:r>
      <w:r w:rsidR="00C700E3">
        <w:rPr>
          <w:i/>
          <w:iCs/>
          <w:sz w:val="16"/>
          <w:szCs w:val="16"/>
          <w:lang w:val="es-AR"/>
        </w:rPr>
        <w:t xml:space="preserve">controles de precio del gobierno sobre los mismos); los costos de transporte; la capacidad y voluntad de naciones OPEC+ y otros productos importantes de crudo de equilibrar los </w:t>
      </w:r>
      <w:r w:rsidR="0082298B">
        <w:rPr>
          <w:i/>
          <w:iCs/>
          <w:sz w:val="16"/>
          <w:szCs w:val="16"/>
          <w:lang w:val="es-AR"/>
        </w:rPr>
        <w:t xml:space="preserve">niveles de producción de petróleo crudo y como resultado, sostener precios de petróleo crudo a nivel global más altos; que las UTE socias de la Compañía y los operadores de </w:t>
      </w:r>
      <w:r w:rsidR="00C700E3">
        <w:rPr>
          <w:i/>
          <w:iCs/>
          <w:sz w:val="16"/>
          <w:szCs w:val="16"/>
          <w:lang w:val="es-AR"/>
        </w:rPr>
        <w:t>las</w:t>
      </w:r>
      <w:r w:rsidR="0082298B">
        <w:rPr>
          <w:i/>
          <w:iCs/>
          <w:sz w:val="16"/>
          <w:szCs w:val="16"/>
          <w:lang w:val="es-AR"/>
        </w:rPr>
        <w:t xml:space="preserve"> concesiones </w:t>
      </w:r>
      <w:r w:rsidR="00C700E3">
        <w:rPr>
          <w:i/>
          <w:iCs/>
          <w:sz w:val="16"/>
          <w:szCs w:val="16"/>
          <w:lang w:val="es-AR"/>
        </w:rPr>
        <w:t xml:space="preserve">de la Compañía </w:t>
      </w:r>
      <w:r w:rsidR="0082298B">
        <w:rPr>
          <w:i/>
          <w:iCs/>
          <w:sz w:val="16"/>
          <w:szCs w:val="16"/>
          <w:lang w:val="es-AR"/>
        </w:rPr>
        <w:t xml:space="preserve">que </w:t>
      </w:r>
      <w:r w:rsidR="00C700E3">
        <w:rPr>
          <w:i/>
          <w:iCs/>
          <w:sz w:val="16"/>
          <w:szCs w:val="16"/>
          <w:lang w:val="es-AR"/>
        </w:rPr>
        <w:t>esta</w:t>
      </w:r>
      <w:r w:rsidR="0082298B">
        <w:rPr>
          <w:i/>
          <w:iCs/>
          <w:sz w:val="16"/>
          <w:szCs w:val="16"/>
          <w:lang w:val="es-AR"/>
        </w:rPr>
        <w:t xml:space="preserve"> no opera honrarán sus compromisos contractuales en forma oportuna y no se tornarán insolventes ni </w:t>
      </w:r>
      <w:r w:rsidR="00C700E3">
        <w:rPr>
          <w:i/>
          <w:iCs/>
          <w:sz w:val="16"/>
          <w:szCs w:val="16"/>
          <w:lang w:val="es-AR"/>
        </w:rPr>
        <w:t>se declararán en</w:t>
      </w:r>
      <w:r w:rsidR="0082298B">
        <w:rPr>
          <w:i/>
          <w:iCs/>
          <w:sz w:val="16"/>
          <w:szCs w:val="16"/>
          <w:lang w:val="es-AR"/>
        </w:rPr>
        <w:t xml:space="preserve"> quiebra; el impacto de la inflación en Argentina y la devaluación del peso argentino </w:t>
      </w:r>
      <w:r w:rsidR="00C700E3">
        <w:rPr>
          <w:i/>
          <w:iCs/>
          <w:sz w:val="16"/>
          <w:szCs w:val="16"/>
          <w:lang w:val="es-AR"/>
        </w:rPr>
        <w:t>frente a</w:t>
      </w:r>
      <w:r w:rsidR="0082298B">
        <w:rPr>
          <w:i/>
          <w:iCs/>
          <w:sz w:val="16"/>
          <w:szCs w:val="16"/>
          <w:lang w:val="es-AR"/>
        </w:rPr>
        <w:t xml:space="preserve">l USD </w:t>
      </w:r>
      <w:r w:rsidR="00C700E3">
        <w:rPr>
          <w:i/>
          <w:iCs/>
          <w:sz w:val="16"/>
          <w:szCs w:val="16"/>
          <w:lang w:val="es-AR"/>
        </w:rPr>
        <w:t>en</w:t>
      </w:r>
      <w:r w:rsidR="0082298B">
        <w:rPr>
          <w:i/>
          <w:iCs/>
          <w:sz w:val="16"/>
          <w:szCs w:val="16"/>
          <w:lang w:val="es-AR"/>
        </w:rPr>
        <w:t xml:space="preserve"> la Compañía; </w:t>
      </w:r>
      <w:r>
        <w:rPr>
          <w:i/>
          <w:iCs/>
          <w:sz w:val="16"/>
          <w:szCs w:val="16"/>
          <w:lang w:val="es-AR"/>
        </w:rPr>
        <w:t>la recepción oportuna de las aprobaciones regulatorias requeridas; la capacidad de la Compañía de obtener empleados calificados, equipos y servicios en forma oportuna y económicamente rentable; los resultados de las actividades de perforación; el costo de obtener equipos y personal para cumplir con el plan de inversiones en bienes de capital de la Compañía; la capacidad de la operadora de los proyectos en los que la Compañía tiene participación de operar el yacimiento de manera segura, eficiente y productiva; la capacidad de la Compañía de obtener financiamiento en términos aceptables, de ser necesario</w:t>
      </w:r>
      <w:r w:rsidR="0082298B">
        <w:rPr>
          <w:i/>
          <w:iCs/>
          <w:sz w:val="16"/>
          <w:szCs w:val="16"/>
          <w:lang w:val="es-AR"/>
        </w:rPr>
        <w:t xml:space="preserve"> </w:t>
      </w:r>
      <w:r>
        <w:rPr>
          <w:i/>
          <w:iCs/>
          <w:sz w:val="16"/>
          <w:szCs w:val="16"/>
          <w:lang w:val="es-AR"/>
        </w:rPr>
        <w:t>y en el momento oportuno</w:t>
      </w:r>
      <w:r w:rsidR="0082298B">
        <w:rPr>
          <w:i/>
          <w:iCs/>
          <w:sz w:val="16"/>
          <w:szCs w:val="16"/>
          <w:lang w:val="es-AR"/>
        </w:rPr>
        <w:t xml:space="preserve">, y continuar como </w:t>
      </w:r>
      <w:r w:rsidR="008F2F4C">
        <w:rPr>
          <w:i/>
          <w:iCs/>
          <w:sz w:val="16"/>
          <w:szCs w:val="16"/>
          <w:lang w:val="es-AR"/>
        </w:rPr>
        <w:t xml:space="preserve">una </w:t>
      </w:r>
      <w:r w:rsidR="0082298B">
        <w:rPr>
          <w:i/>
          <w:iCs/>
          <w:sz w:val="16"/>
          <w:szCs w:val="16"/>
          <w:lang w:val="es-AR"/>
        </w:rPr>
        <w:t>empresa en marcha</w:t>
      </w:r>
      <w:r>
        <w:rPr>
          <w:i/>
          <w:iCs/>
          <w:sz w:val="16"/>
          <w:szCs w:val="16"/>
          <w:lang w:val="es-AR"/>
        </w:rPr>
        <w:t xml:space="preserve">; la capacidad de la Compañía de hacer frente al servicio de la deuda en sus respectivos vencimientos; los </w:t>
      </w:r>
      <w:r>
        <w:rPr>
          <w:i/>
          <w:iCs/>
          <w:sz w:val="16"/>
          <w:szCs w:val="16"/>
          <w:lang w:val="es-AR"/>
        </w:rPr>
        <w:lastRenderedPageBreak/>
        <w:t>índices de producción y los índices de agotamiento del yacimiento; la capacidad de reemplazar y expandir las reservas de petróleo y gas natural mediante actividades de adquisición, desarrollo y exploración; los plazos y costos de las actividades de reparación, construcción y ampliación de ductos, capacidad de almacenamiento, transporte e instalaciones y la capacidad de la Compañía de garantizar el transporte adecuado de productos; el costo de las actividades operativas en Argentina; los tipos de cambio de las divisas</w:t>
      </w:r>
      <w:r w:rsidR="00B667E1">
        <w:rPr>
          <w:i/>
          <w:iCs/>
          <w:sz w:val="16"/>
          <w:szCs w:val="16"/>
          <w:lang w:val="es-AR"/>
        </w:rPr>
        <w:t xml:space="preserve">, la </w:t>
      </w:r>
      <w:r w:rsidR="005876F9">
        <w:rPr>
          <w:i/>
          <w:iCs/>
          <w:sz w:val="16"/>
          <w:szCs w:val="16"/>
          <w:lang w:val="es-AR"/>
        </w:rPr>
        <w:t xml:space="preserve">tasa de </w:t>
      </w:r>
      <w:r w:rsidR="00B667E1">
        <w:rPr>
          <w:i/>
          <w:iCs/>
          <w:sz w:val="16"/>
          <w:szCs w:val="16"/>
          <w:lang w:val="es-AR"/>
        </w:rPr>
        <w:t>inflación</w:t>
      </w:r>
      <w:r>
        <w:rPr>
          <w:i/>
          <w:iCs/>
          <w:sz w:val="16"/>
          <w:szCs w:val="16"/>
          <w:lang w:val="es-AR"/>
        </w:rPr>
        <w:t xml:space="preserve"> y las tasas de interés; el marco regulatorio en materia de regalías, controles sobre los precios de los commodities, controles de cambio, cuestiones relativas a importaciones y exportaciones, impuestos y asuntos ambientales en Argentina; y la capacidad de la Compañía de comercializar exitosamente el petróleo y el gas natural que produce.  Se puede consultar información adicional sobre estos y otros factores que podrían afectar a </w:t>
      </w:r>
      <w:r w:rsidR="005876F9">
        <w:rPr>
          <w:i/>
          <w:iCs/>
          <w:sz w:val="16"/>
          <w:szCs w:val="16"/>
          <w:lang w:val="es-AR"/>
        </w:rPr>
        <w:t>Crown Point</w:t>
      </w:r>
      <w:r>
        <w:rPr>
          <w:i/>
          <w:iCs/>
          <w:sz w:val="16"/>
          <w:szCs w:val="16"/>
          <w:lang w:val="es-AR"/>
        </w:rPr>
        <w:t xml:space="preserve"> en los informes que obran en archivo de las autoridades regulatorias de títulos valores de Canadá, incluida la información contenida en el acápite "Factores de riesgo" del último formulario de información anual presentado por la Compañía, el cual se encuentra disponible en el sitio web de SEDAR</w:t>
      </w:r>
      <w:r w:rsidR="003A202B">
        <w:rPr>
          <w:i/>
          <w:iCs/>
          <w:sz w:val="16"/>
          <w:szCs w:val="16"/>
          <w:lang w:val="es-AR"/>
        </w:rPr>
        <w:t>+</w:t>
      </w:r>
      <w:r>
        <w:rPr>
          <w:i/>
          <w:iCs/>
          <w:sz w:val="16"/>
          <w:szCs w:val="16"/>
          <w:lang w:val="es-AR"/>
        </w:rPr>
        <w:t xml:space="preserve"> (www.sedar</w:t>
      </w:r>
      <w:r w:rsidR="006C706A">
        <w:rPr>
          <w:i/>
          <w:iCs/>
          <w:sz w:val="16"/>
          <w:szCs w:val="16"/>
          <w:lang w:val="es-AR"/>
        </w:rPr>
        <w:t>plus</w:t>
      </w:r>
      <w:r>
        <w:rPr>
          <w:i/>
          <w:iCs/>
          <w:sz w:val="16"/>
          <w:szCs w:val="16"/>
          <w:lang w:val="es-AR"/>
        </w:rPr>
        <w:t>.c</w:t>
      </w:r>
      <w:r w:rsidR="006C706A">
        <w:rPr>
          <w:i/>
          <w:iCs/>
          <w:sz w:val="16"/>
          <w:szCs w:val="16"/>
          <w:lang w:val="es-AR"/>
        </w:rPr>
        <w:t>a</w:t>
      </w:r>
      <w:r>
        <w:rPr>
          <w:i/>
          <w:iCs/>
          <w:sz w:val="16"/>
          <w:szCs w:val="16"/>
          <w:lang w:val="es-AR"/>
        </w:rPr>
        <w:t>). Asimismo, la información sobre hechos futuros contenida en el presente se brinda a la fecha de este documento y Crown Point no asume ninguna obligación de actualizarla públicamente o de revisar la información sobre hechos futuros aquí incluida, ya sea como resultado de información nueva, acontecimientos futuros o de otra forma, salvo en la medida de lo expresamente requerido por las leyes aplicables en materia de títulos valores. </w:t>
      </w:r>
    </w:p>
    <w:p w:rsidR="00BC282F" w:rsidRPr="00870D01" w:rsidRDefault="00BC282F" w:rsidP="00BC282F">
      <w:pPr>
        <w:widowControl w:val="0"/>
        <w:jc w:val="both"/>
        <w:rPr>
          <w:sz w:val="16"/>
          <w:szCs w:val="16"/>
          <w:lang w:val="es-ES_tradnl"/>
        </w:rPr>
      </w:pPr>
    </w:p>
    <w:p w:rsidR="00CA24A5" w:rsidRPr="00870D01" w:rsidRDefault="00CA24A5" w:rsidP="00BC282F">
      <w:pPr>
        <w:jc w:val="both"/>
        <w:rPr>
          <w:b/>
          <w:bCs/>
          <w:i/>
          <w:iCs/>
          <w:szCs w:val="22"/>
          <w:lang w:val="es-ES_tradnl"/>
        </w:rPr>
      </w:pPr>
      <w:r>
        <w:rPr>
          <w:b/>
          <w:bCs/>
          <w:i/>
          <w:iCs/>
          <w:sz w:val="16"/>
          <w:szCs w:val="16"/>
          <w:lang w:val="es-AR"/>
        </w:rPr>
        <w:t>Ni la Bolsa de Valores de Toronto ni su Proveedor de Servicios Regulatorios (conforme ese término se define en las políticas de la Bolsa de Valores de Toronto) asumen responsabilidad alguna por la adecuación o exactitud de este comunicado de prensa.</w:t>
      </w:r>
    </w:p>
    <w:sectPr w:rsidR="00CA24A5" w:rsidRPr="00870D01" w:rsidSect="000D0E50">
      <w:headerReference w:type="default" r:id="rId15"/>
      <w:footerReference w:type="default" r:id="rId16"/>
      <w:pgSz w:w="12240" w:h="15840"/>
      <w:pgMar w:top="1440" w:right="1440" w:bottom="1260" w:left="1440" w:header="36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E4E" w:rsidRDefault="00473E4E" w:rsidP="00451CF4">
      <w:r>
        <w:separator/>
      </w:r>
    </w:p>
  </w:endnote>
  <w:endnote w:type="continuationSeparator" w:id="0">
    <w:p w:rsidR="00473E4E" w:rsidRDefault="00473E4E" w:rsidP="0045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4E" w:rsidRDefault="00473E4E" w:rsidP="00F768A1">
    <w:pPr>
      <w:pStyle w:val="Piedepgina"/>
      <w:jc w:val="center"/>
      <w:rPr>
        <w:rFonts w:ascii="Arial Narrow" w:hAnsi="Arial Narrow"/>
        <w:color w:val="002060"/>
        <w:sz w:val="20"/>
        <w:szCs w:val="20"/>
      </w:rPr>
    </w:pPr>
    <w:r w:rsidRPr="00B91062">
      <w:rPr>
        <w:rFonts w:ascii="Arial Narrow" w:hAnsi="Arial Narrow"/>
        <w:color w:val="002060"/>
        <w:sz w:val="20"/>
        <w:szCs w:val="20"/>
      </w:rPr>
      <w:t xml:space="preserve">PO Box 1562 Station M., Calgary, Alberta, Canadá T2P 3B9  </w:t>
    </w:r>
    <w:r w:rsidRPr="00B91062">
      <w:rPr>
        <w:rFonts w:ascii="Arial Narrow" w:hAnsi="Arial Narrow"/>
        <w:b/>
        <w:bCs/>
        <w:color w:val="002060"/>
        <w:sz w:val="20"/>
        <w:szCs w:val="20"/>
      </w:rPr>
      <w:t>T</w:t>
    </w:r>
    <w:r w:rsidRPr="00B91062">
      <w:rPr>
        <w:rFonts w:ascii="Arial Narrow" w:hAnsi="Arial Narrow"/>
        <w:color w:val="002060"/>
        <w:sz w:val="20"/>
        <w:szCs w:val="20"/>
      </w:rPr>
      <w:t xml:space="preserve"> 403.232.1150  </w:t>
    </w:r>
    <w:r w:rsidRPr="00B91062">
      <w:rPr>
        <w:rFonts w:ascii="Arial Narrow" w:hAnsi="Arial Narrow"/>
        <w:b/>
        <w:bCs/>
        <w:color w:val="002060"/>
        <w:sz w:val="20"/>
        <w:szCs w:val="20"/>
      </w:rPr>
      <w:t>F</w:t>
    </w:r>
    <w:r w:rsidRPr="00B91062">
      <w:rPr>
        <w:rFonts w:ascii="Arial Narrow" w:hAnsi="Arial Narrow"/>
        <w:color w:val="002060"/>
        <w:sz w:val="20"/>
        <w:szCs w:val="20"/>
      </w:rPr>
      <w:t xml:space="preserve">  403.232.1158</w:t>
    </w:r>
  </w:p>
  <w:p w:rsidR="00473E4E" w:rsidRDefault="00473E4E" w:rsidP="00F768A1">
    <w:pPr>
      <w:pStyle w:val="Piedepgina"/>
      <w:jc w:val="center"/>
      <w:rPr>
        <w:rFonts w:ascii="Arial Narrow" w:hAnsi="Arial Narrow"/>
        <w:b/>
        <w:color w:val="002060"/>
        <w:sz w:val="20"/>
        <w:szCs w:val="20"/>
      </w:rPr>
    </w:pPr>
    <w:r>
      <w:rPr>
        <w:rFonts w:ascii="Arial Narrow" w:hAnsi="Arial Narrow"/>
        <w:b/>
        <w:bCs/>
        <w:color w:val="002060"/>
        <w:sz w:val="20"/>
        <w:szCs w:val="20"/>
        <w:lang w:val="es-AR"/>
      </w:rPr>
      <w:t>www.crownpointenergy.com</w:t>
    </w:r>
  </w:p>
  <w:p w:rsidR="00473E4E" w:rsidRPr="005E10D3" w:rsidRDefault="00473E4E" w:rsidP="00FD5D14">
    <w:pPr>
      <w:pStyle w:val="Piedepgina"/>
      <w:spacing w:line="200" w:lineRule="exact"/>
      <w:rPr>
        <w:rFonts w:ascii="Arial Narrow" w:hAnsi="Arial Narrow"/>
        <w:b/>
        <w:color w:val="0020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E4E" w:rsidRDefault="00473E4E" w:rsidP="00451CF4">
      <w:r>
        <w:separator/>
      </w:r>
    </w:p>
  </w:footnote>
  <w:footnote w:type="continuationSeparator" w:id="0">
    <w:p w:rsidR="00473E4E" w:rsidRDefault="00473E4E" w:rsidP="00451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E4E" w:rsidRDefault="00473E4E" w:rsidP="00451CF4">
    <w:pPr>
      <w:pStyle w:val="Encabezado"/>
      <w:ind w:left="540" w:hanging="540"/>
      <w:jc w:val="right"/>
    </w:pPr>
    <w:r>
      <w:rPr>
        <w:noProof/>
        <w:lang w:val="es-ES_tradnl" w:eastAsia="es-ES_tradnl"/>
      </w:rPr>
      <w:drawing>
        <wp:inline distT="0" distB="0" distL="0" distR="0" wp14:anchorId="58AB2EE8" wp14:editId="3A336129">
          <wp:extent cx="1697355" cy="1038860"/>
          <wp:effectExtent l="19050" t="0" r="0" b="0"/>
          <wp:docPr id="1" name="Picture 0" descr="CWV_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WV_new logo.jpg"/>
                  <pic:cNvPicPr>
                    <a:picLocks noChangeAspect="1" noChangeArrowheads="1"/>
                  </pic:cNvPicPr>
                </pic:nvPicPr>
                <pic:blipFill>
                  <a:blip r:embed="rId1"/>
                  <a:srcRect t="6818"/>
                  <a:stretch>
                    <a:fillRect/>
                  </a:stretch>
                </pic:blipFill>
                <pic:spPr bwMode="auto">
                  <a:xfrm>
                    <a:off x="0" y="0"/>
                    <a:ext cx="1697355" cy="1038860"/>
                  </a:xfrm>
                  <a:prstGeom prst="rect">
                    <a:avLst/>
                  </a:prstGeom>
                  <a:noFill/>
                  <a:ln w="9525">
                    <a:noFill/>
                    <a:miter lim="800000"/>
                    <a:headEnd/>
                    <a:tailEnd/>
                  </a:ln>
                </pic:spPr>
              </pic:pic>
            </a:graphicData>
          </a:graphic>
        </wp:inline>
      </w:drawing>
    </w:r>
  </w:p>
  <w:p w:rsidR="00473E4E" w:rsidRDefault="00473E4E" w:rsidP="00451CF4">
    <w:pPr>
      <w:pStyle w:val="Encabezado"/>
      <w:ind w:left="540" w:hanging="5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85686D40"/>
    <w:lvl w:ilvl="0">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1">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2">
      <w:start w:val="1"/>
      <w:numFmt w:val="none"/>
      <w:lvlRestart w:val="0"/>
      <w:suff w:val="nothing"/>
      <w:lvlText w:val=""/>
      <w:lvlJc w:val="left"/>
      <w:pPr>
        <w:tabs>
          <w:tab w:val="num" w:pos="720"/>
        </w:tabs>
      </w:pPr>
      <w:rPr>
        <w:rFonts w:ascii="Times New Roman" w:hAnsi="Times New Roman" w:cs="Times New Roman"/>
        <w:b w:val="0"/>
        <w:i w:val="0"/>
        <w:caps w:val="0"/>
        <w:color w:val="auto"/>
        <w:sz w:val="22"/>
        <w:u w:val="none"/>
      </w:rPr>
    </w:lvl>
    <w:lvl w:ilvl="3">
      <w:start w:val="1"/>
      <w:numFmt w:val="none"/>
      <w:lvlRestart w:val="0"/>
      <w:suff w:val="nothing"/>
      <w:lvlText w:val=""/>
      <w:lvlJc w:val="left"/>
      <w:pPr>
        <w:tabs>
          <w:tab w:val="num" w:pos="1440"/>
        </w:tabs>
        <w:ind w:left="720"/>
      </w:pPr>
      <w:rPr>
        <w:rFonts w:ascii="Times New Roman" w:hAnsi="Times New Roman" w:cs="Times New Roman"/>
        <w:b w:val="0"/>
        <w:i w:val="0"/>
        <w:caps w:val="0"/>
        <w:color w:val="auto"/>
        <w:sz w:val="22"/>
        <w:u w:val="none"/>
      </w:rPr>
    </w:lvl>
    <w:lvl w:ilvl="4">
      <w:start w:val="1"/>
      <w:numFmt w:val="decimal"/>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suff w:val="nothing"/>
      <w:lvlText w:val=""/>
      <w:lvlJc w:val="left"/>
      <w:pPr>
        <w:tabs>
          <w:tab w:val="num" w:pos="720"/>
        </w:tabs>
      </w:pPr>
      <w:rPr>
        <w:rFonts w:ascii="Times New Roman" w:hAnsi="Times New Roman" w:cs="Times New Roman"/>
        <w:b w:val="0"/>
        <w:i w:val="0"/>
        <w:caps w:val="0"/>
        <w:color w:val="auto"/>
        <w:sz w:val="18"/>
        <w:u w:val="none"/>
      </w:rPr>
    </w:lvl>
    <w:lvl w:ilvl="8">
      <w:start w:val="1"/>
      <w:numFmt w:val="decimal"/>
      <w:lvlText w:val="(%9)"/>
      <w:lvlJc w:val="left"/>
      <w:pPr>
        <w:tabs>
          <w:tab w:val="num" w:pos="900"/>
        </w:tabs>
        <w:ind w:left="720" w:hanging="720"/>
      </w:pPr>
      <w:rPr>
        <w:rFonts w:ascii="Arial" w:eastAsia="Times New Roman" w:hAnsi="Arial" w:cs="Arial"/>
        <w:b w:val="0"/>
        <w:i w:val="0"/>
        <w:caps w:val="0"/>
        <w:color w:val="auto"/>
        <w:sz w:val="16"/>
        <w:szCs w:val="16"/>
        <w:u w:val="none"/>
      </w:rPr>
    </w:lvl>
  </w:abstractNum>
  <w:abstractNum w:abstractNumId="1">
    <w:nsid w:val="05067914"/>
    <w:multiLevelType w:val="hybridMultilevel"/>
    <w:tmpl w:val="87764B36"/>
    <w:lvl w:ilvl="0" w:tplc="E16C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E5863"/>
    <w:multiLevelType w:val="hybridMultilevel"/>
    <w:tmpl w:val="11B0C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ABE5D24"/>
    <w:multiLevelType w:val="hybridMultilevel"/>
    <w:tmpl w:val="7E7E14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2B3237"/>
    <w:multiLevelType w:val="multilevel"/>
    <w:tmpl w:val="E2B49FE0"/>
    <w:name w:val="zzmpSecurity||Security|2|3|0|0|0|41||0|0|33||0|0|35||0|0|34||1|0|32||1|0|32||1|0|32||0|0|32||1|0|34||"/>
    <w:lvl w:ilvl="0">
      <w:start w:val="1"/>
      <w:numFmt w:val="none"/>
      <w:lvlRestart w:val="0"/>
      <w:pStyle w:val="SecurityL1"/>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1">
      <w:start w:val="1"/>
      <w:numFmt w:val="none"/>
      <w:lvlRestart w:val="0"/>
      <w:pStyle w:val="SecurityL2"/>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2">
      <w:start w:val="1"/>
      <w:numFmt w:val="none"/>
      <w:lvlRestart w:val="0"/>
      <w:pStyle w:val="SecurityL3"/>
      <w:suff w:val="nothing"/>
      <w:lvlText w:val=""/>
      <w:lvlJc w:val="left"/>
      <w:pPr>
        <w:tabs>
          <w:tab w:val="num" w:pos="720"/>
        </w:tabs>
        <w:ind w:left="0" w:firstLine="0"/>
      </w:pPr>
      <w:rPr>
        <w:rFonts w:ascii="Times New Roman" w:hAnsi="Times New Roman" w:cs="Times New Roman"/>
        <w:b w:val="0"/>
        <w:i w:val="0"/>
        <w:caps w:val="0"/>
        <w:color w:val="auto"/>
        <w:sz w:val="22"/>
        <w:u w:val="none"/>
      </w:rPr>
    </w:lvl>
    <w:lvl w:ilvl="3">
      <w:start w:val="1"/>
      <w:numFmt w:val="none"/>
      <w:lvlRestart w:val="0"/>
      <w:pStyle w:val="SecurityL4"/>
      <w:suff w:val="nothing"/>
      <w:lvlText w:val=""/>
      <w:lvlJc w:val="left"/>
      <w:pPr>
        <w:tabs>
          <w:tab w:val="num" w:pos="1440"/>
        </w:tabs>
        <w:ind w:left="720" w:firstLine="0"/>
      </w:pPr>
      <w:rPr>
        <w:rFonts w:ascii="Times New Roman" w:hAnsi="Times New Roman" w:cs="Times New Roman"/>
        <w:b w:val="0"/>
        <w:i w:val="0"/>
        <w:caps w:val="0"/>
        <w:color w:val="auto"/>
        <w:sz w:val="22"/>
        <w:u w:val="none"/>
      </w:rPr>
    </w:lvl>
    <w:lvl w:ilvl="4">
      <w:start w:val="1"/>
      <w:numFmt w:val="decimal"/>
      <w:pStyle w:val="SecurityL5"/>
      <w:lvlText w:val="%5."/>
      <w:lvlJc w:val="left"/>
      <w:pPr>
        <w:tabs>
          <w:tab w:val="num" w:pos="720"/>
        </w:tabs>
        <w:ind w:left="720" w:hanging="720"/>
      </w:pPr>
      <w:rPr>
        <w:rFonts w:ascii="Times New Roman" w:hAnsi="Times New Roman" w:cs="Times New Roman"/>
        <w:b w:val="0"/>
        <w:i w:val="0"/>
        <w:caps w:val="0"/>
        <w:color w:val="auto"/>
        <w:sz w:val="20"/>
        <w:u w:val="none"/>
      </w:rPr>
    </w:lvl>
    <w:lvl w:ilvl="5">
      <w:start w:val="1"/>
      <w:numFmt w:val="lowerLetter"/>
      <w:pStyle w:val="SecurityL6"/>
      <w:lvlText w:val="(%6)"/>
      <w:lvlJc w:val="left"/>
      <w:pPr>
        <w:tabs>
          <w:tab w:val="num" w:pos="1440"/>
        </w:tabs>
        <w:ind w:left="1440" w:hanging="720"/>
      </w:pPr>
      <w:rPr>
        <w:rFonts w:ascii="Times New Roman" w:hAnsi="Times New Roman" w:cs="Times New Roman"/>
        <w:b w:val="0"/>
        <w:i w:val="0"/>
        <w:caps w:val="0"/>
        <w:color w:val="auto"/>
        <w:sz w:val="20"/>
        <w:u w:val="none"/>
      </w:rPr>
    </w:lvl>
    <w:lvl w:ilvl="6">
      <w:start w:val="1"/>
      <w:numFmt w:val="lowerRoman"/>
      <w:pStyle w:val="SecurityL7"/>
      <w:lvlText w:val="(%7)"/>
      <w:lvlJc w:val="left"/>
      <w:pPr>
        <w:tabs>
          <w:tab w:val="num" w:pos="2160"/>
        </w:tabs>
        <w:ind w:left="2160" w:hanging="720"/>
      </w:pPr>
      <w:rPr>
        <w:rFonts w:ascii="Times New Roman" w:hAnsi="Times New Roman" w:cs="Times New Roman"/>
        <w:b w:val="0"/>
        <w:i w:val="0"/>
        <w:caps w:val="0"/>
        <w:color w:val="auto"/>
        <w:sz w:val="20"/>
        <w:u w:val="none"/>
      </w:rPr>
    </w:lvl>
    <w:lvl w:ilvl="7">
      <w:start w:val="1"/>
      <w:numFmt w:val="none"/>
      <w:lvlRestart w:val="0"/>
      <w:pStyle w:val="SecurityL8"/>
      <w:suff w:val="nothing"/>
      <w:lvlText w:val=""/>
      <w:lvlJc w:val="left"/>
      <w:pPr>
        <w:tabs>
          <w:tab w:val="num" w:pos="720"/>
        </w:tabs>
        <w:ind w:left="0" w:firstLine="0"/>
      </w:pPr>
      <w:rPr>
        <w:rFonts w:ascii="Times New Roman" w:hAnsi="Times New Roman" w:cs="Times New Roman"/>
        <w:b w:val="0"/>
        <w:i w:val="0"/>
        <w:caps w:val="0"/>
        <w:color w:val="auto"/>
        <w:sz w:val="18"/>
        <w:u w:val="none"/>
      </w:rPr>
    </w:lvl>
    <w:lvl w:ilvl="8">
      <w:start w:val="1"/>
      <w:numFmt w:val="decimal"/>
      <w:pStyle w:val="SecurityL9"/>
      <w:lvlText w:val="(%9)"/>
      <w:lvlJc w:val="left"/>
      <w:pPr>
        <w:tabs>
          <w:tab w:val="num" w:pos="720"/>
        </w:tabs>
        <w:ind w:left="720" w:hanging="720"/>
      </w:pPr>
      <w:rPr>
        <w:rFonts w:ascii="Times New Roman" w:hAnsi="Times New Roman" w:cs="Times New Roman"/>
        <w:b w:val="0"/>
        <w:i/>
        <w:caps w:val="0"/>
        <w:color w:val="auto"/>
        <w:sz w:val="18"/>
        <w:u w:val="none"/>
      </w:rPr>
    </w:lvl>
  </w:abstractNum>
  <w:abstractNum w:abstractNumId="5">
    <w:nsid w:val="12B556C4"/>
    <w:multiLevelType w:val="hybridMultilevel"/>
    <w:tmpl w:val="B09863D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nsid w:val="14577A96"/>
    <w:multiLevelType w:val="hybridMultilevel"/>
    <w:tmpl w:val="8D3A53C0"/>
    <w:lvl w:ilvl="0" w:tplc="10090001">
      <w:start w:val="1"/>
      <w:numFmt w:val="bullet"/>
      <w:lvlText w:val=""/>
      <w:lvlJc w:val="left"/>
      <w:pPr>
        <w:ind w:left="720" w:hanging="360"/>
      </w:pPr>
      <w:rPr>
        <w:rFonts w:ascii="Symbol" w:hAnsi="Symbol" w:hint="default"/>
      </w:rPr>
    </w:lvl>
    <w:lvl w:ilvl="1" w:tplc="5F8258F0">
      <w:numFmt w:val="bullet"/>
      <w:lvlText w:val="-"/>
      <w:lvlJc w:val="left"/>
      <w:pPr>
        <w:ind w:left="1440" w:hanging="36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9A46E63"/>
    <w:multiLevelType w:val="hybridMultilevel"/>
    <w:tmpl w:val="10BA31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1B902948"/>
    <w:multiLevelType w:val="hybridMultilevel"/>
    <w:tmpl w:val="CD7C8C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BD617EC"/>
    <w:multiLevelType w:val="hybridMultilevel"/>
    <w:tmpl w:val="EC2E31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D4B04C5"/>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FE10E4"/>
    <w:multiLevelType w:val="hybridMultilevel"/>
    <w:tmpl w:val="680288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20980EAD"/>
    <w:multiLevelType w:val="hybridMultilevel"/>
    <w:tmpl w:val="84C04322"/>
    <w:lvl w:ilvl="0" w:tplc="5F8258F0">
      <w:numFmt w:val="bullet"/>
      <w:lvlText w:val="-"/>
      <w:lvlJc w:val="left"/>
      <w:pPr>
        <w:ind w:left="1004" w:hanging="360"/>
      </w:pPr>
      <w:rPr>
        <w:rFonts w:ascii="Arial" w:eastAsia="Times New Roman" w:hAnsi="Arial" w:cs="Aria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3">
    <w:nsid w:val="23510409"/>
    <w:multiLevelType w:val="hybridMultilevel"/>
    <w:tmpl w:val="0BD099FA"/>
    <w:lvl w:ilvl="0" w:tplc="10090005">
      <w:start w:val="1"/>
      <w:numFmt w:val="bullet"/>
      <w:lvlText w:val=""/>
      <w:lvlJc w:val="left"/>
      <w:pPr>
        <w:ind w:left="1004" w:hanging="360"/>
      </w:pPr>
      <w:rPr>
        <w:rFonts w:ascii="Wingdings" w:hAnsi="Wingdings"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4">
    <w:nsid w:val="3DD71138"/>
    <w:multiLevelType w:val="hybridMultilevel"/>
    <w:tmpl w:val="7EF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C77F0F"/>
    <w:multiLevelType w:val="hybridMultilevel"/>
    <w:tmpl w:val="8F368B92"/>
    <w:lvl w:ilvl="0" w:tplc="10090003">
      <w:start w:val="1"/>
      <w:numFmt w:val="bullet"/>
      <w:lvlText w:val="o"/>
      <w:lvlJc w:val="left"/>
      <w:pPr>
        <w:ind w:left="1004" w:hanging="360"/>
      </w:pPr>
      <w:rPr>
        <w:rFonts w:ascii="Courier New" w:hAnsi="Courier New" w:cs="Courier New"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6">
    <w:nsid w:val="43060989"/>
    <w:multiLevelType w:val="hybridMultilevel"/>
    <w:tmpl w:val="E890588E"/>
    <w:lvl w:ilvl="0" w:tplc="0C0A0001">
      <w:start w:val="1"/>
      <w:numFmt w:val="bullet"/>
      <w:lvlText w:val=""/>
      <w:lvlJc w:val="left"/>
      <w:pPr>
        <w:ind w:left="1800" w:hanging="360"/>
      </w:pPr>
      <w:rPr>
        <w:rFonts w:ascii="Symbol" w:hAnsi="Symbol" w:hint="default"/>
      </w:rPr>
    </w:lvl>
    <w:lvl w:ilvl="1" w:tplc="0C0A0003">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7">
    <w:nsid w:val="45CF493B"/>
    <w:multiLevelType w:val="hybridMultilevel"/>
    <w:tmpl w:val="4E3CE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9A0421F"/>
    <w:multiLevelType w:val="hybridMultilevel"/>
    <w:tmpl w:val="B7F49D6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AA27161"/>
    <w:multiLevelType w:val="hybridMultilevel"/>
    <w:tmpl w:val="CFF8D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E5A0A38"/>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FC6DD3"/>
    <w:multiLevelType w:val="hybridMultilevel"/>
    <w:tmpl w:val="F4E0B888"/>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5624EAB"/>
    <w:multiLevelType w:val="hybridMultilevel"/>
    <w:tmpl w:val="545A7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AD6472"/>
    <w:multiLevelType w:val="hybridMultilevel"/>
    <w:tmpl w:val="4FC6D7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7C6162F"/>
    <w:multiLevelType w:val="hybridMultilevel"/>
    <w:tmpl w:val="4D7CFA60"/>
    <w:lvl w:ilvl="0" w:tplc="3CF05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9E7C79"/>
    <w:multiLevelType w:val="hybridMultilevel"/>
    <w:tmpl w:val="257A3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5981771C"/>
    <w:multiLevelType w:val="hybridMultilevel"/>
    <w:tmpl w:val="5F443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02D5D06"/>
    <w:multiLevelType w:val="hybridMultilevel"/>
    <w:tmpl w:val="E99245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3A87E83"/>
    <w:multiLevelType w:val="hybridMultilevel"/>
    <w:tmpl w:val="70EA4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7EA5528"/>
    <w:multiLevelType w:val="hybridMultilevel"/>
    <w:tmpl w:val="D5E2E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BB9618F"/>
    <w:multiLevelType w:val="hybridMultilevel"/>
    <w:tmpl w:val="00528B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C4733F0"/>
    <w:multiLevelType w:val="hybridMultilevel"/>
    <w:tmpl w:val="9C722D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DAB15B3"/>
    <w:multiLevelType w:val="multilevel"/>
    <w:tmpl w:val="8D80E1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nsid w:val="6EAD222E"/>
    <w:multiLevelType w:val="hybridMultilevel"/>
    <w:tmpl w:val="148CA5C0"/>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739E44B9"/>
    <w:multiLevelType w:val="hybridMultilevel"/>
    <w:tmpl w:val="3D4011C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3B819FB"/>
    <w:multiLevelType w:val="hybridMultilevel"/>
    <w:tmpl w:val="BB3A1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5025C1"/>
    <w:multiLevelType w:val="hybridMultilevel"/>
    <w:tmpl w:val="4F143D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CB4464E"/>
    <w:multiLevelType w:val="hybridMultilevel"/>
    <w:tmpl w:val="9EE2C10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F2D22EE"/>
    <w:multiLevelType w:val="hybridMultilevel"/>
    <w:tmpl w:val="8D80E1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4"/>
  </w:num>
  <w:num w:numId="2">
    <w:abstractNumId w:val="30"/>
  </w:num>
  <w:num w:numId="3">
    <w:abstractNumId w:val="11"/>
  </w:num>
  <w:num w:numId="4">
    <w:abstractNumId w:val="6"/>
  </w:num>
  <w:num w:numId="5">
    <w:abstractNumId w:val="21"/>
  </w:num>
  <w:num w:numId="6">
    <w:abstractNumId w:val="3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31"/>
  </w:num>
  <w:num w:numId="12">
    <w:abstractNumId w:val="14"/>
  </w:num>
  <w:num w:numId="13">
    <w:abstractNumId w:val="1"/>
  </w:num>
  <w:num w:numId="14">
    <w:abstractNumId w:val="22"/>
  </w:num>
  <w:num w:numId="15">
    <w:abstractNumId w:val="18"/>
  </w:num>
  <w:num w:numId="16">
    <w:abstractNumId w:val="34"/>
  </w:num>
  <w:num w:numId="17">
    <w:abstractNumId w:val="3"/>
  </w:num>
  <w:num w:numId="18">
    <w:abstractNumId w:val="25"/>
  </w:num>
  <w:num w:numId="19">
    <w:abstractNumId w:val="7"/>
  </w:num>
  <w:num w:numId="20">
    <w:abstractNumId w:val="28"/>
  </w:num>
  <w:num w:numId="21">
    <w:abstractNumId w:val="5"/>
  </w:num>
  <w:num w:numId="22">
    <w:abstractNumId w:val="12"/>
  </w:num>
  <w:num w:numId="23">
    <w:abstractNumId w:val="13"/>
  </w:num>
  <w:num w:numId="24">
    <w:abstractNumId w:val="15"/>
  </w:num>
  <w:num w:numId="25">
    <w:abstractNumId w:val="26"/>
  </w:num>
  <w:num w:numId="26">
    <w:abstractNumId w:val="23"/>
  </w:num>
  <w:num w:numId="27">
    <w:abstractNumId w:val="8"/>
  </w:num>
  <w:num w:numId="28">
    <w:abstractNumId w:val="29"/>
  </w:num>
  <w:num w:numId="29">
    <w:abstractNumId w:val="17"/>
  </w:num>
  <w:num w:numId="30">
    <w:abstractNumId w:val="9"/>
  </w:num>
  <w:num w:numId="31">
    <w:abstractNumId w:val="37"/>
  </w:num>
  <w:num w:numId="32">
    <w:abstractNumId w:val="33"/>
  </w:num>
  <w:num w:numId="33">
    <w:abstractNumId w:val="38"/>
  </w:num>
  <w:num w:numId="34">
    <w:abstractNumId w:val="35"/>
  </w:num>
  <w:num w:numId="35">
    <w:abstractNumId w:val="20"/>
  </w:num>
  <w:num w:numId="36">
    <w:abstractNumId w:val="10"/>
  </w:num>
  <w:num w:numId="37">
    <w:abstractNumId w:val="32"/>
  </w:num>
  <w:num w:numId="38">
    <w:abstractNumId w:val="27"/>
  </w:num>
  <w:num w:numId="39">
    <w:abstractNumId w:val="1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oNotTrackFormatting/>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Óa"/>
    <w:docVar w:name="85TrailerDateField" w:val="~}œÓh"/>
    <w:docVar w:name="85TrailerDraft" w:val="~}˜Ól"/>
    <w:docVar w:name="85TrailerTime" w:val="~}˜Ól"/>
    <w:docVar w:name="85TrailerType" w:val="~}œÓiil"/>
    <w:docVar w:name="DocStamp_1_OptionalControlValues" w:val="~}•Ó"/>
    <w:docVar w:name="MPDocID" w:val="~}—Ónosqumsqnn"/>
    <w:docVar w:name="MPDocIDTemplate" w:val="~}•Ó"/>
    <w:docVar w:name="MPDocIDTemplateDefault" w:val="~}‘Óh²sk¸"/>
    <w:docVar w:name="NewDocStampType" w:val="~}žÓm"/>
  </w:docVars>
  <w:rsids>
    <w:rsidRoot w:val="00451CF4"/>
    <w:rsid w:val="00002052"/>
    <w:rsid w:val="000025E2"/>
    <w:rsid w:val="00003873"/>
    <w:rsid w:val="00004044"/>
    <w:rsid w:val="00010F36"/>
    <w:rsid w:val="00013941"/>
    <w:rsid w:val="00016F54"/>
    <w:rsid w:val="00017090"/>
    <w:rsid w:val="00017ACE"/>
    <w:rsid w:val="0002124D"/>
    <w:rsid w:val="00021BB6"/>
    <w:rsid w:val="00023706"/>
    <w:rsid w:val="00023BC5"/>
    <w:rsid w:val="00024990"/>
    <w:rsid w:val="00025614"/>
    <w:rsid w:val="00025949"/>
    <w:rsid w:val="0002742B"/>
    <w:rsid w:val="000328AA"/>
    <w:rsid w:val="00033EA2"/>
    <w:rsid w:val="000359CC"/>
    <w:rsid w:val="00036D51"/>
    <w:rsid w:val="0004206D"/>
    <w:rsid w:val="00042B65"/>
    <w:rsid w:val="00043586"/>
    <w:rsid w:val="00043C17"/>
    <w:rsid w:val="0004484E"/>
    <w:rsid w:val="0004588D"/>
    <w:rsid w:val="00050A9F"/>
    <w:rsid w:val="00050DBD"/>
    <w:rsid w:val="0005109A"/>
    <w:rsid w:val="000535A7"/>
    <w:rsid w:val="00057387"/>
    <w:rsid w:val="000601E1"/>
    <w:rsid w:val="00061671"/>
    <w:rsid w:val="00061FDB"/>
    <w:rsid w:val="000627A5"/>
    <w:rsid w:val="00064773"/>
    <w:rsid w:val="000716D5"/>
    <w:rsid w:val="00076237"/>
    <w:rsid w:val="00077A03"/>
    <w:rsid w:val="00077C1C"/>
    <w:rsid w:val="00087241"/>
    <w:rsid w:val="000927E7"/>
    <w:rsid w:val="000932B1"/>
    <w:rsid w:val="00097F5E"/>
    <w:rsid w:val="000A1C47"/>
    <w:rsid w:val="000A218D"/>
    <w:rsid w:val="000A677E"/>
    <w:rsid w:val="000A7CE8"/>
    <w:rsid w:val="000B18A4"/>
    <w:rsid w:val="000B2104"/>
    <w:rsid w:val="000B226F"/>
    <w:rsid w:val="000B260D"/>
    <w:rsid w:val="000B4702"/>
    <w:rsid w:val="000B492D"/>
    <w:rsid w:val="000B6726"/>
    <w:rsid w:val="000C124D"/>
    <w:rsid w:val="000C3157"/>
    <w:rsid w:val="000C5953"/>
    <w:rsid w:val="000C7807"/>
    <w:rsid w:val="000D0E50"/>
    <w:rsid w:val="000D3E93"/>
    <w:rsid w:val="000D45D4"/>
    <w:rsid w:val="000D74F7"/>
    <w:rsid w:val="000D7DDC"/>
    <w:rsid w:val="000E1597"/>
    <w:rsid w:val="000E3366"/>
    <w:rsid w:val="000E565B"/>
    <w:rsid w:val="000F076D"/>
    <w:rsid w:val="000F2EBB"/>
    <w:rsid w:val="000F4F65"/>
    <w:rsid w:val="000F5DC2"/>
    <w:rsid w:val="00100490"/>
    <w:rsid w:val="0010536B"/>
    <w:rsid w:val="00105738"/>
    <w:rsid w:val="00105A4A"/>
    <w:rsid w:val="00106A1F"/>
    <w:rsid w:val="0011150B"/>
    <w:rsid w:val="00111924"/>
    <w:rsid w:val="00111F93"/>
    <w:rsid w:val="001133C0"/>
    <w:rsid w:val="001160EA"/>
    <w:rsid w:val="00120232"/>
    <w:rsid w:val="001221DA"/>
    <w:rsid w:val="00122D06"/>
    <w:rsid w:val="00124B40"/>
    <w:rsid w:val="001257B2"/>
    <w:rsid w:val="0012698E"/>
    <w:rsid w:val="00130191"/>
    <w:rsid w:val="00130CE8"/>
    <w:rsid w:val="00133EFB"/>
    <w:rsid w:val="001340CF"/>
    <w:rsid w:val="001350B6"/>
    <w:rsid w:val="001448D4"/>
    <w:rsid w:val="00144A36"/>
    <w:rsid w:val="00150D8D"/>
    <w:rsid w:val="001511F9"/>
    <w:rsid w:val="00151262"/>
    <w:rsid w:val="00152632"/>
    <w:rsid w:val="001548FF"/>
    <w:rsid w:val="0015763C"/>
    <w:rsid w:val="0016148F"/>
    <w:rsid w:val="00163CC7"/>
    <w:rsid w:val="00163F57"/>
    <w:rsid w:val="00165DB6"/>
    <w:rsid w:val="00165FD0"/>
    <w:rsid w:val="0016764C"/>
    <w:rsid w:val="001720C2"/>
    <w:rsid w:val="00174365"/>
    <w:rsid w:val="001757BE"/>
    <w:rsid w:val="00177A20"/>
    <w:rsid w:val="00180591"/>
    <w:rsid w:val="0018209F"/>
    <w:rsid w:val="00183B25"/>
    <w:rsid w:val="0018437C"/>
    <w:rsid w:val="0019349D"/>
    <w:rsid w:val="00193809"/>
    <w:rsid w:val="0019396D"/>
    <w:rsid w:val="001959BF"/>
    <w:rsid w:val="001967AF"/>
    <w:rsid w:val="00196924"/>
    <w:rsid w:val="00196F60"/>
    <w:rsid w:val="00197745"/>
    <w:rsid w:val="001A0FBE"/>
    <w:rsid w:val="001A2143"/>
    <w:rsid w:val="001A4EF4"/>
    <w:rsid w:val="001A6102"/>
    <w:rsid w:val="001A750D"/>
    <w:rsid w:val="001B1E7F"/>
    <w:rsid w:val="001B1ED2"/>
    <w:rsid w:val="001B3527"/>
    <w:rsid w:val="001B3B44"/>
    <w:rsid w:val="001B3DD2"/>
    <w:rsid w:val="001B5749"/>
    <w:rsid w:val="001C3302"/>
    <w:rsid w:val="001C57CC"/>
    <w:rsid w:val="001D2046"/>
    <w:rsid w:val="001D3C6E"/>
    <w:rsid w:val="001D4E4B"/>
    <w:rsid w:val="001D50E7"/>
    <w:rsid w:val="001E04EC"/>
    <w:rsid w:val="001E2298"/>
    <w:rsid w:val="001E33A6"/>
    <w:rsid w:val="001E4463"/>
    <w:rsid w:val="001E52F0"/>
    <w:rsid w:val="001E5C91"/>
    <w:rsid w:val="001E7429"/>
    <w:rsid w:val="001F70CE"/>
    <w:rsid w:val="001F719A"/>
    <w:rsid w:val="00201A1C"/>
    <w:rsid w:val="0020498C"/>
    <w:rsid w:val="00205E97"/>
    <w:rsid w:val="0021022C"/>
    <w:rsid w:val="0021127D"/>
    <w:rsid w:val="002123A8"/>
    <w:rsid w:val="00212580"/>
    <w:rsid w:val="00214319"/>
    <w:rsid w:val="00214E4D"/>
    <w:rsid w:val="002155C3"/>
    <w:rsid w:val="00216E19"/>
    <w:rsid w:val="00220A43"/>
    <w:rsid w:val="002215DE"/>
    <w:rsid w:val="00221DD0"/>
    <w:rsid w:val="00224562"/>
    <w:rsid w:val="00224989"/>
    <w:rsid w:val="00226AF8"/>
    <w:rsid w:val="00227D59"/>
    <w:rsid w:val="002300CD"/>
    <w:rsid w:val="002335EE"/>
    <w:rsid w:val="00237BD0"/>
    <w:rsid w:val="0024282E"/>
    <w:rsid w:val="00242953"/>
    <w:rsid w:val="00243DE1"/>
    <w:rsid w:val="00244EDD"/>
    <w:rsid w:val="00245E11"/>
    <w:rsid w:val="00251D5C"/>
    <w:rsid w:val="0025538B"/>
    <w:rsid w:val="00255FB2"/>
    <w:rsid w:val="00256865"/>
    <w:rsid w:val="00257531"/>
    <w:rsid w:val="00257631"/>
    <w:rsid w:val="00261E3B"/>
    <w:rsid w:val="0026227D"/>
    <w:rsid w:val="002646A4"/>
    <w:rsid w:val="002649E7"/>
    <w:rsid w:val="00265833"/>
    <w:rsid w:val="00270E00"/>
    <w:rsid w:val="00271987"/>
    <w:rsid w:val="00271DD1"/>
    <w:rsid w:val="002729B8"/>
    <w:rsid w:val="002755B9"/>
    <w:rsid w:val="002763BB"/>
    <w:rsid w:val="00276834"/>
    <w:rsid w:val="00276D5A"/>
    <w:rsid w:val="00281961"/>
    <w:rsid w:val="00282271"/>
    <w:rsid w:val="00282EE9"/>
    <w:rsid w:val="00290BF2"/>
    <w:rsid w:val="00291F01"/>
    <w:rsid w:val="002926E3"/>
    <w:rsid w:val="00292BEA"/>
    <w:rsid w:val="002939E6"/>
    <w:rsid w:val="00294A5A"/>
    <w:rsid w:val="002955AA"/>
    <w:rsid w:val="002A1C6F"/>
    <w:rsid w:val="002A1F7D"/>
    <w:rsid w:val="002A2079"/>
    <w:rsid w:val="002A49FB"/>
    <w:rsid w:val="002A5742"/>
    <w:rsid w:val="002A65CC"/>
    <w:rsid w:val="002A6EF0"/>
    <w:rsid w:val="002A7212"/>
    <w:rsid w:val="002A7277"/>
    <w:rsid w:val="002B0AA5"/>
    <w:rsid w:val="002B1CFF"/>
    <w:rsid w:val="002B3F93"/>
    <w:rsid w:val="002C35DF"/>
    <w:rsid w:val="002C476A"/>
    <w:rsid w:val="002C5375"/>
    <w:rsid w:val="002D12FD"/>
    <w:rsid w:val="002D2464"/>
    <w:rsid w:val="002D2B1A"/>
    <w:rsid w:val="002D2CA8"/>
    <w:rsid w:val="002D437E"/>
    <w:rsid w:val="002D4B6B"/>
    <w:rsid w:val="002D7E84"/>
    <w:rsid w:val="002E0780"/>
    <w:rsid w:val="002E10DF"/>
    <w:rsid w:val="002E1BE1"/>
    <w:rsid w:val="002E28A9"/>
    <w:rsid w:val="002E3BD6"/>
    <w:rsid w:val="002E696C"/>
    <w:rsid w:val="002F1211"/>
    <w:rsid w:val="002F1371"/>
    <w:rsid w:val="002F58C1"/>
    <w:rsid w:val="00300A6A"/>
    <w:rsid w:val="00302DB2"/>
    <w:rsid w:val="00306C05"/>
    <w:rsid w:val="00311088"/>
    <w:rsid w:val="003111C0"/>
    <w:rsid w:val="0031193A"/>
    <w:rsid w:val="0031278C"/>
    <w:rsid w:val="0031322E"/>
    <w:rsid w:val="0031396D"/>
    <w:rsid w:val="00314734"/>
    <w:rsid w:val="00315C11"/>
    <w:rsid w:val="00317357"/>
    <w:rsid w:val="003223CF"/>
    <w:rsid w:val="003300CB"/>
    <w:rsid w:val="00330EAF"/>
    <w:rsid w:val="00331A4F"/>
    <w:rsid w:val="00331B5F"/>
    <w:rsid w:val="00331FEE"/>
    <w:rsid w:val="00331FFF"/>
    <w:rsid w:val="003349FE"/>
    <w:rsid w:val="00335EAB"/>
    <w:rsid w:val="0033680E"/>
    <w:rsid w:val="0034165A"/>
    <w:rsid w:val="0034194B"/>
    <w:rsid w:val="00344314"/>
    <w:rsid w:val="00347778"/>
    <w:rsid w:val="00347D43"/>
    <w:rsid w:val="00352472"/>
    <w:rsid w:val="003535B4"/>
    <w:rsid w:val="00354987"/>
    <w:rsid w:val="00355AA9"/>
    <w:rsid w:val="00356261"/>
    <w:rsid w:val="00360903"/>
    <w:rsid w:val="00360B79"/>
    <w:rsid w:val="00361D69"/>
    <w:rsid w:val="00363E05"/>
    <w:rsid w:val="0036598D"/>
    <w:rsid w:val="00366F03"/>
    <w:rsid w:val="003713CB"/>
    <w:rsid w:val="0037205E"/>
    <w:rsid w:val="00373A5A"/>
    <w:rsid w:val="00375815"/>
    <w:rsid w:val="00376229"/>
    <w:rsid w:val="0038118E"/>
    <w:rsid w:val="00381F7A"/>
    <w:rsid w:val="00382199"/>
    <w:rsid w:val="003828A1"/>
    <w:rsid w:val="00382FD1"/>
    <w:rsid w:val="003871F4"/>
    <w:rsid w:val="0039117D"/>
    <w:rsid w:val="003911F5"/>
    <w:rsid w:val="00394A3E"/>
    <w:rsid w:val="00395319"/>
    <w:rsid w:val="00396201"/>
    <w:rsid w:val="003A153C"/>
    <w:rsid w:val="003A202B"/>
    <w:rsid w:val="003A2584"/>
    <w:rsid w:val="003A2F45"/>
    <w:rsid w:val="003A3F09"/>
    <w:rsid w:val="003A53F2"/>
    <w:rsid w:val="003A6999"/>
    <w:rsid w:val="003A6B2A"/>
    <w:rsid w:val="003A7F98"/>
    <w:rsid w:val="003B10AC"/>
    <w:rsid w:val="003B161A"/>
    <w:rsid w:val="003B3C41"/>
    <w:rsid w:val="003B3C88"/>
    <w:rsid w:val="003B51FA"/>
    <w:rsid w:val="003B6B71"/>
    <w:rsid w:val="003C03F5"/>
    <w:rsid w:val="003D0414"/>
    <w:rsid w:val="003D3CB8"/>
    <w:rsid w:val="003D46D7"/>
    <w:rsid w:val="003D6FD4"/>
    <w:rsid w:val="003E1653"/>
    <w:rsid w:val="003E2504"/>
    <w:rsid w:val="003E38FF"/>
    <w:rsid w:val="003E749F"/>
    <w:rsid w:val="003E7896"/>
    <w:rsid w:val="003E78A4"/>
    <w:rsid w:val="003F11B9"/>
    <w:rsid w:val="003F2629"/>
    <w:rsid w:val="003F390F"/>
    <w:rsid w:val="003F6225"/>
    <w:rsid w:val="003F6502"/>
    <w:rsid w:val="0040122E"/>
    <w:rsid w:val="004045A2"/>
    <w:rsid w:val="00410349"/>
    <w:rsid w:val="00411ECA"/>
    <w:rsid w:val="004162E7"/>
    <w:rsid w:val="0042016C"/>
    <w:rsid w:val="0042130F"/>
    <w:rsid w:val="0042133D"/>
    <w:rsid w:val="00421439"/>
    <w:rsid w:val="004226A6"/>
    <w:rsid w:val="00424407"/>
    <w:rsid w:val="00424546"/>
    <w:rsid w:val="00424A32"/>
    <w:rsid w:val="004251A2"/>
    <w:rsid w:val="00425CF4"/>
    <w:rsid w:val="00427A41"/>
    <w:rsid w:val="00431AE5"/>
    <w:rsid w:val="0043296F"/>
    <w:rsid w:val="00433408"/>
    <w:rsid w:val="004365FF"/>
    <w:rsid w:val="004367FD"/>
    <w:rsid w:val="00440BB5"/>
    <w:rsid w:val="00442A8E"/>
    <w:rsid w:val="0044467D"/>
    <w:rsid w:val="00444BB3"/>
    <w:rsid w:val="00451504"/>
    <w:rsid w:val="00451CF4"/>
    <w:rsid w:val="004524AF"/>
    <w:rsid w:val="004561FE"/>
    <w:rsid w:val="00456BA5"/>
    <w:rsid w:val="004601F2"/>
    <w:rsid w:val="004607BF"/>
    <w:rsid w:val="0046307D"/>
    <w:rsid w:val="004660B5"/>
    <w:rsid w:val="00467343"/>
    <w:rsid w:val="00472F63"/>
    <w:rsid w:val="00473983"/>
    <w:rsid w:val="00473E4E"/>
    <w:rsid w:val="004765E0"/>
    <w:rsid w:val="00481156"/>
    <w:rsid w:val="00481185"/>
    <w:rsid w:val="0048294A"/>
    <w:rsid w:val="004835F9"/>
    <w:rsid w:val="004837E0"/>
    <w:rsid w:val="00490DA2"/>
    <w:rsid w:val="00491207"/>
    <w:rsid w:val="004915EA"/>
    <w:rsid w:val="004940F9"/>
    <w:rsid w:val="004946E4"/>
    <w:rsid w:val="004951CB"/>
    <w:rsid w:val="004A125B"/>
    <w:rsid w:val="004A2E5D"/>
    <w:rsid w:val="004A4911"/>
    <w:rsid w:val="004A56D3"/>
    <w:rsid w:val="004A5E44"/>
    <w:rsid w:val="004A72E9"/>
    <w:rsid w:val="004B227C"/>
    <w:rsid w:val="004B2F96"/>
    <w:rsid w:val="004B3239"/>
    <w:rsid w:val="004B3350"/>
    <w:rsid w:val="004C1BB0"/>
    <w:rsid w:val="004C41BA"/>
    <w:rsid w:val="004C6404"/>
    <w:rsid w:val="004C7547"/>
    <w:rsid w:val="004D007F"/>
    <w:rsid w:val="004D1773"/>
    <w:rsid w:val="004D53DC"/>
    <w:rsid w:val="004D5DBD"/>
    <w:rsid w:val="004D6238"/>
    <w:rsid w:val="004E275F"/>
    <w:rsid w:val="004E3226"/>
    <w:rsid w:val="004E7D42"/>
    <w:rsid w:val="004F1420"/>
    <w:rsid w:val="004F14A0"/>
    <w:rsid w:val="004F2349"/>
    <w:rsid w:val="004F3AF4"/>
    <w:rsid w:val="004F3C63"/>
    <w:rsid w:val="004F5C6B"/>
    <w:rsid w:val="005020B1"/>
    <w:rsid w:val="00502794"/>
    <w:rsid w:val="005031C4"/>
    <w:rsid w:val="00503790"/>
    <w:rsid w:val="00505026"/>
    <w:rsid w:val="00505674"/>
    <w:rsid w:val="00510753"/>
    <w:rsid w:val="00511BFC"/>
    <w:rsid w:val="005125B4"/>
    <w:rsid w:val="00512967"/>
    <w:rsid w:val="005148FD"/>
    <w:rsid w:val="00521406"/>
    <w:rsid w:val="00525A77"/>
    <w:rsid w:val="00526C37"/>
    <w:rsid w:val="00527E54"/>
    <w:rsid w:val="00534994"/>
    <w:rsid w:val="005439D0"/>
    <w:rsid w:val="00554BA3"/>
    <w:rsid w:val="00555804"/>
    <w:rsid w:val="00555BC4"/>
    <w:rsid w:val="00557B5A"/>
    <w:rsid w:val="00557EF1"/>
    <w:rsid w:val="00560BF7"/>
    <w:rsid w:val="005635F2"/>
    <w:rsid w:val="00564F26"/>
    <w:rsid w:val="005677EF"/>
    <w:rsid w:val="005702A7"/>
    <w:rsid w:val="00575CCA"/>
    <w:rsid w:val="005766DD"/>
    <w:rsid w:val="00576FAF"/>
    <w:rsid w:val="00580163"/>
    <w:rsid w:val="005808F2"/>
    <w:rsid w:val="00585291"/>
    <w:rsid w:val="00585A15"/>
    <w:rsid w:val="00586159"/>
    <w:rsid w:val="005876F9"/>
    <w:rsid w:val="005902F6"/>
    <w:rsid w:val="00590381"/>
    <w:rsid w:val="00592C42"/>
    <w:rsid w:val="0059524E"/>
    <w:rsid w:val="00595CFF"/>
    <w:rsid w:val="005A3BED"/>
    <w:rsid w:val="005A60CE"/>
    <w:rsid w:val="005A6A62"/>
    <w:rsid w:val="005B0CA0"/>
    <w:rsid w:val="005B0EFE"/>
    <w:rsid w:val="005B3A0F"/>
    <w:rsid w:val="005B3B95"/>
    <w:rsid w:val="005B3FE8"/>
    <w:rsid w:val="005B5DEC"/>
    <w:rsid w:val="005B66FF"/>
    <w:rsid w:val="005B6E81"/>
    <w:rsid w:val="005C2CAA"/>
    <w:rsid w:val="005C51FA"/>
    <w:rsid w:val="005C5F09"/>
    <w:rsid w:val="005D0998"/>
    <w:rsid w:val="005D4AE2"/>
    <w:rsid w:val="005D577A"/>
    <w:rsid w:val="005D661B"/>
    <w:rsid w:val="005D6CDC"/>
    <w:rsid w:val="005D7A7F"/>
    <w:rsid w:val="005E10D3"/>
    <w:rsid w:val="005E150A"/>
    <w:rsid w:val="005E32F1"/>
    <w:rsid w:val="005E47B1"/>
    <w:rsid w:val="005E5C39"/>
    <w:rsid w:val="005E6FD2"/>
    <w:rsid w:val="005F2B3F"/>
    <w:rsid w:val="005F3BD4"/>
    <w:rsid w:val="00600E2C"/>
    <w:rsid w:val="00606739"/>
    <w:rsid w:val="00614D39"/>
    <w:rsid w:val="00615ABC"/>
    <w:rsid w:val="00615EEE"/>
    <w:rsid w:val="00620130"/>
    <w:rsid w:val="00620320"/>
    <w:rsid w:val="006205E9"/>
    <w:rsid w:val="00621433"/>
    <w:rsid w:val="00621BDE"/>
    <w:rsid w:val="00621C66"/>
    <w:rsid w:val="00622E1F"/>
    <w:rsid w:val="0062427C"/>
    <w:rsid w:val="00631EE4"/>
    <w:rsid w:val="00634146"/>
    <w:rsid w:val="0063777D"/>
    <w:rsid w:val="00640983"/>
    <w:rsid w:val="00643A42"/>
    <w:rsid w:val="006440C6"/>
    <w:rsid w:val="00650B31"/>
    <w:rsid w:val="00651667"/>
    <w:rsid w:val="00651DB8"/>
    <w:rsid w:val="00652FDE"/>
    <w:rsid w:val="006568F0"/>
    <w:rsid w:val="00657FED"/>
    <w:rsid w:val="00662E9C"/>
    <w:rsid w:val="00665CD8"/>
    <w:rsid w:val="00673AE9"/>
    <w:rsid w:val="00674C25"/>
    <w:rsid w:val="006765D3"/>
    <w:rsid w:val="00680B0F"/>
    <w:rsid w:val="00681409"/>
    <w:rsid w:val="0068141D"/>
    <w:rsid w:val="0068268A"/>
    <w:rsid w:val="00687575"/>
    <w:rsid w:val="0069094C"/>
    <w:rsid w:val="00691764"/>
    <w:rsid w:val="00691ED6"/>
    <w:rsid w:val="006969D6"/>
    <w:rsid w:val="006B19DD"/>
    <w:rsid w:val="006B76F6"/>
    <w:rsid w:val="006C31C2"/>
    <w:rsid w:val="006C5430"/>
    <w:rsid w:val="006C5BF7"/>
    <w:rsid w:val="006C706A"/>
    <w:rsid w:val="006D2446"/>
    <w:rsid w:val="006D58DE"/>
    <w:rsid w:val="006D75AB"/>
    <w:rsid w:val="006E01EA"/>
    <w:rsid w:val="006E0F7F"/>
    <w:rsid w:val="006E2E70"/>
    <w:rsid w:val="006E3DAB"/>
    <w:rsid w:val="006E6790"/>
    <w:rsid w:val="006F436B"/>
    <w:rsid w:val="006F49B6"/>
    <w:rsid w:val="006F574E"/>
    <w:rsid w:val="007017C7"/>
    <w:rsid w:val="007035D8"/>
    <w:rsid w:val="00703EAF"/>
    <w:rsid w:val="00704C4B"/>
    <w:rsid w:val="00705876"/>
    <w:rsid w:val="007068A8"/>
    <w:rsid w:val="00710E87"/>
    <w:rsid w:val="00711DB1"/>
    <w:rsid w:val="00713E06"/>
    <w:rsid w:val="00714855"/>
    <w:rsid w:val="00715152"/>
    <w:rsid w:val="00715B39"/>
    <w:rsid w:val="0071742C"/>
    <w:rsid w:val="0071743C"/>
    <w:rsid w:val="007176BE"/>
    <w:rsid w:val="00723A6C"/>
    <w:rsid w:val="00730692"/>
    <w:rsid w:val="00731862"/>
    <w:rsid w:val="0073215F"/>
    <w:rsid w:val="00732D37"/>
    <w:rsid w:val="00733B9A"/>
    <w:rsid w:val="007359BD"/>
    <w:rsid w:val="0073723B"/>
    <w:rsid w:val="00737588"/>
    <w:rsid w:val="00742571"/>
    <w:rsid w:val="0074582F"/>
    <w:rsid w:val="00745E50"/>
    <w:rsid w:val="007476F4"/>
    <w:rsid w:val="00760643"/>
    <w:rsid w:val="007623D2"/>
    <w:rsid w:val="00764D43"/>
    <w:rsid w:val="00767618"/>
    <w:rsid w:val="007706BB"/>
    <w:rsid w:val="007718C9"/>
    <w:rsid w:val="00772EDD"/>
    <w:rsid w:val="00774F93"/>
    <w:rsid w:val="00780C91"/>
    <w:rsid w:val="00782B0E"/>
    <w:rsid w:val="00784275"/>
    <w:rsid w:val="00786A50"/>
    <w:rsid w:val="0079101C"/>
    <w:rsid w:val="00792DE7"/>
    <w:rsid w:val="007943B5"/>
    <w:rsid w:val="007965EC"/>
    <w:rsid w:val="00796733"/>
    <w:rsid w:val="00796FBE"/>
    <w:rsid w:val="007A0BC2"/>
    <w:rsid w:val="007A237B"/>
    <w:rsid w:val="007A2C0E"/>
    <w:rsid w:val="007A4E95"/>
    <w:rsid w:val="007B1463"/>
    <w:rsid w:val="007B278E"/>
    <w:rsid w:val="007B2A35"/>
    <w:rsid w:val="007B3434"/>
    <w:rsid w:val="007B3EA0"/>
    <w:rsid w:val="007B6295"/>
    <w:rsid w:val="007C0668"/>
    <w:rsid w:val="007C0984"/>
    <w:rsid w:val="007C2985"/>
    <w:rsid w:val="007C5641"/>
    <w:rsid w:val="007C77D3"/>
    <w:rsid w:val="007D2C63"/>
    <w:rsid w:val="007D3FA8"/>
    <w:rsid w:val="007D4AFB"/>
    <w:rsid w:val="007D4BB5"/>
    <w:rsid w:val="007D55DC"/>
    <w:rsid w:val="007D5944"/>
    <w:rsid w:val="007E0FF7"/>
    <w:rsid w:val="007E51B9"/>
    <w:rsid w:val="007E627B"/>
    <w:rsid w:val="007E75DC"/>
    <w:rsid w:val="007E7C6B"/>
    <w:rsid w:val="007F60DD"/>
    <w:rsid w:val="007F7102"/>
    <w:rsid w:val="007F7668"/>
    <w:rsid w:val="008021B5"/>
    <w:rsid w:val="00805BA7"/>
    <w:rsid w:val="00810613"/>
    <w:rsid w:val="00810E7B"/>
    <w:rsid w:val="008120DC"/>
    <w:rsid w:val="0081326E"/>
    <w:rsid w:val="00813454"/>
    <w:rsid w:val="00813ACB"/>
    <w:rsid w:val="008152FC"/>
    <w:rsid w:val="00815A2C"/>
    <w:rsid w:val="00816866"/>
    <w:rsid w:val="008202A6"/>
    <w:rsid w:val="00820C86"/>
    <w:rsid w:val="00821524"/>
    <w:rsid w:val="0082234E"/>
    <w:rsid w:val="0082298B"/>
    <w:rsid w:val="0082429E"/>
    <w:rsid w:val="00824B0A"/>
    <w:rsid w:val="00825BA2"/>
    <w:rsid w:val="00825CEA"/>
    <w:rsid w:val="00826004"/>
    <w:rsid w:val="008275CC"/>
    <w:rsid w:val="00831698"/>
    <w:rsid w:val="00833C86"/>
    <w:rsid w:val="00834882"/>
    <w:rsid w:val="0083503B"/>
    <w:rsid w:val="00835906"/>
    <w:rsid w:val="00836849"/>
    <w:rsid w:val="0083782D"/>
    <w:rsid w:val="008438D6"/>
    <w:rsid w:val="00843B59"/>
    <w:rsid w:val="00845A85"/>
    <w:rsid w:val="00846F58"/>
    <w:rsid w:val="008509D7"/>
    <w:rsid w:val="0085380D"/>
    <w:rsid w:val="00854C95"/>
    <w:rsid w:val="008562E0"/>
    <w:rsid w:val="008573AF"/>
    <w:rsid w:val="00857CD0"/>
    <w:rsid w:val="00860011"/>
    <w:rsid w:val="00860260"/>
    <w:rsid w:val="00861EBD"/>
    <w:rsid w:val="008624FE"/>
    <w:rsid w:val="00862703"/>
    <w:rsid w:val="00870D01"/>
    <w:rsid w:val="0087246F"/>
    <w:rsid w:val="00875D8F"/>
    <w:rsid w:val="00877674"/>
    <w:rsid w:val="00880816"/>
    <w:rsid w:val="008809C0"/>
    <w:rsid w:val="00882412"/>
    <w:rsid w:val="008867EC"/>
    <w:rsid w:val="008872D7"/>
    <w:rsid w:val="00887B03"/>
    <w:rsid w:val="00890D71"/>
    <w:rsid w:val="0089545E"/>
    <w:rsid w:val="00895F23"/>
    <w:rsid w:val="008A1CC1"/>
    <w:rsid w:val="008A2CA1"/>
    <w:rsid w:val="008A2DCD"/>
    <w:rsid w:val="008A4513"/>
    <w:rsid w:val="008A49FA"/>
    <w:rsid w:val="008A56D8"/>
    <w:rsid w:val="008A624E"/>
    <w:rsid w:val="008A75ED"/>
    <w:rsid w:val="008B69C7"/>
    <w:rsid w:val="008C0F33"/>
    <w:rsid w:val="008C1295"/>
    <w:rsid w:val="008C20EC"/>
    <w:rsid w:val="008C25F7"/>
    <w:rsid w:val="008C2B4E"/>
    <w:rsid w:val="008C4159"/>
    <w:rsid w:val="008D091D"/>
    <w:rsid w:val="008D1042"/>
    <w:rsid w:val="008D2C84"/>
    <w:rsid w:val="008D350A"/>
    <w:rsid w:val="008D78E5"/>
    <w:rsid w:val="008E0951"/>
    <w:rsid w:val="008E16E3"/>
    <w:rsid w:val="008E35B6"/>
    <w:rsid w:val="008E49CD"/>
    <w:rsid w:val="008E764C"/>
    <w:rsid w:val="008F120E"/>
    <w:rsid w:val="008F2F4C"/>
    <w:rsid w:val="008F51EB"/>
    <w:rsid w:val="00900F80"/>
    <w:rsid w:val="00902D65"/>
    <w:rsid w:val="00905C1B"/>
    <w:rsid w:val="00913021"/>
    <w:rsid w:val="0091593A"/>
    <w:rsid w:val="00916488"/>
    <w:rsid w:val="009202BA"/>
    <w:rsid w:val="00920EEF"/>
    <w:rsid w:val="009238DC"/>
    <w:rsid w:val="0092574E"/>
    <w:rsid w:val="00925A81"/>
    <w:rsid w:val="00930A9B"/>
    <w:rsid w:val="00930BAD"/>
    <w:rsid w:val="00934BBA"/>
    <w:rsid w:val="00934D3A"/>
    <w:rsid w:val="00937CED"/>
    <w:rsid w:val="00944821"/>
    <w:rsid w:val="00947E38"/>
    <w:rsid w:val="0095091C"/>
    <w:rsid w:val="00950AA0"/>
    <w:rsid w:val="00951EC6"/>
    <w:rsid w:val="00953B3F"/>
    <w:rsid w:val="00954D47"/>
    <w:rsid w:val="00955565"/>
    <w:rsid w:val="00955DD0"/>
    <w:rsid w:val="00957300"/>
    <w:rsid w:val="00961051"/>
    <w:rsid w:val="00963AA7"/>
    <w:rsid w:val="0096680F"/>
    <w:rsid w:val="0096744F"/>
    <w:rsid w:val="0097313E"/>
    <w:rsid w:val="00975DCF"/>
    <w:rsid w:val="009802D9"/>
    <w:rsid w:val="00980614"/>
    <w:rsid w:val="00982DAA"/>
    <w:rsid w:val="00982DAE"/>
    <w:rsid w:val="009839F3"/>
    <w:rsid w:val="0098509E"/>
    <w:rsid w:val="009857AA"/>
    <w:rsid w:val="00987041"/>
    <w:rsid w:val="00990C4D"/>
    <w:rsid w:val="00995198"/>
    <w:rsid w:val="00995269"/>
    <w:rsid w:val="009963AA"/>
    <w:rsid w:val="00997C3F"/>
    <w:rsid w:val="00997CEA"/>
    <w:rsid w:val="009A1FA6"/>
    <w:rsid w:val="009A6AD7"/>
    <w:rsid w:val="009A6CC7"/>
    <w:rsid w:val="009A6E28"/>
    <w:rsid w:val="009B2468"/>
    <w:rsid w:val="009B2F2C"/>
    <w:rsid w:val="009B438D"/>
    <w:rsid w:val="009B45DF"/>
    <w:rsid w:val="009C0586"/>
    <w:rsid w:val="009C0C7C"/>
    <w:rsid w:val="009C0E26"/>
    <w:rsid w:val="009C3391"/>
    <w:rsid w:val="009C60DE"/>
    <w:rsid w:val="009C61D9"/>
    <w:rsid w:val="009C7150"/>
    <w:rsid w:val="009D0A2C"/>
    <w:rsid w:val="009D2DAF"/>
    <w:rsid w:val="009D7168"/>
    <w:rsid w:val="009E0261"/>
    <w:rsid w:val="009E3C33"/>
    <w:rsid w:val="009E3CE6"/>
    <w:rsid w:val="009E4841"/>
    <w:rsid w:val="009E59C4"/>
    <w:rsid w:val="009E6B86"/>
    <w:rsid w:val="009F0147"/>
    <w:rsid w:val="009F2D7A"/>
    <w:rsid w:val="009F2F45"/>
    <w:rsid w:val="009F4905"/>
    <w:rsid w:val="009F4DF7"/>
    <w:rsid w:val="009F4FE5"/>
    <w:rsid w:val="00A00271"/>
    <w:rsid w:val="00A00681"/>
    <w:rsid w:val="00A016C1"/>
    <w:rsid w:val="00A0323B"/>
    <w:rsid w:val="00A0701B"/>
    <w:rsid w:val="00A07EAA"/>
    <w:rsid w:val="00A12697"/>
    <w:rsid w:val="00A12C92"/>
    <w:rsid w:val="00A12CF6"/>
    <w:rsid w:val="00A147FA"/>
    <w:rsid w:val="00A212BB"/>
    <w:rsid w:val="00A213E0"/>
    <w:rsid w:val="00A21573"/>
    <w:rsid w:val="00A218C5"/>
    <w:rsid w:val="00A21C71"/>
    <w:rsid w:val="00A22450"/>
    <w:rsid w:val="00A2445B"/>
    <w:rsid w:val="00A24966"/>
    <w:rsid w:val="00A2750B"/>
    <w:rsid w:val="00A31745"/>
    <w:rsid w:val="00A326BF"/>
    <w:rsid w:val="00A344A6"/>
    <w:rsid w:val="00A35967"/>
    <w:rsid w:val="00A36152"/>
    <w:rsid w:val="00A36368"/>
    <w:rsid w:val="00A4393E"/>
    <w:rsid w:val="00A43EDF"/>
    <w:rsid w:val="00A46D20"/>
    <w:rsid w:val="00A47572"/>
    <w:rsid w:val="00A476CC"/>
    <w:rsid w:val="00A500C5"/>
    <w:rsid w:val="00A52F91"/>
    <w:rsid w:val="00A53AD2"/>
    <w:rsid w:val="00A5477B"/>
    <w:rsid w:val="00A54FD7"/>
    <w:rsid w:val="00A72D81"/>
    <w:rsid w:val="00A73130"/>
    <w:rsid w:val="00A734A8"/>
    <w:rsid w:val="00A75E12"/>
    <w:rsid w:val="00A762A3"/>
    <w:rsid w:val="00A77C94"/>
    <w:rsid w:val="00A82B43"/>
    <w:rsid w:val="00A8504D"/>
    <w:rsid w:val="00A85457"/>
    <w:rsid w:val="00A90531"/>
    <w:rsid w:val="00A9353F"/>
    <w:rsid w:val="00AA4346"/>
    <w:rsid w:val="00AB3CC8"/>
    <w:rsid w:val="00AB6DBB"/>
    <w:rsid w:val="00AB76E3"/>
    <w:rsid w:val="00AB7895"/>
    <w:rsid w:val="00AC4EEE"/>
    <w:rsid w:val="00AC53DA"/>
    <w:rsid w:val="00AC59F9"/>
    <w:rsid w:val="00AD38C1"/>
    <w:rsid w:val="00AD4F15"/>
    <w:rsid w:val="00AE2331"/>
    <w:rsid w:val="00AE4BF0"/>
    <w:rsid w:val="00AE5142"/>
    <w:rsid w:val="00AF1090"/>
    <w:rsid w:val="00AF1A68"/>
    <w:rsid w:val="00AF23D5"/>
    <w:rsid w:val="00AF42C9"/>
    <w:rsid w:val="00AF66E4"/>
    <w:rsid w:val="00B0030C"/>
    <w:rsid w:val="00B00BA3"/>
    <w:rsid w:val="00B02E3F"/>
    <w:rsid w:val="00B03885"/>
    <w:rsid w:val="00B045FB"/>
    <w:rsid w:val="00B10579"/>
    <w:rsid w:val="00B1057A"/>
    <w:rsid w:val="00B122B0"/>
    <w:rsid w:val="00B1286D"/>
    <w:rsid w:val="00B129BD"/>
    <w:rsid w:val="00B145D2"/>
    <w:rsid w:val="00B14E53"/>
    <w:rsid w:val="00B2026E"/>
    <w:rsid w:val="00B208CB"/>
    <w:rsid w:val="00B20A89"/>
    <w:rsid w:val="00B20E9D"/>
    <w:rsid w:val="00B21FD1"/>
    <w:rsid w:val="00B30EEA"/>
    <w:rsid w:val="00B32A34"/>
    <w:rsid w:val="00B378F2"/>
    <w:rsid w:val="00B37CCC"/>
    <w:rsid w:val="00B42312"/>
    <w:rsid w:val="00B43900"/>
    <w:rsid w:val="00B43C6B"/>
    <w:rsid w:val="00B44F03"/>
    <w:rsid w:val="00B46407"/>
    <w:rsid w:val="00B46621"/>
    <w:rsid w:val="00B46658"/>
    <w:rsid w:val="00B47767"/>
    <w:rsid w:val="00B56B58"/>
    <w:rsid w:val="00B604C4"/>
    <w:rsid w:val="00B6188C"/>
    <w:rsid w:val="00B62AB6"/>
    <w:rsid w:val="00B62CEA"/>
    <w:rsid w:val="00B6459F"/>
    <w:rsid w:val="00B65117"/>
    <w:rsid w:val="00B65D9C"/>
    <w:rsid w:val="00B66255"/>
    <w:rsid w:val="00B667E1"/>
    <w:rsid w:val="00B67EB4"/>
    <w:rsid w:val="00B7416F"/>
    <w:rsid w:val="00B744E9"/>
    <w:rsid w:val="00B7529F"/>
    <w:rsid w:val="00B755ED"/>
    <w:rsid w:val="00B75759"/>
    <w:rsid w:val="00B75916"/>
    <w:rsid w:val="00B75A8F"/>
    <w:rsid w:val="00B809DF"/>
    <w:rsid w:val="00B80FBF"/>
    <w:rsid w:val="00B820F8"/>
    <w:rsid w:val="00B8398E"/>
    <w:rsid w:val="00B83F6A"/>
    <w:rsid w:val="00B84147"/>
    <w:rsid w:val="00B85175"/>
    <w:rsid w:val="00B91062"/>
    <w:rsid w:val="00B9156C"/>
    <w:rsid w:val="00B91B60"/>
    <w:rsid w:val="00B939F8"/>
    <w:rsid w:val="00BA13A7"/>
    <w:rsid w:val="00BA2BD6"/>
    <w:rsid w:val="00BA6193"/>
    <w:rsid w:val="00BA6974"/>
    <w:rsid w:val="00BA6EB7"/>
    <w:rsid w:val="00BA74B6"/>
    <w:rsid w:val="00BB0385"/>
    <w:rsid w:val="00BB068F"/>
    <w:rsid w:val="00BB18A0"/>
    <w:rsid w:val="00BB2CFE"/>
    <w:rsid w:val="00BB2EDC"/>
    <w:rsid w:val="00BB411D"/>
    <w:rsid w:val="00BB5EFE"/>
    <w:rsid w:val="00BB6649"/>
    <w:rsid w:val="00BB733D"/>
    <w:rsid w:val="00BB73D8"/>
    <w:rsid w:val="00BC1CE6"/>
    <w:rsid w:val="00BC282F"/>
    <w:rsid w:val="00BC2840"/>
    <w:rsid w:val="00BC4924"/>
    <w:rsid w:val="00BC4A4C"/>
    <w:rsid w:val="00BD48C2"/>
    <w:rsid w:val="00BD6877"/>
    <w:rsid w:val="00BD7B62"/>
    <w:rsid w:val="00BE044F"/>
    <w:rsid w:val="00BE3F49"/>
    <w:rsid w:val="00BF11EB"/>
    <w:rsid w:val="00BF16F1"/>
    <w:rsid w:val="00BF301E"/>
    <w:rsid w:val="00BF5175"/>
    <w:rsid w:val="00BF685C"/>
    <w:rsid w:val="00C001D5"/>
    <w:rsid w:val="00C024AD"/>
    <w:rsid w:val="00C0284D"/>
    <w:rsid w:val="00C03807"/>
    <w:rsid w:val="00C05133"/>
    <w:rsid w:val="00C051EA"/>
    <w:rsid w:val="00C1193D"/>
    <w:rsid w:val="00C11D3E"/>
    <w:rsid w:val="00C125DE"/>
    <w:rsid w:val="00C1690E"/>
    <w:rsid w:val="00C17CB1"/>
    <w:rsid w:val="00C201FA"/>
    <w:rsid w:val="00C23FE6"/>
    <w:rsid w:val="00C2471B"/>
    <w:rsid w:val="00C2478F"/>
    <w:rsid w:val="00C25EC1"/>
    <w:rsid w:val="00C27448"/>
    <w:rsid w:val="00C31778"/>
    <w:rsid w:val="00C31CFF"/>
    <w:rsid w:val="00C337AE"/>
    <w:rsid w:val="00C35452"/>
    <w:rsid w:val="00C36EF0"/>
    <w:rsid w:val="00C3730E"/>
    <w:rsid w:val="00C40849"/>
    <w:rsid w:val="00C40942"/>
    <w:rsid w:val="00C4101B"/>
    <w:rsid w:val="00C439FA"/>
    <w:rsid w:val="00C46FF0"/>
    <w:rsid w:val="00C4796D"/>
    <w:rsid w:val="00C5050D"/>
    <w:rsid w:val="00C508C1"/>
    <w:rsid w:val="00C522C0"/>
    <w:rsid w:val="00C551D6"/>
    <w:rsid w:val="00C60DD9"/>
    <w:rsid w:val="00C6135D"/>
    <w:rsid w:val="00C6173E"/>
    <w:rsid w:val="00C61838"/>
    <w:rsid w:val="00C64F6E"/>
    <w:rsid w:val="00C65BCB"/>
    <w:rsid w:val="00C65F29"/>
    <w:rsid w:val="00C67CBE"/>
    <w:rsid w:val="00C700E3"/>
    <w:rsid w:val="00C70175"/>
    <w:rsid w:val="00C70AC2"/>
    <w:rsid w:val="00C70EF5"/>
    <w:rsid w:val="00C71323"/>
    <w:rsid w:val="00C7270D"/>
    <w:rsid w:val="00C728EF"/>
    <w:rsid w:val="00C73157"/>
    <w:rsid w:val="00C75AAF"/>
    <w:rsid w:val="00C76DC8"/>
    <w:rsid w:val="00C809F7"/>
    <w:rsid w:val="00C84483"/>
    <w:rsid w:val="00C84F36"/>
    <w:rsid w:val="00C85965"/>
    <w:rsid w:val="00C86E04"/>
    <w:rsid w:val="00C90410"/>
    <w:rsid w:val="00C90D58"/>
    <w:rsid w:val="00C91C19"/>
    <w:rsid w:val="00C932FF"/>
    <w:rsid w:val="00C9330E"/>
    <w:rsid w:val="00C93607"/>
    <w:rsid w:val="00C93AFF"/>
    <w:rsid w:val="00C94C17"/>
    <w:rsid w:val="00C95348"/>
    <w:rsid w:val="00C95640"/>
    <w:rsid w:val="00CA15D4"/>
    <w:rsid w:val="00CA243A"/>
    <w:rsid w:val="00CA24A5"/>
    <w:rsid w:val="00CA3FA0"/>
    <w:rsid w:val="00CA63BD"/>
    <w:rsid w:val="00CA79AF"/>
    <w:rsid w:val="00CB0739"/>
    <w:rsid w:val="00CB0FB8"/>
    <w:rsid w:val="00CB19B4"/>
    <w:rsid w:val="00CB3577"/>
    <w:rsid w:val="00CB4013"/>
    <w:rsid w:val="00CB635A"/>
    <w:rsid w:val="00CC5A37"/>
    <w:rsid w:val="00CC64F1"/>
    <w:rsid w:val="00CC65A8"/>
    <w:rsid w:val="00CC6AE6"/>
    <w:rsid w:val="00CC7F6D"/>
    <w:rsid w:val="00CD148F"/>
    <w:rsid w:val="00CD177E"/>
    <w:rsid w:val="00CD19BB"/>
    <w:rsid w:val="00CD2E31"/>
    <w:rsid w:val="00CD3E93"/>
    <w:rsid w:val="00CD4697"/>
    <w:rsid w:val="00CD57B9"/>
    <w:rsid w:val="00CD5EA2"/>
    <w:rsid w:val="00CE1740"/>
    <w:rsid w:val="00CE1D64"/>
    <w:rsid w:val="00CE510F"/>
    <w:rsid w:val="00CF2A04"/>
    <w:rsid w:val="00CF2DFE"/>
    <w:rsid w:val="00CF672F"/>
    <w:rsid w:val="00D00130"/>
    <w:rsid w:val="00D01F85"/>
    <w:rsid w:val="00D02CA9"/>
    <w:rsid w:val="00D03CF0"/>
    <w:rsid w:val="00D070DD"/>
    <w:rsid w:val="00D07811"/>
    <w:rsid w:val="00D101CD"/>
    <w:rsid w:val="00D10D0B"/>
    <w:rsid w:val="00D10FF0"/>
    <w:rsid w:val="00D11851"/>
    <w:rsid w:val="00D15F09"/>
    <w:rsid w:val="00D178B9"/>
    <w:rsid w:val="00D204CA"/>
    <w:rsid w:val="00D25E5A"/>
    <w:rsid w:val="00D30079"/>
    <w:rsid w:val="00D33471"/>
    <w:rsid w:val="00D33C6D"/>
    <w:rsid w:val="00D347E1"/>
    <w:rsid w:val="00D3561F"/>
    <w:rsid w:val="00D36880"/>
    <w:rsid w:val="00D40B65"/>
    <w:rsid w:val="00D4741F"/>
    <w:rsid w:val="00D52DA9"/>
    <w:rsid w:val="00D53638"/>
    <w:rsid w:val="00D54876"/>
    <w:rsid w:val="00D54F6A"/>
    <w:rsid w:val="00D555B3"/>
    <w:rsid w:val="00D5656C"/>
    <w:rsid w:val="00D57427"/>
    <w:rsid w:val="00D57F52"/>
    <w:rsid w:val="00D602DD"/>
    <w:rsid w:val="00D645DA"/>
    <w:rsid w:val="00D6512F"/>
    <w:rsid w:val="00D65626"/>
    <w:rsid w:val="00D67B09"/>
    <w:rsid w:val="00D734E1"/>
    <w:rsid w:val="00D73D44"/>
    <w:rsid w:val="00D747D0"/>
    <w:rsid w:val="00D75DB3"/>
    <w:rsid w:val="00D80268"/>
    <w:rsid w:val="00D80B98"/>
    <w:rsid w:val="00D821DD"/>
    <w:rsid w:val="00D83897"/>
    <w:rsid w:val="00D858FC"/>
    <w:rsid w:val="00D86B45"/>
    <w:rsid w:val="00D86F16"/>
    <w:rsid w:val="00D87A46"/>
    <w:rsid w:val="00D91438"/>
    <w:rsid w:val="00D9394E"/>
    <w:rsid w:val="00D93D9F"/>
    <w:rsid w:val="00D94005"/>
    <w:rsid w:val="00D9493A"/>
    <w:rsid w:val="00D96670"/>
    <w:rsid w:val="00D97909"/>
    <w:rsid w:val="00DA3925"/>
    <w:rsid w:val="00DA5A04"/>
    <w:rsid w:val="00DA73C5"/>
    <w:rsid w:val="00DA7925"/>
    <w:rsid w:val="00DA79E0"/>
    <w:rsid w:val="00DB083B"/>
    <w:rsid w:val="00DB0BA4"/>
    <w:rsid w:val="00DB282D"/>
    <w:rsid w:val="00DB2CEE"/>
    <w:rsid w:val="00DB36C0"/>
    <w:rsid w:val="00DB3F3C"/>
    <w:rsid w:val="00DB4F42"/>
    <w:rsid w:val="00DB6774"/>
    <w:rsid w:val="00DB755B"/>
    <w:rsid w:val="00DC14CF"/>
    <w:rsid w:val="00DC2AB3"/>
    <w:rsid w:val="00DC2F69"/>
    <w:rsid w:val="00DC4A9C"/>
    <w:rsid w:val="00DC6A43"/>
    <w:rsid w:val="00DC72CD"/>
    <w:rsid w:val="00DC7778"/>
    <w:rsid w:val="00DC7989"/>
    <w:rsid w:val="00DD076F"/>
    <w:rsid w:val="00DD174B"/>
    <w:rsid w:val="00DD28F7"/>
    <w:rsid w:val="00DD2D22"/>
    <w:rsid w:val="00DD351A"/>
    <w:rsid w:val="00DD4275"/>
    <w:rsid w:val="00DD4691"/>
    <w:rsid w:val="00DD4A67"/>
    <w:rsid w:val="00DD6D6E"/>
    <w:rsid w:val="00DD7324"/>
    <w:rsid w:val="00DD7381"/>
    <w:rsid w:val="00DD7A06"/>
    <w:rsid w:val="00DE02A2"/>
    <w:rsid w:val="00DE05E3"/>
    <w:rsid w:val="00DE7180"/>
    <w:rsid w:val="00DE7D9E"/>
    <w:rsid w:val="00DF27B2"/>
    <w:rsid w:val="00DF6F5C"/>
    <w:rsid w:val="00E01E2D"/>
    <w:rsid w:val="00E03127"/>
    <w:rsid w:val="00E0378D"/>
    <w:rsid w:val="00E03B91"/>
    <w:rsid w:val="00E03CB6"/>
    <w:rsid w:val="00E057B5"/>
    <w:rsid w:val="00E06B73"/>
    <w:rsid w:val="00E11249"/>
    <w:rsid w:val="00E12977"/>
    <w:rsid w:val="00E137FE"/>
    <w:rsid w:val="00E15BD1"/>
    <w:rsid w:val="00E16611"/>
    <w:rsid w:val="00E1716A"/>
    <w:rsid w:val="00E17544"/>
    <w:rsid w:val="00E20332"/>
    <w:rsid w:val="00E21B53"/>
    <w:rsid w:val="00E2266C"/>
    <w:rsid w:val="00E25E23"/>
    <w:rsid w:val="00E26C31"/>
    <w:rsid w:val="00E27E41"/>
    <w:rsid w:val="00E30FD5"/>
    <w:rsid w:val="00E31AF3"/>
    <w:rsid w:val="00E32976"/>
    <w:rsid w:val="00E35476"/>
    <w:rsid w:val="00E3710C"/>
    <w:rsid w:val="00E372D8"/>
    <w:rsid w:val="00E40952"/>
    <w:rsid w:val="00E41E6D"/>
    <w:rsid w:val="00E42633"/>
    <w:rsid w:val="00E47784"/>
    <w:rsid w:val="00E479EC"/>
    <w:rsid w:val="00E53B93"/>
    <w:rsid w:val="00E53CE7"/>
    <w:rsid w:val="00E5435D"/>
    <w:rsid w:val="00E55168"/>
    <w:rsid w:val="00E55499"/>
    <w:rsid w:val="00E56F01"/>
    <w:rsid w:val="00E60ECE"/>
    <w:rsid w:val="00E63BC0"/>
    <w:rsid w:val="00E65E38"/>
    <w:rsid w:val="00E66412"/>
    <w:rsid w:val="00E66532"/>
    <w:rsid w:val="00E66B43"/>
    <w:rsid w:val="00E71D2F"/>
    <w:rsid w:val="00E724F0"/>
    <w:rsid w:val="00E72AFE"/>
    <w:rsid w:val="00E75E8C"/>
    <w:rsid w:val="00E777A0"/>
    <w:rsid w:val="00E81BD7"/>
    <w:rsid w:val="00E842E7"/>
    <w:rsid w:val="00E84A4C"/>
    <w:rsid w:val="00E90E87"/>
    <w:rsid w:val="00E91FCF"/>
    <w:rsid w:val="00E92930"/>
    <w:rsid w:val="00E95796"/>
    <w:rsid w:val="00EA0222"/>
    <w:rsid w:val="00EA5589"/>
    <w:rsid w:val="00EA7716"/>
    <w:rsid w:val="00EB1650"/>
    <w:rsid w:val="00EB3B30"/>
    <w:rsid w:val="00EB5BB2"/>
    <w:rsid w:val="00EB6E8D"/>
    <w:rsid w:val="00EC1D34"/>
    <w:rsid w:val="00EC2F77"/>
    <w:rsid w:val="00EC57AF"/>
    <w:rsid w:val="00EC5899"/>
    <w:rsid w:val="00EC714A"/>
    <w:rsid w:val="00ED13DE"/>
    <w:rsid w:val="00ED1647"/>
    <w:rsid w:val="00ED1955"/>
    <w:rsid w:val="00ED3AE5"/>
    <w:rsid w:val="00ED5D29"/>
    <w:rsid w:val="00EE4B85"/>
    <w:rsid w:val="00EE4E4F"/>
    <w:rsid w:val="00EE79E4"/>
    <w:rsid w:val="00EE7F3B"/>
    <w:rsid w:val="00EF06DB"/>
    <w:rsid w:val="00EF19D3"/>
    <w:rsid w:val="00EF1A5C"/>
    <w:rsid w:val="00EF35F1"/>
    <w:rsid w:val="00EF38C1"/>
    <w:rsid w:val="00F00375"/>
    <w:rsid w:val="00F01240"/>
    <w:rsid w:val="00F04F95"/>
    <w:rsid w:val="00F0556D"/>
    <w:rsid w:val="00F05EE7"/>
    <w:rsid w:val="00F05FDE"/>
    <w:rsid w:val="00F067EE"/>
    <w:rsid w:val="00F11C6C"/>
    <w:rsid w:val="00F14E87"/>
    <w:rsid w:val="00F1501D"/>
    <w:rsid w:val="00F154FC"/>
    <w:rsid w:val="00F21838"/>
    <w:rsid w:val="00F223FF"/>
    <w:rsid w:val="00F22961"/>
    <w:rsid w:val="00F26419"/>
    <w:rsid w:val="00F26B93"/>
    <w:rsid w:val="00F276B7"/>
    <w:rsid w:val="00F35EC7"/>
    <w:rsid w:val="00F36937"/>
    <w:rsid w:val="00F402CE"/>
    <w:rsid w:val="00F434A0"/>
    <w:rsid w:val="00F47FE6"/>
    <w:rsid w:val="00F5214C"/>
    <w:rsid w:val="00F55596"/>
    <w:rsid w:val="00F734E1"/>
    <w:rsid w:val="00F7624C"/>
    <w:rsid w:val="00F768A1"/>
    <w:rsid w:val="00F77CE9"/>
    <w:rsid w:val="00F82408"/>
    <w:rsid w:val="00F839F3"/>
    <w:rsid w:val="00F87807"/>
    <w:rsid w:val="00F90B7A"/>
    <w:rsid w:val="00F9338B"/>
    <w:rsid w:val="00F94487"/>
    <w:rsid w:val="00F94B48"/>
    <w:rsid w:val="00F96519"/>
    <w:rsid w:val="00F96B4A"/>
    <w:rsid w:val="00F971C6"/>
    <w:rsid w:val="00FA0458"/>
    <w:rsid w:val="00FA3D08"/>
    <w:rsid w:val="00FA5421"/>
    <w:rsid w:val="00FA6F10"/>
    <w:rsid w:val="00FA741E"/>
    <w:rsid w:val="00FA748C"/>
    <w:rsid w:val="00FB09DF"/>
    <w:rsid w:val="00FB2509"/>
    <w:rsid w:val="00FB3AC9"/>
    <w:rsid w:val="00FB51AD"/>
    <w:rsid w:val="00FB53E6"/>
    <w:rsid w:val="00FB723C"/>
    <w:rsid w:val="00FB7261"/>
    <w:rsid w:val="00FC0E13"/>
    <w:rsid w:val="00FC5597"/>
    <w:rsid w:val="00FD14C2"/>
    <w:rsid w:val="00FD1D01"/>
    <w:rsid w:val="00FD5180"/>
    <w:rsid w:val="00FD58EA"/>
    <w:rsid w:val="00FD5D14"/>
    <w:rsid w:val="00FD5F91"/>
    <w:rsid w:val="00FD7B68"/>
    <w:rsid w:val="00FE125B"/>
    <w:rsid w:val="00FE197F"/>
    <w:rsid w:val="00FE2CD4"/>
    <w:rsid w:val="00FE326A"/>
    <w:rsid w:val="00FE3BCC"/>
    <w:rsid w:val="00FE73FC"/>
    <w:rsid w:val="00FF08CA"/>
    <w:rsid w:val="00FF14CF"/>
    <w:rsid w:val="00FF36F5"/>
    <w:rsid w:val="00FF4E54"/>
    <w:rsid w:val="00FF509E"/>
    <w:rsid w:val="00FF5428"/>
    <w:rsid w:val="00FF7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C4ADFE8-CF9E-44F1-BA99-3109BAAB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631"/>
    <w:rPr>
      <w:rFonts w:ascii="Verdana" w:eastAsia="Times New Roman" w:hAnsi="Verdana"/>
      <w:sz w:val="22"/>
      <w:szCs w:val="24"/>
    </w:rPr>
  </w:style>
  <w:style w:type="paragraph" w:styleId="Ttulo8">
    <w:name w:val="heading 8"/>
    <w:basedOn w:val="Normal"/>
    <w:next w:val="Normal"/>
    <w:link w:val="Ttulo8Car"/>
    <w:qFormat/>
    <w:rsid w:val="004951CB"/>
    <w:pPr>
      <w:keepNext/>
      <w:jc w:val="both"/>
      <w:outlineLvl w:val="7"/>
    </w:pPr>
    <w:rPr>
      <w:rFonts w:ascii="Arial" w:hAnsi="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CF4"/>
    <w:pPr>
      <w:tabs>
        <w:tab w:val="center" w:pos="4680"/>
        <w:tab w:val="right" w:pos="9360"/>
      </w:tabs>
    </w:pPr>
    <w:rPr>
      <w:rFonts w:ascii="Calibri" w:eastAsia="Calibri" w:hAnsi="Calibri"/>
      <w:szCs w:val="22"/>
    </w:rPr>
  </w:style>
  <w:style w:type="character" w:customStyle="1" w:styleId="EncabezadoCar">
    <w:name w:val="Encabezado Car"/>
    <w:basedOn w:val="Fuentedeprrafopredeter"/>
    <w:link w:val="Encabezado"/>
    <w:uiPriority w:val="99"/>
    <w:rsid w:val="00451CF4"/>
  </w:style>
  <w:style w:type="paragraph" w:styleId="Piedepgina">
    <w:name w:val="footer"/>
    <w:basedOn w:val="Normal"/>
    <w:link w:val="PiedepginaCar"/>
    <w:uiPriority w:val="99"/>
    <w:unhideWhenUsed/>
    <w:rsid w:val="00451CF4"/>
    <w:pPr>
      <w:tabs>
        <w:tab w:val="center" w:pos="4680"/>
        <w:tab w:val="right" w:pos="9360"/>
      </w:tabs>
    </w:pPr>
    <w:rPr>
      <w:rFonts w:ascii="Calibri" w:eastAsia="Calibri" w:hAnsi="Calibri"/>
      <w:szCs w:val="22"/>
    </w:rPr>
  </w:style>
  <w:style w:type="character" w:customStyle="1" w:styleId="PiedepginaCar">
    <w:name w:val="Pie de página Car"/>
    <w:basedOn w:val="Fuentedeprrafopredeter"/>
    <w:link w:val="Piedepgina"/>
    <w:uiPriority w:val="99"/>
    <w:rsid w:val="00451CF4"/>
  </w:style>
  <w:style w:type="paragraph" w:styleId="Textodeglobo">
    <w:name w:val="Balloon Text"/>
    <w:basedOn w:val="Normal"/>
    <w:link w:val="TextodegloboCar"/>
    <w:unhideWhenUsed/>
    <w:rsid w:val="00451CF4"/>
    <w:rPr>
      <w:rFonts w:ascii="Tahoma" w:eastAsia="Calibri" w:hAnsi="Tahoma" w:cs="Tahoma"/>
      <w:sz w:val="16"/>
      <w:szCs w:val="16"/>
    </w:rPr>
  </w:style>
  <w:style w:type="character" w:customStyle="1" w:styleId="TextodegloboCar">
    <w:name w:val="Texto de globo Car"/>
    <w:basedOn w:val="Fuentedeprrafopredeter"/>
    <w:link w:val="Textodeglobo"/>
    <w:rsid w:val="00451CF4"/>
    <w:rPr>
      <w:rFonts w:ascii="Tahoma" w:hAnsi="Tahoma" w:cs="Tahoma"/>
      <w:sz w:val="16"/>
      <w:szCs w:val="16"/>
    </w:rPr>
  </w:style>
  <w:style w:type="character" w:styleId="Hipervnculo">
    <w:name w:val="Hyperlink"/>
    <w:rsid w:val="00997CEA"/>
    <w:rPr>
      <w:color w:val="0000FF"/>
      <w:u w:val="single"/>
    </w:rPr>
  </w:style>
  <w:style w:type="paragraph" w:customStyle="1" w:styleId="MICONHEADER1">
    <w:name w:val="MICON HEADER1"/>
    <w:basedOn w:val="Normal"/>
    <w:rsid w:val="00997CEA"/>
    <w:pPr>
      <w:tabs>
        <w:tab w:val="left" w:pos="720"/>
      </w:tabs>
      <w:ind w:left="1080"/>
      <w:jc w:val="both"/>
    </w:pPr>
    <w:rPr>
      <w:rFonts w:ascii="Times New Roman" w:eastAsia="Calibri" w:hAnsi="Times New Roman"/>
      <w:b/>
      <w:caps/>
      <w:sz w:val="24"/>
    </w:rPr>
  </w:style>
  <w:style w:type="paragraph" w:styleId="Prrafodelista">
    <w:name w:val="List Paragraph"/>
    <w:basedOn w:val="Normal"/>
    <w:qFormat/>
    <w:rsid w:val="00997CEA"/>
    <w:pPr>
      <w:ind w:left="720"/>
      <w:contextualSpacing/>
    </w:pPr>
    <w:rPr>
      <w:rFonts w:ascii="Times New Roman" w:hAnsi="Times New Roman"/>
      <w:sz w:val="24"/>
    </w:rPr>
  </w:style>
  <w:style w:type="character" w:customStyle="1" w:styleId="zzmpTrailerItem">
    <w:name w:val="zzmpTrailerItem"/>
    <w:rsid w:val="009F0147"/>
    <w:rPr>
      <w:rFonts w:ascii="Verdana" w:hAnsi="Verdana" w:cs="Times New Roman"/>
      <w:dstrike w:val="0"/>
      <w:noProof/>
      <w:color w:val="auto"/>
      <w:spacing w:val="0"/>
      <w:position w:val="0"/>
      <w:sz w:val="16"/>
      <w:szCs w:val="16"/>
      <w:u w:val="none"/>
      <w:effect w:val="none"/>
      <w:vertAlign w:val="baseline"/>
    </w:rPr>
  </w:style>
  <w:style w:type="paragraph" w:styleId="Textosinformato">
    <w:name w:val="Plain Text"/>
    <w:basedOn w:val="Normal"/>
    <w:link w:val="TextosinformatoCar"/>
    <w:uiPriority w:val="99"/>
    <w:unhideWhenUsed/>
    <w:rsid w:val="00431AE5"/>
    <w:rPr>
      <w:rFonts w:ascii="Consolas" w:eastAsia="Calibri" w:hAnsi="Consolas" w:cs="Consolas"/>
      <w:sz w:val="21"/>
      <w:szCs w:val="21"/>
      <w:lang w:val="en-CA"/>
    </w:rPr>
  </w:style>
  <w:style w:type="character" w:customStyle="1" w:styleId="TextosinformatoCar">
    <w:name w:val="Texto sin formato Car"/>
    <w:basedOn w:val="Fuentedeprrafopredeter"/>
    <w:link w:val="Textosinformato"/>
    <w:uiPriority w:val="99"/>
    <w:rsid w:val="00431AE5"/>
    <w:rPr>
      <w:rFonts w:ascii="Consolas" w:hAnsi="Consolas" w:cs="Consolas"/>
      <w:sz w:val="21"/>
      <w:szCs w:val="21"/>
      <w:lang w:val="en-CA"/>
    </w:rPr>
  </w:style>
  <w:style w:type="paragraph" w:customStyle="1" w:styleId="Default">
    <w:name w:val="Default"/>
    <w:rsid w:val="00B62AB6"/>
    <w:pPr>
      <w:widowControl w:val="0"/>
      <w:autoSpaceDE w:val="0"/>
      <w:autoSpaceDN w:val="0"/>
      <w:adjustRightInd w:val="0"/>
      <w:jc w:val="both"/>
    </w:pPr>
    <w:rPr>
      <w:rFonts w:ascii="Arial" w:eastAsia="Times New Roman" w:hAnsi="Arial" w:cs="Arial"/>
      <w:color w:val="000000"/>
      <w:sz w:val="24"/>
      <w:szCs w:val="24"/>
    </w:rPr>
  </w:style>
  <w:style w:type="paragraph" w:customStyle="1" w:styleId="tabletext">
    <w:name w:val="table text"/>
    <w:aliases w:val="tt,Table Text,table tex"/>
    <w:basedOn w:val="Normal"/>
    <w:link w:val="TableTextChar"/>
    <w:qFormat/>
    <w:rsid w:val="00B62AB6"/>
    <w:pPr>
      <w:keepNext/>
      <w:jc w:val="both"/>
    </w:pPr>
    <w:rPr>
      <w:rFonts w:ascii="Times New Roman" w:hAnsi="Times New Roman"/>
      <w:sz w:val="20"/>
      <w:lang w:val="en-CA"/>
    </w:rPr>
  </w:style>
  <w:style w:type="paragraph" w:customStyle="1" w:styleId="SecurityL1">
    <w:name w:val="Security_L1"/>
    <w:basedOn w:val="Normal"/>
    <w:next w:val="Normal"/>
    <w:rsid w:val="00B62AB6"/>
    <w:pPr>
      <w:keepNext/>
      <w:numPr>
        <w:numId w:val="7"/>
      </w:numPr>
      <w:spacing w:after="240"/>
      <w:jc w:val="center"/>
      <w:outlineLvl w:val="0"/>
    </w:pPr>
    <w:rPr>
      <w:rFonts w:ascii="Times New Roman" w:hAnsi="Times New Roman"/>
      <w:b/>
      <w:caps/>
      <w:szCs w:val="20"/>
      <w:lang w:val="en-CA"/>
    </w:rPr>
  </w:style>
  <w:style w:type="paragraph" w:customStyle="1" w:styleId="SecurityL2">
    <w:name w:val="Security_L2"/>
    <w:basedOn w:val="SecurityL1"/>
    <w:next w:val="Normal"/>
    <w:rsid w:val="00B62AB6"/>
    <w:pPr>
      <w:numPr>
        <w:ilvl w:val="1"/>
      </w:numPr>
      <w:tabs>
        <w:tab w:val="left" w:pos="1440"/>
      </w:tabs>
      <w:jc w:val="both"/>
      <w:outlineLvl w:val="1"/>
    </w:pPr>
    <w:rPr>
      <w:caps w:val="0"/>
    </w:rPr>
  </w:style>
  <w:style w:type="paragraph" w:customStyle="1" w:styleId="SecurityL3">
    <w:name w:val="Security_L3"/>
    <w:basedOn w:val="SecurityL2"/>
    <w:next w:val="Normal"/>
    <w:rsid w:val="00B62AB6"/>
    <w:pPr>
      <w:numPr>
        <w:ilvl w:val="2"/>
      </w:numPr>
      <w:outlineLvl w:val="2"/>
    </w:pPr>
    <w:rPr>
      <w:i/>
    </w:rPr>
  </w:style>
  <w:style w:type="paragraph" w:customStyle="1" w:styleId="SecurityL4">
    <w:name w:val="Security_L4"/>
    <w:basedOn w:val="SecurityL3"/>
    <w:next w:val="Normal"/>
    <w:rsid w:val="00B62AB6"/>
    <w:pPr>
      <w:numPr>
        <w:ilvl w:val="3"/>
      </w:numPr>
      <w:outlineLvl w:val="3"/>
    </w:pPr>
    <w:rPr>
      <w:b w:val="0"/>
    </w:rPr>
  </w:style>
  <w:style w:type="paragraph" w:customStyle="1" w:styleId="SecurityL5">
    <w:name w:val="Security_L5"/>
    <w:basedOn w:val="SecurityL4"/>
    <w:rsid w:val="00B62AB6"/>
    <w:pPr>
      <w:keepNext w:val="0"/>
      <w:numPr>
        <w:ilvl w:val="4"/>
      </w:numPr>
      <w:outlineLvl w:val="4"/>
    </w:pPr>
    <w:rPr>
      <w:i w:val="0"/>
      <w:sz w:val="20"/>
    </w:rPr>
  </w:style>
  <w:style w:type="paragraph" w:customStyle="1" w:styleId="SecurityL6">
    <w:name w:val="Security_L6"/>
    <w:basedOn w:val="SecurityL5"/>
    <w:rsid w:val="00B62AB6"/>
    <w:pPr>
      <w:numPr>
        <w:ilvl w:val="5"/>
      </w:numPr>
      <w:outlineLvl w:val="5"/>
    </w:pPr>
  </w:style>
  <w:style w:type="paragraph" w:customStyle="1" w:styleId="SecurityL7">
    <w:name w:val="Security_L7"/>
    <w:basedOn w:val="SecurityL6"/>
    <w:rsid w:val="00B62AB6"/>
    <w:pPr>
      <w:numPr>
        <w:ilvl w:val="6"/>
      </w:numPr>
      <w:outlineLvl w:val="6"/>
    </w:pPr>
  </w:style>
  <w:style w:type="paragraph" w:customStyle="1" w:styleId="SecurityL8">
    <w:name w:val="Security_L8"/>
    <w:basedOn w:val="SecurityL7"/>
    <w:next w:val="Normal"/>
    <w:link w:val="SecurityL8Char"/>
    <w:rsid w:val="00B62AB6"/>
    <w:pPr>
      <w:numPr>
        <w:ilvl w:val="7"/>
      </w:numPr>
      <w:spacing w:before="120" w:after="120"/>
      <w:outlineLvl w:val="7"/>
    </w:pPr>
    <w:rPr>
      <w:sz w:val="18"/>
    </w:rPr>
  </w:style>
  <w:style w:type="paragraph" w:customStyle="1" w:styleId="SecurityL9">
    <w:name w:val="Security_L9"/>
    <w:basedOn w:val="SecurityL8"/>
    <w:link w:val="SecurityL9Char"/>
    <w:rsid w:val="00B62AB6"/>
    <w:pPr>
      <w:numPr>
        <w:ilvl w:val="8"/>
      </w:numPr>
      <w:spacing w:before="0" w:after="60"/>
      <w:outlineLvl w:val="8"/>
    </w:pPr>
    <w:rPr>
      <w:i/>
    </w:rPr>
  </w:style>
  <w:style w:type="paragraph" w:styleId="Textoindependiente">
    <w:name w:val="Body Text"/>
    <w:aliases w:val="bt"/>
    <w:basedOn w:val="Normal"/>
    <w:link w:val="TextoindependienteCar"/>
    <w:rsid w:val="00B62AB6"/>
    <w:pPr>
      <w:spacing w:after="240" w:line="240" w:lineRule="atLeast"/>
      <w:jc w:val="both"/>
    </w:pPr>
    <w:rPr>
      <w:rFonts w:ascii="Times New Roman" w:hAnsi="Times New Roman"/>
      <w:lang w:val="en-CA"/>
    </w:rPr>
  </w:style>
  <w:style w:type="character" w:customStyle="1" w:styleId="TextoindependienteCar">
    <w:name w:val="Texto independiente Car"/>
    <w:aliases w:val="bt Car"/>
    <w:basedOn w:val="Fuentedeprrafopredeter"/>
    <w:link w:val="Textoindependiente"/>
    <w:rsid w:val="00B62AB6"/>
    <w:rPr>
      <w:rFonts w:ascii="Times New Roman" w:eastAsia="Times New Roman" w:hAnsi="Times New Roman" w:cs="Times New Roman"/>
      <w:szCs w:val="24"/>
      <w:lang w:val="en-CA"/>
    </w:rPr>
  </w:style>
  <w:style w:type="character" w:customStyle="1" w:styleId="TableTextChar">
    <w:name w:val="Table Text Char"/>
    <w:aliases w:val="tt Char"/>
    <w:basedOn w:val="Fuentedeprrafopredeter"/>
    <w:link w:val="tabletext"/>
    <w:rsid w:val="00B62AB6"/>
    <w:rPr>
      <w:rFonts w:ascii="Times New Roman" w:eastAsia="Times New Roman" w:hAnsi="Times New Roman" w:cs="Times New Roman"/>
      <w:sz w:val="20"/>
      <w:szCs w:val="24"/>
      <w:lang w:val="en-CA"/>
    </w:rPr>
  </w:style>
  <w:style w:type="character" w:customStyle="1" w:styleId="Ttulo8Car">
    <w:name w:val="Título 8 Car"/>
    <w:basedOn w:val="Fuentedeprrafopredeter"/>
    <w:link w:val="Ttulo8"/>
    <w:rsid w:val="004951CB"/>
    <w:rPr>
      <w:rFonts w:ascii="Arial" w:eastAsia="Times New Roman" w:hAnsi="Arial" w:cs="Times New Roman"/>
      <w:b/>
      <w:bCs/>
      <w:sz w:val="20"/>
      <w:szCs w:val="20"/>
    </w:rPr>
  </w:style>
  <w:style w:type="character" w:styleId="Refdecomentario">
    <w:name w:val="annotation reference"/>
    <w:unhideWhenUsed/>
    <w:rsid w:val="004951CB"/>
    <w:rPr>
      <w:sz w:val="16"/>
      <w:szCs w:val="16"/>
    </w:rPr>
  </w:style>
  <w:style w:type="paragraph" w:styleId="Textocomentario">
    <w:name w:val="annotation text"/>
    <w:basedOn w:val="Normal"/>
    <w:link w:val="TextocomentarioCar"/>
    <w:uiPriority w:val="99"/>
    <w:semiHidden/>
    <w:unhideWhenUsed/>
    <w:rsid w:val="004951CB"/>
    <w:rPr>
      <w:rFonts w:ascii="Arial" w:hAnsi="Arial"/>
      <w:sz w:val="20"/>
      <w:szCs w:val="20"/>
    </w:rPr>
  </w:style>
  <w:style w:type="character" w:customStyle="1" w:styleId="TextocomentarioCar">
    <w:name w:val="Texto comentario Car"/>
    <w:basedOn w:val="Fuentedeprrafopredeter"/>
    <w:link w:val="Textocomentario"/>
    <w:uiPriority w:val="99"/>
    <w:semiHidden/>
    <w:rsid w:val="004951CB"/>
    <w:rPr>
      <w:rFonts w:ascii="Arial" w:eastAsia="Times New Roman" w:hAnsi="Arial" w:cs="Times New Roman"/>
      <w:sz w:val="20"/>
      <w:szCs w:val="20"/>
    </w:rPr>
  </w:style>
  <w:style w:type="paragraph" w:styleId="Textoindependiente2">
    <w:name w:val="Body Text 2"/>
    <w:basedOn w:val="Normal"/>
    <w:link w:val="Textoindependiente2Car"/>
    <w:unhideWhenUsed/>
    <w:rsid w:val="003E2504"/>
    <w:pPr>
      <w:spacing w:after="120" w:line="480" w:lineRule="auto"/>
    </w:pPr>
  </w:style>
  <w:style w:type="character" w:customStyle="1" w:styleId="Textoindependiente2Car">
    <w:name w:val="Texto independiente 2 Car"/>
    <w:basedOn w:val="Fuentedeprrafopredeter"/>
    <w:link w:val="Textoindependiente2"/>
    <w:rsid w:val="003E2504"/>
    <w:rPr>
      <w:rFonts w:ascii="Verdana" w:eastAsia="Times New Roman" w:hAnsi="Verdana" w:cs="Times New Roman"/>
      <w:szCs w:val="24"/>
    </w:rPr>
  </w:style>
  <w:style w:type="paragraph" w:styleId="Sangradetextonormal">
    <w:name w:val="Body Text Indent"/>
    <w:basedOn w:val="Normal"/>
    <w:link w:val="SangradetextonormalCar"/>
    <w:uiPriority w:val="99"/>
    <w:semiHidden/>
    <w:unhideWhenUsed/>
    <w:rsid w:val="002A7212"/>
    <w:pPr>
      <w:spacing w:after="120"/>
      <w:ind w:left="283"/>
    </w:pPr>
  </w:style>
  <w:style w:type="character" w:customStyle="1" w:styleId="SangradetextonormalCar">
    <w:name w:val="Sangría de texto normal Car"/>
    <w:basedOn w:val="Fuentedeprrafopredeter"/>
    <w:link w:val="Sangradetextonormal"/>
    <w:uiPriority w:val="99"/>
    <w:semiHidden/>
    <w:rsid w:val="002A7212"/>
    <w:rPr>
      <w:rFonts w:ascii="Verdana" w:eastAsia="Times New Roman" w:hAnsi="Verdana"/>
      <w:sz w:val="22"/>
      <w:szCs w:val="24"/>
    </w:rPr>
  </w:style>
  <w:style w:type="paragraph" w:styleId="Asuntodelcomentario">
    <w:name w:val="annotation subject"/>
    <w:basedOn w:val="Textocomentario"/>
    <w:next w:val="Textocomentario"/>
    <w:link w:val="AsuntodelcomentarioCar"/>
    <w:uiPriority w:val="99"/>
    <w:semiHidden/>
    <w:unhideWhenUsed/>
    <w:rsid w:val="008A56D8"/>
    <w:rPr>
      <w:rFonts w:ascii="Verdana" w:hAnsi="Verdana"/>
      <w:b/>
      <w:bCs/>
    </w:rPr>
  </w:style>
  <w:style w:type="character" w:customStyle="1" w:styleId="AsuntodelcomentarioCar">
    <w:name w:val="Asunto del comentario Car"/>
    <w:basedOn w:val="TextocomentarioCar"/>
    <w:link w:val="Asuntodelcomentario"/>
    <w:uiPriority w:val="99"/>
    <w:semiHidden/>
    <w:rsid w:val="008A56D8"/>
    <w:rPr>
      <w:rFonts w:ascii="Verdana" w:eastAsia="Times New Roman" w:hAnsi="Verdana" w:cs="Times New Roman"/>
      <w:b/>
      <w:bCs/>
      <w:sz w:val="20"/>
      <w:szCs w:val="20"/>
    </w:rPr>
  </w:style>
  <w:style w:type="paragraph" w:styleId="Revisin">
    <w:name w:val="Revision"/>
    <w:hidden/>
    <w:uiPriority w:val="99"/>
    <w:semiHidden/>
    <w:rsid w:val="008A56D8"/>
    <w:rPr>
      <w:rFonts w:ascii="Verdana" w:eastAsia="Times New Roman" w:hAnsi="Verdana"/>
      <w:sz w:val="22"/>
      <w:szCs w:val="24"/>
    </w:rPr>
  </w:style>
  <w:style w:type="paragraph" w:customStyle="1" w:styleId="AuditBody">
    <w:name w:val="AuditBody"/>
    <w:aliases w:val="ab,Audit Body"/>
    <w:basedOn w:val="Normal"/>
    <w:rsid w:val="002B0AA5"/>
    <w:pPr>
      <w:overflowPunct w:val="0"/>
      <w:autoSpaceDE w:val="0"/>
      <w:autoSpaceDN w:val="0"/>
      <w:adjustRightInd w:val="0"/>
      <w:spacing w:before="120" w:line="280" w:lineRule="atLeast"/>
      <w:jc w:val="both"/>
      <w:textAlignment w:val="baseline"/>
    </w:pPr>
    <w:rPr>
      <w:rFonts w:ascii="Arial" w:hAnsi="Arial"/>
      <w:sz w:val="20"/>
      <w:szCs w:val="20"/>
    </w:rPr>
  </w:style>
  <w:style w:type="paragraph" w:customStyle="1" w:styleId="FS2">
    <w:name w:val="FS2"/>
    <w:basedOn w:val="Normal"/>
    <w:link w:val="FS2Char"/>
    <w:rsid w:val="00810E7B"/>
    <w:pPr>
      <w:tabs>
        <w:tab w:val="decimal" w:pos="7280"/>
        <w:tab w:val="decimal" w:pos="9000"/>
      </w:tabs>
      <w:overflowPunct w:val="0"/>
      <w:autoSpaceDE w:val="0"/>
      <w:autoSpaceDN w:val="0"/>
      <w:adjustRightInd w:val="0"/>
      <w:ind w:left="540" w:hanging="180"/>
      <w:textAlignment w:val="baseline"/>
    </w:pPr>
    <w:rPr>
      <w:rFonts w:ascii="Arial" w:hAnsi="Arial"/>
      <w:sz w:val="20"/>
      <w:szCs w:val="20"/>
    </w:rPr>
  </w:style>
  <w:style w:type="character" w:customStyle="1" w:styleId="FS2Char">
    <w:name w:val="FS2 Char"/>
    <w:link w:val="FS2"/>
    <w:rsid w:val="00810E7B"/>
    <w:rPr>
      <w:rFonts w:ascii="Arial" w:eastAsia="Times New Roman" w:hAnsi="Arial"/>
    </w:rPr>
  </w:style>
  <w:style w:type="paragraph" w:customStyle="1" w:styleId="SecurityCont2">
    <w:name w:val="Security Cont 2"/>
    <w:aliases w:val="s2"/>
    <w:basedOn w:val="Normal"/>
    <w:link w:val="SecurityCont2Char"/>
    <w:rsid w:val="00810E7B"/>
    <w:pPr>
      <w:spacing w:after="240"/>
      <w:jc w:val="both"/>
    </w:pPr>
    <w:rPr>
      <w:rFonts w:ascii="Times New Roman" w:hAnsi="Times New Roman"/>
      <w:sz w:val="20"/>
      <w:szCs w:val="20"/>
      <w:lang w:val="en-CA"/>
    </w:rPr>
  </w:style>
  <w:style w:type="paragraph" w:styleId="NormalWeb">
    <w:name w:val="Normal (Web)"/>
    <w:basedOn w:val="Normal"/>
    <w:uiPriority w:val="99"/>
    <w:semiHidden/>
    <w:unhideWhenUsed/>
    <w:rsid w:val="0098509E"/>
    <w:pPr>
      <w:spacing w:before="100" w:beforeAutospacing="1" w:after="100" w:afterAutospacing="1"/>
    </w:pPr>
    <w:rPr>
      <w:rFonts w:ascii="Times New Roman" w:eastAsiaTheme="minorHAnsi" w:hAnsi="Times New Roman"/>
      <w:sz w:val="24"/>
      <w:lang w:val="es-AR" w:eastAsia="es-AR"/>
    </w:rPr>
  </w:style>
  <w:style w:type="paragraph" w:customStyle="1" w:styleId="SecurityCont3">
    <w:name w:val="Security Cont 3"/>
    <w:aliases w:val="s3"/>
    <w:basedOn w:val="SecurityCont2"/>
    <w:link w:val="SecurityCont3Char"/>
    <w:uiPriority w:val="99"/>
    <w:rsid w:val="00427A41"/>
  </w:style>
  <w:style w:type="character" w:customStyle="1" w:styleId="SecurityCont3Char">
    <w:name w:val="Security Cont 3 Char"/>
    <w:aliases w:val="s3 Char"/>
    <w:link w:val="SecurityCont3"/>
    <w:uiPriority w:val="99"/>
    <w:locked/>
    <w:rsid w:val="00427A41"/>
    <w:rPr>
      <w:rFonts w:ascii="Times New Roman" w:eastAsia="Times New Roman" w:hAnsi="Times New Roman"/>
      <w:lang w:val="en-CA"/>
    </w:rPr>
  </w:style>
  <w:style w:type="character" w:customStyle="1" w:styleId="SecurityCont2Char">
    <w:name w:val="Security Cont 2 Char"/>
    <w:aliases w:val="s2 Char"/>
    <w:basedOn w:val="Fuentedeprrafopredeter"/>
    <w:link w:val="SecurityCont2"/>
    <w:rsid w:val="00CD4697"/>
    <w:rPr>
      <w:rFonts w:ascii="Times New Roman" w:eastAsia="Times New Roman" w:hAnsi="Times New Roman"/>
      <w:lang w:val="en-CA"/>
    </w:rPr>
  </w:style>
  <w:style w:type="character" w:customStyle="1" w:styleId="SecurityL8Char">
    <w:name w:val="Security_L8 Char"/>
    <w:basedOn w:val="Fuentedeprrafopredeter"/>
    <w:link w:val="SecurityL8"/>
    <w:rsid w:val="00CD4697"/>
    <w:rPr>
      <w:rFonts w:ascii="Times New Roman" w:eastAsia="Times New Roman" w:hAnsi="Times New Roman"/>
      <w:sz w:val="18"/>
      <w:lang w:val="en-CA"/>
    </w:rPr>
  </w:style>
  <w:style w:type="character" w:customStyle="1" w:styleId="SecurityL9Char">
    <w:name w:val="Security_L9 Char"/>
    <w:basedOn w:val="Fuentedeprrafopredeter"/>
    <w:link w:val="SecurityL9"/>
    <w:rsid w:val="00CD4697"/>
    <w:rPr>
      <w:rFonts w:ascii="Times New Roman" w:eastAsia="Times New Roman" w:hAnsi="Times New Roman"/>
      <w:i/>
      <w:sz w:val="18"/>
      <w:lang w:val="en-CA"/>
    </w:rPr>
  </w:style>
  <w:style w:type="character" w:customStyle="1" w:styleId="UnresolvedMention">
    <w:name w:val="Unresolved Mention"/>
    <w:basedOn w:val="Fuentedeprrafopredeter"/>
    <w:uiPriority w:val="99"/>
    <w:semiHidden/>
    <w:unhideWhenUsed/>
    <w:rsid w:val="002D4B6B"/>
    <w:rPr>
      <w:color w:val="605E5C"/>
      <w:shd w:val="clear" w:color="auto" w:fill="E1DFDD"/>
    </w:rPr>
  </w:style>
  <w:style w:type="paragraph" w:styleId="Textonotapie">
    <w:name w:val="footnote text"/>
    <w:basedOn w:val="Normal"/>
    <w:link w:val="TextonotapieCar"/>
    <w:uiPriority w:val="99"/>
    <w:unhideWhenUsed/>
    <w:rsid w:val="00EE79E4"/>
    <w:rPr>
      <w:sz w:val="20"/>
      <w:szCs w:val="20"/>
    </w:rPr>
  </w:style>
  <w:style w:type="character" w:customStyle="1" w:styleId="TextonotapieCar">
    <w:name w:val="Texto nota pie Car"/>
    <w:basedOn w:val="Fuentedeprrafopredeter"/>
    <w:link w:val="Textonotapie"/>
    <w:uiPriority w:val="99"/>
    <w:rsid w:val="00EE79E4"/>
    <w:rPr>
      <w:rFonts w:ascii="Verdana" w:eastAsia="Times New Roman" w:hAnsi="Verdana"/>
    </w:rPr>
  </w:style>
  <w:style w:type="character" w:styleId="Refdenotaalpie">
    <w:name w:val="footnote reference"/>
    <w:basedOn w:val="Fuentedeprrafopredeter"/>
    <w:uiPriority w:val="99"/>
    <w:semiHidden/>
    <w:unhideWhenUsed/>
    <w:rsid w:val="00EE79E4"/>
    <w:rPr>
      <w:vertAlign w:val="superscript"/>
    </w:rPr>
  </w:style>
  <w:style w:type="table" w:styleId="Tabladecuadrcula1clara">
    <w:name w:val="Grid Table 1 Light"/>
    <w:basedOn w:val="Tablanormal"/>
    <w:uiPriority w:val="46"/>
    <w:rsid w:val="00631EE4"/>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5">
    <w:name w:val="Plain Table 5"/>
    <w:basedOn w:val="Tablanormal"/>
    <w:uiPriority w:val="45"/>
    <w:rsid w:val="00631EE4"/>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detablaclara">
    <w:name w:val="Grid Table Light"/>
    <w:basedOn w:val="Tablanormal"/>
    <w:uiPriority w:val="40"/>
    <w:rsid w:val="00631EE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cimalAligned">
    <w:name w:val="Decimal Aligned"/>
    <w:basedOn w:val="Normal"/>
    <w:uiPriority w:val="40"/>
    <w:qFormat/>
    <w:rsid w:val="00631EE4"/>
    <w:pPr>
      <w:tabs>
        <w:tab w:val="decimal" w:pos="360"/>
      </w:tabs>
      <w:spacing w:after="200" w:line="276" w:lineRule="auto"/>
    </w:pPr>
    <w:rPr>
      <w:rFonts w:asciiTheme="minorHAnsi" w:eastAsiaTheme="minorEastAsia" w:hAnsiTheme="minorHAnsi"/>
      <w:szCs w:val="22"/>
    </w:rPr>
  </w:style>
  <w:style w:type="character" w:styleId="nfasissutil">
    <w:name w:val="Subtle Emphasis"/>
    <w:basedOn w:val="Fuentedeprrafopredeter"/>
    <w:uiPriority w:val="19"/>
    <w:qFormat/>
    <w:rsid w:val="00631EE4"/>
    <w:rPr>
      <w:i/>
      <w:iCs/>
    </w:rPr>
  </w:style>
  <w:style w:type="table" w:styleId="Sombreadomedio2-nfasis5">
    <w:name w:val="Medium Shading 2 Accent 5"/>
    <w:basedOn w:val="Tablanormal"/>
    <w:uiPriority w:val="64"/>
    <w:rsid w:val="00631EE4"/>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115">
      <w:bodyDiv w:val="1"/>
      <w:marLeft w:val="0"/>
      <w:marRight w:val="0"/>
      <w:marTop w:val="0"/>
      <w:marBottom w:val="0"/>
      <w:divBdr>
        <w:top w:val="none" w:sz="0" w:space="0" w:color="auto"/>
        <w:left w:val="none" w:sz="0" w:space="0" w:color="auto"/>
        <w:bottom w:val="none" w:sz="0" w:space="0" w:color="auto"/>
        <w:right w:val="none" w:sz="0" w:space="0" w:color="auto"/>
      </w:divBdr>
    </w:div>
    <w:div w:id="470825882">
      <w:bodyDiv w:val="1"/>
      <w:marLeft w:val="0"/>
      <w:marRight w:val="0"/>
      <w:marTop w:val="0"/>
      <w:marBottom w:val="0"/>
      <w:divBdr>
        <w:top w:val="none" w:sz="0" w:space="0" w:color="auto"/>
        <w:left w:val="none" w:sz="0" w:space="0" w:color="auto"/>
        <w:bottom w:val="none" w:sz="0" w:space="0" w:color="auto"/>
        <w:right w:val="none" w:sz="0" w:space="0" w:color="auto"/>
      </w:divBdr>
    </w:div>
    <w:div w:id="693533190">
      <w:bodyDiv w:val="1"/>
      <w:marLeft w:val="0"/>
      <w:marRight w:val="0"/>
      <w:marTop w:val="0"/>
      <w:marBottom w:val="0"/>
      <w:divBdr>
        <w:top w:val="none" w:sz="0" w:space="0" w:color="auto"/>
        <w:left w:val="none" w:sz="0" w:space="0" w:color="auto"/>
        <w:bottom w:val="none" w:sz="0" w:space="0" w:color="auto"/>
        <w:right w:val="none" w:sz="0" w:space="0" w:color="auto"/>
      </w:divBdr>
    </w:div>
    <w:div w:id="842625594">
      <w:bodyDiv w:val="1"/>
      <w:marLeft w:val="0"/>
      <w:marRight w:val="0"/>
      <w:marTop w:val="0"/>
      <w:marBottom w:val="0"/>
      <w:divBdr>
        <w:top w:val="none" w:sz="0" w:space="0" w:color="auto"/>
        <w:left w:val="none" w:sz="0" w:space="0" w:color="auto"/>
        <w:bottom w:val="none" w:sz="0" w:space="0" w:color="auto"/>
        <w:right w:val="none" w:sz="0" w:space="0" w:color="auto"/>
      </w:divBdr>
    </w:div>
    <w:div w:id="848372547">
      <w:bodyDiv w:val="1"/>
      <w:marLeft w:val="0"/>
      <w:marRight w:val="0"/>
      <w:marTop w:val="0"/>
      <w:marBottom w:val="0"/>
      <w:divBdr>
        <w:top w:val="none" w:sz="0" w:space="0" w:color="auto"/>
        <w:left w:val="none" w:sz="0" w:space="0" w:color="auto"/>
        <w:bottom w:val="none" w:sz="0" w:space="0" w:color="auto"/>
        <w:right w:val="none" w:sz="0" w:space="0" w:color="auto"/>
      </w:divBdr>
    </w:div>
    <w:div w:id="944459396">
      <w:bodyDiv w:val="1"/>
      <w:marLeft w:val="0"/>
      <w:marRight w:val="0"/>
      <w:marTop w:val="0"/>
      <w:marBottom w:val="0"/>
      <w:divBdr>
        <w:top w:val="none" w:sz="0" w:space="0" w:color="auto"/>
        <w:left w:val="none" w:sz="0" w:space="0" w:color="auto"/>
        <w:bottom w:val="none" w:sz="0" w:space="0" w:color="auto"/>
        <w:right w:val="none" w:sz="0" w:space="0" w:color="auto"/>
      </w:divBdr>
    </w:div>
    <w:div w:id="1073091310">
      <w:bodyDiv w:val="1"/>
      <w:marLeft w:val="0"/>
      <w:marRight w:val="0"/>
      <w:marTop w:val="0"/>
      <w:marBottom w:val="0"/>
      <w:divBdr>
        <w:top w:val="none" w:sz="0" w:space="0" w:color="auto"/>
        <w:left w:val="none" w:sz="0" w:space="0" w:color="auto"/>
        <w:bottom w:val="none" w:sz="0" w:space="0" w:color="auto"/>
        <w:right w:val="none" w:sz="0" w:space="0" w:color="auto"/>
      </w:divBdr>
    </w:div>
    <w:div w:id="1239635053">
      <w:bodyDiv w:val="1"/>
      <w:marLeft w:val="0"/>
      <w:marRight w:val="0"/>
      <w:marTop w:val="0"/>
      <w:marBottom w:val="0"/>
      <w:divBdr>
        <w:top w:val="none" w:sz="0" w:space="0" w:color="auto"/>
        <w:left w:val="none" w:sz="0" w:space="0" w:color="auto"/>
        <w:bottom w:val="none" w:sz="0" w:space="0" w:color="auto"/>
        <w:right w:val="none" w:sz="0" w:space="0" w:color="auto"/>
      </w:divBdr>
    </w:div>
    <w:div w:id="1378121507">
      <w:bodyDiv w:val="1"/>
      <w:marLeft w:val="0"/>
      <w:marRight w:val="0"/>
      <w:marTop w:val="0"/>
      <w:marBottom w:val="0"/>
      <w:divBdr>
        <w:top w:val="none" w:sz="0" w:space="0" w:color="auto"/>
        <w:left w:val="none" w:sz="0" w:space="0" w:color="auto"/>
        <w:bottom w:val="none" w:sz="0" w:space="0" w:color="auto"/>
        <w:right w:val="none" w:sz="0" w:space="0" w:color="auto"/>
      </w:divBdr>
    </w:div>
    <w:div w:id="1459641473">
      <w:bodyDiv w:val="1"/>
      <w:marLeft w:val="0"/>
      <w:marRight w:val="0"/>
      <w:marTop w:val="0"/>
      <w:marBottom w:val="0"/>
      <w:divBdr>
        <w:top w:val="none" w:sz="0" w:space="0" w:color="auto"/>
        <w:left w:val="none" w:sz="0" w:space="0" w:color="auto"/>
        <w:bottom w:val="none" w:sz="0" w:space="0" w:color="auto"/>
        <w:right w:val="none" w:sz="0" w:space="0" w:color="auto"/>
      </w:divBdr>
    </w:div>
    <w:div w:id="1577931113">
      <w:bodyDiv w:val="1"/>
      <w:marLeft w:val="0"/>
      <w:marRight w:val="0"/>
      <w:marTop w:val="0"/>
      <w:marBottom w:val="0"/>
      <w:divBdr>
        <w:top w:val="none" w:sz="0" w:space="0" w:color="auto"/>
        <w:left w:val="none" w:sz="0" w:space="0" w:color="auto"/>
        <w:bottom w:val="none" w:sz="0" w:space="0" w:color="auto"/>
        <w:right w:val="none" w:sz="0" w:space="0" w:color="auto"/>
      </w:divBdr>
    </w:div>
    <w:div w:id="2005009590">
      <w:bodyDiv w:val="1"/>
      <w:marLeft w:val="0"/>
      <w:marRight w:val="0"/>
      <w:marTop w:val="0"/>
      <w:marBottom w:val="0"/>
      <w:divBdr>
        <w:top w:val="none" w:sz="0" w:space="0" w:color="auto"/>
        <w:left w:val="none" w:sz="0" w:space="0" w:color="auto"/>
        <w:bottom w:val="none" w:sz="0" w:space="0" w:color="auto"/>
        <w:right w:val="none" w:sz="0" w:space="0" w:color="auto"/>
      </w:divBdr>
    </w:div>
    <w:div w:id="21363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brador@crownpointenergy.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rownpointenerg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darplus.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dden@crownpointener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7CE11-1D21-4DB1-9B8B-61C6E575092B}">
  <ds:schemaRefs>
    <ds:schemaRef ds:uri="http://schemas.openxmlformats.org/officeDocument/2006/bibliography"/>
  </ds:schemaRefs>
</ds:datastoreItem>
</file>

<file path=customXml/itemProps2.xml><?xml version="1.0" encoding="utf-8"?>
<ds:datastoreItem xmlns:ds="http://schemas.openxmlformats.org/officeDocument/2006/customXml" ds:itemID="{93E52AFF-1936-4698-A196-751831AA1022}">
  <ds:schemaRefs>
    <ds:schemaRef ds:uri="http://schemas.openxmlformats.org/officeDocument/2006/bibliography"/>
  </ds:schemaRefs>
</ds:datastoreItem>
</file>

<file path=customXml/itemProps3.xml><?xml version="1.0" encoding="utf-8"?>
<ds:datastoreItem xmlns:ds="http://schemas.openxmlformats.org/officeDocument/2006/customXml" ds:itemID="{00A7B57B-3E1B-49C5-9DD4-F29177C37CBD}">
  <ds:schemaRefs>
    <ds:schemaRef ds:uri="http://schemas.openxmlformats.org/officeDocument/2006/bibliography"/>
  </ds:schemaRefs>
</ds:datastoreItem>
</file>

<file path=customXml/itemProps4.xml><?xml version="1.0" encoding="utf-8"?>
<ds:datastoreItem xmlns:ds="http://schemas.openxmlformats.org/officeDocument/2006/customXml" ds:itemID="{E30A2B63-07CE-4784-B6CE-8DFF6E31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3314</Words>
  <Characters>18232</Characters>
  <Application>Microsoft Office Word</Application>
  <DocSecurity>0</DocSecurity>
  <Lines>151</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21503</CharactersWithSpaces>
  <SharedDoc>false</SharedDoc>
  <HLinks>
    <vt:vector size="48" baseType="variant">
      <vt:variant>
        <vt:i4>4259923</vt:i4>
      </vt:variant>
      <vt:variant>
        <vt:i4>21</vt:i4>
      </vt:variant>
      <vt:variant>
        <vt:i4>0</vt:i4>
      </vt:variant>
      <vt:variant>
        <vt:i4>5</vt:i4>
      </vt:variant>
      <vt:variant>
        <vt:lpwstr>http://www.crownpointenergy.com/</vt:lpwstr>
      </vt:variant>
      <vt:variant>
        <vt:lpwstr/>
      </vt:variant>
      <vt:variant>
        <vt:i4>2949128</vt:i4>
      </vt:variant>
      <vt:variant>
        <vt:i4>18</vt:i4>
      </vt:variant>
      <vt:variant>
        <vt:i4>0</vt:i4>
      </vt:variant>
      <vt:variant>
        <vt:i4>5</vt:i4>
      </vt:variant>
      <vt:variant>
        <vt:lpwstr>mailto:amadden@crownpointenergy.com</vt:lpwstr>
      </vt:variant>
      <vt:variant>
        <vt:lpwstr/>
      </vt:variant>
      <vt:variant>
        <vt:i4>2162777</vt:i4>
      </vt:variant>
      <vt:variant>
        <vt:i4>15</vt:i4>
      </vt:variant>
      <vt:variant>
        <vt:i4>0</vt:i4>
      </vt:variant>
      <vt:variant>
        <vt:i4>5</vt:i4>
      </vt:variant>
      <vt:variant>
        <vt:lpwstr>mailto:m.mccartney@crownpointenergy.com</vt:lpwstr>
      </vt:variant>
      <vt:variant>
        <vt:lpwstr/>
      </vt:variant>
      <vt:variant>
        <vt:i4>4259923</vt:i4>
      </vt:variant>
      <vt:variant>
        <vt:i4>12</vt:i4>
      </vt:variant>
      <vt:variant>
        <vt:i4>0</vt:i4>
      </vt:variant>
      <vt:variant>
        <vt:i4>5</vt:i4>
      </vt:variant>
      <vt:variant>
        <vt:lpwstr>http://www.crownpointenergy.com/</vt:lpwstr>
      </vt:variant>
      <vt:variant>
        <vt:lpwstr/>
      </vt:variant>
      <vt:variant>
        <vt:i4>4194325</vt:i4>
      </vt:variant>
      <vt:variant>
        <vt:i4>9</vt:i4>
      </vt:variant>
      <vt:variant>
        <vt:i4>0</vt:i4>
      </vt:variant>
      <vt:variant>
        <vt:i4>5</vt:i4>
      </vt:variant>
      <vt:variant>
        <vt:lpwstr>http://www.sedar.com/</vt:lpwstr>
      </vt:variant>
      <vt:variant>
        <vt:lpwstr/>
      </vt:variant>
      <vt:variant>
        <vt:i4>4259923</vt:i4>
      </vt:variant>
      <vt:variant>
        <vt:i4>6</vt:i4>
      </vt:variant>
      <vt:variant>
        <vt:i4>0</vt:i4>
      </vt:variant>
      <vt:variant>
        <vt:i4>5</vt:i4>
      </vt:variant>
      <vt:variant>
        <vt:lpwstr>http://www.crownpointenergy.com/</vt:lpwstr>
      </vt:variant>
      <vt:variant>
        <vt:lpwstr/>
      </vt:variant>
      <vt:variant>
        <vt:i4>4194325</vt:i4>
      </vt:variant>
      <vt:variant>
        <vt:i4>3</vt:i4>
      </vt:variant>
      <vt:variant>
        <vt:i4>0</vt:i4>
      </vt:variant>
      <vt:variant>
        <vt:i4>5</vt:i4>
      </vt:variant>
      <vt:variant>
        <vt:lpwstr>http://www.sedar.com/</vt:lpwstr>
      </vt:variant>
      <vt:variant>
        <vt:lpwstr/>
      </vt:variant>
      <vt:variant>
        <vt:i4>4259923</vt:i4>
      </vt:variant>
      <vt:variant>
        <vt:i4>0</vt:i4>
      </vt:variant>
      <vt:variant>
        <vt:i4>0</vt:i4>
      </vt:variant>
      <vt:variant>
        <vt:i4>5</vt:i4>
      </vt:variant>
      <vt:variant>
        <vt:lpwstr>http://www.crownpointenergy.com/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Seifert</dc:creator>
  <cp:keywords/>
  <dc:description/>
  <cp:lastModifiedBy>rmc</cp:lastModifiedBy>
  <cp:revision>7</cp:revision>
  <cp:lastPrinted>2025-03-18T13:00:00Z</cp:lastPrinted>
  <dcterms:created xsi:type="dcterms:W3CDTF">2025-03-17T17:58:00Z</dcterms:created>
  <dcterms:modified xsi:type="dcterms:W3CDTF">2025-03-18T14:33:00Z</dcterms:modified>
</cp:coreProperties>
</file>