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FC73" w14:textId="77777777" w:rsidR="00257631" w:rsidRPr="007B6295" w:rsidRDefault="00257631" w:rsidP="00257631">
      <w:pPr>
        <w:autoSpaceDE w:val="0"/>
        <w:autoSpaceDN w:val="0"/>
        <w:adjustRightInd w:val="0"/>
        <w:jc w:val="right"/>
        <w:rPr>
          <w:rFonts w:ascii="Times New Roman" w:hAnsi="Times New Roman"/>
          <w:szCs w:val="22"/>
        </w:rPr>
      </w:pPr>
    </w:p>
    <w:p w14:paraId="1058A6A4" w14:textId="77777777" w:rsidR="00997CEA" w:rsidRPr="002335EE" w:rsidRDefault="00997CEA" w:rsidP="00997CEA">
      <w:pPr>
        <w:tabs>
          <w:tab w:val="right" w:pos="8640"/>
        </w:tabs>
        <w:jc w:val="both"/>
        <w:rPr>
          <w:sz w:val="20"/>
          <w:szCs w:val="20"/>
        </w:rPr>
      </w:pPr>
      <w:r w:rsidRPr="002335EE">
        <w:rPr>
          <w:sz w:val="20"/>
          <w:szCs w:val="20"/>
        </w:rPr>
        <w:t xml:space="preserve">FOR IMMEDIATE RELEASE </w:t>
      </w:r>
      <w:r w:rsidRPr="002335EE">
        <w:rPr>
          <w:sz w:val="20"/>
          <w:szCs w:val="20"/>
        </w:rPr>
        <w:tab/>
        <w:t>CWV: TSX.V</w:t>
      </w:r>
    </w:p>
    <w:p w14:paraId="33FD9368" w14:textId="74BB72FF" w:rsidR="00997CEA" w:rsidRPr="002335EE" w:rsidRDefault="00BE57BF" w:rsidP="00997CEA">
      <w:pPr>
        <w:rPr>
          <w:sz w:val="20"/>
          <w:szCs w:val="20"/>
        </w:rPr>
      </w:pPr>
      <w:r w:rsidRPr="009272EA">
        <w:rPr>
          <w:sz w:val="20"/>
          <w:szCs w:val="20"/>
        </w:rPr>
        <w:t xml:space="preserve">March </w:t>
      </w:r>
      <w:r w:rsidR="00C51624">
        <w:rPr>
          <w:sz w:val="20"/>
          <w:szCs w:val="20"/>
        </w:rPr>
        <w:t>11</w:t>
      </w:r>
      <w:r w:rsidR="00C51624" w:rsidRPr="009272EA">
        <w:rPr>
          <w:sz w:val="20"/>
          <w:szCs w:val="20"/>
        </w:rPr>
        <w:t xml:space="preserve">, </w:t>
      </w:r>
      <w:r w:rsidR="005A1B50" w:rsidRPr="009272EA">
        <w:rPr>
          <w:sz w:val="20"/>
          <w:szCs w:val="20"/>
        </w:rPr>
        <w:t>202</w:t>
      </w:r>
      <w:r w:rsidR="005A1B50">
        <w:rPr>
          <w:sz w:val="20"/>
          <w:szCs w:val="20"/>
        </w:rPr>
        <w:t>5</w:t>
      </w:r>
    </w:p>
    <w:p w14:paraId="220CCE9B" w14:textId="77777777" w:rsidR="00997CEA" w:rsidRPr="002335EE" w:rsidRDefault="00997CEA" w:rsidP="00997CEA">
      <w:pPr>
        <w:rPr>
          <w:b/>
          <w:sz w:val="20"/>
          <w:szCs w:val="20"/>
        </w:rPr>
      </w:pPr>
    </w:p>
    <w:p w14:paraId="605ED145" w14:textId="77777777" w:rsidR="00F26419" w:rsidRPr="002335EE" w:rsidRDefault="00E5435D" w:rsidP="00E5435D">
      <w:pPr>
        <w:ind w:left="720"/>
        <w:jc w:val="center"/>
        <w:outlineLvl w:val="0"/>
        <w:rPr>
          <w:b/>
          <w:sz w:val="20"/>
          <w:szCs w:val="20"/>
        </w:rPr>
      </w:pPr>
      <w:r w:rsidRPr="002335EE">
        <w:rPr>
          <w:b/>
          <w:sz w:val="20"/>
          <w:szCs w:val="20"/>
        </w:rPr>
        <w:t xml:space="preserve">Crown Point </w:t>
      </w:r>
      <w:r w:rsidR="00AF42C9" w:rsidRPr="002335EE">
        <w:rPr>
          <w:b/>
          <w:sz w:val="20"/>
          <w:szCs w:val="20"/>
        </w:rPr>
        <w:t xml:space="preserve">Announces </w:t>
      </w:r>
    </w:p>
    <w:p w14:paraId="308F306A" w14:textId="1A6E07D1" w:rsidR="00E66412" w:rsidRPr="002335EE" w:rsidRDefault="00F11C6C" w:rsidP="00E5435D">
      <w:pPr>
        <w:ind w:left="720"/>
        <w:jc w:val="center"/>
        <w:outlineLvl w:val="0"/>
        <w:rPr>
          <w:b/>
          <w:sz w:val="20"/>
          <w:szCs w:val="20"/>
        </w:rPr>
      </w:pPr>
      <w:r w:rsidRPr="002335EE">
        <w:rPr>
          <w:b/>
          <w:sz w:val="20"/>
          <w:szCs w:val="20"/>
        </w:rPr>
        <w:t>Reserve Information for the Year</w:t>
      </w:r>
      <w:r w:rsidR="00AF42C9" w:rsidRPr="002335EE">
        <w:rPr>
          <w:b/>
          <w:sz w:val="20"/>
          <w:szCs w:val="20"/>
        </w:rPr>
        <w:t xml:space="preserve"> Ended </w:t>
      </w:r>
      <w:r w:rsidRPr="002335EE">
        <w:rPr>
          <w:b/>
          <w:sz w:val="20"/>
          <w:szCs w:val="20"/>
        </w:rPr>
        <w:t>December 31</w:t>
      </w:r>
      <w:r w:rsidR="00AF42C9" w:rsidRPr="002335EE">
        <w:rPr>
          <w:b/>
          <w:sz w:val="20"/>
          <w:szCs w:val="20"/>
        </w:rPr>
        <w:t xml:space="preserve">, </w:t>
      </w:r>
      <w:r w:rsidR="00745126" w:rsidRPr="002335EE">
        <w:rPr>
          <w:b/>
          <w:sz w:val="20"/>
          <w:szCs w:val="20"/>
        </w:rPr>
        <w:t>202</w:t>
      </w:r>
      <w:r w:rsidR="00745126">
        <w:rPr>
          <w:b/>
          <w:sz w:val="20"/>
          <w:szCs w:val="20"/>
        </w:rPr>
        <w:t>4</w:t>
      </w:r>
    </w:p>
    <w:p w14:paraId="00411F04" w14:textId="77777777" w:rsidR="00997CEA" w:rsidRPr="002335EE" w:rsidRDefault="00997CEA" w:rsidP="00997CEA">
      <w:pPr>
        <w:outlineLvl w:val="0"/>
        <w:rPr>
          <w:b/>
          <w:sz w:val="20"/>
          <w:szCs w:val="20"/>
        </w:rPr>
      </w:pPr>
    </w:p>
    <w:p w14:paraId="5D4F7B06" w14:textId="0A2EABE7" w:rsidR="00335EAB" w:rsidRPr="002335EE" w:rsidRDefault="00997CEA" w:rsidP="00AF42C9">
      <w:pPr>
        <w:tabs>
          <w:tab w:val="left" w:pos="1440"/>
        </w:tabs>
        <w:jc w:val="both"/>
        <w:rPr>
          <w:sz w:val="20"/>
          <w:szCs w:val="20"/>
        </w:rPr>
      </w:pPr>
      <w:r w:rsidRPr="002335EE">
        <w:rPr>
          <w:b/>
          <w:sz w:val="20"/>
          <w:szCs w:val="20"/>
        </w:rPr>
        <w:t xml:space="preserve">TSX-V:  CWV: Crown Point </w:t>
      </w:r>
      <w:r w:rsidR="001A4EF4" w:rsidRPr="002335EE">
        <w:rPr>
          <w:b/>
          <w:sz w:val="20"/>
          <w:szCs w:val="20"/>
        </w:rPr>
        <w:t>Energy Inc</w:t>
      </w:r>
      <w:r w:rsidRPr="002335EE">
        <w:rPr>
          <w:b/>
          <w:sz w:val="20"/>
          <w:szCs w:val="20"/>
        </w:rPr>
        <w:t>. (</w:t>
      </w:r>
      <w:r w:rsidR="008E16E3" w:rsidRPr="002335EE">
        <w:rPr>
          <w:b/>
          <w:sz w:val="20"/>
          <w:szCs w:val="20"/>
        </w:rPr>
        <w:t>“</w:t>
      </w:r>
      <w:r w:rsidRPr="002335EE">
        <w:rPr>
          <w:b/>
          <w:sz w:val="20"/>
          <w:szCs w:val="20"/>
        </w:rPr>
        <w:t>Crown Point</w:t>
      </w:r>
      <w:r w:rsidR="008E16E3" w:rsidRPr="002335EE">
        <w:rPr>
          <w:b/>
          <w:sz w:val="20"/>
          <w:szCs w:val="20"/>
        </w:rPr>
        <w:t>”</w:t>
      </w:r>
      <w:r w:rsidR="00A12697" w:rsidRPr="002335EE">
        <w:rPr>
          <w:b/>
          <w:sz w:val="20"/>
          <w:szCs w:val="20"/>
        </w:rPr>
        <w:t xml:space="preserve">, </w:t>
      </w:r>
      <w:r w:rsidRPr="002335EE">
        <w:rPr>
          <w:sz w:val="20"/>
          <w:szCs w:val="20"/>
        </w:rPr>
        <w:t>the</w:t>
      </w:r>
      <w:r w:rsidRPr="002335EE">
        <w:rPr>
          <w:b/>
          <w:sz w:val="20"/>
          <w:szCs w:val="20"/>
        </w:rPr>
        <w:t xml:space="preserve"> </w:t>
      </w:r>
      <w:r w:rsidR="008E16E3" w:rsidRPr="002335EE">
        <w:rPr>
          <w:b/>
          <w:sz w:val="20"/>
          <w:szCs w:val="20"/>
        </w:rPr>
        <w:t>“</w:t>
      </w:r>
      <w:r w:rsidRPr="002335EE">
        <w:rPr>
          <w:b/>
          <w:sz w:val="20"/>
          <w:szCs w:val="20"/>
        </w:rPr>
        <w:t>Company</w:t>
      </w:r>
      <w:r w:rsidR="008E16E3" w:rsidRPr="002335EE">
        <w:rPr>
          <w:b/>
          <w:sz w:val="20"/>
          <w:szCs w:val="20"/>
        </w:rPr>
        <w:t>”</w:t>
      </w:r>
      <w:r w:rsidR="00640983" w:rsidRPr="002335EE">
        <w:rPr>
          <w:b/>
          <w:sz w:val="20"/>
          <w:szCs w:val="20"/>
        </w:rPr>
        <w:t xml:space="preserve">, </w:t>
      </w:r>
      <w:r w:rsidR="00A12697" w:rsidRPr="002335EE">
        <w:rPr>
          <w:sz w:val="20"/>
          <w:szCs w:val="20"/>
        </w:rPr>
        <w:t>"</w:t>
      </w:r>
      <w:r w:rsidR="00A12697" w:rsidRPr="002335EE">
        <w:rPr>
          <w:b/>
          <w:sz w:val="20"/>
          <w:szCs w:val="20"/>
        </w:rPr>
        <w:t>we</w:t>
      </w:r>
      <w:r w:rsidR="00A12697" w:rsidRPr="002335EE">
        <w:rPr>
          <w:sz w:val="20"/>
          <w:szCs w:val="20"/>
        </w:rPr>
        <w:t>"</w:t>
      </w:r>
      <w:r w:rsidR="00640983" w:rsidRPr="002335EE">
        <w:rPr>
          <w:sz w:val="20"/>
          <w:szCs w:val="20"/>
        </w:rPr>
        <w:t xml:space="preserve"> or "</w:t>
      </w:r>
      <w:r w:rsidR="00640983" w:rsidRPr="002335EE">
        <w:rPr>
          <w:b/>
          <w:sz w:val="20"/>
          <w:szCs w:val="20"/>
        </w:rPr>
        <w:t>our</w:t>
      </w:r>
      <w:r w:rsidR="00640983" w:rsidRPr="002335EE">
        <w:rPr>
          <w:sz w:val="20"/>
          <w:szCs w:val="20"/>
        </w:rPr>
        <w:t>"</w:t>
      </w:r>
      <w:r w:rsidRPr="002335EE">
        <w:rPr>
          <w:b/>
          <w:sz w:val="20"/>
          <w:szCs w:val="20"/>
        </w:rPr>
        <w:t>)</w:t>
      </w:r>
      <w:r w:rsidRPr="002335EE">
        <w:rPr>
          <w:sz w:val="20"/>
          <w:szCs w:val="20"/>
        </w:rPr>
        <w:t xml:space="preserve"> </w:t>
      </w:r>
      <w:r w:rsidR="00AF42C9" w:rsidRPr="002335EE">
        <w:rPr>
          <w:sz w:val="20"/>
          <w:szCs w:val="20"/>
        </w:rPr>
        <w:t xml:space="preserve">today announced </w:t>
      </w:r>
      <w:r w:rsidR="00F11C6C" w:rsidRPr="002335EE">
        <w:rPr>
          <w:sz w:val="20"/>
          <w:szCs w:val="20"/>
        </w:rPr>
        <w:t xml:space="preserve">certain reserve information </w:t>
      </w:r>
      <w:r w:rsidR="00AF42C9" w:rsidRPr="002335EE">
        <w:rPr>
          <w:sz w:val="20"/>
          <w:szCs w:val="20"/>
        </w:rPr>
        <w:t xml:space="preserve">for the </w:t>
      </w:r>
      <w:r w:rsidR="00F11C6C" w:rsidRPr="002335EE">
        <w:rPr>
          <w:sz w:val="20"/>
          <w:szCs w:val="20"/>
        </w:rPr>
        <w:t>year e</w:t>
      </w:r>
      <w:r w:rsidR="00AF42C9" w:rsidRPr="002335EE">
        <w:rPr>
          <w:sz w:val="20"/>
          <w:szCs w:val="20"/>
        </w:rPr>
        <w:t xml:space="preserve">nded </w:t>
      </w:r>
      <w:r w:rsidR="00F11C6C" w:rsidRPr="002335EE">
        <w:rPr>
          <w:sz w:val="20"/>
          <w:szCs w:val="20"/>
        </w:rPr>
        <w:t>December 31</w:t>
      </w:r>
      <w:r w:rsidR="00AF42C9" w:rsidRPr="002335EE">
        <w:rPr>
          <w:sz w:val="20"/>
          <w:szCs w:val="20"/>
        </w:rPr>
        <w:t xml:space="preserve">, </w:t>
      </w:r>
      <w:r w:rsidR="00093AB9" w:rsidRPr="002335EE">
        <w:rPr>
          <w:sz w:val="20"/>
          <w:szCs w:val="20"/>
        </w:rPr>
        <w:t>202</w:t>
      </w:r>
      <w:r w:rsidR="005A1B50">
        <w:rPr>
          <w:sz w:val="20"/>
          <w:szCs w:val="20"/>
        </w:rPr>
        <w:t>4</w:t>
      </w:r>
      <w:r w:rsidR="007E0FF7" w:rsidRPr="002335EE">
        <w:rPr>
          <w:sz w:val="20"/>
          <w:szCs w:val="20"/>
        </w:rPr>
        <w:t>.</w:t>
      </w:r>
      <w:r w:rsidR="00C201FA" w:rsidRPr="002335EE">
        <w:rPr>
          <w:sz w:val="20"/>
          <w:szCs w:val="20"/>
        </w:rPr>
        <w:t xml:space="preserve">  </w:t>
      </w:r>
      <w:r w:rsidR="00AF42C9" w:rsidRPr="002335EE">
        <w:rPr>
          <w:sz w:val="20"/>
          <w:szCs w:val="20"/>
        </w:rPr>
        <w:t>All dollar figures are expressed in United States dollars ("</w:t>
      </w:r>
      <w:r w:rsidR="00AF42C9" w:rsidRPr="002335EE">
        <w:rPr>
          <w:b/>
          <w:sz w:val="20"/>
          <w:szCs w:val="20"/>
        </w:rPr>
        <w:t>USD</w:t>
      </w:r>
      <w:r w:rsidR="00AF42C9" w:rsidRPr="002335EE">
        <w:rPr>
          <w:sz w:val="20"/>
          <w:szCs w:val="20"/>
        </w:rPr>
        <w:t>"</w:t>
      </w:r>
      <w:r w:rsidR="00021BB6" w:rsidRPr="002335EE">
        <w:rPr>
          <w:sz w:val="20"/>
          <w:szCs w:val="20"/>
        </w:rPr>
        <w:t xml:space="preserve"> or "</w:t>
      </w:r>
      <w:r w:rsidR="00021BB6" w:rsidRPr="002335EE">
        <w:rPr>
          <w:b/>
          <w:sz w:val="20"/>
          <w:szCs w:val="20"/>
        </w:rPr>
        <w:t>US$</w:t>
      </w:r>
      <w:r w:rsidR="00021BB6" w:rsidRPr="002335EE">
        <w:rPr>
          <w:sz w:val="20"/>
          <w:szCs w:val="20"/>
        </w:rPr>
        <w:t>"</w:t>
      </w:r>
      <w:r w:rsidR="00AF42C9" w:rsidRPr="002335EE">
        <w:rPr>
          <w:sz w:val="20"/>
          <w:szCs w:val="20"/>
        </w:rPr>
        <w:t>) unless otherwise stated</w:t>
      </w:r>
      <w:r w:rsidR="00F04F95" w:rsidRPr="002335EE">
        <w:rPr>
          <w:sz w:val="20"/>
          <w:szCs w:val="20"/>
        </w:rPr>
        <w:t>, and "</w:t>
      </w:r>
      <w:r w:rsidR="00F04F95" w:rsidRPr="002335EE">
        <w:rPr>
          <w:b/>
          <w:sz w:val="20"/>
          <w:szCs w:val="20"/>
        </w:rPr>
        <w:t>M</w:t>
      </w:r>
      <w:r w:rsidR="0031193A" w:rsidRPr="002335EE">
        <w:rPr>
          <w:b/>
          <w:sz w:val="20"/>
          <w:szCs w:val="20"/>
        </w:rPr>
        <w:t>M</w:t>
      </w:r>
      <w:r w:rsidR="00F04F95" w:rsidRPr="002335EE">
        <w:rPr>
          <w:b/>
          <w:sz w:val="20"/>
          <w:szCs w:val="20"/>
        </w:rPr>
        <w:t>US$</w:t>
      </w:r>
      <w:r w:rsidR="00F04F95" w:rsidRPr="002335EE">
        <w:rPr>
          <w:sz w:val="20"/>
          <w:szCs w:val="20"/>
        </w:rPr>
        <w:t xml:space="preserve">" means </w:t>
      </w:r>
      <w:r w:rsidR="0031193A" w:rsidRPr="002335EE">
        <w:rPr>
          <w:sz w:val="20"/>
          <w:szCs w:val="20"/>
        </w:rPr>
        <w:t>millions</w:t>
      </w:r>
      <w:r w:rsidR="00F04F95" w:rsidRPr="002335EE">
        <w:rPr>
          <w:sz w:val="20"/>
          <w:szCs w:val="20"/>
        </w:rPr>
        <w:t xml:space="preserve"> of USD</w:t>
      </w:r>
      <w:r w:rsidR="00AF42C9" w:rsidRPr="002335EE">
        <w:rPr>
          <w:sz w:val="20"/>
          <w:szCs w:val="20"/>
        </w:rPr>
        <w:t xml:space="preserve">. </w:t>
      </w:r>
    </w:p>
    <w:p w14:paraId="4D2F7337" w14:textId="0DD6D1C1" w:rsidR="006E2E70" w:rsidRPr="002335EE" w:rsidRDefault="00093AB9" w:rsidP="00C35452">
      <w:pPr>
        <w:tabs>
          <w:tab w:val="left" w:pos="1440"/>
        </w:tabs>
        <w:spacing w:before="120" w:line="240" w:lineRule="atLeast"/>
        <w:jc w:val="both"/>
        <w:rPr>
          <w:sz w:val="20"/>
          <w:szCs w:val="20"/>
        </w:rPr>
      </w:pPr>
      <w:r>
        <w:rPr>
          <w:sz w:val="20"/>
          <w:szCs w:val="20"/>
        </w:rPr>
        <w:t>Sproule Associates</w:t>
      </w:r>
      <w:r w:rsidR="00BE57BF">
        <w:rPr>
          <w:sz w:val="20"/>
          <w:szCs w:val="20"/>
        </w:rPr>
        <w:t xml:space="preserve"> </w:t>
      </w:r>
      <w:r w:rsidR="00F1118B">
        <w:rPr>
          <w:sz w:val="20"/>
          <w:szCs w:val="20"/>
        </w:rPr>
        <w:t>Limited</w:t>
      </w:r>
      <w:r w:rsidR="00715B39" w:rsidRPr="002335EE">
        <w:rPr>
          <w:sz w:val="20"/>
          <w:szCs w:val="20"/>
        </w:rPr>
        <w:t xml:space="preserve"> </w:t>
      </w:r>
      <w:r w:rsidR="006E2E70" w:rsidRPr="002335EE">
        <w:rPr>
          <w:sz w:val="20"/>
          <w:szCs w:val="20"/>
        </w:rPr>
        <w:t>(“</w:t>
      </w:r>
      <w:r>
        <w:rPr>
          <w:b/>
          <w:sz w:val="20"/>
          <w:szCs w:val="20"/>
        </w:rPr>
        <w:t>Sproule</w:t>
      </w:r>
      <w:r w:rsidR="006E2E70" w:rsidRPr="002335EE">
        <w:rPr>
          <w:sz w:val="20"/>
          <w:szCs w:val="20"/>
        </w:rPr>
        <w:t xml:space="preserve">”), an independent qualified reserves </w:t>
      </w:r>
      <w:r w:rsidR="00F1118B">
        <w:rPr>
          <w:sz w:val="20"/>
          <w:szCs w:val="20"/>
        </w:rPr>
        <w:t>engineer</w:t>
      </w:r>
      <w:r w:rsidR="006E2E70" w:rsidRPr="002335EE">
        <w:rPr>
          <w:sz w:val="20"/>
          <w:szCs w:val="20"/>
        </w:rPr>
        <w:t xml:space="preserve">, </w:t>
      </w:r>
      <w:r w:rsidR="00C6310B">
        <w:rPr>
          <w:sz w:val="20"/>
          <w:szCs w:val="20"/>
        </w:rPr>
        <w:t>evaluated</w:t>
      </w:r>
      <w:r w:rsidRPr="002335EE">
        <w:rPr>
          <w:sz w:val="20"/>
          <w:szCs w:val="20"/>
        </w:rPr>
        <w:t xml:space="preserve"> </w:t>
      </w:r>
      <w:r w:rsidR="006E2E70" w:rsidRPr="002335EE">
        <w:rPr>
          <w:sz w:val="20"/>
          <w:szCs w:val="20"/>
        </w:rPr>
        <w:t xml:space="preserve">the oil and natural gas reserves attributable to all of Crown Point’s properties as </w:t>
      </w:r>
      <w:r w:rsidR="006229AC">
        <w:rPr>
          <w:sz w:val="20"/>
          <w:szCs w:val="20"/>
        </w:rPr>
        <w:t>of</w:t>
      </w:r>
      <w:r w:rsidR="006229AC" w:rsidRPr="002335EE">
        <w:rPr>
          <w:sz w:val="20"/>
          <w:szCs w:val="20"/>
        </w:rPr>
        <w:t xml:space="preserve"> </w:t>
      </w:r>
      <w:r w:rsidR="006E2E70" w:rsidRPr="002335EE">
        <w:rPr>
          <w:sz w:val="20"/>
          <w:szCs w:val="20"/>
        </w:rPr>
        <w:t xml:space="preserve">December 31, </w:t>
      </w:r>
      <w:r w:rsidRPr="002335EE">
        <w:rPr>
          <w:sz w:val="20"/>
          <w:szCs w:val="20"/>
        </w:rPr>
        <w:t>202</w:t>
      </w:r>
      <w:r w:rsidR="005A1B50">
        <w:rPr>
          <w:sz w:val="20"/>
          <w:szCs w:val="20"/>
        </w:rPr>
        <w:t>4</w:t>
      </w:r>
      <w:r w:rsidRPr="002335EE">
        <w:rPr>
          <w:sz w:val="20"/>
          <w:szCs w:val="20"/>
        </w:rPr>
        <w:t xml:space="preserve"> </w:t>
      </w:r>
      <w:r w:rsidR="006E2E70" w:rsidRPr="002335EE">
        <w:rPr>
          <w:sz w:val="20"/>
          <w:szCs w:val="20"/>
        </w:rPr>
        <w:t xml:space="preserve">based on forecast prices and costs and in accordance with </w:t>
      </w:r>
      <w:r w:rsidR="00715152" w:rsidRPr="002335EE">
        <w:rPr>
          <w:sz w:val="20"/>
          <w:szCs w:val="20"/>
        </w:rPr>
        <w:t xml:space="preserve">National Instrument </w:t>
      </w:r>
      <w:r w:rsidR="006E2E70" w:rsidRPr="002335EE">
        <w:rPr>
          <w:sz w:val="20"/>
          <w:szCs w:val="20"/>
        </w:rPr>
        <w:t xml:space="preserve">51-101 </w:t>
      </w:r>
      <w:r w:rsidR="00715152" w:rsidRPr="002335EE">
        <w:rPr>
          <w:sz w:val="20"/>
          <w:szCs w:val="20"/>
        </w:rPr>
        <w:t>("</w:t>
      </w:r>
      <w:r w:rsidR="00715152" w:rsidRPr="002335EE">
        <w:rPr>
          <w:b/>
          <w:sz w:val="20"/>
          <w:szCs w:val="20"/>
        </w:rPr>
        <w:t>NI 51-101</w:t>
      </w:r>
      <w:r w:rsidR="00715152" w:rsidRPr="002335EE">
        <w:rPr>
          <w:sz w:val="20"/>
          <w:szCs w:val="20"/>
        </w:rPr>
        <w:t xml:space="preserve">") </w:t>
      </w:r>
      <w:r w:rsidR="006E2E70" w:rsidRPr="002335EE">
        <w:rPr>
          <w:sz w:val="20"/>
          <w:szCs w:val="20"/>
        </w:rPr>
        <w:t>and the Canadian Oil and Gas Evaluation Handbook</w:t>
      </w:r>
      <w:r w:rsidR="00DB3F3C" w:rsidRPr="002335EE">
        <w:rPr>
          <w:sz w:val="20"/>
          <w:szCs w:val="20"/>
        </w:rPr>
        <w:t xml:space="preserve"> (the "</w:t>
      </w:r>
      <w:r w:rsidR="00DB3F3C" w:rsidRPr="002335EE">
        <w:rPr>
          <w:b/>
          <w:sz w:val="20"/>
          <w:szCs w:val="20"/>
        </w:rPr>
        <w:t>COGE Handbook</w:t>
      </w:r>
      <w:r w:rsidR="00DB3F3C" w:rsidRPr="002335EE">
        <w:rPr>
          <w:sz w:val="20"/>
          <w:szCs w:val="20"/>
        </w:rPr>
        <w:t>")</w:t>
      </w:r>
      <w:r w:rsidR="006E2E70" w:rsidRPr="002335EE">
        <w:rPr>
          <w:sz w:val="20"/>
          <w:szCs w:val="20"/>
        </w:rPr>
        <w:t xml:space="preserve">. </w:t>
      </w:r>
      <w:r>
        <w:rPr>
          <w:sz w:val="20"/>
          <w:szCs w:val="20"/>
        </w:rPr>
        <w:t>Sproule</w:t>
      </w:r>
      <w:r w:rsidRPr="002335EE">
        <w:rPr>
          <w:sz w:val="20"/>
          <w:szCs w:val="20"/>
        </w:rPr>
        <w:t xml:space="preserve">’s </w:t>
      </w:r>
      <w:r w:rsidR="00C6310B">
        <w:rPr>
          <w:sz w:val="20"/>
          <w:szCs w:val="20"/>
        </w:rPr>
        <w:t>evaluation</w:t>
      </w:r>
      <w:r w:rsidR="00C6310B" w:rsidRPr="002335EE">
        <w:rPr>
          <w:sz w:val="20"/>
          <w:szCs w:val="20"/>
        </w:rPr>
        <w:t xml:space="preserve"> </w:t>
      </w:r>
      <w:r w:rsidR="002926E3" w:rsidRPr="002335EE">
        <w:rPr>
          <w:sz w:val="20"/>
          <w:szCs w:val="20"/>
        </w:rPr>
        <w:t>report (the "</w:t>
      </w:r>
      <w:r>
        <w:rPr>
          <w:b/>
          <w:sz w:val="20"/>
          <w:szCs w:val="20"/>
        </w:rPr>
        <w:t>Sproule</w:t>
      </w:r>
      <w:r w:rsidRPr="002335EE">
        <w:rPr>
          <w:b/>
          <w:sz w:val="20"/>
          <w:szCs w:val="20"/>
        </w:rPr>
        <w:t xml:space="preserve"> </w:t>
      </w:r>
      <w:r w:rsidR="002926E3" w:rsidRPr="002335EE">
        <w:rPr>
          <w:b/>
          <w:sz w:val="20"/>
          <w:szCs w:val="20"/>
        </w:rPr>
        <w:t>Report</w:t>
      </w:r>
      <w:r w:rsidR="002926E3" w:rsidRPr="002335EE">
        <w:rPr>
          <w:sz w:val="20"/>
          <w:szCs w:val="20"/>
        </w:rPr>
        <w:t xml:space="preserve">") </w:t>
      </w:r>
      <w:r w:rsidR="006E2E70" w:rsidRPr="002335EE">
        <w:rPr>
          <w:sz w:val="20"/>
          <w:szCs w:val="20"/>
        </w:rPr>
        <w:t xml:space="preserve">also presents the estimated net present value of future net revenue associated with Crown Point's reserves. A summary of Crown Point’s crude oil, natural gas and natural gas liquids reserves, as </w:t>
      </w:r>
      <w:r w:rsidR="00C6310B">
        <w:rPr>
          <w:sz w:val="20"/>
          <w:szCs w:val="20"/>
        </w:rPr>
        <w:t>evaluated</w:t>
      </w:r>
      <w:r w:rsidR="00C6310B" w:rsidRPr="002335EE">
        <w:rPr>
          <w:sz w:val="20"/>
          <w:szCs w:val="20"/>
        </w:rPr>
        <w:t xml:space="preserve"> </w:t>
      </w:r>
      <w:r w:rsidR="006E2E70" w:rsidRPr="002335EE">
        <w:rPr>
          <w:sz w:val="20"/>
          <w:szCs w:val="20"/>
        </w:rPr>
        <w:t xml:space="preserve">by </w:t>
      </w:r>
      <w:r>
        <w:rPr>
          <w:sz w:val="20"/>
          <w:szCs w:val="20"/>
        </w:rPr>
        <w:t>Sproule</w:t>
      </w:r>
      <w:r w:rsidR="006E2E70" w:rsidRPr="002335EE">
        <w:rPr>
          <w:sz w:val="20"/>
          <w:szCs w:val="20"/>
        </w:rPr>
        <w:t xml:space="preserve">, and the associated net present value of future net revenue associated therewith as </w:t>
      </w:r>
      <w:r w:rsidR="002C05CC">
        <w:rPr>
          <w:sz w:val="20"/>
          <w:szCs w:val="20"/>
        </w:rPr>
        <w:t>of</w:t>
      </w:r>
      <w:r w:rsidR="002C05CC" w:rsidRPr="002335EE">
        <w:rPr>
          <w:sz w:val="20"/>
          <w:szCs w:val="20"/>
        </w:rPr>
        <w:t xml:space="preserve"> </w:t>
      </w:r>
      <w:r w:rsidR="006E2E70" w:rsidRPr="002335EE">
        <w:rPr>
          <w:sz w:val="20"/>
          <w:szCs w:val="20"/>
        </w:rPr>
        <w:t xml:space="preserve">December 31, </w:t>
      </w:r>
      <w:r w:rsidR="002F1371" w:rsidRPr="002335EE">
        <w:rPr>
          <w:sz w:val="20"/>
          <w:szCs w:val="20"/>
        </w:rPr>
        <w:t>202</w:t>
      </w:r>
      <w:r w:rsidR="005A1B50">
        <w:rPr>
          <w:sz w:val="20"/>
          <w:szCs w:val="20"/>
        </w:rPr>
        <w:t>4</w:t>
      </w:r>
      <w:r w:rsidR="002F1371" w:rsidRPr="002335EE">
        <w:rPr>
          <w:sz w:val="20"/>
          <w:szCs w:val="20"/>
        </w:rPr>
        <w:t xml:space="preserve"> </w:t>
      </w:r>
      <w:r w:rsidR="006E2E70" w:rsidRPr="002335EE">
        <w:rPr>
          <w:sz w:val="20"/>
          <w:szCs w:val="20"/>
        </w:rPr>
        <w:t xml:space="preserve">is </w:t>
      </w:r>
      <w:r w:rsidR="00715152" w:rsidRPr="002335EE">
        <w:rPr>
          <w:sz w:val="20"/>
          <w:szCs w:val="20"/>
        </w:rPr>
        <w:t>presented</w:t>
      </w:r>
      <w:r w:rsidR="006E2E70" w:rsidRPr="002335EE">
        <w:rPr>
          <w:sz w:val="20"/>
          <w:szCs w:val="20"/>
        </w:rPr>
        <w:t xml:space="preserve"> below. </w:t>
      </w:r>
    </w:p>
    <w:p w14:paraId="3063EBA2" w14:textId="7D328006" w:rsidR="00767618" w:rsidRPr="002335EE" w:rsidRDefault="00767618" w:rsidP="00767618">
      <w:pPr>
        <w:keepNext/>
        <w:tabs>
          <w:tab w:val="left" w:pos="1440"/>
        </w:tabs>
        <w:spacing w:before="120" w:line="240" w:lineRule="atLeast"/>
        <w:jc w:val="both"/>
        <w:rPr>
          <w:sz w:val="20"/>
          <w:szCs w:val="20"/>
        </w:rPr>
      </w:pPr>
      <w:r w:rsidRPr="002335EE">
        <w:rPr>
          <w:sz w:val="20"/>
          <w:szCs w:val="20"/>
        </w:rPr>
        <w:t xml:space="preserve">The following table </w:t>
      </w:r>
      <w:r w:rsidR="00E1716A" w:rsidRPr="002335EE">
        <w:rPr>
          <w:sz w:val="20"/>
          <w:szCs w:val="20"/>
        </w:rPr>
        <w:t>present</w:t>
      </w:r>
      <w:r w:rsidR="00382199" w:rsidRPr="002335EE">
        <w:rPr>
          <w:sz w:val="20"/>
          <w:szCs w:val="20"/>
        </w:rPr>
        <w:t>s</w:t>
      </w:r>
      <w:r w:rsidRPr="002335EE">
        <w:rPr>
          <w:sz w:val="20"/>
          <w:szCs w:val="20"/>
        </w:rPr>
        <w:t xml:space="preserve">, in the aggregate, the Company's gross </w:t>
      </w:r>
      <w:r w:rsidR="00382199" w:rsidRPr="002335EE">
        <w:rPr>
          <w:sz w:val="20"/>
          <w:szCs w:val="20"/>
        </w:rPr>
        <w:t xml:space="preserve">and net </w:t>
      </w:r>
      <w:r w:rsidRPr="002335EE">
        <w:rPr>
          <w:sz w:val="20"/>
          <w:szCs w:val="20"/>
        </w:rPr>
        <w:t>proved</w:t>
      </w:r>
      <w:r w:rsidR="00E53B93" w:rsidRPr="002335EE">
        <w:rPr>
          <w:sz w:val="20"/>
          <w:szCs w:val="20"/>
        </w:rPr>
        <w:t xml:space="preserve"> and</w:t>
      </w:r>
      <w:r w:rsidRPr="002335EE">
        <w:rPr>
          <w:sz w:val="20"/>
          <w:szCs w:val="20"/>
        </w:rPr>
        <w:t xml:space="preserve"> probable reserves, estimated using forecast prices and costs, by product type</w:t>
      </w:r>
      <w:r w:rsidR="00E1716A" w:rsidRPr="002335EE">
        <w:rPr>
          <w:sz w:val="20"/>
          <w:szCs w:val="20"/>
        </w:rPr>
        <w:t xml:space="preserve"> and by barrel of oil equivalent</w:t>
      </w:r>
      <w:r w:rsidR="00E53B93" w:rsidRPr="002335EE">
        <w:rPr>
          <w:sz w:val="20"/>
          <w:szCs w:val="20"/>
        </w:rPr>
        <w:t>,</w:t>
      </w:r>
      <w:r w:rsidR="00E1716A" w:rsidRPr="002335EE">
        <w:rPr>
          <w:sz w:val="20"/>
          <w:szCs w:val="20"/>
        </w:rPr>
        <w:t xml:space="preserve"> as of December 31</w:t>
      </w:r>
      <w:r w:rsidR="001257B2" w:rsidRPr="002335EE">
        <w:rPr>
          <w:sz w:val="20"/>
          <w:szCs w:val="20"/>
        </w:rPr>
        <w:t>,</w:t>
      </w:r>
      <w:r w:rsidR="00E1716A" w:rsidRPr="002335EE">
        <w:rPr>
          <w:sz w:val="20"/>
          <w:szCs w:val="20"/>
        </w:rPr>
        <w:t xml:space="preserve"> </w:t>
      </w:r>
      <w:r w:rsidR="00E03127" w:rsidRPr="002335EE">
        <w:rPr>
          <w:sz w:val="20"/>
          <w:szCs w:val="20"/>
        </w:rPr>
        <w:t>20</w:t>
      </w:r>
      <w:r w:rsidR="008867EC" w:rsidRPr="002335EE">
        <w:rPr>
          <w:sz w:val="20"/>
          <w:szCs w:val="20"/>
        </w:rPr>
        <w:t>2</w:t>
      </w:r>
      <w:r w:rsidR="005A1B50">
        <w:rPr>
          <w:sz w:val="20"/>
          <w:szCs w:val="20"/>
        </w:rPr>
        <w:t>4</w:t>
      </w:r>
      <w:r w:rsidRPr="002335EE">
        <w:rPr>
          <w:sz w:val="20"/>
          <w:szCs w:val="20"/>
        </w:rPr>
        <w:t xml:space="preserve">.  </w:t>
      </w:r>
    </w:p>
    <w:p w14:paraId="045379DA" w14:textId="77777777" w:rsidR="00767618" w:rsidRPr="007B6295" w:rsidRDefault="00767618" w:rsidP="00767618">
      <w:pPr>
        <w:keepNext/>
        <w:jc w:val="center"/>
        <w:rPr>
          <w:rFonts w:ascii="Times New Roman" w:hAnsi="Times New Roman"/>
          <w:b/>
          <w:szCs w:val="22"/>
          <w:lang w:val="en-CA"/>
        </w:rPr>
      </w:pPr>
    </w:p>
    <w:p w14:paraId="5A0821E1" w14:textId="15666436" w:rsidR="00387333" w:rsidRPr="00B41982" w:rsidRDefault="00387333" w:rsidP="00387333">
      <w:pPr>
        <w:keepNext/>
        <w:jc w:val="center"/>
        <w:rPr>
          <w:b/>
          <w:sz w:val="20"/>
          <w:szCs w:val="20"/>
          <w:lang w:val="en-CA"/>
        </w:rPr>
      </w:pPr>
      <w:bookmarkStart w:id="0" w:name="OLE_LINK1"/>
      <w:r w:rsidRPr="00B41982">
        <w:rPr>
          <w:b/>
          <w:sz w:val="20"/>
          <w:szCs w:val="20"/>
          <w:lang w:val="en-CA"/>
        </w:rPr>
        <w:t>SUMMARY OF RESERVES AS OF DECEMBER 31, 202</w:t>
      </w:r>
      <w:r w:rsidR="005A1B50" w:rsidRPr="00B41982">
        <w:rPr>
          <w:b/>
          <w:sz w:val="20"/>
          <w:szCs w:val="20"/>
          <w:lang w:val="en-CA"/>
        </w:rPr>
        <w:t>4</w:t>
      </w:r>
    </w:p>
    <w:p w14:paraId="050893AD" w14:textId="54D2D41D" w:rsidR="006D609A" w:rsidRPr="007B6295" w:rsidRDefault="00387333" w:rsidP="006D609A">
      <w:pPr>
        <w:keepNext/>
        <w:spacing w:after="120" w:line="276" w:lineRule="auto"/>
        <w:jc w:val="center"/>
        <w:rPr>
          <w:rFonts w:ascii="Times New Roman" w:hAnsi="Times New Roman"/>
          <w:szCs w:val="22"/>
          <w:lang w:val="en-CA"/>
        </w:rPr>
      </w:pPr>
      <w:r w:rsidRPr="00B41982">
        <w:rPr>
          <w:b/>
          <w:sz w:val="20"/>
          <w:szCs w:val="20"/>
          <w:lang w:val="en-CA"/>
        </w:rPr>
        <w:t>(Forecast Prices &amp; Costs)</w:t>
      </w:r>
      <w:r w:rsidR="00B41982" w:rsidRPr="00B41982">
        <w:rPr>
          <w:sz w:val="20"/>
          <w:szCs w:val="22"/>
          <w:lang w:val="en-CA"/>
        </w:rPr>
        <w:t xml:space="preserve"> </w:t>
      </w:r>
    </w:p>
    <w:p w14:paraId="35160CA5" w14:textId="17631D3B" w:rsidR="00387333" w:rsidRPr="007B6295" w:rsidRDefault="00387333" w:rsidP="00387333">
      <w:pPr>
        <w:tabs>
          <w:tab w:val="left" w:pos="1440"/>
        </w:tabs>
        <w:spacing w:before="120" w:line="240" w:lineRule="atLeast"/>
        <w:jc w:val="both"/>
        <w:rPr>
          <w:rFonts w:ascii="Times New Roman" w:hAnsi="Times New Roman"/>
          <w:szCs w:val="22"/>
          <w:lang w:val="en-CA"/>
        </w:rPr>
      </w:pPr>
    </w:p>
    <w:bookmarkEnd w:id="0"/>
    <w:tbl>
      <w:tblPr>
        <w:tblW w:w="11274" w:type="dxa"/>
        <w:tblInd w:w="-953" w:type="dxa"/>
        <w:tblLayout w:type="fixed"/>
        <w:tblCellMar>
          <w:left w:w="70" w:type="dxa"/>
          <w:right w:w="70" w:type="dxa"/>
        </w:tblCellMar>
        <w:tblLook w:val="04A0" w:firstRow="1" w:lastRow="0" w:firstColumn="1" w:lastColumn="0" w:noHBand="0" w:noVBand="1"/>
      </w:tblPr>
      <w:tblGrid>
        <w:gridCol w:w="2480"/>
        <w:gridCol w:w="883"/>
        <w:gridCol w:w="905"/>
        <w:gridCol w:w="845"/>
        <w:gridCol w:w="845"/>
        <w:gridCol w:w="844"/>
        <w:gridCol w:w="819"/>
        <w:gridCol w:w="814"/>
        <w:gridCol w:w="740"/>
        <w:gridCol w:w="965"/>
        <w:gridCol w:w="1134"/>
      </w:tblGrid>
      <w:tr w:rsidR="00FF553B" w:rsidRPr="00D97578" w14:paraId="282AC5E8" w14:textId="77777777" w:rsidTr="00FF553B">
        <w:trPr>
          <w:trHeight w:val="645"/>
        </w:trPr>
        <w:tc>
          <w:tcPr>
            <w:tcW w:w="2480" w:type="dxa"/>
            <w:vMerge w:val="restart"/>
            <w:tcBorders>
              <w:top w:val="nil"/>
              <w:left w:val="nil"/>
              <w:bottom w:val="nil"/>
              <w:right w:val="nil"/>
            </w:tcBorders>
            <w:shd w:val="clear" w:color="auto" w:fill="auto"/>
            <w:vAlign w:val="center"/>
            <w:hideMark/>
          </w:tcPr>
          <w:p w14:paraId="021E4AD9" w14:textId="77777777" w:rsidR="00FF553B" w:rsidRPr="00FF553B" w:rsidRDefault="00FF553B" w:rsidP="00FF553B">
            <w:pPr>
              <w:rPr>
                <w:sz w:val="16"/>
                <w:szCs w:val="16"/>
                <w:lang w:val="es-AR" w:eastAsia="es-AR"/>
              </w:rPr>
            </w:pPr>
          </w:p>
        </w:tc>
        <w:tc>
          <w:tcPr>
            <w:tcW w:w="1788" w:type="dxa"/>
            <w:gridSpan w:val="2"/>
            <w:tcBorders>
              <w:top w:val="nil"/>
              <w:left w:val="nil"/>
              <w:bottom w:val="nil"/>
              <w:right w:val="nil"/>
            </w:tcBorders>
            <w:shd w:val="clear" w:color="auto" w:fill="auto"/>
            <w:vAlign w:val="center"/>
            <w:hideMark/>
          </w:tcPr>
          <w:p w14:paraId="5F2A1BCE" w14:textId="77777777" w:rsidR="00FF553B" w:rsidRPr="00FF553B" w:rsidRDefault="00FF553B" w:rsidP="00FF553B">
            <w:pPr>
              <w:jc w:val="center"/>
              <w:rPr>
                <w:b/>
                <w:bCs/>
                <w:color w:val="000000"/>
                <w:sz w:val="16"/>
                <w:szCs w:val="16"/>
                <w:lang w:eastAsia="es-AR"/>
              </w:rPr>
            </w:pPr>
            <w:r w:rsidRPr="00FF553B">
              <w:rPr>
                <w:b/>
                <w:bCs/>
                <w:color w:val="000000"/>
                <w:sz w:val="16"/>
                <w:szCs w:val="16"/>
                <w:lang w:eastAsia="es-AR"/>
              </w:rPr>
              <w:t>Light and Medium Crude Oil</w:t>
            </w:r>
          </w:p>
        </w:tc>
        <w:tc>
          <w:tcPr>
            <w:tcW w:w="1690" w:type="dxa"/>
            <w:gridSpan w:val="2"/>
            <w:tcBorders>
              <w:top w:val="nil"/>
              <w:left w:val="nil"/>
              <w:bottom w:val="nil"/>
              <w:right w:val="nil"/>
            </w:tcBorders>
            <w:vAlign w:val="center"/>
          </w:tcPr>
          <w:p w14:paraId="6D7997C9"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Heavy Crude</w:t>
            </w:r>
          </w:p>
          <w:p w14:paraId="6CC0E4B7"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Oil</w:t>
            </w:r>
          </w:p>
        </w:tc>
        <w:tc>
          <w:tcPr>
            <w:tcW w:w="1663" w:type="dxa"/>
            <w:gridSpan w:val="2"/>
            <w:tcBorders>
              <w:top w:val="nil"/>
              <w:left w:val="nil"/>
              <w:bottom w:val="nil"/>
              <w:right w:val="nil"/>
            </w:tcBorders>
            <w:shd w:val="clear" w:color="auto" w:fill="auto"/>
            <w:vAlign w:val="center"/>
            <w:hideMark/>
          </w:tcPr>
          <w:p w14:paraId="3F13337F"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Conventional</w:t>
            </w:r>
          </w:p>
          <w:p w14:paraId="5EAB6215"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Natural Gas</w:t>
            </w:r>
          </w:p>
        </w:tc>
        <w:tc>
          <w:tcPr>
            <w:tcW w:w="1554" w:type="dxa"/>
            <w:gridSpan w:val="2"/>
            <w:tcBorders>
              <w:top w:val="nil"/>
              <w:left w:val="nil"/>
              <w:bottom w:val="nil"/>
              <w:right w:val="nil"/>
            </w:tcBorders>
            <w:shd w:val="clear" w:color="auto" w:fill="auto"/>
            <w:vAlign w:val="center"/>
            <w:hideMark/>
          </w:tcPr>
          <w:p w14:paraId="6FDE9C63"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Natural Gas Liquids</w:t>
            </w:r>
          </w:p>
        </w:tc>
        <w:tc>
          <w:tcPr>
            <w:tcW w:w="2099" w:type="dxa"/>
            <w:gridSpan w:val="2"/>
            <w:tcBorders>
              <w:top w:val="nil"/>
              <w:left w:val="nil"/>
              <w:bottom w:val="nil"/>
              <w:right w:val="nil"/>
            </w:tcBorders>
            <w:shd w:val="clear" w:color="auto" w:fill="auto"/>
            <w:vAlign w:val="center"/>
            <w:hideMark/>
          </w:tcPr>
          <w:p w14:paraId="4A227D39"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Total Reserves</w:t>
            </w:r>
          </w:p>
        </w:tc>
      </w:tr>
      <w:tr w:rsidR="00FF553B" w:rsidRPr="00D97578" w14:paraId="24A257BC" w14:textId="77777777" w:rsidTr="00FF553B">
        <w:trPr>
          <w:trHeight w:val="315"/>
        </w:trPr>
        <w:tc>
          <w:tcPr>
            <w:tcW w:w="2480" w:type="dxa"/>
            <w:vMerge/>
            <w:tcBorders>
              <w:top w:val="nil"/>
              <w:left w:val="nil"/>
              <w:bottom w:val="nil"/>
              <w:right w:val="nil"/>
            </w:tcBorders>
            <w:vAlign w:val="center"/>
            <w:hideMark/>
          </w:tcPr>
          <w:p w14:paraId="0BF712BA" w14:textId="77777777" w:rsidR="00FF553B" w:rsidRPr="00FF553B" w:rsidRDefault="00FF553B" w:rsidP="00FF553B">
            <w:pPr>
              <w:rPr>
                <w:sz w:val="16"/>
                <w:szCs w:val="16"/>
                <w:lang w:val="es-AR" w:eastAsia="es-AR"/>
              </w:rPr>
            </w:pPr>
          </w:p>
        </w:tc>
        <w:tc>
          <w:tcPr>
            <w:tcW w:w="1788" w:type="dxa"/>
            <w:gridSpan w:val="2"/>
            <w:tcBorders>
              <w:top w:val="nil"/>
              <w:left w:val="nil"/>
              <w:bottom w:val="single" w:sz="8" w:space="0" w:color="auto"/>
              <w:right w:val="nil"/>
            </w:tcBorders>
            <w:shd w:val="clear" w:color="auto" w:fill="auto"/>
            <w:vAlign w:val="center"/>
            <w:hideMark/>
          </w:tcPr>
          <w:p w14:paraId="20961AF3"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(Mbbl)</w:t>
            </w:r>
          </w:p>
        </w:tc>
        <w:tc>
          <w:tcPr>
            <w:tcW w:w="1690" w:type="dxa"/>
            <w:gridSpan w:val="2"/>
            <w:tcBorders>
              <w:top w:val="nil"/>
              <w:left w:val="nil"/>
              <w:bottom w:val="single" w:sz="8" w:space="0" w:color="auto"/>
              <w:right w:val="nil"/>
            </w:tcBorders>
          </w:tcPr>
          <w:p w14:paraId="3994AAA7"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(Mbbl)</w:t>
            </w:r>
          </w:p>
        </w:tc>
        <w:tc>
          <w:tcPr>
            <w:tcW w:w="1663" w:type="dxa"/>
            <w:gridSpan w:val="2"/>
            <w:tcBorders>
              <w:top w:val="nil"/>
              <w:left w:val="nil"/>
              <w:bottom w:val="single" w:sz="8" w:space="0" w:color="auto"/>
              <w:right w:val="nil"/>
            </w:tcBorders>
            <w:shd w:val="clear" w:color="auto" w:fill="auto"/>
            <w:vAlign w:val="center"/>
            <w:hideMark/>
          </w:tcPr>
          <w:p w14:paraId="1763A25C"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(MMcf)</w:t>
            </w:r>
          </w:p>
        </w:tc>
        <w:tc>
          <w:tcPr>
            <w:tcW w:w="1554" w:type="dxa"/>
            <w:gridSpan w:val="2"/>
            <w:tcBorders>
              <w:top w:val="nil"/>
              <w:left w:val="nil"/>
              <w:bottom w:val="single" w:sz="8" w:space="0" w:color="auto"/>
              <w:right w:val="nil"/>
            </w:tcBorders>
            <w:shd w:val="clear" w:color="auto" w:fill="auto"/>
            <w:vAlign w:val="center"/>
            <w:hideMark/>
          </w:tcPr>
          <w:p w14:paraId="64586728"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(Mbbl)</w:t>
            </w:r>
          </w:p>
        </w:tc>
        <w:tc>
          <w:tcPr>
            <w:tcW w:w="2099" w:type="dxa"/>
            <w:gridSpan w:val="2"/>
            <w:tcBorders>
              <w:top w:val="nil"/>
              <w:left w:val="nil"/>
              <w:bottom w:val="single" w:sz="8" w:space="0" w:color="auto"/>
              <w:right w:val="nil"/>
            </w:tcBorders>
            <w:shd w:val="clear" w:color="auto" w:fill="auto"/>
            <w:noWrap/>
            <w:vAlign w:val="bottom"/>
            <w:hideMark/>
          </w:tcPr>
          <w:p w14:paraId="2E7A4B2A"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MBOE</w:t>
            </w:r>
          </w:p>
        </w:tc>
      </w:tr>
      <w:tr w:rsidR="00FF553B" w:rsidRPr="00D97578" w14:paraId="40C16821" w14:textId="77777777" w:rsidTr="00FF553B">
        <w:trPr>
          <w:trHeight w:val="300"/>
        </w:trPr>
        <w:tc>
          <w:tcPr>
            <w:tcW w:w="2480" w:type="dxa"/>
            <w:tcBorders>
              <w:top w:val="nil"/>
              <w:left w:val="nil"/>
              <w:bottom w:val="nil"/>
              <w:right w:val="nil"/>
            </w:tcBorders>
            <w:shd w:val="clear" w:color="auto" w:fill="auto"/>
            <w:vAlign w:val="center"/>
            <w:hideMark/>
          </w:tcPr>
          <w:p w14:paraId="030C9A19" w14:textId="77777777" w:rsidR="00FF553B" w:rsidRPr="00FF553B" w:rsidRDefault="00FF553B" w:rsidP="00FF553B">
            <w:pPr>
              <w:rPr>
                <w:b/>
                <w:bCs/>
                <w:color w:val="000000"/>
                <w:sz w:val="16"/>
                <w:szCs w:val="16"/>
                <w:vertAlign w:val="superscript"/>
                <w:lang w:val="es-AR" w:eastAsia="es-AR"/>
              </w:rPr>
            </w:pPr>
            <w:r w:rsidRPr="00FF553B">
              <w:rPr>
                <w:b/>
                <w:bCs/>
                <w:color w:val="000000"/>
                <w:sz w:val="16"/>
                <w:szCs w:val="16"/>
                <w:lang w:val="es-AR" w:eastAsia="es-AR"/>
              </w:rPr>
              <w:t>Reserves Category</w:t>
            </w:r>
            <w:r w:rsidRPr="00FF553B">
              <w:rPr>
                <w:b/>
                <w:bCs/>
                <w:color w:val="000000"/>
                <w:sz w:val="16"/>
                <w:szCs w:val="16"/>
                <w:vertAlign w:val="superscript"/>
                <w:lang w:val="es-AR" w:eastAsia="es-AR"/>
              </w:rPr>
              <w:t xml:space="preserve"> (2)</w:t>
            </w:r>
          </w:p>
        </w:tc>
        <w:tc>
          <w:tcPr>
            <w:tcW w:w="883" w:type="dxa"/>
            <w:tcBorders>
              <w:top w:val="nil"/>
              <w:left w:val="nil"/>
              <w:bottom w:val="nil"/>
              <w:right w:val="nil"/>
            </w:tcBorders>
            <w:shd w:val="clear" w:color="auto" w:fill="auto"/>
            <w:vAlign w:val="center"/>
            <w:hideMark/>
          </w:tcPr>
          <w:p w14:paraId="1580598C"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Gross</w:t>
            </w:r>
          </w:p>
        </w:tc>
        <w:tc>
          <w:tcPr>
            <w:tcW w:w="905" w:type="dxa"/>
            <w:tcBorders>
              <w:top w:val="nil"/>
              <w:left w:val="nil"/>
              <w:bottom w:val="nil"/>
              <w:right w:val="nil"/>
            </w:tcBorders>
            <w:shd w:val="clear" w:color="auto" w:fill="auto"/>
            <w:vAlign w:val="center"/>
            <w:hideMark/>
          </w:tcPr>
          <w:p w14:paraId="77F806A2"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Net</w:t>
            </w:r>
          </w:p>
        </w:tc>
        <w:tc>
          <w:tcPr>
            <w:tcW w:w="845" w:type="dxa"/>
            <w:tcBorders>
              <w:top w:val="nil"/>
              <w:left w:val="nil"/>
              <w:bottom w:val="nil"/>
              <w:right w:val="nil"/>
            </w:tcBorders>
            <w:vAlign w:val="center"/>
          </w:tcPr>
          <w:p w14:paraId="01235D3B"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Gross</w:t>
            </w:r>
          </w:p>
        </w:tc>
        <w:tc>
          <w:tcPr>
            <w:tcW w:w="845" w:type="dxa"/>
            <w:tcBorders>
              <w:top w:val="nil"/>
              <w:left w:val="nil"/>
              <w:bottom w:val="nil"/>
              <w:right w:val="nil"/>
            </w:tcBorders>
            <w:vAlign w:val="center"/>
          </w:tcPr>
          <w:p w14:paraId="44BC54F5"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Net</w:t>
            </w:r>
          </w:p>
        </w:tc>
        <w:tc>
          <w:tcPr>
            <w:tcW w:w="844" w:type="dxa"/>
            <w:tcBorders>
              <w:top w:val="nil"/>
              <w:left w:val="nil"/>
              <w:bottom w:val="nil"/>
              <w:right w:val="nil"/>
            </w:tcBorders>
            <w:shd w:val="clear" w:color="auto" w:fill="auto"/>
            <w:vAlign w:val="center"/>
            <w:hideMark/>
          </w:tcPr>
          <w:p w14:paraId="08142183"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Gross</w:t>
            </w:r>
          </w:p>
        </w:tc>
        <w:tc>
          <w:tcPr>
            <w:tcW w:w="819" w:type="dxa"/>
            <w:tcBorders>
              <w:top w:val="nil"/>
              <w:left w:val="nil"/>
              <w:bottom w:val="nil"/>
              <w:right w:val="nil"/>
            </w:tcBorders>
            <w:shd w:val="clear" w:color="auto" w:fill="auto"/>
            <w:vAlign w:val="center"/>
            <w:hideMark/>
          </w:tcPr>
          <w:p w14:paraId="075649C1"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Net</w:t>
            </w:r>
          </w:p>
        </w:tc>
        <w:tc>
          <w:tcPr>
            <w:tcW w:w="814" w:type="dxa"/>
            <w:tcBorders>
              <w:top w:val="nil"/>
              <w:left w:val="nil"/>
              <w:bottom w:val="nil"/>
              <w:right w:val="nil"/>
            </w:tcBorders>
            <w:shd w:val="clear" w:color="auto" w:fill="auto"/>
            <w:vAlign w:val="center"/>
            <w:hideMark/>
          </w:tcPr>
          <w:p w14:paraId="14581635"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Gross</w:t>
            </w:r>
          </w:p>
        </w:tc>
        <w:tc>
          <w:tcPr>
            <w:tcW w:w="740" w:type="dxa"/>
            <w:tcBorders>
              <w:top w:val="nil"/>
              <w:left w:val="nil"/>
              <w:bottom w:val="nil"/>
              <w:right w:val="nil"/>
            </w:tcBorders>
            <w:shd w:val="clear" w:color="auto" w:fill="auto"/>
            <w:vAlign w:val="center"/>
            <w:hideMark/>
          </w:tcPr>
          <w:p w14:paraId="12589F5C"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Net</w:t>
            </w:r>
          </w:p>
        </w:tc>
        <w:tc>
          <w:tcPr>
            <w:tcW w:w="965" w:type="dxa"/>
            <w:tcBorders>
              <w:top w:val="nil"/>
              <w:left w:val="nil"/>
              <w:bottom w:val="nil"/>
              <w:right w:val="nil"/>
            </w:tcBorders>
            <w:shd w:val="clear" w:color="auto" w:fill="auto"/>
            <w:vAlign w:val="center"/>
            <w:hideMark/>
          </w:tcPr>
          <w:p w14:paraId="6CE6576C"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Gross</w:t>
            </w:r>
          </w:p>
        </w:tc>
        <w:tc>
          <w:tcPr>
            <w:tcW w:w="1134" w:type="dxa"/>
            <w:tcBorders>
              <w:top w:val="single" w:sz="8" w:space="0" w:color="auto"/>
              <w:left w:val="nil"/>
              <w:bottom w:val="nil"/>
              <w:right w:val="nil"/>
            </w:tcBorders>
            <w:shd w:val="clear" w:color="auto" w:fill="auto"/>
            <w:vAlign w:val="center"/>
            <w:hideMark/>
          </w:tcPr>
          <w:p w14:paraId="5BB4C39E" w14:textId="77777777" w:rsidR="00FF553B" w:rsidRPr="00FF553B" w:rsidRDefault="00FF553B" w:rsidP="00FF553B">
            <w:pPr>
              <w:jc w:val="center"/>
              <w:rPr>
                <w:b/>
                <w:bCs/>
                <w:color w:val="000000"/>
                <w:sz w:val="16"/>
                <w:szCs w:val="16"/>
                <w:lang w:val="es-AR" w:eastAsia="es-AR"/>
              </w:rPr>
            </w:pPr>
            <w:r w:rsidRPr="00FF553B">
              <w:rPr>
                <w:b/>
                <w:bCs/>
                <w:color w:val="000000"/>
                <w:sz w:val="16"/>
                <w:szCs w:val="16"/>
                <w:lang w:val="es-AR" w:eastAsia="es-AR"/>
              </w:rPr>
              <w:t>Net</w:t>
            </w:r>
          </w:p>
        </w:tc>
      </w:tr>
      <w:tr w:rsidR="00FF553B" w:rsidRPr="00D97578" w14:paraId="379A4DCE" w14:textId="77777777" w:rsidTr="00FF553B">
        <w:trPr>
          <w:trHeight w:val="300"/>
        </w:trPr>
        <w:tc>
          <w:tcPr>
            <w:tcW w:w="2480" w:type="dxa"/>
            <w:tcBorders>
              <w:top w:val="nil"/>
              <w:left w:val="nil"/>
              <w:bottom w:val="nil"/>
              <w:right w:val="nil"/>
            </w:tcBorders>
            <w:shd w:val="clear" w:color="auto" w:fill="auto"/>
            <w:vAlign w:val="center"/>
            <w:hideMark/>
          </w:tcPr>
          <w:p w14:paraId="56C48AC3" w14:textId="77777777" w:rsidR="00FF553B" w:rsidRPr="00FF553B" w:rsidRDefault="00FF553B" w:rsidP="00FF553B">
            <w:pPr>
              <w:rPr>
                <w:color w:val="000000"/>
                <w:sz w:val="16"/>
                <w:szCs w:val="16"/>
                <w:lang w:val="es-AR" w:eastAsia="es-AR"/>
              </w:rPr>
            </w:pPr>
            <w:r w:rsidRPr="00FF553B">
              <w:rPr>
                <w:color w:val="000000"/>
                <w:sz w:val="16"/>
                <w:szCs w:val="16"/>
                <w:lang w:val="es-AR" w:eastAsia="es-AR"/>
              </w:rPr>
              <w:t>Proved:</w:t>
            </w:r>
          </w:p>
        </w:tc>
        <w:tc>
          <w:tcPr>
            <w:tcW w:w="883" w:type="dxa"/>
            <w:tcBorders>
              <w:top w:val="nil"/>
              <w:left w:val="nil"/>
              <w:bottom w:val="nil"/>
              <w:right w:val="nil"/>
            </w:tcBorders>
            <w:shd w:val="clear" w:color="auto" w:fill="auto"/>
            <w:vAlign w:val="center"/>
            <w:hideMark/>
          </w:tcPr>
          <w:p w14:paraId="4D0C2D56" w14:textId="77777777" w:rsidR="00FF553B" w:rsidRPr="00FF553B" w:rsidRDefault="00FF553B" w:rsidP="00FF553B">
            <w:pPr>
              <w:rPr>
                <w:color w:val="000000"/>
                <w:sz w:val="16"/>
                <w:szCs w:val="16"/>
                <w:lang w:val="es-AR" w:eastAsia="es-AR"/>
              </w:rPr>
            </w:pPr>
          </w:p>
        </w:tc>
        <w:tc>
          <w:tcPr>
            <w:tcW w:w="905" w:type="dxa"/>
            <w:tcBorders>
              <w:top w:val="nil"/>
              <w:left w:val="nil"/>
              <w:bottom w:val="nil"/>
              <w:right w:val="nil"/>
            </w:tcBorders>
            <w:shd w:val="clear" w:color="auto" w:fill="auto"/>
            <w:vAlign w:val="center"/>
            <w:hideMark/>
          </w:tcPr>
          <w:p w14:paraId="6734158E" w14:textId="77777777" w:rsidR="00FF553B" w:rsidRPr="00FF553B" w:rsidRDefault="00FF553B" w:rsidP="00FF553B">
            <w:pPr>
              <w:jc w:val="both"/>
              <w:rPr>
                <w:sz w:val="16"/>
                <w:szCs w:val="16"/>
                <w:lang w:val="es-AR" w:eastAsia="es-AR"/>
              </w:rPr>
            </w:pPr>
          </w:p>
        </w:tc>
        <w:tc>
          <w:tcPr>
            <w:tcW w:w="845" w:type="dxa"/>
            <w:tcBorders>
              <w:top w:val="nil"/>
              <w:left w:val="nil"/>
              <w:bottom w:val="nil"/>
              <w:right w:val="nil"/>
            </w:tcBorders>
          </w:tcPr>
          <w:p w14:paraId="542BD635" w14:textId="77777777" w:rsidR="00FF553B" w:rsidRPr="00FF553B" w:rsidRDefault="00FF553B" w:rsidP="00FF553B">
            <w:pPr>
              <w:jc w:val="both"/>
              <w:rPr>
                <w:sz w:val="16"/>
                <w:szCs w:val="16"/>
                <w:lang w:val="es-AR" w:eastAsia="es-AR"/>
              </w:rPr>
            </w:pPr>
          </w:p>
        </w:tc>
        <w:tc>
          <w:tcPr>
            <w:tcW w:w="845" w:type="dxa"/>
            <w:tcBorders>
              <w:top w:val="nil"/>
              <w:left w:val="nil"/>
              <w:bottom w:val="nil"/>
              <w:right w:val="nil"/>
            </w:tcBorders>
          </w:tcPr>
          <w:p w14:paraId="30C57F21" w14:textId="77777777" w:rsidR="00FF553B" w:rsidRPr="00FF553B" w:rsidRDefault="00FF553B" w:rsidP="00FF553B">
            <w:pPr>
              <w:jc w:val="both"/>
              <w:rPr>
                <w:sz w:val="16"/>
                <w:szCs w:val="16"/>
                <w:lang w:val="es-AR" w:eastAsia="es-AR"/>
              </w:rPr>
            </w:pPr>
          </w:p>
        </w:tc>
        <w:tc>
          <w:tcPr>
            <w:tcW w:w="844" w:type="dxa"/>
            <w:tcBorders>
              <w:top w:val="nil"/>
              <w:left w:val="nil"/>
              <w:bottom w:val="nil"/>
              <w:right w:val="nil"/>
            </w:tcBorders>
            <w:shd w:val="clear" w:color="auto" w:fill="auto"/>
            <w:vAlign w:val="center"/>
            <w:hideMark/>
          </w:tcPr>
          <w:p w14:paraId="23AAE098" w14:textId="77777777" w:rsidR="00FF553B" w:rsidRPr="00FF553B" w:rsidRDefault="00FF553B" w:rsidP="00FF553B">
            <w:pPr>
              <w:jc w:val="both"/>
              <w:rPr>
                <w:sz w:val="16"/>
                <w:szCs w:val="16"/>
                <w:lang w:val="es-AR" w:eastAsia="es-AR"/>
              </w:rPr>
            </w:pPr>
          </w:p>
        </w:tc>
        <w:tc>
          <w:tcPr>
            <w:tcW w:w="819" w:type="dxa"/>
            <w:tcBorders>
              <w:top w:val="nil"/>
              <w:left w:val="nil"/>
              <w:bottom w:val="nil"/>
              <w:right w:val="nil"/>
            </w:tcBorders>
            <w:shd w:val="clear" w:color="auto" w:fill="auto"/>
            <w:vAlign w:val="center"/>
            <w:hideMark/>
          </w:tcPr>
          <w:p w14:paraId="6D76E542" w14:textId="77777777" w:rsidR="00FF553B" w:rsidRPr="00FF553B" w:rsidRDefault="00FF553B" w:rsidP="00FF553B">
            <w:pPr>
              <w:jc w:val="both"/>
              <w:rPr>
                <w:sz w:val="16"/>
                <w:szCs w:val="16"/>
                <w:lang w:val="es-AR" w:eastAsia="es-AR"/>
              </w:rPr>
            </w:pPr>
          </w:p>
        </w:tc>
        <w:tc>
          <w:tcPr>
            <w:tcW w:w="814" w:type="dxa"/>
            <w:tcBorders>
              <w:top w:val="nil"/>
              <w:left w:val="nil"/>
              <w:bottom w:val="nil"/>
              <w:right w:val="nil"/>
            </w:tcBorders>
            <w:shd w:val="clear" w:color="auto" w:fill="auto"/>
            <w:vAlign w:val="center"/>
            <w:hideMark/>
          </w:tcPr>
          <w:p w14:paraId="0545FE1B" w14:textId="77777777" w:rsidR="00FF553B" w:rsidRPr="00FF553B" w:rsidRDefault="00FF553B" w:rsidP="00FF553B">
            <w:pPr>
              <w:jc w:val="both"/>
              <w:rPr>
                <w:sz w:val="16"/>
                <w:szCs w:val="16"/>
                <w:lang w:val="es-AR" w:eastAsia="es-AR"/>
              </w:rPr>
            </w:pPr>
          </w:p>
        </w:tc>
        <w:tc>
          <w:tcPr>
            <w:tcW w:w="740" w:type="dxa"/>
            <w:tcBorders>
              <w:top w:val="nil"/>
              <w:left w:val="nil"/>
              <w:bottom w:val="nil"/>
              <w:right w:val="nil"/>
            </w:tcBorders>
            <w:shd w:val="clear" w:color="auto" w:fill="auto"/>
            <w:vAlign w:val="center"/>
            <w:hideMark/>
          </w:tcPr>
          <w:p w14:paraId="6931FF4A" w14:textId="77777777" w:rsidR="00FF553B" w:rsidRPr="00FF553B" w:rsidRDefault="00FF553B" w:rsidP="00FF553B">
            <w:pPr>
              <w:jc w:val="both"/>
              <w:rPr>
                <w:sz w:val="16"/>
                <w:szCs w:val="16"/>
                <w:lang w:val="es-AR" w:eastAsia="es-AR"/>
              </w:rPr>
            </w:pPr>
          </w:p>
        </w:tc>
        <w:tc>
          <w:tcPr>
            <w:tcW w:w="965" w:type="dxa"/>
            <w:tcBorders>
              <w:top w:val="nil"/>
              <w:left w:val="nil"/>
              <w:bottom w:val="nil"/>
              <w:right w:val="nil"/>
            </w:tcBorders>
            <w:shd w:val="clear" w:color="auto" w:fill="auto"/>
            <w:noWrap/>
            <w:vAlign w:val="bottom"/>
            <w:hideMark/>
          </w:tcPr>
          <w:p w14:paraId="3E1B9D8A" w14:textId="77777777" w:rsidR="00FF553B" w:rsidRPr="00FF553B" w:rsidRDefault="00FF553B" w:rsidP="00FF553B">
            <w:pPr>
              <w:jc w:val="both"/>
              <w:rPr>
                <w:sz w:val="16"/>
                <w:szCs w:val="16"/>
                <w:lang w:val="es-AR" w:eastAsia="es-AR"/>
              </w:rPr>
            </w:pPr>
          </w:p>
        </w:tc>
        <w:tc>
          <w:tcPr>
            <w:tcW w:w="1134" w:type="dxa"/>
            <w:tcBorders>
              <w:top w:val="nil"/>
              <w:left w:val="nil"/>
              <w:bottom w:val="nil"/>
              <w:right w:val="nil"/>
            </w:tcBorders>
            <w:shd w:val="clear" w:color="auto" w:fill="auto"/>
            <w:noWrap/>
            <w:vAlign w:val="bottom"/>
            <w:hideMark/>
          </w:tcPr>
          <w:p w14:paraId="447780F0" w14:textId="77777777" w:rsidR="00FF553B" w:rsidRPr="00FF553B" w:rsidRDefault="00FF553B" w:rsidP="00FF553B">
            <w:pPr>
              <w:rPr>
                <w:sz w:val="16"/>
                <w:szCs w:val="16"/>
                <w:lang w:val="es-AR" w:eastAsia="es-AR"/>
              </w:rPr>
            </w:pPr>
          </w:p>
        </w:tc>
      </w:tr>
      <w:tr w:rsidR="00FF553B" w:rsidRPr="00D97578" w14:paraId="6E109E58" w14:textId="77777777" w:rsidTr="00FF553B">
        <w:trPr>
          <w:trHeight w:val="300"/>
        </w:trPr>
        <w:tc>
          <w:tcPr>
            <w:tcW w:w="2480" w:type="dxa"/>
            <w:tcBorders>
              <w:top w:val="nil"/>
              <w:left w:val="nil"/>
              <w:bottom w:val="nil"/>
              <w:right w:val="nil"/>
            </w:tcBorders>
            <w:shd w:val="clear" w:color="auto" w:fill="auto"/>
            <w:vAlign w:val="center"/>
            <w:hideMark/>
          </w:tcPr>
          <w:p w14:paraId="35A7B0C7" w14:textId="77777777" w:rsidR="00FF553B" w:rsidRPr="00FF553B" w:rsidRDefault="00FF553B" w:rsidP="00FF553B">
            <w:pPr>
              <w:rPr>
                <w:b/>
                <w:color w:val="000000"/>
                <w:sz w:val="16"/>
                <w:szCs w:val="16"/>
                <w:lang w:val="es-AR" w:eastAsia="es-AR"/>
              </w:rPr>
            </w:pPr>
            <w:r w:rsidRPr="00FF553B">
              <w:rPr>
                <w:color w:val="000000"/>
                <w:sz w:val="16"/>
                <w:szCs w:val="16"/>
                <w:lang w:val="es-AR" w:eastAsia="es-AR"/>
              </w:rPr>
              <w:t xml:space="preserve"> </w:t>
            </w:r>
            <w:r w:rsidRPr="00FF553B">
              <w:rPr>
                <w:b/>
                <w:color w:val="000000"/>
                <w:sz w:val="16"/>
                <w:szCs w:val="16"/>
                <w:lang w:val="es-AR" w:eastAsia="es-AR"/>
              </w:rPr>
              <w:t xml:space="preserve"> Developed Producing</w:t>
            </w:r>
          </w:p>
        </w:tc>
        <w:tc>
          <w:tcPr>
            <w:tcW w:w="883" w:type="dxa"/>
            <w:tcBorders>
              <w:top w:val="nil"/>
              <w:left w:val="nil"/>
              <w:bottom w:val="nil"/>
              <w:right w:val="nil"/>
            </w:tcBorders>
            <w:shd w:val="clear" w:color="auto" w:fill="auto"/>
            <w:vAlign w:val="center"/>
            <w:hideMark/>
          </w:tcPr>
          <w:p w14:paraId="7D358D11" w14:textId="77777777" w:rsidR="00FF553B" w:rsidRPr="00FF553B" w:rsidRDefault="00FF553B" w:rsidP="00FF553B">
            <w:pPr>
              <w:jc w:val="center"/>
              <w:rPr>
                <w:b/>
                <w:bCs/>
                <w:sz w:val="16"/>
                <w:szCs w:val="16"/>
              </w:rPr>
            </w:pPr>
            <w:r w:rsidRPr="00FF553B">
              <w:rPr>
                <w:b/>
                <w:bCs/>
                <w:sz w:val="16"/>
                <w:szCs w:val="16"/>
              </w:rPr>
              <w:t>5,298</w:t>
            </w:r>
          </w:p>
        </w:tc>
        <w:tc>
          <w:tcPr>
            <w:tcW w:w="905" w:type="dxa"/>
            <w:tcBorders>
              <w:top w:val="nil"/>
              <w:left w:val="nil"/>
              <w:bottom w:val="nil"/>
              <w:right w:val="nil"/>
            </w:tcBorders>
            <w:shd w:val="clear" w:color="auto" w:fill="auto"/>
            <w:vAlign w:val="center"/>
            <w:hideMark/>
          </w:tcPr>
          <w:p w14:paraId="0A71D006" w14:textId="77777777" w:rsidR="00FF553B" w:rsidRPr="00FF553B" w:rsidRDefault="00FF553B" w:rsidP="00FF553B">
            <w:pPr>
              <w:jc w:val="center"/>
              <w:rPr>
                <w:b/>
                <w:bCs/>
                <w:sz w:val="16"/>
                <w:szCs w:val="16"/>
              </w:rPr>
            </w:pPr>
            <w:r w:rsidRPr="00FF553B">
              <w:rPr>
                <w:b/>
                <w:bCs/>
                <w:sz w:val="16"/>
                <w:szCs w:val="16"/>
              </w:rPr>
              <w:t>4,548</w:t>
            </w:r>
          </w:p>
        </w:tc>
        <w:tc>
          <w:tcPr>
            <w:tcW w:w="845" w:type="dxa"/>
            <w:tcBorders>
              <w:top w:val="nil"/>
              <w:left w:val="nil"/>
              <w:bottom w:val="nil"/>
              <w:right w:val="nil"/>
            </w:tcBorders>
            <w:vAlign w:val="center"/>
          </w:tcPr>
          <w:p w14:paraId="4B46199F" w14:textId="77777777" w:rsidR="00FF553B" w:rsidRPr="00FF553B" w:rsidRDefault="00FF553B" w:rsidP="00FF553B">
            <w:pPr>
              <w:jc w:val="center"/>
              <w:rPr>
                <w:b/>
                <w:bCs/>
                <w:sz w:val="16"/>
                <w:szCs w:val="16"/>
              </w:rPr>
            </w:pPr>
            <w:r w:rsidRPr="00FF553B">
              <w:rPr>
                <w:b/>
                <w:bCs/>
                <w:sz w:val="16"/>
                <w:szCs w:val="16"/>
              </w:rPr>
              <w:t>7,908</w:t>
            </w:r>
          </w:p>
        </w:tc>
        <w:tc>
          <w:tcPr>
            <w:tcW w:w="845" w:type="dxa"/>
            <w:tcBorders>
              <w:top w:val="nil"/>
              <w:left w:val="nil"/>
              <w:bottom w:val="nil"/>
              <w:right w:val="nil"/>
            </w:tcBorders>
            <w:vAlign w:val="center"/>
          </w:tcPr>
          <w:p w14:paraId="5B51BF61" w14:textId="77777777" w:rsidR="00FF553B" w:rsidRPr="00FF553B" w:rsidRDefault="00FF553B" w:rsidP="00FF553B">
            <w:pPr>
              <w:jc w:val="center"/>
              <w:rPr>
                <w:b/>
                <w:bCs/>
                <w:sz w:val="16"/>
                <w:szCs w:val="16"/>
              </w:rPr>
            </w:pPr>
            <w:r w:rsidRPr="00FF553B">
              <w:rPr>
                <w:b/>
                <w:bCs/>
                <w:sz w:val="16"/>
                <w:szCs w:val="16"/>
              </w:rPr>
              <w:t>6,804</w:t>
            </w:r>
          </w:p>
        </w:tc>
        <w:tc>
          <w:tcPr>
            <w:tcW w:w="844" w:type="dxa"/>
            <w:tcBorders>
              <w:top w:val="nil"/>
              <w:left w:val="nil"/>
              <w:bottom w:val="nil"/>
              <w:right w:val="nil"/>
            </w:tcBorders>
            <w:shd w:val="clear" w:color="auto" w:fill="auto"/>
            <w:vAlign w:val="center"/>
            <w:hideMark/>
          </w:tcPr>
          <w:p w14:paraId="6A27C52D" w14:textId="77777777" w:rsidR="00FF553B" w:rsidRPr="00FF553B" w:rsidRDefault="00FF553B" w:rsidP="00FF553B">
            <w:pPr>
              <w:jc w:val="center"/>
              <w:rPr>
                <w:b/>
                <w:bCs/>
                <w:sz w:val="16"/>
                <w:szCs w:val="16"/>
              </w:rPr>
            </w:pPr>
            <w:r w:rsidRPr="00FF553B">
              <w:rPr>
                <w:b/>
                <w:bCs/>
                <w:sz w:val="16"/>
                <w:szCs w:val="16"/>
              </w:rPr>
              <w:t>2,186</w:t>
            </w:r>
          </w:p>
        </w:tc>
        <w:tc>
          <w:tcPr>
            <w:tcW w:w="819" w:type="dxa"/>
            <w:tcBorders>
              <w:top w:val="nil"/>
              <w:left w:val="nil"/>
              <w:bottom w:val="nil"/>
              <w:right w:val="nil"/>
            </w:tcBorders>
            <w:shd w:val="clear" w:color="auto" w:fill="auto"/>
            <w:vAlign w:val="center"/>
            <w:hideMark/>
          </w:tcPr>
          <w:p w14:paraId="12C4407E" w14:textId="77777777" w:rsidR="00FF553B" w:rsidRPr="00FF553B" w:rsidRDefault="00FF553B" w:rsidP="00FF553B">
            <w:pPr>
              <w:jc w:val="center"/>
              <w:rPr>
                <w:b/>
                <w:bCs/>
                <w:sz w:val="16"/>
                <w:szCs w:val="16"/>
              </w:rPr>
            </w:pPr>
            <w:r w:rsidRPr="00FF553B">
              <w:rPr>
                <w:b/>
                <w:bCs/>
                <w:sz w:val="16"/>
                <w:szCs w:val="16"/>
              </w:rPr>
              <w:t>1,891</w:t>
            </w:r>
          </w:p>
        </w:tc>
        <w:tc>
          <w:tcPr>
            <w:tcW w:w="814" w:type="dxa"/>
            <w:tcBorders>
              <w:top w:val="nil"/>
              <w:left w:val="nil"/>
              <w:bottom w:val="nil"/>
              <w:right w:val="nil"/>
            </w:tcBorders>
            <w:shd w:val="clear" w:color="auto" w:fill="auto"/>
            <w:vAlign w:val="center"/>
            <w:hideMark/>
          </w:tcPr>
          <w:p w14:paraId="0DEADFE4" w14:textId="77777777" w:rsidR="00FF553B" w:rsidRPr="00FF553B" w:rsidRDefault="00FF553B" w:rsidP="00FF553B">
            <w:pPr>
              <w:jc w:val="center"/>
              <w:rPr>
                <w:b/>
                <w:bCs/>
                <w:sz w:val="16"/>
                <w:szCs w:val="16"/>
              </w:rPr>
            </w:pPr>
            <w:r w:rsidRPr="00FF553B">
              <w:rPr>
                <w:b/>
                <w:bCs/>
                <w:sz w:val="16"/>
                <w:szCs w:val="16"/>
              </w:rPr>
              <w:t>22</w:t>
            </w:r>
          </w:p>
        </w:tc>
        <w:tc>
          <w:tcPr>
            <w:tcW w:w="740" w:type="dxa"/>
            <w:tcBorders>
              <w:top w:val="nil"/>
              <w:left w:val="nil"/>
              <w:bottom w:val="nil"/>
              <w:right w:val="nil"/>
            </w:tcBorders>
            <w:shd w:val="clear" w:color="auto" w:fill="auto"/>
            <w:vAlign w:val="center"/>
            <w:hideMark/>
          </w:tcPr>
          <w:p w14:paraId="069BF790" w14:textId="77777777" w:rsidR="00FF553B" w:rsidRPr="00FF553B" w:rsidRDefault="00FF553B" w:rsidP="00FF553B">
            <w:pPr>
              <w:jc w:val="center"/>
              <w:rPr>
                <w:b/>
                <w:bCs/>
                <w:sz w:val="16"/>
                <w:szCs w:val="16"/>
              </w:rPr>
            </w:pPr>
            <w:r w:rsidRPr="00FF553B">
              <w:rPr>
                <w:b/>
                <w:bCs/>
                <w:sz w:val="16"/>
                <w:szCs w:val="16"/>
              </w:rPr>
              <w:t>19</w:t>
            </w:r>
          </w:p>
        </w:tc>
        <w:tc>
          <w:tcPr>
            <w:tcW w:w="965" w:type="dxa"/>
            <w:tcBorders>
              <w:top w:val="nil"/>
              <w:left w:val="nil"/>
              <w:bottom w:val="nil"/>
              <w:right w:val="nil"/>
            </w:tcBorders>
            <w:shd w:val="clear" w:color="auto" w:fill="auto"/>
            <w:noWrap/>
            <w:vAlign w:val="center"/>
            <w:hideMark/>
          </w:tcPr>
          <w:p w14:paraId="2874F89A" w14:textId="77777777" w:rsidR="00FF553B" w:rsidRPr="00FF553B" w:rsidRDefault="00FF553B" w:rsidP="00FF553B">
            <w:pPr>
              <w:jc w:val="center"/>
              <w:rPr>
                <w:b/>
                <w:bCs/>
                <w:sz w:val="16"/>
                <w:szCs w:val="16"/>
              </w:rPr>
            </w:pPr>
            <w:r w:rsidRPr="00FF553B">
              <w:rPr>
                <w:b/>
                <w:bCs/>
                <w:sz w:val="16"/>
                <w:szCs w:val="16"/>
              </w:rPr>
              <w:t>13,592</w:t>
            </w:r>
          </w:p>
        </w:tc>
        <w:tc>
          <w:tcPr>
            <w:tcW w:w="1134" w:type="dxa"/>
            <w:tcBorders>
              <w:top w:val="nil"/>
              <w:left w:val="nil"/>
              <w:bottom w:val="nil"/>
              <w:right w:val="nil"/>
            </w:tcBorders>
            <w:shd w:val="clear" w:color="auto" w:fill="auto"/>
            <w:noWrap/>
            <w:vAlign w:val="center"/>
            <w:hideMark/>
          </w:tcPr>
          <w:p w14:paraId="2A71E2A5" w14:textId="77777777" w:rsidR="00FF553B" w:rsidRPr="00FF553B" w:rsidRDefault="00FF553B" w:rsidP="00FF553B">
            <w:pPr>
              <w:jc w:val="center"/>
              <w:rPr>
                <w:b/>
                <w:bCs/>
                <w:sz w:val="16"/>
                <w:szCs w:val="16"/>
              </w:rPr>
            </w:pPr>
            <w:r w:rsidRPr="00FF553B">
              <w:rPr>
                <w:b/>
                <w:bCs/>
                <w:sz w:val="16"/>
                <w:szCs w:val="16"/>
              </w:rPr>
              <w:t>11,686</w:t>
            </w:r>
          </w:p>
        </w:tc>
      </w:tr>
      <w:tr w:rsidR="00FF553B" w:rsidRPr="00D97578" w14:paraId="7AD7FF8F" w14:textId="77777777" w:rsidTr="00FF553B">
        <w:trPr>
          <w:trHeight w:val="300"/>
        </w:trPr>
        <w:tc>
          <w:tcPr>
            <w:tcW w:w="2480" w:type="dxa"/>
            <w:tcBorders>
              <w:top w:val="nil"/>
              <w:left w:val="nil"/>
              <w:bottom w:val="nil"/>
              <w:right w:val="nil"/>
            </w:tcBorders>
            <w:shd w:val="clear" w:color="auto" w:fill="auto"/>
            <w:vAlign w:val="center"/>
            <w:hideMark/>
          </w:tcPr>
          <w:p w14:paraId="0E977DF9" w14:textId="77777777" w:rsidR="00FF553B" w:rsidRPr="00FF553B" w:rsidRDefault="00FF553B" w:rsidP="00FF553B">
            <w:pPr>
              <w:rPr>
                <w:color w:val="000000"/>
                <w:sz w:val="16"/>
                <w:szCs w:val="16"/>
                <w:lang w:val="es-AR" w:eastAsia="es-AR"/>
              </w:rPr>
            </w:pPr>
            <w:r w:rsidRPr="00FF553B">
              <w:rPr>
                <w:color w:val="000000"/>
                <w:sz w:val="16"/>
                <w:szCs w:val="16"/>
                <w:lang w:val="es-AR" w:eastAsia="es-AR"/>
              </w:rPr>
              <w:t xml:space="preserve">  Developed Non-Producing</w:t>
            </w:r>
          </w:p>
        </w:tc>
        <w:tc>
          <w:tcPr>
            <w:tcW w:w="883" w:type="dxa"/>
            <w:tcBorders>
              <w:top w:val="nil"/>
              <w:left w:val="nil"/>
              <w:bottom w:val="nil"/>
              <w:right w:val="nil"/>
            </w:tcBorders>
            <w:shd w:val="clear" w:color="auto" w:fill="auto"/>
            <w:vAlign w:val="center"/>
            <w:hideMark/>
          </w:tcPr>
          <w:p w14:paraId="64C8716D" w14:textId="77777777" w:rsidR="00FF553B" w:rsidRPr="00FF553B" w:rsidRDefault="00FF553B" w:rsidP="00FF553B">
            <w:pPr>
              <w:jc w:val="center"/>
              <w:rPr>
                <w:sz w:val="16"/>
                <w:szCs w:val="16"/>
              </w:rPr>
            </w:pPr>
            <w:r w:rsidRPr="00FF553B">
              <w:rPr>
                <w:sz w:val="16"/>
                <w:szCs w:val="16"/>
              </w:rPr>
              <w:t>3,475</w:t>
            </w:r>
          </w:p>
        </w:tc>
        <w:tc>
          <w:tcPr>
            <w:tcW w:w="905" w:type="dxa"/>
            <w:tcBorders>
              <w:top w:val="nil"/>
              <w:left w:val="nil"/>
              <w:bottom w:val="nil"/>
              <w:right w:val="nil"/>
            </w:tcBorders>
            <w:shd w:val="clear" w:color="auto" w:fill="auto"/>
            <w:vAlign w:val="center"/>
            <w:hideMark/>
          </w:tcPr>
          <w:p w14:paraId="78B456BC" w14:textId="77777777" w:rsidR="00FF553B" w:rsidRPr="00FF553B" w:rsidRDefault="00FF553B" w:rsidP="00FF553B">
            <w:pPr>
              <w:jc w:val="center"/>
              <w:rPr>
                <w:sz w:val="16"/>
                <w:szCs w:val="16"/>
              </w:rPr>
            </w:pPr>
            <w:r w:rsidRPr="00FF553B">
              <w:rPr>
                <w:sz w:val="16"/>
                <w:szCs w:val="16"/>
              </w:rPr>
              <w:t>2,995</w:t>
            </w:r>
          </w:p>
        </w:tc>
        <w:tc>
          <w:tcPr>
            <w:tcW w:w="845" w:type="dxa"/>
            <w:tcBorders>
              <w:top w:val="nil"/>
              <w:left w:val="nil"/>
              <w:bottom w:val="nil"/>
              <w:right w:val="nil"/>
            </w:tcBorders>
            <w:vAlign w:val="center"/>
          </w:tcPr>
          <w:p w14:paraId="397058F7" w14:textId="77777777" w:rsidR="00FF553B" w:rsidRPr="00FF553B" w:rsidRDefault="00FF553B" w:rsidP="00FF553B">
            <w:pPr>
              <w:jc w:val="center"/>
              <w:rPr>
                <w:sz w:val="16"/>
                <w:szCs w:val="16"/>
              </w:rPr>
            </w:pPr>
            <w:r w:rsidRPr="00FF553B">
              <w:rPr>
                <w:sz w:val="16"/>
                <w:szCs w:val="16"/>
              </w:rPr>
              <w:t>1,890</w:t>
            </w:r>
          </w:p>
        </w:tc>
        <w:tc>
          <w:tcPr>
            <w:tcW w:w="845" w:type="dxa"/>
            <w:tcBorders>
              <w:top w:val="nil"/>
              <w:left w:val="nil"/>
              <w:bottom w:val="nil"/>
              <w:right w:val="nil"/>
            </w:tcBorders>
            <w:vAlign w:val="center"/>
          </w:tcPr>
          <w:p w14:paraId="2611E083" w14:textId="77777777" w:rsidR="00FF553B" w:rsidRPr="00FF553B" w:rsidRDefault="00FF553B" w:rsidP="00FF553B">
            <w:pPr>
              <w:jc w:val="center"/>
              <w:rPr>
                <w:sz w:val="16"/>
                <w:szCs w:val="16"/>
              </w:rPr>
            </w:pPr>
            <w:r w:rsidRPr="00FF553B">
              <w:rPr>
                <w:sz w:val="16"/>
                <w:szCs w:val="16"/>
              </w:rPr>
              <w:t>1,626</w:t>
            </w:r>
          </w:p>
        </w:tc>
        <w:tc>
          <w:tcPr>
            <w:tcW w:w="844" w:type="dxa"/>
            <w:tcBorders>
              <w:top w:val="nil"/>
              <w:left w:val="nil"/>
              <w:bottom w:val="nil"/>
              <w:right w:val="nil"/>
            </w:tcBorders>
            <w:shd w:val="clear" w:color="auto" w:fill="auto"/>
            <w:vAlign w:val="center"/>
            <w:hideMark/>
          </w:tcPr>
          <w:p w14:paraId="16DEC0D5" w14:textId="77777777" w:rsidR="00FF553B" w:rsidRPr="00FF553B" w:rsidRDefault="00FF553B" w:rsidP="00FF553B">
            <w:pPr>
              <w:jc w:val="center"/>
              <w:rPr>
                <w:sz w:val="16"/>
                <w:szCs w:val="16"/>
              </w:rPr>
            </w:pPr>
            <w:r w:rsidRPr="00FF553B">
              <w:rPr>
                <w:sz w:val="16"/>
                <w:szCs w:val="16"/>
              </w:rPr>
              <w:t>-</w:t>
            </w:r>
          </w:p>
        </w:tc>
        <w:tc>
          <w:tcPr>
            <w:tcW w:w="819" w:type="dxa"/>
            <w:tcBorders>
              <w:top w:val="nil"/>
              <w:left w:val="nil"/>
              <w:bottom w:val="nil"/>
              <w:right w:val="nil"/>
            </w:tcBorders>
            <w:shd w:val="clear" w:color="auto" w:fill="auto"/>
            <w:vAlign w:val="center"/>
            <w:hideMark/>
          </w:tcPr>
          <w:p w14:paraId="7A986A8A" w14:textId="77777777" w:rsidR="00FF553B" w:rsidRPr="00FF553B" w:rsidRDefault="00FF553B" w:rsidP="00FF553B">
            <w:pPr>
              <w:jc w:val="center"/>
              <w:rPr>
                <w:sz w:val="16"/>
                <w:szCs w:val="16"/>
              </w:rPr>
            </w:pPr>
            <w:r w:rsidRPr="00FF553B">
              <w:rPr>
                <w:sz w:val="16"/>
                <w:szCs w:val="16"/>
              </w:rPr>
              <w:t>-</w:t>
            </w:r>
          </w:p>
        </w:tc>
        <w:tc>
          <w:tcPr>
            <w:tcW w:w="814" w:type="dxa"/>
            <w:tcBorders>
              <w:top w:val="nil"/>
              <w:left w:val="nil"/>
              <w:bottom w:val="nil"/>
              <w:right w:val="nil"/>
            </w:tcBorders>
            <w:shd w:val="clear" w:color="auto" w:fill="auto"/>
            <w:vAlign w:val="center"/>
            <w:hideMark/>
          </w:tcPr>
          <w:p w14:paraId="443C350E" w14:textId="77777777" w:rsidR="00FF553B" w:rsidRPr="00FF553B" w:rsidRDefault="00FF553B" w:rsidP="00FF553B">
            <w:pPr>
              <w:jc w:val="center"/>
              <w:rPr>
                <w:sz w:val="16"/>
                <w:szCs w:val="16"/>
              </w:rPr>
            </w:pPr>
            <w:r w:rsidRPr="00FF553B">
              <w:rPr>
                <w:sz w:val="16"/>
                <w:szCs w:val="16"/>
              </w:rPr>
              <w:t>-</w:t>
            </w:r>
          </w:p>
        </w:tc>
        <w:tc>
          <w:tcPr>
            <w:tcW w:w="740" w:type="dxa"/>
            <w:tcBorders>
              <w:top w:val="nil"/>
              <w:left w:val="nil"/>
              <w:bottom w:val="nil"/>
              <w:right w:val="nil"/>
            </w:tcBorders>
            <w:shd w:val="clear" w:color="auto" w:fill="auto"/>
            <w:vAlign w:val="center"/>
            <w:hideMark/>
          </w:tcPr>
          <w:p w14:paraId="54CC3CEA" w14:textId="77777777" w:rsidR="00FF553B" w:rsidRPr="00FF553B" w:rsidRDefault="00FF553B" w:rsidP="00FF553B">
            <w:pPr>
              <w:jc w:val="center"/>
              <w:rPr>
                <w:sz w:val="16"/>
                <w:szCs w:val="16"/>
              </w:rPr>
            </w:pPr>
            <w:r w:rsidRPr="00FF553B">
              <w:rPr>
                <w:sz w:val="16"/>
                <w:szCs w:val="16"/>
              </w:rPr>
              <w:t>-</w:t>
            </w:r>
          </w:p>
        </w:tc>
        <w:tc>
          <w:tcPr>
            <w:tcW w:w="965" w:type="dxa"/>
            <w:tcBorders>
              <w:top w:val="nil"/>
              <w:left w:val="nil"/>
              <w:bottom w:val="nil"/>
              <w:right w:val="nil"/>
            </w:tcBorders>
            <w:shd w:val="clear" w:color="auto" w:fill="auto"/>
            <w:noWrap/>
            <w:vAlign w:val="center"/>
            <w:hideMark/>
          </w:tcPr>
          <w:p w14:paraId="3A49CD40" w14:textId="77777777" w:rsidR="00FF553B" w:rsidRPr="00FF553B" w:rsidRDefault="00FF553B" w:rsidP="00FF553B">
            <w:pPr>
              <w:jc w:val="center"/>
              <w:rPr>
                <w:sz w:val="16"/>
                <w:szCs w:val="16"/>
              </w:rPr>
            </w:pPr>
            <w:r w:rsidRPr="00FF553B">
              <w:rPr>
                <w:sz w:val="16"/>
                <w:szCs w:val="16"/>
              </w:rPr>
              <w:t>5,365</w:t>
            </w:r>
          </w:p>
        </w:tc>
        <w:tc>
          <w:tcPr>
            <w:tcW w:w="1134" w:type="dxa"/>
            <w:tcBorders>
              <w:top w:val="nil"/>
              <w:left w:val="nil"/>
              <w:bottom w:val="nil"/>
              <w:right w:val="nil"/>
            </w:tcBorders>
            <w:shd w:val="clear" w:color="auto" w:fill="auto"/>
            <w:noWrap/>
            <w:vAlign w:val="center"/>
            <w:hideMark/>
          </w:tcPr>
          <w:p w14:paraId="3C53EDD6" w14:textId="77777777" w:rsidR="00FF553B" w:rsidRPr="00FF553B" w:rsidRDefault="00FF553B" w:rsidP="00FF553B">
            <w:pPr>
              <w:jc w:val="center"/>
              <w:rPr>
                <w:sz w:val="16"/>
                <w:szCs w:val="16"/>
              </w:rPr>
            </w:pPr>
            <w:r w:rsidRPr="00FF553B">
              <w:rPr>
                <w:sz w:val="16"/>
                <w:szCs w:val="16"/>
              </w:rPr>
              <w:t>4,621</w:t>
            </w:r>
          </w:p>
        </w:tc>
      </w:tr>
      <w:tr w:rsidR="00FF553B" w:rsidRPr="00D97578" w14:paraId="4822D9CF" w14:textId="77777777" w:rsidTr="00FF553B">
        <w:trPr>
          <w:trHeight w:val="300"/>
        </w:trPr>
        <w:tc>
          <w:tcPr>
            <w:tcW w:w="2480" w:type="dxa"/>
            <w:tcBorders>
              <w:top w:val="nil"/>
              <w:left w:val="nil"/>
              <w:bottom w:val="nil"/>
              <w:right w:val="nil"/>
            </w:tcBorders>
            <w:shd w:val="clear" w:color="auto" w:fill="auto"/>
            <w:vAlign w:val="center"/>
            <w:hideMark/>
          </w:tcPr>
          <w:p w14:paraId="4B740277" w14:textId="77777777" w:rsidR="00FF553B" w:rsidRPr="00FF553B" w:rsidRDefault="00FF553B" w:rsidP="00FF553B">
            <w:pPr>
              <w:rPr>
                <w:color w:val="000000"/>
                <w:sz w:val="16"/>
                <w:szCs w:val="16"/>
                <w:lang w:val="es-AR" w:eastAsia="es-AR"/>
              </w:rPr>
            </w:pPr>
            <w:r w:rsidRPr="00FF553B">
              <w:rPr>
                <w:color w:val="000000"/>
                <w:sz w:val="16"/>
                <w:szCs w:val="16"/>
                <w:lang w:val="es-AR" w:eastAsia="es-AR"/>
              </w:rPr>
              <w:t xml:space="preserve">  Undeveloped</w:t>
            </w:r>
          </w:p>
        </w:tc>
        <w:tc>
          <w:tcPr>
            <w:tcW w:w="883" w:type="dxa"/>
            <w:tcBorders>
              <w:top w:val="nil"/>
              <w:left w:val="nil"/>
              <w:bottom w:val="nil"/>
              <w:right w:val="nil"/>
            </w:tcBorders>
            <w:shd w:val="clear" w:color="auto" w:fill="auto"/>
            <w:vAlign w:val="center"/>
            <w:hideMark/>
          </w:tcPr>
          <w:p w14:paraId="3C8F7043" w14:textId="77777777" w:rsidR="00FF553B" w:rsidRPr="00FF553B" w:rsidRDefault="00FF553B" w:rsidP="00FF553B">
            <w:pPr>
              <w:jc w:val="center"/>
              <w:rPr>
                <w:sz w:val="16"/>
                <w:szCs w:val="16"/>
              </w:rPr>
            </w:pPr>
            <w:r w:rsidRPr="00FF553B">
              <w:rPr>
                <w:sz w:val="16"/>
                <w:szCs w:val="16"/>
              </w:rPr>
              <w:t>4,553</w:t>
            </w:r>
          </w:p>
        </w:tc>
        <w:tc>
          <w:tcPr>
            <w:tcW w:w="905" w:type="dxa"/>
            <w:tcBorders>
              <w:top w:val="nil"/>
              <w:left w:val="nil"/>
              <w:bottom w:val="nil"/>
              <w:right w:val="nil"/>
            </w:tcBorders>
            <w:shd w:val="clear" w:color="auto" w:fill="auto"/>
            <w:vAlign w:val="center"/>
            <w:hideMark/>
          </w:tcPr>
          <w:p w14:paraId="65D29CCB" w14:textId="77777777" w:rsidR="00FF553B" w:rsidRPr="00FF553B" w:rsidRDefault="00FF553B" w:rsidP="00FF553B">
            <w:pPr>
              <w:jc w:val="center"/>
              <w:rPr>
                <w:sz w:val="16"/>
                <w:szCs w:val="16"/>
              </w:rPr>
            </w:pPr>
            <w:r w:rsidRPr="00FF553B">
              <w:rPr>
                <w:sz w:val="16"/>
                <w:szCs w:val="16"/>
              </w:rPr>
              <w:t>3,911</w:t>
            </w:r>
          </w:p>
        </w:tc>
        <w:tc>
          <w:tcPr>
            <w:tcW w:w="845" w:type="dxa"/>
            <w:tcBorders>
              <w:top w:val="nil"/>
              <w:left w:val="nil"/>
              <w:bottom w:val="nil"/>
              <w:right w:val="nil"/>
            </w:tcBorders>
            <w:vAlign w:val="center"/>
          </w:tcPr>
          <w:p w14:paraId="5BD60B82" w14:textId="77777777" w:rsidR="00FF553B" w:rsidRPr="00FF553B" w:rsidRDefault="00FF553B" w:rsidP="00FF553B">
            <w:pPr>
              <w:jc w:val="center"/>
              <w:rPr>
                <w:sz w:val="16"/>
                <w:szCs w:val="16"/>
              </w:rPr>
            </w:pPr>
            <w:r w:rsidRPr="00FF553B">
              <w:rPr>
                <w:sz w:val="16"/>
                <w:szCs w:val="16"/>
              </w:rPr>
              <w:t>1,110</w:t>
            </w:r>
          </w:p>
        </w:tc>
        <w:tc>
          <w:tcPr>
            <w:tcW w:w="845" w:type="dxa"/>
            <w:tcBorders>
              <w:top w:val="nil"/>
              <w:left w:val="nil"/>
              <w:bottom w:val="nil"/>
              <w:right w:val="nil"/>
            </w:tcBorders>
            <w:vAlign w:val="center"/>
          </w:tcPr>
          <w:p w14:paraId="3D846C6B" w14:textId="77777777" w:rsidR="00FF553B" w:rsidRPr="00FF553B" w:rsidRDefault="00FF553B" w:rsidP="00FF553B">
            <w:pPr>
              <w:jc w:val="center"/>
              <w:rPr>
                <w:sz w:val="16"/>
                <w:szCs w:val="16"/>
              </w:rPr>
            </w:pPr>
            <w:r w:rsidRPr="00FF553B">
              <w:rPr>
                <w:sz w:val="16"/>
                <w:szCs w:val="16"/>
              </w:rPr>
              <w:t>955</w:t>
            </w:r>
          </w:p>
        </w:tc>
        <w:tc>
          <w:tcPr>
            <w:tcW w:w="844" w:type="dxa"/>
            <w:tcBorders>
              <w:top w:val="nil"/>
              <w:left w:val="nil"/>
              <w:bottom w:val="nil"/>
              <w:right w:val="nil"/>
            </w:tcBorders>
            <w:shd w:val="clear" w:color="auto" w:fill="auto"/>
            <w:vAlign w:val="center"/>
            <w:hideMark/>
          </w:tcPr>
          <w:p w14:paraId="1C4017D2" w14:textId="77777777" w:rsidR="00FF553B" w:rsidRPr="00FF553B" w:rsidRDefault="00FF553B" w:rsidP="00FF553B">
            <w:pPr>
              <w:jc w:val="center"/>
              <w:rPr>
                <w:sz w:val="16"/>
                <w:szCs w:val="16"/>
              </w:rPr>
            </w:pPr>
            <w:r w:rsidRPr="00FF553B">
              <w:rPr>
                <w:sz w:val="16"/>
                <w:szCs w:val="16"/>
              </w:rPr>
              <w:t>-</w:t>
            </w:r>
          </w:p>
        </w:tc>
        <w:tc>
          <w:tcPr>
            <w:tcW w:w="819" w:type="dxa"/>
            <w:tcBorders>
              <w:top w:val="nil"/>
              <w:left w:val="nil"/>
              <w:bottom w:val="nil"/>
              <w:right w:val="nil"/>
            </w:tcBorders>
            <w:shd w:val="clear" w:color="auto" w:fill="auto"/>
            <w:vAlign w:val="center"/>
            <w:hideMark/>
          </w:tcPr>
          <w:p w14:paraId="61DE89AF" w14:textId="77777777" w:rsidR="00FF553B" w:rsidRPr="00FF553B" w:rsidRDefault="00FF553B" w:rsidP="00FF553B">
            <w:pPr>
              <w:jc w:val="center"/>
              <w:rPr>
                <w:sz w:val="16"/>
                <w:szCs w:val="16"/>
              </w:rPr>
            </w:pPr>
            <w:r w:rsidRPr="00FF553B">
              <w:rPr>
                <w:sz w:val="16"/>
                <w:szCs w:val="16"/>
              </w:rPr>
              <w:t>-</w:t>
            </w:r>
          </w:p>
        </w:tc>
        <w:tc>
          <w:tcPr>
            <w:tcW w:w="814" w:type="dxa"/>
            <w:tcBorders>
              <w:top w:val="nil"/>
              <w:left w:val="nil"/>
              <w:bottom w:val="nil"/>
              <w:right w:val="nil"/>
            </w:tcBorders>
            <w:shd w:val="clear" w:color="auto" w:fill="auto"/>
            <w:vAlign w:val="center"/>
            <w:hideMark/>
          </w:tcPr>
          <w:p w14:paraId="3154F9D5" w14:textId="77777777" w:rsidR="00FF553B" w:rsidRPr="00FF553B" w:rsidRDefault="00FF553B" w:rsidP="00FF553B">
            <w:pPr>
              <w:jc w:val="center"/>
              <w:rPr>
                <w:sz w:val="16"/>
                <w:szCs w:val="16"/>
              </w:rPr>
            </w:pPr>
            <w:r w:rsidRPr="00FF553B">
              <w:rPr>
                <w:sz w:val="16"/>
                <w:szCs w:val="16"/>
              </w:rPr>
              <w:t>-</w:t>
            </w:r>
          </w:p>
        </w:tc>
        <w:tc>
          <w:tcPr>
            <w:tcW w:w="740" w:type="dxa"/>
            <w:tcBorders>
              <w:top w:val="nil"/>
              <w:left w:val="nil"/>
              <w:bottom w:val="nil"/>
              <w:right w:val="nil"/>
            </w:tcBorders>
            <w:shd w:val="clear" w:color="auto" w:fill="auto"/>
            <w:vAlign w:val="center"/>
            <w:hideMark/>
          </w:tcPr>
          <w:p w14:paraId="24013281" w14:textId="77777777" w:rsidR="00FF553B" w:rsidRPr="00FF553B" w:rsidRDefault="00FF553B" w:rsidP="00FF553B">
            <w:pPr>
              <w:jc w:val="center"/>
              <w:rPr>
                <w:sz w:val="16"/>
                <w:szCs w:val="16"/>
              </w:rPr>
            </w:pPr>
            <w:r w:rsidRPr="00FF553B">
              <w:rPr>
                <w:sz w:val="16"/>
                <w:szCs w:val="16"/>
              </w:rPr>
              <w:t>-</w:t>
            </w:r>
          </w:p>
        </w:tc>
        <w:tc>
          <w:tcPr>
            <w:tcW w:w="965" w:type="dxa"/>
            <w:tcBorders>
              <w:top w:val="nil"/>
              <w:left w:val="nil"/>
              <w:bottom w:val="nil"/>
              <w:right w:val="nil"/>
            </w:tcBorders>
            <w:shd w:val="clear" w:color="auto" w:fill="auto"/>
            <w:noWrap/>
            <w:vAlign w:val="center"/>
            <w:hideMark/>
          </w:tcPr>
          <w:p w14:paraId="5CFB3556" w14:textId="77777777" w:rsidR="00FF553B" w:rsidRPr="00FF553B" w:rsidRDefault="00FF553B" w:rsidP="00FF553B">
            <w:pPr>
              <w:jc w:val="center"/>
              <w:rPr>
                <w:sz w:val="16"/>
                <w:szCs w:val="16"/>
              </w:rPr>
            </w:pPr>
            <w:r w:rsidRPr="00FF553B">
              <w:rPr>
                <w:sz w:val="16"/>
                <w:szCs w:val="16"/>
              </w:rPr>
              <w:t>5,663</w:t>
            </w:r>
          </w:p>
        </w:tc>
        <w:tc>
          <w:tcPr>
            <w:tcW w:w="1134" w:type="dxa"/>
            <w:tcBorders>
              <w:top w:val="nil"/>
              <w:left w:val="nil"/>
              <w:bottom w:val="nil"/>
              <w:right w:val="nil"/>
            </w:tcBorders>
            <w:shd w:val="clear" w:color="auto" w:fill="auto"/>
            <w:noWrap/>
            <w:vAlign w:val="center"/>
            <w:hideMark/>
          </w:tcPr>
          <w:p w14:paraId="2C3A001B" w14:textId="77777777" w:rsidR="00FF553B" w:rsidRPr="00FF553B" w:rsidRDefault="00FF553B" w:rsidP="00FF553B">
            <w:pPr>
              <w:jc w:val="center"/>
              <w:rPr>
                <w:sz w:val="16"/>
                <w:szCs w:val="16"/>
              </w:rPr>
            </w:pPr>
            <w:r w:rsidRPr="00FF553B">
              <w:rPr>
                <w:sz w:val="16"/>
                <w:szCs w:val="16"/>
              </w:rPr>
              <w:t>4,866</w:t>
            </w:r>
          </w:p>
        </w:tc>
      </w:tr>
      <w:tr w:rsidR="00FF553B" w:rsidRPr="00D97578" w14:paraId="1D2BB871" w14:textId="77777777" w:rsidTr="00FF553B">
        <w:trPr>
          <w:trHeight w:val="300"/>
        </w:trPr>
        <w:tc>
          <w:tcPr>
            <w:tcW w:w="2480" w:type="dxa"/>
            <w:tcBorders>
              <w:top w:val="nil"/>
              <w:left w:val="nil"/>
              <w:bottom w:val="nil"/>
              <w:right w:val="nil"/>
            </w:tcBorders>
            <w:shd w:val="clear" w:color="auto" w:fill="auto"/>
            <w:vAlign w:val="center"/>
            <w:hideMark/>
          </w:tcPr>
          <w:p w14:paraId="7C0AB768" w14:textId="77777777" w:rsidR="00FF553B" w:rsidRPr="00FF553B" w:rsidRDefault="00FF553B" w:rsidP="00FF553B">
            <w:pPr>
              <w:rPr>
                <w:b/>
                <w:color w:val="000000"/>
                <w:sz w:val="16"/>
                <w:szCs w:val="16"/>
                <w:lang w:val="es-AR" w:eastAsia="es-AR"/>
              </w:rPr>
            </w:pPr>
            <w:r w:rsidRPr="00FF553B">
              <w:rPr>
                <w:b/>
                <w:color w:val="000000"/>
                <w:sz w:val="16"/>
                <w:szCs w:val="16"/>
                <w:lang w:val="es-AR" w:eastAsia="es-AR"/>
              </w:rPr>
              <w:t>Total Proved</w:t>
            </w:r>
          </w:p>
        </w:tc>
        <w:tc>
          <w:tcPr>
            <w:tcW w:w="883" w:type="dxa"/>
            <w:tcBorders>
              <w:top w:val="single" w:sz="4" w:space="0" w:color="auto"/>
              <w:left w:val="nil"/>
              <w:bottom w:val="nil"/>
              <w:right w:val="nil"/>
            </w:tcBorders>
            <w:shd w:val="clear" w:color="auto" w:fill="auto"/>
            <w:vAlign w:val="center"/>
            <w:hideMark/>
          </w:tcPr>
          <w:p w14:paraId="422B0F7C" w14:textId="77777777" w:rsidR="00FF553B" w:rsidRPr="00FF553B" w:rsidRDefault="00FF553B" w:rsidP="00FF553B">
            <w:pPr>
              <w:jc w:val="center"/>
              <w:rPr>
                <w:b/>
                <w:bCs/>
                <w:sz w:val="16"/>
                <w:szCs w:val="16"/>
              </w:rPr>
            </w:pPr>
            <w:r w:rsidRPr="00FF553B">
              <w:rPr>
                <w:b/>
                <w:bCs/>
                <w:sz w:val="16"/>
                <w:szCs w:val="16"/>
              </w:rPr>
              <w:t>13,326</w:t>
            </w:r>
          </w:p>
        </w:tc>
        <w:tc>
          <w:tcPr>
            <w:tcW w:w="905" w:type="dxa"/>
            <w:tcBorders>
              <w:top w:val="single" w:sz="4" w:space="0" w:color="auto"/>
              <w:left w:val="nil"/>
              <w:bottom w:val="nil"/>
              <w:right w:val="nil"/>
            </w:tcBorders>
            <w:shd w:val="clear" w:color="auto" w:fill="auto"/>
            <w:vAlign w:val="center"/>
            <w:hideMark/>
          </w:tcPr>
          <w:p w14:paraId="08FDE7E2" w14:textId="77777777" w:rsidR="00FF553B" w:rsidRPr="00FF553B" w:rsidRDefault="00FF553B" w:rsidP="00FF553B">
            <w:pPr>
              <w:jc w:val="center"/>
              <w:rPr>
                <w:b/>
                <w:bCs/>
                <w:sz w:val="16"/>
                <w:szCs w:val="16"/>
              </w:rPr>
            </w:pPr>
            <w:r w:rsidRPr="00FF553B">
              <w:rPr>
                <w:b/>
                <w:bCs/>
                <w:sz w:val="16"/>
                <w:szCs w:val="16"/>
              </w:rPr>
              <w:t>11,454</w:t>
            </w:r>
          </w:p>
        </w:tc>
        <w:tc>
          <w:tcPr>
            <w:tcW w:w="845" w:type="dxa"/>
            <w:tcBorders>
              <w:top w:val="single" w:sz="4" w:space="0" w:color="auto"/>
              <w:left w:val="nil"/>
              <w:bottom w:val="nil"/>
              <w:right w:val="nil"/>
            </w:tcBorders>
            <w:vAlign w:val="center"/>
          </w:tcPr>
          <w:p w14:paraId="0FB588CB" w14:textId="77777777" w:rsidR="00FF553B" w:rsidRPr="00FF553B" w:rsidRDefault="00FF553B" w:rsidP="00FF553B">
            <w:pPr>
              <w:jc w:val="center"/>
              <w:rPr>
                <w:b/>
                <w:bCs/>
                <w:sz w:val="16"/>
                <w:szCs w:val="16"/>
              </w:rPr>
            </w:pPr>
            <w:r w:rsidRPr="00FF553B">
              <w:rPr>
                <w:b/>
                <w:bCs/>
                <w:sz w:val="16"/>
                <w:szCs w:val="16"/>
              </w:rPr>
              <w:t>10,908</w:t>
            </w:r>
          </w:p>
        </w:tc>
        <w:tc>
          <w:tcPr>
            <w:tcW w:w="845" w:type="dxa"/>
            <w:tcBorders>
              <w:top w:val="single" w:sz="4" w:space="0" w:color="auto"/>
              <w:left w:val="nil"/>
              <w:bottom w:val="nil"/>
              <w:right w:val="nil"/>
            </w:tcBorders>
            <w:vAlign w:val="center"/>
          </w:tcPr>
          <w:p w14:paraId="424D965C" w14:textId="77777777" w:rsidR="00FF553B" w:rsidRPr="00FF553B" w:rsidRDefault="00FF553B" w:rsidP="00FF553B">
            <w:pPr>
              <w:jc w:val="center"/>
              <w:rPr>
                <w:b/>
                <w:bCs/>
                <w:sz w:val="16"/>
                <w:szCs w:val="16"/>
              </w:rPr>
            </w:pPr>
            <w:r w:rsidRPr="00FF553B">
              <w:rPr>
                <w:b/>
                <w:bCs/>
                <w:sz w:val="16"/>
                <w:szCs w:val="16"/>
              </w:rPr>
              <w:t>9,385</w:t>
            </w:r>
          </w:p>
        </w:tc>
        <w:tc>
          <w:tcPr>
            <w:tcW w:w="844" w:type="dxa"/>
            <w:tcBorders>
              <w:top w:val="single" w:sz="4" w:space="0" w:color="auto"/>
              <w:left w:val="nil"/>
              <w:bottom w:val="nil"/>
              <w:right w:val="nil"/>
            </w:tcBorders>
            <w:shd w:val="clear" w:color="auto" w:fill="auto"/>
            <w:vAlign w:val="center"/>
            <w:hideMark/>
          </w:tcPr>
          <w:p w14:paraId="358E0D42" w14:textId="77777777" w:rsidR="00FF553B" w:rsidRPr="00FF553B" w:rsidRDefault="00FF553B" w:rsidP="00FF553B">
            <w:pPr>
              <w:jc w:val="center"/>
              <w:rPr>
                <w:b/>
                <w:bCs/>
                <w:sz w:val="16"/>
                <w:szCs w:val="16"/>
              </w:rPr>
            </w:pPr>
            <w:r w:rsidRPr="00FF553B">
              <w:rPr>
                <w:b/>
                <w:bCs/>
                <w:sz w:val="16"/>
                <w:szCs w:val="16"/>
              </w:rPr>
              <w:t>2,186</w:t>
            </w:r>
          </w:p>
        </w:tc>
        <w:tc>
          <w:tcPr>
            <w:tcW w:w="819" w:type="dxa"/>
            <w:tcBorders>
              <w:top w:val="single" w:sz="4" w:space="0" w:color="auto"/>
              <w:left w:val="nil"/>
              <w:bottom w:val="nil"/>
              <w:right w:val="nil"/>
            </w:tcBorders>
            <w:shd w:val="clear" w:color="auto" w:fill="auto"/>
            <w:vAlign w:val="center"/>
            <w:hideMark/>
          </w:tcPr>
          <w:p w14:paraId="259F5B8B" w14:textId="77777777" w:rsidR="00FF553B" w:rsidRPr="00FF553B" w:rsidRDefault="00FF553B" w:rsidP="00FF553B">
            <w:pPr>
              <w:jc w:val="center"/>
              <w:rPr>
                <w:b/>
                <w:bCs/>
                <w:sz w:val="16"/>
                <w:szCs w:val="16"/>
              </w:rPr>
            </w:pPr>
            <w:r w:rsidRPr="00FF553B">
              <w:rPr>
                <w:b/>
                <w:bCs/>
                <w:sz w:val="16"/>
                <w:szCs w:val="16"/>
              </w:rPr>
              <w:t>1,891</w:t>
            </w:r>
          </w:p>
        </w:tc>
        <w:tc>
          <w:tcPr>
            <w:tcW w:w="814" w:type="dxa"/>
            <w:tcBorders>
              <w:top w:val="single" w:sz="4" w:space="0" w:color="auto"/>
              <w:left w:val="nil"/>
              <w:bottom w:val="nil"/>
              <w:right w:val="nil"/>
            </w:tcBorders>
            <w:shd w:val="clear" w:color="auto" w:fill="auto"/>
            <w:vAlign w:val="center"/>
            <w:hideMark/>
          </w:tcPr>
          <w:p w14:paraId="6D87B0AB" w14:textId="77777777" w:rsidR="00FF553B" w:rsidRPr="00FF553B" w:rsidRDefault="00FF553B" w:rsidP="00FF553B">
            <w:pPr>
              <w:jc w:val="center"/>
              <w:rPr>
                <w:b/>
                <w:bCs/>
                <w:sz w:val="16"/>
                <w:szCs w:val="16"/>
              </w:rPr>
            </w:pPr>
            <w:r w:rsidRPr="00FF553B">
              <w:rPr>
                <w:b/>
                <w:bCs/>
                <w:sz w:val="16"/>
                <w:szCs w:val="16"/>
              </w:rPr>
              <w:t>22</w:t>
            </w:r>
          </w:p>
        </w:tc>
        <w:tc>
          <w:tcPr>
            <w:tcW w:w="740" w:type="dxa"/>
            <w:tcBorders>
              <w:top w:val="single" w:sz="4" w:space="0" w:color="auto"/>
              <w:left w:val="nil"/>
              <w:bottom w:val="nil"/>
              <w:right w:val="nil"/>
            </w:tcBorders>
            <w:shd w:val="clear" w:color="auto" w:fill="auto"/>
            <w:vAlign w:val="center"/>
            <w:hideMark/>
          </w:tcPr>
          <w:p w14:paraId="099193C6" w14:textId="77777777" w:rsidR="00FF553B" w:rsidRPr="00FF553B" w:rsidRDefault="00FF553B" w:rsidP="00FF553B">
            <w:pPr>
              <w:jc w:val="center"/>
              <w:rPr>
                <w:b/>
                <w:bCs/>
                <w:sz w:val="16"/>
                <w:szCs w:val="16"/>
              </w:rPr>
            </w:pPr>
            <w:r w:rsidRPr="00FF553B">
              <w:rPr>
                <w:b/>
                <w:bCs/>
                <w:sz w:val="16"/>
                <w:szCs w:val="16"/>
              </w:rPr>
              <w:t>19</w:t>
            </w:r>
          </w:p>
        </w:tc>
        <w:tc>
          <w:tcPr>
            <w:tcW w:w="965" w:type="dxa"/>
            <w:tcBorders>
              <w:top w:val="single" w:sz="4" w:space="0" w:color="auto"/>
              <w:left w:val="nil"/>
              <w:bottom w:val="nil"/>
              <w:right w:val="nil"/>
            </w:tcBorders>
            <w:shd w:val="clear" w:color="auto" w:fill="auto"/>
            <w:noWrap/>
            <w:vAlign w:val="center"/>
            <w:hideMark/>
          </w:tcPr>
          <w:p w14:paraId="30DECBF4" w14:textId="77777777" w:rsidR="00FF553B" w:rsidRPr="00FF553B" w:rsidRDefault="00FF553B" w:rsidP="00FF553B">
            <w:pPr>
              <w:jc w:val="center"/>
              <w:rPr>
                <w:b/>
                <w:bCs/>
                <w:sz w:val="16"/>
                <w:szCs w:val="16"/>
              </w:rPr>
            </w:pPr>
            <w:r w:rsidRPr="00FF553B">
              <w:rPr>
                <w:b/>
                <w:bCs/>
                <w:sz w:val="16"/>
                <w:szCs w:val="16"/>
              </w:rPr>
              <w:t>24,620</w:t>
            </w:r>
          </w:p>
        </w:tc>
        <w:tc>
          <w:tcPr>
            <w:tcW w:w="1134" w:type="dxa"/>
            <w:tcBorders>
              <w:top w:val="single" w:sz="4" w:space="0" w:color="auto"/>
              <w:left w:val="nil"/>
              <w:bottom w:val="nil"/>
              <w:right w:val="nil"/>
            </w:tcBorders>
            <w:shd w:val="clear" w:color="auto" w:fill="auto"/>
            <w:noWrap/>
            <w:vAlign w:val="center"/>
            <w:hideMark/>
          </w:tcPr>
          <w:p w14:paraId="6E430BE1" w14:textId="77777777" w:rsidR="00FF553B" w:rsidRPr="00FF553B" w:rsidRDefault="00FF553B" w:rsidP="00FF553B">
            <w:pPr>
              <w:jc w:val="center"/>
              <w:rPr>
                <w:b/>
                <w:bCs/>
                <w:sz w:val="16"/>
                <w:szCs w:val="16"/>
              </w:rPr>
            </w:pPr>
            <w:r w:rsidRPr="00FF553B">
              <w:rPr>
                <w:b/>
                <w:bCs/>
                <w:sz w:val="16"/>
                <w:szCs w:val="16"/>
              </w:rPr>
              <w:t>21,173</w:t>
            </w:r>
          </w:p>
        </w:tc>
      </w:tr>
      <w:tr w:rsidR="00FF553B" w:rsidRPr="00D97578" w14:paraId="604C7AB2" w14:textId="77777777" w:rsidTr="00FF553B">
        <w:trPr>
          <w:trHeight w:val="300"/>
        </w:trPr>
        <w:tc>
          <w:tcPr>
            <w:tcW w:w="2480" w:type="dxa"/>
            <w:tcBorders>
              <w:top w:val="nil"/>
              <w:left w:val="nil"/>
              <w:bottom w:val="nil"/>
              <w:right w:val="nil"/>
            </w:tcBorders>
            <w:shd w:val="clear" w:color="auto" w:fill="auto"/>
            <w:vAlign w:val="center"/>
            <w:hideMark/>
          </w:tcPr>
          <w:p w14:paraId="314F8AB6" w14:textId="77777777" w:rsidR="00FF553B" w:rsidRPr="00FF553B" w:rsidRDefault="00FF553B" w:rsidP="00FF553B">
            <w:pPr>
              <w:rPr>
                <w:color w:val="000000"/>
                <w:sz w:val="16"/>
                <w:szCs w:val="16"/>
                <w:lang w:val="es-AR" w:eastAsia="es-AR"/>
              </w:rPr>
            </w:pPr>
            <w:r w:rsidRPr="00FF553B">
              <w:rPr>
                <w:color w:val="000000"/>
                <w:sz w:val="16"/>
                <w:szCs w:val="16"/>
                <w:lang w:val="es-AR" w:eastAsia="es-AR"/>
              </w:rPr>
              <w:t>Total Probable</w:t>
            </w:r>
          </w:p>
        </w:tc>
        <w:tc>
          <w:tcPr>
            <w:tcW w:w="883" w:type="dxa"/>
            <w:tcBorders>
              <w:top w:val="nil"/>
              <w:left w:val="nil"/>
              <w:bottom w:val="nil"/>
              <w:right w:val="nil"/>
            </w:tcBorders>
            <w:shd w:val="clear" w:color="auto" w:fill="auto"/>
            <w:vAlign w:val="center"/>
            <w:hideMark/>
          </w:tcPr>
          <w:p w14:paraId="538942C8" w14:textId="77777777" w:rsidR="00FF553B" w:rsidRPr="00FF553B" w:rsidRDefault="00FF553B" w:rsidP="00FF553B">
            <w:pPr>
              <w:jc w:val="center"/>
              <w:rPr>
                <w:sz w:val="16"/>
                <w:szCs w:val="16"/>
              </w:rPr>
            </w:pPr>
            <w:r w:rsidRPr="00FF553B">
              <w:rPr>
                <w:sz w:val="16"/>
                <w:szCs w:val="16"/>
              </w:rPr>
              <w:t>13,926</w:t>
            </w:r>
          </w:p>
        </w:tc>
        <w:tc>
          <w:tcPr>
            <w:tcW w:w="905" w:type="dxa"/>
            <w:tcBorders>
              <w:top w:val="nil"/>
              <w:left w:val="nil"/>
              <w:bottom w:val="nil"/>
              <w:right w:val="nil"/>
            </w:tcBorders>
            <w:shd w:val="clear" w:color="auto" w:fill="auto"/>
            <w:vAlign w:val="center"/>
            <w:hideMark/>
          </w:tcPr>
          <w:p w14:paraId="53D3C441" w14:textId="77777777" w:rsidR="00FF553B" w:rsidRPr="00FF553B" w:rsidRDefault="00FF553B" w:rsidP="00FF553B">
            <w:pPr>
              <w:jc w:val="center"/>
              <w:rPr>
                <w:sz w:val="16"/>
                <w:szCs w:val="16"/>
              </w:rPr>
            </w:pPr>
            <w:r w:rsidRPr="00FF553B">
              <w:rPr>
                <w:sz w:val="16"/>
                <w:szCs w:val="16"/>
              </w:rPr>
              <w:t>11,956</w:t>
            </w:r>
          </w:p>
        </w:tc>
        <w:tc>
          <w:tcPr>
            <w:tcW w:w="845" w:type="dxa"/>
            <w:tcBorders>
              <w:top w:val="nil"/>
              <w:left w:val="nil"/>
              <w:bottom w:val="nil"/>
              <w:right w:val="nil"/>
            </w:tcBorders>
            <w:vAlign w:val="center"/>
          </w:tcPr>
          <w:p w14:paraId="7E1CC408" w14:textId="77777777" w:rsidR="00FF553B" w:rsidRPr="00FF553B" w:rsidRDefault="00FF553B" w:rsidP="00FF553B">
            <w:pPr>
              <w:jc w:val="center"/>
              <w:rPr>
                <w:sz w:val="16"/>
                <w:szCs w:val="16"/>
              </w:rPr>
            </w:pPr>
            <w:r w:rsidRPr="00FF553B">
              <w:rPr>
                <w:sz w:val="16"/>
                <w:szCs w:val="16"/>
              </w:rPr>
              <w:t>10,791</w:t>
            </w:r>
          </w:p>
        </w:tc>
        <w:tc>
          <w:tcPr>
            <w:tcW w:w="845" w:type="dxa"/>
            <w:tcBorders>
              <w:top w:val="nil"/>
              <w:left w:val="nil"/>
              <w:bottom w:val="nil"/>
              <w:right w:val="nil"/>
            </w:tcBorders>
            <w:vAlign w:val="center"/>
          </w:tcPr>
          <w:p w14:paraId="30995F9E" w14:textId="77777777" w:rsidR="00FF553B" w:rsidRPr="00FF553B" w:rsidRDefault="00FF553B" w:rsidP="00FF553B">
            <w:pPr>
              <w:jc w:val="center"/>
              <w:rPr>
                <w:sz w:val="16"/>
                <w:szCs w:val="16"/>
              </w:rPr>
            </w:pPr>
            <w:r w:rsidRPr="00FF553B">
              <w:rPr>
                <w:sz w:val="16"/>
                <w:szCs w:val="16"/>
              </w:rPr>
              <w:t>9,284</w:t>
            </w:r>
          </w:p>
        </w:tc>
        <w:tc>
          <w:tcPr>
            <w:tcW w:w="844" w:type="dxa"/>
            <w:tcBorders>
              <w:top w:val="nil"/>
              <w:left w:val="nil"/>
              <w:bottom w:val="nil"/>
              <w:right w:val="nil"/>
            </w:tcBorders>
            <w:shd w:val="clear" w:color="auto" w:fill="auto"/>
            <w:vAlign w:val="center"/>
            <w:hideMark/>
          </w:tcPr>
          <w:p w14:paraId="06F5FBDB" w14:textId="77777777" w:rsidR="00FF553B" w:rsidRPr="00FF553B" w:rsidRDefault="00FF553B" w:rsidP="00FF553B">
            <w:pPr>
              <w:jc w:val="center"/>
              <w:rPr>
                <w:sz w:val="16"/>
                <w:szCs w:val="16"/>
              </w:rPr>
            </w:pPr>
            <w:r w:rsidRPr="00FF553B">
              <w:rPr>
                <w:sz w:val="16"/>
                <w:szCs w:val="16"/>
              </w:rPr>
              <w:t>6,675</w:t>
            </w:r>
          </w:p>
        </w:tc>
        <w:tc>
          <w:tcPr>
            <w:tcW w:w="819" w:type="dxa"/>
            <w:tcBorders>
              <w:top w:val="nil"/>
              <w:left w:val="nil"/>
              <w:bottom w:val="nil"/>
              <w:right w:val="nil"/>
            </w:tcBorders>
            <w:shd w:val="clear" w:color="auto" w:fill="auto"/>
            <w:vAlign w:val="center"/>
            <w:hideMark/>
          </w:tcPr>
          <w:p w14:paraId="25CBB0AA" w14:textId="77777777" w:rsidR="00FF553B" w:rsidRPr="00FF553B" w:rsidRDefault="00FF553B" w:rsidP="00FF553B">
            <w:pPr>
              <w:jc w:val="center"/>
              <w:rPr>
                <w:sz w:val="16"/>
                <w:szCs w:val="16"/>
              </w:rPr>
            </w:pPr>
            <w:r w:rsidRPr="00FF553B">
              <w:rPr>
                <w:sz w:val="16"/>
                <w:szCs w:val="16"/>
              </w:rPr>
              <w:t>5,774</w:t>
            </w:r>
          </w:p>
        </w:tc>
        <w:tc>
          <w:tcPr>
            <w:tcW w:w="814" w:type="dxa"/>
            <w:tcBorders>
              <w:top w:val="nil"/>
              <w:left w:val="nil"/>
              <w:bottom w:val="nil"/>
              <w:right w:val="nil"/>
            </w:tcBorders>
            <w:shd w:val="clear" w:color="auto" w:fill="auto"/>
            <w:vAlign w:val="center"/>
            <w:hideMark/>
          </w:tcPr>
          <w:p w14:paraId="124534C4" w14:textId="77777777" w:rsidR="00FF553B" w:rsidRPr="00FF553B" w:rsidRDefault="00FF553B" w:rsidP="00FF553B">
            <w:pPr>
              <w:jc w:val="center"/>
              <w:rPr>
                <w:sz w:val="16"/>
                <w:szCs w:val="16"/>
              </w:rPr>
            </w:pPr>
            <w:r w:rsidRPr="00FF553B">
              <w:rPr>
                <w:sz w:val="16"/>
                <w:szCs w:val="16"/>
              </w:rPr>
              <w:t>69</w:t>
            </w:r>
          </w:p>
        </w:tc>
        <w:tc>
          <w:tcPr>
            <w:tcW w:w="740" w:type="dxa"/>
            <w:tcBorders>
              <w:top w:val="nil"/>
              <w:left w:val="nil"/>
              <w:bottom w:val="nil"/>
              <w:right w:val="nil"/>
            </w:tcBorders>
            <w:shd w:val="clear" w:color="auto" w:fill="auto"/>
            <w:vAlign w:val="center"/>
            <w:hideMark/>
          </w:tcPr>
          <w:p w14:paraId="0405EFDD" w14:textId="77777777" w:rsidR="00FF553B" w:rsidRPr="00FF553B" w:rsidRDefault="00FF553B" w:rsidP="00FF553B">
            <w:pPr>
              <w:jc w:val="center"/>
              <w:rPr>
                <w:sz w:val="16"/>
                <w:szCs w:val="16"/>
              </w:rPr>
            </w:pPr>
            <w:r w:rsidRPr="00FF553B">
              <w:rPr>
                <w:sz w:val="16"/>
                <w:szCs w:val="16"/>
              </w:rPr>
              <w:t>58</w:t>
            </w:r>
          </w:p>
        </w:tc>
        <w:tc>
          <w:tcPr>
            <w:tcW w:w="965" w:type="dxa"/>
            <w:tcBorders>
              <w:top w:val="nil"/>
              <w:left w:val="nil"/>
              <w:bottom w:val="nil"/>
              <w:right w:val="nil"/>
            </w:tcBorders>
            <w:shd w:val="clear" w:color="auto" w:fill="auto"/>
            <w:noWrap/>
            <w:vAlign w:val="center"/>
            <w:hideMark/>
          </w:tcPr>
          <w:p w14:paraId="72CFAEA6" w14:textId="77777777" w:rsidR="00FF553B" w:rsidRPr="00FF553B" w:rsidRDefault="00FF553B" w:rsidP="00FF553B">
            <w:pPr>
              <w:jc w:val="center"/>
              <w:rPr>
                <w:sz w:val="16"/>
                <w:szCs w:val="16"/>
              </w:rPr>
            </w:pPr>
            <w:r w:rsidRPr="00FF553B">
              <w:rPr>
                <w:sz w:val="16"/>
                <w:szCs w:val="16"/>
              </w:rPr>
              <w:t>25,899</w:t>
            </w:r>
          </w:p>
        </w:tc>
        <w:tc>
          <w:tcPr>
            <w:tcW w:w="1134" w:type="dxa"/>
            <w:tcBorders>
              <w:top w:val="nil"/>
              <w:left w:val="nil"/>
              <w:bottom w:val="nil"/>
              <w:right w:val="nil"/>
            </w:tcBorders>
            <w:shd w:val="clear" w:color="auto" w:fill="auto"/>
            <w:noWrap/>
            <w:vAlign w:val="center"/>
            <w:hideMark/>
          </w:tcPr>
          <w:p w14:paraId="246C0D71" w14:textId="77777777" w:rsidR="00FF553B" w:rsidRPr="00FF553B" w:rsidRDefault="00FF553B" w:rsidP="00FF553B">
            <w:pPr>
              <w:jc w:val="center"/>
              <w:rPr>
                <w:sz w:val="16"/>
                <w:szCs w:val="16"/>
              </w:rPr>
            </w:pPr>
            <w:r w:rsidRPr="00FF553B">
              <w:rPr>
                <w:sz w:val="16"/>
                <w:szCs w:val="16"/>
              </w:rPr>
              <w:t>22,260</w:t>
            </w:r>
          </w:p>
        </w:tc>
      </w:tr>
      <w:tr w:rsidR="00FF553B" w:rsidRPr="00D97578" w14:paraId="4DE805DF" w14:textId="77777777" w:rsidTr="00FF553B">
        <w:trPr>
          <w:trHeight w:val="300"/>
        </w:trPr>
        <w:tc>
          <w:tcPr>
            <w:tcW w:w="2480" w:type="dxa"/>
            <w:tcBorders>
              <w:top w:val="nil"/>
              <w:left w:val="nil"/>
              <w:bottom w:val="nil"/>
              <w:right w:val="nil"/>
            </w:tcBorders>
            <w:shd w:val="clear" w:color="auto" w:fill="auto"/>
            <w:vAlign w:val="center"/>
            <w:hideMark/>
          </w:tcPr>
          <w:p w14:paraId="710BE5EA" w14:textId="77777777" w:rsidR="00FF553B" w:rsidRPr="00FF553B" w:rsidRDefault="00FF553B" w:rsidP="00FF553B">
            <w:pPr>
              <w:rPr>
                <w:b/>
                <w:color w:val="000000"/>
                <w:sz w:val="16"/>
                <w:szCs w:val="16"/>
                <w:lang w:val="es-AR" w:eastAsia="es-AR"/>
              </w:rPr>
            </w:pPr>
            <w:r w:rsidRPr="00FF553B">
              <w:rPr>
                <w:b/>
                <w:color w:val="000000"/>
                <w:sz w:val="16"/>
                <w:szCs w:val="16"/>
                <w:lang w:val="es-AR" w:eastAsia="es-AR"/>
              </w:rPr>
              <w:t>Total Proved plus Probable</w:t>
            </w:r>
          </w:p>
        </w:tc>
        <w:tc>
          <w:tcPr>
            <w:tcW w:w="883" w:type="dxa"/>
            <w:tcBorders>
              <w:top w:val="single" w:sz="4" w:space="0" w:color="auto"/>
              <w:left w:val="nil"/>
              <w:bottom w:val="nil"/>
              <w:right w:val="nil"/>
            </w:tcBorders>
            <w:shd w:val="clear" w:color="auto" w:fill="auto"/>
            <w:vAlign w:val="center"/>
            <w:hideMark/>
          </w:tcPr>
          <w:p w14:paraId="70802762" w14:textId="77777777" w:rsidR="00FF553B" w:rsidRPr="00FF553B" w:rsidRDefault="00FF553B" w:rsidP="00FF553B">
            <w:pPr>
              <w:jc w:val="center"/>
              <w:rPr>
                <w:b/>
                <w:bCs/>
                <w:sz w:val="16"/>
                <w:szCs w:val="16"/>
              </w:rPr>
            </w:pPr>
            <w:r w:rsidRPr="00FF553B">
              <w:rPr>
                <w:b/>
                <w:bCs/>
                <w:sz w:val="16"/>
                <w:szCs w:val="16"/>
              </w:rPr>
              <w:t>27,252</w:t>
            </w:r>
          </w:p>
        </w:tc>
        <w:tc>
          <w:tcPr>
            <w:tcW w:w="905" w:type="dxa"/>
            <w:tcBorders>
              <w:top w:val="single" w:sz="4" w:space="0" w:color="auto"/>
              <w:left w:val="nil"/>
              <w:bottom w:val="nil"/>
              <w:right w:val="nil"/>
            </w:tcBorders>
            <w:shd w:val="clear" w:color="auto" w:fill="auto"/>
            <w:vAlign w:val="center"/>
            <w:hideMark/>
          </w:tcPr>
          <w:p w14:paraId="7F73D1A9" w14:textId="77777777" w:rsidR="00FF553B" w:rsidRPr="00FF553B" w:rsidRDefault="00FF553B" w:rsidP="00FF553B">
            <w:pPr>
              <w:jc w:val="center"/>
              <w:rPr>
                <w:b/>
                <w:bCs/>
                <w:sz w:val="16"/>
                <w:szCs w:val="16"/>
              </w:rPr>
            </w:pPr>
            <w:r w:rsidRPr="00FF553B">
              <w:rPr>
                <w:b/>
                <w:bCs/>
                <w:sz w:val="16"/>
                <w:szCs w:val="16"/>
              </w:rPr>
              <w:t>23,410</w:t>
            </w:r>
          </w:p>
        </w:tc>
        <w:tc>
          <w:tcPr>
            <w:tcW w:w="845" w:type="dxa"/>
            <w:tcBorders>
              <w:top w:val="single" w:sz="4" w:space="0" w:color="auto"/>
              <w:left w:val="nil"/>
              <w:bottom w:val="nil"/>
              <w:right w:val="nil"/>
            </w:tcBorders>
            <w:vAlign w:val="center"/>
          </w:tcPr>
          <w:p w14:paraId="193F325D" w14:textId="77777777" w:rsidR="00FF553B" w:rsidRPr="00FF553B" w:rsidRDefault="00FF553B" w:rsidP="00FF553B">
            <w:pPr>
              <w:jc w:val="center"/>
              <w:rPr>
                <w:b/>
                <w:bCs/>
                <w:sz w:val="16"/>
                <w:szCs w:val="16"/>
              </w:rPr>
            </w:pPr>
            <w:r w:rsidRPr="00FF553B">
              <w:rPr>
                <w:b/>
                <w:bCs/>
                <w:sz w:val="16"/>
                <w:szCs w:val="16"/>
              </w:rPr>
              <w:t>21,699</w:t>
            </w:r>
          </w:p>
        </w:tc>
        <w:tc>
          <w:tcPr>
            <w:tcW w:w="845" w:type="dxa"/>
            <w:tcBorders>
              <w:top w:val="single" w:sz="4" w:space="0" w:color="auto"/>
              <w:left w:val="nil"/>
              <w:bottom w:val="nil"/>
              <w:right w:val="nil"/>
            </w:tcBorders>
            <w:vAlign w:val="center"/>
          </w:tcPr>
          <w:p w14:paraId="287BD7E7" w14:textId="77777777" w:rsidR="00FF553B" w:rsidRPr="00FF553B" w:rsidRDefault="00FF553B" w:rsidP="00FF553B">
            <w:pPr>
              <w:jc w:val="center"/>
              <w:rPr>
                <w:b/>
                <w:bCs/>
                <w:sz w:val="16"/>
                <w:szCs w:val="16"/>
              </w:rPr>
            </w:pPr>
            <w:r w:rsidRPr="00FF553B">
              <w:rPr>
                <w:b/>
                <w:bCs/>
                <w:sz w:val="16"/>
                <w:szCs w:val="16"/>
              </w:rPr>
              <w:t>18,669</w:t>
            </w:r>
          </w:p>
        </w:tc>
        <w:tc>
          <w:tcPr>
            <w:tcW w:w="844" w:type="dxa"/>
            <w:tcBorders>
              <w:top w:val="single" w:sz="4" w:space="0" w:color="auto"/>
              <w:left w:val="nil"/>
              <w:bottom w:val="nil"/>
              <w:right w:val="nil"/>
            </w:tcBorders>
            <w:shd w:val="clear" w:color="auto" w:fill="auto"/>
            <w:vAlign w:val="center"/>
            <w:hideMark/>
          </w:tcPr>
          <w:p w14:paraId="321682A6" w14:textId="77777777" w:rsidR="00FF553B" w:rsidRPr="00FF553B" w:rsidRDefault="00FF553B" w:rsidP="00FF553B">
            <w:pPr>
              <w:jc w:val="center"/>
              <w:rPr>
                <w:b/>
                <w:bCs/>
                <w:sz w:val="16"/>
                <w:szCs w:val="16"/>
              </w:rPr>
            </w:pPr>
            <w:r w:rsidRPr="00FF553B">
              <w:rPr>
                <w:b/>
                <w:bCs/>
                <w:sz w:val="16"/>
                <w:szCs w:val="16"/>
              </w:rPr>
              <w:t>8,861</w:t>
            </w:r>
          </w:p>
        </w:tc>
        <w:tc>
          <w:tcPr>
            <w:tcW w:w="819" w:type="dxa"/>
            <w:tcBorders>
              <w:top w:val="single" w:sz="4" w:space="0" w:color="auto"/>
              <w:left w:val="nil"/>
              <w:bottom w:val="nil"/>
              <w:right w:val="nil"/>
            </w:tcBorders>
            <w:shd w:val="clear" w:color="auto" w:fill="auto"/>
            <w:vAlign w:val="center"/>
            <w:hideMark/>
          </w:tcPr>
          <w:p w14:paraId="249EE9F5" w14:textId="77777777" w:rsidR="00FF553B" w:rsidRPr="00FF553B" w:rsidRDefault="00FF553B" w:rsidP="00FF553B">
            <w:pPr>
              <w:jc w:val="center"/>
              <w:rPr>
                <w:b/>
                <w:bCs/>
                <w:sz w:val="16"/>
                <w:szCs w:val="16"/>
              </w:rPr>
            </w:pPr>
            <w:r w:rsidRPr="00FF553B">
              <w:rPr>
                <w:b/>
                <w:bCs/>
                <w:sz w:val="16"/>
                <w:szCs w:val="16"/>
              </w:rPr>
              <w:t>7,665</w:t>
            </w:r>
          </w:p>
        </w:tc>
        <w:tc>
          <w:tcPr>
            <w:tcW w:w="814" w:type="dxa"/>
            <w:tcBorders>
              <w:top w:val="single" w:sz="4" w:space="0" w:color="auto"/>
              <w:left w:val="nil"/>
              <w:bottom w:val="nil"/>
              <w:right w:val="nil"/>
            </w:tcBorders>
            <w:shd w:val="clear" w:color="auto" w:fill="auto"/>
            <w:vAlign w:val="center"/>
            <w:hideMark/>
          </w:tcPr>
          <w:p w14:paraId="7F8212B3" w14:textId="77777777" w:rsidR="00FF553B" w:rsidRPr="00FF553B" w:rsidRDefault="00FF553B" w:rsidP="00FF553B">
            <w:pPr>
              <w:jc w:val="center"/>
              <w:rPr>
                <w:b/>
                <w:bCs/>
                <w:sz w:val="16"/>
                <w:szCs w:val="16"/>
              </w:rPr>
            </w:pPr>
            <w:r w:rsidRPr="00FF553B">
              <w:rPr>
                <w:b/>
                <w:bCs/>
                <w:sz w:val="16"/>
                <w:szCs w:val="16"/>
              </w:rPr>
              <w:t>89</w:t>
            </w:r>
          </w:p>
        </w:tc>
        <w:tc>
          <w:tcPr>
            <w:tcW w:w="740" w:type="dxa"/>
            <w:tcBorders>
              <w:top w:val="single" w:sz="4" w:space="0" w:color="auto"/>
              <w:left w:val="nil"/>
              <w:bottom w:val="nil"/>
              <w:right w:val="nil"/>
            </w:tcBorders>
            <w:shd w:val="clear" w:color="auto" w:fill="auto"/>
            <w:vAlign w:val="center"/>
            <w:hideMark/>
          </w:tcPr>
          <w:p w14:paraId="3C144DCC" w14:textId="77777777" w:rsidR="00FF553B" w:rsidRPr="00FF553B" w:rsidRDefault="00FF553B" w:rsidP="00FF553B">
            <w:pPr>
              <w:jc w:val="center"/>
              <w:rPr>
                <w:b/>
                <w:bCs/>
                <w:sz w:val="16"/>
                <w:szCs w:val="16"/>
              </w:rPr>
            </w:pPr>
            <w:r w:rsidRPr="00FF553B">
              <w:rPr>
                <w:b/>
                <w:bCs/>
                <w:sz w:val="16"/>
                <w:szCs w:val="16"/>
              </w:rPr>
              <w:t>77</w:t>
            </w:r>
          </w:p>
        </w:tc>
        <w:tc>
          <w:tcPr>
            <w:tcW w:w="965" w:type="dxa"/>
            <w:tcBorders>
              <w:top w:val="single" w:sz="4" w:space="0" w:color="auto"/>
              <w:left w:val="nil"/>
              <w:bottom w:val="nil"/>
              <w:right w:val="nil"/>
            </w:tcBorders>
            <w:shd w:val="clear" w:color="auto" w:fill="auto"/>
            <w:noWrap/>
            <w:vAlign w:val="center"/>
            <w:hideMark/>
          </w:tcPr>
          <w:p w14:paraId="71F94CD2" w14:textId="77777777" w:rsidR="00FF553B" w:rsidRPr="00FF553B" w:rsidRDefault="00FF553B" w:rsidP="00FF553B">
            <w:pPr>
              <w:jc w:val="center"/>
              <w:rPr>
                <w:b/>
                <w:bCs/>
                <w:sz w:val="16"/>
                <w:szCs w:val="16"/>
              </w:rPr>
            </w:pPr>
            <w:r w:rsidRPr="00FF553B">
              <w:rPr>
                <w:b/>
                <w:bCs/>
                <w:sz w:val="16"/>
                <w:szCs w:val="16"/>
              </w:rPr>
              <w:t>50,517</w:t>
            </w:r>
          </w:p>
        </w:tc>
        <w:tc>
          <w:tcPr>
            <w:tcW w:w="1134" w:type="dxa"/>
            <w:tcBorders>
              <w:top w:val="single" w:sz="4" w:space="0" w:color="auto"/>
              <w:left w:val="nil"/>
              <w:bottom w:val="nil"/>
              <w:right w:val="nil"/>
            </w:tcBorders>
            <w:shd w:val="clear" w:color="auto" w:fill="auto"/>
            <w:noWrap/>
            <w:vAlign w:val="center"/>
            <w:hideMark/>
          </w:tcPr>
          <w:p w14:paraId="0404F999" w14:textId="77777777" w:rsidR="00FF553B" w:rsidRPr="00FF553B" w:rsidRDefault="00FF553B" w:rsidP="00FF553B">
            <w:pPr>
              <w:jc w:val="center"/>
              <w:rPr>
                <w:b/>
                <w:bCs/>
                <w:sz w:val="16"/>
                <w:szCs w:val="16"/>
              </w:rPr>
            </w:pPr>
            <w:r w:rsidRPr="00FF553B">
              <w:rPr>
                <w:b/>
                <w:bCs/>
                <w:sz w:val="16"/>
                <w:szCs w:val="16"/>
              </w:rPr>
              <w:t>43,434</w:t>
            </w:r>
          </w:p>
        </w:tc>
      </w:tr>
    </w:tbl>
    <w:p w14:paraId="57FD83E4" w14:textId="77777777" w:rsidR="001A6102" w:rsidRPr="00250B90" w:rsidRDefault="001A6102" w:rsidP="0092574E">
      <w:pPr>
        <w:tabs>
          <w:tab w:val="left" w:pos="1440"/>
        </w:tabs>
        <w:spacing w:before="120" w:line="240" w:lineRule="atLeast"/>
        <w:jc w:val="both"/>
        <w:rPr>
          <w:rFonts w:ascii="Times New Roman" w:hAnsi="Times New Roman"/>
          <w:szCs w:val="22"/>
          <w:lang w:val="en-CA"/>
        </w:rPr>
      </w:pPr>
    </w:p>
    <w:p w14:paraId="33B99BAB" w14:textId="77777777" w:rsidR="004E7D42" w:rsidRPr="002335EE" w:rsidRDefault="004E7D42" w:rsidP="00394A3E">
      <w:pPr>
        <w:tabs>
          <w:tab w:val="left" w:pos="1440"/>
        </w:tabs>
        <w:spacing w:before="120" w:line="240" w:lineRule="atLeast"/>
        <w:jc w:val="both"/>
        <w:rPr>
          <w:sz w:val="20"/>
          <w:szCs w:val="20"/>
        </w:rPr>
      </w:pPr>
      <w:r w:rsidRPr="00250B90">
        <w:rPr>
          <w:sz w:val="20"/>
          <w:szCs w:val="20"/>
        </w:rPr>
        <w:t>The following table discloses, in the aggregate, the net present value of the Company's future</w:t>
      </w:r>
      <w:r w:rsidRPr="002335EE">
        <w:rPr>
          <w:sz w:val="20"/>
          <w:szCs w:val="20"/>
        </w:rPr>
        <w:t xml:space="preserve"> net revenue attributable to the reserves categories in the table</w:t>
      </w:r>
      <w:r w:rsidR="00196F60" w:rsidRPr="002335EE">
        <w:rPr>
          <w:sz w:val="20"/>
          <w:szCs w:val="20"/>
        </w:rPr>
        <w:t xml:space="preserve"> above</w:t>
      </w:r>
      <w:r w:rsidRPr="002335EE">
        <w:rPr>
          <w:sz w:val="20"/>
          <w:szCs w:val="20"/>
        </w:rPr>
        <w:t>, estimated using forecast prices and costs, before deducting future income tax expenses, and calculated without discount and using discount rates of 5%, 10%, 15% and 20%.</w:t>
      </w:r>
    </w:p>
    <w:p w14:paraId="7295C0CA" w14:textId="32A0D02F" w:rsidR="004A2E5D" w:rsidRPr="002B4E83" w:rsidRDefault="004E7D42" w:rsidP="004A2E5D">
      <w:pPr>
        <w:pStyle w:val="BodyText"/>
        <w:keepNext/>
        <w:keepLines/>
        <w:spacing w:before="240" w:after="120"/>
        <w:ind w:left="1080"/>
        <w:jc w:val="center"/>
        <w:rPr>
          <w:rFonts w:ascii="Verdana" w:hAnsi="Verdana"/>
          <w:b/>
          <w:sz w:val="16"/>
          <w:szCs w:val="16"/>
        </w:rPr>
      </w:pPr>
      <w:r w:rsidRPr="002335EE">
        <w:rPr>
          <w:rFonts w:ascii="Verdana" w:hAnsi="Verdana"/>
          <w:b/>
          <w:sz w:val="16"/>
          <w:szCs w:val="16"/>
        </w:rPr>
        <w:lastRenderedPageBreak/>
        <w:t>SUMMARY OF NET PRESENT VALUE OF FUTURE NET REVENUE</w:t>
      </w:r>
      <w:r w:rsidRPr="002335EE">
        <w:rPr>
          <w:rFonts w:ascii="Verdana" w:hAnsi="Verdana"/>
          <w:b/>
          <w:sz w:val="16"/>
          <w:szCs w:val="16"/>
        </w:rPr>
        <w:br/>
        <w:t xml:space="preserve">AS OF DECEMBER 31, </w:t>
      </w:r>
      <w:r w:rsidR="002F1371" w:rsidRPr="002335EE">
        <w:rPr>
          <w:rFonts w:ascii="Verdana" w:hAnsi="Verdana"/>
          <w:b/>
          <w:sz w:val="16"/>
          <w:szCs w:val="16"/>
        </w:rPr>
        <w:t>202</w:t>
      </w:r>
      <w:r w:rsidR="005A1B50">
        <w:rPr>
          <w:rFonts w:ascii="Verdana" w:hAnsi="Verdana"/>
          <w:b/>
          <w:sz w:val="16"/>
          <w:szCs w:val="16"/>
        </w:rPr>
        <w:t>4</w:t>
      </w:r>
      <w:r w:rsidRPr="002335EE">
        <w:rPr>
          <w:rFonts w:ascii="Verdana" w:hAnsi="Verdana"/>
          <w:b/>
          <w:sz w:val="16"/>
          <w:szCs w:val="16"/>
        </w:rPr>
        <w:br/>
        <w:t>(Forecast Prices &amp; Costs)</w:t>
      </w:r>
      <w:r w:rsidR="004A2E5D" w:rsidRPr="002B4E83">
        <w:rPr>
          <w:rFonts w:ascii="Verdana" w:hAnsi="Verdana"/>
          <w:sz w:val="16"/>
          <w:szCs w:val="16"/>
        </w:rPr>
        <w:fldChar w:fldCharType="begin"/>
      </w:r>
      <w:r w:rsidR="004A2E5D" w:rsidRPr="002B4E83">
        <w:rPr>
          <w:rFonts w:ascii="Verdana" w:hAnsi="Verdana"/>
          <w:sz w:val="16"/>
          <w:szCs w:val="16"/>
        </w:rPr>
        <w:instrText xml:space="preserve"> LINK </w:instrText>
      </w:r>
      <w:r w:rsidR="002F1371" w:rsidRPr="002B4E83">
        <w:rPr>
          <w:rFonts w:ascii="Verdana" w:hAnsi="Verdana"/>
          <w:sz w:val="16"/>
          <w:szCs w:val="16"/>
        </w:rPr>
        <w:instrText xml:space="preserve">Excel.Sheet.12 "C:\\Users\\bmoss\\Dropbox\\Reserve Tables Dec 2019 Mar 20.xlsx" "PR Tables!R36C18:R46C23" </w:instrText>
      </w:r>
      <w:r w:rsidR="004A2E5D" w:rsidRPr="002B4E83">
        <w:rPr>
          <w:rFonts w:ascii="Verdana" w:hAnsi="Verdana"/>
          <w:sz w:val="16"/>
          <w:szCs w:val="16"/>
        </w:rPr>
        <w:instrText xml:space="preserve">\a \f 4 \h </w:instrText>
      </w:r>
      <w:r w:rsidR="00BA6193" w:rsidRPr="002B4E83">
        <w:rPr>
          <w:rFonts w:ascii="Verdana" w:hAnsi="Verdana"/>
          <w:sz w:val="16"/>
          <w:szCs w:val="16"/>
        </w:rPr>
        <w:instrText xml:space="preserve"> \* MERGEFORMAT </w:instrText>
      </w:r>
      <w:r w:rsidR="004A2E5D" w:rsidRPr="002B4E83">
        <w:rPr>
          <w:rFonts w:ascii="Verdana" w:hAnsi="Verdana"/>
          <w:sz w:val="16"/>
          <w:szCs w:val="16"/>
        </w:rPr>
        <w:fldChar w:fldCharType="separate"/>
      </w:r>
    </w:p>
    <w:tbl>
      <w:tblPr>
        <w:tblW w:w="6793" w:type="dxa"/>
        <w:tblInd w:w="1418" w:type="dxa"/>
        <w:tblCellMar>
          <w:left w:w="70" w:type="dxa"/>
          <w:right w:w="70" w:type="dxa"/>
        </w:tblCellMar>
        <w:tblLook w:val="04A0" w:firstRow="1" w:lastRow="0" w:firstColumn="1" w:lastColumn="0" w:noHBand="0" w:noVBand="1"/>
      </w:tblPr>
      <w:tblGrid>
        <w:gridCol w:w="2675"/>
        <w:gridCol w:w="801"/>
        <w:gridCol w:w="801"/>
        <w:gridCol w:w="858"/>
        <w:gridCol w:w="819"/>
        <w:gridCol w:w="839"/>
      </w:tblGrid>
      <w:tr w:rsidR="004A2E5D" w:rsidRPr="002B4E83" w14:paraId="5B61123F" w14:textId="77777777" w:rsidTr="00D97578">
        <w:trPr>
          <w:trHeight w:val="495"/>
        </w:trPr>
        <w:tc>
          <w:tcPr>
            <w:tcW w:w="2675" w:type="dxa"/>
            <w:vMerge w:val="restart"/>
            <w:tcBorders>
              <w:top w:val="nil"/>
              <w:left w:val="nil"/>
              <w:bottom w:val="nil"/>
              <w:right w:val="nil"/>
            </w:tcBorders>
            <w:shd w:val="clear" w:color="auto" w:fill="FFFFFF" w:themeFill="background1"/>
            <w:vAlign w:val="center"/>
            <w:hideMark/>
          </w:tcPr>
          <w:p w14:paraId="76120522" w14:textId="77777777" w:rsidR="004A2E5D" w:rsidRPr="002B4E83" w:rsidRDefault="004A2E5D" w:rsidP="004A2E5D">
            <w:pPr>
              <w:rPr>
                <w:sz w:val="16"/>
                <w:szCs w:val="16"/>
                <w:lang w:eastAsia="es-AR"/>
              </w:rPr>
            </w:pPr>
          </w:p>
        </w:tc>
        <w:tc>
          <w:tcPr>
            <w:tcW w:w="4118" w:type="dxa"/>
            <w:gridSpan w:val="5"/>
            <w:tcBorders>
              <w:top w:val="nil"/>
              <w:left w:val="nil"/>
              <w:bottom w:val="nil"/>
              <w:right w:val="nil"/>
            </w:tcBorders>
            <w:shd w:val="clear" w:color="auto" w:fill="FFFFFF" w:themeFill="background1"/>
            <w:vAlign w:val="center"/>
            <w:hideMark/>
          </w:tcPr>
          <w:p w14:paraId="2C5BDE04" w14:textId="705795F9" w:rsidR="004A2E5D" w:rsidRPr="002B4E83" w:rsidRDefault="004A2E5D" w:rsidP="004A2E5D">
            <w:pPr>
              <w:jc w:val="center"/>
              <w:rPr>
                <w:b/>
                <w:bCs/>
                <w:color w:val="000000"/>
                <w:sz w:val="16"/>
                <w:szCs w:val="16"/>
                <w:lang w:eastAsia="es-AR"/>
              </w:rPr>
            </w:pPr>
            <w:r w:rsidRPr="002B4E83">
              <w:rPr>
                <w:b/>
                <w:bCs/>
                <w:color w:val="000000"/>
                <w:sz w:val="16"/>
                <w:szCs w:val="16"/>
                <w:lang w:eastAsia="es-AR"/>
              </w:rPr>
              <w:t xml:space="preserve">Net Present Values of Future Net Revenue Before Income </w:t>
            </w:r>
            <w:r w:rsidR="00250B90" w:rsidRPr="002B4E83">
              <w:rPr>
                <w:b/>
                <w:bCs/>
                <w:color w:val="000000"/>
                <w:sz w:val="16"/>
                <w:szCs w:val="16"/>
                <w:lang w:eastAsia="es-AR"/>
              </w:rPr>
              <w:t>Taxes</w:t>
            </w:r>
            <w:r w:rsidR="00250B90" w:rsidRPr="002B4E83">
              <w:rPr>
                <w:b/>
                <w:bCs/>
                <w:color w:val="000000"/>
                <w:sz w:val="16"/>
                <w:szCs w:val="16"/>
                <w:vertAlign w:val="superscript"/>
                <w:lang w:eastAsia="es-AR"/>
              </w:rPr>
              <w:t xml:space="preserve"> (</w:t>
            </w:r>
            <w:r w:rsidRPr="002B4E83">
              <w:rPr>
                <w:b/>
                <w:bCs/>
                <w:color w:val="000000"/>
                <w:sz w:val="16"/>
                <w:szCs w:val="16"/>
                <w:vertAlign w:val="superscript"/>
                <w:lang w:eastAsia="es-AR"/>
              </w:rPr>
              <w:t>1)</w:t>
            </w:r>
          </w:p>
        </w:tc>
      </w:tr>
      <w:tr w:rsidR="004A2E5D" w:rsidRPr="002B4E83" w14:paraId="21A0DF02" w14:textId="77777777" w:rsidTr="00D97578">
        <w:trPr>
          <w:trHeight w:val="300"/>
        </w:trPr>
        <w:tc>
          <w:tcPr>
            <w:tcW w:w="2675" w:type="dxa"/>
            <w:vMerge/>
            <w:tcBorders>
              <w:top w:val="nil"/>
              <w:left w:val="nil"/>
              <w:bottom w:val="nil"/>
              <w:right w:val="nil"/>
            </w:tcBorders>
            <w:shd w:val="clear" w:color="auto" w:fill="FFFFFF" w:themeFill="background1"/>
            <w:vAlign w:val="center"/>
            <w:hideMark/>
          </w:tcPr>
          <w:p w14:paraId="3605F013" w14:textId="77777777" w:rsidR="004A2E5D" w:rsidRPr="002B4E83" w:rsidRDefault="004A2E5D" w:rsidP="004A2E5D">
            <w:pPr>
              <w:rPr>
                <w:sz w:val="16"/>
                <w:szCs w:val="16"/>
                <w:lang w:eastAsia="es-AR"/>
              </w:rPr>
            </w:pPr>
          </w:p>
        </w:tc>
        <w:tc>
          <w:tcPr>
            <w:tcW w:w="4118" w:type="dxa"/>
            <w:gridSpan w:val="5"/>
            <w:tcBorders>
              <w:top w:val="nil"/>
              <w:left w:val="nil"/>
              <w:bottom w:val="nil"/>
              <w:right w:val="nil"/>
            </w:tcBorders>
            <w:shd w:val="clear" w:color="auto" w:fill="FFFFFF" w:themeFill="background1"/>
            <w:vAlign w:val="center"/>
            <w:hideMark/>
          </w:tcPr>
          <w:p w14:paraId="1CD7E60A"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Discounted at (%/year)</w:t>
            </w:r>
          </w:p>
        </w:tc>
      </w:tr>
      <w:tr w:rsidR="00D97578" w:rsidRPr="002B4E83" w14:paraId="42727D39" w14:textId="77777777" w:rsidTr="00D97578">
        <w:trPr>
          <w:trHeight w:val="435"/>
        </w:trPr>
        <w:tc>
          <w:tcPr>
            <w:tcW w:w="2675" w:type="dxa"/>
            <w:vMerge w:val="restart"/>
            <w:tcBorders>
              <w:top w:val="nil"/>
              <w:left w:val="nil"/>
              <w:bottom w:val="nil"/>
              <w:right w:val="nil"/>
            </w:tcBorders>
            <w:shd w:val="clear" w:color="auto" w:fill="FFFFFF" w:themeFill="background1"/>
            <w:vAlign w:val="center"/>
            <w:hideMark/>
          </w:tcPr>
          <w:p w14:paraId="33980D3E" w14:textId="63F79A81" w:rsidR="004A2E5D" w:rsidRPr="002B4E83" w:rsidRDefault="004A2E5D" w:rsidP="004A2E5D">
            <w:pPr>
              <w:rPr>
                <w:b/>
                <w:bCs/>
                <w:color w:val="000000"/>
                <w:sz w:val="16"/>
                <w:szCs w:val="16"/>
                <w:lang w:val="es-AR" w:eastAsia="es-AR"/>
              </w:rPr>
            </w:pPr>
            <w:r w:rsidRPr="002B4E83">
              <w:rPr>
                <w:b/>
                <w:bCs/>
                <w:color w:val="000000"/>
                <w:sz w:val="16"/>
                <w:szCs w:val="16"/>
                <w:lang w:val="es-AR" w:eastAsia="es-AR"/>
              </w:rPr>
              <w:t xml:space="preserve">Reserves </w:t>
            </w:r>
            <w:r w:rsidR="00250B90" w:rsidRPr="002B4E83">
              <w:rPr>
                <w:b/>
                <w:bCs/>
                <w:color w:val="000000"/>
                <w:sz w:val="16"/>
                <w:szCs w:val="16"/>
                <w:lang w:val="es-AR" w:eastAsia="es-AR"/>
              </w:rPr>
              <w:t>Category</w:t>
            </w:r>
            <w:r w:rsidR="00250B90" w:rsidRPr="002B4E83">
              <w:rPr>
                <w:b/>
                <w:bCs/>
                <w:color w:val="000000"/>
                <w:sz w:val="16"/>
                <w:szCs w:val="16"/>
                <w:vertAlign w:val="superscript"/>
                <w:lang w:val="es-AR" w:eastAsia="es-AR"/>
              </w:rPr>
              <w:t xml:space="preserve"> (</w:t>
            </w:r>
            <w:r w:rsidRPr="002B4E83">
              <w:rPr>
                <w:b/>
                <w:bCs/>
                <w:color w:val="000000"/>
                <w:sz w:val="16"/>
                <w:szCs w:val="16"/>
                <w:vertAlign w:val="superscript"/>
                <w:lang w:val="es-AR" w:eastAsia="es-AR"/>
              </w:rPr>
              <w:t>2)</w:t>
            </w:r>
          </w:p>
        </w:tc>
        <w:tc>
          <w:tcPr>
            <w:tcW w:w="801" w:type="dxa"/>
            <w:tcBorders>
              <w:top w:val="nil"/>
              <w:left w:val="nil"/>
              <w:bottom w:val="nil"/>
              <w:right w:val="nil"/>
            </w:tcBorders>
            <w:shd w:val="clear" w:color="auto" w:fill="FFFFFF" w:themeFill="background1"/>
            <w:vAlign w:val="center"/>
            <w:hideMark/>
          </w:tcPr>
          <w:p w14:paraId="6B40E23B"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0%</w:t>
            </w:r>
          </w:p>
        </w:tc>
        <w:tc>
          <w:tcPr>
            <w:tcW w:w="801" w:type="dxa"/>
            <w:tcBorders>
              <w:top w:val="nil"/>
              <w:left w:val="nil"/>
              <w:bottom w:val="nil"/>
              <w:right w:val="nil"/>
            </w:tcBorders>
            <w:shd w:val="clear" w:color="auto" w:fill="FFFFFF" w:themeFill="background1"/>
            <w:vAlign w:val="center"/>
            <w:hideMark/>
          </w:tcPr>
          <w:p w14:paraId="3333E20D"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5%</w:t>
            </w:r>
          </w:p>
        </w:tc>
        <w:tc>
          <w:tcPr>
            <w:tcW w:w="858" w:type="dxa"/>
            <w:tcBorders>
              <w:top w:val="nil"/>
              <w:left w:val="nil"/>
              <w:bottom w:val="nil"/>
              <w:right w:val="nil"/>
            </w:tcBorders>
            <w:shd w:val="clear" w:color="auto" w:fill="FFFFFF" w:themeFill="background1"/>
            <w:vAlign w:val="center"/>
            <w:hideMark/>
          </w:tcPr>
          <w:p w14:paraId="6873E6DC"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10%</w:t>
            </w:r>
          </w:p>
        </w:tc>
        <w:tc>
          <w:tcPr>
            <w:tcW w:w="819" w:type="dxa"/>
            <w:tcBorders>
              <w:top w:val="nil"/>
              <w:left w:val="nil"/>
              <w:bottom w:val="nil"/>
              <w:right w:val="nil"/>
            </w:tcBorders>
            <w:shd w:val="clear" w:color="auto" w:fill="FFFFFF" w:themeFill="background1"/>
            <w:vAlign w:val="center"/>
            <w:hideMark/>
          </w:tcPr>
          <w:p w14:paraId="416C7378"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15%</w:t>
            </w:r>
          </w:p>
        </w:tc>
        <w:tc>
          <w:tcPr>
            <w:tcW w:w="839" w:type="dxa"/>
            <w:tcBorders>
              <w:top w:val="nil"/>
              <w:left w:val="nil"/>
              <w:bottom w:val="nil"/>
              <w:right w:val="nil"/>
            </w:tcBorders>
            <w:shd w:val="clear" w:color="auto" w:fill="FFFFFF" w:themeFill="background1"/>
            <w:vAlign w:val="center"/>
            <w:hideMark/>
          </w:tcPr>
          <w:p w14:paraId="78968B7F"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20%</w:t>
            </w:r>
          </w:p>
        </w:tc>
      </w:tr>
      <w:tr w:rsidR="00D97578" w:rsidRPr="002B4E83" w14:paraId="2A54EFED" w14:textId="77777777" w:rsidTr="00D97578">
        <w:trPr>
          <w:trHeight w:val="315"/>
        </w:trPr>
        <w:tc>
          <w:tcPr>
            <w:tcW w:w="2675" w:type="dxa"/>
            <w:vMerge/>
            <w:tcBorders>
              <w:top w:val="nil"/>
              <w:left w:val="nil"/>
              <w:bottom w:val="nil"/>
              <w:right w:val="nil"/>
            </w:tcBorders>
            <w:shd w:val="clear" w:color="auto" w:fill="FFFFFF" w:themeFill="background1"/>
            <w:vAlign w:val="center"/>
            <w:hideMark/>
          </w:tcPr>
          <w:p w14:paraId="3D3AD7BD" w14:textId="77777777" w:rsidR="004A2E5D" w:rsidRPr="002B4E83" w:rsidRDefault="004A2E5D" w:rsidP="004A2E5D">
            <w:pPr>
              <w:rPr>
                <w:b/>
                <w:bCs/>
                <w:color w:val="000000"/>
                <w:sz w:val="16"/>
                <w:szCs w:val="16"/>
                <w:lang w:val="es-AR" w:eastAsia="es-AR"/>
              </w:rPr>
            </w:pPr>
          </w:p>
        </w:tc>
        <w:tc>
          <w:tcPr>
            <w:tcW w:w="801" w:type="dxa"/>
            <w:tcBorders>
              <w:top w:val="nil"/>
              <w:left w:val="nil"/>
              <w:bottom w:val="nil"/>
              <w:right w:val="nil"/>
            </w:tcBorders>
            <w:shd w:val="clear" w:color="auto" w:fill="FFFFFF" w:themeFill="background1"/>
            <w:vAlign w:val="center"/>
            <w:hideMark/>
          </w:tcPr>
          <w:p w14:paraId="157333F2"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MMUS$</w:t>
            </w:r>
          </w:p>
        </w:tc>
        <w:tc>
          <w:tcPr>
            <w:tcW w:w="801" w:type="dxa"/>
            <w:tcBorders>
              <w:top w:val="nil"/>
              <w:left w:val="nil"/>
              <w:bottom w:val="nil"/>
              <w:right w:val="nil"/>
            </w:tcBorders>
            <w:shd w:val="clear" w:color="auto" w:fill="FFFFFF" w:themeFill="background1"/>
            <w:vAlign w:val="center"/>
            <w:hideMark/>
          </w:tcPr>
          <w:p w14:paraId="7F9C8CEC"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MMUS$</w:t>
            </w:r>
          </w:p>
        </w:tc>
        <w:tc>
          <w:tcPr>
            <w:tcW w:w="858" w:type="dxa"/>
            <w:tcBorders>
              <w:top w:val="nil"/>
              <w:left w:val="nil"/>
              <w:bottom w:val="nil"/>
              <w:right w:val="nil"/>
            </w:tcBorders>
            <w:shd w:val="clear" w:color="auto" w:fill="FFFFFF" w:themeFill="background1"/>
            <w:vAlign w:val="center"/>
            <w:hideMark/>
          </w:tcPr>
          <w:p w14:paraId="33D73AE9"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MMUS$</w:t>
            </w:r>
          </w:p>
        </w:tc>
        <w:tc>
          <w:tcPr>
            <w:tcW w:w="819" w:type="dxa"/>
            <w:tcBorders>
              <w:top w:val="nil"/>
              <w:left w:val="nil"/>
              <w:bottom w:val="nil"/>
              <w:right w:val="nil"/>
            </w:tcBorders>
            <w:shd w:val="clear" w:color="auto" w:fill="FFFFFF" w:themeFill="background1"/>
            <w:vAlign w:val="center"/>
            <w:hideMark/>
          </w:tcPr>
          <w:p w14:paraId="62FBDC2D"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MMUS$</w:t>
            </w:r>
          </w:p>
        </w:tc>
        <w:tc>
          <w:tcPr>
            <w:tcW w:w="839" w:type="dxa"/>
            <w:tcBorders>
              <w:top w:val="nil"/>
              <w:left w:val="nil"/>
              <w:bottom w:val="nil"/>
              <w:right w:val="nil"/>
            </w:tcBorders>
            <w:shd w:val="clear" w:color="auto" w:fill="FFFFFF" w:themeFill="background1"/>
            <w:vAlign w:val="center"/>
            <w:hideMark/>
          </w:tcPr>
          <w:p w14:paraId="733A9AE3" w14:textId="77777777" w:rsidR="004A2E5D" w:rsidRPr="002B4E83" w:rsidRDefault="004A2E5D" w:rsidP="004A2E5D">
            <w:pPr>
              <w:jc w:val="center"/>
              <w:rPr>
                <w:b/>
                <w:bCs/>
                <w:color w:val="000000"/>
                <w:sz w:val="16"/>
                <w:szCs w:val="16"/>
                <w:lang w:val="es-AR" w:eastAsia="es-AR"/>
              </w:rPr>
            </w:pPr>
            <w:r w:rsidRPr="002B4E83">
              <w:rPr>
                <w:b/>
                <w:bCs/>
                <w:color w:val="000000"/>
                <w:sz w:val="16"/>
                <w:szCs w:val="16"/>
                <w:lang w:val="es-AR" w:eastAsia="es-AR"/>
              </w:rPr>
              <w:t>MMUS$</w:t>
            </w:r>
          </w:p>
        </w:tc>
      </w:tr>
      <w:tr w:rsidR="00D97578" w:rsidRPr="002B4E83" w14:paraId="5B192382" w14:textId="77777777" w:rsidTr="00D97578">
        <w:trPr>
          <w:trHeight w:val="300"/>
        </w:trPr>
        <w:tc>
          <w:tcPr>
            <w:tcW w:w="2675" w:type="dxa"/>
            <w:tcBorders>
              <w:top w:val="nil"/>
              <w:left w:val="nil"/>
              <w:bottom w:val="nil"/>
              <w:right w:val="nil"/>
            </w:tcBorders>
            <w:shd w:val="clear" w:color="auto" w:fill="FFFFFF" w:themeFill="background1"/>
            <w:vAlign w:val="center"/>
            <w:hideMark/>
          </w:tcPr>
          <w:p w14:paraId="17851B83" w14:textId="77777777" w:rsidR="004A2E5D" w:rsidRPr="002B4E83" w:rsidRDefault="004A2E5D" w:rsidP="004A2E5D">
            <w:pPr>
              <w:rPr>
                <w:color w:val="000000"/>
                <w:sz w:val="16"/>
                <w:szCs w:val="16"/>
                <w:lang w:val="es-AR" w:eastAsia="es-AR"/>
              </w:rPr>
            </w:pPr>
            <w:r w:rsidRPr="002B4E83">
              <w:rPr>
                <w:color w:val="000000"/>
                <w:sz w:val="16"/>
                <w:szCs w:val="16"/>
                <w:lang w:val="es-AR" w:eastAsia="es-AR"/>
              </w:rPr>
              <w:t>Proved:</w:t>
            </w:r>
          </w:p>
        </w:tc>
        <w:tc>
          <w:tcPr>
            <w:tcW w:w="801" w:type="dxa"/>
            <w:tcBorders>
              <w:top w:val="single" w:sz="4" w:space="0" w:color="auto"/>
              <w:left w:val="nil"/>
              <w:bottom w:val="nil"/>
              <w:right w:val="nil"/>
            </w:tcBorders>
            <w:shd w:val="clear" w:color="auto" w:fill="FFFFFF" w:themeFill="background1"/>
            <w:vAlign w:val="center"/>
            <w:hideMark/>
          </w:tcPr>
          <w:p w14:paraId="687D1DD8" w14:textId="77777777" w:rsidR="004A2E5D" w:rsidRPr="002B4E83" w:rsidRDefault="004A2E5D" w:rsidP="004A2E5D">
            <w:pPr>
              <w:jc w:val="both"/>
              <w:rPr>
                <w:color w:val="000000"/>
                <w:sz w:val="16"/>
                <w:szCs w:val="16"/>
                <w:lang w:val="es-AR" w:eastAsia="es-AR"/>
              </w:rPr>
            </w:pPr>
            <w:r w:rsidRPr="002B4E83">
              <w:rPr>
                <w:color w:val="000000"/>
                <w:sz w:val="16"/>
                <w:szCs w:val="16"/>
                <w:lang w:val="es-AR" w:eastAsia="es-AR"/>
              </w:rPr>
              <w:t> </w:t>
            </w:r>
          </w:p>
        </w:tc>
        <w:tc>
          <w:tcPr>
            <w:tcW w:w="801" w:type="dxa"/>
            <w:tcBorders>
              <w:top w:val="single" w:sz="4" w:space="0" w:color="auto"/>
              <w:left w:val="nil"/>
              <w:bottom w:val="nil"/>
              <w:right w:val="nil"/>
            </w:tcBorders>
            <w:shd w:val="clear" w:color="auto" w:fill="FFFFFF" w:themeFill="background1"/>
            <w:vAlign w:val="center"/>
            <w:hideMark/>
          </w:tcPr>
          <w:p w14:paraId="22EEDC95" w14:textId="77777777" w:rsidR="004A2E5D" w:rsidRPr="002B4E83" w:rsidRDefault="004A2E5D" w:rsidP="004A2E5D">
            <w:pPr>
              <w:jc w:val="both"/>
              <w:rPr>
                <w:color w:val="000000"/>
                <w:sz w:val="16"/>
                <w:szCs w:val="16"/>
                <w:lang w:val="es-AR" w:eastAsia="es-AR"/>
              </w:rPr>
            </w:pPr>
            <w:r w:rsidRPr="002B4E83">
              <w:rPr>
                <w:color w:val="000000"/>
                <w:sz w:val="16"/>
                <w:szCs w:val="16"/>
                <w:lang w:val="es-AR" w:eastAsia="es-AR"/>
              </w:rPr>
              <w:t> </w:t>
            </w:r>
          </w:p>
        </w:tc>
        <w:tc>
          <w:tcPr>
            <w:tcW w:w="858" w:type="dxa"/>
            <w:tcBorders>
              <w:top w:val="single" w:sz="4" w:space="0" w:color="auto"/>
              <w:left w:val="nil"/>
              <w:bottom w:val="nil"/>
              <w:right w:val="nil"/>
            </w:tcBorders>
            <w:shd w:val="clear" w:color="auto" w:fill="FFFFFF" w:themeFill="background1"/>
            <w:vAlign w:val="center"/>
            <w:hideMark/>
          </w:tcPr>
          <w:p w14:paraId="4091164C" w14:textId="77777777" w:rsidR="004A2E5D" w:rsidRPr="002B4E83" w:rsidRDefault="004A2E5D" w:rsidP="004A2E5D">
            <w:pPr>
              <w:jc w:val="both"/>
              <w:rPr>
                <w:color w:val="000000"/>
                <w:sz w:val="16"/>
                <w:szCs w:val="16"/>
                <w:lang w:val="es-AR" w:eastAsia="es-AR"/>
              </w:rPr>
            </w:pPr>
            <w:r w:rsidRPr="002B4E83">
              <w:rPr>
                <w:color w:val="000000"/>
                <w:sz w:val="16"/>
                <w:szCs w:val="16"/>
                <w:lang w:val="es-AR" w:eastAsia="es-AR"/>
              </w:rPr>
              <w:t> </w:t>
            </w:r>
          </w:p>
        </w:tc>
        <w:tc>
          <w:tcPr>
            <w:tcW w:w="819" w:type="dxa"/>
            <w:tcBorders>
              <w:top w:val="single" w:sz="4" w:space="0" w:color="auto"/>
              <w:left w:val="nil"/>
              <w:bottom w:val="nil"/>
              <w:right w:val="nil"/>
            </w:tcBorders>
            <w:shd w:val="clear" w:color="auto" w:fill="FFFFFF" w:themeFill="background1"/>
            <w:vAlign w:val="center"/>
            <w:hideMark/>
          </w:tcPr>
          <w:p w14:paraId="1911371B" w14:textId="77777777" w:rsidR="004A2E5D" w:rsidRPr="002B4E83" w:rsidRDefault="004A2E5D" w:rsidP="004A2E5D">
            <w:pPr>
              <w:jc w:val="both"/>
              <w:rPr>
                <w:color w:val="000000"/>
                <w:sz w:val="16"/>
                <w:szCs w:val="16"/>
                <w:lang w:val="es-AR" w:eastAsia="es-AR"/>
              </w:rPr>
            </w:pPr>
            <w:r w:rsidRPr="002B4E83">
              <w:rPr>
                <w:color w:val="000000"/>
                <w:sz w:val="16"/>
                <w:szCs w:val="16"/>
                <w:lang w:val="es-AR" w:eastAsia="es-AR"/>
              </w:rPr>
              <w:t> </w:t>
            </w:r>
          </w:p>
        </w:tc>
        <w:tc>
          <w:tcPr>
            <w:tcW w:w="839" w:type="dxa"/>
            <w:tcBorders>
              <w:top w:val="single" w:sz="4" w:space="0" w:color="auto"/>
              <w:left w:val="nil"/>
              <w:bottom w:val="nil"/>
              <w:right w:val="nil"/>
            </w:tcBorders>
            <w:shd w:val="clear" w:color="auto" w:fill="FFFFFF" w:themeFill="background1"/>
            <w:vAlign w:val="center"/>
            <w:hideMark/>
          </w:tcPr>
          <w:p w14:paraId="447BC3F3" w14:textId="77777777" w:rsidR="004A2E5D" w:rsidRPr="002B4E83" w:rsidRDefault="004A2E5D" w:rsidP="004A2E5D">
            <w:pPr>
              <w:jc w:val="both"/>
              <w:rPr>
                <w:color w:val="000000"/>
                <w:sz w:val="16"/>
                <w:szCs w:val="16"/>
                <w:lang w:val="es-AR" w:eastAsia="es-AR"/>
              </w:rPr>
            </w:pPr>
            <w:r w:rsidRPr="002B4E83">
              <w:rPr>
                <w:color w:val="000000"/>
                <w:sz w:val="16"/>
                <w:szCs w:val="16"/>
                <w:lang w:val="es-AR" w:eastAsia="es-AR"/>
              </w:rPr>
              <w:t> </w:t>
            </w:r>
          </w:p>
        </w:tc>
      </w:tr>
      <w:tr w:rsidR="00D97578" w:rsidRPr="002B4E83" w14:paraId="3E6CE1B8" w14:textId="77777777" w:rsidTr="00D97578">
        <w:trPr>
          <w:trHeight w:val="315"/>
        </w:trPr>
        <w:tc>
          <w:tcPr>
            <w:tcW w:w="2675" w:type="dxa"/>
            <w:tcBorders>
              <w:top w:val="nil"/>
              <w:left w:val="nil"/>
              <w:bottom w:val="nil"/>
              <w:right w:val="nil"/>
            </w:tcBorders>
            <w:shd w:val="clear" w:color="auto" w:fill="FFFFFF" w:themeFill="background1"/>
            <w:hideMark/>
          </w:tcPr>
          <w:p w14:paraId="6E741115" w14:textId="77777777" w:rsidR="00041033" w:rsidRPr="00D97578" w:rsidRDefault="00041033" w:rsidP="00041033">
            <w:pPr>
              <w:rPr>
                <w:b/>
                <w:bCs/>
                <w:color w:val="000000"/>
                <w:sz w:val="16"/>
                <w:szCs w:val="16"/>
                <w:lang w:val="es-AR" w:eastAsia="es-AR"/>
              </w:rPr>
            </w:pPr>
            <w:r w:rsidRPr="00D97578">
              <w:rPr>
                <w:b/>
                <w:bCs/>
                <w:color w:val="000000"/>
                <w:sz w:val="16"/>
                <w:szCs w:val="16"/>
                <w:lang w:val="es-AR" w:eastAsia="es-AR"/>
              </w:rPr>
              <w:t>Developed Producing</w:t>
            </w:r>
          </w:p>
        </w:tc>
        <w:tc>
          <w:tcPr>
            <w:tcW w:w="801" w:type="dxa"/>
            <w:tcBorders>
              <w:top w:val="nil"/>
              <w:left w:val="nil"/>
              <w:bottom w:val="nil"/>
              <w:right w:val="nil"/>
            </w:tcBorders>
            <w:shd w:val="clear" w:color="auto" w:fill="FFFFFF" w:themeFill="background1"/>
            <w:vAlign w:val="center"/>
            <w:hideMark/>
          </w:tcPr>
          <w:p w14:paraId="75C0512E" w14:textId="5F9C3434" w:rsidR="00041033" w:rsidRPr="00250B90" w:rsidRDefault="00AE4FC8" w:rsidP="00041033">
            <w:pPr>
              <w:jc w:val="center"/>
              <w:rPr>
                <w:color w:val="000000"/>
                <w:sz w:val="16"/>
                <w:szCs w:val="16"/>
                <w:lang w:val="es-AR" w:eastAsia="es-AR"/>
              </w:rPr>
            </w:pPr>
            <w:r>
              <w:rPr>
                <w:b/>
                <w:bCs/>
                <w:sz w:val="16"/>
                <w:szCs w:val="16"/>
              </w:rPr>
              <w:t>297.6</w:t>
            </w:r>
          </w:p>
        </w:tc>
        <w:tc>
          <w:tcPr>
            <w:tcW w:w="801" w:type="dxa"/>
            <w:tcBorders>
              <w:top w:val="nil"/>
              <w:left w:val="nil"/>
              <w:bottom w:val="nil"/>
              <w:right w:val="nil"/>
            </w:tcBorders>
            <w:shd w:val="clear" w:color="auto" w:fill="FFFFFF" w:themeFill="background1"/>
            <w:vAlign w:val="center"/>
            <w:hideMark/>
          </w:tcPr>
          <w:p w14:paraId="6DF749F8" w14:textId="12D431F3" w:rsidR="00041033" w:rsidRPr="00250B90" w:rsidRDefault="00D97578" w:rsidP="00041033">
            <w:pPr>
              <w:jc w:val="center"/>
              <w:rPr>
                <w:color w:val="000000"/>
                <w:sz w:val="16"/>
                <w:szCs w:val="16"/>
                <w:lang w:val="es-AR" w:eastAsia="es-AR"/>
              </w:rPr>
            </w:pPr>
            <w:r>
              <w:rPr>
                <w:b/>
                <w:bCs/>
                <w:sz w:val="16"/>
                <w:szCs w:val="16"/>
              </w:rPr>
              <w:t>209.0</w:t>
            </w:r>
          </w:p>
        </w:tc>
        <w:tc>
          <w:tcPr>
            <w:tcW w:w="858" w:type="dxa"/>
            <w:tcBorders>
              <w:top w:val="nil"/>
              <w:left w:val="nil"/>
              <w:bottom w:val="nil"/>
              <w:right w:val="nil"/>
            </w:tcBorders>
            <w:shd w:val="clear" w:color="auto" w:fill="FFFFFF" w:themeFill="background1"/>
            <w:vAlign w:val="center"/>
            <w:hideMark/>
          </w:tcPr>
          <w:p w14:paraId="42DD9D77" w14:textId="0B3708B2" w:rsidR="00041033" w:rsidRPr="00250B90" w:rsidRDefault="00D97578" w:rsidP="00041033">
            <w:pPr>
              <w:jc w:val="center"/>
              <w:rPr>
                <w:color w:val="000000"/>
                <w:sz w:val="16"/>
                <w:szCs w:val="16"/>
                <w:lang w:val="es-AR" w:eastAsia="es-AR"/>
              </w:rPr>
            </w:pPr>
            <w:r>
              <w:rPr>
                <w:b/>
                <w:bCs/>
                <w:sz w:val="16"/>
                <w:szCs w:val="16"/>
              </w:rPr>
              <w:t>157.2</w:t>
            </w:r>
          </w:p>
        </w:tc>
        <w:tc>
          <w:tcPr>
            <w:tcW w:w="819" w:type="dxa"/>
            <w:tcBorders>
              <w:top w:val="nil"/>
              <w:left w:val="nil"/>
              <w:bottom w:val="nil"/>
              <w:right w:val="nil"/>
            </w:tcBorders>
            <w:shd w:val="clear" w:color="auto" w:fill="FFFFFF" w:themeFill="background1"/>
            <w:vAlign w:val="center"/>
            <w:hideMark/>
          </w:tcPr>
          <w:p w14:paraId="4AEEA723" w14:textId="78E58B97" w:rsidR="00041033" w:rsidRPr="00250B90" w:rsidRDefault="00D97578" w:rsidP="00041033">
            <w:pPr>
              <w:jc w:val="center"/>
              <w:rPr>
                <w:color w:val="000000"/>
                <w:sz w:val="16"/>
                <w:szCs w:val="16"/>
                <w:lang w:val="es-AR" w:eastAsia="es-AR"/>
              </w:rPr>
            </w:pPr>
            <w:r>
              <w:rPr>
                <w:b/>
                <w:bCs/>
                <w:sz w:val="16"/>
                <w:szCs w:val="16"/>
              </w:rPr>
              <w:t>124.9</w:t>
            </w:r>
          </w:p>
        </w:tc>
        <w:tc>
          <w:tcPr>
            <w:tcW w:w="839" w:type="dxa"/>
            <w:tcBorders>
              <w:top w:val="nil"/>
              <w:left w:val="nil"/>
              <w:bottom w:val="nil"/>
              <w:right w:val="nil"/>
            </w:tcBorders>
            <w:shd w:val="clear" w:color="auto" w:fill="FFFFFF" w:themeFill="background1"/>
            <w:vAlign w:val="center"/>
            <w:hideMark/>
          </w:tcPr>
          <w:p w14:paraId="408EB970" w14:textId="4477AECE" w:rsidR="00041033" w:rsidRPr="00250B90" w:rsidRDefault="00D97578" w:rsidP="00041033">
            <w:pPr>
              <w:jc w:val="center"/>
              <w:rPr>
                <w:color w:val="000000"/>
                <w:sz w:val="16"/>
                <w:szCs w:val="16"/>
                <w:lang w:val="es-AR" w:eastAsia="es-AR"/>
              </w:rPr>
            </w:pPr>
            <w:r>
              <w:rPr>
                <w:b/>
                <w:bCs/>
                <w:sz w:val="16"/>
                <w:szCs w:val="16"/>
              </w:rPr>
              <w:t>103.6</w:t>
            </w:r>
          </w:p>
        </w:tc>
      </w:tr>
      <w:tr w:rsidR="00D97578" w:rsidRPr="002B4E83" w14:paraId="58D53964" w14:textId="77777777" w:rsidTr="00D97578">
        <w:trPr>
          <w:trHeight w:val="315"/>
        </w:trPr>
        <w:tc>
          <w:tcPr>
            <w:tcW w:w="2675" w:type="dxa"/>
            <w:tcBorders>
              <w:top w:val="nil"/>
              <w:left w:val="nil"/>
              <w:bottom w:val="nil"/>
              <w:right w:val="nil"/>
            </w:tcBorders>
            <w:shd w:val="clear" w:color="auto" w:fill="FFFFFF" w:themeFill="background1"/>
            <w:hideMark/>
          </w:tcPr>
          <w:p w14:paraId="721C1620" w14:textId="77777777" w:rsidR="002D7827" w:rsidRPr="002B4E83" w:rsidRDefault="002D7827" w:rsidP="002D7827">
            <w:pPr>
              <w:rPr>
                <w:color w:val="000000"/>
                <w:sz w:val="16"/>
                <w:szCs w:val="16"/>
                <w:lang w:val="es-AR" w:eastAsia="es-AR"/>
              </w:rPr>
            </w:pPr>
            <w:r w:rsidRPr="002B4E83">
              <w:rPr>
                <w:color w:val="000000"/>
                <w:sz w:val="16"/>
                <w:szCs w:val="16"/>
                <w:lang w:val="es-AR" w:eastAsia="es-AR"/>
              </w:rPr>
              <w:t>Developed Non-Producing</w:t>
            </w:r>
          </w:p>
        </w:tc>
        <w:tc>
          <w:tcPr>
            <w:tcW w:w="801" w:type="dxa"/>
            <w:tcBorders>
              <w:top w:val="nil"/>
              <w:left w:val="nil"/>
              <w:bottom w:val="nil"/>
              <w:right w:val="nil"/>
            </w:tcBorders>
            <w:shd w:val="clear" w:color="auto" w:fill="FFFFFF" w:themeFill="background1"/>
            <w:vAlign w:val="center"/>
            <w:hideMark/>
          </w:tcPr>
          <w:p w14:paraId="3A89B200" w14:textId="6CAE3D60" w:rsidR="002D7827" w:rsidRPr="00250B90" w:rsidRDefault="00AE4FC8" w:rsidP="002D7827">
            <w:pPr>
              <w:jc w:val="center"/>
              <w:rPr>
                <w:color w:val="000000"/>
                <w:sz w:val="16"/>
                <w:szCs w:val="16"/>
                <w:lang w:val="es-AR" w:eastAsia="es-AR"/>
              </w:rPr>
            </w:pPr>
            <w:r>
              <w:rPr>
                <w:sz w:val="16"/>
                <w:szCs w:val="16"/>
              </w:rPr>
              <w:t>101.8</w:t>
            </w:r>
          </w:p>
        </w:tc>
        <w:tc>
          <w:tcPr>
            <w:tcW w:w="801" w:type="dxa"/>
            <w:tcBorders>
              <w:top w:val="nil"/>
              <w:left w:val="nil"/>
              <w:bottom w:val="nil"/>
              <w:right w:val="nil"/>
            </w:tcBorders>
            <w:shd w:val="clear" w:color="auto" w:fill="FFFFFF" w:themeFill="background1"/>
            <w:vAlign w:val="center"/>
            <w:hideMark/>
          </w:tcPr>
          <w:p w14:paraId="4F7E84E3" w14:textId="718CDFD0" w:rsidR="002D7827" w:rsidRPr="00250B90" w:rsidRDefault="00D97578" w:rsidP="002D7827">
            <w:pPr>
              <w:jc w:val="center"/>
              <w:rPr>
                <w:color w:val="000000"/>
                <w:sz w:val="16"/>
                <w:szCs w:val="16"/>
                <w:lang w:val="es-AR" w:eastAsia="es-AR"/>
              </w:rPr>
            </w:pPr>
            <w:r>
              <w:rPr>
                <w:sz w:val="16"/>
                <w:szCs w:val="16"/>
              </w:rPr>
              <w:t>52.7</w:t>
            </w:r>
          </w:p>
        </w:tc>
        <w:tc>
          <w:tcPr>
            <w:tcW w:w="858" w:type="dxa"/>
            <w:tcBorders>
              <w:top w:val="nil"/>
              <w:left w:val="nil"/>
              <w:bottom w:val="nil"/>
              <w:right w:val="nil"/>
            </w:tcBorders>
            <w:shd w:val="clear" w:color="auto" w:fill="FFFFFF" w:themeFill="background1"/>
            <w:vAlign w:val="center"/>
            <w:hideMark/>
          </w:tcPr>
          <w:p w14:paraId="43BCDEF8" w14:textId="59553A80" w:rsidR="002D7827" w:rsidRPr="00250B90" w:rsidRDefault="00D97578" w:rsidP="002D7827">
            <w:pPr>
              <w:jc w:val="center"/>
              <w:rPr>
                <w:color w:val="000000"/>
                <w:sz w:val="16"/>
                <w:szCs w:val="16"/>
                <w:lang w:val="es-AR" w:eastAsia="es-AR"/>
              </w:rPr>
            </w:pPr>
            <w:r>
              <w:rPr>
                <w:sz w:val="16"/>
                <w:szCs w:val="16"/>
              </w:rPr>
              <w:t>27.9</w:t>
            </w:r>
          </w:p>
        </w:tc>
        <w:tc>
          <w:tcPr>
            <w:tcW w:w="819" w:type="dxa"/>
            <w:tcBorders>
              <w:top w:val="nil"/>
              <w:left w:val="nil"/>
              <w:bottom w:val="nil"/>
              <w:right w:val="nil"/>
            </w:tcBorders>
            <w:shd w:val="clear" w:color="auto" w:fill="FFFFFF" w:themeFill="background1"/>
            <w:vAlign w:val="center"/>
            <w:hideMark/>
          </w:tcPr>
          <w:p w14:paraId="3FC29627" w14:textId="19291AAA" w:rsidR="002D7827" w:rsidRPr="00250B90" w:rsidRDefault="00D97578" w:rsidP="002D7827">
            <w:pPr>
              <w:jc w:val="center"/>
              <w:rPr>
                <w:color w:val="000000"/>
                <w:sz w:val="16"/>
                <w:szCs w:val="16"/>
                <w:lang w:val="es-AR" w:eastAsia="es-AR"/>
              </w:rPr>
            </w:pPr>
            <w:r>
              <w:rPr>
                <w:sz w:val="16"/>
                <w:szCs w:val="16"/>
              </w:rPr>
              <w:t>14.5</w:t>
            </w:r>
          </w:p>
        </w:tc>
        <w:tc>
          <w:tcPr>
            <w:tcW w:w="839" w:type="dxa"/>
            <w:tcBorders>
              <w:top w:val="nil"/>
              <w:left w:val="nil"/>
              <w:bottom w:val="nil"/>
              <w:right w:val="nil"/>
            </w:tcBorders>
            <w:shd w:val="clear" w:color="auto" w:fill="FFFFFF" w:themeFill="background1"/>
            <w:vAlign w:val="center"/>
            <w:hideMark/>
          </w:tcPr>
          <w:p w14:paraId="270729A4" w14:textId="3E79F259" w:rsidR="002D7827" w:rsidRPr="00250B90" w:rsidRDefault="00D97578" w:rsidP="002D7827">
            <w:pPr>
              <w:jc w:val="center"/>
              <w:rPr>
                <w:color w:val="000000"/>
                <w:sz w:val="16"/>
                <w:szCs w:val="16"/>
                <w:lang w:val="es-AR" w:eastAsia="es-AR"/>
              </w:rPr>
            </w:pPr>
            <w:r>
              <w:rPr>
                <w:sz w:val="16"/>
                <w:szCs w:val="16"/>
              </w:rPr>
              <w:t>6.9</w:t>
            </w:r>
          </w:p>
        </w:tc>
      </w:tr>
      <w:tr w:rsidR="00D97578" w:rsidRPr="002B4E83" w14:paraId="61EB58F1" w14:textId="77777777" w:rsidTr="00D97578">
        <w:trPr>
          <w:trHeight w:val="315"/>
        </w:trPr>
        <w:tc>
          <w:tcPr>
            <w:tcW w:w="2675" w:type="dxa"/>
            <w:tcBorders>
              <w:top w:val="nil"/>
              <w:left w:val="nil"/>
              <w:bottom w:val="nil"/>
              <w:right w:val="nil"/>
            </w:tcBorders>
            <w:shd w:val="clear" w:color="auto" w:fill="FFFFFF" w:themeFill="background1"/>
            <w:hideMark/>
          </w:tcPr>
          <w:p w14:paraId="07078FBE" w14:textId="77777777" w:rsidR="002D7827" w:rsidRPr="002B4E83" w:rsidRDefault="002D7827" w:rsidP="002D7827">
            <w:pPr>
              <w:rPr>
                <w:color w:val="000000"/>
                <w:sz w:val="16"/>
                <w:szCs w:val="16"/>
                <w:lang w:val="es-AR" w:eastAsia="es-AR"/>
              </w:rPr>
            </w:pPr>
            <w:r w:rsidRPr="002B4E83">
              <w:rPr>
                <w:color w:val="000000"/>
                <w:sz w:val="16"/>
                <w:szCs w:val="16"/>
                <w:lang w:val="es-AR" w:eastAsia="es-AR"/>
              </w:rPr>
              <w:t>Undeveloped</w:t>
            </w:r>
          </w:p>
        </w:tc>
        <w:tc>
          <w:tcPr>
            <w:tcW w:w="801" w:type="dxa"/>
            <w:tcBorders>
              <w:top w:val="nil"/>
              <w:left w:val="nil"/>
              <w:bottom w:val="nil"/>
              <w:right w:val="nil"/>
            </w:tcBorders>
            <w:shd w:val="clear" w:color="auto" w:fill="FFFFFF" w:themeFill="background1"/>
            <w:vAlign w:val="center"/>
            <w:hideMark/>
          </w:tcPr>
          <w:p w14:paraId="48221A67" w14:textId="73756B7B" w:rsidR="002D7827" w:rsidRPr="00250B90" w:rsidRDefault="00AE4FC8" w:rsidP="002D7827">
            <w:pPr>
              <w:jc w:val="center"/>
              <w:rPr>
                <w:color w:val="000000"/>
                <w:sz w:val="16"/>
                <w:szCs w:val="16"/>
                <w:lang w:val="es-AR" w:eastAsia="es-AR"/>
              </w:rPr>
            </w:pPr>
            <w:r>
              <w:rPr>
                <w:sz w:val="16"/>
                <w:szCs w:val="16"/>
              </w:rPr>
              <w:t>116.3</w:t>
            </w:r>
          </w:p>
        </w:tc>
        <w:tc>
          <w:tcPr>
            <w:tcW w:w="801" w:type="dxa"/>
            <w:tcBorders>
              <w:top w:val="nil"/>
              <w:left w:val="nil"/>
              <w:bottom w:val="nil"/>
              <w:right w:val="nil"/>
            </w:tcBorders>
            <w:shd w:val="clear" w:color="auto" w:fill="FFFFFF" w:themeFill="background1"/>
            <w:vAlign w:val="center"/>
            <w:hideMark/>
          </w:tcPr>
          <w:p w14:paraId="5F5BCBF7" w14:textId="447312AB" w:rsidR="002D7827" w:rsidRPr="00250B90" w:rsidRDefault="00D97578" w:rsidP="002D7827">
            <w:pPr>
              <w:jc w:val="center"/>
              <w:rPr>
                <w:color w:val="000000"/>
                <w:sz w:val="16"/>
                <w:szCs w:val="16"/>
                <w:lang w:val="es-AR" w:eastAsia="es-AR"/>
              </w:rPr>
            </w:pPr>
            <w:r>
              <w:rPr>
                <w:sz w:val="16"/>
                <w:szCs w:val="16"/>
              </w:rPr>
              <w:t>66.1</w:t>
            </w:r>
          </w:p>
        </w:tc>
        <w:tc>
          <w:tcPr>
            <w:tcW w:w="858" w:type="dxa"/>
            <w:tcBorders>
              <w:top w:val="nil"/>
              <w:left w:val="nil"/>
              <w:bottom w:val="nil"/>
              <w:right w:val="nil"/>
            </w:tcBorders>
            <w:shd w:val="clear" w:color="auto" w:fill="FFFFFF" w:themeFill="background1"/>
            <w:vAlign w:val="center"/>
            <w:hideMark/>
          </w:tcPr>
          <w:p w14:paraId="5FACA7CF" w14:textId="35B2364A" w:rsidR="002D7827" w:rsidRPr="00250B90" w:rsidRDefault="00D97578" w:rsidP="002D7827">
            <w:pPr>
              <w:jc w:val="center"/>
              <w:rPr>
                <w:color w:val="000000"/>
                <w:sz w:val="16"/>
                <w:szCs w:val="16"/>
                <w:lang w:val="es-AR" w:eastAsia="es-AR"/>
              </w:rPr>
            </w:pPr>
            <w:r>
              <w:rPr>
                <w:sz w:val="16"/>
                <w:szCs w:val="16"/>
              </w:rPr>
              <w:t>37.5</w:t>
            </w:r>
          </w:p>
        </w:tc>
        <w:tc>
          <w:tcPr>
            <w:tcW w:w="819" w:type="dxa"/>
            <w:tcBorders>
              <w:top w:val="nil"/>
              <w:left w:val="nil"/>
              <w:bottom w:val="nil"/>
              <w:right w:val="nil"/>
            </w:tcBorders>
            <w:shd w:val="clear" w:color="auto" w:fill="FFFFFF" w:themeFill="background1"/>
            <w:vAlign w:val="center"/>
            <w:hideMark/>
          </w:tcPr>
          <w:p w14:paraId="7DAE8B4F" w14:textId="58F0BA82" w:rsidR="002D7827" w:rsidRPr="00250B90" w:rsidRDefault="00D97578" w:rsidP="002D7827">
            <w:pPr>
              <w:jc w:val="center"/>
              <w:rPr>
                <w:color w:val="000000"/>
                <w:sz w:val="16"/>
                <w:szCs w:val="16"/>
                <w:lang w:val="es-AR" w:eastAsia="es-AR"/>
              </w:rPr>
            </w:pPr>
            <w:r>
              <w:rPr>
                <w:sz w:val="16"/>
                <w:szCs w:val="16"/>
              </w:rPr>
              <w:t>20.2</w:t>
            </w:r>
          </w:p>
        </w:tc>
        <w:tc>
          <w:tcPr>
            <w:tcW w:w="839" w:type="dxa"/>
            <w:tcBorders>
              <w:top w:val="nil"/>
              <w:left w:val="nil"/>
              <w:bottom w:val="nil"/>
              <w:right w:val="nil"/>
            </w:tcBorders>
            <w:shd w:val="clear" w:color="auto" w:fill="FFFFFF" w:themeFill="background1"/>
            <w:vAlign w:val="center"/>
            <w:hideMark/>
          </w:tcPr>
          <w:p w14:paraId="2C23511C" w14:textId="67530E2E" w:rsidR="002D7827" w:rsidRPr="00250B90" w:rsidRDefault="00D97578" w:rsidP="002D7827">
            <w:pPr>
              <w:jc w:val="center"/>
              <w:rPr>
                <w:color w:val="000000"/>
                <w:sz w:val="16"/>
                <w:szCs w:val="16"/>
                <w:lang w:val="es-AR" w:eastAsia="es-AR"/>
              </w:rPr>
            </w:pPr>
            <w:r>
              <w:rPr>
                <w:sz w:val="16"/>
                <w:szCs w:val="16"/>
              </w:rPr>
              <w:t>9.2</w:t>
            </w:r>
          </w:p>
        </w:tc>
      </w:tr>
      <w:tr w:rsidR="00D97578" w:rsidRPr="002B4E83" w14:paraId="0AE3EC91" w14:textId="77777777" w:rsidTr="00D97578">
        <w:trPr>
          <w:trHeight w:val="315"/>
        </w:trPr>
        <w:tc>
          <w:tcPr>
            <w:tcW w:w="2675" w:type="dxa"/>
            <w:tcBorders>
              <w:top w:val="nil"/>
              <w:left w:val="nil"/>
              <w:bottom w:val="nil"/>
              <w:right w:val="nil"/>
            </w:tcBorders>
            <w:shd w:val="clear" w:color="auto" w:fill="FFFFFF" w:themeFill="background1"/>
            <w:hideMark/>
          </w:tcPr>
          <w:p w14:paraId="1CBFF11E" w14:textId="77777777" w:rsidR="002D7827" w:rsidRPr="00D97578" w:rsidRDefault="002D7827" w:rsidP="002D7827">
            <w:pPr>
              <w:rPr>
                <w:b/>
                <w:bCs/>
                <w:color w:val="000000"/>
                <w:sz w:val="16"/>
                <w:szCs w:val="16"/>
                <w:lang w:val="es-AR" w:eastAsia="es-AR"/>
              </w:rPr>
            </w:pPr>
            <w:r w:rsidRPr="00D97578">
              <w:rPr>
                <w:b/>
                <w:bCs/>
                <w:color w:val="000000"/>
                <w:sz w:val="16"/>
                <w:szCs w:val="16"/>
                <w:lang w:val="es-AR" w:eastAsia="es-AR"/>
              </w:rPr>
              <w:t>Total Proved</w:t>
            </w:r>
          </w:p>
        </w:tc>
        <w:tc>
          <w:tcPr>
            <w:tcW w:w="801" w:type="dxa"/>
            <w:tcBorders>
              <w:top w:val="single" w:sz="4" w:space="0" w:color="auto"/>
              <w:left w:val="nil"/>
              <w:bottom w:val="nil"/>
              <w:right w:val="nil"/>
            </w:tcBorders>
            <w:shd w:val="clear" w:color="auto" w:fill="FFFFFF" w:themeFill="background1"/>
            <w:vAlign w:val="center"/>
            <w:hideMark/>
          </w:tcPr>
          <w:p w14:paraId="0A91BE07" w14:textId="7AA94531" w:rsidR="002D7827" w:rsidRPr="00250B90" w:rsidRDefault="00AE4FC8" w:rsidP="002D7827">
            <w:pPr>
              <w:jc w:val="center"/>
              <w:rPr>
                <w:b/>
                <w:bCs/>
                <w:color w:val="000000"/>
                <w:sz w:val="16"/>
                <w:szCs w:val="16"/>
                <w:lang w:val="es-AR" w:eastAsia="es-AR"/>
              </w:rPr>
            </w:pPr>
            <w:r>
              <w:rPr>
                <w:b/>
                <w:bCs/>
                <w:sz w:val="16"/>
                <w:szCs w:val="16"/>
              </w:rPr>
              <w:t>515.7</w:t>
            </w:r>
          </w:p>
        </w:tc>
        <w:tc>
          <w:tcPr>
            <w:tcW w:w="801" w:type="dxa"/>
            <w:tcBorders>
              <w:top w:val="single" w:sz="4" w:space="0" w:color="auto"/>
              <w:left w:val="nil"/>
              <w:bottom w:val="nil"/>
              <w:right w:val="nil"/>
            </w:tcBorders>
            <w:shd w:val="clear" w:color="auto" w:fill="FFFFFF" w:themeFill="background1"/>
            <w:vAlign w:val="center"/>
            <w:hideMark/>
          </w:tcPr>
          <w:p w14:paraId="1433D9E1" w14:textId="0D9FF760" w:rsidR="002D7827" w:rsidRPr="00250B90" w:rsidRDefault="00D97578" w:rsidP="002D7827">
            <w:pPr>
              <w:jc w:val="center"/>
              <w:rPr>
                <w:b/>
                <w:bCs/>
                <w:color w:val="000000"/>
                <w:sz w:val="16"/>
                <w:szCs w:val="16"/>
                <w:lang w:val="es-AR" w:eastAsia="es-AR"/>
              </w:rPr>
            </w:pPr>
            <w:r>
              <w:rPr>
                <w:b/>
                <w:bCs/>
                <w:sz w:val="16"/>
                <w:szCs w:val="16"/>
              </w:rPr>
              <w:t>327.8</w:t>
            </w:r>
          </w:p>
        </w:tc>
        <w:tc>
          <w:tcPr>
            <w:tcW w:w="858" w:type="dxa"/>
            <w:tcBorders>
              <w:top w:val="single" w:sz="4" w:space="0" w:color="auto"/>
              <w:left w:val="nil"/>
              <w:bottom w:val="nil"/>
              <w:right w:val="nil"/>
            </w:tcBorders>
            <w:shd w:val="clear" w:color="auto" w:fill="FFFFFF" w:themeFill="background1"/>
            <w:vAlign w:val="center"/>
            <w:hideMark/>
          </w:tcPr>
          <w:p w14:paraId="243A3D38" w14:textId="10D97D0B" w:rsidR="002D7827" w:rsidRPr="00250B90" w:rsidRDefault="00D97578" w:rsidP="002D7827">
            <w:pPr>
              <w:jc w:val="center"/>
              <w:rPr>
                <w:b/>
                <w:bCs/>
                <w:color w:val="000000"/>
                <w:sz w:val="16"/>
                <w:szCs w:val="16"/>
                <w:lang w:val="es-AR" w:eastAsia="es-AR"/>
              </w:rPr>
            </w:pPr>
            <w:r>
              <w:rPr>
                <w:b/>
                <w:bCs/>
                <w:sz w:val="16"/>
                <w:szCs w:val="16"/>
              </w:rPr>
              <w:t>222.6</w:t>
            </w:r>
          </w:p>
        </w:tc>
        <w:tc>
          <w:tcPr>
            <w:tcW w:w="819" w:type="dxa"/>
            <w:tcBorders>
              <w:top w:val="single" w:sz="4" w:space="0" w:color="auto"/>
              <w:left w:val="nil"/>
              <w:bottom w:val="nil"/>
              <w:right w:val="nil"/>
            </w:tcBorders>
            <w:shd w:val="clear" w:color="auto" w:fill="FFFFFF" w:themeFill="background1"/>
            <w:vAlign w:val="center"/>
            <w:hideMark/>
          </w:tcPr>
          <w:p w14:paraId="694B54D3" w14:textId="262FE365" w:rsidR="002D7827" w:rsidRPr="00250B90" w:rsidRDefault="00D97578" w:rsidP="002D7827">
            <w:pPr>
              <w:jc w:val="center"/>
              <w:rPr>
                <w:b/>
                <w:bCs/>
                <w:color w:val="000000"/>
                <w:sz w:val="16"/>
                <w:szCs w:val="16"/>
                <w:lang w:val="es-AR" w:eastAsia="es-AR"/>
              </w:rPr>
            </w:pPr>
            <w:r>
              <w:rPr>
                <w:b/>
                <w:bCs/>
                <w:sz w:val="16"/>
                <w:szCs w:val="16"/>
              </w:rPr>
              <w:t>159.6</w:t>
            </w:r>
          </w:p>
        </w:tc>
        <w:tc>
          <w:tcPr>
            <w:tcW w:w="839" w:type="dxa"/>
            <w:tcBorders>
              <w:top w:val="single" w:sz="4" w:space="0" w:color="auto"/>
              <w:left w:val="nil"/>
              <w:bottom w:val="nil"/>
              <w:right w:val="nil"/>
            </w:tcBorders>
            <w:shd w:val="clear" w:color="auto" w:fill="FFFFFF" w:themeFill="background1"/>
            <w:vAlign w:val="center"/>
            <w:hideMark/>
          </w:tcPr>
          <w:p w14:paraId="0A02076F" w14:textId="7853F058" w:rsidR="002D7827" w:rsidRPr="00250B90" w:rsidRDefault="00D97578" w:rsidP="002D7827">
            <w:pPr>
              <w:jc w:val="center"/>
              <w:rPr>
                <w:b/>
                <w:bCs/>
                <w:color w:val="000000"/>
                <w:sz w:val="16"/>
                <w:szCs w:val="16"/>
                <w:lang w:val="es-AR" w:eastAsia="es-AR"/>
              </w:rPr>
            </w:pPr>
            <w:r>
              <w:rPr>
                <w:b/>
                <w:bCs/>
                <w:sz w:val="16"/>
                <w:szCs w:val="16"/>
              </w:rPr>
              <w:t>119.7</w:t>
            </w:r>
          </w:p>
        </w:tc>
      </w:tr>
      <w:tr w:rsidR="00D97578" w:rsidRPr="002B4E83" w14:paraId="46B3881D" w14:textId="77777777" w:rsidTr="00D97578">
        <w:trPr>
          <w:trHeight w:val="300"/>
        </w:trPr>
        <w:tc>
          <w:tcPr>
            <w:tcW w:w="2675" w:type="dxa"/>
            <w:tcBorders>
              <w:top w:val="nil"/>
              <w:left w:val="nil"/>
              <w:bottom w:val="nil"/>
              <w:right w:val="nil"/>
            </w:tcBorders>
            <w:shd w:val="clear" w:color="auto" w:fill="FFFFFF" w:themeFill="background1"/>
            <w:hideMark/>
          </w:tcPr>
          <w:p w14:paraId="64F735D7" w14:textId="77777777" w:rsidR="002D7827" w:rsidRPr="002B4E83" w:rsidRDefault="002D7827" w:rsidP="002D7827">
            <w:pPr>
              <w:rPr>
                <w:color w:val="000000"/>
                <w:sz w:val="16"/>
                <w:szCs w:val="16"/>
                <w:lang w:val="es-AR" w:eastAsia="es-AR"/>
              </w:rPr>
            </w:pPr>
            <w:r w:rsidRPr="002B4E83">
              <w:rPr>
                <w:color w:val="000000"/>
                <w:sz w:val="16"/>
                <w:szCs w:val="16"/>
                <w:lang w:val="es-AR" w:eastAsia="es-AR"/>
              </w:rPr>
              <w:t>Total Probable</w:t>
            </w:r>
          </w:p>
        </w:tc>
        <w:tc>
          <w:tcPr>
            <w:tcW w:w="801" w:type="dxa"/>
            <w:tcBorders>
              <w:top w:val="nil"/>
              <w:left w:val="nil"/>
              <w:bottom w:val="nil"/>
              <w:right w:val="nil"/>
            </w:tcBorders>
            <w:shd w:val="clear" w:color="auto" w:fill="FFFFFF" w:themeFill="background1"/>
            <w:vAlign w:val="center"/>
            <w:hideMark/>
          </w:tcPr>
          <w:p w14:paraId="7AD957A9" w14:textId="4AD05E37" w:rsidR="002D7827" w:rsidRPr="00250B90" w:rsidRDefault="00AE4FC8" w:rsidP="002D7827">
            <w:pPr>
              <w:jc w:val="center"/>
              <w:rPr>
                <w:color w:val="000000"/>
                <w:sz w:val="16"/>
                <w:szCs w:val="16"/>
                <w:lang w:val="es-AR" w:eastAsia="es-AR"/>
              </w:rPr>
            </w:pPr>
            <w:r>
              <w:rPr>
                <w:sz w:val="16"/>
                <w:szCs w:val="16"/>
              </w:rPr>
              <w:t>498.1</w:t>
            </w:r>
          </w:p>
        </w:tc>
        <w:tc>
          <w:tcPr>
            <w:tcW w:w="801" w:type="dxa"/>
            <w:tcBorders>
              <w:top w:val="nil"/>
              <w:left w:val="nil"/>
              <w:bottom w:val="nil"/>
              <w:right w:val="nil"/>
            </w:tcBorders>
            <w:shd w:val="clear" w:color="auto" w:fill="FFFFFF" w:themeFill="background1"/>
            <w:vAlign w:val="center"/>
            <w:hideMark/>
          </w:tcPr>
          <w:p w14:paraId="7F04F76F" w14:textId="4CE1DBC4" w:rsidR="002D7827" w:rsidRPr="00250B90" w:rsidRDefault="00D97578" w:rsidP="002D7827">
            <w:pPr>
              <w:jc w:val="center"/>
              <w:rPr>
                <w:color w:val="000000"/>
                <w:sz w:val="16"/>
                <w:szCs w:val="16"/>
                <w:lang w:val="es-AR" w:eastAsia="es-AR"/>
              </w:rPr>
            </w:pPr>
            <w:r>
              <w:rPr>
                <w:sz w:val="16"/>
                <w:szCs w:val="16"/>
              </w:rPr>
              <w:t>252.8</w:t>
            </w:r>
          </w:p>
        </w:tc>
        <w:tc>
          <w:tcPr>
            <w:tcW w:w="858" w:type="dxa"/>
            <w:tcBorders>
              <w:top w:val="nil"/>
              <w:left w:val="nil"/>
              <w:bottom w:val="nil"/>
              <w:right w:val="nil"/>
            </w:tcBorders>
            <w:shd w:val="clear" w:color="auto" w:fill="FFFFFF" w:themeFill="background1"/>
            <w:vAlign w:val="center"/>
            <w:hideMark/>
          </w:tcPr>
          <w:p w14:paraId="7C956611" w14:textId="029EBF67" w:rsidR="002D7827" w:rsidRPr="00250B90" w:rsidRDefault="00D97578" w:rsidP="002D7827">
            <w:pPr>
              <w:jc w:val="center"/>
              <w:rPr>
                <w:color w:val="000000"/>
                <w:sz w:val="16"/>
                <w:szCs w:val="16"/>
                <w:lang w:val="es-AR" w:eastAsia="es-AR"/>
              </w:rPr>
            </w:pPr>
            <w:r>
              <w:rPr>
                <w:sz w:val="16"/>
                <w:szCs w:val="16"/>
              </w:rPr>
              <w:t>136.3</w:t>
            </w:r>
          </w:p>
        </w:tc>
        <w:tc>
          <w:tcPr>
            <w:tcW w:w="819" w:type="dxa"/>
            <w:tcBorders>
              <w:top w:val="nil"/>
              <w:left w:val="nil"/>
              <w:bottom w:val="nil"/>
              <w:right w:val="nil"/>
            </w:tcBorders>
            <w:shd w:val="clear" w:color="auto" w:fill="FFFFFF" w:themeFill="background1"/>
            <w:vAlign w:val="center"/>
            <w:hideMark/>
          </w:tcPr>
          <w:p w14:paraId="0A79870D" w14:textId="16336F30" w:rsidR="002D7827" w:rsidRPr="00250B90" w:rsidRDefault="00D97578" w:rsidP="002D7827">
            <w:pPr>
              <w:jc w:val="center"/>
              <w:rPr>
                <w:color w:val="000000"/>
                <w:sz w:val="16"/>
                <w:szCs w:val="16"/>
                <w:lang w:val="es-AR" w:eastAsia="es-AR"/>
              </w:rPr>
            </w:pPr>
            <w:r>
              <w:rPr>
                <w:sz w:val="16"/>
                <w:szCs w:val="16"/>
              </w:rPr>
              <w:t>77.0</w:t>
            </w:r>
          </w:p>
        </w:tc>
        <w:tc>
          <w:tcPr>
            <w:tcW w:w="839" w:type="dxa"/>
            <w:tcBorders>
              <w:top w:val="nil"/>
              <w:left w:val="nil"/>
              <w:bottom w:val="nil"/>
              <w:right w:val="nil"/>
            </w:tcBorders>
            <w:shd w:val="clear" w:color="auto" w:fill="FFFFFF" w:themeFill="background1"/>
            <w:vAlign w:val="center"/>
            <w:hideMark/>
          </w:tcPr>
          <w:p w14:paraId="733EAE59" w14:textId="473866EA" w:rsidR="002D7827" w:rsidRPr="00250B90" w:rsidRDefault="00D97578" w:rsidP="002D7827">
            <w:pPr>
              <w:jc w:val="center"/>
              <w:rPr>
                <w:color w:val="000000"/>
                <w:sz w:val="16"/>
                <w:szCs w:val="16"/>
                <w:lang w:val="es-AR" w:eastAsia="es-AR"/>
              </w:rPr>
            </w:pPr>
            <w:r>
              <w:rPr>
                <w:sz w:val="16"/>
                <w:szCs w:val="16"/>
              </w:rPr>
              <w:t>46.7</w:t>
            </w:r>
          </w:p>
        </w:tc>
      </w:tr>
      <w:tr w:rsidR="00D97578" w:rsidRPr="002B4E83" w14:paraId="61BAA3B3" w14:textId="77777777" w:rsidTr="00D97578">
        <w:trPr>
          <w:trHeight w:val="315"/>
        </w:trPr>
        <w:tc>
          <w:tcPr>
            <w:tcW w:w="2675" w:type="dxa"/>
            <w:tcBorders>
              <w:top w:val="nil"/>
              <w:left w:val="nil"/>
              <w:bottom w:val="nil"/>
              <w:right w:val="nil"/>
            </w:tcBorders>
            <w:shd w:val="clear" w:color="auto" w:fill="FFFFFF" w:themeFill="background1"/>
            <w:hideMark/>
          </w:tcPr>
          <w:p w14:paraId="70799D12" w14:textId="77777777" w:rsidR="002D7827" w:rsidRPr="00D97578" w:rsidRDefault="002D7827" w:rsidP="002D7827">
            <w:pPr>
              <w:rPr>
                <w:b/>
                <w:bCs/>
                <w:color w:val="000000"/>
                <w:sz w:val="16"/>
                <w:szCs w:val="16"/>
                <w:lang w:val="es-AR" w:eastAsia="es-AR"/>
              </w:rPr>
            </w:pPr>
            <w:r w:rsidRPr="00D97578">
              <w:rPr>
                <w:b/>
                <w:bCs/>
                <w:color w:val="000000"/>
                <w:sz w:val="16"/>
                <w:szCs w:val="16"/>
                <w:lang w:val="es-AR" w:eastAsia="es-AR"/>
              </w:rPr>
              <w:t>Total Proved plus Probable</w:t>
            </w:r>
          </w:p>
        </w:tc>
        <w:tc>
          <w:tcPr>
            <w:tcW w:w="801" w:type="dxa"/>
            <w:tcBorders>
              <w:top w:val="single" w:sz="4" w:space="0" w:color="auto"/>
              <w:left w:val="nil"/>
              <w:bottom w:val="nil"/>
              <w:right w:val="nil"/>
            </w:tcBorders>
            <w:shd w:val="clear" w:color="auto" w:fill="FFFFFF" w:themeFill="background1"/>
            <w:vAlign w:val="center"/>
            <w:hideMark/>
          </w:tcPr>
          <w:p w14:paraId="048BA1E5" w14:textId="36BB2FBC" w:rsidR="002D7827" w:rsidRPr="00250B90" w:rsidRDefault="00AE4FC8" w:rsidP="002D7827">
            <w:pPr>
              <w:jc w:val="center"/>
              <w:rPr>
                <w:b/>
                <w:bCs/>
                <w:color w:val="000000"/>
                <w:sz w:val="16"/>
                <w:szCs w:val="16"/>
                <w:lang w:eastAsia="es-AR"/>
              </w:rPr>
            </w:pPr>
            <w:r>
              <w:rPr>
                <w:b/>
                <w:bCs/>
                <w:sz w:val="16"/>
                <w:szCs w:val="16"/>
              </w:rPr>
              <w:t>1,014</w:t>
            </w:r>
          </w:p>
        </w:tc>
        <w:tc>
          <w:tcPr>
            <w:tcW w:w="801" w:type="dxa"/>
            <w:tcBorders>
              <w:top w:val="single" w:sz="4" w:space="0" w:color="auto"/>
              <w:left w:val="nil"/>
              <w:bottom w:val="nil"/>
              <w:right w:val="nil"/>
            </w:tcBorders>
            <w:shd w:val="clear" w:color="auto" w:fill="FFFFFF" w:themeFill="background1"/>
            <w:vAlign w:val="center"/>
            <w:hideMark/>
          </w:tcPr>
          <w:p w14:paraId="7BCE8676" w14:textId="0FB8C965" w:rsidR="002D7827" w:rsidRPr="00250B90" w:rsidRDefault="00D97578" w:rsidP="002D7827">
            <w:pPr>
              <w:jc w:val="center"/>
              <w:rPr>
                <w:b/>
                <w:bCs/>
                <w:color w:val="000000"/>
                <w:sz w:val="16"/>
                <w:szCs w:val="16"/>
                <w:lang w:eastAsia="es-AR"/>
              </w:rPr>
            </w:pPr>
            <w:r>
              <w:rPr>
                <w:b/>
                <w:bCs/>
                <w:sz w:val="16"/>
                <w:szCs w:val="16"/>
              </w:rPr>
              <w:t>580.6</w:t>
            </w:r>
          </w:p>
        </w:tc>
        <w:tc>
          <w:tcPr>
            <w:tcW w:w="858" w:type="dxa"/>
            <w:tcBorders>
              <w:top w:val="single" w:sz="4" w:space="0" w:color="auto"/>
              <w:left w:val="nil"/>
              <w:bottom w:val="nil"/>
              <w:right w:val="nil"/>
            </w:tcBorders>
            <w:shd w:val="clear" w:color="auto" w:fill="FFFFFF" w:themeFill="background1"/>
            <w:vAlign w:val="center"/>
            <w:hideMark/>
          </w:tcPr>
          <w:p w14:paraId="3D094684" w14:textId="1F2192EF" w:rsidR="002D7827" w:rsidRPr="00250B90" w:rsidRDefault="00D97578" w:rsidP="002D7827">
            <w:pPr>
              <w:jc w:val="center"/>
              <w:rPr>
                <w:b/>
                <w:bCs/>
                <w:color w:val="000000"/>
                <w:sz w:val="16"/>
                <w:szCs w:val="16"/>
                <w:lang w:eastAsia="es-AR"/>
              </w:rPr>
            </w:pPr>
            <w:r>
              <w:rPr>
                <w:b/>
                <w:bCs/>
                <w:sz w:val="16"/>
                <w:szCs w:val="16"/>
              </w:rPr>
              <w:t>358.9</w:t>
            </w:r>
          </w:p>
        </w:tc>
        <w:tc>
          <w:tcPr>
            <w:tcW w:w="819" w:type="dxa"/>
            <w:tcBorders>
              <w:top w:val="single" w:sz="4" w:space="0" w:color="auto"/>
              <w:left w:val="nil"/>
              <w:bottom w:val="nil"/>
              <w:right w:val="nil"/>
            </w:tcBorders>
            <w:shd w:val="clear" w:color="auto" w:fill="FFFFFF" w:themeFill="background1"/>
            <w:vAlign w:val="center"/>
            <w:hideMark/>
          </w:tcPr>
          <w:p w14:paraId="27E3144A" w14:textId="4E3D4194" w:rsidR="002D7827" w:rsidRPr="00250B90" w:rsidRDefault="00D97578" w:rsidP="002D7827">
            <w:pPr>
              <w:jc w:val="center"/>
              <w:rPr>
                <w:b/>
                <w:bCs/>
                <w:color w:val="000000"/>
                <w:sz w:val="16"/>
                <w:szCs w:val="16"/>
                <w:lang w:eastAsia="es-AR"/>
              </w:rPr>
            </w:pPr>
            <w:r>
              <w:rPr>
                <w:b/>
                <w:bCs/>
                <w:sz w:val="16"/>
                <w:szCs w:val="16"/>
              </w:rPr>
              <w:t>237.3</w:t>
            </w:r>
          </w:p>
        </w:tc>
        <w:tc>
          <w:tcPr>
            <w:tcW w:w="839" w:type="dxa"/>
            <w:tcBorders>
              <w:top w:val="single" w:sz="4" w:space="0" w:color="auto"/>
              <w:left w:val="nil"/>
              <w:bottom w:val="nil"/>
              <w:right w:val="nil"/>
            </w:tcBorders>
            <w:shd w:val="clear" w:color="auto" w:fill="FFFFFF" w:themeFill="background1"/>
            <w:vAlign w:val="center"/>
            <w:hideMark/>
          </w:tcPr>
          <w:p w14:paraId="4D8E28A8" w14:textId="59D0FE17" w:rsidR="002D7827" w:rsidRPr="00250B90" w:rsidRDefault="00D97578" w:rsidP="002D7827">
            <w:pPr>
              <w:jc w:val="center"/>
              <w:rPr>
                <w:b/>
                <w:bCs/>
                <w:color w:val="000000"/>
                <w:sz w:val="16"/>
                <w:szCs w:val="16"/>
                <w:lang w:eastAsia="es-AR"/>
              </w:rPr>
            </w:pPr>
            <w:r>
              <w:rPr>
                <w:b/>
                <w:bCs/>
                <w:sz w:val="16"/>
                <w:szCs w:val="16"/>
              </w:rPr>
              <w:t>166.4</w:t>
            </w:r>
          </w:p>
        </w:tc>
      </w:tr>
    </w:tbl>
    <w:p w14:paraId="5026EEBB" w14:textId="77777777" w:rsidR="004A2E5D" w:rsidRPr="002B4E83" w:rsidRDefault="004A2E5D" w:rsidP="004A2E5D">
      <w:pPr>
        <w:numPr>
          <w:ilvl w:val="0"/>
          <w:numId w:val="1"/>
        </w:numPr>
        <w:spacing w:before="60"/>
        <w:ind w:left="425" w:hanging="425"/>
        <w:jc w:val="both"/>
        <w:rPr>
          <w:rFonts w:ascii="Times New Roman" w:hAnsi="Times New Roman"/>
          <w:sz w:val="18"/>
          <w:szCs w:val="16"/>
          <w:lang w:val="en-CA"/>
        </w:rPr>
      </w:pPr>
      <w:r w:rsidRPr="002B4E83">
        <w:rPr>
          <w:b/>
          <w:sz w:val="16"/>
          <w:szCs w:val="16"/>
        </w:rPr>
        <w:fldChar w:fldCharType="end"/>
      </w:r>
      <w:r w:rsidRPr="002B4E83">
        <w:rPr>
          <w:rFonts w:ascii="Times New Roman" w:hAnsi="Times New Roman"/>
          <w:sz w:val="18"/>
          <w:szCs w:val="16"/>
          <w:lang w:val="en-CA"/>
        </w:rPr>
        <w:t>The estimated net present values of future net revenues disclosed do not represent fair market value.</w:t>
      </w:r>
    </w:p>
    <w:p w14:paraId="00A15A92" w14:textId="77777777" w:rsidR="004A2E5D" w:rsidRPr="007B6295" w:rsidRDefault="004A2E5D" w:rsidP="004A2E5D">
      <w:pPr>
        <w:numPr>
          <w:ilvl w:val="0"/>
          <w:numId w:val="1"/>
        </w:numPr>
        <w:spacing w:before="60"/>
        <w:ind w:left="425" w:hanging="425"/>
        <w:jc w:val="both"/>
        <w:rPr>
          <w:rFonts w:ascii="Times New Roman" w:hAnsi="Times New Roman"/>
          <w:sz w:val="18"/>
          <w:szCs w:val="16"/>
          <w:lang w:val="en-CA"/>
        </w:rPr>
      </w:pPr>
      <w:r w:rsidRPr="007B6295">
        <w:rPr>
          <w:rFonts w:ascii="Times New Roman" w:hAnsi="Times New Roman"/>
          <w:sz w:val="18"/>
          <w:szCs w:val="16"/>
          <w:lang w:val="en-CA"/>
        </w:rPr>
        <w:t xml:space="preserve">The </w:t>
      </w:r>
      <w:r w:rsidR="00E35476" w:rsidRPr="007B6295">
        <w:rPr>
          <w:rFonts w:ascii="Times New Roman" w:hAnsi="Times New Roman"/>
          <w:sz w:val="18"/>
          <w:szCs w:val="16"/>
          <w:lang w:val="en-CA"/>
        </w:rPr>
        <w:t>definitions of the various categories of reserves are those set out in NI 51-101 and the COGE Handbook</w:t>
      </w:r>
      <w:r w:rsidRPr="007B6295">
        <w:rPr>
          <w:rFonts w:ascii="Times New Roman" w:hAnsi="Times New Roman"/>
          <w:sz w:val="18"/>
          <w:szCs w:val="16"/>
          <w:lang w:val="en-CA"/>
        </w:rPr>
        <w:t>.</w:t>
      </w:r>
    </w:p>
    <w:p w14:paraId="491C5653" w14:textId="77777777" w:rsidR="001A6102" w:rsidRPr="007B6295" w:rsidRDefault="001A6102" w:rsidP="003A2F45">
      <w:pPr>
        <w:tabs>
          <w:tab w:val="left" w:pos="1440"/>
        </w:tabs>
        <w:spacing w:before="120" w:line="240" w:lineRule="atLeast"/>
        <w:jc w:val="both"/>
        <w:rPr>
          <w:rFonts w:ascii="Times New Roman" w:hAnsi="Times New Roman"/>
          <w:szCs w:val="22"/>
        </w:rPr>
      </w:pPr>
    </w:p>
    <w:p w14:paraId="2E96074F" w14:textId="0E389441" w:rsidR="00CB1DA8" w:rsidRPr="002D00A1" w:rsidRDefault="00CB1DA8" w:rsidP="00CB1DA8">
      <w:pPr>
        <w:tabs>
          <w:tab w:val="left" w:pos="1440"/>
        </w:tabs>
        <w:spacing w:before="120" w:line="240" w:lineRule="atLeast"/>
        <w:jc w:val="both"/>
        <w:rPr>
          <w:sz w:val="20"/>
          <w:szCs w:val="20"/>
        </w:rPr>
      </w:pPr>
      <w:bookmarkStart w:id="1" w:name="_Hlk128987485"/>
      <w:r w:rsidRPr="00CB1DA8">
        <w:rPr>
          <w:sz w:val="20"/>
          <w:szCs w:val="20"/>
        </w:rPr>
        <w:t xml:space="preserve">The Company's proved plus probable ("2P") gross reserves as </w:t>
      </w:r>
      <w:r w:rsidR="006229AC">
        <w:rPr>
          <w:sz w:val="20"/>
          <w:szCs w:val="20"/>
        </w:rPr>
        <w:t>of</w:t>
      </w:r>
      <w:r w:rsidR="006229AC" w:rsidRPr="00CB1DA8">
        <w:rPr>
          <w:sz w:val="20"/>
          <w:szCs w:val="20"/>
        </w:rPr>
        <w:t xml:space="preserve"> </w:t>
      </w:r>
      <w:r w:rsidRPr="00CB1DA8">
        <w:rPr>
          <w:sz w:val="20"/>
          <w:szCs w:val="20"/>
        </w:rPr>
        <w:t xml:space="preserve">December 31, </w:t>
      </w:r>
      <w:r w:rsidR="005A1B50" w:rsidRPr="00CB1DA8">
        <w:rPr>
          <w:sz w:val="20"/>
          <w:szCs w:val="20"/>
        </w:rPr>
        <w:t>202</w:t>
      </w:r>
      <w:r w:rsidR="005A1B50">
        <w:rPr>
          <w:sz w:val="20"/>
          <w:szCs w:val="20"/>
        </w:rPr>
        <w:t>4</w:t>
      </w:r>
      <w:r w:rsidRPr="00CB1DA8">
        <w:rPr>
          <w:sz w:val="20"/>
          <w:szCs w:val="20"/>
        </w:rPr>
        <w:t xml:space="preserve">, as </w:t>
      </w:r>
      <w:r w:rsidR="00C6310B">
        <w:rPr>
          <w:sz w:val="20"/>
          <w:szCs w:val="20"/>
        </w:rPr>
        <w:t>evaluated</w:t>
      </w:r>
      <w:r w:rsidR="00C6310B" w:rsidRPr="00CB1DA8">
        <w:rPr>
          <w:sz w:val="20"/>
          <w:szCs w:val="20"/>
        </w:rPr>
        <w:t xml:space="preserve"> </w:t>
      </w:r>
      <w:r w:rsidRPr="00CB1DA8">
        <w:rPr>
          <w:sz w:val="20"/>
          <w:szCs w:val="20"/>
        </w:rPr>
        <w:t xml:space="preserve">by </w:t>
      </w:r>
      <w:r w:rsidR="00093AB9">
        <w:rPr>
          <w:sz w:val="20"/>
          <w:szCs w:val="20"/>
        </w:rPr>
        <w:t>Sproule</w:t>
      </w:r>
      <w:r w:rsidRPr="00CB1DA8">
        <w:rPr>
          <w:sz w:val="20"/>
          <w:szCs w:val="20"/>
        </w:rPr>
        <w:t xml:space="preserve">, </w:t>
      </w:r>
      <w:r w:rsidRPr="00250B90">
        <w:rPr>
          <w:sz w:val="20"/>
          <w:szCs w:val="20"/>
        </w:rPr>
        <w:t xml:space="preserve">were </w:t>
      </w:r>
      <w:r w:rsidR="00DF19B0">
        <w:rPr>
          <w:sz w:val="20"/>
          <w:szCs w:val="20"/>
        </w:rPr>
        <w:t>50,517</w:t>
      </w:r>
      <w:r w:rsidR="00F45E89" w:rsidRPr="00250B90">
        <w:rPr>
          <w:sz w:val="20"/>
          <w:szCs w:val="20"/>
        </w:rPr>
        <w:t xml:space="preserve"> </w:t>
      </w:r>
      <w:r w:rsidRPr="00250B90">
        <w:rPr>
          <w:sz w:val="20"/>
          <w:szCs w:val="20"/>
        </w:rPr>
        <w:t>MBOE</w:t>
      </w:r>
      <w:r w:rsidRPr="00CB1DA8">
        <w:rPr>
          <w:sz w:val="20"/>
          <w:szCs w:val="20"/>
        </w:rPr>
        <w:t xml:space="preserve"> compared to </w:t>
      </w:r>
      <w:r w:rsidR="00093AB9" w:rsidRPr="00381F14">
        <w:rPr>
          <w:sz w:val="20"/>
          <w:szCs w:val="20"/>
        </w:rPr>
        <w:t>7,</w:t>
      </w:r>
      <w:r w:rsidR="005A1B50">
        <w:rPr>
          <w:sz w:val="20"/>
          <w:szCs w:val="20"/>
        </w:rPr>
        <w:t>813</w:t>
      </w:r>
      <w:r w:rsidR="005A1B50" w:rsidRPr="00381F14">
        <w:rPr>
          <w:sz w:val="20"/>
          <w:szCs w:val="20"/>
        </w:rPr>
        <w:t xml:space="preserve"> </w:t>
      </w:r>
      <w:r w:rsidRPr="00381F14">
        <w:rPr>
          <w:sz w:val="20"/>
          <w:szCs w:val="20"/>
        </w:rPr>
        <w:t>MBOE</w:t>
      </w:r>
      <w:r w:rsidRPr="00CB1DA8">
        <w:rPr>
          <w:sz w:val="20"/>
          <w:szCs w:val="20"/>
        </w:rPr>
        <w:t xml:space="preserve"> as </w:t>
      </w:r>
      <w:r w:rsidR="00093AB9">
        <w:rPr>
          <w:sz w:val="20"/>
          <w:szCs w:val="20"/>
        </w:rPr>
        <w:t xml:space="preserve">evaluated by </w:t>
      </w:r>
      <w:r w:rsidR="005A1B50">
        <w:rPr>
          <w:sz w:val="20"/>
          <w:szCs w:val="20"/>
        </w:rPr>
        <w:t>Sproule</w:t>
      </w:r>
      <w:r w:rsidR="00F45E89">
        <w:rPr>
          <w:sz w:val="20"/>
          <w:szCs w:val="20"/>
        </w:rPr>
        <w:t xml:space="preserve"> </w:t>
      </w:r>
      <w:r w:rsidR="00093AB9" w:rsidRPr="00250B90">
        <w:rPr>
          <w:sz w:val="20"/>
          <w:szCs w:val="20"/>
        </w:rPr>
        <w:t xml:space="preserve">in their report </w:t>
      </w:r>
      <w:r w:rsidR="002C05CC">
        <w:rPr>
          <w:sz w:val="20"/>
          <w:szCs w:val="20"/>
        </w:rPr>
        <w:t>of</w:t>
      </w:r>
      <w:r w:rsidR="002C05CC" w:rsidRPr="00250B90">
        <w:rPr>
          <w:sz w:val="20"/>
          <w:szCs w:val="20"/>
        </w:rPr>
        <w:t xml:space="preserve"> </w:t>
      </w:r>
      <w:r w:rsidRPr="00250B90">
        <w:rPr>
          <w:sz w:val="20"/>
          <w:szCs w:val="20"/>
        </w:rPr>
        <w:t>December 31, 202</w:t>
      </w:r>
      <w:r w:rsidR="005A1B50">
        <w:rPr>
          <w:sz w:val="20"/>
          <w:szCs w:val="20"/>
        </w:rPr>
        <w:t>3</w:t>
      </w:r>
      <w:r w:rsidRPr="00250B90">
        <w:rPr>
          <w:sz w:val="20"/>
          <w:szCs w:val="20"/>
        </w:rPr>
        <w:t xml:space="preserve">.  The </w:t>
      </w:r>
      <w:r w:rsidR="005A1B50">
        <w:rPr>
          <w:sz w:val="20"/>
          <w:szCs w:val="20"/>
        </w:rPr>
        <w:t>increase</w:t>
      </w:r>
      <w:r w:rsidR="005A1B50" w:rsidRPr="00250B90">
        <w:rPr>
          <w:sz w:val="20"/>
          <w:szCs w:val="20"/>
        </w:rPr>
        <w:t xml:space="preserve"> </w:t>
      </w:r>
      <w:r w:rsidRPr="00250B90">
        <w:rPr>
          <w:sz w:val="20"/>
          <w:szCs w:val="20"/>
        </w:rPr>
        <w:t xml:space="preserve">in 2P reserves is </w:t>
      </w:r>
      <w:r w:rsidRPr="00381F14">
        <w:rPr>
          <w:sz w:val="20"/>
          <w:szCs w:val="20"/>
        </w:rPr>
        <w:t>attributable to</w:t>
      </w:r>
      <w:r w:rsidR="00162128" w:rsidRPr="00381F14">
        <w:rPr>
          <w:sz w:val="20"/>
          <w:szCs w:val="20"/>
        </w:rPr>
        <w:t xml:space="preserve"> </w:t>
      </w:r>
      <w:r w:rsidR="005A1B50">
        <w:rPr>
          <w:sz w:val="20"/>
          <w:szCs w:val="20"/>
        </w:rPr>
        <w:t xml:space="preserve">the previously </w:t>
      </w:r>
      <w:r w:rsidR="00535B62">
        <w:rPr>
          <w:sz w:val="20"/>
          <w:szCs w:val="20"/>
        </w:rPr>
        <w:t xml:space="preserve">disclosed </w:t>
      </w:r>
      <w:r w:rsidR="005A1B50">
        <w:rPr>
          <w:sz w:val="20"/>
          <w:szCs w:val="20"/>
        </w:rPr>
        <w:t>acquisition of a 100% working interest in the Koluel Kaike and Piedra Clavada concessions which closed on November 1, 2024,</w:t>
      </w:r>
      <w:r w:rsidR="009272EA">
        <w:rPr>
          <w:sz w:val="20"/>
          <w:szCs w:val="20"/>
        </w:rPr>
        <w:t xml:space="preserve"> partially offset by </w:t>
      </w:r>
      <w:r w:rsidR="005A1B50">
        <w:rPr>
          <w:sz w:val="20"/>
          <w:szCs w:val="20"/>
        </w:rPr>
        <w:t xml:space="preserve">2024 production </w:t>
      </w:r>
      <w:r w:rsidR="005A1B50" w:rsidRPr="005019C8">
        <w:rPr>
          <w:sz w:val="20"/>
          <w:szCs w:val="20"/>
        </w:rPr>
        <w:t xml:space="preserve">of </w:t>
      </w:r>
      <w:r w:rsidR="005019C8" w:rsidRPr="005019C8">
        <w:rPr>
          <w:sz w:val="20"/>
          <w:szCs w:val="20"/>
        </w:rPr>
        <w:t xml:space="preserve">677 </w:t>
      </w:r>
      <w:r w:rsidR="005A1B50" w:rsidRPr="005019C8">
        <w:rPr>
          <w:sz w:val="20"/>
          <w:szCs w:val="20"/>
        </w:rPr>
        <w:t>MBOE.</w:t>
      </w:r>
      <w:r w:rsidR="00A548E4" w:rsidRPr="00381F14">
        <w:rPr>
          <w:sz w:val="20"/>
          <w:szCs w:val="20"/>
        </w:rPr>
        <w:t xml:space="preserve"> </w:t>
      </w:r>
    </w:p>
    <w:p w14:paraId="4CA31D31" w14:textId="7E5E50F1" w:rsidR="00CB1DA8" w:rsidRPr="00CB1DA8" w:rsidRDefault="00CB1DA8" w:rsidP="00CB1DA8">
      <w:pPr>
        <w:tabs>
          <w:tab w:val="left" w:pos="1440"/>
        </w:tabs>
        <w:spacing w:before="120" w:line="240" w:lineRule="atLeast"/>
        <w:jc w:val="both"/>
        <w:rPr>
          <w:sz w:val="20"/>
          <w:szCs w:val="20"/>
        </w:rPr>
      </w:pPr>
      <w:r w:rsidRPr="00250B90">
        <w:rPr>
          <w:sz w:val="20"/>
          <w:szCs w:val="20"/>
        </w:rPr>
        <w:t xml:space="preserve">The estimated before tax net present value of the Company's 2P reserves as </w:t>
      </w:r>
      <w:r w:rsidR="002C05CC">
        <w:rPr>
          <w:sz w:val="20"/>
          <w:szCs w:val="20"/>
        </w:rPr>
        <w:t>of</w:t>
      </w:r>
      <w:r w:rsidR="002C05CC" w:rsidRPr="00250B90">
        <w:rPr>
          <w:sz w:val="20"/>
          <w:szCs w:val="20"/>
        </w:rPr>
        <w:t xml:space="preserve"> </w:t>
      </w:r>
      <w:r w:rsidRPr="00250B90">
        <w:rPr>
          <w:sz w:val="20"/>
          <w:szCs w:val="20"/>
        </w:rPr>
        <w:t>December 31, 202</w:t>
      </w:r>
      <w:r w:rsidR="005A1B50">
        <w:rPr>
          <w:sz w:val="20"/>
          <w:szCs w:val="20"/>
        </w:rPr>
        <w:t>4</w:t>
      </w:r>
      <w:r w:rsidRPr="00250B90">
        <w:rPr>
          <w:sz w:val="20"/>
          <w:szCs w:val="20"/>
        </w:rPr>
        <w:t xml:space="preserve"> (discounted at 10%) was $</w:t>
      </w:r>
      <w:r w:rsidR="00DF19B0">
        <w:rPr>
          <w:sz w:val="20"/>
          <w:szCs w:val="20"/>
        </w:rPr>
        <w:t xml:space="preserve">358.9 </w:t>
      </w:r>
      <w:r w:rsidRPr="00250B90">
        <w:rPr>
          <w:sz w:val="20"/>
          <w:szCs w:val="20"/>
        </w:rPr>
        <w:t>million, compared with $</w:t>
      </w:r>
      <w:r w:rsidR="005A1B50">
        <w:rPr>
          <w:sz w:val="20"/>
          <w:szCs w:val="20"/>
        </w:rPr>
        <w:t>74.6</w:t>
      </w:r>
      <w:r w:rsidRPr="00250B90">
        <w:rPr>
          <w:sz w:val="20"/>
          <w:szCs w:val="20"/>
        </w:rPr>
        <w:t xml:space="preserve"> million as </w:t>
      </w:r>
      <w:r w:rsidR="002C05CC">
        <w:rPr>
          <w:sz w:val="20"/>
          <w:szCs w:val="20"/>
        </w:rPr>
        <w:t>of</w:t>
      </w:r>
      <w:r w:rsidR="002C05CC" w:rsidRPr="00250B90">
        <w:rPr>
          <w:sz w:val="20"/>
          <w:szCs w:val="20"/>
        </w:rPr>
        <w:t xml:space="preserve"> </w:t>
      </w:r>
      <w:r w:rsidRPr="00250B90">
        <w:rPr>
          <w:sz w:val="20"/>
          <w:szCs w:val="20"/>
        </w:rPr>
        <w:t xml:space="preserve">December 31, </w:t>
      </w:r>
      <w:r w:rsidR="005A1B50" w:rsidRPr="00250B90">
        <w:rPr>
          <w:sz w:val="20"/>
          <w:szCs w:val="20"/>
        </w:rPr>
        <w:t>202</w:t>
      </w:r>
      <w:r w:rsidR="005A1B50">
        <w:rPr>
          <w:sz w:val="20"/>
          <w:szCs w:val="20"/>
        </w:rPr>
        <w:t>3</w:t>
      </w:r>
      <w:r w:rsidRPr="00250B90">
        <w:rPr>
          <w:sz w:val="20"/>
          <w:szCs w:val="20"/>
        </w:rPr>
        <w:t>. The increase in the before tax net present value is attributable to</w:t>
      </w:r>
      <w:r w:rsidR="00162128" w:rsidRPr="00250B90">
        <w:rPr>
          <w:color w:val="FF0000"/>
          <w:sz w:val="20"/>
          <w:szCs w:val="20"/>
        </w:rPr>
        <w:t xml:space="preserve"> </w:t>
      </w:r>
      <w:r w:rsidR="005A1B50">
        <w:rPr>
          <w:sz w:val="20"/>
          <w:szCs w:val="20"/>
        </w:rPr>
        <w:t>the aforementioned acquisitions coupled with an</w:t>
      </w:r>
      <w:r w:rsidR="005A1B50" w:rsidRPr="002D00A1">
        <w:rPr>
          <w:sz w:val="20"/>
          <w:szCs w:val="20"/>
        </w:rPr>
        <w:t xml:space="preserve"> </w:t>
      </w:r>
      <w:r w:rsidR="00162128" w:rsidRPr="002D00A1">
        <w:rPr>
          <w:sz w:val="20"/>
          <w:szCs w:val="20"/>
        </w:rPr>
        <w:t xml:space="preserve">increase in </w:t>
      </w:r>
      <w:r w:rsidR="00527081">
        <w:rPr>
          <w:sz w:val="20"/>
          <w:szCs w:val="20"/>
        </w:rPr>
        <w:t xml:space="preserve">domestic </w:t>
      </w:r>
      <w:r w:rsidR="00162128" w:rsidRPr="002D00A1">
        <w:rPr>
          <w:sz w:val="20"/>
          <w:szCs w:val="20"/>
        </w:rPr>
        <w:t xml:space="preserve">oil and gas prices as a consequence of the </w:t>
      </w:r>
      <w:r w:rsidR="005A1B50">
        <w:rPr>
          <w:sz w:val="20"/>
          <w:szCs w:val="20"/>
        </w:rPr>
        <w:t xml:space="preserve">ongoing </w:t>
      </w:r>
      <w:r w:rsidR="00162128" w:rsidRPr="002D00A1">
        <w:rPr>
          <w:sz w:val="20"/>
          <w:szCs w:val="20"/>
        </w:rPr>
        <w:t>normalization of the market in Argentina.</w:t>
      </w:r>
    </w:p>
    <w:p w14:paraId="01EFC899" w14:textId="038732E7" w:rsidR="00D57427" w:rsidRPr="002335EE" w:rsidRDefault="00CB1DA8" w:rsidP="004E3226">
      <w:pPr>
        <w:tabs>
          <w:tab w:val="left" w:pos="1440"/>
        </w:tabs>
        <w:spacing w:before="120" w:line="240" w:lineRule="atLeast"/>
        <w:jc w:val="both"/>
        <w:rPr>
          <w:sz w:val="20"/>
          <w:szCs w:val="20"/>
        </w:rPr>
      </w:pPr>
      <w:r w:rsidRPr="00250B90">
        <w:rPr>
          <w:sz w:val="20"/>
          <w:szCs w:val="20"/>
        </w:rPr>
        <w:t xml:space="preserve">Approximately </w:t>
      </w:r>
      <w:r w:rsidR="006F2D38">
        <w:rPr>
          <w:sz w:val="20"/>
          <w:szCs w:val="20"/>
        </w:rPr>
        <w:t>44</w:t>
      </w:r>
      <w:r w:rsidR="006F2D38" w:rsidRPr="00250B90">
        <w:rPr>
          <w:sz w:val="20"/>
          <w:szCs w:val="20"/>
        </w:rPr>
        <w:t xml:space="preserve">% </w:t>
      </w:r>
      <w:r w:rsidRPr="00250B90">
        <w:rPr>
          <w:sz w:val="20"/>
          <w:szCs w:val="20"/>
        </w:rPr>
        <w:t xml:space="preserve">of the Company's before tax net present value of 2P reserves (discounted at 10%) is categorized as "developed producing" and the before tax net present value of future net revenues associated with the Company's total proved reserves (discounted at 10%) represents approximately </w:t>
      </w:r>
      <w:r w:rsidR="006F2D38">
        <w:rPr>
          <w:sz w:val="20"/>
          <w:szCs w:val="20"/>
        </w:rPr>
        <w:t>62</w:t>
      </w:r>
      <w:r w:rsidR="006F2D38" w:rsidRPr="00250B90">
        <w:rPr>
          <w:sz w:val="20"/>
          <w:szCs w:val="20"/>
        </w:rPr>
        <w:t xml:space="preserve">% </w:t>
      </w:r>
      <w:r w:rsidRPr="00250B90">
        <w:rPr>
          <w:sz w:val="20"/>
          <w:szCs w:val="20"/>
        </w:rPr>
        <w:t xml:space="preserve">of the Company's before tax net present value of future net revenues associated with </w:t>
      </w:r>
      <w:r w:rsidR="006229AC" w:rsidRPr="00250B90">
        <w:rPr>
          <w:sz w:val="20"/>
          <w:szCs w:val="20"/>
        </w:rPr>
        <w:t>all</w:t>
      </w:r>
      <w:r w:rsidRPr="00250B90">
        <w:rPr>
          <w:sz w:val="20"/>
          <w:szCs w:val="20"/>
        </w:rPr>
        <w:t xml:space="preserve"> the Company's 2P reserves. Crude oil accounts for approximately </w:t>
      </w:r>
      <w:r w:rsidR="0012642E">
        <w:rPr>
          <w:sz w:val="20"/>
          <w:szCs w:val="20"/>
        </w:rPr>
        <w:t>97</w:t>
      </w:r>
      <w:r w:rsidRPr="00250B90">
        <w:rPr>
          <w:sz w:val="20"/>
          <w:szCs w:val="20"/>
        </w:rPr>
        <w:t xml:space="preserve">% of the Company's 2P reserves (gross) as </w:t>
      </w:r>
      <w:r w:rsidR="006229AC" w:rsidRPr="00250B90">
        <w:rPr>
          <w:sz w:val="20"/>
          <w:szCs w:val="20"/>
        </w:rPr>
        <w:t>of</w:t>
      </w:r>
      <w:r w:rsidRPr="00250B90">
        <w:rPr>
          <w:sz w:val="20"/>
          <w:szCs w:val="20"/>
        </w:rPr>
        <w:t xml:space="preserve"> December 31, </w:t>
      </w:r>
      <w:r w:rsidR="009A7A4B" w:rsidRPr="00250B90">
        <w:rPr>
          <w:sz w:val="20"/>
          <w:szCs w:val="20"/>
        </w:rPr>
        <w:t>202</w:t>
      </w:r>
      <w:r w:rsidR="009A7A4B">
        <w:rPr>
          <w:sz w:val="20"/>
          <w:szCs w:val="20"/>
        </w:rPr>
        <w:t>4</w:t>
      </w:r>
      <w:r w:rsidR="009A7A4B" w:rsidRPr="00250B90">
        <w:rPr>
          <w:sz w:val="20"/>
          <w:szCs w:val="20"/>
        </w:rPr>
        <w:t xml:space="preserve"> </w:t>
      </w:r>
      <w:r w:rsidRPr="00250B90">
        <w:rPr>
          <w:sz w:val="20"/>
          <w:szCs w:val="20"/>
        </w:rPr>
        <w:t xml:space="preserve">compared with approximately </w:t>
      </w:r>
      <w:r w:rsidR="009A7A4B" w:rsidRPr="00250B90">
        <w:rPr>
          <w:sz w:val="20"/>
          <w:szCs w:val="20"/>
        </w:rPr>
        <w:t>8</w:t>
      </w:r>
      <w:r w:rsidR="009A7A4B">
        <w:rPr>
          <w:sz w:val="20"/>
          <w:szCs w:val="20"/>
        </w:rPr>
        <w:t>3</w:t>
      </w:r>
      <w:r w:rsidRPr="00250B90">
        <w:rPr>
          <w:sz w:val="20"/>
          <w:szCs w:val="20"/>
        </w:rPr>
        <w:t xml:space="preserve">% as </w:t>
      </w:r>
      <w:r w:rsidR="002C05CC">
        <w:rPr>
          <w:sz w:val="20"/>
          <w:szCs w:val="20"/>
        </w:rPr>
        <w:t>of</w:t>
      </w:r>
      <w:r w:rsidR="002C05CC" w:rsidRPr="00250B90">
        <w:rPr>
          <w:sz w:val="20"/>
          <w:szCs w:val="20"/>
        </w:rPr>
        <w:t xml:space="preserve"> </w:t>
      </w:r>
      <w:r w:rsidRPr="00250B90">
        <w:rPr>
          <w:sz w:val="20"/>
          <w:szCs w:val="20"/>
        </w:rPr>
        <w:t>December 31, 202</w:t>
      </w:r>
      <w:r w:rsidR="009A7A4B">
        <w:rPr>
          <w:sz w:val="20"/>
          <w:szCs w:val="20"/>
        </w:rPr>
        <w:t>3</w:t>
      </w:r>
      <w:r w:rsidRPr="00250B90">
        <w:rPr>
          <w:sz w:val="20"/>
          <w:szCs w:val="20"/>
        </w:rPr>
        <w:t>, whereas natural gas</w:t>
      </w:r>
      <w:r w:rsidR="001E1829">
        <w:rPr>
          <w:sz w:val="20"/>
          <w:szCs w:val="20"/>
        </w:rPr>
        <w:t xml:space="preserve"> and natural gas liquids</w:t>
      </w:r>
      <w:r w:rsidRPr="00250B90">
        <w:rPr>
          <w:sz w:val="20"/>
          <w:szCs w:val="20"/>
        </w:rPr>
        <w:t xml:space="preserve"> account for the remaining </w:t>
      </w:r>
      <w:r w:rsidR="0012642E">
        <w:rPr>
          <w:sz w:val="20"/>
          <w:szCs w:val="20"/>
        </w:rPr>
        <w:t>3</w:t>
      </w:r>
      <w:r w:rsidR="006F2D38" w:rsidRPr="00250B90">
        <w:rPr>
          <w:sz w:val="20"/>
          <w:szCs w:val="20"/>
        </w:rPr>
        <w:t xml:space="preserve">% </w:t>
      </w:r>
      <w:r w:rsidRPr="00250B90">
        <w:rPr>
          <w:sz w:val="20"/>
          <w:szCs w:val="20"/>
        </w:rPr>
        <w:t xml:space="preserve">of the Company's 2P gross reserves as </w:t>
      </w:r>
      <w:r w:rsidR="006229AC">
        <w:rPr>
          <w:sz w:val="20"/>
          <w:szCs w:val="20"/>
        </w:rPr>
        <w:t>of</w:t>
      </w:r>
      <w:r w:rsidR="006229AC" w:rsidRPr="00250B90">
        <w:rPr>
          <w:sz w:val="20"/>
          <w:szCs w:val="20"/>
        </w:rPr>
        <w:t xml:space="preserve"> </w:t>
      </w:r>
      <w:r w:rsidRPr="00250B90">
        <w:rPr>
          <w:sz w:val="20"/>
          <w:szCs w:val="20"/>
        </w:rPr>
        <w:t xml:space="preserve">December 31, </w:t>
      </w:r>
      <w:r w:rsidR="006F2D38" w:rsidRPr="00250B90">
        <w:rPr>
          <w:sz w:val="20"/>
          <w:szCs w:val="20"/>
        </w:rPr>
        <w:t>202</w:t>
      </w:r>
      <w:r w:rsidR="006F2D38">
        <w:rPr>
          <w:sz w:val="20"/>
          <w:szCs w:val="20"/>
        </w:rPr>
        <w:t>4</w:t>
      </w:r>
      <w:r w:rsidR="006F2D38" w:rsidRPr="00250B90">
        <w:rPr>
          <w:sz w:val="20"/>
          <w:szCs w:val="20"/>
        </w:rPr>
        <w:t xml:space="preserve"> </w:t>
      </w:r>
      <w:r w:rsidRPr="00250B90">
        <w:rPr>
          <w:sz w:val="20"/>
          <w:szCs w:val="20"/>
        </w:rPr>
        <w:t xml:space="preserve">compared with </w:t>
      </w:r>
      <w:r w:rsidR="009A7A4B" w:rsidRPr="00250B90">
        <w:rPr>
          <w:sz w:val="20"/>
          <w:szCs w:val="20"/>
        </w:rPr>
        <w:t>1</w:t>
      </w:r>
      <w:r w:rsidR="009A7A4B">
        <w:rPr>
          <w:sz w:val="20"/>
          <w:szCs w:val="20"/>
        </w:rPr>
        <w:t>7</w:t>
      </w:r>
      <w:r w:rsidRPr="00250B90">
        <w:rPr>
          <w:sz w:val="20"/>
          <w:szCs w:val="20"/>
        </w:rPr>
        <w:t xml:space="preserve">% as </w:t>
      </w:r>
      <w:r w:rsidR="002C05CC">
        <w:rPr>
          <w:sz w:val="20"/>
          <w:szCs w:val="20"/>
        </w:rPr>
        <w:t>of</w:t>
      </w:r>
      <w:r w:rsidR="002C05CC" w:rsidRPr="00250B90">
        <w:rPr>
          <w:sz w:val="20"/>
          <w:szCs w:val="20"/>
        </w:rPr>
        <w:t xml:space="preserve"> </w:t>
      </w:r>
      <w:r w:rsidRPr="00250B90">
        <w:rPr>
          <w:sz w:val="20"/>
          <w:szCs w:val="20"/>
        </w:rPr>
        <w:t>December 31, 202</w:t>
      </w:r>
      <w:r w:rsidR="009A7A4B">
        <w:rPr>
          <w:sz w:val="20"/>
          <w:szCs w:val="20"/>
        </w:rPr>
        <w:t>3</w:t>
      </w:r>
      <w:r w:rsidRPr="00250B90">
        <w:rPr>
          <w:sz w:val="20"/>
          <w:szCs w:val="20"/>
        </w:rPr>
        <w:t>.</w:t>
      </w:r>
    </w:p>
    <w:bookmarkEnd w:id="1"/>
    <w:p w14:paraId="66EF417D" w14:textId="74DF466A" w:rsidR="00CD4697" w:rsidRPr="002335EE" w:rsidRDefault="00CD4697" w:rsidP="00CD4697">
      <w:pPr>
        <w:pStyle w:val="BodyText"/>
        <w:keepNext/>
        <w:keepLines/>
        <w:rPr>
          <w:rFonts w:ascii="Verdana" w:hAnsi="Verdana"/>
          <w:sz w:val="20"/>
          <w:szCs w:val="20"/>
        </w:rPr>
      </w:pPr>
      <w:r w:rsidRPr="002335EE">
        <w:rPr>
          <w:rFonts w:ascii="Verdana" w:hAnsi="Verdana"/>
          <w:sz w:val="20"/>
          <w:szCs w:val="20"/>
        </w:rPr>
        <w:lastRenderedPageBreak/>
        <w:t xml:space="preserve">The following table sets forth, for each product type, the pricing assumptions used by </w:t>
      </w:r>
      <w:r w:rsidR="00EC5540">
        <w:rPr>
          <w:rFonts w:ascii="Verdana" w:hAnsi="Verdana"/>
          <w:sz w:val="20"/>
          <w:szCs w:val="20"/>
        </w:rPr>
        <w:t>Sproule</w:t>
      </w:r>
      <w:r w:rsidR="00EC5540" w:rsidRPr="002335EE">
        <w:rPr>
          <w:rFonts w:ascii="Verdana" w:hAnsi="Verdana"/>
          <w:sz w:val="20"/>
          <w:szCs w:val="20"/>
        </w:rPr>
        <w:t xml:space="preserve"> </w:t>
      </w:r>
      <w:r w:rsidRPr="002335EE">
        <w:rPr>
          <w:rFonts w:ascii="Verdana" w:hAnsi="Verdana"/>
          <w:sz w:val="20"/>
          <w:szCs w:val="20"/>
        </w:rPr>
        <w:t xml:space="preserve">in estimating the reserves data disclosed herein as </w:t>
      </w:r>
      <w:r w:rsidR="006A4BAC">
        <w:rPr>
          <w:rFonts w:ascii="Verdana" w:hAnsi="Verdana"/>
          <w:sz w:val="20"/>
          <w:szCs w:val="20"/>
        </w:rPr>
        <w:t>of</w:t>
      </w:r>
      <w:r w:rsidR="006A4BAC" w:rsidRPr="002335EE">
        <w:rPr>
          <w:rFonts w:ascii="Verdana" w:hAnsi="Verdana"/>
          <w:sz w:val="20"/>
          <w:szCs w:val="20"/>
        </w:rPr>
        <w:t xml:space="preserve"> </w:t>
      </w:r>
      <w:r w:rsidRPr="002335EE">
        <w:rPr>
          <w:rFonts w:ascii="Verdana" w:hAnsi="Verdana"/>
          <w:sz w:val="20"/>
          <w:szCs w:val="20"/>
        </w:rPr>
        <w:t xml:space="preserve">December 31, </w:t>
      </w:r>
      <w:r w:rsidR="001E2298" w:rsidRPr="002335EE">
        <w:rPr>
          <w:rFonts w:ascii="Verdana" w:hAnsi="Verdana"/>
          <w:sz w:val="20"/>
          <w:szCs w:val="20"/>
        </w:rPr>
        <w:t>20</w:t>
      </w:r>
      <w:r w:rsidR="00D86B45" w:rsidRPr="002335EE">
        <w:rPr>
          <w:rFonts w:ascii="Verdana" w:hAnsi="Verdana"/>
          <w:sz w:val="20"/>
          <w:szCs w:val="20"/>
        </w:rPr>
        <w:t>2</w:t>
      </w:r>
      <w:r w:rsidR="006F2D38">
        <w:rPr>
          <w:rFonts w:ascii="Verdana" w:hAnsi="Verdana"/>
          <w:sz w:val="20"/>
          <w:szCs w:val="20"/>
        </w:rPr>
        <w:t>4</w:t>
      </w:r>
      <w:r w:rsidRPr="002335EE">
        <w:rPr>
          <w:rFonts w:ascii="Verdana" w:hAnsi="Verdana"/>
          <w:sz w:val="20"/>
          <w:szCs w:val="20"/>
        </w:rPr>
        <w:t xml:space="preserve">. </w:t>
      </w:r>
    </w:p>
    <w:p w14:paraId="03B04330" w14:textId="77777777" w:rsidR="007E75DC" w:rsidRPr="00B1057A" w:rsidRDefault="007E75DC" w:rsidP="007E75DC">
      <w:pPr>
        <w:pStyle w:val="SecurityCont2"/>
        <w:keepNext/>
        <w:spacing w:after="0"/>
        <w:jc w:val="center"/>
        <w:rPr>
          <w:rFonts w:ascii="Verdana" w:hAnsi="Verdana" w:cs="Arial"/>
          <w:b/>
          <w:sz w:val="18"/>
          <w:szCs w:val="18"/>
        </w:rPr>
      </w:pPr>
      <w:r w:rsidRPr="00B1057A">
        <w:rPr>
          <w:rFonts w:ascii="Verdana" w:hAnsi="Verdana" w:cs="Arial"/>
          <w:b/>
          <w:sz w:val="18"/>
          <w:szCs w:val="18"/>
        </w:rPr>
        <w:t>SUMMARY OF PRICING AND INFLATION RATE ASSUMPTIONS</w:t>
      </w:r>
    </w:p>
    <w:p w14:paraId="1C0E4CB3" w14:textId="018F6F19" w:rsidR="007E75DC" w:rsidRPr="00B1057A" w:rsidRDefault="007E75DC" w:rsidP="007E75DC">
      <w:pPr>
        <w:pStyle w:val="SecurityCont2"/>
        <w:keepNext/>
        <w:jc w:val="center"/>
        <w:rPr>
          <w:rFonts w:ascii="Verdana" w:hAnsi="Verdana" w:cs="Arial"/>
          <w:b/>
          <w:sz w:val="18"/>
          <w:szCs w:val="18"/>
        </w:rPr>
      </w:pPr>
      <w:r w:rsidRPr="00B1057A">
        <w:rPr>
          <w:rFonts w:ascii="Verdana" w:hAnsi="Verdana" w:cs="Arial"/>
          <w:b/>
          <w:sz w:val="18"/>
          <w:szCs w:val="18"/>
        </w:rPr>
        <w:t xml:space="preserve">AS OF DECEMBER 31, </w:t>
      </w:r>
      <w:r w:rsidR="006F2D38" w:rsidRPr="00B1057A">
        <w:rPr>
          <w:rFonts w:ascii="Verdana" w:hAnsi="Verdana" w:cs="Arial"/>
          <w:b/>
          <w:sz w:val="18"/>
          <w:szCs w:val="18"/>
        </w:rPr>
        <w:t>202</w:t>
      </w:r>
      <w:r w:rsidR="006F2D38">
        <w:rPr>
          <w:rFonts w:ascii="Verdana" w:hAnsi="Verdana" w:cs="Arial"/>
          <w:b/>
          <w:sz w:val="18"/>
          <w:szCs w:val="18"/>
        </w:rPr>
        <w:t>4</w:t>
      </w:r>
      <w:r w:rsidR="006F2D38" w:rsidRPr="00B1057A">
        <w:rPr>
          <w:rFonts w:ascii="Verdana" w:hAnsi="Verdana" w:cs="Arial"/>
          <w:b/>
          <w:sz w:val="18"/>
          <w:szCs w:val="18"/>
        </w:rPr>
        <w:t xml:space="preserve"> </w:t>
      </w:r>
      <w:r w:rsidRPr="00B1057A">
        <w:rPr>
          <w:rFonts w:ascii="Verdana" w:hAnsi="Verdana" w:cs="Arial"/>
          <w:b/>
          <w:sz w:val="18"/>
          <w:szCs w:val="18"/>
        </w:rPr>
        <w:t>(Forecast Prices &amp; Costs)</w:t>
      </w:r>
    </w:p>
    <w:tbl>
      <w:tblPr>
        <w:tblW w:w="5000" w:type="pct"/>
        <w:tblLayout w:type="fixed"/>
        <w:tblLook w:val="0000" w:firstRow="0" w:lastRow="0" w:firstColumn="0" w:lastColumn="0" w:noHBand="0" w:noVBand="0"/>
      </w:tblPr>
      <w:tblGrid>
        <w:gridCol w:w="1178"/>
        <w:gridCol w:w="1177"/>
        <w:gridCol w:w="1177"/>
        <w:gridCol w:w="1176"/>
        <w:gridCol w:w="1176"/>
        <w:gridCol w:w="1224"/>
        <w:gridCol w:w="1127"/>
        <w:gridCol w:w="1125"/>
      </w:tblGrid>
      <w:tr w:rsidR="006F2D38" w:rsidRPr="002034F8" w14:paraId="379C9FEA" w14:textId="77777777" w:rsidTr="00311992">
        <w:tc>
          <w:tcPr>
            <w:tcW w:w="629" w:type="pct"/>
            <w:tcBorders>
              <w:top w:val="nil"/>
              <w:left w:val="nil"/>
              <w:bottom w:val="nil"/>
              <w:right w:val="nil"/>
            </w:tcBorders>
            <w:vAlign w:val="bottom"/>
          </w:tcPr>
          <w:p w14:paraId="4D1DD525"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Year</w:t>
            </w:r>
          </w:p>
        </w:tc>
        <w:tc>
          <w:tcPr>
            <w:tcW w:w="629" w:type="pct"/>
            <w:tcBorders>
              <w:top w:val="nil"/>
              <w:left w:val="nil"/>
              <w:bottom w:val="nil"/>
              <w:right w:val="nil"/>
            </w:tcBorders>
            <w:vAlign w:val="bottom"/>
          </w:tcPr>
          <w:p w14:paraId="0C86CB61"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vertAlign w:val="superscript"/>
              </w:rPr>
            </w:pPr>
            <w:r w:rsidRPr="002034F8">
              <w:rPr>
                <w:rFonts w:ascii="Verdana" w:hAnsi="Verdana" w:cstheme="minorHAnsi"/>
                <w:b/>
                <w:sz w:val="18"/>
                <w:szCs w:val="18"/>
              </w:rPr>
              <w:t>Brent Crude Oil Price</w:t>
            </w:r>
            <w:r w:rsidRPr="002034F8">
              <w:rPr>
                <w:rFonts w:ascii="Verdana" w:hAnsi="Verdana" w:cstheme="minorHAnsi"/>
                <w:b/>
                <w:sz w:val="18"/>
                <w:szCs w:val="18"/>
                <w:vertAlign w:val="superscript"/>
              </w:rPr>
              <w:t xml:space="preserve"> (1)</w:t>
            </w:r>
          </w:p>
          <w:p w14:paraId="2A350109"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US$/Bbl</w:t>
            </w:r>
          </w:p>
        </w:tc>
        <w:tc>
          <w:tcPr>
            <w:tcW w:w="629" w:type="pct"/>
            <w:tcBorders>
              <w:top w:val="nil"/>
              <w:left w:val="nil"/>
              <w:bottom w:val="nil"/>
              <w:right w:val="nil"/>
            </w:tcBorders>
            <w:vAlign w:val="bottom"/>
          </w:tcPr>
          <w:p w14:paraId="4E7583F8"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TDF Crude Oil Price</w:t>
            </w:r>
            <w:r w:rsidRPr="002034F8">
              <w:rPr>
                <w:rFonts w:ascii="Verdana" w:hAnsi="Verdana" w:cstheme="minorHAnsi"/>
                <w:b/>
                <w:sz w:val="18"/>
                <w:szCs w:val="18"/>
                <w:vertAlign w:val="superscript"/>
              </w:rPr>
              <w:t xml:space="preserve"> (</w:t>
            </w:r>
            <w:r>
              <w:rPr>
                <w:rFonts w:ascii="Verdana" w:hAnsi="Verdana" w:cstheme="minorHAnsi"/>
                <w:b/>
                <w:sz w:val="18"/>
                <w:szCs w:val="18"/>
                <w:vertAlign w:val="superscript"/>
              </w:rPr>
              <w:t>2</w:t>
            </w:r>
            <w:r w:rsidRPr="002034F8">
              <w:rPr>
                <w:rFonts w:ascii="Verdana" w:hAnsi="Verdana" w:cstheme="minorHAnsi"/>
                <w:b/>
                <w:sz w:val="18"/>
                <w:szCs w:val="18"/>
                <w:vertAlign w:val="superscript"/>
              </w:rPr>
              <w:t>)</w:t>
            </w:r>
          </w:p>
          <w:p w14:paraId="0D54A8CC"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US$/Bbl</w:t>
            </w:r>
          </w:p>
        </w:tc>
        <w:tc>
          <w:tcPr>
            <w:tcW w:w="628" w:type="pct"/>
            <w:tcBorders>
              <w:top w:val="nil"/>
              <w:left w:val="nil"/>
              <w:bottom w:val="nil"/>
              <w:right w:val="nil"/>
            </w:tcBorders>
            <w:vAlign w:val="bottom"/>
          </w:tcPr>
          <w:p w14:paraId="03DC5C93"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TDF NGL</w:t>
            </w:r>
          </w:p>
          <w:p w14:paraId="37D82B4D"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vertAlign w:val="superscript"/>
              </w:rPr>
            </w:pPr>
            <w:r w:rsidRPr="002034F8">
              <w:rPr>
                <w:rFonts w:ascii="Verdana" w:hAnsi="Verdana" w:cstheme="minorHAnsi"/>
                <w:b/>
                <w:sz w:val="18"/>
                <w:szCs w:val="18"/>
              </w:rPr>
              <w:t xml:space="preserve"> Price</w:t>
            </w:r>
            <w:r w:rsidRPr="002034F8">
              <w:rPr>
                <w:rFonts w:ascii="Verdana" w:hAnsi="Verdana" w:cstheme="minorHAnsi"/>
                <w:b/>
                <w:sz w:val="18"/>
                <w:szCs w:val="18"/>
                <w:vertAlign w:val="superscript"/>
              </w:rPr>
              <w:t xml:space="preserve"> (</w:t>
            </w:r>
            <w:r>
              <w:rPr>
                <w:rFonts w:ascii="Verdana" w:hAnsi="Verdana" w:cstheme="minorHAnsi"/>
                <w:b/>
                <w:sz w:val="18"/>
                <w:szCs w:val="18"/>
                <w:vertAlign w:val="superscript"/>
              </w:rPr>
              <w:t>3</w:t>
            </w:r>
            <w:r w:rsidRPr="002034F8">
              <w:rPr>
                <w:rFonts w:ascii="Verdana" w:hAnsi="Verdana" w:cstheme="minorHAnsi"/>
                <w:b/>
                <w:sz w:val="18"/>
                <w:szCs w:val="18"/>
                <w:vertAlign w:val="superscript"/>
              </w:rPr>
              <w:t>)</w:t>
            </w:r>
          </w:p>
          <w:p w14:paraId="7B01EFC7"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US$/Bbl</w:t>
            </w:r>
          </w:p>
        </w:tc>
        <w:tc>
          <w:tcPr>
            <w:tcW w:w="628" w:type="pct"/>
            <w:tcBorders>
              <w:top w:val="nil"/>
              <w:left w:val="nil"/>
              <w:bottom w:val="nil"/>
              <w:right w:val="nil"/>
            </w:tcBorders>
            <w:vAlign w:val="bottom"/>
          </w:tcPr>
          <w:p w14:paraId="14589816"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TDF</w:t>
            </w:r>
            <w:r w:rsidRPr="002034F8">
              <w:rPr>
                <w:rFonts w:ascii="Verdana" w:hAnsi="Verdana" w:cstheme="minorHAnsi"/>
                <w:b/>
                <w:sz w:val="18"/>
                <w:szCs w:val="18"/>
                <w:vertAlign w:val="superscript"/>
              </w:rPr>
              <w:t xml:space="preserve"> </w:t>
            </w:r>
            <w:r w:rsidRPr="002034F8">
              <w:rPr>
                <w:rFonts w:ascii="Verdana" w:hAnsi="Verdana" w:cstheme="minorHAnsi"/>
                <w:b/>
                <w:sz w:val="18"/>
                <w:szCs w:val="18"/>
              </w:rPr>
              <w:t xml:space="preserve">Natural </w:t>
            </w:r>
          </w:p>
          <w:p w14:paraId="25CF41F6"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vertAlign w:val="superscript"/>
              </w:rPr>
            </w:pPr>
            <w:r w:rsidRPr="002034F8">
              <w:rPr>
                <w:rFonts w:ascii="Verdana" w:hAnsi="Verdana" w:cstheme="minorHAnsi"/>
                <w:b/>
                <w:sz w:val="18"/>
                <w:szCs w:val="18"/>
              </w:rPr>
              <w:t>Gas Price</w:t>
            </w:r>
            <w:r w:rsidRPr="002034F8">
              <w:rPr>
                <w:rFonts w:ascii="Verdana" w:hAnsi="Verdana" w:cstheme="minorHAnsi"/>
                <w:b/>
                <w:sz w:val="18"/>
                <w:szCs w:val="18"/>
                <w:vertAlign w:val="superscript"/>
              </w:rPr>
              <w:t xml:space="preserve"> (4)</w:t>
            </w:r>
          </w:p>
          <w:p w14:paraId="1B22362A"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US$/Mcf</w:t>
            </w:r>
          </w:p>
        </w:tc>
        <w:tc>
          <w:tcPr>
            <w:tcW w:w="654" w:type="pct"/>
            <w:tcBorders>
              <w:top w:val="nil"/>
              <w:left w:val="nil"/>
              <w:bottom w:val="nil"/>
              <w:right w:val="nil"/>
            </w:tcBorders>
            <w:vAlign w:val="bottom"/>
          </w:tcPr>
          <w:p w14:paraId="0A849ACA"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CH/PPCO</w:t>
            </w:r>
          </w:p>
          <w:p w14:paraId="1C32ED55"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vertAlign w:val="superscript"/>
              </w:rPr>
            </w:pPr>
            <w:r w:rsidRPr="002034F8">
              <w:rPr>
                <w:rFonts w:ascii="Verdana" w:hAnsi="Verdana" w:cstheme="minorHAnsi"/>
                <w:b/>
                <w:sz w:val="18"/>
                <w:szCs w:val="18"/>
              </w:rPr>
              <w:t>Oil Price</w:t>
            </w:r>
            <w:r w:rsidRPr="002034F8">
              <w:rPr>
                <w:rFonts w:ascii="Verdana" w:hAnsi="Verdana" w:cstheme="minorHAnsi"/>
                <w:b/>
                <w:sz w:val="18"/>
                <w:szCs w:val="18"/>
                <w:vertAlign w:val="superscript"/>
              </w:rPr>
              <w:t xml:space="preserve"> (5)</w:t>
            </w:r>
          </w:p>
          <w:p w14:paraId="68C7A753"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US$/Bbl</w:t>
            </w:r>
          </w:p>
        </w:tc>
        <w:tc>
          <w:tcPr>
            <w:tcW w:w="602" w:type="pct"/>
            <w:tcBorders>
              <w:top w:val="nil"/>
              <w:left w:val="nil"/>
              <w:bottom w:val="nil"/>
              <w:right w:val="nil"/>
            </w:tcBorders>
            <w:vAlign w:val="bottom"/>
          </w:tcPr>
          <w:p w14:paraId="4E6B0600"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PC/KK</w:t>
            </w:r>
          </w:p>
          <w:p w14:paraId="7AD20896"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vertAlign w:val="superscript"/>
              </w:rPr>
            </w:pPr>
            <w:r w:rsidRPr="002034F8">
              <w:rPr>
                <w:rFonts w:ascii="Verdana" w:hAnsi="Verdana" w:cstheme="minorHAnsi"/>
                <w:b/>
                <w:sz w:val="18"/>
                <w:szCs w:val="18"/>
              </w:rPr>
              <w:t>Oil Price</w:t>
            </w:r>
            <w:r w:rsidRPr="002034F8">
              <w:rPr>
                <w:rFonts w:ascii="Verdana" w:hAnsi="Verdana" w:cstheme="minorHAnsi"/>
                <w:b/>
                <w:sz w:val="18"/>
                <w:szCs w:val="18"/>
                <w:vertAlign w:val="superscript"/>
              </w:rPr>
              <w:t xml:space="preserve"> (6)</w:t>
            </w:r>
          </w:p>
          <w:p w14:paraId="66A0537B"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US$/Bbl</w:t>
            </w:r>
          </w:p>
        </w:tc>
        <w:tc>
          <w:tcPr>
            <w:tcW w:w="601" w:type="pct"/>
            <w:tcBorders>
              <w:top w:val="nil"/>
              <w:left w:val="nil"/>
              <w:bottom w:val="nil"/>
              <w:right w:val="nil"/>
            </w:tcBorders>
            <w:vAlign w:val="bottom"/>
          </w:tcPr>
          <w:p w14:paraId="2FAF9297"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Inflation Rate</w:t>
            </w:r>
            <w:r w:rsidRPr="002034F8">
              <w:rPr>
                <w:rFonts w:ascii="Verdana" w:hAnsi="Verdana" w:cstheme="minorHAnsi"/>
                <w:b/>
                <w:sz w:val="18"/>
                <w:szCs w:val="18"/>
                <w:vertAlign w:val="superscript"/>
              </w:rPr>
              <w:t xml:space="preserve"> (7)</w:t>
            </w:r>
          </w:p>
          <w:p w14:paraId="7D977CD3" w14:textId="77777777" w:rsidR="006F2D38" w:rsidRPr="002034F8" w:rsidRDefault="006F2D38" w:rsidP="00311992">
            <w:pPr>
              <w:pStyle w:val="SecurityCont2"/>
              <w:keepNext/>
              <w:pBdr>
                <w:bottom w:val="single" w:sz="4" w:space="1" w:color="auto"/>
              </w:pBdr>
              <w:spacing w:after="0"/>
              <w:jc w:val="center"/>
              <w:rPr>
                <w:rFonts w:ascii="Verdana" w:hAnsi="Verdana" w:cstheme="minorHAnsi"/>
                <w:b/>
                <w:sz w:val="18"/>
                <w:szCs w:val="18"/>
              </w:rPr>
            </w:pPr>
            <w:r>
              <w:rPr>
                <w:rFonts w:ascii="Verdana" w:hAnsi="Verdana" w:cstheme="minorHAnsi"/>
                <w:b/>
                <w:sz w:val="18"/>
                <w:szCs w:val="18"/>
              </w:rPr>
              <w:t>%/</w:t>
            </w:r>
            <w:r w:rsidRPr="002034F8">
              <w:rPr>
                <w:rFonts w:ascii="Verdana" w:hAnsi="Verdana" w:cstheme="minorHAnsi"/>
                <w:b/>
                <w:sz w:val="18"/>
                <w:szCs w:val="18"/>
              </w:rPr>
              <w:t>Year</w:t>
            </w:r>
          </w:p>
        </w:tc>
      </w:tr>
      <w:tr w:rsidR="0012642E" w:rsidRPr="002034F8" w14:paraId="4BFCC0BC" w14:textId="77777777" w:rsidTr="00311992">
        <w:tc>
          <w:tcPr>
            <w:tcW w:w="629" w:type="pct"/>
            <w:tcBorders>
              <w:top w:val="nil"/>
              <w:left w:val="nil"/>
              <w:bottom w:val="nil"/>
              <w:right w:val="nil"/>
            </w:tcBorders>
          </w:tcPr>
          <w:p w14:paraId="0EAFB831"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2025</w:t>
            </w:r>
          </w:p>
        </w:tc>
        <w:tc>
          <w:tcPr>
            <w:tcW w:w="629" w:type="pct"/>
            <w:tcBorders>
              <w:top w:val="nil"/>
              <w:left w:val="nil"/>
              <w:bottom w:val="nil"/>
              <w:right w:val="nil"/>
            </w:tcBorders>
          </w:tcPr>
          <w:p w14:paraId="0639DDA9"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75.00</w:t>
            </w:r>
          </w:p>
        </w:tc>
        <w:tc>
          <w:tcPr>
            <w:tcW w:w="629" w:type="pct"/>
            <w:tcBorders>
              <w:top w:val="nil"/>
              <w:left w:val="nil"/>
              <w:bottom w:val="nil"/>
              <w:right w:val="nil"/>
            </w:tcBorders>
          </w:tcPr>
          <w:p w14:paraId="74F95629"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60.00</w:t>
            </w:r>
          </w:p>
        </w:tc>
        <w:tc>
          <w:tcPr>
            <w:tcW w:w="628" w:type="pct"/>
            <w:tcBorders>
              <w:top w:val="nil"/>
              <w:left w:val="nil"/>
              <w:bottom w:val="nil"/>
              <w:right w:val="nil"/>
            </w:tcBorders>
          </w:tcPr>
          <w:p w14:paraId="1C6B64D3"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30.57</w:t>
            </w:r>
          </w:p>
        </w:tc>
        <w:tc>
          <w:tcPr>
            <w:tcW w:w="628" w:type="pct"/>
            <w:tcBorders>
              <w:top w:val="nil"/>
              <w:left w:val="nil"/>
              <w:bottom w:val="nil"/>
              <w:right w:val="nil"/>
            </w:tcBorders>
          </w:tcPr>
          <w:p w14:paraId="5F07A4ED"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3.60</w:t>
            </w:r>
          </w:p>
        </w:tc>
        <w:tc>
          <w:tcPr>
            <w:tcW w:w="654" w:type="pct"/>
            <w:tcBorders>
              <w:top w:val="nil"/>
              <w:left w:val="nil"/>
              <w:bottom w:val="nil"/>
              <w:right w:val="nil"/>
            </w:tcBorders>
          </w:tcPr>
          <w:p w14:paraId="434F13BB"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66.24</w:t>
            </w:r>
          </w:p>
        </w:tc>
        <w:tc>
          <w:tcPr>
            <w:tcW w:w="602" w:type="pct"/>
            <w:tcBorders>
              <w:top w:val="nil"/>
              <w:left w:val="nil"/>
              <w:bottom w:val="nil"/>
              <w:right w:val="nil"/>
            </w:tcBorders>
            <w:vAlign w:val="bottom"/>
          </w:tcPr>
          <w:p w14:paraId="4BB4BB88"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66.50</w:t>
            </w:r>
          </w:p>
        </w:tc>
        <w:tc>
          <w:tcPr>
            <w:tcW w:w="601" w:type="pct"/>
            <w:tcBorders>
              <w:top w:val="nil"/>
              <w:left w:val="nil"/>
              <w:bottom w:val="nil"/>
              <w:right w:val="nil"/>
            </w:tcBorders>
          </w:tcPr>
          <w:p w14:paraId="6F8B3EFF" w14:textId="349D58A7"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0.0</w:t>
            </w:r>
          </w:p>
        </w:tc>
      </w:tr>
      <w:tr w:rsidR="0012642E" w:rsidRPr="002034F8" w14:paraId="33B273F5" w14:textId="77777777" w:rsidTr="00311992">
        <w:tc>
          <w:tcPr>
            <w:tcW w:w="629" w:type="pct"/>
            <w:tcBorders>
              <w:top w:val="nil"/>
              <w:left w:val="nil"/>
              <w:bottom w:val="nil"/>
              <w:right w:val="nil"/>
            </w:tcBorders>
          </w:tcPr>
          <w:p w14:paraId="3A7ACF21" w14:textId="77777777" w:rsidR="0012642E" w:rsidRPr="002034F8" w:rsidRDefault="0012642E" w:rsidP="0012642E">
            <w:pPr>
              <w:pStyle w:val="SecurityCont2"/>
              <w:keepNext/>
              <w:spacing w:after="0"/>
              <w:jc w:val="center"/>
              <w:rPr>
                <w:rFonts w:ascii="Verdana" w:hAnsi="Verdana" w:cstheme="minorHAnsi"/>
                <w:sz w:val="18"/>
                <w:szCs w:val="18"/>
                <w:vertAlign w:val="superscript"/>
              </w:rPr>
            </w:pPr>
            <w:r w:rsidRPr="002034F8">
              <w:rPr>
                <w:rFonts w:ascii="Verdana" w:hAnsi="Verdana" w:cstheme="minorHAnsi"/>
                <w:sz w:val="18"/>
                <w:szCs w:val="18"/>
              </w:rPr>
              <w:t>2026</w:t>
            </w:r>
            <w:r>
              <w:rPr>
                <w:rFonts w:ascii="Verdana" w:hAnsi="Verdana" w:cstheme="minorHAnsi"/>
                <w:sz w:val="18"/>
                <w:szCs w:val="18"/>
                <w:vertAlign w:val="superscript"/>
              </w:rPr>
              <w:t>(8)</w:t>
            </w:r>
          </w:p>
        </w:tc>
        <w:tc>
          <w:tcPr>
            <w:tcW w:w="629" w:type="pct"/>
            <w:tcBorders>
              <w:top w:val="nil"/>
              <w:left w:val="nil"/>
              <w:bottom w:val="nil"/>
              <w:right w:val="nil"/>
            </w:tcBorders>
          </w:tcPr>
          <w:p w14:paraId="1468EEDF"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80.00</w:t>
            </w:r>
          </w:p>
        </w:tc>
        <w:tc>
          <w:tcPr>
            <w:tcW w:w="629" w:type="pct"/>
            <w:tcBorders>
              <w:top w:val="nil"/>
              <w:left w:val="nil"/>
              <w:bottom w:val="nil"/>
              <w:right w:val="nil"/>
            </w:tcBorders>
          </w:tcPr>
          <w:p w14:paraId="18A0983D"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65.00</w:t>
            </w:r>
          </w:p>
        </w:tc>
        <w:tc>
          <w:tcPr>
            <w:tcW w:w="628" w:type="pct"/>
            <w:tcBorders>
              <w:top w:val="nil"/>
              <w:left w:val="nil"/>
              <w:bottom w:val="nil"/>
              <w:right w:val="nil"/>
            </w:tcBorders>
          </w:tcPr>
          <w:p w14:paraId="63FD0A9D"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33.14</w:t>
            </w:r>
          </w:p>
        </w:tc>
        <w:tc>
          <w:tcPr>
            <w:tcW w:w="628" w:type="pct"/>
            <w:tcBorders>
              <w:top w:val="nil"/>
              <w:left w:val="nil"/>
              <w:bottom w:val="nil"/>
              <w:right w:val="nil"/>
            </w:tcBorders>
          </w:tcPr>
          <w:p w14:paraId="7D8D1A8C"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4.90</w:t>
            </w:r>
          </w:p>
        </w:tc>
        <w:tc>
          <w:tcPr>
            <w:tcW w:w="654" w:type="pct"/>
            <w:tcBorders>
              <w:top w:val="nil"/>
              <w:left w:val="nil"/>
              <w:bottom w:val="nil"/>
              <w:right w:val="nil"/>
            </w:tcBorders>
          </w:tcPr>
          <w:p w14:paraId="2940742E"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70.84</w:t>
            </w:r>
          </w:p>
        </w:tc>
        <w:tc>
          <w:tcPr>
            <w:tcW w:w="602" w:type="pct"/>
            <w:tcBorders>
              <w:top w:val="nil"/>
              <w:left w:val="nil"/>
              <w:bottom w:val="nil"/>
              <w:right w:val="nil"/>
            </w:tcBorders>
          </w:tcPr>
          <w:p w14:paraId="28B5E45A"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71.50</w:t>
            </w:r>
          </w:p>
        </w:tc>
        <w:tc>
          <w:tcPr>
            <w:tcW w:w="601" w:type="pct"/>
            <w:tcBorders>
              <w:top w:val="nil"/>
              <w:left w:val="nil"/>
              <w:bottom w:val="nil"/>
              <w:right w:val="nil"/>
            </w:tcBorders>
          </w:tcPr>
          <w:p w14:paraId="650609CA" w14:textId="135EDA29"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7D085E3A" w14:textId="77777777" w:rsidTr="00311992">
        <w:tc>
          <w:tcPr>
            <w:tcW w:w="629" w:type="pct"/>
            <w:tcBorders>
              <w:top w:val="nil"/>
              <w:left w:val="nil"/>
              <w:bottom w:val="nil"/>
              <w:right w:val="nil"/>
            </w:tcBorders>
          </w:tcPr>
          <w:p w14:paraId="60175538"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 xml:space="preserve"> 2027</w:t>
            </w:r>
          </w:p>
        </w:tc>
        <w:tc>
          <w:tcPr>
            <w:tcW w:w="629" w:type="pct"/>
            <w:tcBorders>
              <w:top w:val="nil"/>
              <w:left w:val="nil"/>
              <w:bottom w:val="nil"/>
              <w:right w:val="nil"/>
            </w:tcBorders>
          </w:tcPr>
          <w:p w14:paraId="7A2D2FAA"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80.00</w:t>
            </w:r>
          </w:p>
        </w:tc>
        <w:tc>
          <w:tcPr>
            <w:tcW w:w="629" w:type="pct"/>
            <w:tcBorders>
              <w:top w:val="nil"/>
              <w:left w:val="nil"/>
              <w:bottom w:val="nil"/>
              <w:right w:val="nil"/>
            </w:tcBorders>
          </w:tcPr>
          <w:p w14:paraId="328A834C"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65.00</w:t>
            </w:r>
          </w:p>
        </w:tc>
        <w:tc>
          <w:tcPr>
            <w:tcW w:w="628" w:type="pct"/>
            <w:tcBorders>
              <w:top w:val="nil"/>
              <w:left w:val="nil"/>
              <w:bottom w:val="nil"/>
              <w:right w:val="nil"/>
            </w:tcBorders>
          </w:tcPr>
          <w:p w14:paraId="06DBBBE0"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33.14</w:t>
            </w:r>
          </w:p>
        </w:tc>
        <w:tc>
          <w:tcPr>
            <w:tcW w:w="628" w:type="pct"/>
            <w:tcBorders>
              <w:top w:val="nil"/>
              <w:left w:val="nil"/>
              <w:bottom w:val="nil"/>
              <w:right w:val="nil"/>
            </w:tcBorders>
          </w:tcPr>
          <w:p w14:paraId="36C33BDE"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4.90</w:t>
            </w:r>
          </w:p>
        </w:tc>
        <w:tc>
          <w:tcPr>
            <w:tcW w:w="654" w:type="pct"/>
            <w:tcBorders>
              <w:top w:val="nil"/>
              <w:left w:val="nil"/>
              <w:bottom w:val="nil"/>
              <w:right w:val="nil"/>
            </w:tcBorders>
          </w:tcPr>
          <w:p w14:paraId="7ADC9607"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70.84</w:t>
            </w:r>
          </w:p>
        </w:tc>
        <w:tc>
          <w:tcPr>
            <w:tcW w:w="602" w:type="pct"/>
            <w:tcBorders>
              <w:top w:val="nil"/>
              <w:left w:val="nil"/>
              <w:bottom w:val="nil"/>
              <w:right w:val="nil"/>
            </w:tcBorders>
          </w:tcPr>
          <w:p w14:paraId="7B747756"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71.50</w:t>
            </w:r>
          </w:p>
        </w:tc>
        <w:tc>
          <w:tcPr>
            <w:tcW w:w="601" w:type="pct"/>
            <w:tcBorders>
              <w:top w:val="nil"/>
              <w:left w:val="nil"/>
              <w:bottom w:val="nil"/>
              <w:right w:val="nil"/>
            </w:tcBorders>
          </w:tcPr>
          <w:p w14:paraId="3E13148E" w14:textId="38E4020E"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0D923F1C" w14:textId="77777777" w:rsidTr="00311992">
        <w:tc>
          <w:tcPr>
            <w:tcW w:w="629" w:type="pct"/>
            <w:tcBorders>
              <w:top w:val="nil"/>
              <w:left w:val="nil"/>
              <w:bottom w:val="nil"/>
              <w:right w:val="nil"/>
            </w:tcBorders>
          </w:tcPr>
          <w:p w14:paraId="4513E4AF"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2028</w:t>
            </w:r>
          </w:p>
        </w:tc>
        <w:tc>
          <w:tcPr>
            <w:tcW w:w="629" w:type="pct"/>
            <w:tcBorders>
              <w:top w:val="nil"/>
              <w:left w:val="nil"/>
              <w:bottom w:val="nil"/>
              <w:right w:val="nil"/>
            </w:tcBorders>
          </w:tcPr>
          <w:p w14:paraId="2738F31B"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81.60</w:t>
            </w:r>
          </w:p>
        </w:tc>
        <w:tc>
          <w:tcPr>
            <w:tcW w:w="629" w:type="pct"/>
            <w:tcBorders>
              <w:top w:val="nil"/>
              <w:left w:val="nil"/>
              <w:bottom w:val="nil"/>
              <w:right w:val="nil"/>
            </w:tcBorders>
          </w:tcPr>
          <w:p w14:paraId="4ED30B01"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66.60</w:t>
            </w:r>
          </w:p>
        </w:tc>
        <w:tc>
          <w:tcPr>
            <w:tcW w:w="628" w:type="pct"/>
            <w:tcBorders>
              <w:top w:val="nil"/>
              <w:left w:val="nil"/>
              <w:bottom w:val="nil"/>
              <w:right w:val="nil"/>
            </w:tcBorders>
          </w:tcPr>
          <w:p w14:paraId="115A080C"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33.92</w:t>
            </w:r>
          </w:p>
        </w:tc>
        <w:tc>
          <w:tcPr>
            <w:tcW w:w="628" w:type="pct"/>
            <w:tcBorders>
              <w:top w:val="nil"/>
              <w:left w:val="nil"/>
              <w:bottom w:val="nil"/>
              <w:right w:val="nil"/>
            </w:tcBorders>
          </w:tcPr>
          <w:p w14:paraId="45F3704D"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4.97</w:t>
            </w:r>
          </w:p>
        </w:tc>
        <w:tc>
          <w:tcPr>
            <w:tcW w:w="654" w:type="pct"/>
            <w:tcBorders>
              <w:top w:val="nil"/>
              <w:left w:val="nil"/>
              <w:bottom w:val="nil"/>
              <w:right w:val="nil"/>
            </w:tcBorders>
          </w:tcPr>
          <w:p w14:paraId="27281FCD"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72.31</w:t>
            </w:r>
          </w:p>
        </w:tc>
        <w:tc>
          <w:tcPr>
            <w:tcW w:w="602" w:type="pct"/>
            <w:tcBorders>
              <w:top w:val="nil"/>
              <w:left w:val="nil"/>
              <w:bottom w:val="nil"/>
              <w:right w:val="nil"/>
            </w:tcBorders>
          </w:tcPr>
          <w:p w14:paraId="4958CF8B"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73.10</w:t>
            </w:r>
          </w:p>
        </w:tc>
        <w:tc>
          <w:tcPr>
            <w:tcW w:w="601" w:type="pct"/>
            <w:tcBorders>
              <w:top w:val="nil"/>
              <w:left w:val="nil"/>
              <w:bottom w:val="nil"/>
              <w:right w:val="nil"/>
            </w:tcBorders>
          </w:tcPr>
          <w:p w14:paraId="6F1ED9B1" w14:textId="1E2F9E8B"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66CCE27B" w14:textId="77777777" w:rsidTr="00311992">
        <w:tc>
          <w:tcPr>
            <w:tcW w:w="629" w:type="pct"/>
            <w:tcBorders>
              <w:top w:val="nil"/>
              <w:left w:val="nil"/>
              <w:bottom w:val="nil"/>
              <w:right w:val="nil"/>
            </w:tcBorders>
          </w:tcPr>
          <w:p w14:paraId="3E8BC68D"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2029</w:t>
            </w:r>
          </w:p>
        </w:tc>
        <w:tc>
          <w:tcPr>
            <w:tcW w:w="629" w:type="pct"/>
            <w:tcBorders>
              <w:top w:val="nil"/>
              <w:left w:val="nil"/>
              <w:bottom w:val="nil"/>
              <w:right w:val="nil"/>
            </w:tcBorders>
          </w:tcPr>
          <w:p w14:paraId="134CDD9A"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83.23</w:t>
            </w:r>
          </w:p>
        </w:tc>
        <w:tc>
          <w:tcPr>
            <w:tcW w:w="629" w:type="pct"/>
            <w:tcBorders>
              <w:top w:val="nil"/>
              <w:left w:val="nil"/>
              <w:bottom w:val="nil"/>
              <w:right w:val="nil"/>
            </w:tcBorders>
          </w:tcPr>
          <w:p w14:paraId="06DE1046"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68.23</w:t>
            </w:r>
          </w:p>
        </w:tc>
        <w:tc>
          <w:tcPr>
            <w:tcW w:w="628" w:type="pct"/>
            <w:tcBorders>
              <w:top w:val="nil"/>
              <w:left w:val="nil"/>
              <w:bottom w:val="nil"/>
              <w:right w:val="nil"/>
            </w:tcBorders>
          </w:tcPr>
          <w:p w14:paraId="1023112B"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34.72</w:t>
            </w:r>
          </w:p>
        </w:tc>
        <w:tc>
          <w:tcPr>
            <w:tcW w:w="628" w:type="pct"/>
            <w:tcBorders>
              <w:top w:val="nil"/>
              <w:left w:val="nil"/>
              <w:bottom w:val="nil"/>
              <w:right w:val="nil"/>
            </w:tcBorders>
          </w:tcPr>
          <w:p w14:paraId="2C5659E4"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5.04</w:t>
            </w:r>
          </w:p>
        </w:tc>
        <w:tc>
          <w:tcPr>
            <w:tcW w:w="654" w:type="pct"/>
            <w:tcBorders>
              <w:top w:val="nil"/>
              <w:left w:val="nil"/>
              <w:bottom w:val="nil"/>
              <w:right w:val="nil"/>
            </w:tcBorders>
          </w:tcPr>
          <w:p w14:paraId="07C34D4F"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73.81</w:t>
            </w:r>
          </w:p>
        </w:tc>
        <w:tc>
          <w:tcPr>
            <w:tcW w:w="602" w:type="pct"/>
            <w:tcBorders>
              <w:top w:val="nil"/>
              <w:left w:val="nil"/>
              <w:bottom w:val="nil"/>
              <w:right w:val="nil"/>
            </w:tcBorders>
          </w:tcPr>
          <w:p w14:paraId="6A797C21"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74.73</w:t>
            </w:r>
          </w:p>
        </w:tc>
        <w:tc>
          <w:tcPr>
            <w:tcW w:w="601" w:type="pct"/>
            <w:tcBorders>
              <w:top w:val="nil"/>
              <w:left w:val="nil"/>
              <w:bottom w:val="nil"/>
              <w:right w:val="nil"/>
            </w:tcBorders>
          </w:tcPr>
          <w:p w14:paraId="519BF32D" w14:textId="23E1EA9A"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5982F408" w14:textId="77777777" w:rsidTr="00311992">
        <w:tc>
          <w:tcPr>
            <w:tcW w:w="629" w:type="pct"/>
            <w:tcBorders>
              <w:top w:val="nil"/>
              <w:left w:val="nil"/>
              <w:bottom w:val="nil"/>
              <w:right w:val="nil"/>
            </w:tcBorders>
          </w:tcPr>
          <w:p w14:paraId="5D19806B"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2030</w:t>
            </w:r>
          </w:p>
        </w:tc>
        <w:tc>
          <w:tcPr>
            <w:tcW w:w="629" w:type="pct"/>
            <w:tcBorders>
              <w:top w:val="nil"/>
              <w:left w:val="nil"/>
              <w:bottom w:val="nil"/>
              <w:right w:val="nil"/>
            </w:tcBorders>
          </w:tcPr>
          <w:p w14:paraId="36606CC0"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84.90</w:t>
            </w:r>
          </w:p>
        </w:tc>
        <w:tc>
          <w:tcPr>
            <w:tcW w:w="629" w:type="pct"/>
            <w:tcBorders>
              <w:top w:val="nil"/>
              <w:left w:val="nil"/>
              <w:bottom w:val="nil"/>
              <w:right w:val="nil"/>
            </w:tcBorders>
          </w:tcPr>
          <w:p w14:paraId="2C38E076"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69.90</w:t>
            </w:r>
          </w:p>
        </w:tc>
        <w:tc>
          <w:tcPr>
            <w:tcW w:w="628" w:type="pct"/>
            <w:tcBorders>
              <w:top w:val="nil"/>
              <w:left w:val="nil"/>
              <w:bottom w:val="nil"/>
              <w:right w:val="nil"/>
            </w:tcBorders>
          </w:tcPr>
          <w:p w14:paraId="1D07D920"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35.54</w:t>
            </w:r>
          </w:p>
        </w:tc>
        <w:tc>
          <w:tcPr>
            <w:tcW w:w="628" w:type="pct"/>
            <w:tcBorders>
              <w:top w:val="nil"/>
              <w:left w:val="nil"/>
              <w:bottom w:val="nil"/>
              <w:right w:val="nil"/>
            </w:tcBorders>
          </w:tcPr>
          <w:p w14:paraId="51215453"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5.11</w:t>
            </w:r>
          </w:p>
        </w:tc>
        <w:tc>
          <w:tcPr>
            <w:tcW w:w="654" w:type="pct"/>
            <w:tcBorders>
              <w:top w:val="nil"/>
              <w:left w:val="nil"/>
              <w:bottom w:val="nil"/>
              <w:right w:val="nil"/>
            </w:tcBorders>
          </w:tcPr>
          <w:p w14:paraId="06ACDABC"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75.35</w:t>
            </w:r>
          </w:p>
        </w:tc>
        <w:tc>
          <w:tcPr>
            <w:tcW w:w="602" w:type="pct"/>
            <w:tcBorders>
              <w:top w:val="nil"/>
              <w:left w:val="nil"/>
              <w:bottom w:val="nil"/>
              <w:right w:val="nil"/>
            </w:tcBorders>
          </w:tcPr>
          <w:p w14:paraId="305004F6"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76.40</w:t>
            </w:r>
          </w:p>
        </w:tc>
        <w:tc>
          <w:tcPr>
            <w:tcW w:w="601" w:type="pct"/>
            <w:tcBorders>
              <w:top w:val="nil"/>
              <w:left w:val="nil"/>
              <w:bottom w:val="nil"/>
              <w:right w:val="nil"/>
            </w:tcBorders>
          </w:tcPr>
          <w:p w14:paraId="08DB20B8" w14:textId="2CF1E0F3"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22EEA5B8" w14:textId="77777777" w:rsidTr="00311992">
        <w:tc>
          <w:tcPr>
            <w:tcW w:w="629" w:type="pct"/>
            <w:tcBorders>
              <w:top w:val="nil"/>
              <w:left w:val="nil"/>
              <w:bottom w:val="nil"/>
              <w:right w:val="nil"/>
            </w:tcBorders>
          </w:tcPr>
          <w:p w14:paraId="0FD8B1CC"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2031</w:t>
            </w:r>
          </w:p>
        </w:tc>
        <w:tc>
          <w:tcPr>
            <w:tcW w:w="629" w:type="pct"/>
            <w:tcBorders>
              <w:top w:val="nil"/>
              <w:left w:val="nil"/>
              <w:bottom w:val="nil"/>
              <w:right w:val="nil"/>
            </w:tcBorders>
          </w:tcPr>
          <w:p w14:paraId="07299F40"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86.59</w:t>
            </w:r>
          </w:p>
        </w:tc>
        <w:tc>
          <w:tcPr>
            <w:tcW w:w="629" w:type="pct"/>
            <w:tcBorders>
              <w:top w:val="nil"/>
              <w:left w:val="nil"/>
              <w:bottom w:val="nil"/>
              <w:right w:val="nil"/>
            </w:tcBorders>
          </w:tcPr>
          <w:p w14:paraId="62CF204E"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71.59</w:t>
            </w:r>
          </w:p>
        </w:tc>
        <w:tc>
          <w:tcPr>
            <w:tcW w:w="628" w:type="pct"/>
            <w:tcBorders>
              <w:top w:val="nil"/>
              <w:left w:val="nil"/>
              <w:bottom w:val="nil"/>
              <w:right w:val="nil"/>
            </w:tcBorders>
          </w:tcPr>
          <w:p w14:paraId="3F174A2B"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36.37</w:t>
            </w:r>
          </w:p>
        </w:tc>
        <w:tc>
          <w:tcPr>
            <w:tcW w:w="628" w:type="pct"/>
            <w:tcBorders>
              <w:top w:val="nil"/>
              <w:left w:val="nil"/>
              <w:bottom w:val="nil"/>
              <w:right w:val="nil"/>
            </w:tcBorders>
          </w:tcPr>
          <w:p w14:paraId="7B853ACB"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5.19</w:t>
            </w:r>
          </w:p>
        </w:tc>
        <w:tc>
          <w:tcPr>
            <w:tcW w:w="654" w:type="pct"/>
            <w:tcBorders>
              <w:top w:val="nil"/>
              <w:left w:val="nil"/>
              <w:bottom w:val="nil"/>
              <w:right w:val="nil"/>
            </w:tcBorders>
          </w:tcPr>
          <w:p w14:paraId="412D8285"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76.90</w:t>
            </w:r>
          </w:p>
        </w:tc>
        <w:tc>
          <w:tcPr>
            <w:tcW w:w="602" w:type="pct"/>
            <w:tcBorders>
              <w:top w:val="nil"/>
              <w:left w:val="nil"/>
              <w:bottom w:val="nil"/>
              <w:right w:val="nil"/>
            </w:tcBorders>
          </w:tcPr>
          <w:p w14:paraId="09F4FD10"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78.09</w:t>
            </w:r>
          </w:p>
        </w:tc>
        <w:tc>
          <w:tcPr>
            <w:tcW w:w="601" w:type="pct"/>
            <w:tcBorders>
              <w:top w:val="nil"/>
              <w:left w:val="nil"/>
              <w:bottom w:val="nil"/>
              <w:right w:val="nil"/>
            </w:tcBorders>
          </w:tcPr>
          <w:p w14:paraId="169D1300" w14:textId="564F9D4C"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13E00190" w14:textId="77777777" w:rsidTr="00311992">
        <w:tc>
          <w:tcPr>
            <w:tcW w:w="629" w:type="pct"/>
            <w:tcBorders>
              <w:top w:val="nil"/>
              <w:left w:val="nil"/>
              <w:bottom w:val="nil"/>
              <w:right w:val="nil"/>
            </w:tcBorders>
          </w:tcPr>
          <w:p w14:paraId="38583898"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2032</w:t>
            </w:r>
          </w:p>
        </w:tc>
        <w:tc>
          <w:tcPr>
            <w:tcW w:w="629" w:type="pct"/>
            <w:tcBorders>
              <w:top w:val="nil"/>
              <w:left w:val="nil"/>
              <w:bottom w:val="nil"/>
              <w:right w:val="nil"/>
            </w:tcBorders>
          </w:tcPr>
          <w:p w14:paraId="2B7FF444"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88.33</w:t>
            </w:r>
          </w:p>
        </w:tc>
        <w:tc>
          <w:tcPr>
            <w:tcW w:w="629" w:type="pct"/>
            <w:tcBorders>
              <w:top w:val="nil"/>
              <w:left w:val="nil"/>
              <w:bottom w:val="nil"/>
              <w:right w:val="nil"/>
            </w:tcBorders>
          </w:tcPr>
          <w:p w14:paraId="66CA8E65"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73.33</w:t>
            </w:r>
          </w:p>
        </w:tc>
        <w:tc>
          <w:tcPr>
            <w:tcW w:w="628" w:type="pct"/>
            <w:tcBorders>
              <w:top w:val="nil"/>
              <w:left w:val="nil"/>
              <w:bottom w:val="nil"/>
              <w:right w:val="nil"/>
            </w:tcBorders>
          </w:tcPr>
          <w:p w14:paraId="03C5B3A7"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37.21</w:t>
            </w:r>
          </w:p>
        </w:tc>
        <w:tc>
          <w:tcPr>
            <w:tcW w:w="628" w:type="pct"/>
            <w:tcBorders>
              <w:top w:val="nil"/>
              <w:left w:val="nil"/>
              <w:bottom w:val="nil"/>
              <w:right w:val="nil"/>
            </w:tcBorders>
          </w:tcPr>
          <w:p w14:paraId="5289C3EA"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5.26</w:t>
            </w:r>
          </w:p>
        </w:tc>
        <w:tc>
          <w:tcPr>
            <w:tcW w:w="654" w:type="pct"/>
            <w:tcBorders>
              <w:top w:val="nil"/>
              <w:left w:val="nil"/>
              <w:bottom w:val="nil"/>
              <w:right w:val="nil"/>
            </w:tcBorders>
          </w:tcPr>
          <w:p w14:paraId="0A2DD555"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78.50</w:t>
            </w:r>
          </w:p>
        </w:tc>
        <w:tc>
          <w:tcPr>
            <w:tcW w:w="602" w:type="pct"/>
            <w:tcBorders>
              <w:top w:val="nil"/>
              <w:left w:val="nil"/>
              <w:bottom w:val="nil"/>
              <w:right w:val="nil"/>
            </w:tcBorders>
          </w:tcPr>
          <w:p w14:paraId="1B5DD1E2"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79.83</w:t>
            </w:r>
          </w:p>
        </w:tc>
        <w:tc>
          <w:tcPr>
            <w:tcW w:w="601" w:type="pct"/>
            <w:tcBorders>
              <w:top w:val="nil"/>
              <w:left w:val="nil"/>
              <w:bottom w:val="nil"/>
              <w:right w:val="nil"/>
            </w:tcBorders>
          </w:tcPr>
          <w:p w14:paraId="794980D2" w14:textId="47525057"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6AD31FB9" w14:textId="77777777" w:rsidTr="00311992">
        <w:tc>
          <w:tcPr>
            <w:tcW w:w="629" w:type="pct"/>
            <w:tcBorders>
              <w:top w:val="nil"/>
              <w:left w:val="nil"/>
              <w:bottom w:val="nil"/>
              <w:right w:val="nil"/>
            </w:tcBorders>
          </w:tcPr>
          <w:p w14:paraId="13A89BCD"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2033</w:t>
            </w:r>
          </w:p>
        </w:tc>
        <w:tc>
          <w:tcPr>
            <w:tcW w:w="629" w:type="pct"/>
            <w:tcBorders>
              <w:top w:val="nil"/>
              <w:left w:val="nil"/>
              <w:bottom w:val="nil"/>
              <w:right w:val="nil"/>
            </w:tcBorders>
          </w:tcPr>
          <w:p w14:paraId="466DBA93"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90.09</w:t>
            </w:r>
          </w:p>
        </w:tc>
        <w:tc>
          <w:tcPr>
            <w:tcW w:w="629" w:type="pct"/>
            <w:tcBorders>
              <w:top w:val="nil"/>
              <w:left w:val="nil"/>
              <w:bottom w:val="nil"/>
              <w:right w:val="nil"/>
            </w:tcBorders>
          </w:tcPr>
          <w:p w14:paraId="7A9B6E98"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75.09</w:t>
            </w:r>
          </w:p>
        </w:tc>
        <w:tc>
          <w:tcPr>
            <w:tcW w:w="628" w:type="pct"/>
            <w:tcBorders>
              <w:top w:val="nil"/>
              <w:left w:val="nil"/>
              <w:bottom w:val="nil"/>
              <w:right w:val="nil"/>
            </w:tcBorders>
          </w:tcPr>
          <w:p w14:paraId="37EEAB37"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38.08</w:t>
            </w:r>
          </w:p>
        </w:tc>
        <w:tc>
          <w:tcPr>
            <w:tcW w:w="628" w:type="pct"/>
            <w:tcBorders>
              <w:top w:val="nil"/>
              <w:left w:val="nil"/>
              <w:bottom w:val="nil"/>
              <w:right w:val="nil"/>
            </w:tcBorders>
          </w:tcPr>
          <w:p w14:paraId="5A2B2955"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5.34</w:t>
            </w:r>
          </w:p>
        </w:tc>
        <w:tc>
          <w:tcPr>
            <w:tcW w:w="654" w:type="pct"/>
            <w:tcBorders>
              <w:top w:val="nil"/>
              <w:left w:val="nil"/>
              <w:bottom w:val="nil"/>
              <w:right w:val="nil"/>
            </w:tcBorders>
          </w:tcPr>
          <w:p w14:paraId="44DD7F3D"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80.12</w:t>
            </w:r>
          </w:p>
        </w:tc>
        <w:tc>
          <w:tcPr>
            <w:tcW w:w="602" w:type="pct"/>
            <w:tcBorders>
              <w:top w:val="nil"/>
              <w:left w:val="nil"/>
              <w:bottom w:val="nil"/>
              <w:right w:val="nil"/>
            </w:tcBorders>
          </w:tcPr>
          <w:p w14:paraId="00672D71"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81.59</w:t>
            </w:r>
          </w:p>
        </w:tc>
        <w:tc>
          <w:tcPr>
            <w:tcW w:w="601" w:type="pct"/>
            <w:tcBorders>
              <w:top w:val="nil"/>
              <w:left w:val="nil"/>
              <w:bottom w:val="nil"/>
              <w:right w:val="nil"/>
            </w:tcBorders>
          </w:tcPr>
          <w:p w14:paraId="1146F935" w14:textId="3BE0EA61"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317B6246" w14:textId="77777777" w:rsidTr="00311992">
        <w:tc>
          <w:tcPr>
            <w:tcW w:w="629" w:type="pct"/>
            <w:tcBorders>
              <w:top w:val="nil"/>
              <w:left w:val="nil"/>
              <w:bottom w:val="nil"/>
              <w:right w:val="nil"/>
            </w:tcBorders>
          </w:tcPr>
          <w:p w14:paraId="4074F0A1"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2034</w:t>
            </w:r>
          </w:p>
        </w:tc>
        <w:tc>
          <w:tcPr>
            <w:tcW w:w="629" w:type="pct"/>
            <w:tcBorders>
              <w:top w:val="nil"/>
              <w:left w:val="nil"/>
              <w:bottom w:val="nil"/>
              <w:right w:val="nil"/>
            </w:tcBorders>
          </w:tcPr>
          <w:p w14:paraId="6140163F"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91.89</w:t>
            </w:r>
          </w:p>
        </w:tc>
        <w:tc>
          <w:tcPr>
            <w:tcW w:w="629" w:type="pct"/>
            <w:tcBorders>
              <w:top w:val="nil"/>
              <w:left w:val="nil"/>
              <w:bottom w:val="nil"/>
              <w:right w:val="nil"/>
            </w:tcBorders>
          </w:tcPr>
          <w:p w14:paraId="72A24CD8"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76.89</w:t>
            </w:r>
          </w:p>
        </w:tc>
        <w:tc>
          <w:tcPr>
            <w:tcW w:w="628" w:type="pct"/>
            <w:tcBorders>
              <w:top w:val="nil"/>
              <w:left w:val="nil"/>
              <w:bottom w:val="nil"/>
              <w:right w:val="nil"/>
            </w:tcBorders>
          </w:tcPr>
          <w:p w14:paraId="576AF221"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38.96</w:t>
            </w:r>
          </w:p>
        </w:tc>
        <w:tc>
          <w:tcPr>
            <w:tcW w:w="628" w:type="pct"/>
            <w:tcBorders>
              <w:top w:val="nil"/>
              <w:left w:val="nil"/>
              <w:bottom w:val="nil"/>
              <w:right w:val="nil"/>
            </w:tcBorders>
          </w:tcPr>
          <w:p w14:paraId="3CD7B8FA"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5.42</w:t>
            </w:r>
          </w:p>
        </w:tc>
        <w:tc>
          <w:tcPr>
            <w:tcW w:w="654" w:type="pct"/>
            <w:tcBorders>
              <w:top w:val="nil"/>
              <w:left w:val="nil"/>
              <w:bottom w:val="nil"/>
              <w:right w:val="nil"/>
            </w:tcBorders>
          </w:tcPr>
          <w:p w14:paraId="3AE01242"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81.78</w:t>
            </w:r>
          </w:p>
        </w:tc>
        <w:tc>
          <w:tcPr>
            <w:tcW w:w="602" w:type="pct"/>
            <w:tcBorders>
              <w:top w:val="nil"/>
              <w:left w:val="nil"/>
              <w:bottom w:val="nil"/>
              <w:right w:val="nil"/>
            </w:tcBorders>
          </w:tcPr>
          <w:p w14:paraId="412933BC"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83.39</w:t>
            </w:r>
          </w:p>
        </w:tc>
        <w:tc>
          <w:tcPr>
            <w:tcW w:w="601" w:type="pct"/>
            <w:tcBorders>
              <w:top w:val="nil"/>
              <w:left w:val="nil"/>
              <w:bottom w:val="nil"/>
              <w:right w:val="nil"/>
            </w:tcBorders>
          </w:tcPr>
          <w:p w14:paraId="64B29141" w14:textId="3E8C5DBC"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r w:rsidR="0012642E" w:rsidRPr="002034F8" w14:paraId="74740C6A" w14:textId="77777777" w:rsidTr="00311992">
        <w:tc>
          <w:tcPr>
            <w:tcW w:w="629" w:type="pct"/>
            <w:tcBorders>
              <w:top w:val="nil"/>
              <w:left w:val="nil"/>
              <w:bottom w:val="nil"/>
              <w:right w:val="nil"/>
            </w:tcBorders>
          </w:tcPr>
          <w:p w14:paraId="6575F457"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2035</w:t>
            </w:r>
          </w:p>
        </w:tc>
        <w:tc>
          <w:tcPr>
            <w:tcW w:w="629" w:type="pct"/>
            <w:tcBorders>
              <w:top w:val="nil"/>
              <w:left w:val="nil"/>
              <w:bottom w:val="nil"/>
              <w:right w:val="nil"/>
            </w:tcBorders>
          </w:tcPr>
          <w:p w14:paraId="792B906F"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93.73</w:t>
            </w:r>
          </w:p>
        </w:tc>
        <w:tc>
          <w:tcPr>
            <w:tcW w:w="629" w:type="pct"/>
            <w:tcBorders>
              <w:top w:val="nil"/>
              <w:left w:val="nil"/>
              <w:bottom w:val="nil"/>
              <w:right w:val="nil"/>
            </w:tcBorders>
          </w:tcPr>
          <w:p w14:paraId="1750E292"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78.73</w:t>
            </w:r>
          </w:p>
        </w:tc>
        <w:tc>
          <w:tcPr>
            <w:tcW w:w="628" w:type="pct"/>
            <w:tcBorders>
              <w:top w:val="nil"/>
              <w:left w:val="nil"/>
              <w:bottom w:val="nil"/>
              <w:right w:val="nil"/>
            </w:tcBorders>
          </w:tcPr>
          <w:p w14:paraId="1510B26A"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39.86</w:t>
            </w:r>
          </w:p>
        </w:tc>
        <w:tc>
          <w:tcPr>
            <w:tcW w:w="628" w:type="pct"/>
            <w:tcBorders>
              <w:top w:val="nil"/>
              <w:left w:val="nil"/>
              <w:bottom w:val="nil"/>
              <w:right w:val="nil"/>
            </w:tcBorders>
          </w:tcPr>
          <w:p w14:paraId="3C9948E7" w14:textId="77777777" w:rsidR="0012642E" w:rsidRPr="002034F8" w:rsidRDefault="0012642E" w:rsidP="0012642E">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5.50</w:t>
            </w:r>
          </w:p>
        </w:tc>
        <w:tc>
          <w:tcPr>
            <w:tcW w:w="654" w:type="pct"/>
            <w:tcBorders>
              <w:top w:val="nil"/>
              <w:left w:val="nil"/>
              <w:bottom w:val="nil"/>
              <w:right w:val="nil"/>
            </w:tcBorders>
          </w:tcPr>
          <w:p w14:paraId="5F8E88D4"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83.47</w:t>
            </w:r>
          </w:p>
        </w:tc>
        <w:tc>
          <w:tcPr>
            <w:tcW w:w="602" w:type="pct"/>
            <w:tcBorders>
              <w:top w:val="nil"/>
              <w:left w:val="nil"/>
              <w:bottom w:val="nil"/>
              <w:right w:val="nil"/>
            </w:tcBorders>
          </w:tcPr>
          <w:p w14:paraId="7A240EB8" w14:textId="77777777" w:rsidR="0012642E" w:rsidRPr="002034F8" w:rsidRDefault="0012642E" w:rsidP="0012642E">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85.23</w:t>
            </w:r>
          </w:p>
        </w:tc>
        <w:tc>
          <w:tcPr>
            <w:tcW w:w="601" w:type="pct"/>
            <w:tcBorders>
              <w:top w:val="nil"/>
              <w:left w:val="nil"/>
              <w:bottom w:val="nil"/>
              <w:right w:val="nil"/>
            </w:tcBorders>
          </w:tcPr>
          <w:p w14:paraId="5455A3A6" w14:textId="29F4CE9D" w:rsidR="0012642E" w:rsidRPr="00AC19AE" w:rsidRDefault="0012642E" w:rsidP="0012642E">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2.0</w:t>
            </w:r>
          </w:p>
        </w:tc>
      </w:tr>
    </w:tbl>
    <w:p w14:paraId="6F1892A0" w14:textId="77777777" w:rsidR="00C84F36" w:rsidRPr="007B6295" w:rsidRDefault="00C84F36" w:rsidP="00934BBA">
      <w:pPr>
        <w:pStyle w:val="BodyText"/>
        <w:keepNext/>
        <w:keepLines/>
        <w:rPr>
          <w:szCs w:val="22"/>
        </w:rPr>
      </w:pPr>
    </w:p>
    <w:p w14:paraId="1CBE02D5" w14:textId="77777777" w:rsidR="00CD4697" w:rsidRPr="007B6295" w:rsidRDefault="00CD4697" w:rsidP="008C4159">
      <w:pPr>
        <w:pStyle w:val="SecurityL8"/>
        <w:keepNext/>
        <w:numPr>
          <w:ilvl w:val="0"/>
          <w:numId w:val="0"/>
        </w:numPr>
        <w:autoSpaceDE w:val="0"/>
        <w:autoSpaceDN w:val="0"/>
        <w:adjustRightInd w:val="0"/>
        <w:spacing w:after="0"/>
        <w:rPr>
          <w:sz w:val="16"/>
          <w:szCs w:val="16"/>
        </w:rPr>
      </w:pPr>
    </w:p>
    <w:p w14:paraId="407F5ED9" w14:textId="5313BFB4" w:rsidR="00CD4697" w:rsidRPr="00250B90" w:rsidRDefault="002778E0" w:rsidP="00CC65A8">
      <w:pPr>
        <w:pStyle w:val="SecurityL9"/>
        <w:numPr>
          <w:ilvl w:val="8"/>
          <w:numId w:val="40"/>
        </w:numPr>
        <w:autoSpaceDE w:val="0"/>
        <w:autoSpaceDN w:val="0"/>
        <w:adjustRightInd w:val="0"/>
        <w:spacing w:after="0"/>
        <w:rPr>
          <w:rFonts w:ascii="Verdana" w:hAnsi="Verdana"/>
          <w:i w:val="0"/>
          <w:sz w:val="16"/>
          <w:szCs w:val="16"/>
        </w:rPr>
      </w:pPr>
      <w:bookmarkStart w:id="2" w:name="_Hlk128393278"/>
      <w:bookmarkStart w:id="3" w:name="_Hlk191543661"/>
      <w:r>
        <w:rPr>
          <w:rFonts w:ascii="Verdana" w:hAnsi="Verdana"/>
          <w:i w:val="0"/>
          <w:sz w:val="16"/>
          <w:szCs w:val="16"/>
        </w:rPr>
        <w:t>F</w:t>
      </w:r>
      <w:r w:rsidR="00CD4697" w:rsidRPr="00250B90">
        <w:rPr>
          <w:rFonts w:ascii="Verdana" w:hAnsi="Verdana"/>
          <w:i w:val="0"/>
          <w:sz w:val="16"/>
          <w:szCs w:val="16"/>
        </w:rPr>
        <w:t>orecast Brent crude oil ben</w:t>
      </w:r>
      <w:r w:rsidR="00CC65A8" w:rsidRPr="00250B90">
        <w:rPr>
          <w:rFonts w:ascii="Verdana" w:hAnsi="Verdana"/>
          <w:i w:val="0"/>
          <w:sz w:val="16"/>
          <w:szCs w:val="16"/>
        </w:rPr>
        <w:t xml:space="preserve">chmark reference </w:t>
      </w:r>
      <w:r w:rsidR="00A5477B" w:rsidRPr="00250B90">
        <w:rPr>
          <w:rFonts w:ascii="Verdana" w:hAnsi="Verdana"/>
          <w:i w:val="0"/>
          <w:sz w:val="16"/>
          <w:szCs w:val="16"/>
        </w:rPr>
        <w:t xml:space="preserve">pricing published by </w:t>
      </w:r>
      <w:r w:rsidR="00DC646E" w:rsidRPr="00250B90">
        <w:rPr>
          <w:rFonts w:ascii="Verdana" w:hAnsi="Verdana"/>
          <w:i w:val="0"/>
          <w:sz w:val="16"/>
          <w:szCs w:val="16"/>
        </w:rPr>
        <w:t>Sproule</w:t>
      </w:r>
      <w:r w:rsidR="000F3D8F">
        <w:rPr>
          <w:rFonts w:ascii="Verdana" w:hAnsi="Verdana"/>
          <w:i w:val="0"/>
          <w:sz w:val="16"/>
          <w:szCs w:val="16"/>
        </w:rPr>
        <w:t xml:space="preserve">. </w:t>
      </w:r>
    </w:p>
    <w:p w14:paraId="06D11714" w14:textId="31ABFF51" w:rsidR="00CD4697" w:rsidRPr="00880E48" w:rsidRDefault="008D4FF8" w:rsidP="00CD4697">
      <w:pPr>
        <w:pStyle w:val="SecurityL9"/>
        <w:numPr>
          <w:ilvl w:val="8"/>
          <w:numId w:val="40"/>
        </w:numPr>
        <w:tabs>
          <w:tab w:val="num" w:pos="720"/>
        </w:tabs>
        <w:autoSpaceDE w:val="0"/>
        <w:autoSpaceDN w:val="0"/>
        <w:adjustRightInd w:val="0"/>
        <w:spacing w:after="0"/>
        <w:rPr>
          <w:rFonts w:ascii="Verdana" w:hAnsi="Verdana"/>
          <w:i w:val="0"/>
          <w:iCs/>
          <w:sz w:val="16"/>
          <w:szCs w:val="16"/>
        </w:rPr>
      </w:pPr>
      <w:r w:rsidRPr="00250B90">
        <w:rPr>
          <w:rFonts w:ascii="Verdana" w:hAnsi="Verdana"/>
          <w:i w:val="0"/>
          <w:sz w:val="16"/>
          <w:szCs w:val="16"/>
        </w:rPr>
        <w:t>Forecast pricing for Tierra del Fuego ("</w:t>
      </w:r>
      <w:r w:rsidRPr="00250B90">
        <w:rPr>
          <w:rFonts w:ascii="Verdana" w:hAnsi="Verdana"/>
          <w:b/>
          <w:i w:val="0"/>
          <w:sz w:val="16"/>
          <w:szCs w:val="16"/>
        </w:rPr>
        <w:t>TDF</w:t>
      </w:r>
      <w:r w:rsidRPr="00250B90">
        <w:rPr>
          <w:rFonts w:ascii="Verdana" w:hAnsi="Verdana"/>
          <w:i w:val="0"/>
          <w:sz w:val="16"/>
          <w:szCs w:val="16"/>
        </w:rPr>
        <w:t>") crude oil is based on the forecast Brent crude oil benchmark reference pricing published by Sproule, less a discount of US$15.00 per bbl</w:t>
      </w:r>
      <w:r>
        <w:rPr>
          <w:rFonts w:ascii="Verdana" w:hAnsi="Verdana"/>
          <w:i w:val="0"/>
          <w:sz w:val="16"/>
          <w:szCs w:val="16"/>
        </w:rPr>
        <w:t>.</w:t>
      </w:r>
    </w:p>
    <w:p w14:paraId="1E6F202D" w14:textId="37AE4FB5" w:rsidR="00A12C92" w:rsidRPr="00880E48" w:rsidRDefault="008D4FF8" w:rsidP="00CD4697">
      <w:pPr>
        <w:pStyle w:val="SecurityL9"/>
        <w:numPr>
          <w:ilvl w:val="8"/>
          <w:numId w:val="40"/>
        </w:numPr>
        <w:tabs>
          <w:tab w:val="num" w:pos="720"/>
        </w:tabs>
        <w:autoSpaceDE w:val="0"/>
        <w:autoSpaceDN w:val="0"/>
        <w:adjustRightInd w:val="0"/>
        <w:spacing w:after="0"/>
        <w:rPr>
          <w:rFonts w:ascii="Verdana" w:hAnsi="Verdana"/>
          <w:i w:val="0"/>
          <w:iCs/>
          <w:sz w:val="16"/>
          <w:szCs w:val="16"/>
        </w:rPr>
      </w:pPr>
      <w:bookmarkStart w:id="4" w:name="_Hlk128984762"/>
      <w:r w:rsidRPr="00880E48">
        <w:rPr>
          <w:rFonts w:ascii="Verdana" w:hAnsi="Verdana"/>
          <w:i w:val="0"/>
          <w:iCs/>
          <w:sz w:val="16"/>
          <w:szCs w:val="16"/>
        </w:rPr>
        <w:t xml:space="preserve">The </w:t>
      </w:r>
      <w:r w:rsidR="002778E0" w:rsidRPr="00880E48">
        <w:rPr>
          <w:rFonts w:ascii="Verdana" w:hAnsi="Verdana"/>
          <w:i w:val="0"/>
          <w:iCs/>
          <w:sz w:val="16"/>
          <w:szCs w:val="16"/>
        </w:rPr>
        <w:t>202</w:t>
      </w:r>
      <w:r w:rsidR="002778E0">
        <w:rPr>
          <w:rFonts w:ascii="Verdana" w:hAnsi="Verdana"/>
          <w:i w:val="0"/>
          <w:iCs/>
          <w:sz w:val="16"/>
          <w:szCs w:val="16"/>
        </w:rPr>
        <w:t>5</w:t>
      </w:r>
      <w:r w:rsidR="002778E0" w:rsidRPr="00880E48">
        <w:rPr>
          <w:rFonts w:ascii="Verdana" w:hAnsi="Verdana"/>
          <w:i w:val="0"/>
          <w:iCs/>
          <w:sz w:val="16"/>
          <w:szCs w:val="16"/>
        </w:rPr>
        <w:t xml:space="preserve"> </w:t>
      </w:r>
      <w:r w:rsidRPr="00880E48">
        <w:rPr>
          <w:rFonts w:ascii="Verdana" w:hAnsi="Verdana"/>
          <w:i w:val="0"/>
          <w:iCs/>
          <w:sz w:val="16"/>
          <w:szCs w:val="16"/>
        </w:rPr>
        <w:t xml:space="preserve">TDF NGL price is based on the 12 month average price received in </w:t>
      </w:r>
      <w:r w:rsidR="0012642E">
        <w:rPr>
          <w:rFonts w:ascii="Verdana" w:hAnsi="Verdana"/>
          <w:i w:val="0"/>
          <w:iCs/>
          <w:sz w:val="16"/>
          <w:szCs w:val="16"/>
        </w:rPr>
        <w:t>2024</w:t>
      </w:r>
      <w:r w:rsidR="0012642E" w:rsidRPr="00880E48">
        <w:rPr>
          <w:rFonts w:ascii="Verdana" w:hAnsi="Verdana"/>
          <w:i w:val="0"/>
          <w:iCs/>
          <w:sz w:val="16"/>
          <w:szCs w:val="16"/>
        </w:rPr>
        <w:t xml:space="preserve"> </w:t>
      </w:r>
      <w:r w:rsidRPr="00880E48">
        <w:rPr>
          <w:rFonts w:ascii="Verdana" w:hAnsi="Verdana"/>
          <w:i w:val="0"/>
          <w:iCs/>
          <w:sz w:val="16"/>
          <w:szCs w:val="16"/>
        </w:rPr>
        <w:t>which was then escalated at 2% per annum thereafter</w:t>
      </w:r>
      <w:r w:rsidR="00880E48">
        <w:rPr>
          <w:rFonts w:ascii="Verdana" w:hAnsi="Verdana"/>
          <w:i w:val="0"/>
          <w:iCs/>
          <w:color w:val="000000"/>
          <w:sz w:val="16"/>
          <w:szCs w:val="16"/>
        </w:rPr>
        <w:t>.</w:t>
      </w:r>
    </w:p>
    <w:bookmarkEnd w:id="2"/>
    <w:bookmarkEnd w:id="4"/>
    <w:p w14:paraId="12E5A7FB" w14:textId="77777777" w:rsidR="008D4FF8" w:rsidRPr="00880E48" w:rsidRDefault="008D4FF8" w:rsidP="008D4FF8">
      <w:pPr>
        <w:pStyle w:val="SecurityL9"/>
        <w:numPr>
          <w:ilvl w:val="8"/>
          <w:numId w:val="40"/>
        </w:numPr>
        <w:tabs>
          <w:tab w:val="num" w:pos="720"/>
        </w:tabs>
        <w:autoSpaceDE w:val="0"/>
        <w:autoSpaceDN w:val="0"/>
        <w:adjustRightInd w:val="0"/>
        <w:spacing w:after="0"/>
        <w:rPr>
          <w:rFonts w:ascii="Verdana" w:hAnsi="Verdana"/>
          <w:i w:val="0"/>
          <w:iCs/>
          <w:sz w:val="16"/>
          <w:szCs w:val="16"/>
        </w:rPr>
      </w:pPr>
      <w:r w:rsidRPr="00880E48">
        <w:rPr>
          <w:rFonts w:ascii="Verdana" w:hAnsi="Verdana"/>
          <w:i w:val="0"/>
          <w:iCs/>
          <w:color w:val="000000"/>
          <w:sz w:val="16"/>
          <w:szCs w:val="16"/>
        </w:rPr>
        <w:t>Natural gas production from the TDF concessions is sold to consumers in TDF as well as to mainland Argentina, all of which receive different prices as set by sales agreements from time to time. The forecast prices represent a blend of such prices adjusted for a 1,000 Btu/Scf heating factor</w:t>
      </w:r>
      <w:r>
        <w:rPr>
          <w:rFonts w:ascii="Verdana" w:hAnsi="Verdana"/>
          <w:i w:val="0"/>
          <w:iCs/>
          <w:color w:val="000000"/>
          <w:sz w:val="16"/>
          <w:szCs w:val="16"/>
        </w:rPr>
        <w:t>.</w:t>
      </w:r>
    </w:p>
    <w:p w14:paraId="192D8DC8" w14:textId="5EEDE7B1" w:rsidR="008D4FF8" w:rsidRPr="005F75A7" w:rsidRDefault="008D4FF8" w:rsidP="008D4FF8">
      <w:pPr>
        <w:pStyle w:val="SecurityL9"/>
        <w:numPr>
          <w:ilvl w:val="8"/>
          <w:numId w:val="40"/>
        </w:numPr>
        <w:autoSpaceDE w:val="0"/>
        <w:autoSpaceDN w:val="0"/>
        <w:adjustRightInd w:val="0"/>
        <w:spacing w:after="0"/>
        <w:rPr>
          <w:rFonts w:ascii="Verdana" w:hAnsi="Verdana"/>
          <w:sz w:val="16"/>
          <w:szCs w:val="16"/>
        </w:rPr>
      </w:pPr>
      <w:r w:rsidRPr="00880E48">
        <w:rPr>
          <w:rFonts w:ascii="Verdana" w:hAnsi="Verdana"/>
          <w:i w:val="0"/>
          <w:sz w:val="16"/>
          <w:szCs w:val="16"/>
        </w:rPr>
        <w:t xml:space="preserve">Forecast </w:t>
      </w:r>
      <w:r w:rsidR="002778E0" w:rsidRPr="00880E48">
        <w:rPr>
          <w:rFonts w:ascii="Verdana" w:hAnsi="Verdana"/>
          <w:i w:val="0"/>
          <w:sz w:val="16"/>
          <w:szCs w:val="16"/>
        </w:rPr>
        <w:t>202</w:t>
      </w:r>
      <w:r w:rsidR="002778E0">
        <w:rPr>
          <w:rFonts w:ascii="Verdana" w:hAnsi="Verdana"/>
          <w:i w:val="0"/>
          <w:sz w:val="16"/>
          <w:szCs w:val="16"/>
        </w:rPr>
        <w:t>5</w:t>
      </w:r>
      <w:r w:rsidR="002778E0" w:rsidRPr="00880E48">
        <w:rPr>
          <w:rFonts w:ascii="Verdana" w:hAnsi="Verdana"/>
          <w:i w:val="0"/>
          <w:sz w:val="16"/>
          <w:szCs w:val="16"/>
        </w:rPr>
        <w:t xml:space="preserve"> </w:t>
      </w:r>
      <w:r w:rsidRPr="00880E48">
        <w:rPr>
          <w:rFonts w:ascii="Verdana" w:hAnsi="Verdana"/>
          <w:i w:val="0"/>
          <w:sz w:val="16"/>
          <w:szCs w:val="16"/>
        </w:rPr>
        <w:t>pricing for Chañares Herrados (“</w:t>
      </w:r>
      <w:r w:rsidRPr="00880E48">
        <w:rPr>
          <w:rFonts w:ascii="Verdana" w:hAnsi="Verdana"/>
          <w:b/>
          <w:i w:val="0"/>
          <w:sz w:val="16"/>
          <w:szCs w:val="16"/>
        </w:rPr>
        <w:t>CH</w:t>
      </w:r>
      <w:r w:rsidRPr="00880E48">
        <w:rPr>
          <w:rFonts w:ascii="Verdana" w:hAnsi="Verdana"/>
          <w:i w:val="0"/>
          <w:sz w:val="16"/>
          <w:szCs w:val="16"/>
        </w:rPr>
        <w:t>”) and Puesto Pozo Cercado Oriental (“</w:t>
      </w:r>
      <w:r w:rsidRPr="00880E48">
        <w:rPr>
          <w:rFonts w:ascii="Verdana" w:hAnsi="Verdana"/>
          <w:b/>
          <w:bCs/>
          <w:i w:val="0"/>
          <w:sz w:val="16"/>
          <w:szCs w:val="16"/>
        </w:rPr>
        <w:t>PPCO</w:t>
      </w:r>
      <w:r w:rsidRPr="00880E48">
        <w:rPr>
          <w:rFonts w:ascii="Verdana" w:hAnsi="Verdana"/>
          <w:i w:val="0"/>
          <w:sz w:val="16"/>
          <w:szCs w:val="16"/>
        </w:rPr>
        <w:t xml:space="preserve">”) crude oil is </w:t>
      </w:r>
      <w:r w:rsidRPr="005F75A7">
        <w:rPr>
          <w:rFonts w:ascii="Verdana" w:hAnsi="Verdana"/>
          <w:i w:val="0"/>
          <w:sz w:val="16"/>
          <w:szCs w:val="16"/>
        </w:rPr>
        <w:t xml:space="preserve">based on the </w:t>
      </w:r>
      <w:r>
        <w:rPr>
          <w:rFonts w:ascii="Verdana" w:hAnsi="Verdana"/>
          <w:i w:val="0"/>
          <w:sz w:val="16"/>
          <w:szCs w:val="16"/>
        </w:rPr>
        <w:t xml:space="preserve">Company's </w:t>
      </w:r>
      <w:r w:rsidRPr="005F75A7">
        <w:rPr>
          <w:rFonts w:ascii="Verdana" w:hAnsi="Verdana"/>
          <w:i w:val="0"/>
          <w:sz w:val="16"/>
          <w:szCs w:val="16"/>
        </w:rPr>
        <w:t>current sales agreements</w:t>
      </w:r>
      <w:r>
        <w:rPr>
          <w:rFonts w:ascii="Verdana" w:hAnsi="Verdana"/>
          <w:i w:val="0"/>
          <w:sz w:val="16"/>
          <w:szCs w:val="16"/>
        </w:rPr>
        <w:t xml:space="preserve"> and the operator's </w:t>
      </w:r>
      <w:r w:rsidR="002778E0">
        <w:rPr>
          <w:rFonts w:ascii="Verdana" w:hAnsi="Verdana"/>
          <w:i w:val="0"/>
          <w:sz w:val="16"/>
          <w:szCs w:val="16"/>
        </w:rPr>
        <w:t xml:space="preserve">2025 </w:t>
      </w:r>
      <w:r>
        <w:rPr>
          <w:rFonts w:ascii="Verdana" w:hAnsi="Verdana"/>
          <w:i w:val="0"/>
          <w:sz w:val="16"/>
          <w:szCs w:val="16"/>
        </w:rPr>
        <w:t>budgets</w:t>
      </w:r>
      <w:r w:rsidRPr="005F75A7">
        <w:rPr>
          <w:rFonts w:ascii="Verdana" w:hAnsi="Verdana"/>
          <w:i w:val="0"/>
          <w:sz w:val="16"/>
          <w:szCs w:val="16"/>
        </w:rPr>
        <w:t xml:space="preserve">. From </w:t>
      </w:r>
      <w:r w:rsidR="002778E0" w:rsidRPr="005F75A7">
        <w:rPr>
          <w:rFonts w:ascii="Verdana" w:hAnsi="Verdana"/>
          <w:i w:val="0"/>
          <w:sz w:val="16"/>
          <w:szCs w:val="16"/>
        </w:rPr>
        <w:t>202</w:t>
      </w:r>
      <w:r w:rsidR="002778E0">
        <w:rPr>
          <w:rFonts w:ascii="Verdana" w:hAnsi="Verdana"/>
          <w:i w:val="0"/>
          <w:sz w:val="16"/>
          <w:szCs w:val="16"/>
        </w:rPr>
        <w:t>6</w:t>
      </w:r>
      <w:r w:rsidR="002778E0" w:rsidRPr="005F75A7">
        <w:rPr>
          <w:rFonts w:ascii="Verdana" w:hAnsi="Verdana"/>
          <w:i w:val="0"/>
          <w:sz w:val="16"/>
          <w:szCs w:val="16"/>
        </w:rPr>
        <w:t xml:space="preserve"> </w:t>
      </w:r>
      <w:r w:rsidRPr="005F75A7">
        <w:rPr>
          <w:rFonts w:ascii="Verdana" w:hAnsi="Verdana"/>
          <w:i w:val="0"/>
          <w:sz w:val="16"/>
          <w:szCs w:val="16"/>
        </w:rPr>
        <w:t>onwards the price forecast is based on 92</w:t>
      </w:r>
      <w:r>
        <w:rPr>
          <w:rFonts w:ascii="Verdana" w:hAnsi="Verdana"/>
          <w:i w:val="0"/>
          <w:sz w:val="16"/>
          <w:szCs w:val="16"/>
        </w:rPr>
        <w:t>%</w:t>
      </w:r>
      <w:r w:rsidRPr="005F75A7">
        <w:rPr>
          <w:rFonts w:ascii="Verdana" w:hAnsi="Verdana"/>
          <w:i w:val="0"/>
          <w:sz w:val="16"/>
          <w:szCs w:val="16"/>
        </w:rPr>
        <w:t xml:space="preserve"> of Sproule´s Brent </w:t>
      </w:r>
      <w:r>
        <w:rPr>
          <w:rFonts w:ascii="Verdana" w:hAnsi="Verdana"/>
          <w:i w:val="0"/>
          <w:sz w:val="16"/>
          <w:szCs w:val="16"/>
        </w:rPr>
        <w:t>crude oil p</w:t>
      </w:r>
      <w:r w:rsidRPr="005F75A7">
        <w:rPr>
          <w:rFonts w:ascii="Verdana" w:hAnsi="Verdana"/>
          <w:i w:val="0"/>
          <w:sz w:val="16"/>
          <w:szCs w:val="16"/>
        </w:rPr>
        <w:t xml:space="preserve">rice deck less </w:t>
      </w:r>
      <w:r>
        <w:rPr>
          <w:rFonts w:ascii="Verdana" w:hAnsi="Verdana"/>
          <w:i w:val="0"/>
          <w:sz w:val="16"/>
          <w:szCs w:val="16"/>
        </w:rPr>
        <w:t xml:space="preserve">a discount </w:t>
      </w:r>
      <w:r w:rsidRPr="005F75A7">
        <w:rPr>
          <w:rFonts w:ascii="Verdana" w:hAnsi="Verdana"/>
          <w:i w:val="0"/>
          <w:sz w:val="16"/>
          <w:szCs w:val="16"/>
        </w:rPr>
        <w:t>of US$3.00 per bbl</w:t>
      </w:r>
      <w:r>
        <w:rPr>
          <w:rFonts w:ascii="Verdana" w:hAnsi="Verdana"/>
          <w:i w:val="0"/>
          <w:sz w:val="16"/>
          <w:szCs w:val="16"/>
        </w:rPr>
        <w:t>.</w:t>
      </w:r>
      <w:r w:rsidRPr="005F75A7">
        <w:rPr>
          <w:rFonts w:ascii="Verdana" w:hAnsi="Verdana"/>
          <w:i w:val="0"/>
          <w:sz w:val="16"/>
          <w:szCs w:val="16"/>
        </w:rPr>
        <w:t xml:space="preserve"> </w:t>
      </w:r>
    </w:p>
    <w:p w14:paraId="1FCE3DE0" w14:textId="73FD236E" w:rsidR="00162128" w:rsidRDefault="008D4FF8" w:rsidP="00162128">
      <w:pPr>
        <w:pStyle w:val="SecurityL9"/>
        <w:numPr>
          <w:ilvl w:val="8"/>
          <w:numId w:val="40"/>
        </w:numPr>
        <w:autoSpaceDE w:val="0"/>
        <w:autoSpaceDN w:val="0"/>
        <w:adjustRightInd w:val="0"/>
        <w:spacing w:after="0"/>
        <w:rPr>
          <w:rFonts w:ascii="Verdana" w:hAnsi="Verdana"/>
          <w:i w:val="0"/>
          <w:iCs/>
          <w:sz w:val="16"/>
          <w:szCs w:val="16"/>
        </w:rPr>
      </w:pPr>
      <w:r w:rsidRPr="00527081">
        <w:rPr>
          <w:rFonts w:ascii="Verdana" w:hAnsi="Verdana"/>
          <w:i w:val="0"/>
          <w:iCs/>
          <w:sz w:val="16"/>
          <w:szCs w:val="16"/>
        </w:rPr>
        <w:t>Realized price of heavy and medium gravity oil production from Piedra Clavada</w:t>
      </w:r>
      <w:r w:rsidR="00527081">
        <w:rPr>
          <w:rFonts w:ascii="Verdana" w:hAnsi="Verdana"/>
          <w:i w:val="0"/>
          <w:iCs/>
          <w:sz w:val="16"/>
          <w:szCs w:val="16"/>
        </w:rPr>
        <w:t xml:space="preserve"> (“</w:t>
      </w:r>
      <w:r w:rsidR="00527081" w:rsidRPr="00527081">
        <w:rPr>
          <w:rFonts w:ascii="Verdana" w:hAnsi="Verdana"/>
          <w:b/>
          <w:bCs/>
          <w:i w:val="0"/>
          <w:iCs/>
          <w:sz w:val="16"/>
          <w:szCs w:val="16"/>
        </w:rPr>
        <w:t>PC</w:t>
      </w:r>
      <w:r w:rsidR="00527081">
        <w:rPr>
          <w:rFonts w:ascii="Verdana" w:hAnsi="Verdana"/>
          <w:i w:val="0"/>
          <w:iCs/>
          <w:sz w:val="16"/>
          <w:szCs w:val="16"/>
        </w:rPr>
        <w:t>”)</w:t>
      </w:r>
      <w:r w:rsidRPr="00527081">
        <w:rPr>
          <w:rFonts w:ascii="Verdana" w:hAnsi="Verdana"/>
          <w:i w:val="0"/>
          <w:iCs/>
          <w:sz w:val="16"/>
          <w:szCs w:val="16"/>
        </w:rPr>
        <w:t xml:space="preserve"> and Koluel Kaike</w:t>
      </w:r>
      <w:r w:rsidR="00527081">
        <w:rPr>
          <w:rFonts w:ascii="Verdana" w:hAnsi="Verdana"/>
          <w:i w:val="0"/>
          <w:iCs/>
          <w:sz w:val="16"/>
          <w:szCs w:val="16"/>
        </w:rPr>
        <w:t xml:space="preserve"> (“</w:t>
      </w:r>
      <w:r w:rsidR="00527081" w:rsidRPr="00527081">
        <w:rPr>
          <w:rFonts w:ascii="Verdana" w:hAnsi="Verdana"/>
          <w:b/>
          <w:bCs/>
          <w:i w:val="0"/>
          <w:iCs/>
          <w:sz w:val="16"/>
          <w:szCs w:val="16"/>
        </w:rPr>
        <w:t>KK</w:t>
      </w:r>
      <w:r w:rsidR="00527081">
        <w:rPr>
          <w:rFonts w:ascii="Verdana" w:hAnsi="Verdana"/>
          <w:i w:val="0"/>
          <w:iCs/>
          <w:sz w:val="16"/>
          <w:szCs w:val="16"/>
        </w:rPr>
        <w:t>”)</w:t>
      </w:r>
      <w:r w:rsidRPr="00527081">
        <w:rPr>
          <w:rFonts w:ascii="Verdana" w:hAnsi="Verdana"/>
          <w:i w:val="0"/>
          <w:iCs/>
          <w:sz w:val="16"/>
          <w:szCs w:val="16"/>
        </w:rPr>
        <w:t xml:space="preserve"> is based on the Brent forecast oil price less </w:t>
      </w:r>
      <w:r w:rsidR="00527081" w:rsidRPr="00527081">
        <w:rPr>
          <w:rFonts w:ascii="Verdana" w:hAnsi="Verdana"/>
          <w:i w:val="0"/>
          <w:iCs/>
          <w:sz w:val="16"/>
          <w:szCs w:val="16"/>
        </w:rPr>
        <w:t>$8.50/</w:t>
      </w:r>
      <w:r w:rsidRPr="00527081">
        <w:rPr>
          <w:rFonts w:ascii="Verdana" w:hAnsi="Verdana"/>
          <w:i w:val="0"/>
          <w:iCs/>
          <w:sz w:val="16"/>
          <w:szCs w:val="16"/>
        </w:rPr>
        <w:t>bbl reflecting</w:t>
      </w:r>
      <w:r>
        <w:rPr>
          <w:rFonts w:ascii="Verdana" w:hAnsi="Verdana"/>
          <w:i w:val="0"/>
          <w:iCs/>
          <w:sz w:val="16"/>
          <w:szCs w:val="16"/>
        </w:rPr>
        <w:t xml:space="preserve"> the 2024 discount to Brent.</w:t>
      </w:r>
    </w:p>
    <w:p w14:paraId="5F1FB670" w14:textId="55F28212" w:rsidR="008D4FF8" w:rsidRPr="008D4FF8" w:rsidRDefault="008D4FF8" w:rsidP="00162128">
      <w:pPr>
        <w:pStyle w:val="SecurityL9"/>
        <w:numPr>
          <w:ilvl w:val="8"/>
          <w:numId w:val="40"/>
        </w:numPr>
        <w:autoSpaceDE w:val="0"/>
        <w:autoSpaceDN w:val="0"/>
        <w:adjustRightInd w:val="0"/>
        <w:spacing w:after="0"/>
        <w:rPr>
          <w:rFonts w:ascii="Verdana" w:hAnsi="Verdana"/>
          <w:i w:val="0"/>
          <w:iCs/>
          <w:sz w:val="16"/>
          <w:szCs w:val="16"/>
        </w:rPr>
      </w:pPr>
      <w:r w:rsidRPr="008D4FF8">
        <w:rPr>
          <w:rFonts w:ascii="Verdana" w:hAnsi="Verdana"/>
          <w:i w:val="0"/>
          <w:iCs/>
          <w:sz w:val="16"/>
          <w:szCs w:val="16"/>
        </w:rPr>
        <w:t>Inflation rates used for forecasting costs have been customized to account for recent events and anticipated regional inflation in Argentina</w:t>
      </w:r>
      <w:r w:rsidR="00455A84">
        <w:rPr>
          <w:rFonts w:ascii="Verdana" w:hAnsi="Verdana"/>
          <w:i w:val="0"/>
          <w:iCs/>
          <w:sz w:val="16"/>
          <w:szCs w:val="16"/>
        </w:rPr>
        <w:t>.</w:t>
      </w:r>
    </w:p>
    <w:p w14:paraId="027B0071" w14:textId="168F88D8" w:rsidR="00585434" w:rsidRPr="00A046EE" w:rsidRDefault="00585434" w:rsidP="00162128">
      <w:pPr>
        <w:pStyle w:val="SecurityL9"/>
        <w:numPr>
          <w:ilvl w:val="8"/>
          <w:numId w:val="40"/>
        </w:numPr>
        <w:autoSpaceDE w:val="0"/>
        <w:autoSpaceDN w:val="0"/>
        <w:adjustRightInd w:val="0"/>
        <w:spacing w:after="0"/>
        <w:rPr>
          <w:rFonts w:ascii="Verdana" w:hAnsi="Verdana"/>
          <w:i w:val="0"/>
          <w:iCs/>
          <w:sz w:val="16"/>
          <w:szCs w:val="16"/>
        </w:rPr>
      </w:pPr>
      <w:r w:rsidRPr="00A046EE">
        <w:rPr>
          <w:rFonts w:ascii="Verdana" w:hAnsi="Verdana"/>
          <w:i w:val="0"/>
          <w:iCs/>
          <w:sz w:val="16"/>
          <w:szCs w:val="16"/>
        </w:rPr>
        <w:t xml:space="preserve">The TDF </w:t>
      </w:r>
      <w:r w:rsidR="00EF2C76" w:rsidRPr="00A046EE">
        <w:rPr>
          <w:rFonts w:ascii="Verdana" w:hAnsi="Verdana"/>
          <w:i w:val="0"/>
          <w:iCs/>
          <w:sz w:val="16"/>
          <w:szCs w:val="16"/>
        </w:rPr>
        <w:t>c</w:t>
      </w:r>
      <w:r w:rsidRPr="00A046EE">
        <w:rPr>
          <w:rFonts w:ascii="Verdana" w:hAnsi="Verdana"/>
          <w:i w:val="0"/>
          <w:iCs/>
          <w:sz w:val="16"/>
          <w:szCs w:val="16"/>
        </w:rPr>
        <w:t xml:space="preserve">oncessions expire in August 2026 unless extended by agreement with the Province of </w:t>
      </w:r>
      <w:r w:rsidR="00527081">
        <w:rPr>
          <w:rFonts w:ascii="Verdana" w:hAnsi="Verdana"/>
          <w:i w:val="0"/>
          <w:iCs/>
          <w:sz w:val="16"/>
          <w:szCs w:val="16"/>
        </w:rPr>
        <w:t>Tierra del Fuego</w:t>
      </w:r>
      <w:r w:rsidRPr="00A046EE">
        <w:rPr>
          <w:rFonts w:ascii="Verdana" w:hAnsi="Verdana"/>
          <w:i w:val="0"/>
          <w:iCs/>
          <w:sz w:val="16"/>
          <w:szCs w:val="16"/>
        </w:rPr>
        <w:t>.  The Company intends to participate with the TDF joint venture in obtaining a</w:t>
      </w:r>
      <w:r w:rsidR="00A046EE">
        <w:rPr>
          <w:rFonts w:ascii="Verdana" w:hAnsi="Verdana"/>
          <w:i w:val="0"/>
          <w:iCs/>
          <w:sz w:val="16"/>
          <w:szCs w:val="16"/>
        </w:rPr>
        <w:t>n</w:t>
      </w:r>
      <w:r w:rsidRPr="00A046EE">
        <w:rPr>
          <w:rFonts w:ascii="Verdana" w:hAnsi="Verdana"/>
          <w:i w:val="0"/>
          <w:iCs/>
          <w:sz w:val="16"/>
          <w:szCs w:val="16"/>
        </w:rPr>
        <w:t xml:space="preserve"> extension to the primary term of the TDF concessions.  </w:t>
      </w:r>
    </w:p>
    <w:bookmarkEnd w:id="3"/>
    <w:p w14:paraId="26975E29" w14:textId="50A571A8" w:rsidR="00300A6A" w:rsidRPr="00120232" w:rsidRDefault="00300A6A" w:rsidP="00CC5A37">
      <w:pPr>
        <w:widowControl w:val="0"/>
        <w:spacing w:before="240"/>
        <w:jc w:val="both"/>
        <w:rPr>
          <w:sz w:val="20"/>
          <w:szCs w:val="20"/>
        </w:rPr>
      </w:pPr>
      <w:r w:rsidRPr="00120232">
        <w:rPr>
          <w:sz w:val="20"/>
          <w:szCs w:val="20"/>
          <w:lang w:val="en-CA"/>
        </w:rPr>
        <w:t xml:space="preserve">Further details of the </w:t>
      </w:r>
      <w:r w:rsidR="00C6310B">
        <w:rPr>
          <w:sz w:val="20"/>
          <w:szCs w:val="20"/>
          <w:lang w:val="en-CA"/>
        </w:rPr>
        <w:t>evaluation</w:t>
      </w:r>
      <w:r w:rsidR="00C6310B" w:rsidRPr="00120232">
        <w:rPr>
          <w:sz w:val="20"/>
          <w:szCs w:val="20"/>
          <w:lang w:val="en-CA"/>
        </w:rPr>
        <w:t xml:space="preserve"> </w:t>
      </w:r>
      <w:r w:rsidRPr="00120232">
        <w:rPr>
          <w:sz w:val="20"/>
          <w:szCs w:val="20"/>
          <w:lang w:val="en-CA"/>
        </w:rPr>
        <w:t xml:space="preserve">of the Company’s reserves as </w:t>
      </w:r>
      <w:r w:rsidR="006229AC">
        <w:rPr>
          <w:sz w:val="20"/>
          <w:szCs w:val="20"/>
          <w:lang w:val="en-CA"/>
        </w:rPr>
        <w:t>of</w:t>
      </w:r>
      <w:r w:rsidR="006229AC" w:rsidRPr="00120232">
        <w:rPr>
          <w:sz w:val="20"/>
          <w:szCs w:val="20"/>
          <w:lang w:val="en-CA"/>
        </w:rPr>
        <w:t xml:space="preserve"> </w:t>
      </w:r>
      <w:r w:rsidRPr="00120232">
        <w:rPr>
          <w:sz w:val="20"/>
          <w:szCs w:val="20"/>
          <w:lang w:val="en-CA"/>
        </w:rPr>
        <w:t xml:space="preserve">December 31, </w:t>
      </w:r>
      <w:r w:rsidR="009A7A4B" w:rsidRPr="00120232">
        <w:rPr>
          <w:sz w:val="20"/>
          <w:szCs w:val="20"/>
          <w:lang w:val="en-CA"/>
        </w:rPr>
        <w:t>202</w:t>
      </w:r>
      <w:r w:rsidR="009A7A4B">
        <w:rPr>
          <w:sz w:val="20"/>
          <w:szCs w:val="20"/>
          <w:lang w:val="en-CA"/>
        </w:rPr>
        <w:t>4</w:t>
      </w:r>
      <w:r w:rsidR="009A7A4B" w:rsidRPr="00120232">
        <w:rPr>
          <w:sz w:val="20"/>
          <w:szCs w:val="20"/>
          <w:lang w:val="en-CA"/>
        </w:rPr>
        <w:t xml:space="preserve"> </w:t>
      </w:r>
      <w:r w:rsidR="005020B1" w:rsidRPr="00120232">
        <w:rPr>
          <w:sz w:val="20"/>
          <w:szCs w:val="20"/>
          <w:lang w:val="en-CA"/>
        </w:rPr>
        <w:t>will be</w:t>
      </w:r>
      <w:r w:rsidRPr="00120232">
        <w:rPr>
          <w:sz w:val="20"/>
          <w:szCs w:val="20"/>
          <w:lang w:val="en-CA"/>
        </w:rPr>
        <w:t xml:space="preserve"> contained in the Company’s NI 51-101 filings for the year ended December 31, </w:t>
      </w:r>
      <w:r w:rsidR="009A7A4B" w:rsidRPr="00120232">
        <w:rPr>
          <w:sz w:val="20"/>
          <w:szCs w:val="20"/>
          <w:lang w:val="en-CA"/>
        </w:rPr>
        <w:t>202</w:t>
      </w:r>
      <w:r w:rsidR="009A7A4B">
        <w:rPr>
          <w:sz w:val="20"/>
          <w:szCs w:val="20"/>
          <w:lang w:val="en-CA"/>
        </w:rPr>
        <w:t>4</w:t>
      </w:r>
      <w:r w:rsidR="009C0E26" w:rsidRPr="00120232">
        <w:rPr>
          <w:sz w:val="20"/>
          <w:szCs w:val="20"/>
          <w:lang w:val="en-CA"/>
        </w:rPr>
        <w:t>,</w:t>
      </w:r>
      <w:r w:rsidR="005702A7" w:rsidRPr="00120232">
        <w:rPr>
          <w:sz w:val="20"/>
          <w:szCs w:val="20"/>
          <w:lang w:val="en-CA"/>
        </w:rPr>
        <w:t xml:space="preserve"> </w:t>
      </w:r>
      <w:r w:rsidRPr="00120232">
        <w:rPr>
          <w:sz w:val="20"/>
          <w:szCs w:val="20"/>
          <w:lang w:val="en-CA"/>
        </w:rPr>
        <w:t xml:space="preserve">which will be filed with Canadian securities regulatory authorities </w:t>
      </w:r>
      <w:r w:rsidR="00CB0739" w:rsidRPr="00120232">
        <w:rPr>
          <w:sz w:val="20"/>
          <w:szCs w:val="20"/>
          <w:lang w:val="en-CA"/>
        </w:rPr>
        <w:t xml:space="preserve">in due course </w:t>
      </w:r>
      <w:r w:rsidRPr="00120232">
        <w:rPr>
          <w:sz w:val="20"/>
          <w:szCs w:val="20"/>
          <w:lang w:val="en-CA"/>
        </w:rPr>
        <w:t>and will be made available under the Company’s profile at</w:t>
      </w:r>
      <w:r w:rsidRPr="00120232">
        <w:rPr>
          <w:color w:val="FF0000"/>
          <w:sz w:val="20"/>
          <w:szCs w:val="20"/>
          <w:lang w:val="en-CA"/>
        </w:rPr>
        <w:t xml:space="preserve"> </w:t>
      </w:r>
      <w:hyperlink r:id="rId11" w:history="1">
        <w:r w:rsidR="0048008B" w:rsidRPr="00904A15">
          <w:rPr>
            <w:rStyle w:val="Hyperlink"/>
            <w:sz w:val="20"/>
            <w:szCs w:val="20"/>
            <w:lang w:val="en-CA"/>
          </w:rPr>
          <w:t>www.sedarplus.ca</w:t>
        </w:r>
      </w:hyperlink>
      <w:r w:rsidRPr="00120232">
        <w:rPr>
          <w:color w:val="FF0000"/>
          <w:sz w:val="20"/>
          <w:szCs w:val="20"/>
          <w:lang w:val="en-CA"/>
        </w:rPr>
        <w:t xml:space="preserve"> </w:t>
      </w:r>
      <w:r w:rsidRPr="00120232">
        <w:rPr>
          <w:sz w:val="20"/>
          <w:szCs w:val="20"/>
          <w:lang w:val="en-CA"/>
        </w:rPr>
        <w:t xml:space="preserve">and on the Company’s website at </w:t>
      </w:r>
      <w:hyperlink r:id="rId12" w:history="1">
        <w:r w:rsidRPr="00120232">
          <w:rPr>
            <w:color w:val="0000FF"/>
            <w:sz w:val="20"/>
            <w:szCs w:val="20"/>
            <w:u w:val="single"/>
          </w:rPr>
          <w:t>www.crownpointenergy.com</w:t>
        </w:r>
      </w:hyperlink>
      <w:r w:rsidR="00BF11EB" w:rsidRPr="00120232">
        <w:rPr>
          <w:sz w:val="20"/>
          <w:szCs w:val="20"/>
        </w:rPr>
        <w:t>.</w:t>
      </w:r>
    </w:p>
    <w:p w14:paraId="18040232" w14:textId="77777777" w:rsidR="00300A6A" w:rsidRPr="00120232" w:rsidRDefault="00300A6A" w:rsidP="00C35452">
      <w:pPr>
        <w:tabs>
          <w:tab w:val="left" w:pos="1440"/>
        </w:tabs>
        <w:spacing w:before="120" w:line="240" w:lineRule="atLeast"/>
        <w:jc w:val="both"/>
        <w:rPr>
          <w:sz w:val="20"/>
          <w:szCs w:val="20"/>
        </w:rPr>
      </w:pPr>
    </w:p>
    <w:p w14:paraId="6CD4ED96" w14:textId="77777777" w:rsidR="00997CEA" w:rsidRPr="00120232" w:rsidRDefault="00997CEA" w:rsidP="00997CEA">
      <w:pPr>
        <w:rPr>
          <w:sz w:val="20"/>
          <w:szCs w:val="20"/>
        </w:rPr>
      </w:pPr>
      <w:r w:rsidRPr="00120232">
        <w:rPr>
          <w:sz w:val="20"/>
          <w:szCs w:val="20"/>
        </w:rPr>
        <w:t>For inquiries please contact</w:t>
      </w:r>
      <w:r w:rsidR="00F87807" w:rsidRPr="00120232">
        <w:rPr>
          <w:sz w:val="20"/>
          <w:szCs w:val="20"/>
        </w:rPr>
        <w:t>:</w:t>
      </w:r>
    </w:p>
    <w:p w14:paraId="3FAB80E3" w14:textId="77777777" w:rsidR="00997CEA" w:rsidRPr="00120232" w:rsidRDefault="00997CEA" w:rsidP="00997CEA">
      <w:pPr>
        <w:rPr>
          <w:sz w:val="20"/>
          <w:szCs w:val="20"/>
        </w:rPr>
      </w:pPr>
    </w:p>
    <w:p w14:paraId="317C65CC" w14:textId="33A0AE43" w:rsidR="00997CEA" w:rsidRPr="00120232" w:rsidRDefault="0085729C" w:rsidP="00997CEA">
      <w:pPr>
        <w:outlineLvl w:val="0"/>
        <w:rPr>
          <w:sz w:val="20"/>
          <w:szCs w:val="20"/>
        </w:rPr>
      </w:pPr>
      <w:r>
        <w:rPr>
          <w:sz w:val="20"/>
          <w:szCs w:val="20"/>
        </w:rPr>
        <w:t>Gabriel Obrador</w:t>
      </w:r>
      <w:r w:rsidR="00CA3FA0">
        <w:rPr>
          <w:sz w:val="20"/>
          <w:szCs w:val="20"/>
        </w:rPr>
        <w:tab/>
      </w:r>
      <w:r w:rsidR="000B260D" w:rsidRPr="00120232">
        <w:rPr>
          <w:sz w:val="20"/>
          <w:szCs w:val="20"/>
        </w:rPr>
        <w:tab/>
      </w:r>
      <w:r w:rsidR="00997CEA" w:rsidRPr="00120232">
        <w:rPr>
          <w:sz w:val="20"/>
          <w:szCs w:val="20"/>
        </w:rPr>
        <w:t xml:space="preserve"> </w:t>
      </w:r>
      <w:r w:rsidR="00997CEA" w:rsidRPr="00120232">
        <w:rPr>
          <w:sz w:val="20"/>
          <w:szCs w:val="20"/>
        </w:rPr>
        <w:tab/>
      </w:r>
      <w:r w:rsidR="00997CEA" w:rsidRPr="00120232">
        <w:rPr>
          <w:sz w:val="20"/>
          <w:szCs w:val="20"/>
        </w:rPr>
        <w:tab/>
      </w:r>
      <w:r w:rsidR="00997CEA" w:rsidRPr="00120232">
        <w:rPr>
          <w:sz w:val="20"/>
          <w:szCs w:val="20"/>
        </w:rPr>
        <w:tab/>
      </w:r>
      <w:r w:rsidR="003E78A4" w:rsidRPr="00120232">
        <w:rPr>
          <w:sz w:val="20"/>
          <w:szCs w:val="20"/>
        </w:rPr>
        <w:t>Marisa Tormakh</w:t>
      </w:r>
    </w:p>
    <w:p w14:paraId="0C5A1B14" w14:textId="77777777" w:rsidR="00997CEA" w:rsidRPr="00120232" w:rsidRDefault="00997CEA" w:rsidP="00997CEA">
      <w:pPr>
        <w:outlineLvl w:val="0"/>
        <w:rPr>
          <w:sz w:val="20"/>
          <w:szCs w:val="20"/>
        </w:rPr>
      </w:pPr>
      <w:r w:rsidRPr="00120232">
        <w:rPr>
          <w:sz w:val="20"/>
          <w:szCs w:val="20"/>
        </w:rPr>
        <w:t>President &amp; CEO</w:t>
      </w:r>
      <w:r w:rsidRPr="00120232">
        <w:rPr>
          <w:sz w:val="20"/>
          <w:szCs w:val="20"/>
        </w:rPr>
        <w:tab/>
      </w:r>
      <w:r w:rsidRPr="00120232">
        <w:rPr>
          <w:sz w:val="20"/>
          <w:szCs w:val="20"/>
        </w:rPr>
        <w:tab/>
      </w:r>
      <w:r w:rsidRPr="00120232">
        <w:rPr>
          <w:sz w:val="20"/>
          <w:szCs w:val="20"/>
        </w:rPr>
        <w:tab/>
      </w:r>
      <w:r w:rsidRPr="00120232">
        <w:rPr>
          <w:sz w:val="20"/>
          <w:szCs w:val="20"/>
        </w:rPr>
        <w:tab/>
      </w:r>
      <w:r w:rsidR="00BD6877">
        <w:rPr>
          <w:sz w:val="20"/>
          <w:szCs w:val="20"/>
        </w:rPr>
        <w:t xml:space="preserve">          </w:t>
      </w:r>
      <w:r w:rsidRPr="00120232">
        <w:rPr>
          <w:sz w:val="20"/>
          <w:szCs w:val="20"/>
        </w:rPr>
        <w:t>Vice-President</w:t>
      </w:r>
      <w:r w:rsidR="000A1C47" w:rsidRPr="00120232">
        <w:rPr>
          <w:sz w:val="20"/>
          <w:szCs w:val="20"/>
        </w:rPr>
        <w:t>, Finance</w:t>
      </w:r>
      <w:r w:rsidRPr="00120232">
        <w:rPr>
          <w:sz w:val="20"/>
          <w:szCs w:val="20"/>
        </w:rPr>
        <w:t xml:space="preserve"> &amp; CFO</w:t>
      </w:r>
    </w:p>
    <w:p w14:paraId="77CD8B2E" w14:textId="77777777" w:rsidR="00997CEA" w:rsidRPr="00120232" w:rsidRDefault="00997CEA" w:rsidP="00997CEA">
      <w:pPr>
        <w:rPr>
          <w:sz w:val="20"/>
          <w:szCs w:val="20"/>
        </w:rPr>
      </w:pPr>
      <w:r w:rsidRPr="00120232">
        <w:rPr>
          <w:sz w:val="20"/>
          <w:szCs w:val="20"/>
        </w:rPr>
        <w:lastRenderedPageBreak/>
        <w:t>Ph: (403) 232-1150</w:t>
      </w:r>
      <w:r w:rsidRPr="00120232">
        <w:rPr>
          <w:sz w:val="20"/>
          <w:szCs w:val="20"/>
        </w:rPr>
        <w:tab/>
      </w:r>
      <w:r w:rsidRPr="00120232">
        <w:rPr>
          <w:sz w:val="20"/>
          <w:szCs w:val="20"/>
        </w:rPr>
        <w:tab/>
      </w:r>
      <w:r w:rsidRPr="00120232">
        <w:rPr>
          <w:sz w:val="20"/>
          <w:szCs w:val="20"/>
        </w:rPr>
        <w:tab/>
      </w:r>
      <w:r w:rsidRPr="00120232">
        <w:rPr>
          <w:sz w:val="20"/>
          <w:szCs w:val="20"/>
        </w:rPr>
        <w:tab/>
      </w:r>
      <w:r w:rsidR="00BD6877">
        <w:rPr>
          <w:sz w:val="20"/>
          <w:szCs w:val="20"/>
        </w:rPr>
        <w:t xml:space="preserve">          </w:t>
      </w:r>
      <w:r w:rsidRPr="00120232">
        <w:rPr>
          <w:sz w:val="20"/>
          <w:szCs w:val="20"/>
        </w:rPr>
        <w:t>Ph: (403) 232-1150</w:t>
      </w:r>
    </w:p>
    <w:p w14:paraId="23615767" w14:textId="77777777" w:rsidR="00997CEA" w:rsidRPr="00120232" w:rsidRDefault="00997CEA" w:rsidP="00997CEA">
      <w:pPr>
        <w:rPr>
          <w:sz w:val="20"/>
          <w:szCs w:val="20"/>
        </w:rPr>
      </w:pPr>
      <w:r w:rsidRPr="00120232">
        <w:rPr>
          <w:sz w:val="20"/>
          <w:szCs w:val="20"/>
        </w:rPr>
        <w:t xml:space="preserve">Crown Point </w:t>
      </w:r>
      <w:r w:rsidR="001A4EF4" w:rsidRPr="00120232">
        <w:rPr>
          <w:sz w:val="20"/>
          <w:szCs w:val="20"/>
        </w:rPr>
        <w:t>Energy Inc</w:t>
      </w:r>
      <w:r w:rsidRPr="00120232">
        <w:rPr>
          <w:sz w:val="20"/>
          <w:szCs w:val="20"/>
        </w:rPr>
        <w:t>.</w:t>
      </w:r>
      <w:r w:rsidRPr="00120232">
        <w:rPr>
          <w:sz w:val="20"/>
          <w:szCs w:val="20"/>
        </w:rPr>
        <w:tab/>
      </w:r>
      <w:r w:rsidRPr="00120232">
        <w:rPr>
          <w:sz w:val="20"/>
          <w:szCs w:val="20"/>
        </w:rPr>
        <w:tab/>
      </w:r>
      <w:r w:rsidRPr="00120232">
        <w:rPr>
          <w:sz w:val="20"/>
          <w:szCs w:val="20"/>
        </w:rPr>
        <w:tab/>
      </w:r>
      <w:r w:rsidR="00EF06DB" w:rsidRPr="00120232">
        <w:rPr>
          <w:sz w:val="20"/>
          <w:szCs w:val="20"/>
        </w:rPr>
        <w:tab/>
      </w:r>
      <w:r w:rsidRPr="00120232">
        <w:rPr>
          <w:sz w:val="20"/>
          <w:szCs w:val="20"/>
        </w:rPr>
        <w:t xml:space="preserve">Crown Point </w:t>
      </w:r>
      <w:r w:rsidR="001A4EF4" w:rsidRPr="00120232">
        <w:rPr>
          <w:sz w:val="20"/>
          <w:szCs w:val="20"/>
        </w:rPr>
        <w:t>Energy Inc</w:t>
      </w:r>
      <w:r w:rsidRPr="00120232">
        <w:rPr>
          <w:sz w:val="20"/>
          <w:szCs w:val="20"/>
        </w:rPr>
        <w:t>.</w:t>
      </w:r>
    </w:p>
    <w:p w14:paraId="6862CF46" w14:textId="24543F2F" w:rsidR="00997CEA" w:rsidRPr="00120232" w:rsidRDefault="0085729C" w:rsidP="00997CEA">
      <w:pPr>
        <w:rPr>
          <w:sz w:val="20"/>
          <w:szCs w:val="20"/>
        </w:rPr>
      </w:pPr>
      <w:hyperlink r:id="rId13" w:history="1">
        <w:r>
          <w:rPr>
            <w:rStyle w:val="Hyperlink"/>
            <w:sz w:val="20"/>
            <w:szCs w:val="20"/>
          </w:rPr>
          <w:t>gobrador</w:t>
        </w:r>
        <w:r w:rsidRPr="00120232">
          <w:rPr>
            <w:rStyle w:val="Hyperlink"/>
            <w:sz w:val="20"/>
            <w:szCs w:val="20"/>
          </w:rPr>
          <w:t>@crownpointenergy.com</w:t>
        </w:r>
      </w:hyperlink>
      <w:r w:rsidR="00997CEA" w:rsidRPr="00120232">
        <w:rPr>
          <w:sz w:val="20"/>
          <w:szCs w:val="20"/>
        </w:rPr>
        <w:tab/>
      </w:r>
      <w:r w:rsidR="00997CEA" w:rsidRPr="00120232">
        <w:rPr>
          <w:sz w:val="20"/>
          <w:szCs w:val="20"/>
        </w:rPr>
        <w:tab/>
      </w:r>
      <w:r w:rsidR="000B260D" w:rsidRPr="00120232">
        <w:rPr>
          <w:sz w:val="20"/>
          <w:szCs w:val="20"/>
        </w:rPr>
        <w:tab/>
      </w:r>
      <w:hyperlink r:id="rId14" w:history="1">
        <w:r w:rsidR="003E78A4" w:rsidRPr="00120232">
          <w:rPr>
            <w:rStyle w:val="Hyperlink"/>
            <w:sz w:val="20"/>
            <w:szCs w:val="20"/>
          </w:rPr>
          <w:t>mtormakh@crownpointenergy.com</w:t>
        </w:r>
      </w:hyperlink>
      <w:r w:rsidR="00997CEA" w:rsidRPr="00120232">
        <w:rPr>
          <w:sz w:val="20"/>
          <w:szCs w:val="20"/>
        </w:rPr>
        <w:t xml:space="preserve"> </w:t>
      </w:r>
    </w:p>
    <w:p w14:paraId="31B6ADDC" w14:textId="77777777" w:rsidR="00A36152" w:rsidRPr="007B6295" w:rsidRDefault="00A36152" w:rsidP="00997CEA">
      <w:pPr>
        <w:rPr>
          <w:rFonts w:ascii="Times New Roman" w:hAnsi="Times New Roman"/>
          <w:sz w:val="20"/>
          <w:szCs w:val="20"/>
        </w:rPr>
      </w:pPr>
    </w:p>
    <w:p w14:paraId="4838AD4F" w14:textId="77777777" w:rsidR="00997CEA" w:rsidRPr="007B6295" w:rsidRDefault="00997CEA" w:rsidP="00997CEA">
      <w:pPr>
        <w:rPr>
          <w:rFonts w:ascii="Times New Roman" w:hAnsi="Times New Roman"/>
          <w:sz w:val="20"/>
          <w:szCs w:val="20"/>
        </w:rPr>
      </w:pPr>
    </w:p>
    <w:p w14:paraId="415D881D" w14:textId="77777777" w:rsidR="00997CEA" w:rsidRPr="00120232" w:rsidRDefault="00193809" w:rsidP="00FF4E54">
      <w:pPr>
        <w:keepNext/>
        <w:keepLines/>
        <w:rPr>
          <w:b/>
          <w:i/>
          <w:sz w:val="20"/>
          <w:szCs w:val="20"/>
        </w:rPr>
      </w:pPr>
      <w:r w:rsidRPr="00120232">
        <w:rPr>
          <w:b/>
          <w:i/>
          <w:sz w:val="20"/>
          <w:szCs w:val="20"/>
        </w:rPr>
        <w:t>About Crown Point</w:t>
      </w:r>
    </w:p>
    <w:p w14:paraId="3C3BA743" w14:textId="77777777" w:rsidR="001757BE" w:rsidRPr="00120232" w:rsidRDefault="001757BE" w:rsidP="001757BE">
      <w:pPr>
        <w:rPr>
          <w:b/>
          <w:i/>
          <w:sz w:val="20"/>
          <w:szCs w:val="20"/>
        </w:rPr>
      </w:pPr>
    </w:p>
    <w:p w14:paraId="578C904D" w14:textId="6F487F19" w:rsidR="00843B59" w:rsidRPr="00120232" w:rsidRDefault="00843B59" w:rsidP="00843B59">
      <w:pPr>
        <w:pStyle w:val="MICONHEADER1"/>
        <w:widowControl w:val="0"/>
        <w:spacing w:line="240" w:lineRule="atLeast"/>
        <w:ind w:left="0"/>
        <w:rPr>
          <w:rFonts w:ascii="Verdana" w:hAnsi="Verdana"/>
          <w:b w:val="0"/>
          <w:bCs/>
          <w:caps w:val="0"/>
          <w:sz w:val="20"/>
          <w:szCs w:val="20"/>
        </w:rPr>
      </w:pPr>
      <w:r w:rsidRPr="00120232">
        <w:rPr>
          <w:rFonts w:ascii="Verdana" w:hAnsi="Verdana"/>
          <w:b w:val="0"/>
          <w:bCs/>
          <w:caps w:val="0"/>
          <w:sz w:val="20"/>
          <w:szCs w:val="20"/>
        </w:rPr>
        <w:t xml:space="preserve">Crown Point Energy Inc. is an international oil and gas exploration and development company headquartered in </w:t>
      </w:r>
      <w:r w:rsidR="00455A84">
        <w:rPr>
          <w:rFonts w:ascii="Verdana" w:hAnsi="Verdana"/>
          <w:b w:val="0"/>
          <w:bCs/>
          <w:caps w:val="0"/>
          <w:sz w:val="20"/>
          <w:szCs w:val="20"/>
        </w:rPr>
        <w:t>Buenos Aires</w:t>
      </w:r>
      <w:r w:rsidRPr="00120232">
        <w:rPr>
          <w:rFonts w:ascii="Verdana" w:hAnsi="Verdana"/>
          <w:b w:val="0"/>
          <w:bCs/>
          <w:caps w:val="0"/>
          <w:sz w:val="20"/>
          <w:szCs w:val="20"/>
        </w:rPr>
        <w:t xml:space="preserve">, </w:t>
      </w:r>
      <w:r w:rsidR="00455A84">
        <w:rPr>
          <w:rFonts w:ascii="Verdana" w:hAnsi="Verdana"/>
          <w:b w:val="0"/>
          <w:bCs/>
          <w:caps w:val="0"/>
          <w:sz w:val="20"/>
          <w:szCs w:val="20"/>
        </w:rPr>
        <w:t>Argentina</w:t>
      </w:r>
      <w:r w:rsidRPr="00120232">
        <w:rPr>
          <w:rFonts w:ascii="Verdana" w:hAnsi="Verdana"/>
          <w:b w:val="0"/>
          <w:bCs/>
          <w:caps w:val="0"/>
          <w:sz w:val="20"/>
          <w:szCs w:val="20"/>
        </w:rPr>
        <w:t xml:space="preserve">, incorporated in Canada, trading on the TSX Venture Exchange and </w:t>
      </w:r>
      <w:r w:rsidR="00F159ED">
        <w:rPr>
          <w:rFonts w:ascii="Verdana" w:hAnsi="Verdana"/>
          <w:b w:val="0"/>
          <w:bCs/>
          <w:caps w:val="0"/>
          <w:sz w:val="20"/>
          <w:szCs w:val="20"/>
        </w:rPr>
        <w:t>operating</w:t>
      </w:r>
      <w:r w:rsidR="00CE1D64" w:rsidRPr="00120232">
        <w:rPr>
          <w:rFonts w:ascii="Verdana" w:hAnsi="Verdana"/>
          <w:b w:val="0"/>
          <w:bCs/>
          <w:caps w:val="0"/>
          <w:sz w:val="20"/>
          <w:szCs w:val="20"/>
        </w:rPr>
        <w:t xml:space="preserve"> in Argentina</w:t>
      </w:r>
      <w:r w:rsidRPr="00120232">
        <w:rPr>
          <w:rFonts w:ascii="Verdana" w:hAnsi="Verdana"/>
          <w:b w:val="0"/>
          <w:bCs/>
          <w:caps w:val="0"/>
          <w:sz w:val="20"/>
          <w:szCs w:val="20"/>
        </w:rPr>
        <w:t>.</w:t>
      </w:r>
      <w:r w:rsidRPr="00A0701B">
        <w:rPr>
          <w:rFonts w:ascii="Verdana" w:hAnsi="Verdana"/>
          <w:b w:val="0"/>
          <w:bCs/>
          <w:caps w:val="0"/>
          <w:sz w:val="20"/>
          <w:szCs w:val="20"/>
        </w:rPr>
        <w:t xml:space="preserve"> </w:t>
      </w:r>
      <w:r w:rsidR="00A0701B" w:rsidRPr="00A0701B">
        <w:rPr>
          <w:rFonts w:ascii="Verdana" w:hAnsi="Verdana"/>
          <w:b w:val="0"/>
          <w:caps w:val="0"/>
          <w:sz w:val="20"/>
          <w:szCs w:val="20"/>
        </w:rPr>
        <w:t>Crown Point</w:t>
      </w:r>
      <w:r w:rsidR="00A0701B">
        <w:rPr>
          <w:rFonts w:ascii="Verdana" w:hAnsi="Verdana"/>
          <w:b w:val="0"/>
          <w:caps w:val="0"/>
          <w:sz w:val="20"/>
          <w:szCs w:val="20"/>
        </w:rPr>
        <w:t>'</w:t>
      </w:r>
      <w:r w:rsidR="00A0701B" w:rsidRPr="00A0701B">
        <w:rPr>
          <w:rFonts w:ascii="Verdana" w:hAnsi="Verdana"/>
          <w:b w:val="0"/>
          <w:caps w:val="0"/>
          <w:sz w:val="20"/>
          <w:szCs w:val="20"/>
        </w:rPr>
        <w:t xml:space="preserve">s exploration and development activities are focused in </w:t>
      </w:r>
      <w:r w:rsidR="009A7A4B">
        <w:rPr>
          <w:rFonts w:ascii="Verdana" w:hAnsi="Verdana"/>
          <w:b w:val="0"/>
          <w:caps w:val="0"/>
          <w:sz w:val="20"/>
          <w:szCs w:val="20"/>
        </w:rPr>
        <w:t>four</w:t>
      </w:r>
      <w:r w:rsidR="00A0701B" w:rsidRPr="00A0701B">
        <w:rPr>
          <w:rFonts w:ascii="Verdana" w:hAnsi="Verdana"/>
          <w:b w:val="0"/>
          <w:caps w:val="0"/>
          <w:sz w:val="20"/>
          <w:szCs w:val="20"/>
        </w:rPr>
        <w:t xml:space="preserve"> producing basins in Argentina, the Austral basin in the province of Tierra del Fuego, </w:t>
      </w:r>
      <w:r w:rsidR="009A7A4B">
        <w:rPr>
          <w:rFonts w:ascii="Verdana" w:hAnsi="Verdana"/>
          <w:b w:val="0"/>
          <w:caps w:val="0"/>
          <w:sz w:val="20"/>
          <w:szCs w:val="20"/>
        </w:rPr>
        <w:t xml:space="preserve">the San Jorge Basin in the province of Santa Cruz </w:t>
      </w:r>
      <w:r w:rsidR="00A0701B" w:rsidRPr="00A0701B">
        <w:rPr>
          <w:rFonts w:ascii="Verdana" w:hAnsi="Verdana"/>
          <w:b w:val="0"/>
          <w:caps w:val="0"/>
          <w:sz w:val="20"/>
          <w:szCs w:val="20"/>
        </w:rPr>
        <w:t>and the Neuquén and Cuyo basins in the province of Mendoza.</w:t>
      </w:r>
      <w:r w:rsidR="00A0701B" w:rsidRPr="00A0701B">
        <w:rPr>
          <w:rFonts w:ascii="Verdana" w:hAnsi="Verdana"/>
          <w:b w:val="0"/>
          <w:sz w:val="20"/>
          <w:szCs w:val="20"/>
        </w:rPr>
        <w:t xml:space="preserve"> </w:t>
      </w:r>
      <w:r w:rsidRPr="00120232">
        <w:rPr>
          <w:rFonts w:ascii="Verdana" w:hAnsi="Verdana"/>
          <w:b w:val="0"/>
          <w:bCs/>
          <w:caps w:val="0"/>
          <w:sz w:val="20"/>
          <w:szCs w:val="20"/>
        </w:rPr>
        <w:t>Crown Point has a strategy that focuses on establishing a portfolio of producing properties, plus production enhancement and exploration opportunities to provide a basis for future growth.</w:t>
      </w:r>
    </w:p>
    <w:p w14:paraId="4688C771" w14:textId="77777777" w:rsidR="001757BE" w:rsidRPr="00120232" w:rsidRDefault="001757BE" w:rsidP="001757BE">
      <w:pPr>
        <w:pStyle w:val="MICONHEADER1"/>
        <w:widowControl w:val="0"/>
        <w:spacing w:line="240" w:lineRule="atLeast"/>
        <w:ind w:left="0"/>
        <w:rPr>
          <w:rFonts w:ascii="Verdana" w:hAnsi="Verdana"/>
          <w:b w:val="0"/>
          <w:bCs/>
          <w:caps w:val="0"/>
          <w:sz w:val="22"/>
          <w:szCs w:val="22"/>
        </w:rPr>
      </w:pPr>
    </w:p>
    <w:p w14:paraId="0858225B" w14:textId="77777777" w:rsidR="001757BE" w:rsidRPr="00120232" w:rsidRDefault="00CD3E93" w:rsidP="00CE1D64">
      <w:pPr>
        <w:keepNext/>
        <w:jc w:val="both"/>
        <w:rPr>
          <w:b/>
          <w:bCs/>
          <w:i/>
          <w:iCs/>
          <w:sz w:val="16"/>
          <w:szCs w:val="16"/>
        </w:rPr>
      </w:pPr>
      <w:r w:rsidRPr="00120232">
        <w:rPr>
          <w:b/>
          <w:bCs/>
          <w:i/>
          <w:iCs/>
          <w:sz w:val="16"/>
          <w:szCs w:val="16"/>
        </w:rPr>
        <w:t>Oil and Gas Advisories</w:t>
      </w:r>
    </w:p>
    <w:p w14:paraId="382AAA8A" w14:textId="77777777" w:rsidR="000601E1" w:rsidRPr="00120232" w:rsidRDefault="000601E1" w:rsidP="00CE1D64">
      <w:pPr>
        <w:keepNext/>
        <w:jc w:val="both"/>
        <w:rPr>
          <w:b/>
          <w:bCs/>
          <w:i/>
          <w:iCs/>
          <w:sz w:val="16"/>
          <w:szCs w:val="16"/>
        </w:rPr>
      </w:pPr>
    </w:p>
    <w:p w14:paraId="57DD53C9" w14:textId="77777777" w:rsidR="006F436B" w:rsidRPr="00DF56ED" w:rsidRDefault="00CA24A5" w:rsidP="00CE1D64">
      <w:pPr>
        <w:keepNext/>
        <w:widowControl w:val="0"/>
        <w:jc w:val="both"/>
        <w:rPr>
          <w:rFonts w:eastAsia="Calibri"/>
          <w:i/>
          <w:sz w:val="16"/>
          <w:szCs w:val="16"/>
        </w:rPr>
      </w:pPr>
      <w:r w:rsidRPr="00DF56ED">
        <w:rPr>
          <w:rFonts w:eastAsia="Calibri"/>
          <w:i/>
          <w:sz w:val="16"/>
          <w:szCs w:val="16"/>
        </w:rPr>
        <w:t>Barrels of oil equivalent (</w:t>
      </w:r>
      <w:r w:rsidR="00CD3E93" w:rsidRPr="00DF56ED">
        <w:rPr>
          <w:rFonts w:eastAsia="Calibri"/>
          <w:i/>
          <w:sz w:val="16"/>
          <w:szCs w:val="16"/>
        </w:rPr>
        <w:t>"</w:t>
      </w:r>
      <w:r w:rsidRPr="00DF56ED">
        <w:rPr>
          <w:rFonts w:eastAsia="Calibri"/>
          <w:b/>
          <w:i/>
          <w:sz w:val="16"/>
          <w:szCs w:val="16"/>
        </w:rPr>
        <w:t>BOE</w:t>
      </w:r>
      <w:r w:rsidR="00CD3E93" w:rsidRPr="00DF56ED">
        <w:rPr>
          <w:rFonts w:eastAsia="Calibri"/>
          <w:i/>
          <w:sz w:val="16"/>
          <w:szCs w:val="16"/>
        </w:rPr>
        <w:t>"</w:t>
      </w:r>
      <w:r w:rsidRPr="00DF56ED">
        <w:rPr>
          <w:rFonts w:eastAsia="Calibri"/>
          <w:i/>
          <w:sz w:val="16"/>
          <w:szCs w:val="16"/>
        </w:rPr>
        <w:t xml:space="preserve">) may be misleading, particularly if used in isolation. A </w:t>
      </w:r>
      <w:r w:rsidR="00CD3E93" w:rsidRPr="00DF56ED">
        <w:rPr>
          <w:rFonts w:eastAsia="Calibri"/>
          <w:i/>
          <w:sz w:val="16"/>
          <w:szCs w:val="16"/>
        </w:rPr>
        <w:t>BOE</w:t>
      </w:r>
      <w:r w:rsidRPr="00DF56ED">
        <w:rPr>
          <w:rFonts w:eastAsia="Calibri"/>
          <w:i/>
          <w:sz w:val="16"/>
          <w:szCs w:val="16"/>
        </w:rPr>
        <w:t xml:space="preserve"> conversion ratio of six thousand cubic feet (6 Mcf) to one barrel (1 bbl) is based on an energy equivalency conversion method primarily applicable at the burner tip and does not represent a value equivalency at the wellhead. In addition, given that the value ratio based on the current price of crude oil in Argentina as compared to the current price of natural gas in Argentina is significantly different from the energy equivalency of 6:1, utilizing a conversion on a 6:1 basis may be misleading as an indication of value.</w:t>
      </w:r>
    </w:p>
    <w:p w14:paraId="60E4362F" w14:textId="77777777" w:rsidR="000601E1" w:rsidRPr="00DF56ED" w:rsidRDefault="000601E1" w:rsidP="00BC282F">
      <w:pPr>
        <w:widowControl w:val="0"/>
        <w:jc w:val="both"/>
        <w:rPr>
          <w:rFonts w:eastAsia="Calibri"/>
          <w:i/>
          <w:sz w:val="16"/>
          <w:szCs w:val="16"/>
        </w:rPr>
      </w:pPr>
    </w:p>
    <w:p w14:paraId="2DFFA60E" w14:textId="61D1FA7F" w:rsidR="006F436B" w:rsidRPr="00DF56ED" w:rsidRDefault="000E3366" w:rsidP="00BC282F">
      <w:pPr>
        <w:widowControl w:val="0"/>
        <w:jc w:val="both"/>
        <w:rPr>
          <w:rFonts w:eastAsia="Calibri"/>
          <w:i/>
          <w:sz w:val="16"/>
          <w:szCs w:val="16"/>
        </w:rPr>
      </w:pPr>
      <w:r w:rsidRPr="00DF56ED">
        <w:rPr>
          <w:rFonts w:eastAsia="Calibri"/>
          <w:i/>
          <w:sz w:val="16"/>
          <w:szCs w:val="16"/>
        </w:rPr>
        <w:t xml:space="preserve">"MBOE" means thousands of barrels of oil equivalent.  </w:t>
      </w:r>
      <w:r w:rsidR="00CA24A5" w:rsidRPr="00DF56ED">
        <w:rPr>
          <w:rFonts w:eastAsia="Calibri"/>
          <w:i/>
          <w:sz w:val="16"/>
          <w:szCs w:val="16"/>
        </w:rPr>
        <w:t>“Mcf” means thousand cubic feet.  “M</w:t>
      </w:r>
      <w:r w:rsidR="009F2D7A" w:rsidRPr="00DF56ED">
        <w:rPr>
          <w:rFonts w:eastAsia="Calibri"/>
          <w:i/>
          <w:sz w:val="16"/>
          <w:szCs w:val="16"/>
        </w:rPr>
        <w:t>M</w:t>
      </w:r>
      <w:r w:rsidR="00CA24A5" w:rsidRPr="00DF56ED">
        <w:rPr>
          <w:rFonts w:eastAsia="Calibri"/>
          <w:i/>
          <w:sz w:val="16"/>
          <w:szCs w:val="16"/>
        </w:rPr>
        <w:t xml:space="preserve">cf” </w:t>
      </w:r>
      <w:r w:rsidR="00220A43" w:rsidRPr="00DF56ED">
        <w:rPr>
          <w:rFonts w:eastAsia="Calibri"/>
          <w:i/>
          <w:sz w:val="16"/>
          <w:szCs w:val="16"/>
        </w:rPr>
        <w:t>means million cubic feet.  "bbl</w:t>
      </w:r>
      <w:r w:rsidR="00CA24A5" w:rsidRPr="00DF56ED">
        <w:rPr>
          <w:rFonts w:eastAsia="Calibri"/>
          <w:i/>
          <w:sz w:val="16"/>
          <w:szCs w:val="16"/>
        </w:rPr>
        <w:t xml:space="preserve">" means barrel.  </w:t>
      </w:r>
      <w:r w:rsidRPr="00DF56ED">
        <w:rPr>
          <w:rFonts w:eastAsia="Calibri"/>
          <w:i/>
          <w:sz w:val="16"/>
          <w:szCs w:val="16"/>
        </w:rPr>
        <w:t xml:space="preserve">"Mbbl" means thousands of barrels.  </w:t>
      </w:r>
      <w:r w:rsidR="00245E11" w:rsidRPr="00DF56ED">
        <w:rPr>
          <w:rFonts w:eastAsia="Calibri"/>
          <w:i/>
          <w:sz w:val="16"/>
          <w:szCs w:val="16"/>
        </w:rPr>
        <w:t>"NGL" means natural gas liquids.</w:t>
      </w:r>
      <w:r w:rsidR="00CA24A5" w:rsidRPr="00DF56ED">
        <w:rPr>
          <w:rFonts w:eastAsia="Calibri"/>
          <w:i/>
          <w:sz w:val="16"/>
          <w:szCs w:val="16"/>
        </w:rPr>
        <w:t xml:space="preserve">  </w:t>
      </w:r>
      <w:r w:rsidR="006E679E" w:rsidRPr="00DF56ED">
        <w:rPr>
          <w:rFonts w:eastAsia="Calibri"/>
          <w:i/>
          <w:sz w:val="16"/>
          <w:szCs w:val="16"/>
        </w:rPr>
        <w:t>"</w:t>
      </w:r>
      <w:r w:rsidR="006E679E" w:rsidRPr="00DF56ED">
        <w:rPr>
          <w:sz w:val="16"/>
          <w:szCs w:val="16"/>
        </w:rPr>
        <w:t>Btu/Scf" means British thermal unit per standard cubic foot.</w:t>
      </w:r>
    </w:p>
    <w:p w14:paraId="43924007" w14:textId="77777777" w:rsidR="006F436B" w:rsidRPr="00DF56ED" w:rsidRDefault="006F436B" w:rsidP="00BC282F">
      <w:pPr>
        <w:widowControl w:val="0"/>
        <w:jc w:val="both"/>
        <w:rPr>
          <w:rFonts w:eastAsia="Calibri"/>
          <w:i/>
          <w:sz w:val="16"/>
          <w:szCs w:val="16"/>
        </w:rPr>
      </w:pPr>
    </w:p>
    <w:p w14:paraId="5CAF1752" w14:textId="4B40DACB" w:rsidR="00606739" w:rsidRPr="00DF56ED" w:rsidRDefault="006F436B" w:rsidP="00BC282F">
      <w:pPr>
        <w:autoSpaceDE w:val="0"/>
        <w:autoSpaceDN w:val="0"/>
        <w:adjustRightInd w:val="0"/>
        <w:jc w:val="both"/>
        <w:rPr>
          <w:rFonts w:eastAsia="Calibri"/>
          <w:i/>
          <w:sz w:val="16"/>
          <w:szCs w:val="16"/>
        </w:rPr>
      </w:pPr>
      <w:r w:rsidRPr="00DF56ED">
        <w:rPr>
          <w:rFonts w:eastAsia="Calibri"/>
          <w:i/>
          <w:sz w:val="16"/>
          <w:szCs w:val="16"/>
        </w:rPr>
        <w:t xml:space="preserve">The reserves estimates contained in this news release represent our gross </w:t>
      </w:r>
      <w:r w:rsidR="004D6238" w:rsidRPr="00DF56ED">
        <w:rPr>
          <w:rFonts w:eastAsia="Calibri"/>
          <w:i/>
          <w:sz w:val="16"/>
          <w:szCs w:val="16"/>
        </w:rPr>
        <w:t xml:space="preserve">and net </w:t>
      </w:r>
      <w:r w:rsidRPr="00DF56ED">
        <w:rPr>
          <w:rFonts w:eastAsia="Calibri"/>
          <w:i/>
          <w:sz w:val="16"/>
          <w:szCs w:val="16"/>
        </w:rPr>
        <w:t xml:space="preserve">reserves as </w:t>
      </w:r>
      <w:r w:rsidR="002C05CC">
        <w:rPr>
          <w:rFonts w:eastAsia="Calibri"/>
          <w:i/>
          <w:sz w:val="16"/>
          <w:szCs w:val="16"/>
        </w:rPr>
        <w:t>of</w:t>
      </w:r>
      <w:r w:rsidR="002C05CC" w:rsidRPr="00DF56ED">
        <w:rPr>
          <w:rFonts w:eastAsia="Calibri"/>
          <w:i/>
          <w:sz w:val="16"/>
          <w:szCs w:val="16"/>
        </w:rPr>
        <w:t xml:space="preserve"> </w:t>
      </w:r>
      <w:r w:rsidRPr="00DF56ED">
        <w:rPr>
          <w:rFonts w:eastAsia="Calibri"/>
          <w:i/>
          <w:sz w:val="16"/>
          <w:szCs w:val="16"/>
        </w:rPr>
        <w:t xml:space="preserve">December 31, </w:t>
      </w:r>
      <w:r w:rsidR="00455A84" w:rsidRPr="00DF56ED">
        <w:rPr>
          <w:rFonts w:eastAsia="Calibri"/>
          <w:i/>
          <w:sz w:val="16"/>
          <w:szCs w:val="16"/>
        </w:rPr>
        <w:t>202</w:t>
      </w:r>
      <w:r w:rsidR="00455A84">
        <w:rPr>
          <w:rFonts w:eastAsia="Calibri"/>
          <w:i/>
          <w:sz w:val="16"/>
          <w:szCs w:val="16"/>
        </w:rPr>
        <w:t>4</w:t>
      </w:r>
      <w:r w:rsidR="004D6238" w:rsidRPr="00DF56ED">
        <w:rPr>
          <w:rFonts w:eastAsia="Calibri"/>
          <w:i/>
          <w:sz w:val="16"/>
          <w:szCs w:val="16"/>
        </w:rPr>
        <w:t xml:space="preserve">.  Gross reserves </w:t>
      </w:r>
      <w:r w:rsidRPr="00DF56ED">
        <w:rPr>
          <w:rFonts w:eastAsia="Calibri"/>
          <w:i/>
          <w:sz w:val="16"/>
          <w:szCs w:val="16"/>
        </w:rPr>
        <w:t xml:space="preserve">are defined under NI 51-101 as our </w:t>
      </w:r>
      <w:r w:rsidR="00DD2D22" w:rsidRPr="00DF56ED">
        <w:rPr>
          <w:rFonts w:eastAsia="Calibri"/>
          <w:i/>
          <w:sz w:val="16"/>
          <w:szCs w:val="16"/>
        </w:rPr>
        <w:t xml:space="preserve">working </w:t>
      </w:r>
      <w:r w:rsidRPr="00DF56ED">
        <w:rPr>
          <w:rFonts w:eastAsia="Calibri"/>
          <w:i/>
          <w:sz w:val="16"/>
          <w:szCs w:val="16"/>
        </w:rPr>
        <w:t xml:space="preserve">interest </w:t>
      </w:r>
      <w:r w:rsidR="00DD2D22" w:rsidRPr="00DF56ED">
        <w:rPr>
          <w:rFonts w:eastAsia="Calibri"/>
          <w:i/>
          <w:sz w:val="16"/>
          <w:szCs w:val="16"/>
        </w:rPr>
        <w:t xml:space="preserve">(operating or non-operating) share </w:t>
      </w:r>
      <w:r w:rsidRPr="00DF56ED">
        <w:rPr>
          <w:rFonts w:eastAsia="Calibri"/>
          <w:i/>
          <w:sz w:val="16"/>
          <w:szCs w:val="16"/>
        </w:rPr>
        <w:t xml:space="preserve">before deduction of royalties and without including any of our royalty interests. </w:t>
      </w:r>
      <w:r w:rsidR="004D6238" w:rsidRPr="00DF56ED">
        <w:rPr>
          <w:rFonts w:eastAsia="Calibri"/>
          <w:i/>
          <w:sz w:val="16"/>
          <w:szCs w:val="16"/>
        </w:rPr>
        <w:t xml:space="preserve"> Net reserves are defined under NI 51-101 as our working interest (operating or non-operating) share after deduction of royalty obligations, plus our royalty interests in reserves. </w:t>
      </w:r>
      <w:r w:rsidR="00A90531" w:rsidRPr="00DF56ED">
        <w:rPr>
          <w:rFonts w:eastAsia="Calibri"/>
          <w:i/>
          <w:sz w:val="16"/>
          <w:szCs w:val="16"/>
        </w:rPr>
        <w:t xml:space="preserve"> </w:t>
      </w:r>
      <w:r w:rsidRPr="00DF56ED">
        <w:rPr>
          <w:rFonts w:eastAsia="Calibri"/>
          <w:i/>
          <w:sz w:val="16"/>
          <w:szCs w:val="16"/>
        </w:rPr>
        <w:t xml:space="preserve">It should not be assumed that the present worth of estimated future net revenues presented in the tables above represents the fair market value of the reserves. There is no assurance that the forecast price and cost assumptions will be attained and variances could be material. The recovery and reserves </w:t>
      </w:r>
      <w:proofErr w:type="gramStart"/>
      <w:r w:rsidRPr="00DF56ED">
        <w:rPr>
          <w:rFonts w:eastAsia="Calibri"/>
          <w:i/>
          <w:sz w:val="16"/>
          <w:szCs w:val="16"/>
        </w:rPr>
        <w:t>estimates</w:t>
      </w:r>
      <w:proofErr w:type="gramEnd"/>
      <w:r w:rsidRPr="00DF56ED">
        <w:rPr>
          <w:rFonts w:eastAsia="Calibri"/>
          <w:i/>
          <w:sz w:val="16"/>
          <w:szCs w:val="16"/>
        </w:rPr>
        <w:t xml:space="preserve"> of our crude oil, natural gas liquids and natural gas reserves provided herein are estimates only and there is no guarantee that the estimated reserves will be recovered. Actual crude oil, natural gas and natural gas liquids reserves may be greater than or less than the estimates provided herein.</w:t>
      </w:r>
    </w:p>
    <w:p w14:paraId="441E8945" w14:textId="77777777" w:rsidR="006F436B" w:rsidRPr="00DC646E" w:rsidRDefault="006F436B" w:rsidP="00BC282F">
      <w:pPr>
        <w:autoSpaceDE w:val="0"/>
        <w:autoSpaceDN w:val="0"/>
        <w:adjustRightInd w:val="0"/>
        <w:jc w:val="both"/>
        <w:rPr>
          <w:rFonts w:eastAsia="Calibri"/>
          <w:i/>
          <w:sz w:val="16"/>
          <w:szCs w:val="16"/>
          <w:highlight w:val="yellow"/>
        </w:rPr>
      </w:pPr>
    </w:p>
    <w:p w14:paraId="6284E5CB" w14:textId="77777777" w:rsidR="006F436B" w:rsidRPr="00BC038A" w:rsidRDefault="006F436B" w:rsidP="00BC282F">
      <w:pPr>
        <w:autoSpaceDE w:val="0"/>
        <w:autoSpaceDN w:val="0"/>
        <w:adjustRightInd w:val="0"/>
        <w:jc w:val="both"/>
        <w:rPr>
          <w:rFonts w:eastAsia="Calibri"/>
          <w:i/>
          <w:sz w:val="16"/>
          <w:szCs w:val="16"/>
        </w:rPr>
      </w:pPr>
      <w:r w:rsidRPr="00BC038A">
        <w:rPr>
          <w:rFonts w:eastAsia="Calibri"/>
          <w:i/>
          <w:sz w:val="16"/>
          <w:szCs w:val="16"/>
        </w:rPr>
        <w:t xml:space="preserve">All future net revenues are estimated using forecast prices arising from the anticipated development and production of our reserves, net of the associated royalties, operating costs, development costs, and abandonment and reclamation costs and are stated prior to provision for interest and general and administrative expenses. Future net revenues have been presented on a before tax basis.  </w:t>
      </w:r>
    </w:p>
    <w:p w14:paraId="1F7092C3" w14:textId="77777777" w:rsidR="000601E1" w:rsidRPr="00DC646E" w:rsidRDefault="000601E1" w:rsidP="00BC282F">
      <w:pPr>
        <w:autoSpaceDE w:val="0"/>
        <w:autoSpaceDN w:val="0"/>
        <w:adjustRightInd w:val="0"/>
        <w:jc w:val="both"/>
        <w:rPr>
          <w:rFonts w:eastAsia="Calibri"/>
          <w:i/>
          <w:sz w:val="16"/>
          <w:szCs w:val="16"/>
          <w:highlight w:val="yellow"/>
        </w:rPr>
      </w:pPr>
    </w:p>
    <w:p w14:paraId="3CBAF98A" w14:textId="77777777" w:rsidR="00AB6DBB" w:rsidRPr="00BC038A" w:rsidRDefault="00606739" w:rsidP="00BC282F">
      <w:pPr>
        <w:autoSpaceDE w:val="0"/>
        <w:autoSpaceDN w:val="0"/>
        <w:adjustRightInd w:val="0"/>
        <w:jc w:val="both"/>
        <w:rPr>
          <w:rFonts w:eastAsia="Calibri"/>
          <w:i/>
          <w:sz w:val="16"/>
          <w:szCs w:val="16"/>
        </w:rPr>
      </w:pPr>
      <w:r w:rsidRPr="00BC038A">
        <w:rPr>
          <w:rFonts w:eastAsia="Calibri"/>
          <w:i/>
          <w:sz w:val="16"/>
          <w:szCs w:val="16"/>
        </w:rPr>
        <w:t>The estimates of reserves and future net revenue for individual properties may not reflect the same confidence level as estimates of reserves and future net revenue for all properties, due to the effects of aggregation.</w:t>
      </w:r>
    </w:p>
    <w:p w14:paraId="6C03ED89" w14:textId="77777777" w:rsidR="00BC282F" w:rsidRPr="00BC038A" w:rsidRDefault="00BC282F" w:rsidP="00BC282F">
      <w:pPr>
        <w:autoSpaceDE w:val="0"/>
        <w:autoSpaceDN w:val="0"/>
        <w:adjustRightInd w:val="0"/>
        <w:jc w:val="both"/>
        <w:rPr>
          <w:rFonts w:eastAsia="Calibri"/>
          <w:i/>
          <w:sz w:val="16"/>
          <w:szCs w:val="16"/>
        </w:rPr>
      </w:pPr>
    </w:p>
    <w:p w14:paraId="6DBC88C4" w14:textId="77777777" w:rsidR="00E30FD5" w:rsidRPr="00BA2647" w:rsidRDefault="00CA24A5" w:rsidP="00BC282F">
      <w:pPr>
        <w:widowControl w:val="0"/>
        <w:jc w:val="both"/>
        <w:rPr>
          <w:rFonts w:eastAsia="Calibri"/>
          <w:b/>
          <w:i/>
          <w:sz w:val="16"/>
          <w:szCs w:val="16"/>
        </w:rPr>
      </w:pPr>
      <w:r w:rsidRPr="00BA2647">
        <w:rPr>
          <w:rFonts w:eastAsia="Calibri"/>
          <w:b/>
          <w:i/>
          <w:sz w:val="16"/>
          <w:szCs w:val="16"/>
        </w:rPr>
        <w:t xml:space="preserve">Forward </w:t>
      </w:r>
      <w:r w:rsidR="00E30FD5" w:rsidRPr="00BA2647">
        <w:rPr>
          <w:rFonts w:eastAsia="Calibri"/>
          <w:b/>
          <w:i/>
          <w:sz w:val="16"/>
          <w:szCs w:val="16"/>
        </w:rPr>
        <w:t>L</w:t>
      </w:r>
      <w:r w:rsidRPr="00BA2647">
        <w:rPr>
          <w:rFonts w:eastAsia="Calibri"/>
          <w:b/>
          <w:i/>
          <w:sz w:val="16"/>
          <w:szCs w:val="16"/>
        </w:rPr>
        <w:t xml:space="preserve">ooking </w:t>
      </w:r>
      <w:r w:rsidR="00E30FD5" w:rsidRPr="00BA2647">
        <w:rPr>
          <w:rFonts w:eastAsia="Calibri"/>
          <w:b/>
          <w:i/>
          <w:sz w:val="16"/>
          <w:szCs w:val="16"/>
        </w:rPr>
        <w:t>Statements</w:t>
      </w:r>
    </w:p>
    <w:p w14:paraId="74D7CBE6" w14:textId="77777777" w:rsidR="00BC282F" w:rsidRPr="00BA2647" w:rsidRDefault="00BC282F" w:rsidP="00BC282F">
      <w:pPr>
        <w:widowControl w:val="0"/>
        <w:jc w:val="both"/>
        <w:rPr>
          <w:rFonts w:eastAsia="Calibri"/>
          <w:b/>
          <w:i/>
          <w:sz w:val="16"/>
          <w:szCs w:val="16"/>
        </w:rPr>
      </w:pPr>
    </w:p>
    <w:p w14:paraId="15B62AC5" w14:textId="049334C0" w:rsidR="00CA24A5" w:rsidRPr="008C3761" w:rsidRDefault="00CA24A5" w:rsidP="00BC282F">
      <w:pPr>
        <w:widowControl w:val="0"/>
        <w:jc w:val="both"/>
        <w:rPr>
          <w:i/>
          <w:sz w:val="16"/>
          <w:szCs w:val="16"/>
        </w:rPr>
      </w:pPr>
      <w:r w:rsidRPr="00BA2647">
        <w:rPr>
          <w:rFonts w:eastAsia="Calibri"/>
          <w:i/>
          <w:sz w:val="16"/>
          <w:szCs w:val="16"/>
        </w:rPr>
        <w:t>Certain information set forth in this document</w:t>
      </w:r>
      <w:r w:rsidR="00016F54" w:rsidRPr="00BA2647">
        <w:rPr>
          <w:rFonts w:eastAsia="Calibri"/>
          <w:i/>
          <w:sz w:val="16"/>
          <w:szCs w:val="16"/>
        </w:rPr>
        <w:t xml:space="preserve"> is considered forward-looking information, and necessarily involves risks and uncertainties, certain of which are beyond Crown Point’s control</w:t>
      </w:r>
      <w:r w:rsidR="009E6B86" w:rsidRPr="00BA2647">
        <w:rPr>
          <w:i/>
          <w:iCs/>
          <w:sz w:val="16"/>
          <w:szCs w:val="16"/>
        </w:rPr>
        <w:t xml:space="preserve">.  </w:t>
      </w:r>
      <w:r w:rsidR="00C96E92" w:rsidRPr="00BA2647">
        <w:rPr>
          <w:i/>
          <w:iCs/>
          <w:sz w:val="16"/>
          <w:szCs w:val="16"/>
        </w:rPr>
        <w:t xml:space="preserve">Forward-looking information herein </w:t>
      </w:r>
      <w:r w:rsidR="00C96E92" w:rsidRPr="00C06107">
        <w:rPr>
          <w:i/>
          <w:iCs/>
          <w:sz w:val="16"/>
          <w:szCs w:val="16"/>
        </w:rPr>
        <w:t>includes</w:t>
      </w:r>
      <w:r w:rsidR="00A33F5E" w:rsidRPr="00C06107">
        <w:rPr>
          <w:i/>
          <w:iCs/>
          <w:sz w:val="16"/>
          <w:szCs w:val="16"/>
        </w:rPr>
        <w:t>:</w:t>
      </w:r>
      <w:r w:rsidR="00C96E92" w:rsidRPr="00C06107">
        <w:rPr>
          <w:i/>
          <w:iCs/>
          <w:sz w:val="16"/>
          <w:szCs w:val="16"/>
        </w:rPr>
        <w:t xml:space="preserve"> </w:t>
      </w:r>
      <w:r w:rsidR="00A33F5E" w:rsidRPr="00C06107">
        <w:rPr>
          <w:i/>
          <w:iCs/>
          <w:sz w:val="16"/>
          <w:szCs w:val="16"/>
        </w:rPr>
        <w:t>the Company's intention to</w:t>
      </w:r>
      <w:r w:rsidR="00A33F5E" w:rsidRPr="00C06107">
        <w:rPr>
          <w:i/>
          <w:sz w:val="16"/>
          <w:szCs w:val="16"/>
        </w:rPr>
        <w:t xml:space="preserve"> participate with the TDF joint venture in obtaining a</w:t>
      </w:r>
      <w:r w:rsidR="00FE22F3" w:rsidRPr="00C06107">
        <w:rPr>
          <w:i/>
          <w:sz w:val="16"/>
          <w:szCs w:val="16"/>
        </w:rPr>
        <w:t>n</w:t>
      </w:r>
      <w:r w:rsidR="00A33F5E" w:rsidRPr="00C06107">
        <w:rPr>
          <w:i/>
          <w:sz w:val="16"/>
          <w:szCs w:val="16"/>
        </w:rPr>
        <w:t xml:space="preserve"> extension to the primary term (expiring August 2026) of the TDF concessions; and the forecast pricing and inflation rate assumptions</w:t>
      </w:r>
      <w:r w:rsidR="00A33F5E" w:rsidRPr="00BA2647">
        <w:rPr>
          <w:i/>
          <w:sz w:val="16"/>
          <w:szCs w:val="16"/>
        </w:rPr>
        <w:t xml:space="preserve"> set forth herein. </w:t>
      </w:r>
      <w:r w:rsidR="00A33F5E" w:rsidRPr="00BA2647">
        <w:rPr>
          <w:i/>
          <w:iCs/>
          <w:sz w:val="16"/>
          <w:szCs w:val="16"/>
        </w:rPr>
        <w:t xml:space="preserve"> </w:t>
      </w:r>
      <w:r w:rsidR="00033EA2" w:rsidRPr="00BA2647">
        <w:rPr>
          <w:rFonts w:eastAsia="Calibri"/>
          <w:i/>
          <w:sz w:val="16"/>
          <w:szCs w:val="16"/>
        </w:rPr>
        <w:t xml:space="preserve">In addition, information relating to </w:t>
      </w:r>
      <w:r w:rsidR="00C96E92" w:rsidRPr="00BA2647">
        <w:rPr>
          <w:rFonts w:eastAsia="Calibri"/>
          <w:i/>
          <w:sz w:val="16"/>
          <w:szCs w:val="16"/>
        </w:rPr>
        <w:t xml:space="preserve">our </w:t>
      </w:r>
      <w:r w:rsidR="00033EA2" w:rsidRPr="00BA2647">
        <w:rPr>
          <w:rFonts w:eastAsia="Calibri"/>
          <w:i/>
          <w:sz w:val="16"/>
          <w:szCs w:val="16"/>
        </w:rPr>
        <w:t xml:space="preserve">reserves is deemed to be forward-looking information, as it involves the implied assessment, based on certain estimates and assumptions, that the reserves described can be economically produced in the </w:t>
      </w:r>
      <w:r w:rsidR="00033EA2" w:rsidRPr="00C06107">
        <w:rPr>
          <w:rFonts w:eastAsia="Calibri"/>
          <w:i/>
          <w:sz w:val="16"/>
          <w:szCs w:val="16"/>
        </w:rPr>
        <w:t xml:space="preserve">future.  </w:t>
      </w:r>
      <w:r w:rsidRPr="00C06107">
        <w:rPr>
          <w:rFonts w:eastAsia="Calibri"/>
          <w:i/>
          <w:sz w:val="16"/>
          <w:szCs w:val="16"/>
        </w:rPr>
        <w:t xml:space="preserve">Such risks include but are not limited to: </w:t>
      </w:r>
      <w:r w:rsidR="003064A3" w:rsidRPr="00C06107">
        <w:rPr>
          <w:rFonts w:eastAsia="Calibri"/>
          <w:i/>
          <w:sz w:val="16"/>
          <w:szCs w:val="16"/>
        </w:rPr>
        <w:t xml:space="preserve">the risk that </w:t>
      </w:r>
      <w:r w:rsidR="003064A3" w:rsidRPr="00C06107">
        <w:rPr>
          <w:i/>
          <w:sz w:val="16"/>
          <w:szCs w:val="16"/>
        </w:rPr>
        <w:t>the TDF joint venture is not able to obtain a</w:t>
      </w:r>
      <w:r w:rsidR="00C06107" w:rsidRPr="00C06107">
        <w:rPr>
          <w:i/>
          <w:sz w:val="16"/>
          <w:szCs w:val="16"/>
        </w:rPr>
        <w:t>n</w:t>
      </w:r>
      <w:r w:rsidR="003064A3" w:rsidRPr="00C06107">
        <w:rPr>
          <w:i/>
          <w:sz w:val="16"/>
          <w:szCs w:val="16"/>
        </w:rPr>
        <w:t xml:space="preserve"> extension to the primary term of the TDF concessions at all or on acceptable terms and/or that the receipt of the extension is delayed; </w:t>
      </w:r>
      <w:r w:rsidR="00017ACE" w:rsidRPr="00C06107">
        <w:rPr>
          <w:rFonts w:eastAsia="Calibri"/>
          <w:i/>
          <w:sz w:val="16"/>
          <w:szCs w:val="16"/>
        </w:rPr>
        <w:t>the</w:t>
      </w:r>
      <w:r w:rsidR="00017ACE" w:rsidRPr="00BA2647">
        <w:rPr>
          <w:rFonts w:eastAsia="Calibri"/>
          <w:i/>
          <w:sz w:val="16"/>
          <w:szCs w:val="16"/>
        </w:rPr>
        <w:t xml:space="preserve"> risks that </w:t>
      </w:r>
      <w:r w:rsidR="00C96E92" w:rsidRPr="00BA2647">
        <w:rPr>
          <w:rFonts w:eastAsia="Calibri"/>
          <w:i/>
          <w:sz w:val="16"/>
          <w:szCs w:val="16"/>
        </w:rPr>
        <w:t xml:space="preserve">pandemics and outbreaks of communicable disease </w:t>
      </w:r>
      <w:r w:rsidR="00017ACE" w:rsidRPr="00BA2647">
        <w:rPr>
          <w:rFonts w:eastAsia="Calibri"/>
          <w:i/>
          <w:sz w:val="16"/>
          <w:szCs w:val="16"/>
        </w:rPr>
        <w:t xml:space="preserve">pose to the </w:t>
      </w:r>
      <w:r w:rsidR="00017ACE" w:rsidRPr="00BA2647">
        <w:rPr>
          <w:rFonts w:eastAsia="Calibri"/>
          <w:i/>
          <w:sz w:val="16"/>
          <w:szCs w:val="16"/>
        </w:rPr>
        <w:lastRenderedPageBreak/>
        <w:t>oil and gas industry generally and our business in particular</w:t>
      </w:r>
      <w:r w:rsidR="00FA3D08" w:rsidRPr="00BA2647">
        <w:rPr>
          <w:rFonts w:eastAsia="Calibri"/>
          <w:i/>
          <w:sz w:val="16"/>
          <w:szCs w:val="16"/>
        </w:rPr>
        <w:t>;</w:t>
      </w:r>
      <w:r w:rsidR="00017ACE" w:rsidRPr="00BA2647">
        <w:rPr>
          <w:rFonts w:eastAsia="Calibri"/>
          <w:i/>
          <w:sz w:val="16"/>
          <w:szCs w:val="16"/>
        </w:rPr>
        <w:t xml:space="preserve"> </w:t>
      </w:r>
      <w:r w:rsidRPr="00BA2647">
        <w:rPr>
          <w:rFonts w:eastAsia="Calibri"/>
          <w:i/>
          <w:sz w:val="16"/>
          <w:szCs w:val="16"/>
        </w:rPr>
        <w:t>risks associated with oil and gas exploration, development, exploitation, production, marketing and transportation</w:t>
      </w:r>
      <w:r w:rsidR="00B122B0" w:rsidRPr="00BA2647">
        <w:rPr>
          <w:rFonts w:eastAsia="Calibri"/>
          <w:i/>
          <w:sz w:val="16"/>
          <w:szCs w:val="16"/>
        </w:rPr>
        <w:t xml:space="preserve">, including the risk that the infrastructure on which we rely to produce, transport and sell our products breaks down and requires parts that are not readily available or repairs that </w:t>
      </w:r>
      <w:r w:rsidR="00A00271" w:rsidRPr="00BA2647">
        <w:rPr>
          <w:rFonts w:eastAsia="Calibri"/>
          <w:i/>
          <w:sz w:val="16"/>
          <w:szCs w:val="16"/>
        </w:rPr>
        <w:t>cannot be made on a timely basis, and which impair our ability to operate and/or sell our products</w:t>
      </w:r>
      <w:r w:rsidRPr="00BA2647">
        <w:rPr>
          <w:rFonts w:eastAsia="Calibri"/>
          <w:i/>
          <w:sz w:val="16"/>
          <w:szCs w:val="16"/>
        </w:rPr>
        <w:t xml:space="preserve">; risks associated with operating in Argentina, including risks of changing government regulations (including the adoption of, amendments to, or the cancellation of government incentive programs or other laws and regulations relating to commodity prices, taxation, currency controls and export restrictions, in each case that may adversely impact Crown Point), risks that new government initiatives will not have the consequences the Company believes (including the benefits to be derived therefrom), expropriation/nationalization of assets, price controls on commodity prices, inability to enforce contracts in certain circumstances, the potential for a hyperinflationary economic environment, </w:t>
      </w:r>
      <w:r w:rsidR="00621C66" w:rsidRPr="00BA2647">
        <w:rPr>
          <w:rFonts w:eastAsia="Calibri"/>
          <w:i/>
          <w:sz w:val="16"/>
          <w:szCs w:val="16"/>
        </w:rPr>
        <w:t xml:space="preserve">the imposition of currency controls, risks associated with a default on Argentine government debt, </w:t>
      </w:r>
      <w:r w:rsidRPr="00BA2647">
        <w:rPr>
          <w:rFonts w:eastAsia="Calibri"/>
          <w:i/>
          <w:sz w:val="16"/>
          <w:szCs w:val="16"/>
        </w:rPr>
        <w:t>and other economic and political risks; volatility of commodity prices; currency fluctuations; imprecision of reserve estimates; environmental risks; competition from other producers; inability to retain drilling services; incorrect assessment of value of acquisitions and failure to realize the benefits therefrom; delays resulting from or inability to obtain required regulatory approvals; the lack of availability</w:t>
      </w:r>
      <w:r w:rsidRPr="00BA2647">
        <w:rPr>
          <w:i/>
          <w:sz w:val="16"/>
          <w:szCs w:val="16"/>
        </w:rPr>
        <w:t xml:space="preserve"> of qualified personnel or management; stock market volatility</w:t>
      </w:r>
      <w:r w:rsidR="00621C66" w:rsidRPr="00BA2647">
        <w:rPr>
          <w:i/>
          <w:sz w:val="16"/>
          <w:szCs w:val="16"/>
        </w:rPr>
        <w:t>;</w:t>
      </w:r>
      <w:r w:rsidRPr="00BA2647">
        <w:rPr>
          <w:i/>
          <w:sz w:val="16"/>
          <w:szCs w:val="16"/>
        </w:rPr>
        <w:t xml:space="preserve"> </w:t>
      </w:r>
      <w:r w:rsidR="00621C66" w:rsidRPr="00BA2647">
        <w:rPr>
          <w:i/>
          <w:sz w:val="16"/>
          <w:szCs w:val="16"/>
        </w:rPr>
        <w:t>in</w:t>
      </w:r>
      <w:r w:rsidRPr="00BA2647">
        <w:rPr>
          <w:i/>
          <w:sz w:val="16"/>
          <w:szCs w:val="16"/>
        </w:rPr>
        <w:t xml:space="preserve">ability to access sufficient capital from internal and external sources; </w:t>
      </w:r>
      <w:r w:rsidR="00621C66" w:rsidRPr="00BA2647">
        <w:rPr>
          <w:i/>
          <w:sz w:val="16"/>
          <w:szCs w:val="16"/>
        </w:rPr>
        <w:t xml:space="preserve">the need to shut-in, flare and/or curtail production as a result of a lack of infrastructure and/or damage to existing infrastructure; </w:t>
      </w:r>
      <w:r w:rsidRPr="00BA2647">
        <w:rPr>
          <w:i/>
          <w:sz w:val="16"/>
          <w:szCs w:val="16"/>
        </w:rPr>
        <w:t xml:space="preserve">and economic or industry condition changes. Actual results, performance or achievements could differ materially from those expressed in, or implied by, the forward-looking information and, accordingly, no assurance can be given that any events anticipated by the forward-looking information will transpire or occur, or if any of them do so, what benefits that Crown Point will derive therefrom. With respect to forward-looking information contained herein, the Company has made assumptions </w:t>
      </w:r>
      <w:r w:rsidRPr="009272EA">
        <w:rPr>
          <w:i/>
          <w:sz w:val="16"/>
          <w:szCs w:val="16"/>
        </w:rPr>
        <w:t>regarding</w:t>
      </w:r>
      <w:r w:rsidR="008C3761">
        <w:rPr>
          <w:i/>
          <w:sz w:val="16"/>
          <w:szCs w:val="16"/>
        </w:rPr>
        <w:t>, among other things</w:t>
      </w:r>
      <w:r w:rsidRPr="009272EA">
        <w:rPr>
          <w:i/>
          <w:sz w:val="16"/>
          <w:szCs w:val="16"/>
        </w:rPr>
        <w:t xml:space="preserve">: </w:t>
      </w:r>
      <w:r w:rsidR="0079743B" w:rsidRPr="009272EA">
        <w:rPr>
          <w:i/>
          <w:sz w:val="16"/>
          <w:szCs w:val="16"/>
        </w:rPr>
        <w:t>the ability of the TDF joint venture to obtain a</w:t>
      </w:r>
      <w:r w:rsidR="00C06107" w:rsidRPr="009272EA">
        <w:rPr>
          <w:i/>
          <w:sz w:val="16"/>
          <w:szCs w:val="16"/>
        </w:rPr>
        <w:t>n</w:t>
      </w:r>
      <w:r w:rsidR="0079743B" w:rsidRPr="009272EA">
        <w:rPr>
          <w:i/>
          <w:sz w:val="16"/>
          <w:szCs w:val="16"/>
        </w:rPr>
        <w:t xml:space="preserve"> extension to the primary term of the TDF concessions </w:t>
      </w:r>
      <w:r w:rsidR="003064A3" w:rsidRPr="009272EA">
        <w:rPr>
          <w:i/>
          <w:sz w:val="16"/>
          <w:szCs w:val="16"/>
        </w:rPr>
        <w:t xml:space="preserve">on acceptable terms and the timing thereof; </w:t>
      </w:r>
      <w:r w:rsidRPr="009272EA">
        <w:rPr>
          <w:i/>
          <w:sz w:val="16"/>
          <w:szCs w:val="16"/>
        </w:rPr>
        <w:t xml:space="preserve">the impact of increasing competition; the general stability of the economic and political environment </w:t>
      </w:r>
      <w:r w:rsidR="008C3761">
        <w:rPr>
          <w:i/>
          <w:sz w:val="16"/>
          <w:szCs w:val="16"/>
        </w:rPr>
        <w:t xml:space="preserve">in </w:t>
      </w:r>
      <w:r w:rsidR="008C3761" w:rsidRPr="008C3761">
        <w:rPr>
          <w:i/>
          <w:sz w:val="16"/>
          <w:szCs w:val="16"/>
        </w:rPr>
        <w:t>which the Company operates, including operating under a consistent regulatory and legal framework in Argentina; future oil, natural gas and NGL prices</w:t>
      </w:r>
      <w:r w:rsidR="008C3761">
        <w:rPr>
          <w:i/>
          <w:sz w:val="16"/>
          <w:szCs w:val="16"/>
        </w:rPr>
        <w:t xml:space="preserve"> </w:t>
      </w:r>
      <w:r w:rsidR="008C3761" w:rsidRPr="008C3761">
        <w:rPr>
          <w:i/>
          <w:sz w:val="16"/>
          <w:szCs w:val="16"/>
        </w:rPr>
        <w:t>(including the effects of governmental incentive programs and government price controls thereon);trucking costs; the ability and</w:t>
      </w:r>
      <w:r w:rsidR="008C3761">
        <w:rPr>
          <w:i/>
          <w:sz w:val="16"/>
          <w:szCs w:val="16"/>
        </w:rPr>
        <w:t xml:space="preserve"> </w:t>
      </w:r>
      <w:r w:rsidR="008C3761" w:rsidRPr="008C3761">
        <w:rPr>
          <w:i/>
          <w:sz w:val="16"/>
          <w:szCs w:val="16"/>
        </w:rPr>
        <w:t>willingness of OPEC+ nations and other major producers of crude oil to balance crude oil production levels and</w:t>
      </w:r>
      <w:r w:rsidR="008C3761">
        <w:rPr>
          <w:i/>
          <w:sz w:val="16"/>
          <w:szCs w:val="16"/>
        </w:rPr>
        <w:t xml:space="preserve"> </w:t>
      </w:r>
      <w:r w:rsidR="008C3761" w:rsidRPr="008C3761">
        <w:rPr>
          <w:i/>
          <w:sz w:val="16"/>
          <w:szCs w:val="16"/>
        </w:rPr>
        <w:t>thereby sustain higher global crude oil</w:t>
      </w:r>
      <w:r w:rsidR="008C3761">
        <w:rPr>
          <w:i/>
          <w:sz w:val="16"/>
          <w:szCs w:val="16"/>
        </w:rPr>
        <w:t xml:space="preserve"> </w:t>
      </w:r>
      <w:r w:rsidR="008C3761" w:rsidRPr="008C3761">
        <w:rPr>
          <w:i/>
          <w:sz w:val="16"/>
          <w:szCs w:val="16"/>
        </w:rPr>
        <w:t>prices; that our joint venture partners and the operators of our concessions</w:t>
      </w:r>
      <w:r w:rsidR="008C3761">
        <w:rPr>
          <w:i/>
          <w:sz w:val="16"/>
          <w:szCs w:val="16"/>
        </w:rPr>
        <w:t xml:space="preserve"> </w:t>
      </w:r>
      <w:r w:rsidR="008C3761" w:rsidRPr="008C3761">
        <w:rPr>
          <w:i/>
          <w:sz w:val="16"/>
          <w:szCs w:val="16"/>
        </w:rPr>
        <w:t>that we do not operate will honour their contractual commitments in a timely</w:t>
      </w:r>
      <w:r w:rsidR="008C3761">
        <w:rPr>
          <w:i/>
          <w:sz w:val="16"/>
          <w:szCs w:val="16"/>
        </w:rPr>
        <w:t xml:space="preserve"> </w:t>
      </w:r>
      <w:r w:rsidR="008C3761" w:rsidRPr="008C3761">
        <w:rPr>
          <w:i/>
          <w:sz w:val="16"/>
          <w:szCs w:val="16"/>
        </w:rPr>
        <w:t>fashion and will not become insolvent</w:t>
      </w:r>
      <w:r w:rsidR="008C3761">
        <w:rPr>
          <w:i/>
          <w:sz w:val="16"/>
          <w:szCs w:val="16"/>
        </w:rPr>
        <w:t xml:space="preserve"> </w:t>
      </w:r>
      <w:r w:rsidR="008C3761" w:rsidRPr="008C3761">
        <w:rPr>
          <w:i/>
          <w:sz w:val="16"/>
          <w:szCs w:val="16"/>
        </w:rPr>
        <w:t>or bankrupt; the impact of inflation rates in Argentina and the devaluation of the Argentine peso against the USD</w:t>
      </w:r>
      <w:r w:rsidR="008C3761">
        <w:rPr>
          <w:i/>
          <w:sz w:val="16"/>
          <w:szCs w:val="16"/>
        </w:rPr>
        <w:t xml:space="preserve"> </w:t>
      </w:r>
      <w:r w:rsidR="008C3761" w:rsidRPr="008C3761">
        <w:rPr>
          <w:i/>
          <w:sz w:val="16"/>
          <w:szCs w:val="16"/>
        </w:rPr>
        <w:t>on the Company;</w:t>
      </w:r>
      <w:r w:rsidR="008C3761">
        <w:rPr>
          <w:i/>
          <w:sz w:val="16"/>
          <w:szCs w:val="16"/>
        </w:rPr>
        <w:t xml:space="preserve"> </w:t>
      </w:r>
      <w:r w:rsidRPr="009272EA">
        <w:rPr>
          <w:i/>
          <w:sz w:val="16"/>
          <w:szCs w:val="16"/>
        </w:rPr>
        <w:t>the timely receipt of any required regulatory approvals; the ability of the Company to obtain qualified staff, equipment</w:t>
      </w:r>
      <w:r w:rsidRPr="00BA2647">
        <w:rPr>
          <w:i/>
          <w:sz w:val="16"/>
          <w:szCs w:val="16"/>
        </w:rPr>
        <w:t xml:space="preserve"> and services in a timely and cost efficient manner; drilling results; the costs of obtaining equipment and personnel to complete the Company’s capital expenditure program; the ability of the operator of the projects which the Company has an interest in to operate the field in a safe, efficient and effective manner; the ability of the Company to obtain financing on acceptable terms when and if needed</w:t>
      </w:r>
      <w:r w:rsidR="008C3761">
        <w:rPr>
          <w:i/>
          <w:sz w:val="16"/>
          <w:szCs w:val="16"/>
        </w:rPr>
        <w:t xml:space="preserve"> and continue as a going concern</w:t>
      </w:r>
      <w:r w:rsidRPr="00BA2647">
        <w:rPr>
          <w:i/>
          <w:sz w:val="16"/>
          <w:szCs w:val="16"/>
        </w:rPr>
        <w:t xml:space="preserve">; </w:t>
      </w:r>
      <w:r w:rsidR="0071743C" w:rsidRPr="00BA2647">
        <w:rPr>
          <w:i/>
          <w:sz w:val="16"/>
          <w:szCs w:val="16"/>
        </w:rPr>
        <w:t xml:space="preserve">the ability of the Company to service its debt repayments when required; </w:t>
      </w:r>
      <w:r w:rsidRPr="00BA2647">
        <w:rPr>
          <w:i/>
          <w:sz w:val="16"/>
          <w:szCs w:val="16"/>
        </w:rPr>
        <w:t>field production rates and decline rates; the ability to replace and expand oil and natural gas reserves through acquisition, development and exploration activities; the timing and costs of pipeline, storage</w:t>
      </w:r>
      <w:r w:rsidR="00A00271" w:rsidRPr="00BA2647">
        <w:rPr>
          <w:i/>
          <w:sz w:val="16"/>
          <w:szCs w:val="16"/>
        </w:rPr>
        <w:t>, transportation</w:t>
      </w:r>
      <w:r w:rsidRPr="00BA2647">
        <w:rPr>
          <w:i/>
          <w:sz w:val="16"/>
          <w:szCs w:val="16"/>
        </w:rPr>
        <w:t xml:space="preserve"> and facility </w:t>
      </w:r>
      <w:r w:rsidR="00FB7261" w:rsidRPr="00BA2647">
        <w:rPr>
          <w:i/>
          <w:sz w:val="16"/>
          <w:szCs w:val="16"/>
        </w:rPr>
        <w:t xml:space="preserve">repair, </w:t>
      </w:r>
      <w:r w:rsidRPr="00BA2647">
        <w:rPr>
          <w:i/>
          <w:sz w:val="16"/>
          <w:szCs w:val="16"/>
        </w:rPr>
        <w:t>construction</w:t>
      </w:r>
      <w:r w:rsidR="00A00271" w:rsidRPr="00BA2647">
        <w:rPr>
          <w:i/>
          <w:sz w:val="16"/>
          <w:szCs w:val="16"/>
        </w:rPr>
        <w:t xml:space="preserve"> and</w:t>
      </w:r>
      <w:r w:rsidR="00FB7261" w:rsidRPr="00BA2647">
        <w:rPr>
          <w:i/>
          <w:sz w:val="16"/>
          <w:szCs w:val="16"/>
        </w:rPr>
        <w:t xml:space="preserve"> </w:t>
      </w:r>
      <w:r w:rsidRPr="00BA2647">
        <w:rPr>
          <w:i/>
          <w:sz w:val="16"/>
          <w:szCs w:val="16"/>
        </w:rPr>
        <w:t>expansion and the ability of the Company to secure adequate product transportation; costs of operational activities in Argentina; currency, exchange</w:t>
      </w:r>
      <w:r w:rsidR="001360F8" w:rsidRPr="00BA2647">
        <w:rPr>
          <w:i/>
          <w:sz w:val="16"/>
          <w:szCs w:val="16"/>
        </w:rPr>
        <w:t>, inflation</w:t>
      </w:r>
      <w:r w:rsidRPr="00BA2647">
        <w:rPr>
          <w:i/>
          <w:sz w:val="16"/>
          <w:szCs w:val="16"/>
        </w:rPr>
        <w:t xml:space="preserve"> and interest rates; the regulatory framework regarding royalties, commodity price controls, </w:t>
      </w:r>
      <w:r w:rsidR="00FB7261" w:rsidRPr="00BA2647">
        <w:rPr>
          <w:i/>
          <w:sz w:val="16"/>
          <w:szCs w:val="16"/>
        </w:rPr>
        <w:t xml:space="preserve">currency controls, </w:t>
      </w:r>
      <w:r w:rsidRPr="00BA2647">
        <w:rPr>
          <w:i/>
          <w:sz w:val="16"/>
          <w:szCs w:val="16"/>
        </w:rPr>
        <w:t>import/export matters, taxes and environmental matters in Argentina; and the ability of the Company to successfully market its oil and natural gas products.  Additional information on these and other factors that could affect Crown Point are included in reports on file with Canadian securities regulatory authorities, including under the heading “Risk Factors” in the Company’s most recent annual information form, and may be accessed through the SEDAR</w:t>
      </w:r>
      <w:r w:rsidR="007139C6">
        <w:rPr>
          <w:i/>
          <w:sz w:val="16"/>
          <w:szCs w:val="16"/>
        </w:rPr>
        <w:t>+</w:t>
      </w:r>
      <w:r w:rsidRPr="00BA2647">
        <w:rPr>
          <w:i/>
          <w:sz w:val="16"/>
          <w:szCs w:val="16"/>
        </w:rPr>
        <w:t xml:space="preserve"> website (www.sedar</w:t>
      </w:r>
      <w:r w:rsidR="007139C6">
        <w:rPr>
          <w:i/>
          <w:sz w:val="16"/>
          <w:szCs w:val="16"/>
        </w:rPr>
        <w:t>plus</w:t>
      </w:r>
      <w:r w:rsidRPr="00BA2647">
        <w:rPr>
          <w:i/>
          <w:sz w:val="16"/>
          <w:szCs w:val="16"/>
        </w:rPr>
        <w:t>.c</w:t>
      </w:r>
      <w:r w:rsidR="007139C6">
        <w:rPr>
          <w:i/>
          <w:sz w:val="16"/>
          <w:szCs w:val="16"/>
        </w:rPr>
        <w:t>a</w:t>
      </w:r>
      <w:r w:rsidRPr="00BA2647">
        <w:rPr>
          <w:i/>
          <w:sz w:val="16"/>
          <w:szCs w:val="16"/>
        </w:rPr>
        <w:t>). Furthermore, the forward-looking information contained in this document are made as of the date of this document, and Crown Point does not undertake any obligation to update publicly or to revise any of the included forward looking information, whether as a result of new information, future events or otherwise, except as may be expressly required by applicable securities law.</w:t>
      </w:r>
      <w:r w:rsidRPr="00120232">
        <w:rPr>
          <w:i/>
          <w:iCs/>
          <w:sz w:val="16"/>
          <w:szCs w:val="16"/>
        </w:rPr>
        <w:t> </w:t>
      </w:r>
    </w:p>
    <w:p w14:paraId="089396EB" w14:textId="77777777" w:rsidR="00BC282F" w:rsidRPr="00120232" w:rsidRDefault="00BC282F" w:rsidP="00BC282F">
      <w:pPr>
        <w:widowControl w:val="0"/>
        <w:jc w:val="both"/>
        <w:rPr>
          <w:sz w:val="16"/>
          <w:szCs w:val="16"/>
        </w:rPr>
      </w:pPr>
    </w:p>
    <w:p w14:paraId="21117690" w14:textId="77777777" w:rsidR="00CA24A5" w:rsidRPr="00120232" w:rsidRDefault="00CA24A5" w:rsidP="00BC282F">
      <w:pPr>
        <w:jc w:val="both"/>
        <w:rPr>
          <w:b/>
          <w:bCs/>
          <w:i/>
          <w:iCs/>
          <w:szCs w:val="22"/>
        </w:rPr>
      </w:pPr>
      <w:r w:rsidRPr="00120232">
        <w:rPr>
          <w:b/>
          <w:bCs/>
          <w:i/>
          <w:iCs/>
          <w:sz w:val="16"/>
          <w:szCs w:val="16"/>
        </w:rPr>
        <w:t>Neither TSX Venture Exchange nor its Regulation Services Provider (as that term is defined in the policies of the TSX Venture Exchange) accepts responsibility for the adequacy or accuracy of this news release.</w:t>
      </w:r>
    </w:p>
    <w:sectPr w:rsidR="00CA24A5" w:rsidRPr="00120232" w:rsidSect="00B27F8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9E1B3" w14:textId="77777777" w:rsidR="0072106B" w:rsidRDefault="0072106B" w:rsidP="00451CF4">
      <w:r>
        <w:separator/>
      </w:r>
    </w:p>
  </w:endnote>
  <w:endnote w:type="continuationSeparator" w:id="0">
    <w:p w14:paraId="02A1A1FA" w14:textId="77777777" w:rsidR="0072106B" w:rsidRDefault="0072106B" w:rsidP="004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172F" w14:textId="77777777" w:rsidR="00FE71F6" w:rsidRDefault="00FE7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1FFB" w14:textId="77777777" w:rsidR="001133C0" w:rsidRDefault="001133C0" w:rsidP="00F768A1">
    <w:pPr>
      <w:pStyle w:val="Footer"/>
      <w:jc w:val="center"/>
      <w:rPr>
        <w:rFonts w:ascii="Arial Narrow" w:hAnsi="Arial Narrow"/>
        <w:color w:val="002060"/>
        <w:sz w:val="20"/>
        <w:szCs w:val="20"/>
        <w:lang w:val="fr-CA"/>
      </w:rPr>
    </w:pPr>
    <w:r>
      <w:rPr>
        <w:rFonts w:ascii="Arial Narrow" w:hAnsi="Arial Narrow"/>
        <w:color w:val="002060"/>
        <w:sz w:val="20"/>
        <w:szCs w:val="20"/>
        <w:lang w:val="fr-CA"/>
      </w:rPr>
      <w:t>PO Box 1562 Station M</w:t>
    </w:r>
    <w:r w:rsidRPr="005E10D3">
      <w:rPr>
        <w:rFonts w:ascii="Arial Narrow" w:hAnsi="Arial Narrow"/>
        <w:color w:val="002060"/>
        <w:sz w:val="20"/>
        <w:szCs w:val="20"/>
        <w:lang w:val="fr-CA"/>
      </w:rPr>
      <w:t xml:space="preserve">., Calgary, Alberta, Canada T2P </w:t>
    </w:r>
    <w:r w:rsidRPr="00F11C6C">
      <w:rPr>
        <w:rFonts w:ascii="Arial Narrow" w:hAnsi="Arial Narrow"/>
        <w:color w:val="002060"/>
        <w:sz w:val="20"/>
        <w:szCs w:val="20"/>
        <w:lang w:val="fr-CA"/>
      </w:rPr>
      <w:t>3B</w:t>
    </w:r>
    <w:proofErr w:type="gramStart"/>
    <w:r w:rsidRPr="00F11C6C">
      <w:rPr>
        <w:rFonts w:ascii="Arial Narrow" w:hAnsi="Arial Narrow"/>
        <w:color w:val="002060"/>
        <w:sz w:val="20"/>
        <w:szCs w:val="20"/>
        <w:lang w:val="fr-CA"/>
      </w:rPr>
      <w:t xml:space="preserve">9  </w:t>
    </w:r>
    <w:r w:rsidRPr="00F11C6C">
      <w:rPr>
        <w:rFonts w:ascii="Arial Narrow" w:hAnsi="Arial Narrow"/>
        <w:b/>
        <w:color w:val="002060"/>
        <w:sz w:val="20"/>
        <w:szCs w:val="20"/>
        <w:lang w:val="fr-CA"/>
      </w:rPr>
      <w:t>T</w:t>
    </w:r>
    <w:proofErr w:type="gramEnd"/>
    <w:r w:rsidRPr="00F11C6C">
      <w:rPr>
        <w:rFonts w:ascii="Arial Narrow" w:hAnsi="Arial Narrow"/>
        <w:color w:val="002060"/>
        <w:sz w:val="20"/>
        <w:szCs w:val="20"/>
        <w:lang w:val="fr-CA"/>
      </w:rPr>
      <w:t xml:space="preserve"> 403.232.1150  </w:t>
    </w:r>
    <w:r w:rsidRPr="00F11C6C">
      <w:rPr>
        <w:rFonts w:ascii="Arial Narrow" w:hAnsi="Arial Narrow"/>
        <w:b/>
        <w:color w:val="002060"/>
        <w:sz w:val="20"/>
        <w:szCs w:val="20"/>
        <w:lang w:val="fr-CA"/>
      </w:rPr>
      <w:t>F</w:t>
    </w:r>
    <w:r w:rsidRPr="00F11C6C">
      <w:rPr>
        <w:rFonts w:ascii="Arial Narrow" w:hAnsi="Arial Narrow"/>
        <w:color w:val="002060"/>
        <w:sz w:val="20"/>
        <w:szCs w:val="20"/>
        <w:lang w:val="fr-CA"/>
      </w:rPr>
      <w:t xml:space="preserve">  403.232.1158</w:t>
    </w:r>
  </w:p>
  <w:p w14:paraId="1424B17C" w14:textId="77777777" w:rsidR="001133C0" w:rsidRDefault="001133C0" w:rsidP="00F768A1">
    <w:pPr>
      <w:pStyle w:val="Footer"/>
      <w:jc w:val="center"/>
      <w:rPr>
        <w:rFonts w:ascii="Arial Narrow" w:hAnsi="Arial Narrow"/>
        <w:b/>
        <w:color w:val="002060"/>
        <w:sz w:val="20"/>
        <w:szCs w:val="20"/>
        <w:lang w:val="fr-CA"/>
      </w:rPr>
    </w:pPr>
    <w:r w:rsidRPr="005E10D3">
      <w:rPr>
        <w:rFonts w:ascii="Arial Narrow" w:hAnsi="Arial Narrow"/>
        <w:b/>
        <w:color w:val="002060"/>
        <w:sz w:val="20"/>
        <w:szCs w:val="20"/>
        <w:lang w:val="fr-CA"/>
      </w:rPr>
      <w:t>www.crownpointenergy.com</w:t>
    </w:r>
  </w:p>
  <w:p w14:paraId="5EB99898" w14:textId="77777777" w:rsidR="001133C0" w:rsidRPr="005E10D3" w:rsidRDefault="001133C0" w:rsidP="00FD5D14">
    <w:pPr>
      <w:pStyle w:val="Footer"/>
      <w:spacing w:line="200" w:lineRule="exact"/>
      <w:rPr>
        <w:rFonts w:ascii="Arial Narrow" w:hAnsi="Arial Narrow"/>
        <w:b/>
        <w:color w:val="002060"/>
        <w:sz w:val="20"/>
        <w:szCs w:val="20"/>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CB23" w14:textId="77777777" w:rsidR="00FE71F6" w:rsidRDefault="00FE7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1AEC" w14:textId="77777777" w:rsidR="0072106B" w:rsidRDefault="0072106B" w:rsidP="00451CF4">
      <w:r>
        <w:separator/>
      </w:r>
    </w:p>
  </w:footnote>
  <w:footnote w:type="continuationSeparator" w:id="0">
    <w:p w14:paraId="07C490D9" w14:textId="77777777" w:rsidR="0072106B" w:rsidRDefault="0072106B" w:rsidP="0045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8AF4" w14:textId="77777777" w:rsidR="00FE71F6" w:rsidRDefault="00FE7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A71E" w14:textId="77777777" w:rsidR="001133C0" w:rsidRDefault="001133C0" w:rsidP="00451CF4">
    <w:pPr>
      <w:pStyle w:val="Header"/>
      <w:ind w:left="540" w:hanging="540"/>
      <w:jc w:val="right"/>
    </w:pPr>
    <w:r>
      <w:rPr>
        <w:noProof/>
        <w:lang w:val="en-CA" w:eastAsia="en-CA"/>
      </w:rPr>
      <w:drawing>
        <wp:inline distT="0" distB="0" distL="0" distR="0" wp14:anchorId="3948AF88" wp14:editId="3482C93A">
          <wp:extent cx="1697355" cy="1038860"/>
          <wp:effectExtent l="19050" t="0" r="0" b="0"/>
          <wp:docPr id="1"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058E13B3" w14:textId="77777777" w:rsidR="001133C0" w:rsidRDefault="001133C0" w:rsidP="00451CF4">
    <w:pPr>
      <w:pStyle w:val="Header"/>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9A1D" w14:textId="77777777" w:rsidR="00FE71F6" w:rsidRDefault="00FE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85686D40"/>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Arial" w:eastAsia="Times New Roman" w:hAnsi="Arial" w:cs="Arial"/>
        <w:b w:val="0"/>
        <w:i w:val="0"/>
        <w:caps w:val="0"/>
        <w:color w:val="auto"/>
        <w:sz w:val="16"/>
        <w:szCs w:val="16"/>
        <w:u w:val="none"/>
      </w:rPr>
    </w:lvl>
  </w:abstractNum>
  <w:abstractNum w:abstractNumId="1"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5"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08559198">
    <w:abstractNumId w:val="24"/>
  </w:num>
  <w:num w:numId="2" w16cid:durableId="471094494">
    <w:abstractNumId w:val="30"/>
  </w:num>
  <w:num w:numId="3" w16cid:durableId="471093050">
    <w:abstractNumId w:val="11"/>
  </w:num>
  <w:num w:numId="4" w16cid:durableId="1122923267">
    <w:abstractNumId w:val="6"/>
  </w:num>
  <w:num w:numId="5" w16cid:durableId="382799234">
    <w:abstractNumId w:val="21"/>
  </w:num>
  <w:num w:numId="6" w16cid:durableId="1820926523">
    <w:abstractNumId w:val="36"/>
  </w:num>
  <w:num w:numId="7" w16cid:durableId="660503495">
    <w:abstractNumId w:val="4"/>
  </w:num>
  <w:num w:numId="8" w16cid:durableId="591862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0979783">
    <w:abstractNumId w:val="16"/>
  </w:num>
  <w:num w:numId="10" w16cid:durableId="340397957">
    <w:abstractNumId w:val="2"/>
  </w:num>
  <w:num w:numId="11" w16cid:durableId="597257872">
    <w:abstractNumId w:val="31"/>
  </w:num>
  <w:num w:numId="12" w16cid:durableId="651983060">
    <w:abstractNumId w:val="14"/>
  </w:num>
  <w:num w:numId="13" w16cid:durableId="986711152">
    <w:abstractNumId w:val="1"/>
  </w:num>
  <w:num w:numId="14" w16cid:durableId="1404184502">
    <w:abstractNumId w:val="22"/>
  </w:num>
  <w:num w:numId="15" w16cid:durableId="845632355">
    <w:abstractNumId w:val="18"/>
  </w:num>
  <w:num w:numId="16" w16cid:durableId="2086684472">
    <w:abstractNumId w:val="34"/>
  </w:num>
  <w:num w:numId="17" w16cid:durableId="578255091">
    <w:abstractNumId w:val="3"/>
  </w:num>
  <w:num w:numId="18" w16cid:durableId="797843417">
    <w:abstractNumId w:val="25"/>
  </w:num>
  <w:num w:numId="19" w16cid:durableId="484052358">
    <w:abstractNumId w:val="7"/>
  </w:num>
  <w:num w:numId="20" w16cid:durableId="1883514337">
    <w:abstractNumId w:val="28"/>
  </w:num>
  <w:num w:numId="21" w16cid:durableId="1193227937">
    <w:abstractNumId w:val="5"/>
  </w:num>
  <w:num w:numId="22" w16cid:durableId="1549875467">
    <w:abstractNumId w:val="12"/>
  </w:num>
  <w:num w:numId="23" w16cid:durableId="1392803070">
    <w:abstractNumId w:val="13"/>
  </w:num>
  <w:num w:numId="24" w16cid:durableId="2094929741">
    <w:abstractNumId w:val="15"/>
  </w:num>
  <w:num w:numId="25" w16cid:durableId="1217623196">
    <w:abstractNumId w:val="26"/>
  </w:num>
  <w:num w:numId="26" w16cid:durableId="599336517">
    <w:abstractNumId w:val="23"/>
  </w:num>
  <w:num w:numId="27" w16cid:durableId="331377285">
    <w:abstractNumId w:val="8"/>
  </w:num>
  <w:num w:numId="28" w16cid:durableId="883256299">
    <w:abstractNumId w:val="29"/>
  </w:num>
  <w:num w:numId="29" w16cid:durableId="1982687951">
    <w:abstractNumId w:val="17"/>
  </w:num>
  <w:num w:numId="30" w16cid:durableId="892079998">
    <w:abstractNumId w:val="9"/>
  </w:num>
  <w:num w:numId="31" w16cid:durableId="309600259">
    <w:abstractNumId w:val="37"/>
  </w:num>
  <w:num w:numId="32" w16cid:durableId="300621201">
    <w:abstractNumId w:val="33"/>
  </w:num>
  <w:num w:numId="33" w16cid:durableId="1380477239">
    <w:abstractNumId w:val="38"/>
  </w:num>
  <w:num w:numId="34" w16cid:durableId="1080177211">
    <w:abstractNumId w:val="35"/>
  </w:num>
  <w:num w:numId="35" w16cid:durableId="292058970">
    <w:abstractNumId w:val="20"/>
  </w:num>
  <w:num w:numId="36" w16cid:durableId="1319572812">
    <w:abstractNumId w:val="10"/>
  </w:num>
  <w:num w:numId="37" w16cid:durableId="475756151">
    <w:abstractNumId w:val="32"/>
  </w:num>
  <w:num w:numId="38" w16cid:durableId="1958633025">
    <w:abstractNumId w:val="27"/>
  </w:num>
  <w:num w:numId="39" w16cid:durableId="2137941804">
    <w:abstractNumId w:val="19"/>
  </w:num>
  <w:num w:numId="40" w16cid:durableId="234978851">
    <w:abstractNumId w:val="0"/>
  </w:num>
  <w:num w:numId="41" w16cid:durableId="853960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A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s-AR"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s-AR" w:vendorID="64" w:dllVersion="0" w:nlCheck="1" w:checkStyle="0"/>
  <w:activeWritingStyle w:appName="MSWord" w:lang="en-US" w:vendorID="64" w:dllVersion="0" w:nlCheck="1" w:checkStyle="0"/>
  <w:activeWritingStyle w:appName="MSWord" w:lang="fr-CA" w:vendorID="64" w:dllVersion="0"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Óa"/>
    <w:docVar w:name="85TrailerDateField" w:val="~}œÓh"/>
    <w:docVar w:name="85TrailerDraft" w:val="~}˜Ól"/>
    <w:docVar w:name="85TrailerTime" w:val="~}˜Ól"/>
    <w:docVar w:name="DMS_Work10" w:val="0~ACTIVE||1~14266975||2~3||3~CPE YE 2024 Reserves News Release v2||5~JTO||6~LBOWYER||7~WORDX||8~DOCUMENTS||10~3/10/2025 9:08:35 PM||11~3/10/2025 9:06:26 PM||13~412715||14~False||17~public||18~LBOWYER||19~LBOWYER||21~True||22~True||23~False||25~069295||26~00001||27~317||28~SEC||29~GS||30~ACTIV||60~Crown Point Energy Inc.||61~General Corporate and Securities Matters||62~Oke, Jeffrey T.||63~Securities||64~General Securities||65~Active matter||74~Jeff Oke||75~Leslie-Anne Bowyer||76~WORD 2007||77~Documents||82~docx||85~3/10/2025 9:08:36 PM||99~1/1/0001 12:00:00 AM||106~C:\Users\lbowyer\AppData\Roaming\iManage\Work\Recent\069295-00001-Crown Point Energy Inc.-General Corporate and Securities Matters\CPE YE 2024 Reserves News Release v2(14266975.3).docx||107~1/1/0001 12:00:00 AM||109~3/10/2025 9:10:16 PM||113~3/10/2025 9:06:26 PM||114~3/10/2025 9:08:26 PM||124~False||"/>
    <w:docVar w:name="DocStamp_1_OptionalControlValues" w:val="~}•Ó"/>
    <w:docVar w:name="MPDocID" w:val="~}—Ónosqumsqnn"/>
    <w:docVar w:name="MPDocIDTemplate" w:val="~}•Ó"/>
    <w:docVar w:name="MPDocIDTemplateDefault" w:val="~}‘Óh²sk¸"/>
    <w:docVar w:name="NewDocStampType" w:val="~}žÓm"/>
    <w:docVar w:name="zzmp10NoTrailerPromptID" w:val="ACTIVE.14266975.1"/>
  </w:docVars>
  <w:rsids>
    <w:rsidRoot w:val="00451CF4"/>
    <w:rsid w:val="00002052"/>
    <w:rsid w:val="000025E2"/>
    <w:rsid w:val="00003873"/>
    <w:rsid w:val="00004044"/>
    <w:rsid w:val="00010F36"/>
    <w:rsid w:val="00013941"/>
    <w:rsid w:val="00016F54"/>
    <w:rsid w:val="00017090"/>
    <w:rsid w:val="00017ACE"/>
    <w:rsid w:val="0002124D"/>
    <w:rsid w:val="00021BB6"/>
    <w:rsid w:val="00023706"/>
    <w:rsid w:val="00023BC5"/>
    <w:rsid w:val="00024990"/>
    <w:rsid w:val="00025614"/>
    <w:rsid w:val="00025949"/>
    <w:rsid w:val="0002742B"/>
    <w:rsid w:val="000328AA"/>
    <w:rsid w:val="00033EA2"/>
    <w:rsid w:val="00034F7D"/>
    <w:rsid w:val="000359CC"/>
    <w:rsid w:val="00036D51"/>
    <w:rsid w:val="00041033"/>
    <w:rsid w:val="0004206D"/>
    <w:rsid w:val="00042B65"/>
    <w:rsid w:val="00043586"/>
    <w:rsid w:val="00043C17"/>
    <w:rsid w:val="0004484E"/>
    <w:rsid w:val="0004588D"/>
    <w:rsid w:val="00050A9F"/>
    <w:rsid w:val="00050DBD"/>
    <w:rsid w:val="0005109A"/>
    <w:rsid w:val="000535A7"/>
    <w:rsid w:val="00057387"/>
    <w:rsid w:val="000601E1"/>
    <w:rsid w:val="00061671"/>
    <w:rsid w:val="00061FDB"/>
    <w:rsid w:val="000627A5"/>
    <w:rsid w:val="00064773"/>
    <w:rsid w:val="000673AF"/>
    <w:rsid w:val="000716D5"/>
    <w:rsid w:val="00076237"/>
    <w:rsid w:val="00077A03"/>
    <w:rsid w:val="00080A8A"/>
    <w:rsid w:val="00087241"/>
    <w:rsid w:val="000927E7"/>
    <w:rsid w:val="000932B1"/>
    <w:rsid w:val="00093AB9"/>
    <w:rsid w:val="00097F5E"/>
    <w:rsid w:val="000A1C47"/>
    <w:rsid w:val="000A218D"/>
    <w:rsid w:val="000A677E"/>
    <w:rsid w:val="000A7CE8"/>
    <w:rsid w:val="000B18A4"/>
    <w:rsid w:val="000B2104"/>
    <w:rsid w:val="000B226F"/>
    <w:rsid w:val="000B260D"/>
    <w:rsid w:val="000B4702"/>
    <w:rsid w:val="000B492D"/>
    <w:rsid w:val="000B6726"/>
    <w:rsid w:val="000C124D"/>
    <w:rsid w:val="000C3157"/>
    <w:rsid w:val="000C5953"/>
    <w:rsid w:val="000C7807"/>
    <w:rsid w:val="000D0E50"/>
    <w:rsid w:val="000D3E93"/>
    <w:rsid w:val="000D45D4"/>
    <w:rsid w:val="000D4C62"/>
    <w:rsid w:val="000D74F7"/>
    <w:rsid w:val="000D7DDC"/>
    <w:rsid w:val="000E1597"/>
    <w:rsid w:val="000E3366"/>
    <w:rsid w:val="000E565B"/>
    <w:rsid w:val="000F076D"/>
    <w:rsid w:val="000F2EBB"/>
    <w:rsid w:val="000F3D8F"/>
    <w:rsid w:val="000F4F65"/>
    <w:rsid w:val="000F5DC2"/>
    <w:rsid w:val="000F5ECD"/>
    <w:rsid w:val="00100490"/>
    <w:rsid w:val="0010536B"/>
    <w:rsid w:val="00105738"/>
    <w:rsid w:val="00105A4A"/>
    <w:rsid w:val="00106A1F"/>
    <w:rsid w:val="00111510"/>
    <w:rsid w:val="00111924"/>
    <w:rsid w:val="00111F93"/>
    <w:rsid w:val="001133C0"/>
    <w:rsid w:val="00120232"/>
    <w:rsid w:val="001221DA"/>
    <w:rsid w:val="00122D06"/>
    <w:rsid w:val="00124B40"/>
    <w:rsid w:val="001257B2"/>
    <w:rsid w:val="0012642E"/>
    <w:rsid w:val="0012698E"/>
    <w:rsid w:val="00130191"/>
    <w:rsid w:val="00130CE8"/>
    <w:rsid w:val="00133EFB"/>
    <w:rsid w:val="001340CF"/>
    <w:rsid w:val="001350B6"/>
    <w:rsid w:val="001360F8"/>
    <w:rsid w:val="001448D4"/>
    <w:rsid w:val="00144A36"/>
    <w:rsid w:val="00150D8D"/>
    <w:rsid w:val="001511F9"/>
    <w:rsid w:val="00151262"/>
    <w:rsid w:val="00151537"/>
    <w:rsid w:val="00152632"/>
    <w:rsid w:val="001548FF"/>
    <w:rsid w:val="00155A21"/>
    <w:rsid w:val="0015763C"/>
    <w:rsid w:val="0016148F"/>
    <w:rsid w:val="00162128"/>
    <w:rsid w:val="00163CC7"/>
    <w:rsid w:val="00163F57"/>
    <w:rsid w:val="00165DB6"/>
    <w:rsid w:val="00165FD0"/>
    <w:rsid w:val="0016764C"/>
    <w:rsid w:val="001720C2"/>
    <w:rsid w:val="00174365"/>
    <w:rsid w:val="001757BE"/>
    <w:rsid w:val="00177A20"/>
    <w:rsid w:val="00180591"/>
    <w:rsid w:val="0018209F"/>
    <w:rsid w:val="00183B25"/>
    <w:rsid w:val="0018437C"/>
    <w:rsid w:val="0019349D"/>
    <w:rsid w:val="00193809"/>
    <w:rsid w:val="0019396D"/>
    <w:rsid w:val="001959BF"/>
    <w:rsid w:val="001967AF"/>
    <w:rsid w:val="00196924"/>
    <w:rsid w:val="00196F60"/>
    <w:rsid w:val="00197745"/>
    <w:rsid w:val="001A0FBE"/>
    <w:rsid w:val="001A2143"/>
    <w:rsid w:val="001A4EF4"/>
    <w:rsid w:val="001A6102"/>
    <w:rsid w:val="001A750D"/>
    <w:rsid w:val="001B1E7F"/>
    <w:rsid w:val="001B1ED2"/>
    <w:rsid w:val="001B3527"/>
    <w:rsid w:val="001B3DD2"/>
    <w:rsid w:val="001B5749"/>
    <w:rsid w:val="001C3302"/>
    <w:rsid w:val="001C5423"/>
    <w:rsid w:val="001C57CC"/>
    <w:rsid w:val="001D2046"/>
    <w:rsid w:val="001D3C6E"/>
    <w:rsid w:val="001D4E4B"/>
    <w:rsid w:val="001D50E7"/>
    <w:rsid w:val="001D60AF"/>
    <w:rsid w:val="001E04EC"/>
    <w:rsid w:val="001E1829"/>
    <w:rsid w:val="001E2298"/>
    <w:rsid w:val="001E33A6"/>
    <w:rsid w:val="001E4463"/>
    <w:rsid w:val="001E52F0"/>
    <w:rsid w:val="001E7429"/>
    <w:rsid w:val="001F53BB"/>
    <w:rsid w:val="001F70CE"/>
    <w:rsid w:val="001F719A"/>
    <w:rsid w:val="00201A1C"/>
    <w:rsid w:val="0020498C"/>
    <w:rsid w:val="00205E97"/>
    <w:rsid w:val="0021022C"/>
    <w:rsid w:val="0021127D"/>
    <w:rsid w:val="00214319"/>
    <w:rsid w:val="00214E4D"/>
    <w:rsid w:val="002155C3"/>
    <w:rsid w:val="002165B7"/>
    <w:rsid w:val="00216E19"/>
    <w:rsid w:val="00220365"/>
    <w:rsid w:val="00220A43"/>
    <w:rsid w:val="002215DE"/>
    <w:rsid w:val="00221DD0"/>
    <w:rsid w:val="00224562"/>
    <w:rsid w:val="00224989"/>
    <w:rsid w:val="00226AF8"/>
    <w:rsid w:val="00227D59"/>
    <w:rsid w:val="002300CD"/>
    <w:rsid w:val="002335EE"/>
    <w:rsid w:val="00237BD0"/>
    <w:rsid w:val="00237D36"/>
    <w:rsid w:val="0024282E"/>
    <w:rsid w:val="00242953"/>
    <w:rsid w:val="00243DE1"/>
    <w:rsid w:val="00244EDD"/>
    <w:rsid w:val="00245E11"/>
    <w:rsid w:val="00246E99"/>
    <w:rsid w:val="00250B90"/>
    <w:rsid w:val="00251D5C"/>
    <w:rsid w:val="0025538B"/>
    <w:rsid w:val="00255FB2"/>
    <w:rsid w:val="00256865"/>
    <w:rsid w:val="00257531"/>
    <w:rsid w:val="00257631"/>
    <w:rsid w:val="00260D80"/>
    <w:rsid w:val="00261E3B"/>
    <w:rsid w:val="0026227D"/>
    <w:rsid w:val="002646A4"/>
    <w:rsid w:val="002649E7"/>
    <w:rsid w:val="00265833"/>
    <w:rsid w:val="00270E00"/>
    <w:rsid w:val="00271987"/>
    <w:rsid w:val="00271DD1"/>
    <w:rsid w:val="002729B8"/>
    <w:rsid w:val="002755B9"/>
    <w:rsid w:val="002763BB"/>
    <w:rsid w:val="00276834"/>
    <w:rsid w:val="00276D5A"/>
    <w:rsid w:val="002778E0"/>
    <w:rsid w:val="00282271"/>
    <w:rsid w:val="00282EE9"/>
    <w:rsid w:val="00286D4C"/>
    <w:rsid w:val="00290BF2"/>
    <w:rsid w:val="00291F01"/>
    <w:rsid w:val="002926E3"/>
    <w:rsid w:val="00292BEA"/>
    <w:rsid w:val="002939E6"/>
    <w:rsid w:val="00294A5A"/>
    <w:rsid w:val="002955AA"/>
    <w:rsid w:val="002A1C6F"/>
    <w:rsid w:val="002A1F7D"/>
    <w:rsid w:val="002A2079"/>
    <w:rsid w:val="002A49FB"/>
    <w:rsid w:val="002A5742"/>
    <w:rsid w:val="002A65CC"/>
    <w:rsid w:val="002A6EF0"/>
    <w:rsid w:val="002A7212"/>
    <w:rsid w:val="002A7277"/>
    <w:rsid w:val="002B0AA5"/>
    <w:rsid w:val="002B3F93"/>
    <w:rsid w:val="002B4E83"/>
    <w:rsid w:val="002C05CC"/>
    <w:rsid w:val="002C35DF"/>
    <w:rsid w:val="002C476A"/>
    <w:rsid w:val="002C5375"/>
    <w:rsid w:val="002D00A1"/>
    <w:rsid w:val="002D12FD"/>
    <w:rsid w:val="002D2464"/>
    <w:rsid w:val="002D2B1A"/>
    <w:rsid w:val="002D2CA8"/>
    <w:rsid w:val="002D437E"/>
    <w:rsid w:val="002D4B6B"/>
    <w:rsid w:val="002D7827"/>
    <w:rsid w:val="002D7E84"/>
    <w:rsid w:val="002E0780"/>
    <w:rsid w:val="002E10DF"/>
    <w:rsid w:val="002E1BE1"/>
    <w:rsid w:val="002E28A9"/>
    <w:rsid w:val="002E3BD6"/>
    <w:rsid w:val="002E696C"/>
    <w:rsid w:val="002F1211"/>
    <w:rsid w:val="002F1371"/>
    <w:rsid w:val="002F1F48"/>
    <w:rsid w:val="002F3831"/>
    <w:rsid w:val="002F3F82"/>
    <w:rsid w:val="002F58C1"/>
    <w:rsid w:val="00300A6A"/>
    <w:rsid w:val="00302DB2"/>
    <w:rsid w:val="003064A3"/>
    <w:rsid w:val="00306C05"/>
    <w:rsid w:val="00311088"/>
    <w:rsid w:val="003111C0"/>
    <w:rsid w:val="0031193A"/>
    <w:rsid w:val="0031322E"/>
    <w:rsid w:val="0031396D"/>
    <w:rsid w:val="00314734"/>
    <w:rsid w:val="00315C11"/>
    <w:rsid w:val="00317357"/>
    <w:rsid w:val="003223CF"/>
    <w:rsid w:val="00322D06"/>
    <w:rsid w:val="003300CB"/>
    <w:rsid w:val="00330EAF"/>
    <w:rsid w:val="00331A4F"/>
    <w:rsid w:val="00331B5F"/>
    <w:rsid w:val="00331FEE"/>
    <w:rsid w:val="00331FFF"/>
    <w:rsid w:val="003349FE"/>
    <w:rsid w:val="00335EAB"/>
    <w:rsid w:val="0033680E"/>
    <w:rsid w:val="003409BA"/>
    <w:rsid w:val="0034165A"/>
    <w:rsid w:val="0034194B"/>
    <w:rsid w:val="00344314"/>
    <w:rsid w:val="00347778"/>
    <w:rsid w:val="00347D43"/>
    <w:rsid w:val="00352472"/>
    <w:rsid w:val="003535B4"/>
    <w:rsid w:val="00355AA9"/>
    <w:rsid w:val="00356261"/>
    <w:rsid w:val="00360903"/>
    <w:rsid w:val="00360B79"/>
    <w:rsid w:val="00361D69"/>
    <w:rsid w:val="00362B55"/>
    <w:rsid w:val="003633C5"/>
    <w:rsid w:val="00363E05"/>
    <w:rsid w:val="0036598D"/>
    <w:rsid w:val="00366F03"/>
    <w:rsid w:val="003713CB"/>
    <w:rsid w:val="0037205E"/>
    <w:rsid w:val="00373A5A"/>
    <w:rsid w:val="00375815"/>
    <w:rsid w:val="00376229"/>
    <w:rsid w:val="0038118E"/>
    <w:rsid w:val="00381F14"/>
    <w:rsid w:val="00381F7A"/>
    <w:rsid w:val="00382199"/>
    <w:rsid w:val="003828A1"/>
    <w:rsid w:val="00382FD1"/>
    <w:rsid w:val="003871F4"/>
    <w:rsid w:val="00387333"/>
    <w:rsid w:val="0039117D"/>
    <w:rsid w:val="003911F5"/>
    <w:rsid w:val="0039484A"/>
    <w:rsid w:val="00394A3E"/>
    <w:rsid w:val="00395319"/>
    <w:rsid w:val="00396201"/>
    <w:rsid w:val="003A153C"/>
    <w:rsid w:val="003A2584"/>
    <w:rsid w:val="003A2F45"/>
    <w:rsid w:val="003A3F09"/>
    <w:rsid w:val="003A53F2"/>
    <w:rsid w:val="003A6999"/>
    <w:rsid w:val="003A6B2A"/>
    <w:rsid w:val="003A7F98"/>
    <w:rsid w:val="003B10AC"/>
    <w:rsid w:val="003B161A"/>
    <w:rsid w:val="003B3C41"/>
    <w:rsid w:val="003B3C88"/>
    <w:rsid w:val="003B51FA"/>
    <w:rsid w:val="003B6B71"/>
    <w:rsid w:val="003C03F5"/>
    <w:rsid w:val="003D0414"/>
    <w:rsid w:val="003D3CB8"/>
    <w:rsid w:val="003D46D7"/>
    <w:rsid w:val="003D6FD4"/>
    <w:rsid w:val="003D7C47"/>
    <w:rsid w:val="003E1653"/>
    <w:rsid w:val="003E2504"/>
    <w:rsid w:val="003E749F"/>
    <w:rsid w:val="003E7896"/>
    <w:rsid w:val="003E78A4"/>
    <w:rsid w:val="003E7BB8"/>
    <w:rsid w:val="003F0780"/>
    <w:rsid w:val="003F11B9"/>
    <w:rsid w:val="003F2629"/>
    <w:rsid w:val="003F390F"/>
    <w:rsid w:val="003F6225"/>
    <w:rsid w:val="003F6502"/>
    <w:rsid w:val="0040122E"/>
    <w:rsid w:val="00407E0D"/>
    <w:rsid w:val="00410349"/>
    <w:rsid w:val="00411ECA"/>
    <w:rsid w:val="004162E7"/>
    <w:rsid w:val="0042016C"/>
    <w:rsid w:val="0042130F"/>
    <w:rsid w:val="0042133D"/>
    <w:rsid w:val="00421439"/>
    <w:rsid w:val="004226A6"/>
    <w:rsid w:val="00422900"/>
    <w:rsid w:val="00424546"/>
    <w:rsid w:val="00424A32"/>
    <w:rsid w:val="004251A2"/>
    <w:rsid w:val="00425CF4"/>
    <w:rsid w:val="00427A41"/>
    <w:rsid w:val="00431AE5"/>
    <w:rsid w:val="0043296F"/>
    <w:rsid w:val="00433408"/>
    <w:rsid w:val="004365FF"/>
    <w:rsid w:val="00440BB5"/>
    <w:rsid w:val="00442A8E"/>
    <w:rsid w:val="0044467D"/>
    <w:rsid w:val="00444BB3"/>
    <w:rsid w:val="00451504"/>
    <w:rsid w:val="00451CF4"/>
    <w:rsid w:val="004524AF"/>
    <w:rsid w:val="00454EB4"/>
    <w:rsid w:val="00455A84"/>
    <w:rsid w:val="004561FE"/>
    <w:rsid w:val="00456BA5"/>
    <w:rsid w:val="004601F2"/>
    <w:rsid w:val="004607BF"/>
    <w:rsid w:val="0046307D"/>
    <w:rsid w:val="004634A6"/>
    <w:rsid w:val="00463BEA"/>
    <w:rsid w:val="004660B5"/>
    <w:rsid w:val="00467343"/>
    <w:rsid w:val="00472F63"/>
    <w:rsid w:val="00473983"/>
    <w:rsid w:val="004765E0"/>
    <w:rsid w:val="0048008B"/>
    <w:rsid w:val="00481185"/>
    <w:rsid w:val="0048294A"/>
    <w:rsid w:val="004835F9"/>
    <w:rsid w:val="004837E0"/>
    <w:rsid w:val="00490DA2"/>
    <w:rsid w:val="00491207"/>
    <w:rsid w:val="004915EA"/>
    <w:rsid w:val="0049181C"/>
    <w:rsid w:val="004940F9"/>
    <w:rsid w:val="004946E4"/>
    <w:rsid w:val="004951CB"/>
    <w:rsid w:val="004A125B"/>
    <w:rsid w:val="004A2E5D"/>
    <w:rsid w:val="004A4911"/>
    <w:rsid w:val="004A56D3"/>
    <w:rsid w:val="004A5E44"/>
    <w:rsid w:val="004A72E9"/>
    <w:rsid w:val="004A74D4"/>
    <w:rsid w:val="004B1C8B"/>
    <w:rsid w:val="004B227C"/>
    <w:rsid w:val="004B2F96"/>
    <w:rsid w:val="004B3239"/>
    <w:rsid w:val="004B3350"/>
    <w:rsid w:val="004C1BB0"/>
    <w:rsid w:val="004C41BA"/>
    <w:rsid w:val="004C4CB0"/>
    <w:rsid w:val="004C6404"/>
    <w:rsid w:val="004C7547"/>
    <w:rsid w:val="004D007F"/>
    <w:rsid w:val="004D1773"/>
    <w:rsid w:val="004D53DC"/>
    <w:rsid w:val="004D5DBD"/>
    <w:rsid w:val="004D6238"/>
    <w:rsid w:val="004E275F"/>
    <w:rsid w:val="004E3226"/>
    <w:rsid w:val="004E7D42"/>
    <w:rsid w:val="004F14A0"/>
    <w:rsid w:val="004F3AF4"/>
    <w:rsid w:val="004F3C63"/>
    <w:rsid w:val="004F5C6B"/>
    <w:rsid w:val="004F5DE7"/>
    <w:rsid w:val="005019C8"/>
    <w:rsid w:val="005020B1"/>
    <w:rsid w:val="00502794"/>
    <w:rsid w:val="005031C4"/>
    <w:rsid w:val="00503790"/>
    <w:rsid w:val="00505026"/>
    <w:rsid w:val="00505674"/>
    <w:rsid w:val="00506D2C"/>
    <w:rsid w:val="00510753"/>
    <w:rsid w:val="00511BFC"/>
    <w:rsid w:val="005125B4"/>
    <w:rsid w:val="00512967"/>
    <w:rsid w:val="005148FD"/>
    <w:rsid w:val="00521406"/>
    <w:rsid w:val="00525A77"/>
    <w:rsid w:val="00526C37"/>
    <w:rsid w:val="00527081"/>
    <w:rsid w:val="00527E54"/>
    <w:rsid w:val="00534994"/>
    <w:rsid w:val="00535B62"/>
    <w:rsid w:val="005439AF"/>
    <w:rsid w:val="005439D0"/>
    <w:rsid w:val="00550A1A"/>
    <w:rsid w:val="00554BA3"/>
    <w:rsid w:val="00555BC4"/>
    <w:rsid w:val="00557B5A"/>
    <w:rsid w:val="00557EF1"/>
    <w:rsid w:val="00560BF7"/>
    <w:rsid w:val="0056212D"/>
    <w:rsid w:val="005635F2"/>
    <w:rsid w:val="00564F26"/>
    <w:rsid w:val="005677EF"/>
    <w:rsid w:val="005702A7"/>
    <w:rsid w:val="00575A34"/>
    <w:rsid w:val="00575CCA"/>
    <w:rsid w:val="00576FAF"/>
    <w:rsid w:val="00580163"/>
    <w:rsid w:val="005808F2"/>
    <w:rsid w:val="0058270B"/>
    <w:rsid w:val="00585291"/>
    <w:rsid w:val="00585434"/>
    <w:rsid w:val="00585A15"/>
    <w:rsid w:val="00586159"/>
    <w:rsid w:val="005902F6"/>
    <w:rsid w:val="00590381"/>
    <w:rsid w:val="00592C42"/>
    <w:rsid w:val="0059524E"/>
    <w:rsid w:val="00595CFF"/>
    <w:rsid w:val="00597757"/>
    <w:rsid w:val="005A1B50"/>
    <w:rsid w:val="005A3BED"/>
    <w:rsid w:val="005A60CE"/>
    <w:rsid w:val="005A6A62"/>
    <w:rsid w:val="005B0CA0"/>
    <w:rsid w:val="005B0EFE"/>
    <w:rsid w:val="005B3A0F"/>
    <w:rsid w:val="005B3B95"/>
    <w:rsid w:val="005B3FE8"/>
    <w:rsid w:val="005B5DEC"/>
    <w:rsid w:val="005B66FF"/>
    <w:rsid w:val="005B6E81"/>
    <w:rsid w:val="005B6F64"/>
    <w:rsid w:val="005C2CAA"/>
    <w:rsid w:val="005C51FA"/>
    <w:rsid w:val="005C5F09"/>
    <w:rsid w:val="005D0998"/>
    <w:rsid w:val="005D4AE2"/>
    <w:rsid w:val="005D4DC4"/>
    <w:rsid w:val="005D577A"/>
    <w:rsid w:val="005D661B"/>
    <w:rsid w:val="005D6CDC"/>
    <w:rsid w:val="005D7A7F"/>
    <w:rsid w:val="005E10D3"/>
    <w:rsid w:val="005E150A"/>
    <w:rsid w:val="005E47B1"/>
    <w:rsid w:val="005E5C39"/>
    <w:rsid w:val="005E6FD2"/>
    <w:rsid w:val="005E7AAE"/>
    <w:rsid w:val="005F2B3F"/>
    <w:rsid w:val="005F3BD4"/>
    <w:rsid w:val="005F75A7"/>
    <w:rsid w:val="00600E2C"/>
    <w:rsid w:val="00606739"/>
    <w:rsid w:val="006107E9"/>
    <w:rsid w:val="006142F6"/>
    <w:rsid w:val="00614D39"/>
    <w:rsid w:val="00615ABC"/>
    <w:rsid w:val="00615EEE"/>
    <w:rsid w:val="00620130"/>
    <w:rsid w:val="00620320"/>
    <w:rsid w:val="006205E9"/>
    <w:rsid w:val="00621433"/>
    <w:rsid w:val="00621BDE"/>
    <w:rsid w:val="00621C66"/>
    <w:rsid w:val="006229AC"/>
    <w:rsid w:val="00622E1F"/>
    <w:rsid w:val="0062427C"/>
    <w:rsid w:val="00627052"/>
    <w:rsid w:val="00631EE4"/>
    <w:rsid w:val="0063258B"/>
    <w:rsid w:val="00632BD2"/>
    <w:rsid w:val="00634146"/>
    <w:rsid w:val="00640983"/>
    <w:rsid w:val="00643A42"/>
    <w:rsid w:val="006440C6"/>
    <w:rsid w:val="00650B31"/>
    <w:rsid w:val="00651667"/>
    <w:rsid w:val="00651DB8"/>
    <w:rsid w:val="00652FDE"/>
    <w:rsid w:val="00657FED"/>
    <w:rsid w:val="00661CFF"/>
    <w:rsid w:val="00662E9C"/>
    <w:rsid w:val="00664558"/>
    <w:rsid w:val="00665CD8"/>
    <w:rsid w:val="00667169"/>
    <w:rsid w:val="006674CF"/>
    <w:rsid w:val="00673AE9"/>
    <w:rsid w:val="00674C25"/>
    <w:rsid w:val="006765D3"/>
    <w:rsid w:val="00680B0F"/>
    <w:rsid w:val="0068141D"/>
    <w:rsid w:val="0068268A"/>
    <w:rsid w:val="00687575"/>
    <w:rsid w:val="0069094C"/>
    <w:rsid w:val="00691764"/>
    <w:rsid w:val="00691ED6"/>
    <w:rsid w:val="006969D6"/>
    <w:rsid w:val="006A102A"/>
    <w:rsid w:val="006A4BAC"/>
    <w:rsid w:val="006B19DD"/>
    <w:rsid w:val="006B55F6"/>
    <w:rsid w:val="006B76F6"/>
    <w:rsid w:val="006C3195"/>
    <w:rsid w:val="006C31C2"/>
    <w:rsid w:val="006C5430"/>
    <w:rsid w:val="006C5BF7"/>
    <w:rsid w:val="006D2446"/>
    <w:rsid w:val="006D58DE"/>
    <w:rsid w:val="006D609A"/>
    <w:rsid w:val="006E01EA"/>
    <w:rsid w:val="006E2E70"/>
    <w:rsid w:val="006E3DAB"/>
    <w:rsid w:val="006E679E"/>
    <w:rsid w:val="006F2D38"/>
    <w:rsid w:val="006F436B"/>
    <w:rsid w:val="006F459E"/>
    <w:rsid w:val="006F49B6"/>
    <w:rsid w:val="006F574E"/>
    <w:rsid w:val="00701018"/>
    <w:rsid w:val="007017C7"/>
    <w:rsid w:val="007035D8"/>
    <w:rsid w:val="00704C4B"/>
    <w:rsid w:val="00705876"/>
    <w:rsid w:val="007068A8"/>
    <w:rsid w:val="00710E87"/>
    <w:rsid w:val="00711BEA"/>
    <w:rsid w:val="00711DB1"/>
    <w:rsid w:val="007139C6"/>
    <w:rsid w:val="00713E06"/>
    <w:rsid w:val="00714855"/>
    <w:rsid w:val="00715152"/>
    <w:rsid w:val="00715B39"/>
    <w:rsid w:val="0071743C"/>
    <w:rsid w:val="007176BE"/>
    <w:rsid w:val="007207C4"/>
    <w:rsid w:val="0072106B"/>
    <w:rsid w:val="00723A6C"/>
    <w:rsid w:val="00727F6C"/>
    <w:rsid w:val="00730692"/>
    <w:rsid w:val="00731862"/>
    <w:rsid w:val="0073215F"/>
    <w:rsid w:val="00732D37"/>
    <w:rsid w:val="00733B9A"/>
    <w:rsid w:val="007359BD"/>
    <w:rsid w:val="0073723B"/>
    <w:rsid w:val="00737588"/>
    <w:rsid w:val="00742571"/>
    <w:rsid w:val="007442F4"/>
    <w:rsid w:val="00745126"/>
    <w:rsid w:val="0074582F"/>
    <w:rsid w:val="00745E50"/>
    <w:rsid w:val="007476F4"/>
    <w:rsid w:val="00752C93"/>
    <w:rsid w:val="00760643"/>
    <w:rsid w:val="007623D2"/>
    <w:rsid w:val="00762A46"/>
    <w:rsid w:val="00764D43"/>
    <w:rsid w:val="00767618"/>
    <w:rsid w:val="007706BB"/>
    <w:rsid w:val="007718C9"/>
    <w:rsid w:val="00772EDD"/>
    <w:rsid w:val="00774F93"/>
    <w:rsid w:val="00776A3B"/>
    <w:rsid w:val="00780C91"/>
    <w:rsid w:val="00782B0E"/>
    <w:rsid w:val="00784275"/>
    <w:rsid w:val="00786A50"/>
    <w:rsid w:val="0079101C"/>
    <w:rsid w:val="00792DE7"/>
    <w:rsid w:val="007943B5"/>
    <w:rsid w:val="00794553"/>
    <w:rsid w:val="00794ABF"/>
    <w:rsid w:val="007959FA"/>
    <w:rsid w:val="007965EC"/>
    <w:rsid w:val="00796733"/>
    <w:rsid w:val="00796FBE"/>
    <w:rsid w:val="0079743B"/>
    <w:rsid w:val="007A0BC2"/>
    <w:rsid w:val="007A237B"/>
    <w:rsid w:val="007A2C0E"/>
    <w:rsid w:val="007A4E95"/>
    <w:rsid w:val="007B09A8"/>
    <w:rsid w:val="007B1463"/>
    <w:rsid w:val="007B278E"/>
    <w:rsid w:val="007B2A35"/>
    <w:rsid w:val="007B3434"/>
    <w:rsid w:val="007B3EA0"/>
    <w:rsid w:val="007B6295"/>
    <w:rsid w:val="007C0668"/>
    <w:rsid w:val="007C0984"/>
    <w:rsid w:val="007C2985"/>
    <w:rsid w:val="007C5641"/>
    <w:rsid w:val="007C65D3"/>
    <w:rsid w:val="007C77D3"/>
    <w:rsid w:val="007D2C63"/>
    <w:rsid w:val="007D3FA8"/>
    <w:rsid w:val="007D4AFB"/>
    <w:rsid w:val="007D4BB5"/>
    <w:rsid w:val="007D50C0"/>
    <w:rsid w:val="007D55DC"/>
    <w:rsid w:val="007D5944"/>
    <w:rsid w:val="007E0FF7"/>
    <w:rsid w:val="007E51B9"/>
    <w:rsid w:val="007E627B"/>
    <w:rsid w:val="007E74E0"/>
    <w:rsid w:val="007E75DC"/>
    <w:rsid w:val="007E7C6B"/>
    <w:rsid w:val="007F32C9"/>
    <w:rsid w:val="007F60DD"/>
    <w:rsid w:val="007F7102"/>
    <w:rsid w:val="007F7668"/>
    <w:rsid w:val="008021B5"/>
    <w:rsid w:val="00810613"/>
    <w:rsid w:val="00810B9B"/>
    <w:rsid w:val="00810E7B"/>
    <w:rsid w:val="008120DC"/>
    <w:rsid w:val="0081326E"/>
    <w:rsid w:val="00813ACB"/>
    <w:rsid w:val="008152FC"/>
    <w:rsid w:val="00815A2C"/>
    <w:rsid w:val="00816866"/>
    <w:rsid w:val="008202A6"/>
    <w:rsid w:val="00820C86"/>
    <w:rsid w:val="00821524"/>
    <w:rsid w:val="0082234E"/>
    <w:rsid w:val="00824B0A"/>
    <w:rsid w:val="00825BA2"/>
    <w:rsid w:val="00826004"/>
    <w:rsid w:val="008275CC"/>
    <w:rsid w:val="00833C86"/>
    <w:rsid w:val="00834882"/>
    <w:rsid w:val="0083503B"/>
    <w:rsid w:val="00835906"/>
    <w:rsid w:val="00836849"/>
    <w:rsid w:val="0083782D"/>
    <w:rsid w:val="008438D6"/>
    <w:rsid w:val="00843B59"/>
    <w:rsid w:val="00846F58"/>
    <w:rsid w:val="008509D7"/>
    <w:rsid w:val="008534A0"/>
    <w:rsid w:val="0085380D"/>
    <w:rsid w:val="008562E0"/>
    <w:rsid w:val="0085729C"/>
    <w:rsid w:val="008573AF"/>
    <w:rsid w:val="00857CD0"/>
    <w:rsid w:val="00860011"/>
    <w:rsid w:val="00860260"/>
    <w:rsid w:val="00861EBD"/>
    <w:rsid w:val="008624FE"/>
    <w:rsid w:val="00862703"/>
    <w:rsid w:val="00874679"/>
    <w:rsid w:val="00875D8F"/>
    <w:rsid w:val="00880816"/>
    <w:rsid w:val="008809C0"/>
    <w:rsid w:val="00880E48"/>
    <w:rsid w:val="00881F96"/>
    <w:rsid w:val="00882412"/>
    <w:rsid w:val="008867EC"/>
    <w:rsid w:val="008872D7"/>
    <w:rsid w:val="00887B03"/>
    <w:rsid w:val="00890D71"/>
    <w:rsid w:val="0089545E"/>
    <w:rsid w:val="00895F23"/>
    <w:rsid w:val="008A1CC1"/>
    <w:rsid w:val="008A2CA1"/>
    <w:rsid w:val="008A4513"/>
    <w:rsid w:val="008A49FA"/>
    <w:rsid w:val="008A56D8"/>
    <w:rsid w:val="008A624E"/>
    <w:rsid w:val="008A75ED"/>
    <w:rsid w:val="008B69C7"/>
    <w:rsid w:val="008C0F33"/>
    <w:rsid w:val="008C1295"/>
    <w:rsid w:val="008C20EC"/>
    <w:rsid w:val="008C20ED"/>
    <w:rsid w:val="008C25F7"/>
    <w:rsid w:val="008C2B4E"/>
    <w:rsid w:val="008C3761"/>
    <w:rsid w:val="008C4159"/>
    <w:rsid w:val="008D091D"/>
    <w:rsid w:val="008D1042"/>
    <w:rsid w:val="008D2C84"/>
    <w:rsid w:val="008D350A"/>
    <w:rsid w:val="008D4FF8"/>
    <w:rsid w:val="008D78E5"/>
    <w:rsid w:val="008E0951"/>
    <w:rsid w:val="008E16E3"/>
    <w:rsid w:val="008E35B6"/>
    <w:rsid w:val="008E49CD"/>
    <w:rsid w:val="008E5C92"/>
    <w:rsid w:val="008E764C"/>
    <w:rsid w:val="008F120E"/>
    <w:rsid w:val="008F51EB"/>
    <w:rsid w:val="00900F80"/>
    <w:rsid w:val="00902D65"/>
    <w:rsid w:val="00905C1B"/>
    <w:rsid w:val="00911C65"/>
    <w:rsid w:val="00913021"/>
    <w:rsid w:val="0091593A"/>
    <w:rsid w:val="00916488"/>
    <w:rsid w:val="009202BA"/>
    <w:rsid w:val="00920EEF"/>
    <w:rsid w:val="009238DC"/>
    <w:rsid w:val="0092574E"/>
    <w:rsid w:val="00925A81"/>
    <w:rsid w:val="009272EA"/>
    <w:rsid w:val="00930A9B"/>
    <w:rsid w:val="00930BAD"/>
    <w:rsid w:val="00934BBA"/>
    <w:rsid w:val="00934D3A"/>
    <w:rsid w:val="00937CED"/>
    <w:rsid w:val="00944821"/>
    <w:rsid w:val="00947E38"/>
    <w:rsid w:val="0095091C"/>
    <w:rsid w:val="00950AA0"/>
    <w:rsid w:val="00950B69"/>
    <w:rsid w:val="00951EC6"/>
    <w:rsid w:val="00953B3F"/>
    <w:rsid w:val="00954D47"/>
    <w:rsid w:val="00955565"/>
    <w:rsid w:val="00957300"/>
    <w:rsid w:val="00961051"/>
    <w:rsid w:val="00963AA7"/>
    <w:rsid w:val="0096680F"/>
    <w:rsid w:val="0096744F"/>
    <w:rsid w:val="0097313E"/>
    <w:rsid w:val="00975DCF"/>
    <w:rsid w:val="00975DE5"/>
    <w:rsid w:val="009802D9"/>
    <w:rsid w:val="00980614"/>
    <w:rsid w:val="00982DAA"/>
    <w:rsid w:val="00982DAE"/>
    <w:rsid w:val="009839F3"/>
    <w:rsid w:val="009841FB"/>
    <w:rsid w:val="0098509E"/>
    <w:rsid w:val="009857AA"/>
    <w:rsid w:val="00987041"/>
    <w:rsid w:val="00990C4D"/>
    <w:rsid w:val="00995198"/>
    <w:rsid w:val="00995269"/>
    <w:rsid w:val="009963AA"/>
    <w:rsid w:val="00997C3F"/>
    <w:rsid w:val="00997CEA"/>
    <w:rsid w:val="009A1FA6"/>
    <w:rsid w:val="009A6AD7"/>
    <w:rsid w:val="009A6CC7"/>
    <w:rsid w:val="009A6E28"/>
    <w:rsid w:val="009A7A4B"/>
    <w:rsid w:val="009B2468"/>
    <w:rsid w:val="009B2F2C"/>
    <w:rsid w:val="009B438D"/>
    <w:rsid w:val="009B45DF"/>
    <w:rsid w:val="009C0586"/>
    <w:rsid w:val="009C0C7C"/>
    <w:rsid w:val="009C0E26"/>
    <w:rsid w:val="009C3391"/>
    <w:rsid w:val="009C4DB6"/>
    <w:rsid w:val="009C5269"/>
    <w:rsid w:val="009C60DE"/>
    <w:rsid w:val="009C61D9"/>
    <w:rsid w:val="009C7150"/>
    <w:rsid w:val="009D0A2C"/>
    <w:rsid w:val="009D2DAF"/>
    <w:rsid w:val="009D3481"/>
    <w:rsid w:val="009D7168"/>
    <w:rsid w:val="009E0261"/>
    <w:rsid w:val="009E3C33"/>
    <w:rsid w:val="009E3CE6"/>
    <w:rsid w:val="009E4841"/>
    <w:rsid w:val="009E59C4"/>
    <w:rsid w:val="009E6B86"/>
    <w:rsid w:val="009F0147"/>
    <w:rsid w:val="009F2D7A"/>
    <w:rsid w:val="009F2F45"/>
    <w:rsid w:val="009F4905"/>
    <w:rsid w:val="009F4DF7"/>
    <w:rsid w:val="009F4FE5"/>
    <w:rsid w:val="00A00271"/>
    <w:rsid w:val="00A00681"/>
    <w:rsid w:val="00A016C1"/>
    <w:rsid w:val="00A0323B"/>
    <w:rsid w:val="00A046EE"/>
    <w:rsid w:val="00A0701B"/>
    <w:rsid w:val="00A07EAA"/>
    <w:rsid w:val="00A12697"/>
    <w:rsid w:val="00A12C92"/>
    <w:rsid w:val="00A12CF6"/>
    <w:rsid w:val="00A147FA"/>
    <w:rsid w:val="00A212BB"/>
    <w:rsid w:val="00A213E0"/>
    <w:rsid w:val="00A21573"/>
    <w:rsid w:val="00A218C5"/>
    <w:rsid w:val="00A21C71"/>
    <w:rsid w:val="00A22450"/>
    <w:rsid w:val="00A2445B"/>
    <w:rsid w:val="00A24966"/>
    <w:rsid w:val="00A2750B"/>
    <w:rsid w:val="00A31745"/>
    <w:rsid w:val="00A326BF"/>
    <w:rsid w:val="00A33F5E"/>
    <w:rsid w:val="00A344A6"/>
    <w:rsid w:val="00A36152"/>
    <w:rsid w:val="00A36368"/>
    <w:rsid w:val="00A36397"/>
    <w:rsid w:val="00A4393E"/>
    <w:rsid w:val="00A43EDF"/>
    <w:rsid w:val="00A46D20"/>
    <w:rsid w:val="00A47572"/>
    <w:rsid w:val="00A476CC"/>
    <w:rsid w:val="00A500C5"/>
    <w:rsid w:val="00A50EBE"/>
    <w:rsid w:val="00A52F91"/>
    <w:rsid w:val="00A53AD2"/>
    <w:rsid w:val="00A54154"/>
    <w:rsid w:val="00A5477B"/>
    <w:rsid w:val="00A548E4"/>
    <w:rsid w:val="00A54FD7"/>
    <w:rsid w:val="00A70C35"/>
    <w:rsid w:val="00A72D81"/>
    <w:rsid w:val="00A73130"/>
    <w:rsid w:val="00A734A8"/>
    <w:rsid w:val="00A75E12"/>
    <w:rsid w:val="00A762A3"/>
    <w:rsid w:val="00A77C94"/>
    <w:rsid w:val="00A82B43"/>
    <w:rsid w:val="00A84391"/>
    <w:rsid w:val="00A8504D"/>
    <w:rsid w:val="00A85457"/>
    <w:rsid w:val="00A90531"/>
    <w:rsid w:val="00A9353F"/>
    <w:rsid w:val="00AA4346"/>
    <w:rsid w:val="00AB3CC8"/>
    <w:rsid w:val="00AB40F4"/>
    <w:rsid w:val="00AB42B3"/>
    <w:rsid w:val="00AB6DBB"/>
    <w:rsid w:val="00AB7895"/>
    <w:rsid w:val="00AC0EB7"/>
    <w:rsid w:val="00AC19AE"/>
    <w:rsid w:val="00AC4EEE"/>
    <w:rsid w:val="00AC53DA"/>
    <w:rsid w:val="00AC59F9"/>
    <w:rsid w:val="00AD38C1"/>
    <w:rsid w:val="00AE2331"/>
    <w:rsid w:val="00AE4BF0"/>
    <w:rsid w:val="00AE4FC8"/>
    <w:rsid w:val="00AE5142"/>
    <w:rsid w:val="00AF1090"/>
    <w:rsid w:val="00AF1A68"/>
    <w:rsid w:val="00AF23D5"/>
    <w:rsid w:val="00AF2EE9"/>
    <w:rsid w:val="00AF42C9"/>
    <w:rsid w:val="00AF66E4"/>
    <w:rsid w:val="00B0030C"/>
    <w:rsid w:val="00B00BA3"/>
    <w:rsid w:val="00B02AAA"/>
    <w:rsid w:val="00B02E3F"/>
    <w:rsid w:val="00B03885"/>
    <w:rsid w:val="00B045FB"/>
    <w:rsid w:val="00B10579"/>
    <w:rsid w:val="00B1057A"/>
    <w:rsid w:val="00B122B0"/>
    <w:rsid w:val="00B1286D"/>
    <w:rsid w:val="00B129BD"/>
    <w:rsid w:val="00B145D2"/>
    <w:rsid w:val="00B14E53"/>
    <w:rsid w:val="00B2026E"/>
    <w:rsid w:val="00B208CB"/>
    <w:rsid w:val="00B20A89"/>
    <w:rsid w:val="00B20E9D"/>
    <w:rsid w:val="00B21464"/>
    <w:rsid w:val="00B21FD1"/>
    <w:rsid w:val="00B27F82"/>
    <w:rsid w:val="00B30C85"/>
    <w:rsid w:val="00B30EEA"/>
    <w:rsid w:val="00B32A34"/>
    <w:rsid w:val="00B378F2"/>
    <w:rsid w:val="00B37CCC"/>
    <w:rsid w:val="00B41982"/>
    <w:rsid w:val="00B42312"/>
    <w:rsid w:val="00B43900"/>
    <w:rsid w:val="00B43C6B"/>
    <w:rsid w:val="00B44F03"/>
    <w:rsid w:val="00B46407"/>
    <w:rsid w:val="00B46621"/>
    <w:rsid w:val="00B47767"/>
    <w:rsid w:val="00B55CC7"/>
    <w:rsid w:val="00B56B58"/>
    <w:rsid w:val="00B604C4"/>
    <w:rsid w:val="00B6188C"/>
    <w:rsid w:val="00B62AB6"/>
    <w:rsid w:val="00B62CEA"/>
    <w:rsid w:val="00B6459F"/>
    <w:rsid w:val="00B65117"/>
    <w:rsid w:val="00B66255"/>
    <w:rsid w:val="00B67EB4"/>
    <w:rsid w:val="00B736F5"/>
    <w:rsid w:val="00B7416F"/>
    <w:rsid w:val="00B744E9"/>
    <w:rsid w:val="00B7529F"/>
    <w:rsid w:val="00B755ED"/>
    <w:rsid w:val="00B75759"/>
    <w:rsid w:val="00B75916"/>
    <w:rsid w:val="00B75A8F"/>
    <w:rsid w:val="00B80100"/>
    <w:rsid w:val="00B809DF"/>
    <w:rsid w:val="00B80FBF"/>
    <w:rsid w:val="00B820F8"/>
    <w:rsid w:val="00B83946"/>
    <w:rsid w:val="00B8398E"/>
    <w:rsid w:val="00B83F6A"/>
    <w:rsid w:val="00B84147"/>
    <w:rsid w:val="00B85175"/>
    <w:rsid w:val="00B9156C"/>
    <w:rsid w:val="00B91B60"/>
    <w:rsid w:val="00B928FD"/>
    <w:rsid w:val="00B939F8"/>
    <w:rsid w:val="00B97AEF"/>
    <w:rsid w:val="00BA13A7"/>
    <w:rsid w:val="00BA2647"/>
    <w:rsid w:val="00BA2BD6"/>
    <w:rsid w:val="00BA6193"/>
    <w:rsid w:val="00BA6974"/>
    <w:rsid w:val="00BA6EB7"/>
    <w:rsid w:val="00BA74B6"/>
    <w:rsid w:val="00BB0385"/>
    <w:rsid w:val="00BB068F"/>
    <w:rsid w:val="00BB18A0"/>
    <w:rsid w:val="00BB2CFE"/>
    <w:rsid w:val="00BB2EDC"/>
    <w:rsid w:val="00BB411D"/>
    <w:rsid w:val="00BB5EFE"/>
    <w:rsid w:val="00BB6649"/>
    <w:rsid w:val="00BB733D"/>
    <w:rsid w:val="00BB73D8"/>
    <w:rsid w:val="00BC038A"/>
    <w:rsid w:val="00BC1CE6"/>
    <w:rsid w:val="00BC2667"/>
    <w:rsid w:val="00BC282F"/>
    <w:rsid w:val="00BC2840"/>
    <w:rsid w:val="00BC4A4C"/>
    <w:rsid w:val="00BD48C2"/>
    <w:rsid w:val="00BD6877"/>
    <w:rsid w:val="00BD7B62"/>
    <w:rsid w:val="00BE044F"/>
    <w:rsid w:val="00BE0E62"/>
    <w:rsid w:val="00BE2386"/>
    <w:rsid w:val="00BE2BD1"/>
    <w:rsid w:val="00BE3F49"/>
    <w:rsid w:val="00BE57BF"/>
    <w:rsid w:val="00BF11EB"/>
    <w:rsid w:val="00BF16F1"/>
    <w:rsid w:val="00BF301E"/>
    <w:rsid w:val="00BF5175"/>
    <w:rsid w:val="00BF685C"/>
    <w:rsid w:val="00C001D5"/>
    <w:rsid w:val="00C024AD"/>
    <w:rsid w:val="00C0284D"/>
    <w:rsid w:val="00C03807"/>
    <w:rsid w:val="00C05133"/>
    <w:rsid w:val="00C051EA"/>
    <w:rsid w:val="00C06107"/>
    <w:rsid w:val="00C1193D"/>
    <w:rsid w:val="00C11D3E"/>
    <w:rsid w:val="00C125DE"/>
    <w:rsid w:val="00C15BEC"/>
    <w:rsid w:val="00C1690E"/>
    <w:rsid w:val="00C17CB1"/>
    <w:rsid w:val="00C201FA"/>
    <w:rsid w:val="00C21F05"/>
    <w:rsid w:val="00C23FE6"/>
    <w:rsid w:val="00C2478F"/>
    <w:rsid w:val="00C25EC1"/>
    <w:rsid w:val="00C27448"/>
    <w:rsid w:val="00C31778"/>
    <w:rsid w:val="00C31CFF"/>
    <w:rsid w:val="00C337AE"/>
    <w:rsid w:val="00C35452"/>
    <w:rsid w:val="00C35BEC"/>
    <w:rsid w:val="00C36AC6"/>
    <w:rsid w:val="00C36EF0"/>
    <w:rsid w:val="00C3730E"/>
    <w:rsid w:val="00C40849"/>
    <w:rsid w:val="00C40942"/>
    <w:rsid w:val="00C439FA"/>
    <w:rsid w:val="00C46FF0"/>
    <w:rsid w:val="00C4796D"/>
    <w:rsid w:val="00C508C1"/>
    <w:rsid w:val="00C51624"/>
    <w:rsid w:val="00C522C0"/>
    <w:rsid w:val="00C530B1"/>
    <w:rsid w:val="00C551D6"/>
    <w:rsid w:val="00C60DD9"/>
    <w:rsid w:val="00C6135D"/>
    <w:rsid w:val="00C6173E"/>
    <w:rsid w:val="00C61838"/>
    <w:rsid w:val="00C6310B"/>
    <w:rsid w:val="00C63946"/>
    <w:rsid w:val="00C64F6E"/>
    <w:rsid w:val="00C65BCB"/>
    <w:rsid w:val="00C65F29"/>
    <w:rsid w:val="00C67CBE"/>
    <w:rsid w:val="00C70175"/>
    <w:rsid w:val="00C70AC2"/>
    <w:rsid w:val="00C70EF5"/>
    <w:rsid w:val="00C71323"/>
    <w:rsid w:val="00C7270D"/>
    <w:rsid w:val="00C728EF"/>
    <w:rsid w:val="00C73157"/>
    <w:rsid w:val="00C75AAF"/>
    <w:rsid w:val="00C76DC8"/>
    <w:rsid w:val="00C809F7"/>
    <w:rsid w:val="00C81606"/>
    <w:rsid w:val="00C84483"/>
    <w:rsid w:val="00C84F36"/>
    <w:rsid w:val="00C85944"/>
    <w:rsid w:val="00C85965"/>
    <w:rsid w:val="00C86E04"/>
    <w:rsid w:val="00C90410"/>
    <w:rsid w:val="00C90D58"/>
    <w:rsid w:val="00C91C19"/>
    <w:rsid w:val="00C932FF"/>
    <w:rsid w:val="00C9330E"/>
    <w:rsid w:val="00C93607"/>
    <w:rsid w:val="00C93AFF"/>
    <w:rsid w:val="00C94C17"/>
    <w:rsid w:val="00C95348"/>
    <w:rsid w:val="00C95640"/>
    <w:rsid w:val="00C96E92"/>
    <w:rsid w:val="00CA15D4"/>
    <w:rsid w:val="00CA243A"/>
    <w:rsid w:val="00CA24A5"/>
    <w:rsid w:val="00CA3FA0"/>
    <w:rsid w:val="00CA63BD"/>
    <w:rsid w:val="00CA79AF"/>
    <w:rsid w:val="00CB0739"/>
    <w:rsid w:val="00CB0FB8"/>
    <w:rsid w:val="00CB19B4"/>
    <w:rsid w:val="00CB1DA8"/>
    <w:rsid w:val="00CB3577"/>
    <w:rsid w:val="00CB4013"/>
    <w:rsid w:val="00CB4C1E"/>
    <w:rsid w:val="00CB635A"/>
    <w:rsid w:val="00CC5A37"/>
    <w:rsid w:val="00CC64F1"/>
    <w:rsid w:val="00CC65A8"/>
    <w:rsid w:val="00CC6AE6"/>
    <w:rsid w:val="00CC6E94"/>
    <w:rsid w:val="00CC7F6D"/>
    <w:rsid w:val="00CD148F"/>
    <w:rsid w:val="00CD177E"/>
    <w:rsid w:val="00CD19BB"/>
    <w:rsid w:val="00CD2E31"/>
    <w:rsid w:val="00CD3E93"/>
    <w:rsid w:val="00CD4697"/>
    <w:rsid w:val="00CD57B9"/>
    <w:rsid w:val="00CD5EA2"/>
    <w:rsid w:val="00CE1740"/>
    <w:rsid w:val="00CE1D64"/>
    <w:rsid w:val="00CE1E27"/>
    <w:rsid w:val="00CE510F"/>
    <w:rsid w:val="00CF2A04"/>
    <w:rsid w:val="00CF2DFE"/>
    <w:rsid w:val="00CF672F"/>
    <w:rsid w:val="00CF7DC3"/>
    <w:rsid w:val="00D00130"/>
    <w:rsid w:val="00D01F85"/>
    <w:rsid w:val="00D03CF0"/>
    <w:rsid w:val="00D070DD"/>
    <w:rsid w:val="00D07811"/>
    <w:rsid w:val="00D10D0B"/>
    <w:rsid w:val="00D10FF0"/>
    <w:rsid w:val="00D11851"/>
    <w:rsid w:val="00D15F09"/>
    <w:rsid w:val="00D178B9"/>
    <w:rsid w:val="00D25E5A"/>
    <w:rsid w:val="00D30079"/>
    <w:rsid w:val="00D33471"/>
    <w:rsid w:val="00D33C6D"/>
    <w:rsid w:val="00D347E1"/>
    <w:rsid w:val="00D3561F"/>
    <w:rsid w:val="00D36880"/>
    <w:rsid w:val="00D40B65"/>
    <w:rsid w:val="00D4741F"/>
    <w:rsid w:val="00D52DA9"/>
    <w:rsid w:val="00D52DCE"/>
    <w:rsid w:val="00D53638"/>
    <w:rsid w:val="00D54876"/>
    <w:rsid w:val="00D54F6A"/>
    <w:rsid w:val="00D555B3"/>
    <w:rsid w:val="00D5656C"/>
    <w:rsid w:val="00D57427"/>
    <w:rsid w:val="00D5769E"/>
    <w:rsid w:val="00D57F52"/>
    <w:rsid w:val="00D602DD"/>
    <w:rsid w:val="00D645DA"/>
    <w:rsid w:val="00D6512F"/>
    <w:rsid w:val="00D65626"/>
    <w:rsid w:val="00D67B09"/>
    <w:rsid w:val="00D734E1"/>
    <w:rsid w:val="00D73D44"/>
    <w:rsid w:val="00D747D0"/>
    <w:rsid w:val="00D75DB3"/>
    <w:rsid w:val="00D80268"/>
    <w:rsid w:val="00D80B98"/>
    <w:rsid w:val="00D821DD"/>
    <w:rsid w:val="00D83897"/>
    <w:rsid w:val="00D84E60"/>
    <w:rsid w:val="00D858FC"/>
    <w:rsid w:val="00D86B45"/>
    <w:rsid w:val="00D86F16"/>
    <w:rsid w:val="00D87A46"/>
    <w:rsid w:val="00D91438"/>
    <w:rsid w:val="00D924DB"/>
    <w:rsid w:val="00D9394E"/>
    <w:rsid w:val="00D93D9F"/>
    <w:rsid w:val="00D94005"/>
    <w:rsid w:val="00D9493A"/>
    <w:rsid w:val="00D96670"/>
    <w:rsid w:val="00D97578"/>
    <w:rsid w:val="00D97909"/>
    <w:rsid w:val="00DA3925"/>
    <w:rsid w:val="00DA5A04"/>
    <w:rsid w:val="00DA73C5"/>
    <w:rsid w:val="00DA7701"/>
    <w:rsid w:val="00DA7925"/>
    <w:rsid w:val="00DA79E0"/>
    <w:rsid w:val="00DB083B"/>
    <w:rsid w:val="00DB0BA4"/>
    <w:rsid w:val="00DB282D"/>
    <w:rsid w:val="00DB2CEE"/>
    <w:rsid w:val="00DB36C0"/>
    <w:rsid w:val="00DB3F3C"/>
    <w:rsid w:val="00DB4F42"/>
    <w:rsid w:val="00DB6341"/>
    <w:rsid w:val="00DB6774"/>
    <w:rsid w:val="00DB755B"/>
    <w:rsid w:val="00DC14CF"/>
    <w:rsid w:val="00DC2AB3"/>
    <w:rsid w:val="00DC2F69"/>
    <w:rsid w:val="00DC4A9C"/>
    <w:rsid w:val="00DC646E"/>
    <w:rsid w:val="00DC6A43"/>
    <w:rsid w:val="00DC72CD"/>
    <w:rsid w:val="00DC7778"/>
    <w:rsid w:val="00DC7989"/>
    <w:rsid w:val="00DD076F"/>
    <w:rsid w:val="00DD28F7"/>
    <w:rsid w:val="00DD2D22"/>
    <w:rsid w:val="00DD351A"/>
    <w:rsid w:val="00DD4275"/>
    <w:rsid w:val="00DD4691"/>
    <w:rsid w:val="00DD4A67"/>
    <w:rsid w:val="00DD6D6E"/>
    <w:rsid w:val="00DD6EC8"/>
    <w:rsid w:val="00DD7324"/>
    <w:rsid w:val="00DD7381"/>
    <w:rsid w:val="00DD7A06"/>
    <w:rsid w:val="00DE02A2"/>
    <w:rsid w:val="00DE05E3"/>
    <w:rsid w:val="00DE7180"/>
    <w:rsid w:val="00DE7D9E"/>
    <w:rsid w:val="00DF19B0"/>
    <w:rsid w:val="00DF27B2"/>
    <w:rsid w:val="00DF56ED"/>
    <w:rsid w:val="00DF6F5C"/>
    <w:rsid w:val="00E01E2D"/>
    <w:rsid w:val="00E03127"/>
    <w:rsid w:val="00E0378D"/>
    <w:rsid w:val="00E03B91"/>
    <w:rsid w:val="00E03CB6"/>
    <w:rsid w:val="00E057B5"/>
    <w:rsid w:val="00E06B73"/>
    <w:rsid w:val="00E11249"/>
    <w:rsid w:val="00E12977"/>
    <w:rsid w:val="00E137FE"/>
    <w:rsid w:val="00E14BCD"/>
    <w:rsid w:val="00E15BD1"/>
    <w:rsid w:val="00E16611"/>
    <w:rsid w:val="00E1716A"/>
    <w:rsid w:val="00E17544"/>
    <w:rsid w:val="00E21B53"/>
    <w:rsid w:val="00E2266C"/>
    <w:rsid w:val="00E25E23"/>
    <w:rsid w:val="00E26C31"/>
    <w:rsid w:val="00E27E41"/>
    <w:rsid w:val="00E30FD5"/>
    <w:rsid w:val="00E31AF3"/>
    <w:rsid w:val="00E32976"/>
    <w:rsid w:val="00E35476"/>
    <w:rsid w:val="00E372D8"/>
    <w:rsid w:val="00E40952"/>
    <w:rsid w:val="00E41E6D"/>
    <w:rsid w:val="00E41E79"/>
    <w:rsid w:val="00E42633"/>
    <w:rsid w:val="00E473CA"/>
    <w:rsid w:val="00E47784"/>
    <w:rsid w:val="00E479EC"/>
    <w:rsid w:val="00E53B93"/>
    <w:rsid w:val="00E53CE7"/>
    <w:rsid w:val="00E5435D"/>
    <w:rsid w:val="00E55168"/>
    <w:rsid w:val="00E55499"/>
    <w:rsid w:val="00E56F01"/>
    <w:rsid w:val="00E60ECE"/>
    <w:rsid w:val="00E63BC0"/>
    <w:rsid w:val="00E65E38"/>
    <w:rsid w:val="00E66412"/>
    <w:rsid w:val="00E66532"/>
    <w:rsid w:val="00E66B43"/>
    <w:rsid w:val="00E70C95"/>
    <w:rsid w:val="00E71D2F"/>
    <w:rsid w:val="00E724F0"/>
    <w:rsid w:val="00E72AFE"/>
    <w:rsid w:val="00E777A0"/>
    <w:rsid w:val="00E81BD7"/>
    <w:rsid w:val="00E842E7"/>
    <w:rsid w:val="00E84A4C"/>
    <w:rsid w:val="00E90E87"/>
    <w:rsid w:val="00E91FCF"/>
    <w:rsid w:val="00E92930"/>
    <w:rsid w:val="00E95796"/>
    <w:rsid w:val="00EA0222"/>
    <w:rsid w:val="00EA4883"/>
    <w:rsid w:val="00EA5589"/>
    <w:rsid w:val="00EA7716"/>
    <w:rsid w:val="00EB1650"/>
    <w:rsid w:val="00EB3B30"/>
    <w:rsid w:val="00EB5BB2"/>
    <w:rsid w:val="00EB6E8D"/>
    <w:rsid w:val="00EC1D34"/>
    <w:rsid w:val="00EC2F77"/>
    <w:rsid w:val="00EC5540"/>
    <w:rsid w:val="00EC57AF"/>
    <w:rsid w:val="00EC5899"/>
    <w:rsid w:val="00EC714A"/>
    <w:rsid w:val="00ED13DE"/>
    <w:rsid w:val="00ED1647"/>
    <w:rsid w:val="00ED1955"/>
    <w:rsid w:val="00ED38C5"/>
    <w:rsid w:val="00ED3AE5"/>
    <w:rsid w:val="00ED5D29"/>
    <w:rsid w:val="00EE4B85"/>
    <w:rsid w:val="00EE4E4F"/>
    <w:rsid w:val="00EE79E4"/>
    <w:rsid w:val="00EE7F3B"/>
    <w:rsid w:val="00EF06DB"/>
    <w:rsid w:val="00EF19D3"/>
    <w:rsid w:val="00EF1A5C"/>
    <w:rsid w:val="00EF2C76"/>
    <w:rsid w:val="00EF35F1"/>
    <w:rsid w:val="00F00375"/>
    <w:rsid w:val="00F01240"/>
    <w:rsid w:val="00F04F95"/>
    <w:rsid w:val="00F0556D"/>
    <w:rsid w:val="00F05EE7"/>
    <w:rsid w:val="00F05FDE"/>
    <w:rsid w:val="00F067EE"/>
    <w:rsid w:val="00F1118B"/>
    <w:rsid w:val="00F11C6C"/>
    <w:rsid w:val="00F14E87"/>
    <w:rsid w:val="00F1501D"/>
    <w:rsid w:val="00F154FC"/>
    <w:rsid w:val="00F159ED"/>
    <w:rsid w:val="00F21838"/>
    <w:rsid w:val="00F223FF"/>
    <w:rsid w:val="00F22961"/>
    <w:rsid w:val="00F26419"/>
    <w:rsid w:val="00F26B93"/>
    <w:rsid w:val="00F276B7"/>
    <w:rsid w:val="00F35EC7"/>
    <w:rsid w:val="00F36937"/>
    <w:rsid w:val="00F402CE"/>
    <w:rsid w:val="00F434A0"/>
    <w:rsid w:val="00F45E89"/>
    <w:rsid w:val="00F45F5D"/>
    <w:rsid w:val="00F47FE6"/>
    <w:rsid w:val="00F5214C"/>
    <w:rsid w:val="00F552F7"/>
    <w:rsid w:val="00F55596"/>
    <w:rsid w:val="00F734E1"/>
    <w:rsid w:val="00F7445D"/>
    <w:rsid w:val="00F7624C"/>
    <w:rsid w:val="00F768A1"/>
    <w:rsid w:val="00F77CE9"/>
    <w:rsid w:val="00F82408"/>
    <w:rsid w:val="00F839F3"/>
    <w:rsid w:val="00F87807"/>
    <w:rsid w:val="00F90B7A"/>
    <w:rsid w:val="00F9219A"/>
    <w:rsid w:val="00F9338B"/>
    <w:rsid w:val="00F94487"/>
    <w:rsid w:val="00F94B48"/>
    <w:rsid w:val="00F96519"/>
    <w:rsid w:val="00F96B4A"/>
    <w:rsid w:val="00F971C6"/>
    <w:rsid w:val="00FA0458"/>
    <w:rsid w:val="00FA1610"/>
    <w:rsid w:val="00FA3D08"/>
    <w:rsid w:val="00FA5421"/>
    <w:rsid w:val="00FA6F10"/>
    <w:rsid w:val="00FA741E"/>
    <w:rsid w:val="00FA748C"/>
    <w:rsid w:val="00FA7BFF"/>
    <w:rsid w:val="00FB09DF"/>
    <w:rsid w:val="00FB1218"/>
    <w:rsid w:val="00FB2509"/>
    <w:rsid w:val="00FB3AC9"/>
    <w:rsid w:val="00FB51AD"/>
    <w:rsid w:val="00FB53E6"/>
    <w:rsid w:val="00FB723C"/>
    <w:rsid w:val="00FB7261"/>
    <w:rsid w:val="00FC0E13"/>
    <w:rsid w:val="00FC5597"/>
    <w:rsid w:val="00FD083E"/>
    <w:rsid w:val="00FD14C2"/>
    <w:rsid w:val="00FD1D01"/>
    <w:rsid w:val="00FD5180"/>
    <w:rsid w:val="00FD58EA"/>
    <w:rsid w:val="00FD5D14"/>
    <w:rsid w:val="00FD5F91"/>
    <w:rsid w:val="00FD7B68"/>
    <w:rsid w:val="00FE125B"/>
    <w:rsid w:val="00FE197F"/>
    <w:rsid w:val="00FE22F3"/>
    <w:rsid w:val="00FE2CD4"/>
    <w:rsid w:val="00FE326A"/>
    <w:rsid w:val="00FE3BCC"/>
    <w:rsid w:val="00FE427C"/>
    <w:rsid w:val="00FE71F6"/>
    <w:rsid w:val="00FE73FC"/>
    <w:rsid w:val="00FF08CA"/>
    <w:rsid w:val="00FF14CF"/>
    <w:rsid w:val="00FF36F5"/>
    <w:rsid w:val="00FF4E54"/>
    <w:rsid w:val="00FF509E"/>
    <w:rsid w:val="00FF5428"/>
    <w:rsid w:val="00FF553B"/>
    <w:rsid w:val="00FF71F5"/>
    <w:rsid w:val="00FF7943"/>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048AA"/>
  <w15:docId w15:val="{DC4ADFE8-CF9E-44F1-BA99-3109BAAB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rPr>
  </w:style>
  <w:style w:type="paragraph" w:styleId="Heading8">
    <w:name w:val="heading 8"/>
    <w:basedOn w:val="Normal"/>
    <w:next w:val="Normal"/>
    <w:link w:val="Heading8Char"/>
    <w:qFormat/>
    <w:rsid w:val="004951CB"/>
    <w:pPr>
      <w:keepNext/>
      <w:jc w:val="both"/>
      <w:outlineLvl w:val="7"/>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F4"/>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451CF4"/>
  </w:style>
  <w:style w:type="paragraph" w:styleId="Footer">
    <w:name w:val="footer"/>
    <w:basedOn w:val="Normal"/>
    <w:link w:val="FooterChar"/>
    <w:uiPriority w:val="99"/>
    <w:unhideWhenUsed/>
    <w:rsid w:val="00451CF4"/>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rsid w:val="00451CF4"/>
  </w:style>
  <w:style w:type="paragraph" w:styleId="BalloonText">
    <w:name w:val="Balloon Text"/>
    <w:basedOn w:val="Normal"/>
    <w:link w:val="BalloonTextChar"/>
    <w:unhideWhenUsed/>
    <w:rsid w:val="00451CF4"/>
    <w:rPr>
      <w:rFonts w:ascii="Tahoma" w:eastAsia="Calibri" w:hAnsi="Tahoma" w:cs="Tahoma"/>
      <w:sz w:val="16"/>
      <w:szCs w:val="16"/>
    </w:rPr>
  </w:style>
  <w:style w:type="character" w:customStyle="1" w:styleId="BalloonTextChar">
    <w:name w:val="Balloon Text Char"/>
    <w:basedOn w:val="DefaultParagraphFont"/>
    <w:link w:val="BalloonText"/>
    <w:rsid w:val="00451CF4"/>
    <w:rPr>
      <w:rFonts w:ascii="Tahoma" w:hAnsi="Tahoma" w:cs="Tahoma"/>
      <w:sz w:val="16"/>
      <w:szCs w:val="16"/>
    </w:rPr>
  </w:style>
  <w:style w:type="character" w:styleId="Hyperlink">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ListParagraph">
    <w:name w:val="List Paragraph"/>
    <w:basedOn w:val="Normal"/>
    <w:qFormat/>
    <w:rsid w:val="00997CEA"/>
    <w:pPr>
      <w:ind w:left="720"/>
      <w:contextualSpacing/>
    </w:pPr>
    <w:rPr>
      <w:rFonts w:ascii="Times New Roman" w:hAnsi="Times New Roman"/>
      <w:sz w:val="24"/>
    </w:rPr>
  </w:style>
  <w:style w:type="paragraph" w:styleId="PlainText">
    <w:name w:val="Plain Text"/>
    <w:basedOn w:val="Normal"/>
    <w:link w:val="PlainTextChar"/>
    <w:uiPriority w:val="99"/>
    <w:unhideWhenUsed/>
    <w:rsid w:val="00431AE5"/>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link w:val="SecurityL8Char"/>
    <w:rsid w:val="00B62AB6"/>
    <w:pPr>
      <w:numPr>
        <w:ilvl w:val="7"/>
      </w:numPr>
      <w:spacing w:before="120" w:after="120"/>
      <w:outlineLvl w:val="7"/>
    </w:pPr>
    <w:rPr>
      <w:sz w:val="18"/>
    </w:rPr>
  </w:style>
  <w:style w:type="paragraph" w:customStyle="1" w:styleId="SecurityL9">
    <w:name w:val="Security_L9"/>
    <w:basedOn w:val="SecurityL8"/>
    <w:link w:val="SecurityL9Char"/>
    <w:rsid w:val="00B62AB6"/>
    <w:pPr>
      <w:numPr>
        <w:ilvl w:val="8"/>
      </w:numPr>
      <w:spacing w:before="0" w:after="60"/>
      <w:outlineLvl w:val="8"/>
    </w:pPr>
    <w:rPr>
      <w:i/>
    </w:rPr>
  </w:style>
  <w:style w:type="paragraph" w:styleId="BodyText">
    <w:name w:val="Body Text"/>
    <w:aliases w:val="bt"/>
    <w:basedOn w:val="Normal"/>
    <w:link w:val="BodyTextChar"/>
    <w:rsid w:val="00B62AB6"/>
    <w:pPr>
      <w:spacing w:after="240" w:line="240" w:lineRule="atLeast"/>
      <w:jc w:val="both"/>
    </w:pPr>
    <w:rPr>
      <w:rFonts w:ascii="Times New Roman" w:hAnsi="Times New Roman"/>
      <w:lang w:val="en-CA"/>
    </w:rPr>
  </w:style>
  <w:style w:type="character" w:customStyle="1" w:styleId="BodyTextChar">
    <w:name w:val="Body Text Char"/>
    <w:aliases w:val="bt Char"/>
    <w:basedOn w:val="DefaultParagraphFont"/>
    <w:link w:val="BodyText"/>
    <w:rsid w:val="00B62AB6"/>
    <w:rPr>
      <w:rFonts w:ascii="Times New Roman" w:eastAsia="Times New Roman" w:hAnsi="Times New Roman" w:cs="Times New Roman"/>
      <w:szCs w:val="24"/>
      <w:lang w:val="en-CA"/>
    </w:rPr>
  </w:style>
  <w:style w:type="character" w:customStyle="1" w:styleId="TableTextChar">
    <w:name w:val="Table Text Char"/>
    <w:aliases w:val="tt Char"/>
    <w:basedOn w:val="DefaultParagraphFont"/>
    <w:link w:val="tabletext"/>
    <w:rsid w:val="00B62AB6"/>
    <w:rPr>
      <w:rFonts w:ascii="Times New Roman" w:eastAsia="Times New Roman" w:hAnsi="Times New Roman" w:cs="Times New Roman"/>
      <w:sz w:val="20"/>
      <w:szCs w:val="24"/>
      <w:lang w:val="en-CA"/>
    </w:rPr>
  </w:style>
  <w:style w:type="character" w:customStyle="1" w:styleId="Heading8Char">
    <w:name w:val="Heading 8 Char"/>
    <w:basedOn w:val="DefaultParagraphFont"/>
    <w:link w:val="Heading8"/>
    <w:rsid w:val="004951CB"/>
    <w:rPr>
      <w:rFonts w:ascii="Arial" w:eastAsia="Times New Roman" w:hAnsi="Arial" w:cs="Times New Roman"/>
      <w:b/>
      <w:bCs/>
      <w:sz w:val="20"/>
      <w:szCs w:val="20"/>
    </w:rPr>
  </w:style>
  <w:style w:type="character" w:styleId="CommentReference">
    <w:name w:val="annotation reference"/>
    <w:unhideWhenUsed/>
    <w:rsid w:val="004951CB"/>
    <w:rPr>
      <w:sz w:val="16"/>
      <w:szCs w:val="16"/>
    </w:rPr>
  </w:style>
  <w:style w:type="paragraph" w:styleId="CommentText">
    <w:name w:val="annotation text"/>
    <w:basedOn w:val="Normal"/>
    <w:link w:val="CommentTextChar"/>
    <w:uiPriority w:val="99"/>
    <w:unhideWhenUsed/>
    <w:rsid w:val="004951CB"/>
    <w:rPr>
      <w:rFonts w:ascii="Arial" w:hAnsi="Arial"/>
      <w:sz w:val="20"/>
      <w:szCs w:val="20"/>
    </w:rPr>
  </w:style>
  <w:style w:type="character" w:customStyle="1" w:styleId="CommentTextChar">
    <w:name w:val="Comment Text Char"/>
    <w:basedOn w:val="DefaultParagraphFont"/>
    <w:link w:val="CommentText"/>
    <w:uiPriority w:val="99"/>
    <w:rsid w:val="004951CB"/>
    <w:rPr>
      <w:rFonts w:ascii="Arial" w:eastAsia="Times New Roman" w:hAnsi="Arial" w:cs="Times New Roman"/>
      <w:sz w:val="20"/>
      <w:szCs w:val="20"/>
    </w:rPr>
  </w:style>
  <w:style w:type="paragraph" w:styleId="BodyText2">
    <w:name w:val="Body Text 2"/>
    <w:basedOn w:val="Normal"/>
    <w:link w:val="BodyText2Char"/>
    <w:unhideWhenUsed/>
    <w:rsid w:val="003E2504"/>
    <w:pPr>
      <w:spacing w:after="120" w:line="480" w:lineRule="auto"/>
    </w:pPr>
  </w:style>
  <w:style w:type="character" w:customStyle="1" w:styleId="BodyText2Char">
    <w:name w:val="Body Text 2 Char"/>
    <w:basedOn w:val="DefaultParagraphFont"/>
    <w:link w:val="BodyText2"/>
    <w:rsid w:val="003E2504"/>
    <w:rPr>
      <w:rFonts w:ascii="Verdana" w:eastAsia="Times New Roman" w:hAnsi="Verdana" w:cs="Times New Roman"/>
      <w:szCs w:val="24"/>
    </w:rPr>
  </w:style>
  <w:style w:type="paragraph" w:styleId="BodyTextIndent">
    <w:name w:val="Body Text Indent"/>
    <w:basedOn w:val="Normal"/>
    <w:link w:val="BodyTextIndentChar"/>
    <w:uiPriority w:val="99"/>
    <w:semiHidden/>
    <w:unhideWhenUsed/>
    <w:rsid w:val="002A7212"/>
    <w:pPr>
      <w:spacing w:after="120"/>
      <w:ind w:left="283"/>
    </w:pPr>
  </w:style>
  <w:style w:type="character" w:customStyle="1" w:styleId="BodyTextIndentChar">
    <w:name w:val="Body Text Indent Char"/>
    <w:basedOn w:val="DefaultParagraphFont"/>
    <w:link w:val="BodyTextIndent"/>
    <w:uiPriority w:val="99"/>
    <w:semiHidden/>
    <w:rsid w:val="002A7212"/>
    <w:rPr>
      <w:rFonts w:ascii="Verdana" w:eastAsia="Times New Roman" w:hAnsi="Verdana"/>
      <w:sz w:val="22"/>
      <w:szCs w:val="24"/>
    </w:rPr>
  </w:style>
  <w:style w:type="paragraph" w:styleId="CommentSubject">
    <w:name w:val="annotation subject"/>
    <w:basedOn w:val="CommentText"/>
    <w:next w:val="CommentText"/>
    <w:link w:val="CommentSubjectChar"/>
    <w:uiPriority w:val="99"/>
    <w:semiHidden/>
    <w:unhideWhenUsed/>
    <w:rsid w:val="008A56D8"/>
    <w:rPr>
      <w:rFonts w:ascii="Verdana" w:hAnsi="Verdana"/>
      <w:b/>
      <w:bCs/>
    </w:rPr>
  </w:style>
  <w:style w:type="character" w:customStyle="1" w:styleId="CommentSubjectChar">
    <w:name w:val="Comment Subject Char"/>
    <w:basedOn w:val="CommentTextChar"/>
    <w:link w:val="CommentSubject"/>
    <w:uiPriority w:val="99"/>
    <w:semiHidden/>
    <w:rsid w:val="008A56D8"/>
    <w:rPr>
      <w:rFonts w:ascii="Verdana" w:eastAsia="Times New Roman" w:hAnsi="Verdana" w:cs="Times New Roman"/>
      <w:b/>
      <w:bCs/>
      <w:sz w:val="20"/>
      <w:szCs w:val="20"/>
    </w:rPr>
  </w:style>
  <w:style w:type="paragraph" w:styleId="Revisio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link w:val="SecurityCont2Char"/>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customStyle="1" w:styleId="SecurityCont2Char">
    <w:name w:val="Security Cont 2 Char"/>
    <w:aliases w:val="s2 Char"/>
    <w:basedOn w:val="DefaultParagraphFont"/>
    <w:link w:val="SecurityCont2"/>
    <w:rsid w:val="00CD4697"/>
    <w:rPr>
      <w:rFonts w:ascii="Times New Roman" w:eastAsia="Times New Roman" w:hAnsi="Times New Roman"/>
      <w:lang w:val="en-CA"/>
    </w:rPr>
  </w:style>
  <w:style w:type="character" w:customStyle="1" w:styleId="SecurityL8Char">
    <w:name w:val="Security_L8 Char"/>
    <w:basedOn w:val="DefaultParagraphFont"/>
    <w:link w:val="SecurityL8"/>
    <w:rsid w:val="00CD4697"/>
    <w:rPr>
      <w:rFonts w:ascii="Times New Roman" w:eastAsia="Times New Roman" w:hAnsi="Times New Roman"/>
      <w:sz w:val="18"/>
      <w:lang w:val="en-CA"/>
    </w:rPr>
  </w:style>
  <w:style w:type="character" w:customStyle="1" w:styleId="SecurityL9Char">
    <w:name w:val="Security_L9 Char"/>
    <w:basedOn w:val="DefaultParagraphFont"/>
    <w:link w:val="SecurityL9"/>
    <w:rsid w:val="00CD4697"/>
    <w:rPr>
      <w:rFonts w:ascii="Times New Roman" w:eastAsia="Times New Roman" w:hAnsi="Times New Roman"/>
      <w:i/>
      <w:sz w:val="18"/>
      <w:lang w:val="en-CA"/>
    </w:rPr>
  </w:style>
  <w:style w:type="character" w:customStyle="1" w:styleId="UnresolvedMention1">
    <w:name w:val="Unresolved Mention1"/>
    <w:basedOn w:val="DefaultParagraphFont"/>
    <w:uiPriority w:val="99"/>
    <w:semiHidden/>
    <w:unhideWhenUsed/>
    <w:rsid w:val="002D4B6B"/>
    <w:rPr>
      <w:color w:val="605E5C"/>
      <w:shd w:val="clear" w:color="auto" w:fill="E1DFDD"/>
    </w:rPr>
  </w:style>
  <w:style w:type="paragraph" w:styleId="FootnoteText">
    <w:name w:val="footnote text"/>
    <w:basedOn w:val="Normal"/>
    <w:link w:val="FootnoteTextChar"/>
    <w:uiPriority w:val="99"/>
    <w:unhideWhenUsed/>
    <w:rsid w:val="00EE79E4"/>
    <w:rPr>
      <w:sz w:val="20"/>
      <w:szCs w:val="20"/>
    </w:rPr>
  </w:style>
  <w:style w:type="character" w:customStyle="1" w:styleId="FootnoteTextChar">
    <w:name w:val="Footnote Text Char"/>
    <w:basedOn w:val="DefaultParagraphFont"/>
    <w:link w:val="FootnoteText"/>
    <w:uiPriority w:val="99"/>
    <w:rsid w:val="00EE79E4"/>
    <w:rPr>
      <w:rFonts w:ascii="Verdana" w:eastAsia="Times New Roman" w:hAnsi="Verdana"/>
    </w:rPr>
  </w:style>
  <w:style w:type="character" w:styleId="FootnoteReference">
    <w:name w:val="footnote reference"/>
    <w:basedOn w:val="DefaultParagraphFont"/>
    <w:uiPriority w:val="99"/>
    <w:semiHidden/>
    <w:unhideWhenUsed/>
    <w:rsid w:val="00EE79E4"/>
    <w:rPr>
      <w:vertAlign w:val="superscript"/>
    </w:rPr>
  </w:style>
  <w:style w:type="table" w:styleId="GridTable1Light">
    <w:name w:val="Grid Table 1 Light"/>
    <w:basedOn w:val="TableNormal"/>
    <w:uiPriority w:val="46"/>
    <w:rsid w:val="00631E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31E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31E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631EE4"/>
    <w:pPr>
      <w:tabs>
        <w:tab w:val="decimal" w:pos="360"/>
      </w:tabs>
      <w:spacing w:after="200" w:line="276" w:lineRule="auto"/>
    </w:pPr>
    <w:rPr>
      <w:rFonts w:asciiTheme="minorHAnsi" w:eastAsiaTheme="minorEastAsia" w:hAnsiTheme="minorHAnsi"/>
      <w:szCs w:val="22"/>
    </w:rPr>
  </w:style>
  <w:style w:type="character" w:styleId="SubtleEmphasis">
    <w:name w:val="Subtle Emphasis"/>
    <w:basedOn w:val="DefaultParagraphFont"/>
    <w:uiPriority w:val="19"/>
    <w:qFormat/>
    <w:rsid w:val="00631EE4"/>
    <w:rPr>
      <w:i/>
      <w:iCs/>
    </w:rPr>
  </w:style>
  <w:style w:type="table" w:styleId="MediumShading2-Accent5">
    <w:name w:val="Medium Shading 2 Accent 5"/>
    <w:basedOn w:val="TableNormal"/>
    <w:uiPriority w:val="64"/>
    <w:rsid w:val="00631EE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480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15">
      <w:bodyDiv w:val="1"/>
      <w:marLeft w:val="0"/>
      <w:marRight w:val="0"/>
      <w:marTop w:val="0"/>
      <w:marBottom w:val="0"/>
      <w:divBdr>
        <w:top w:val="none" w:sz="0" w:space="0" w:color="auto"/>
        <w:left w:val="none" w:sz="0" w:space="0" w:color="auto"/>
        <w:bottom w:val="none" w:sz="0" w:space="0" w:color="auto"/>
        <w:right w:val="none" w:sz="0" w:space="0" w:color="auto"/>
      </w:divBdr>
    </w:div>
    <w:div w:id="470825882">
      <w:bodyDiv w:val="1"/>
      <w:marLeft w:val="0"/>
      <w:marRight w:val="0"/>
      <w:marTop w:val="0"/>
      <w:marBottom w:val="0"/>
      <w:divBdr>
        <w:top w:val="none" w:sz="0" w:space="0" w:color="auto"/>
        <w:left w:val="none" w:sz="0" w:space="0" w:color="auto"/>
        <w:bottom w:val="none" w:sz="0" w:space="0" w:color="auto"/>
        <w:right w:val="none" w:sz="0" w:space="0" w:color="auto"/>
      </w:divBdr>
    </w:div>
    <w:div w:id="506552879">
      <w:bodyDiv w:val="1"/>
      <w:marLeft w:val="0"/>
      <w:marRight w:val="0"/>
      <w:marTop w:val="0"/>
      <w:marBottom w:val="0"/>
      <w:divBdr>
        <w:top w:val="none" w:sz="0" w:space="0" w:color="auto"/>
        <w:left w:val="none" w:sz="0" w:space="0" w:color="auto"/>
        <w:bottom w:val="none" w:sz="0" w:space="0" w:color="auto"/>
        <w:right w:val="none" w:sz="0" w:space="0" w:color="auto"/>
      </w:divBdr>
    </w:div>
    <w:div w:id="693533190">
      <w:bodyDiv w:val="1"/>
      <w:marLeft w:val="0"/>
      <w:marRight w:val="0"/>
      <w:marTop w:val="0"/>
      <w:marBottom w:val="0"/>
      <w:divBdr>
        <w:top w:val="none" w:sz="0" w:space="0" w:color="auto"/>
        <w:left w:val="none" w:sz="0" w:space="0" w:color="auto"/>
        <w:bottom w:val="none" w:sz="0" w:space="0" w:color="auto"/>
        <w:right w:val="none" w:sz="0" w:space="0" w:color="auto"/>
      </w:divBdr>
    </w:div>
    <w:div w:id="830370901">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944459396">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239635053">
      <w:bodyDiv w:val="1"/>
      <w:marLeft w:val="0"/>
      <w:marRight w:val="0"/>
      <w:marTop w:val="0"/>
      <w:marBottom w:val="0"/>
      <w:divBdr>
        <w:top w:val="none" w:sz="0" w:space="0" w:color="auto"/>
        <w:left w:val="none" w:sz="0" w:space="0" w:color="auto"/>
        <w:bottom w:val="none" w:sz="0" w:space="0" w:color="auto"/>
        <w:right w:val="none" w:sz="0" w:space="0" w:color="auto"/>
      </w:divBdr>
    </w:div>
    <w:div w:id="1378121507">
      <w:bodyDiv w:val="1"/>
      <w:marLeft w:val="0"/>
      <w:marRight w:val="0"/>
      <w:marTop w:val="0"/>
      <w:marBottom w:val="0"/>
      <w:divBdr>
        <w:top w:val="none" w:sz="0" w:space="0" w:color="auto"/>
        <w:left w:val="none" w:sz="0" w:space="0" w:color="auto"/>
        <w:bottom w:val="none" w:sz="0" w:space="0" w:color="auto"/>
        <w:right w:val="none" w:sz="0" w:space="0" w:color="auto"/>
      </w:divBdr>
    </w:div>
    <w:div w:id="1459641473">
      <w:bodyDiv w:val="1"/>
      <w:marLeft w:val="0"/>
      <w:marRight w:val="0"/>
      <w:marTop w:val="0"/>
      <w:marBottom w:val="0"/>
      <w:divBdr>
        <w:top w:val="none" w:sz="0" w:space="0" w:color="auto"/>
        <w:left w:val="none" w:sz="0" w:space="0" w:color="auto"/>
        <w:bottom w:val="none" w:sz="0" w:space="0" w:color="auto"/>
        <w:right w:val="none" w:sz="0" w:space="0" w:color="auto"/>
      </w:divBdr>
    </w:div>
    <w:div w:id="1565018774">
      <w:bodyDiv w:val="1"/>
      <w:marLeft w:val="0"/>
      <w:marRight w:val="0"/>
      <w:marTop w:val="0"/>
      <w:marBottom w:val="0"/>
      <w:divBdr>
        <w:top w:val="none" w:sz="0" w:space="0" w:color="auto"/>
        <w:left w:val="none" w:sz="0" w:space="0" w:color="auto"/>
        <w:bottom w:val="none" w:sz="0" w:space="0" w:color="auto"/>
        <w:right w:val="none" w:sz="0" w:space="0" w:color="auto"/>
      </w:divBdr>
    </w:div>
    <w:div w:id="1577931113">
      <w:bodyDiv w:val="1"/>
      <w:marLeft w:val="0"/>
      <w:marRight w:val="0"/>
      <w:marTop w:val="0"/>
      <w:marBottom w:val="0"/>
      <w:divBdr>
        <w:top w:val="none" w:sz="0" w:space="0" w:color="auto"/>
        <w:left w:val="none" w:sz="0" w:space="0" w:color="auto"/>
        <w:bottom w:val="none" w:sz="0" w:space="0" w:color="auto"/>
        <w:right w:val="none" w:sz="0" w:space="0" w:color="auto"/>
      </w:divBdr>
    </w:div>
    <w:div w:id="1882936674">
      <w:bodyDiv w:val="1"/>
      <w:marLeft w:val="0"/>
      <w:marRight w:val="0"/>
      <w:marTop w:val="0"/>
      <w:marBottom w:val="0"/>
      <w:divBdr>
        <w:top w:val="none" w:sz="0" w:space="0" w:color="auto"/>
        <w:left w:val="none" w:sz="0" w:space="0" w:color="auto"/>
        <w:bottom w:val="none" w:sz="0" w:space="0" w:color="auto"/>
        <w:right w:val="none" w:sz="0" w:space="0" w:color="auto"/>
      </w:divBdr>
    </w:div>
    <w:div w:id="2005009590">
      <w:bodyDiv w:val="1"/>
      <w:marLeft w:val="0"/>
      <w:marRight w:val="0"/>
      <w:marTop w:val="0"/>
      <w:marBottom w:val="0"/>
      <w:divBdr>
        <w:top w:val="none" w:sz="0" w:space="0" w:color="auto"/>
        <w:left w:val="none" w:sz="0" w:space="0" w:color="auto"/>
        <w:bottom w:val="none" w:sz="0" w:space="0" w:color="auto"/>
        <w:right w:val="none" w:sz="0" w:space="0" w:color="auto"/>
      </w:divBdr>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oss@crownpointenerg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rownpointenerg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darplus.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dden@crownpointenergy.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9A3E-1119-4AF3-9302-ADEA0421F121}">
  <ds:schemaRefs>
    <ds:schemaRef ds:uri="http://schemas.openxmlformats.org/officeDocument/2006/bibliography"/>
  </ds:schemaRefs>
</ds:datastoreItem>
</file>

<file path=customXml/itemProps2.xml><?xml version="1.0" encoding="utf-8"?>
<ds:datastoreItem xmlns:ds="http://schemas.openxmlformats.org/officeDocument/2006/customXml" ds:itemID="{CD450D1C-C704-4948-8EAB-134D70BE500C}">
  <ds:schemaRefs>
    <ds:schemaRef ds:uri="http://schemas.openxmlformats.org/officeDocument/2006/bibliography"/>
  </ds:schemaRefs>
</ds:datastoreItem>
</file>

<file path=customXml/itemProps3.xml><?xml version="1.0" encoding="utf-8"?>
<ds:datastoreItem xmlns:ds="http://schemas.openxmlformats.org/officeDocument/2006/customXml" ds:itemID="{250B9A83-2A70-4BB1-AA3E-FE9AEB341219}">
  <ds:schemaRefs>
    <ds:schemaRef ds:uri="http://schemas.openxmlformats.org/officeDocument/2006/bibliography"/>
  </ds:schemaRefs>
</ds:datastoreItem>
</file>

<file path=customXml/itemProps4.xml><?xml version="1.0" encoding="utf-8"?>
<ds:datastoreItem xmlns:ds="http://schemas.openxmlformats.org/officeDocument/2006/customXml" ds:itemID="{87DF92FF-F4BB-42C0-A258-297DD733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2777</Words>
  <Characters>15832</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Company>
  <LinksUpToDate>false</LinksUpToDate>
  <CharactersWithSpaces>18572</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c:description/>
  <cp:lastModifiedBy>Brian Moss</cp:lastModifiedBy>
  <cp:revision>2</cp:revision>
  <cp:lastPrinted>2024-03-06T22:41:00Z</cp:lastPrinted>
  <dcterms:created xsi:type="dcterms:W3CDTF">2025-03-12T14:30:00Z</dcterms:created>
  <dcterms:modified xsi:type="dcterms:W3CDTF">2025-03-12T14:30:00Z</dcterms:modified>
</cp:coreProperties>
</file>