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5DDB" w14:textId="77777777" w:rsidR="00257631" w:rsidRPr="008B5946" w:rsidRDefault="00257631" w:rsidP="008B5946">
      <w:pPr>
        <w:autoSpaceDE w:val="0"/>
        <w:autoSpaceDN w:val="0"/>
        <w:adjustRightInd w:val="0"/>
        <w:jc w:val="right"/>
        <w:rPr>
          <w:rFonts w:ascii="Arial" w:hAnsi="Arial" w:cs="Arial"/>
          <w:sz w:val="20"/>
          <w:szCs w:val="20"/>
        </w:rPr>
      </w:pPr>
    </w:p>
    <w:p w14:paraId="663091F9" w14:textId="77777777" w:rsidR="00F119B9" w:rsidRDefault="00B3415A" w:rsidP="008B5946">
      <w:pPr>
        <w:tabs>
          <w:tab w:val="right" w:pos="8640"/>
        </w:tabs>
        <w:jc w:val="center"/>
        <w:rPr>
          <w:rFonts w:ascii="Arial" w:hAnsi="Arial" w:cs="Arial"/>
          <w:b/>
          <w:sz w:val="20"/>
          <w:szCs w:val="20"/>
        </w:rPr>
      </w:pPr>
      <w:r w:rsidRPr="00805315">
        <w:rPr>
          <w:rFonts w:ascii="Arial" w:hAnsi="Arial" w:cs="Arial"/>
          <w:b/>
          <w:sz w:val="20"/>
          <w:szCs w:val="20"/>
        </w:rPr>
        <w:t xml:space="preserve">Crown Point Announces Acquisition to </w:t>
      </w:r>
      <w:r w:rsidR="006404F4" w:rsidRPr="00805315">
        <w:rPr>
          <w:rFonts w:ascii="Arial" w:hAnsi="Arial" w:cs="Arial"/>
          <w:b/>
          <w:sz w:val="20"/>
          <w:szCs w:val="20"/>
        </w:rPr>
        <w:t>Increase</w:t>
      </w:r>
      <w:r w:rsidR="00F34804" w:rsidRPr="00805315">
        <w:rPr>
          <w:rFonts w:ascii="Arial" w:hAnsi="Arial" w:cs="Arial"/>
          <w:b/>
          <w:sz w:val="20"/>
          <w:szCs w:val="20"/>
        </w:rPr>
        <w:t xml:space="preserve"> Interest in Exploitation Concessions</w:t>
      </w:r>
    </w:p>
    <w:p w14:paraId="7A937093" w14:textId="705CEEBF" w:rsidR="00B3415A" w:rsidRPr="00805315" w:rsidRDefault="00F34804" w:rsidP="008B5946">
      <w:pPr>
        <w:tabs>
          <w:tab w:val="right" w:pos="8640"/>
        </w:tabs>
        <w:jc w:val="center"/>
        <w:rPr>
          <w:rFonts w:ascii="Arial" w:hAnsi="Arial" w:cs="Arial"/>
          <w:b/>
          <w:sz w:val="20"/>
          <w:szCs w:val="20"/>
        </w:rPr>
      </w:pPr>
      <w:r w:rsidRPr="00805315">
        <w:rPr>
          <w:rFonts w:ascii="Arial" w:hAnsi="Arial" w:cs="Arial"/>
          <w:b/>
          <w:sz w:val="20"/>
          <w:szCs w:val="20"/>
        </w:rPr>
        <w:t>in Tierra del Fuego, Argentina</w:t>
      </w:r>
    </w:p>
    <w:p w14:paraId="0552A553" w14:textId="77777777" w:rsidR="00B3415A" w:rsidRPr="00805315" w:rsidRDefault="00B3415A" w:rsidP="008B5946">
      <w:pPr>
        <w:tabs>
          <w:tab w:val="right" w:pos="8640"/>
        </w:tabs>
        <w:jc w:val="center"/>
        <w:rPr>
          <w:rFonts w:ascii="Arial" w:hAnsi="Arial" w:cs="Arial"/>
          <w:b/>
          <w:sz w:val="20"/>
          <w:szCs w:val="20"/>
        </w:rPr>
      </w:pPr>
    </w:p>
    <w:p w14:paraId="354BB5A5" w14:textId="317182CC" w:rsidR="00DC47C7" w:rsidRPr="00805315" w:rsidRDefault="00D339E5" w:rsidP="008B5946">
      <w:pPr>
        <w:shd w:val="clear" w:color="auto" w:fill="FFFFFF"/>
        <w:jc w:val="both"/>
        <w:rPr>
          <w:rFonts w:ascii="Arial" w:hAnsi="Arial" w:cs="Arial"/>
          <w:sz w:val="20"/>
          <w:szCs w:val="20"/>
        </w:rPr>
      </w:pPr>
      <w:r w:rsidRPr="00805315">
        <w:rPr>
          <w:rFonts w:ascii="Arial" w:hAnsi="Arial" w:cs="Arial"/>
          <w:sz w:val="20"/>
          <w:szCs w:val="20"/>
        </w:rPr>
        <w:t xml:space="preserve">CALGARY, Alberta, </w:t>
      </w:r>
      <w:r w:rsidR="006404F4" w:rsidRPr="00805315">
        <w:rPr>
          <w:rFonts w:ascii="Arial" w:hAnsi="Arial" w:cs="Arial"/>
          <w:sz w:val="20"/>
          <w:szCs w:val="20"/>
        </w:rPr>
        <w:t xml:space="preserve">August </w:t>
      </w:r>
      <w:r w:rsidR="0050574B">
        <w:rPr>
          <w:rFonts w:ascii="Arial" w:hAnsi="Arial" w:cs="Arial"/>
          <w:sz w:val="20"/>
          <w:szCs w:val="20"/>
        </w:rPr>
        <w:t>12</w:t>
      </w:r>
      <w:r w:rsidRPr="00805315">
        <w:rPr>
          <w:rFonts w:ascii="Arial" w:hAnsi="Arial" w:cs="Arial"/>
          <w:sz w:val="20"/>
          <w:szCs w:val="20"/>
        </w:rPr>
        <w:t>, 20</w:t>
      </w:r>
      <w:r w:rsidR="006404F4" w:rsidRPr="00805315">
        <w:rPr>
          <w:rFonts w:ascii="Arial" w:hAnsi="Arial" w:cs="Arial"/>
          <w:sz w:val="20"/>
          <w:szCs w:val="20"/>
        </w:rPr>
        <w:t>24</w:t>
      </w:r>
      <w:r w:rsidRPr="00805315">
        <w:rPr>
          <w:rFonts w:ascii="Arial" w:hAnsi="Arial" w:cs="Arial"/>
          <w:sz w:val="20"/>
          <w:szCs w:val="20"/>
        </w:rPr>
        <w:t xml:space="preserve"> --</w:t>
      </w:r>
      <w:r w:rsidR="00997CEA" w:rsidRPr="00F119B9">
        <w:rPr>
          <w:rFonts w:ascii="Arial" w:hAnsi="Arial" w:cs="Arial"/>
          <w:bCs/>
          <w:sz w:val="20"/>
          <w:szCs w:val="20"/>
        </w:rPr>
        <w:t xml:space="preserve"> </w:t>
      </w:r>
      <w:r w:rsidR="00997CEA" w:rsidRPr="00805315">
        <w:rPr>
          <w:rFonts w:ascii="Arial" w:hAnsi="Arial" w:cs="Arial"/>
          <w:sz w:val="20"/>
          <w:szCs w:val="20"/>
        </w:rPr>
        <w:t xml:space="preserve">Crown Point </w:t>
      </w:r>
      <w:r w:rsidR="001A4EF4" w:rsidRPr="00805315">
        <w:rPr>
          <w:rFonts w:ascii="Arial" w:hAnsi="Arial" w:cs="Arial"/>
          <w:sz w:val="20"/>
          <w:szCs w:val="20"/>
        </w:rPr>
        <w:t>Energy Inc</w:t>
      </w:r>
      <w:r w:rsidR="00997CEA" w:rsidRPr="00805315">
        <w:rPr>
          <w:rFonts w:ascii="Arial" w:hAnsi="Arial" w:cs="Arial"/>
          <w:sz w:val="20"/>
          <w:szCs w:val="20"/>
        </w:rPr>
        <w:t xml:space="preserve">. </w:t>
      </w:r>
      <w:r w:rsidRPr="00805315">
        <w:rPr>
          <w:rFonts w:ascii="Arial" w:hAnsi="Arial" w:cs="Arial"/>
          <w:sz w:val="20"/>
          <w:szCs w:val="20"/>
        </w:rPr>
        <w:t xml:space="preserve">(TSX-V:CWV) </w:t>
      </w:r>
      <w:r w:rsidR="00997CEA" w:rsidRPr="00805315">
        <w:rPr>
          <w:rFonts w:ascii="Arial" w:hAnsi="Arial" w:cs="Arial"/>
          <w:sz w:val="20"/>
          <w:szCs w:val="20"/>
        </w:rPr>
        <w:t>(</w:t>
      </w:r>
      <w:r w:rsidR="00626BDC" w:rsidRPr="00805315">
        <w:rPr>
          <w:rFonts w:ascii="Arial" w:hAnsi="Arial" w:cs="Arial"/>
          <w:sz w:val="20"/>
          <w:szCs w:val="20"/>
        </w:rPr>
        <w:t>"</w:t>
      </w:r>
      <w:r w:rsidR="00997CEA" w:rsidRPr="00805315">
        <w:rPr>
          <w:rFonts w:ascii="Arial" w:hAnsi="Arial" w:cs="Arial"/>
          <w:b/>
          <w:sz w:val="20"/>
          <w:szCs w:val="20"/>
        </w:rPr>
        <w:t>Crown Point</w:t>
      </w:r>
      <w:r w:rsidR="00626BDC" w:rsidRPr="00805315">
        <w:rPr>
          <w:rFonts w:ascii="Arial" w:hAnsi="Arial" w:cs="Arial"/>
          <w:sz w:val="20"/>
          <w:szCs w:val="20"/>
        </w:rPr>
        <w:t>"</w:t>
      </w:r>
      <w:r w:rsidR="00997CEA" w:rsidRPr="00805315">
        <w:rPr>
          <w:rFonts w:ascii="Arial" w:hAnsi="Arial" w:cs="Arial"/>
          <w:sz w:val="20"/>
          <w:szCs w:val="20"/>
        </w:rPr>
        <w:t xml:space="preserve"> or the </w:t>
      </w:r>
      <w:r w:rsidR="00626BDC" w:rsidRPr="00805315">
        <w:rPr>
          <w:rFonts w:ascii="Arial" w:hAnsi="Arial" w:cs="Arial"/>
          <w:sz w:val="20"/>
          <w:szCs w:val="20"/>
        </w:rPr>
        <w:t>"</w:t>
      </w:r>
      <w:r w:rsidR="00997CEA" w:rsidRPr="00805315">
        <w:rPr>
          <w:rFonts w:ascii="Arial" w:hAnsi="Arial" w:cs="Arial"/>
          <w:b/>
          <w:sz w:val="20"/>
          <w:szCs w:val="20"/>
        </w:rPr>
        <w:t>Company</w:t>
      </w:r>
      <w:r w:rsidR="00626BDC" w:rsidRPr="00805315">
        <w:rPr>
          <w:rFonts w:ascii="Arial" w:hAnsi="Arial" w:cs="Arial"/>
          <w:sz w:val="20"/>
          <w:szCs w:val="20"/>
        </w:rPr>
        <w:t>"</w:t>
      </w:r>
      <w:r w:rsidR="00997CEA" w:rsidRPr="00805315">
        <w:rPr>
          <w:rFonts w:ascii="Arial" w:hAnsi="Arial" w:cs="Arial"/>
          <w:sz w:val="20"/>
          <w:szCs w:val="20"/>
        </w:rPr>
        <w:t xml:space="preserve">) </w:t>
      </w:r>
      <w:r w:rsidR="00626BDC" w:rsidRPr="00805315">
        <w:rPr>
          <w:rFonts w:ascii="Arial" w:hAnsi="Arial" w:cs="Arial"/>
          <w:color w:val="333333"/>
          <w:sz w:val="20"/>
          <w:szCs w:val="20"/>
        </w:rPr>
        <w:t>is pleased to announce</w:t>
      </w:r>
      <w:r w:rsidR="00F34804" w:rsidRPr="00805315">
        <w:rPr>
          <w:rFonts w:ascii="Arial" w:hAnsi="Arial" w:cs="Arial"/>
          <w:color w:val="333333"/>
          <w:sz w:val="20"/>
          <w:szCs w:val="20"/>
        </w:rPr>
        <w:t xml:space="preserve"> </w:t>
      </w:r>
      <w:r w:rsidR="00124069" w:rsidRPr="00805315">
        <w:rPr>
          <w:rFonts w:ascii="Arial" w:hAnsi="Arial" w:cs="Arial"/>
          <w:color w:val="333333"/>
          <w:sz w:val="20"/>
          <w:szCs w:val="20"/>
        </w:rPr>
        <w:t xml:space="preserve">that </w:t>
      </w:r>
      <w:r w:rsidR="009C37D6" w:rsidRPr="00805315">
        <w:rPr>
          <w:rFonts w:ascii="Arial" w:hAnsi="Arial" w:cs="Arial"/>
          <w:sz w:val="20"/>
          <w:szCs w:val="20"/>
          <w:lang w:eastAsia="es-AR"/>
        </w:rPr>
        <w:t xml:space="preserve">its wholly-owned subsidiary, Crown Point Energia S.A., </w:t>
      </w:r>
      <w:r w:rsidR="00124069" w:rsidRPr="00805315">
        <w:rPr>
          <w:rFonts w:ascii="Arial" w:hAnsi="Arial" w:cs="Arial"/>
          <w:sz w:val="20"/>
          <w:szCs w:val="20"/>
        </w:rPr>
        <w:t xml:space="preserve">has entered into </w:t>
      </w:r>
      <w:r w:rsidR="006404F4" w:rsidRPr="00805315">
        <w:rPr>
          <w:rFonts w:ascii="Arial" w:hAnsi="Arial" w:cs="Arial"/>
          <w:sz w:val="20"/>
          <w:szCs w:val="20"/>
        </w:rPr>
        <w:t>a</w:t>
      </w:r>
      <w:r w:rsidR="009C37D6" w:rsidRPr="00805315">
        <w:rPr>
          <w:rFonts w:ascii="Arial" w:hAnsi="Arial" w:cs="Arial"/>
          <w:sz w:val="20"/>
          <w:szCs w:val="20"/>
        </w:rPr>
        <w:t xml:space="preserve"> sale and purchase </w:t>
      </w:r>
      <w:r w:rsidR="00124069" w:rsidRPr="00805315">
        <w:rPr>
          <w:rFonts w:ascii="Arial" w:hAnsi="Arial" w:cs="Arial"/>
          <w:sz w:val="20"/>
          <w:szCs w:val="20"/>
        </w:rPr>
        <w:t>agreement (the “</w:t>
      </w:r>
      <w:r w:rsidR="00124069" w:rsidRPr="00805315">
        <w:rPr>
          <w:rFonts w:ascii="Arial" w:hAnsi="Arial" w:cs="Arial"/>
          <w:b/>
          <w:sz w:val="20"/>
          <w:szCs w:val="20"/>
        </w:rPr>
        <w:t>Agreement</w:t>
      </w:r>
      <w:r w:rsidR="00124069" w:rsidRPr="00805315">
        <w:rPr>
          <w:rFonts w:ascii="Arial" w:hAnsi="Arial" w:cs="Arial"/>
          <w:sz w:val="20"/>
          <w:szCs w:val="20"/>
        </w:rPr>
        <w:t xml:space="preserve">”) with </w:t>
      </w:r>
      <w:r w:rsidR="006404F4" w:rsidRPr="00805315">
        <w:rPr>
          <w:rFonts w:ascii="Arial" w:hAnsi="Arial" w:cs="Arial"/>
          <w:sz w:val="20"/>
          <w:szCs w:val="20"/>
        </w:rPr>
        <w:t>a</w:t>
      </w:r>
      <w:r w:rsidR="009C37D6" w:rsidRPr="00805315">
        <w:rPr>
          <w:rFonts w:ascii="Arial" w:hAnsi="Arial" w:cs="Arial"/>
          <w:sz w:val="20"/>
          <w:szCs w:val="20"/>
        </w:rPr>
        <w:t>n arm's length</w:t>
      </w:r>
      <w:r w:rsidR="006404F4" w:rsidRPr="00805315">
        <w:rPr>
          <w:rFonts w:ascii="Arial" w:hAnsi="Arial" w:cs="Arial"/>
          <w:sz w:val="20"/>
          <w:szCs w:val="20"/>
        </w:rPr>
        <w:t xml:space="preserve"> party</w:t>
      </w:r>
      <w:r w:rsidR="00124069" w:rsidRPr="00805315">
        <w:rPr>
          <w:rFonts w:ascii="Arial" w:hAnsi="Arial" w:cs="Arial"/>
          <w:sz w:val="20"/>
          <w:szCs w:val="20"/>
        </w:rPr>
        <w:t xml:space="preserve"> (the "</w:t>
      </w:r>
      <w:r w:rsidR="00006D15" w:rsidRPr="00805315">
        <w:rPr>
          <w:rFonts w:ascii="Arial" w:hAnsi="Arial" w:cs="Arial"/>
          <w:b/>
          <w:sz w:val="20"/>
          <w:szCs w:val="20"/>
        </w:rPr>
        <w:t>Seller</w:t>
      </w:r>
      <w:r w:rsidR="00124069" w:rsidRPr="00805315">
        <w:rPr>
          <w:rFonts w:ascii="Arial" w:hAnsi="Arial" w:cs="Arial"/>
          <w:sz w:val="20"/>
          <w:szCs w:val="20"/>
        </w:rPr>
        <w:t xml:space="preserve">") to acquire </w:t>
      </w:r>
      <w:r w:rsidR="00F96991" w:rsidRPr="00805315">
        <w:rPr>
          <w:rFonts w:ascii="Arial" w:hAnsi="Arial" w:cs="Arial"/>
          <w:sz w:val="20"/>
          <w:szCs w:val="20"/>
        </w:rPr>
        <w:t xml:space="preserve">the </w:t>
      </w:r>
      <w:r w:rsidR="00006D15" w:rsidRPr="00805315">
        <w:rPr>
          <w:rFonts w:ascii="Arial" w:hAnsi="Arial" w:cs="Arial"/>
          <w:sz w:val="20"/>
          <w:szCs w:val="20"/>
        </w:rPr>
        <w:t>Seller</w:t>
      </w:r>
      <w:r w:rsidR="006404F4" w:rsidRPr="00805315">
        <w:rPr>
          <w:rFonts w:ascii="Arial" w:hAnsi="Arial" w:cs="Arial"/>
          <w:sz w:val="20"/>
          <w:szCs w:val="20"/>
        </w:rPr>
        <w:t>'</w:t>
      </w:r>
      <w:r w:rsidR="00006D15" w:rsidRPr="00805315">
        <w:rPr>
          <w:rFonts w:ascii="Arial" w:hAnsi="Arial" w:cs="Arial"/>
          <w:sz w:val="20"/>
          <w:szCs w:val="20"/>
        </w:rPr>
        <w:t>s</w:t>
      </w:r>
      <w:r w:rsidR="00421188" w:rsidRPr="00805315">
        <w:rPr>
          <w:rFonts w:ascii="Arial" w:hAnsi="Arial" w:cs="Arial"/>
          <w:sz w:val="20"/>
          <w:szCs w:val="20"/>
        </w:rPr>
        <w:t xml:space="preserve"> </w:t>
      </w:r>
      <w:r w:rsidR="009C37D6" w:rsidRPr="00805315">
        <w:rPr>
          <w:rFonts w:ascii="Arial" w:hAnsi="Arial" w:cs="Arial"/>
          <w:sz w:val="20"/>
          <w:szCs w:val="20"/>
        </w:rPr>
        <w:t>16</w:t>
      </w:r>
      <w:r w:rsidR="006404F4" w:rsidRPr="00805315">
        <w:rPr>
          <w:rFonts w:ascii="Arial" w:hAnsi="Arial" w:cs="Arial"/>
          <w:sz w:val="20"/>
          <w:szCs w:val="20"/>
        </w:rPr>
        <w:t>.</w:t>
      </w:r>
      <w:r w:rsidR="009C37D6" w:rsidRPr="00805315">
        <w:rPr>
          <w:rFonts w:ascii="Arial" w:hAnsi="Arial" w:cs="Arial"/>
          <w:sz w:val="20"/>
          <w:szCs w:val="20"/>
        </w:rPr>
        <w:t>9972</w:t>
      </w:r>
      <w:r w:rsidR="006404F4" w:rsidRPr="00805315">
        <w:rPr>
          <w:rFonts w:ascii="Arial" w:hAnsi="Arial" w:cs="Arial"/>
          <w:sz w:val="20"/>
          <w:szCs w:val="20"/>
        </w:rPr>
        <w:t xml:space="preserve">% </w:t>
      </w:r>
      <w:r w:rsidR="009C37D6" w:rsidRPr="00805315">
        <w:rPr>
          <w:rFonts w:ascii="Arial" w:hAnsi="Arial" w:cs="Arial"/>
          <w:sz w:val="20"/>
          <w:szCs w:val="20"/>
        </w:rPr>
        <w:t xml:space="preserve">non-operating </w:t>
      </w:r>
      <w:r w:rsidR="006404F4" w:rsidRPr="00805315">
        <w:rPr>
          <w:rFonts w:ascii="Arial" w:hAnsi="Arial" w:cs="Arial"/>
          <w:sz w:val="20"/>
          <w:szCs w:val="20"/>
        </w:rPr>
        <w:t xml:space="preserve">participating interest </w:t>
      </w:r>
      <w:r w:rsidR="003572FC" w:rsidRPr="00805315">
        <w:rPr>
          <w:rFonts w:ascii="Arial" w:hAnsi="Arial" w:cs="Arial"/>
          <w:sz w:val="20"/>
          <w:szCs w:val="20"/>
        </w:rPr>
        <w:t>(the "</w:t>
      </w:r>
      <w:r w:rsidR="003572FC" w:rsidRPr="00805315">
        <w:rPr>
          <w:rFonts w:ascii="Arial" w:hAnsi="Arial" w:cs="Arial"/>
          <w:b/>
          <w:bCs/>
          <w:sz w:val="20"/>
          <w:szCs w:val="20"/>
        </w:rPr>
        <w:t>Acquired Assets</w:t>
      </w:r>
      <w:r w:rsidR="003572FC" w:rsidRPr="00805315">
        <w:rPr>
          <w:rFonts w:ascii="Arial" w:hAnsi="Arial" w:cs="Arial"/>
          <w:sz w:val="20"/>
          <w:szCs w:val="20"/>
        </w:rPr>
        <w:t xml:space="preserve">") </w:t>
      </w:r>
      <w:r w:rsidR="006404F4" w:rsidRPr="00805315">
        <w:rPr>
          <w:rFonts w:ascii="Arial" w:hAnsi="Arial" w:cs="Arial"/>
          <w:sz w:val="20"/>
          <w:szCs w:val="20"/>
        </w:rPr>
        <w:t xml:space="preserve">in the Rio Cullen, Las Violetas and La Angostura hydrocarbon exploitation concessions </w:t>
      </w:r>
      <w:r w:rsidR="009C37D6" w:rsidRPr="00805315">
        <w:rPr>
          <w:rFonts w:ascii="Arial" w:hAnsi="Arial" w:cs="Arial"/>
          <w:sz w:val="20"/>
          <w:szCs w:val="20"/>
        </w:rPr>
        <w:t>(the "</w:t>
      </w:r>
      <w:r w:rsidR="009C37D6" w:rsidRPr="00805315">
        <w:rPr>
          <w:rFonts w:ascii="Arial" w:hAnsi="Arial" w:cs="Arial"/>
          <w:b/>
          <w:sz w:val="20"/>
          <w:szCs w:val="20"/>
        </w:rPr>
        <w:t>TDF Concessions</w:t>
      </w:r>
      <w:r w:rsidR="009C37D6" w:rsidRPr="00805315">
        <w:rPr>
          <w:rFonts w:ascii="Arial" w:hAnsi="Arial" w:cs="Arial"/>
          <w:sz w:val="20"/>
          <w:szCs w:val="20"/>
        </w:rPr>
        <w:t xml:space="preserve">") </w:t>
      </w:r>
      <w:r w:rsidR="006404F4" w:rsidRPr="00805315">
        <w:rPr>
          <w:rFonts w:ascii="Arial" w:hAnsi="Arial" w:cs="Arial"/>
          <w:sz w:val="20"/>
          <w:szCs w:val="20"/>
        </w:rPr>
        <w:t xml:space="preserve">located in the Tierra del Fuego region of the Austral basin in southern Argentina </w:t>
      </w:r>
      <w:r w:rsidR="00F119B9" w:rsidRPr="00805315">
        <w:rPr>
          <w:rFonts w:ascii="Arial" w:hAnsi="Arial" w:cs="Arial"/>
          <w:sz w:val="20"/>
          <w:szCs w:val="20"/>
        </w:rPr>
        <w:t>(the "</w:t>
      </w:r>
      <w:r w:rsidR="00F119B9" w:rsidRPr="00805315">
        <w:rPr>
          <w:rFonts w:ascii="Arial" w:hAnsi="Arial" w:cs="Arial"/>
          <w:b/>
          <w:sz w:val="20"/>
          <w:szCs w:val="20"/>
        </w:rPr>
        <w:t>Acquisition</w:t>
      </w:r>
      <w:r w:rsidR="00F119B9" w:rsidRPr="00805315">
        <w:rPr>
          <w:rFonts w:ascii="Arial" w:hAnsi="Arial" w:cs="Arial"/>
          <w:sz w:val="20"/>
          <w:szCs w:val="20"/>
        </w:rPr>
        <w:t>")</w:t>
      </w:r>
      <w:r w:rsidR="006404F4" w:rsidRPr="00805315">
        <w:rPr>
          <w:rFonts w:ascii="Arial" w:hAnsi="Arial" w:cs="Arial"/>
          <w:sz w:val="20"/>
          <w:szCs w:val="20"/>
        </w:rPr>
        <w:t xml:space="preserve">.  Crown Point currently holds a </w:t>
      </w:r>
      <w:r w:rsidR="009C37D6" w:rsidRPr="00805315">
        <w:rPr>
          <w:rFonts w:ascii="Arial" w:hAnsi="Arial" w:cs="Arial"/>
          <w:sz w:val="20"/>
          <w:szCs w:val="20"/>
        </w:rPr>
        <w:t>34.7349</w:t>
      </w:r>
      <w:r w:rsidR="006404F4" w:rsidRPr="00805315">
        <w:rPr>
          <w:rFonts w:ascii="Arial" w:hAnsi="Arial" w:cs="Arial"/>
          <w:sz w:val="20"/>
          <w:szCs w:val="20"/>
        </w:rPr>
        <w:t xml:space="preserve">% </w:t>
      </w:r>
      <w:r w:rsidR="00023C28" w:rsidRPr="00805315">
        <w:rPr>
          <w:rFonts w:ascii="Arial" w:hAnsi="Arial" w:cs="Arial"/>
          <w:sz w:val="20"/>
          <w:szCs w:val="20"/>
        </w:rPr>
        <w:t xml:space="preserve">non-operating participating </w:t>
      </w:r>
      <w:r w:rsidR="006404F4" w:rsidRPr="00805315">
        <w:rPr>
          <w:rFonts w:ascii="Arial" w:hAnsi="Arial" w:cs="Arial"/>
          <w:sz w:val="20"/>
          <w:szCs w:val="20"/>
        </w:rPr>
        <w:t>interest in the TDF Concessions.</w:t>
      </w:r>
    </w:p>
    <w:p w14:paraId="7C296385" w14:textId="77777777" w:rsidR="00615315" w:rsidRPr="00805315" w:rsidRDefault="00615315" w:rsidP="008B5946">
      <w:pPr>
        <w:shd w:val="clear" w:color="auto" w:fill="FFFFFF"/>
        <w:jc w:val="both"/>
        <w:rPr>
          <w:rFonts w:ascii="Arial" w:hAnsi="Arial" w:cs="Arial"/>
          <w:sz w:val="20"/>
          <w:szCs w:val="20"/>
        </w:rPr>
      </w:pPr>
    </w:p>
    <w:p w14:paraId="63E7DA4B" w14:textId="4412B1D7" w:rsidR="00515769" w:rsidRPr="00805315" w:rsidRDefault="00DC1E6C" w:rsidP="008B5946">
      <w:pPr>
        <w:shd w:val="clear" w:color="auto" w:fill="FFFFFF"/>
        <w:jc w:val="both"/>
        <w:rPr>
          <w:rFonts w:ascii="Arial" w:hAnsi="Arial" w:cs="Arial"/>
          <w:sz w:val="20"/>
          <w:szCs w:val="20"/>
        </w:rPr>
      </w:pPr>
      <w:r w:rsidRPr="00805315">
        <w:rPr>
          <w:rFonts w:ascii="Arial" w:hAnsi="Arial" w:cs="Arial"/>
          <w:sz w:val="20"/>
          <w:szCs w:val="20"/>
        </w:rPr>
        <w:t xml:space="preserve">The three </w:t>
      </w:r>
      <w:r w:rsidR="00EA1C9E" w:rsidRPr="00805315">
        <w:rPr>
          <w:rFonts w:ascii="Arial" w:hAnsi="Arial" w:cs="Arial"/>
          <w:sz w:val="20"/>
          <w:szCs w:val="20"/>
        </w:rPr>
        <w:t>TDF C</w:t>
      </w:r>
      <w:r w:rsidRPr="00805315">
        <w:rPr>
          <w:rFonts w:ascii="Arial" w:hAnsi="Arial" w:cs="Arial"/>
          <w:sz w:val="20"/>
          <w:szCs w:val="20"/>
        </w:rPr>
        <w:t>oncessions</w:t>
      </w:r>
      <w:r w:rsidR="001F7857" w:rsidRPr="00805315">
        <w:rPr>
          <w:rFonts w:ascii="Arial" w:hAnsi="Arial" w:cs="Arial"/>
          <w:sz w:val="20"/>
          <w:szCs w:val="20"/>
        </w:rPr>
        <w:t xml:space="preserve">, comprising a total of </w:t>
      </w:r>
      <w:r w:rsidR="000A6968" w:rsidRPr="00805315">
        <w:rPr>
          <w:rFonts w:ascii="Arial" w:hAnsi="Arial" w:cs="Arial"/>
          <w:sz w:val="20"/>
          <w:szCs w:val="20"/>
        </w:rPr>
        <w:t>489,000</w:t>
      </w:r>
      <w:r w:rsidR="001F7857" w:rsidRPr="00805315">
        <w:rPr>
          <w:rFonts w:ascii="Arial" w:hAnsi="Arial" w:cs="Arial"/>
          <w:sz w:val="20"/>
          <w:szCs w:val="20"/>
        </w:rPr>
        <w:t xml:space="preserve"> </w:t>
      </w:r>
      <w:r w:rsidR="007819DF" w:rsidRPr="00805315">
        <w:rPr>
          <w:rFonts w:ascii="Arial" w:hAnsi="Arial" w:cs="Arial"/>
          <w:sz w:val="20"/>
          <w:szCs w:val="20"/>
        </w:rPr>
        <w:t xml:space="preserve">gross </w:t>
      </w:r>
      <w:r w:rsidR="001F7857" w:rsidRPr="00805315">
        <w:rPr>
          <w:rFonts w:ascii="Arial" w:hAnsi="Arial" w:cs="Arial"/>
          <w:sz w:val="20"/>
          <w:szCs w:val="20"/>
        </w:rPr>
        <w:t>acres,</w:t>
      </w:r>
      <w:r w:rsidRPr="00805315">
        <w:rPr>
          <w:rFonts w:ascii="Arial" w:hAnsi="Arial" w:cs="Arial"/>
          <w:sz w:val="20"/>
          <w:szCs w:val="20"/>
        </w:rPr>
        <w:t xml:space="preserve"> are entirely located within Argentine territory on the southern extension of the Austral basin on the island of Tierra del Fuego.</w:t>
      </w:r>
      <w:r w:rsidR="00F119B9">
        <w:rPr>
          <w:rFonts w:ascii="Arial" w:hAnsi="Arial" w:cs="Arial"/>
          <w:sz w:val="20"/>
          <w:szCs w:val="20"/>
        </w:rPr>
        <w:t xml:space="preserve">  </w:t>
      </w:r>
      <w:r w:rsidRPr="00805315">
        <w:rPr>
          <w:rFonts w:ascii="Arial" w:hAnsi="Arial" w:cs="Arial"/>
          <w:sz w:val="20"/>
          <w:szCs w:val="20"/>
        </w:rPr>
        <w:t xml:space="preserve">The assets are gas weighted and include Company owned infrastructure to gather, process and transport gas production to mainland and island markets. </w:t>
      </w:r>
      <w:r w:rsidR="001805FF" w:rsidRPr="00805315">
        <w:rPr>
          <w:rFonts w:ascii="Arial" w:hAnsi="Arial" w:cs="Arial"/>
          <w:sz w:val="20"/>
          <w:szCs w:val="20"/>
        </w:rPr>
        <w:t xml:space="preserve"> Additional d</w:t>
      </w:r>
      <w:r w:rsidR="00DC47C7" w:rsidRPr="00805315">
        <w:rPr>
          <w:rFonts w:ascii="Arial" w:hAnsi="Arial" w:cs="Arial"/>
          <w:sz w:val="20"/>
          <w:szCs w:val="20"/>
        </w:rPr>
        <w:t xml:space="preserve">etails regarding the TDF Concessions are contained in Crown Point's continuous disclosure documents, including its most recently filed </w:t>
      </w:r>
      <w:r w:rsidR="008B5946" w:rsidRPr="00805315">
        <w:rPr>
          <w:rFonts w:ascii="Arial" w:hAnsi="Arial" w:cs="Arial"/>
          <w:sz w:val="20"/>
          <w:szCs w:val="20"/>
        </w:rPr>
        <w:t xml:space="preserve">annual information form and Statement of Reserves Data and Other Oil and Gas Information, which </w:t>
      </w:r>
      <w:r w:rsidR="003E1C77" w:rsidRPr="00805315">
        <w:rPr>
          <w:rFonts w:ascii="Arial" w:hAnsi="Arial" w:cs="Arial"/>
          <w:sz w:val="20"/>
          <w:szCs w:val="20"/>
        </w:rPr>
        <w:t>can be accessed</w:t>
      </w:r>
      <w:r w:rsidR="00DC47C7" w:rsidRPr="00805315">
        <w:rPr>
          <w:rFonts w:ascii="Arial" w:hAnsi="Arial" w:cs="Arial"/>
          <w:sz w:val="20"/>
          <w:szCs w:val="20"/>
        </w:rPr>
        <w:t xml:space="preserve"> on the SEDAR</w:t>
      </w:r>
      <w:r w:rsidR="00E101A0" w:rsidRPr="00805315">
        <w:rPr>
          <w:rFonts w:ascii="Arial" w:hAnsi="Arial" w:cs="Arial"/>
          <w:sz w:val="20"/>
          <w:szCs w:val="20"/>
        </w:rPr>
        <w:t>+</w:t>
      </w:r>
      <w:r w:rsidR="00DC47C7" w:rsidRPr="00805315">
        <w:rPr>
          <w:rFonts w:ascii="Arial" w:hAnsi="Arial" w:cs="Arial"/>
          <w:sz w:val="20"/>
          <w:szCs w:val="20"/>
        </w:rPr>
        <w:t xml:space="preserve"> website (</w:t>
      </w:r>
      <w:hyperlink r:id="rId12" w:history="1">
        <w:r w:rsidR="00E101A0" w:rsidRPr="00805315">
          <w:rPr>
            <w:rStyle w:val="Hipervnculo"/>
            <w:rFonts w:ascii="Arial" w:hAnsi="Arial" w:cs="Arial"/>
            <w:sz w:val="20"/>
            <w:szCs w:val="20"/>
          </w:rPr>
          <w:t>www.sedarplus.ca</w:t>
        </w:r>
      </w:hyperlink>
      <w:r w:rsidR="00DC47C7" w:rsidRPr="00805315">
        <w:rPr>
          <w:rFonts w:ascii="Arial" w:hAnsi="Arial" w:cs="Arial"/>
          <w:sz w:val="20"/>
          <w:szCs w:val="20"/>
        </w:rPr>
        <w:t>) and on Crown Point's website (</w:t>
      </w:r>
      <w:hyperlink r:id="rId13" w:history="1">
        <w:r w:rsidR="00DC47C7" w:rsidRPr="00805315">
          <w:rPr>
            <w:rStyle w:val="Hipervnculo"/>
            <w:rFonts w:ascii="Arial" w:hAnsi="Arial" w:cs="Arial"/>
            <w:sz w:val="20"/>
            <w:szCs w:val="20"/>
          </w:rPr>
          <w:t>www.crownpointenergy.com</w:t>
        </w:r>
      </w:hyperlink>
      <w:r w:rsidR="008B5946" w:rsidRPr="00805315">
        <w:rPr>
          <w:rFonts w:ascii="Arial" w:hAnsi="Arial" w:cs="Arial"/>
          <w:sz w:val="20"/>
          <w:szCs w:val="20"/>
        </w:rPr>
        <w:t>).</w:t>
      </w:r>
    </w:p>
    <w:p w14:paraId="72E17DA0" w14:textId="77777777" w:rsidR="00E101A0" w:rsidRPr="00805315" w:rsidRDefault="00E101A0" w:rsidP="00E101A0">
      <w:pPr>
        <w:pStyle w:val="yiv2012610974msonormal"/>
        <w:keepNext/>
        <w:jc w:val="both"/>
        <w:rPr>
          <w:rFonts w:ascii="Arial" w:hAnsi="Arial" w:cs="Arial"/>
          <w:b/>
          <w:sz w:val="20"/>
          <w:szCs w:val="20"/>
        </w:rPr>
      </w:pPr>
      <w:r w:rsidRPr="00805315">
        <w:rPr>
          <w:rFonts w:ascii="Arial" w:hAnsi="Arial" w:cs="Arial"/>
          <w:b/>
          <w:sz w:val="20"/>
          <w:szCs w:val="20"/>
        </w:rPr>
        <w:t>Acquisition Highlights</w:t>
      </w:r>
    </w:p>
    <w:p w14:paraId="4F9D5B9C" w14:textId="0F55AFA1" w:rsidR="00E101A0" w:rsidRPr="00805315" w:rsidRDefault="006777C8" w:rsidP="00E101A0">
      <w:pPr>
        <w:pStyle w:val="yiv2012610974msonormal"/>
        <w:keepNext/>
        <w:jc w:val="both"/>
        <w:rPr>
          <w:rFonts w:ascii="Arial" w:hAnsi="Arial" w:cs="Arial"/>
          <w:sz w:val="20"/>
          <w:szCs w:val="20"/>
          <w:lang w:val="en-CA"/>
        </w:rPr>
      </w:pPr>
      <w:r>
        <w:rPr>
          <w:rFonts w:ascii="Arial" w:hAnsi="Arial" w:cs="Arial"/>
          <w:sz w:val="20"/>
          <w:szCs w:val="20"/>
        </w:rPr>
        <w:t xml:space="preserve">This </w:t>
      </w:r>
      <w:r w:rsidR="002244FD">
        <w:rPr>
          <w:rFonts w:ascii="Arial" w:hAnsi="Arial" w:cs="Arial"/>
          <w:sz w:val="20"/>
          <w:szCs w:val="20"/>
        </w:rPr>
        <w:t>A</w:t>
      </w:r>
      <w:r>
        <w:rPr>
          <w:rFonts w:ascii="Arial" w:hAnsi="Arial" w:cs="Arial"/>
          <w:sz w:val="20"/>
          <w:szCs w:val="20"/>
        </w:rPr>
        <w:t>cquisition will consolidate Crown Point</w:t>
      </w:r>
      <w:r w:rsidR="002244FD">
        <w:rPr>
          <w:rFonts w:ascii="Arial" w:hAnsi="Arial" w:cs="Arial"/>
          <w:sz w:val="20"/>
          <w:szCs w:val="20"/>
        </w:rPr>
        <w:t>'</w:t>
      </w:r>
      <w:r>
        <w:rPr>
          <w:rFonts w:ascii="Arial" w:hAnsi="Arial" w:cs="Arial"/>
          <w:sz w:val="20"/>
          <w:szCs w:val="20"/>
        </w:rPr>
        <w:t xml:space="preserve">s position in </w:t>
      </w:r>
      <w:r w:rsidR="002244FD">
        <w:rPr>
          <w:rFonts w:ascii="Arial" w:hAnsi="Arial" w:cs="Arial"/>
          <w:sz w:val="20"/>
          <w:szCs w:val="20"/>
        </w:rPr>
        <w:t xml:space="preserve">the </w:t>
      </w:r>
      <w:r>
        <w:rPr>
          <w:rFonts w:ascii="Arial" w:hAnsi="Arial" w:cs="Arial"/>
          <w:sz w:val="20"/>
          <w:szCs w:val="20"/>
        </w:rPr>
        <w:t xml:space="preserve">TDF </w:t>
      </w:r>
      <w:r w:rsidR="002244FD">
        <w:rPr>
          <w:rFonts w:ascii="Arial" w:hAnsi="Arial" w:cs="Arial"/>
          <w:sz w:val="20"/>
          <w:szCs w:val="20"/>
        </w:rPr>
        <w:t>C</w:t>
      </w:r>
      <w:r>
        <w:rPr>
          <w:rFonts w:ascii="Arial" w:hAnsi="Arial" w:cs="Arial"/>
          <w:sz w:val="20"/>
          <w:szCs w:val="20"/>
        </w:rPr>
        <w:t>oncession</w:t>
      </w:r>
      <w:r w:rsidR="002244FD">
        <w:rPr>
          <w:rFonts w:ascii="Arial" w:hAnsi="Arial" w:cs="Arial"/>
          <w:sz w:val="20"/>
          <w:szCs w:val="20"/>
        </w:rPr>
        <w:t>s</w:t>
      </w:r>
      <w:r>
        <w:rPr>
          <w:rFonts w:ascii="Arial" w:hAnsi="Arial" w:cs="Arial"/>
          <w:sz w:val="20"/>
          <w:szCs w:val="20"/>
        </w:rPr>
        <w:t>.</w:t>
      </w:r>
      <w:r w:rsidR="002244FD">
        <w:rPr>
          <w:rFonts w:ascii="Arial" w:hAnsi="Arial" w:cs="Arial"/>
          <w:sz w:val="20"/>
          <w:szCs w:val="20"/>
        </w:rPr>
        <w:t xml:space="preserve">  </w:t>
      </w:r>
      <w:r w:rsidR="00E101A0" w:rsidRPr="00805315">
        <w:rPr>
          <w:rFonts w:ascii="Arial" w:hAnsi="Arial" w:cs="Arial"/>
          <w:sz w:val="20"/>
          <w:szCs w:val="20"/>
        </w:rPr>
        <w:t xml:space="preserve">The following table sets out the production volumes, sales volumes, reserves and land holdings for the Seller and Crown Point </w:t>
      </w:r>
      <w:r w:rsidR="00EC7FAA">
        <w:rPr>
          <w:rFonts w:ascii="Arial" w:hAnsi="Arial" w:cs="Arial"/>
          <w:sz w:val="20"/>
          <w:szCs w:val="20"/>
        </w:rPr>
        <w:t>in respect of</w:t>
      </w:r>
      <w:r w:rsidR="00E101A0" w:rsidRPr="00805315">
        <w:rPr>
          <w:rFonts w:ascii="Arial" w:hAnsi="Arial" w:cs="Arial"/>
          <w:sz w:val="20"/>
          <w:szCs w:val="20"/>
        </w:rPr>
        <w:t xml:space="preserve"> the TDF Concessions, on a stand-alone basis and on a pro forma basis: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520"/>
        <w:gridCol w:w="1523"/>
        <w:gridCol w:w="1262"/>
      </w:tblGrid>
      <w:tr w:rsidR="00E101A0" w:rsidRPr="00805315" w14:paraId="5CF88E47" w14:textId="77777777" w:rsidTr="00EC7FAA">
        <w:tc>
          <w:tcPr>
            <w:tcW w:w="4045" w:type="dxa"/>
          </w:tcPr>
          <w:p w14:paraId="62D04C82" w14:textId="4801CE28" w:rsidR="00E101A0" w:rsidRPr="00805315" w:rsidRDefault="00D94BAC" w:rsidP="007764B0">
            <w:pPr>
              <w:pStyle w:val="yiv2012610974msonormal"/>
              <w:jc w:val="both"/>
              <w:rPr>
                <w:rFonts w:ascii="Arial" w:hAnsi="Arial" w:cs="Arial"/>
                <w:b/>
                <w:bCs/>
                <w:sz w:val="20"/>
                <w:szCs w:val="20"/>
                <w:lang w:val="en-CA"/>
              </w:rPr>
            </w:pPr>
            <w:r w:rsidRPr="00805315">
              <w:rPr>
                <w:rFonts w:ascii="Arial" w:hAnsi="Arial" w:cs="Arial"/>
                <w:b/>
                <w:bCs/>
                <w:sz w:val="20"/>
                <w:szCs w:val="20"/>
                <w:lang w:val="en-CA"/>
              </w:rPr>
              <w:t>TDF Concessions</w:t>
            </w:r>
          </w:p>
        </w:tc>
        <w:tc>
          <w:tcPr>
            <w:tcW w:w="2520" w:type="dxa"/>
          </w:tcPr>
          <w:p w14:paraId="6C13F316" w14:textId="7A9BF425" w:rsidR="00E101A0" w:rsidRPr="00805315" w:rsidRDefault="00E101A0" w:rsidP="007764B0">
            <w:pPr>
              <w:pStyle w:val="yiv2012610974msonormal"/>
              <w:jc w:val="both"/>
              <w:rPr>
                <w:rFonts w:ascii="Arial" w:hAnsi="Arial" w:cs="Arial"/>
                <w:b/>
                <w:bCs/>
                <w:sz w:val="20"/>
                <w:szCs w:val="20"/>
                <w:lang w:val="en-CA"/>
              </w:rPr>
            </w:pPr>
            <w:r w:rsidRPr="00805315">
              <w:rPr>
                <w:rFonts w:ascii="Arial" w:hAnsi="Arial" w:cs="Arial"/>
                <w:b/>
                <w:bCs/>
                <w:sz w:val="20"/>
                <w:szCs w:val="20"/>
                <w:lang w:val="en-CA"/>
              </w:rPr>
              <w:t>Seller</w:t>
            </w:r>
          </w:p>
        </w:tc>
        <w:tc>
          <w:tcPr>
            <w:tcW w:w="1523" w:type="dxa"/>
          </w:tcPr>
          <w:p w14:paraId="5461875B" w14:textId="77777777" w:rsidR="00E101A0" w:rsidRPr="00805315" w:rsidRDefault="00E101A0" w:rsidP="007764B0">
            <w:pPr>
              <w:pStyle w:val="yiv2012610974msonormal"/>
              <w:jc w:val="both"/>
              <w:rPr>
                <w:rFonts w:ascii="Arial" w:hAnsi="Arial" w:cs="Arial"/>
                <w:b/>
                <w:bCs/>
                <w:sz w:val="20"/>
                <w:szCs w:val="20"/>
                <w:lang w:val="en-CA"/>
              </w:rPr>
            </w:pPr>
            <w:r w:rsidRPr="00805315">
              <w:rPr>
                <w:rFonts w:ascii="Arial" w:hAnsi="Arial" w:cs="Arial"/>
                <w:b/>
                <w:bCs/>
                <w:sz w:val="20"/>
                <w:szCs w:val="20"/>
                <w:lang w:val="en-CA"/>
              </w:rPr>
              <w:t>Crown Point</w:t>
            </w:r>
          </w:p>
        </w:tc>
        <w:tc>
          <w:tcPr>
            <w:tcW w:w="1262" w:type="dxa"/>
          </w:tcPr>
          <w:p w14:paraId="3C928B58" w14:textId="77777777" w:rsidR="00E101A0" w:rsidRPr="00805315" w:rsidRDefault="00E101A0" w:rsidP="007764B0">
            <w:pPr>
              <w:pStyle w:val="yiv2012610974msonormal"/>
              <w:jc w:val="both"/>
              <w:rPr>
                <w:rFonts w:ascii="Arial" w:hAnsi="Arial" w:cs="Arial"/>
                <w:b/>
                <w:bCs/>
                <w:sz w:val="20"/>
                <w:szCs w:val="20"/>
                <w:lang w:val="en-CA"/>
              </w:rPr>
            </w:pPr>
            <w:r w:rsidRPr="00805315">
              <w:rPr>
                <w:rFonts w:ascii="Arial" w:hAnsi="Arial" w:cs="Arial"/>
                <w:b/>
                <w:bCs/>
                <w:sz w:val="20"/>
                <w:szCs w:val="20"/>
                <w:lang w:val="en-CA"/>
              </w:rPr>
              <w:t>Pro Forma</w:t>
            </w:r>
          </w:p>
        </w:tc>
      </w:tr>
      <w:tr w:rsidR="00E101A0" w:rsidRPr="00805315" w14:paraId="24C5B4D0" w14:textId="77777777" w:rsidTr="00EC7FAA">
        <w:tc>
          <w:tcPr>
            <w:tcW w:w="4045" w:type="dxa"/>
          </w:tcPr>
          <w:p w14:paraId="4677156E" w14:textId="77777777" w:rsidR="00E101A0" w:rsidRPr="00805315" w:rsidRDefault="00E101A0" w:rsidP="007764B0">
            <w:pPr>
              <w:pStyle w:val="yiv2012610974msonormal"/>
              <w:jc w:val="both"/>
              <w:rPr>
                <w:rFonts w:ascii="Arial" w:hAnsi="Arial" w:cs="Arial"/>
                <w:sz w:val="20"/>
                <w:szCs w:val="20"/>
                <w:lang w:val="en-CA"/>
              </w:rPr>
            </w:pPr>
          </w:p>
        </w:tc>
        <w:tc>
          <w:tcPr>
            <w:tcW w:w="2520" w:type="dxa"/>
          </w:tcPr>
          <w:p w14:paraId="617DFC6B"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39497E72"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5384B2A1" w14:textId="77777777" w:rsidR="00E101A0" w:rsidRPr="00805315" w:rsidRDefault="00E101A0" w:rsidP="007764B0">
            <w:pPr>
              <w:pStyle w:val="yiv2012610974msonormal"/>
              <w:jc w:val="both"/>
              <w:rPr>
                <w:rFonts w:ascii="Arial" w:hAnsi="Arial" w:cs="Arial"/>
                <w:sz w:val="20"/>
                <w:szCs w:val="20"/>
                <w:lang w:val="en-CA"/>
              </w:rPr>
            </w:pPr>
          </w:p>
        </w:tc>
      </w:tr>
      <w:tr w:rsidR="00E101A0" w:rsidRPr="00805315" w14:paraId="49FC4630" w14:textId="77777777" w:rsidTr="00EC7FAA">
        <w:tc>
          <w:tcPr>
            <w:tcW w:w="4045" w:type="dxa"/>
          </w:tcPr>
          <w:p w14:paraId="4FB65FBC" w14:textId="4015DC02" w:rsidR="00E101A0" w:rsidRPr="00805315" w:rsidRDefault="00D94BAC" w:rsidP="007764B0">
            <w:pPr>
              <w:pStyle w:val="yiv2012610974msonormal"/>
              <w:jc w:val="both"/>
              <w:rPr>
                <w:rFonts w:ascii="Arial" w:hAnsi="Arial" w:cs="Arial"/>
                <w:sz w:val="20"/>
                <w:szCs w:val="20"/>
                <w:lang w:val="en-CA"/>
              </w:rPr>
            </w:pPr>
            <w:r w:rsidRPr="00805315">
              <w:rPr>
                <w:rFonts w:ascii="Arial" w:hAnsi="Arial" w:cs="Arial"/>
                <w:sz w:val="20"/>
                <w:szCs w:val="20"/>
                <w:lang w:val="en-CA"/>
              </w:rPr>
              <w:t xml:space="preserve">Participating </w:t>
            </w:r>
            <w:r w:rsidR="00E101A0" w:rsidRPr="00805315">
              <w:rPr>
                <w:rFonts w:ascii="Arial" w:hAnsi="Arial" w:cs="Arial"/>
                <w:sz w:val="20"/>
                <w:szCs w:val="20"/>
                <w:lang w:val="en-CA"/>
              </w:rPr>
              <w:t>Interest</w:t>
            </w:r>
          </w:p>
        </w:tc>
        <w:tc>
          <w:tcPr>
            <w:tcW w:w="2520" w:type="dxa"/>
          </w:tcPr>
          <w:p w14:paraId="228396C6" w14:textId="3EEB17CB" w:rsidR="00E101A0" w:rsidRPr="00805315" w:rsidRDefault="00D94BAC" w:rsidP="007764B0">
            <w:pPr>
              <w:pStyle w:val="yiv2012610974msonormal"/>
              <w:jc w:val="both"/>
              <w:rPr>
                <w:rFonts w:ascii="Arial" w:hAnsi="Arial" w:cs="Arial"/>
                <w:sz w:val="20"/>
                <w:szCs w:val="20"/>
                <w:lang w:val="en-CA"/>
              </w:rPr>
            </w:pPr>
            <w:r w:rsidRPr="00805315">
              <w:rPr>
                <w:rFonts w:ascii="Arial" w:hAnsi="Arial" w:cs="Arial"/>
                <w:sz w:val="20"/>
                <w:szCs w:val="20"/>
              </w:rPr>
              <w:t>16.9972%</w:t>
            </w:r>
          </w:p>
        </w:tc>
        <w:tc>
          <w:tcPr>
            <w:tcW w:w="1523" w:type="dxa"/>
          </w:tcPr>
          <w:p w14:paraId="2D3BFDDA" w14:textId="6B0C9EC0" w:rsidR="00E101A0" w:rsidRPr="00805315" w:rsidRDefault="00D94BAC" w:rsidP="007764B0">
            <w:pPr>
              <w:pStyle w:val="yiv2012610974msonormal"/>
              <w:jc w:val="both"/>
              <w:rPr>
                <w:rFonts w:ascii="Arial" w:hAnsi="Arial" w:cs="Arial"/>
                <w:sz w:val="20"/>
                <w:szCs w:val="20"/>
                <w:lang w:val="en-CA"/>
              </w:rPr>
            </w:pPr>
            <w:r w:rsidRPr="00805315">
              <w:rPr>
                <w:rFonts w:ascii="Arial" w:hAnsi="Arial" w:cs="Arial"/>
                <w:sz w:val="20"/>
                <w:szCs w:val="20"/>
              </w:rPr>
              <w:t>34.7349%</w:t>
            </w:r>
          </w:p>
        </w:tc>
        <w:tc>
          <w:tcPr>
            <w:tcW w:w="1262" w:type="dxa"/>
          </w:tcPr>
          <w:p w14:paraId="71865874" w14:textId="0864A63C" w:rsidR="00E101A0" w:rsidRPr="00805315" w:rsidRDefault="00E101A0" w:rsidP="007764B0">
            <w:pPr>
              <w:pStyle w:val="yiv2012610974msonormal"/>
              <w:jc w:val="both"/>
              <w:rPr>
                <w:rFonts w:ascii="Arial" w:hAnsi="Arial" w:cs="Arial"/>
                <w:sz w:val="20"/>
                <w:szCs w:val="20"/>
                <w:lang w:val="en-CA"/>
              </w:rPr>
            </w:pPr>
            <w:r w:rsidRPr="00805315">
              <w:rPr>
                <w:rFonts w:ascii="Arial" w:hAnsi="Arial" w:cs="Arial"/>
                <w:sz w:val="20"/>
                <w:szCs w:val="20"/>
                <w:lang w:val="en-CA"/>
              </w:rPr>
              <w:t>51.</w:t>
            </w:r>
            <w:r w:rsidR="00D94BAC" w:rsidRPr="00805315">
              <w:rPr>
                <w:rFonts w:ascii="Arial" w:hAnsi="Arial" w:cs="Arial"/>
                <w:sz w:val="20"/>
                <w:szCs w:val="20"/>
                <w:lang w:val="en-CA"/>
              </w:rPr>
              <w:t>7321</w:t>
            </w:r>
            <w:r w:rsidRPr="00805315">
              <w:rPr>
                <w:rFonts w:ascii="Arial" w:hAnsi="Arial" w:cs="Arial"/>
                <w:sz w:val="20"/>
                <w:szCs w:val="20"/>
                <w:lang w:val="en-CA"/>
              </w:rPr>
              <w:t>%</w:t>
            </w:r>
          </w:p>
        </w:tc>
      </w:tr>
      <w:tr w:rsidR="00E101A0" w:rsidRPr="00805315" w14:paraId="44814D08" w14:textId="77777777" w:rsidTr="00EC7FAA">
        <w:tc>
          <w:tcPr>
            <w:tcW w:w="4045" w:type="dxa"/>
          </w:tcPr>
          <w:p w14:paraId="6E1D7694" w14:textId="77777777" w:rsidR="00E101A0" w:rsidRPr="00805315" w:rsidRDefault="00E101A0" w:rsidP="007764B0">
            <w:pPr>
              <w:pStyle w:val="yiv2012610974msonormal"/>
              <w:jc w:val="both"/>
              <w:rPr>
                <w:rFonts w:ascii="Arial" w:hAnsi="Arial" w:cs="Arial"/>
                <w:sz w:val="20"/>
                <w:szCs w:val="20"/>
                <w:lang w:val="en-CA"/>
              </w:rPr>
            </w:pPr>
          </w:p>
        </w:tc>
        <w:tc>
          <w:tcPr>
            <w:tcW w:w="2520" w:type="dxa"/>
          </w:tcPr>
          <w:p w14:paraId="7B5AEF1E"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6A944CB4"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564F8A81" w14:textId="77777777" w:rsidR="00E101A0" w:rsidRPr="00805315" w:rsidRDefault="00E101A0" w:rsidP="007764B0">
            <w:pPr>
              <w:pStyle w:val="yiv2012610974msonormal"/>
              <w:jc w:val="both"/>
              <w:rPr>
                <w:rFonts w:ascii="Arial" w:hAnsi="Arial" w:cs="Arial"/>
                <w:sz w:val="20"/>
                <w:szCs w:val="20"/>
                <w:lang w:val="en-CA"/>
              </w:rPr>
            </w:pPr>
          </w:p>
        </w:tc>
      </w:tr>
      <w:tr w:rsidR="00E101A0" w:rsidRPr="00805315" w14:paraId="731D0D3A" w14:textId="77777777" w:rsidTr="00EC7FAA">
        <w:tc>
          <w:tcPr>
            <w:tcW w:w="4045" w:type="dxa"/>
          </w:tcPr>
          <w:p w14:paraId="2F750167" w14:textId="6AB38A73" w:rsidR="00E101A0" w:rsidRPr="00805315" w:rsidRDefault="00E101A0" w:rsidP="007764B0">
            <w:pPr>
              <w:pStyle w:val="yiv2012610974msonormal"/>
              <w:jc w:val="both"/>
              <w:rPr>
                <w:rFonts w:ascii="Arial" w:hAnsi="Arial" w:cs="Arial"/>
                <w:sz w:val="20"/>
                <w:szCs w:val="20"/>
                <w:lang w:val="en-CA"/>
              </w:rPr>
            </w:pPr>
            <w:r w:rsidRPr="00805315">
              <w:rPr>
                <w:rFonts w:ascii="Arial" w:hAnsi="Arial" w:cs="Arial"/>
                <w:sz w:val="20"/>
                <w:szCs w:val="20"/>
              </w:rPr>
              <w:t>Production (</w:t>
            </w:r>
            <w:r w:rsidR="00D94BAC" w:rsidRPr="006777C8">
              <w:rPr>
                <w:rFonts w:ascii="Arial" w:hAnsi="Arial" w:cs="Arial"/>
                <w:sz w:val="20"/>
                <w:szCs w:val="20"/>
              </w:rPr>
              <w:t>Q</w:t>
            </w:r>
            <w:r w:rsidR="007D2348">
              <w:rPr>
                <w:rFonts w:ascii="Arial" w:hAnsi="Arial" w:cs="Arial"/>
                <w:sz w:val="20"/>
                <w:szCs w:val="20"/>
              </w:rPr>
              <w:t>2</w:t>
            </w:r>
            <w:r w:rsidRPr="00805315">
              <w:rPr>
                <w:rFonts w:ascii="Arial" w:hAnsi="Arial" w:cs="Arial"/>
                <w:sz w:val="20"/>
                <w:szCs w:val="20"/>
              </w:rPr>
              <w:t xml:space="preserve"> 2024</w:t>
            </w:r>
            <w:r w:rsidRPr="00805315">
              <w:rPr>
                <w:rFonts w:ascii="Arial" w:hAnsi="Arial" w:cs="Arial"/>
                <w:sz w:val="20"/>
                <w:szCs w:val="20"/>
                <w:vertAlign w:val="superscript"/>
              </w:rPr>
              <w:t>(1)</w:t>
            </w:r>
            <w:r w:rsidRPr="00805315">
              <w:rPr>
                <w:rFonts w:ascii="Arial" w:hAnsi="Arial" w:cs="Arial"/>
                <w:sz w:val="20"/>
                <w:szCs w:val="20"/>
              </w:rPr>
              <w:t xml:space="preserve">) (boe/d) </w:t>
            </w:r>
          </w:p>
        </w:tc>
        <w:tc>
          <w:tcPr>
            <w:tcW w:w="2520" w:type="dxa"/>
          </w:tcPr>
          <w:p w14:paraId="36C3898F" w14:textId="04D33C6A" w:rsidR="00E101A0" w:rsidRPr="00805315" w:rsidRDefault="007D2348" w:rsidP="007764B0">
            <w:pPr>
              <w:pStyle w:val="yiv2012610974msonormal"/>
              <w:jc w:val="both"/>
              <w:rPr>
                <w:rFonts w:ascii="Arial" w:hAnsi="Arial" w:cs="Arial"/>
                <w:sz w:val="20"/>
                <w:szCs w:val="20"/>
                <w:lang w:val="en-CA"/>
              </w:rPr>
            </w:pPr>
            <w:r>
              <w:rPr>
                <w:rFonts w:ascii="Arial" w:hAnsi="Arial" w:cs="Arial"/>
                <w:sz w:val="20"/>
                <w:szCs w:val="20"/>
                <w:lang w:val="en-CA"/>
              </w:rPr>
              <w:t>353</w:t>
            </w:r>
          </w:p>
        </w:tc>
        <w:tc>
          <w:tcPr>
            <w:tcW w:w="1523" w:type="dxa"/>
          </w:tcPr>
          <w:p w14:paraId="0681152F" w14:textId="363756EF" w:rsidR="00E101A0" w:rsidRPr="00805315" w:rsidRDefault="007D2348" w:rsidP="007764B0">
            <w:pPr>
              <w:pStyle w:val="yiv2012610974msonormal"/>
              <w:jc w:val="both"/>
              <w:rPr>
                <w:rFonts w:ascii="Arial" w:hAnsi="Arial" w:cs="Arial"/>
                <w:sz w:val="20"/>
                <w:szCs w:val="20"/>
                <w:lang w:val="en-CA"/>
              </w:rPr>
            </w:pPr>
            <w:r>
              <w:rPr>
                <w:rFonts w:ascii="Arial" w:hAnsi="Arial" w:cs="Arial"/>
                <w:sz w:val="20"/>
                <w:szCs w:val="20"/>
                <w:lang w:val="en-CA"/>
              </w:rPr>
              <w:t>721</w:t>
            </w:r>
          </w:p>
        </w:tc>
        <w:tc>
          <w:tcPr>
            <w:tcW w:w="1262" w:type="dxa"/>
          </w:tcPr>
          <w:p w14:paraId="21166493" w14:textId="471B204E" w:rsidR="00E101A0" w:rsidRPr="00805315" w:rsidRDefault="007D2348" w:rsidP="007764B0">
            <w:pPr>
              <w:pStyle w:val="yiv2012610974msonormal"/>
              <w:jc w:val="both"/>
              <w:rPr>
                <w:rFonts w:ascii="Arial" w:hAnsi="Arial" w:cs="Arial"/>
                <w:sz w:val="20"/>
                <w:szCs w:val="20"/>
                <w:lang w:val="en-CA"/>
              </w:rPr>
            </w:pPr>
            <w:r>
              <w:rPr>
                <w:rFonts w:ascii="Arial" w:hAnsi="Arial" w:cs="Arial"/>
                <w:sz w:val="20"/>
                <w:szCs w:val="20"/>
                <w:lang w:val="en-CA"/>
              </w:rPr>
              <w:t>1,074</w:t>
            </w:r>
          </w:p>
        </w:tc>
      </w:tr>
      <w:tr w:rsidR="00E101A0" w:rsidRPr="00805315" w14:paraId="4B54375D" w14:textId="77777777" w:rsidTr="00EC7FAA">
        <w:tc>
          <w:tcPr>
            <w:tcW w:w="4045" w:type="dxa"/>
          </w:tcPr>
          <w:p w14:paraId="3C916241" w14:textId="77777777" w:rsidR="00E101A0" w:rsidRPr="00805315" w:rsidRDefault="00E101A0" w:rsidP="007764B0">
            <w:pPr>
              <w:pStyle w:val="yiv2012610974msonormal"/>
              <w:jc w:val="both"/>
              <w:rPr>
                <w:rFonts w:ascii="Arial" w:hAnsi="Arial" w:cs="Arial"/>
                <w:sz w:val="20"/>
                <w:szCs w:val="20"/>
              </w:rPr>
            </w:pPr>
          </w:p>
        </w:tc>
        <w:tc>
          <w:tcPr>
            <w:tcW w:w="2520" w:type="dxa"/>
          </w:tcPr>
          <w:p w14:paraId="30733EF1"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50426988"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1ED77946" w14:textId="77777777" w:rsidR="00E101A0" w:rsidRPr="00805315" w:rsidRDefault="00E101A0" w:rsidP="007764B0">
            <w:pPr>
              <w:pStyle w:val="yiv2012610974msonormal"/>
              <w:jc w:val="both"/>
              <w:rPr>
                <w:rFonts w:ascii="Arial" w:hAnsi="Arial" w:cs="Arial"/>
                <w:sz w:val="20"/>
                <w:szCs w:val="20"/>
                <w:lang w:val="en-CA"/>
              </w:rPr>
            </w:pPr>
          </w:p>
        </w:tc>
      </w:tr>
      <w:tr w:rsidR="00D94BAC" w:rsidRPr="00805315" w14:paraId="536925C4" w14:textId="77777777" w:rsidTr="00EC7FAA">
        <w:tc>
          <w:tcPr>
            <w:tcW w:w="4045" w:type="dxa"/>
          </w:tcPr>
          <w:p w14:paraId="78DCC8D1" w14:textId="76B3344A" w:rsidR="00D94BAC" w:rsidRPr="00805315" w:rsidRDefault="00D94BAC" w:rsidP="00D94BAC">
            <w:pPr>
              <w:pStyle w:val="yiv2012610974msonormal"/>
              <w:jc w:val="both"/>
              <w:rPr>
                <w:rFonts w:ascii="Arial" w:hAnsi="Arial" w:cs="Arial"/>
                <w:sz w:val="20"/>
                <w:szCs w:val="20"/>
              </w:rPr>
            </w:pPr>
            <w:r w:rsidRPr="00805315">
              <w:rPr>
                <w:rFonts w:ascii="Arial" w:hAnsi="Arial" w:cs="Arial"/>
                <w:sz w:val="20"/>
                <w:szCs w:val="20"/>
              </w:rPr>
              <w:t>Sales (</w:t>
            </w:r>
            <w:r w:rsidRPr="006777C8">
              <w:rPr>
                <w:rFonts w:ascii="Arial" w:hAnsi="Arial" w:cs="Arial"/>
                <w:sz w:val="20"/>
                <w:szCs w:val="20"/>
              </w:rPr>
              <w:t>Q</w:t>
            </w:r>
            <w:r w:rsidR="007D2348">
              <w:rPr>
                <w:rFonts w:ascii="Arial" w:hAnsi="Arial" w:cs="Arial"/>
                <w:sz w:val="20"/>
                <w:szCs w:val="20"/>
              </w:rPr>
              <w:t>2</w:t>
            </w:r>
            <w:r w:rsidR="00095C6E">
              <w:rPr>
                <w:rFonts w:ascii="Arial" w:hAnsi="Arial" w:cs="Arial"/>
                <w:sz w:val="20"/>
                <w:szCs w:val="20"/>
              </w:rPr>
              <w:t xml:space="preserve"> </w:t>
            </w:r>
            <w:r w:rsidRPr="00805315">
              <w:rPr>
                <w:rFonts w:ascii="Arial" w:hAnsi="Arial" w:cs="Arial"/>
                <w:sz w:val="20"/>
                <w:szCs w:val="20"/>
              </w:rPr>
              <w:t>2024</w:t>
            </w:r>
            <w:r w:rsidRPr="00805315">
              <w:rPr>
                <w:rFonts w:ascii="Arial" w:hAnsi="Arial" w:cs="Arial"/>
                <w:sz w:val="20"/>
                <w:szCs w:val="20"/>
                <w:vertAlign w:val="superscript"/>
              </w:rPr>
              <w:t>(2)</w:t>
            </w:r>
            <w:r w:rsidRPr="00805315">
              <w:rPr>
                <w:rFonts w:ascii="Arial" w:hAnsi="Arial" w:cs="Arial"/>
                <w:sz w:val="20"/>
                <w:szCs w:val="20"/>
              </w:rPr>
              <w:t>) (boe/d)</w:t>
            </w:r>
          </w:p>
        </w:tc>
        <w:tc>
          <w:tcPr>
            <w:tcW w:w="2520" w:type="dxa"/>
          </w:tcPr>
          <w:p w14:paraId="4910F88E" w14:textId="1FA2D0CA" w:rsidR="00D94BAC" w:rsidRPr="00805315" w:rsidRDefault="005326A4" w:rsidP="00D94BAC">
            <w:pPr>
              <w:pStyle w:val="yiv2012610974msonormal"/>
              <w:jc w:val="both"/>
              <w:rPr>
                <w:rFonts w:ascii="Arial" w:hAnsi="Arial" w:cs="Arial"/>
                <w:sz w:val="20"/>
                <w:szCs w:val="20"/>
                <w:lang w:val="en-CA"/>
              </w:rPr>
            </w:pPr>
            <w:r>
              <w:rPr>
                <w:rFonts w:ascii="Arial" w:hAnsi="Arial" w:cs="Arial"/>
                <w:sz w:val="20"/>
                <w:szCs w:val="20"/>
                <w:lang w:val="en-CA"/>
              </w:rPr>
              <w:t>398</w:t>
            </w:r>
          </w:p>
        </w:tc>
        <w:tc>
          <w:tcPr>
            <w:tcW w:w="1523" w:type="dxa"/>
          </w:tcPr>
          <w:p w14:paraId="2B1C3887" w14:textId="4E58BA85" w:rsidR="00D94BAC" w:rsidRPr="00805315" w:rsidRDefault="007D2348" w:rsidP="00D94BAC">
            <w:pPr>
              <w:pStyle w:val="yiv2012610974msonormal"/>
              <w:jc w:val="both"/>
              <w:rPr>
                <w:rFonts w:ascii="Arial" w:hAnsi="Arial" w:cs="Arial"/>
                <w:sz w:val="20"/>
                <w:szCs w:val="20"/>
                <w:lang w:val="en-CA"/>
              </w:rPr>
            </w:pPr>
            <w:r>
              <w:rPr>
                <w:rFonts w:ascii="Arial" w:hAnsi="Arial" w:cs="Arial"/>
                <w:sz w:val="20"/>
                <w:szCs w:val="20"/>
                <w:lang w:val="en-CA"/>
              </w:rPr>
              <w:t>813</w:t>
            </w:r>
          </w:p>
        </w:tc>
        <w:tc>
          <w:tcPr>
            <w:tcW w:w="1262" w:type="dxa"/>
          </w:tcPr>
          <w:p w14:paraId="74B15DD2" w14:textId="1FC9D525" w:rsidR="00D94BAC" w:rsidRPr="00805315" w:rsidRDefault="005326A4" w:rsidP="00D94BAC">
            <w:pPr>
              <w:pStyle w:val="yiv2012610974msonormal"/>
              <w:jc w:val="both"/>
              <w:rPr>
                <w:rFonts w:ascii="Arial" w:hAnsi="Arial" w:cs="Arial"/>
                <w:sz w:val="20"/>
                <w:szCs w:val="20"/>
                <w:lang w:val="en-CA"/>
              </w:rPr>
            </w:pPr>
            <w:r>
              <w:rPr>
                <w:rFonts w:ascii="Arial" w:hAnsi="Arial" w:cs="Arial"/>
                <w:sz w:val="20"/>
                <w:szCs w:val="20"/>
                <w:lang w:val="en-CA"/>
              </w:rPr>
              <w:t>1,</w:t>
            </w:r>
            <w:r w:rsidR="007D2348">
              <w:rPr>
                <w:rFonts w:ascii="Arial" w:hAnsi="Arial" w:cs="Arial"/>
                <w:sz w:val="20"/>
                <w:szCs w:val="20"/>
                <w:lang w:val="en-CA"/>
              </w:rPr>
              <w:t>211</w:t>
            </w:r>
          </w:p>
        </w:tc>
      </w:tr>
      <w:tr w:rsidR="00E101A0" w:rsidRPr="00805315" w14:paraId="46612282" w14:textId="77777777" w:rsidTr="00EC7FAA">
        <w:tc>
          <w:tcPr>
            <w:tcW w:w="4045" w:type="dxa"/>
          </w:tcPr>
          <w:p w14:paraId="03DAC060" w14:textId="77777777" w:rsidR="00E101A0" w:rsidRPr="00805315" w:rsidRDefault="00E101A0" w:rsidP="007764B0">
            <w:pPr>
              <w:pStyle w:val="yiv2012610974msonormal"/>
              <w:jc w:val="both"/>
              <w:rPr>
                <w:rFonts w:ascii="Arial" w:hAnsi="Arial" w:cs="Arial"/>
                <w:sz w:val="20"/>
                <w:szCs w:val="20"/>
                <w:lang w:val="en-CA"/>
              </w:rPr>
            </w:pPr>
          </w:p>
        </w:tc>
        <w:tc>
          <w:tcPr>
            <w:tcW w:w="2520" w:type="dxa"/>
          </w:tcPr>
          <w:p w14:paraId="7A12D320"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3F3A71EE"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40318251" w14:textId="77777777" w:rsidR="00E101A0" w:rsidRPr="00805315" w:rsidRDefault="00E101A0" w:rsidP="007764B0">
            <w:pPr>
              <w:pStyle w:val="yiv2012610974msonormal"/>
              <w:jc w:val="both"/>
              <w:rPr>
                <w:rFonts w:ascii="Arial" w:hAnsi="Arial" w:cs="Arial"/>
                <w:sz w:val="20"/>
                <w:szCs w:val="20"/>
                <w:lang w:val="en-CA"/>
              </w:rPr>
            </w:pPr>
          </w:p>
        </w:tc>
      </w:tr>
      <w:tr w:rsidR="00E101A0" w:rsidRPr="00805315" w14:paraId="6783A9DF" w14:textId="77777777" w:rsidTr="00EC7FAA">
        <w:tc>
          <w:tcPr>
            <w:tcW w:w="4045" w:type="dxa"/>
          </w:tcPr>
          <w:p w14:paraId="1775C133" w14:textId="77777777" w:rsidR="00E101A0" w:rsidRPr="00805315" w:rsidRDefault="00E101A0" w:rsidP="007764B0">
            <w:pPr>
              <w:pStyle w:val="yiv2012610974msonormal"/>
              <w:jc w:val="both"/>
              <w:rPr>
                <w:rFonts w:ascii="Arial" w:hAnsi="Arial" w:cs="Arial"/>
                <w:sz w:val="20"/>
                <w:szCs w:val="20"/>
                <w:lang w:val="en-CA"/>
              </w:rPr>
            </w:pPr>
            <w:r w:rsidRPr="00805315">
              <w:rPr>
                <w:rFonts w:ascii="Arial" w:hAnsi="Arial" w:cs="Arial"/>
                <w:sz w:val="20"/>
                <w:szCs w:val="20"/>
                <w:lang w:val="en-CA"/>
              </w:rPr>
              <w:t>Reserves</w:t>
            </w:r>
            <w:r w:rsidRPr="00805315">
              <w:rPr>
                <w:rFonts w:ascii="Arial" w:hAnsi="Arial" w:cs="Arial"/>
                <w:sz w:val="20"/>
                <w:szCs w:val="20"/>
                <w:vertAlign w:val="superscript"/>
                <w:lang w:val="en-CA"/>
              </w:rPr>
              <w:t>(3)</w:t>
            </w:r>
            <w:r w:rsidRPr="00805315">
              <w:rPr>
                <w:rFonts w:ascii="Arial" w:hAnsi="Arial" w:cs="Arial"/>
                <w:sz w:val="20"/>
                <w:szCs w:val="20"/>
                <w:vertAlign w:val="superscript"/>
              </w:rPr>
              <w:t xml:space="preserve"> </w:t>
            </w:r>
            <w:r w:rsidRPr="00805315">
              <w:rPr>
                <w:rFonts w:ascii="Arial" w:hAnsi="Arial" w:cs="Arial"/>
                <w:sz w:val="20"/>
                <w:szCs w:val="20"/>
              </w:rPr>
              <w:t>(</w:t>
            </w:r>
            <w:r w:rsidRPr="0071272B">
              <w:rPr>
                <w:rFonts w:ascii="Arial" w:hAnsi="Arial" w:cs="Arial"/>
                <w:sz w:val="20"/>
                <w:szCs w:val="20"/>
              </w:rPr>
              <w:t>M</w:t>
            </w:r>
            <w:r w:rsidRPr="0071272B">
              <w:rPr>
                <w:rFonts w:ascii="Arial" w:hAnsi="Arial" w:cs="Arial"/>
                <w:sz w:val="20"/>
                <w:szCs w:val="20"/>
                <w:lang w:val="en-CA"/>
              </w:rPr>
              <w:t>boe)</w:t>
            </w:r>
          </w:p>
        </w:tc>
        <w:tc>
          <w:tcPr>
            <w:tcW w:w="2520" w:type="dxa"/>
          </w:tcPr>
          <w:p w14:paraId="1B81918E"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54B9A7C3"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7165C000" w14:textId="77777777" w:rsidR="00E101A0" w:rsidRPr="00805315" w:rsidRDefault="00E101A0" w:rsidP="007764B0">
            <w:pPr>
              <w:pStyle w:val="yiv2012610974msonormal"/>
              <w:jc w:val="both"/>
              <w:rPr>
                <w:rFonts w:ascii="Arial" w:hAnsi="Arial" w:cs="Arial"/>
                <w:sz w:val="20"/>
                <w:szCs w:val="20"/>
                <w:lang w:val="en-CA"/>
              </w:rPr>
            </w:pPr>
          </w:p>
        </w:tc>
      </w:tr>
      <w:tr w:rsidR="00E101A0" w:rsidRPr="00805315" w14:paraId="0A6CEA45" w14:textId="77777777" w:rsidTr="00EC7FAA">
        <w:tc>
          <w:tcPr>
            <w:tcW w:w="4045" w:type="dxa"/>
          </w:tcPr>
          <w:p w14:paraId="4118C32D" w14:textId="77777777" w:rsidR="00E101A0" w:rsidRPr="00805315" w:rsidRDefault="00E101A0" w:rsidP="007764B0">
            <w:pPr>
              <w:pStyle w:val="yiv2012610974msonormal"/>
              <w:jc w:val="both"/>
              <w:rPr>
                <w:rFonts w:ascii="Arial" w:hAnsi="Arial" w:cs="Arial"/>
                <w:sz w:val="20"/>
                <w:szCs w:val="20"/>
                <w:lang w:val="en-CA"/>
              </w:rPr>
            </w:pPr>
            <w:r w:rsidRPr="00805315">
              <w:rPr>
                <w:rFonts w:ascii="Arial" w:hAnsi="Arial" w:cs="Arial"/>
                <w:sz w:val="20"/>
                <w:szCs w:val="20"/>
                <w:lang w:val="en-CA"/>
              </w:rPr>
              <w:t xml:space="preserve">     Total Proved</w:t>
            </w:r>
          </w:p>
        </w:tc>
        <w:tc>
          <w:tcPr>
            <w:tcW w:w="2520" w:type="dxa"/>
          </w:tcPr>
          <w:p w14:paraId="6E047627" w14:textId="0C4104B6" w:rsidR="00E101A0" w:rsidRPr="00063386" w:rsidRDefault="00063386" w:rsidP="007764B0">
            <w:pPr>
              <w:pStyle w:val="yiv2012610974msonormal"/>
              <w:jc w:val="both"/>
              <w:rPr>
                <w:rFonts w:ascii="Arial" w:hAnsi="Arial" w:cs="Arial"/>
                <w:sz w:val="20"/>
                <w:szCs w:val="20"/>
                <w:lang w:val="en-CA"/>
              </w:rPr>
            </w:pPr>
            <w:r w:rsidRPr="00063386">
              <w:rPr>
                <w:rFonts w:ascii="Arial" w:hAnsi="Arial" w:cs="Arial"/>
                <w:sz w:val="20"/>
                <w:szCs w:val="20"/>
                <w:lang w:val="en-CA"/>
              </w:rPr>
              <w:t>316</w:t>
            </w:r>
            <w:r w:rsidR="00E101A0" w:rsidRPr="00063386">
              <w:rPr>
                <w:rFonts w:ascii="Arial" w:hAnsi="Arial" w:cs="Arial"/>
                <w:sz w:val="20"/>
                <w:szCs w:val="20"/>
                <w:vertAlign w:val="superscript"/>
              </w:rPr>
              <w:t>(4)</w:t>
            </w:r>
          </w:p>
        </w:tc>
        <w:tc>
          <w:tcPr>
            <w:tcW w:w="1523" w:type="dxa"/>
          </w:tcPr>
          <w:p w14:paraId="3C35AA15" w14:textId="355E7ADB" w:rsidR="00E101A0" w:rsidRPr="00063386" w:rsidRDefault="00063386" w:rsidP="007764B0">
            <w:pPr>
              <w:pStyle w:val="yiv2012610974msonormal"/>
              <w:jc w:val="both"/>
              <w:rPr>
                <w:rFonts w:ascii="Arial" w:hAnsi="Arial" w:cs="Arial"/>
                <w:sz w:val="20"/>
                <w:szCs w:val="20"/>
                <w:vertAlign w:val="superscript"/>
                <w:lang w:val="en-CA"/>
              </w:rPr>
            </w:pPr>
            <w:r w:rsidRPr="00063386">
              <w:rPr>
                <w:rFonts w:ascii="Arial" w:hAnsi="Arial" w:cs="Arial"/>
                <w:sz w:val="20"/>
                <w:szCs w:val="20"/>
                <w:lang w:val="en-CA"/>
              </w:rPr>
              <w:t>646</w:t>
            </w:r>
            <w:r w:rsidR="00E101A0" w:rsidRPr="00063386">
              <w:rPr>
                <w:rFonts w:ascii="Arial" w:hAnsi="Arial" w:cs="Arial"/>
                <w:sz w:val="20"/>
                <w:szCs w:val="20"/>
                <w:vertAlign w:val="superscript"/>
                <w:lang w:val="en-CA"/>
              </w:rPr>
              <w:t>(5)</w:t>
            </w:r>
          </w:p>
        </w:tc>
        <w:tc>
          <w:tcPr>
            <w:tcW w:w="1262" w:type="dxa"/>
          </w:tcPr>
          <w:p w14:paraId="71CAC177" w14:textId="049BFB01" w:rsidR="00E101A0" w:rsidRPr="00063386" w:rsidRDefault="00063386" w:rsidP="007764B0">
            <w:pPr>
              <w:pStyle w:val="yiv2012610974msonormal"/>
              <w:jc w:val="both"/>
              <w:rPr>
                <w:rFonts w:ascii="Arial" w:hAnsi="Arial" w:cs="Arial"/>
                <w:sz w:val="20"/>
                <w:szCs w:val="20"/>
                <w:lang w:val="en-CA"/>
              </w:rPr>
            </w:pPr>
            <w:r w:rsidRPr="00063386">
              <w:rPr>
                <w:rFonts w:ascii="Arial" w:hAnsi="Arial" w:cs="Arial"/>
                <w:sz w:val="20"/>
                <w:szCs w:val="20"/>
                <w:lang w:val="en-CA"/>
              </w:rPr>
              <w:t>962</w:t>
            </w:r>
          </w:p>
        </w:tc>
      </w:tr>
      <w:tr w:rsidR="00E101A0" w:rsidRPr="00805315" w14:paraId="366B1BB4" w14:textId="77777777" w:rsidTr="00EC7FAA">
        <w:tc>
          <w:tcPr>
            <w:tcW w:w="4045" w:type="dxa"/>
          </w:tcPr>
          <w:p w14:paraId="0F640C3F" w14:textId="77777777" w:rsidR="00E101A0" w:rsidRPr="00805315" w:rsidRDefault="00E101A0" w:rsidP="007764B0">
            <w:pPr>
              <w:pStyle w:val="yiv2012610974msonormal"/>
              <w:jc w:val="both"/>
              <w:rPr>
                <w:rFonts w:ascii="Arial" w:hAnsi="Arial" w:cs="Arial"/>
                <w:sz w:val="20"/>
                <w:szCs w:val="20"/>
                <w:lang w:val="en-CA"/>
              </w:rPr>
            </w:pPr>
            <w:r w:rsidRPr="00805315">
              <w:rPr>
                <w:rFonts w:ascii="Arial" w:hAnsi="Arial" w:cs="Arial"/>
                <w:sz w:val="20"/>
                <w:szCs w:val="20"/>
              </w:rPr>
              <w:t xml:space="preserve">     Proved Plus Probable</w:t>
            </w:r>
          </w:p>
        </w:tc>
        <w:tc>
          <w:tcPr>
            <w:tcW w:w="2520" w:type="dxa"/>
          </w:tcPr>
          <w:p w14:paraId="0C3682B0" w14:textId="6EF907DD" w:rsidR="00E101A0" w:rsidRPr="00063386" w:rsidRDefault="00063386" w:rsidP="007764B0">
            <w:pPr>
              <w:pStyle w:val="yiv2012610974msonormal"/>
              <w:jc w:val="both"/>
              <w:rPr>
                <w:rFonts w:ascii="Arial" w:hAnsi="Arial" w:cs="Arial"/>
                <w:sz w:val="20"/>
                <w:szCs w:val="20"/>
                <w:lang w:val="en-CA"/>
              </w:rPr>
            </w:pPr>
            <w:r w:rsidRPr="00063386">
              <w:rPr>
                <w:rFonts w:ascii="Arial" w:hAnsi="Arial" w:cs="Arial"/>
                <w:sz w:val="20"/>
                <w:szCs w:val="20"/>
                <w:lang w:val="en-CA"/>
              </w:rPr>
              <w:t>900</w:t>
            </w:r>
            <w:r w:rsidR="00E101A0" w:rsidRPr="00063386">
              <w:rPr>
                <w:rFonts w:ascii="Arial" w:hAnsi="Arial" w:cs="Arial"/>
                <w:sz w:val="20"/>
                <w:szCs w:val="20"/>
                <w:vertAlign w:val="superscript"/>
              </w:rPr>
              <w:t>(4)</w:t>
            </w:r>
          </w:p>
        </w:tc>
        <w:tc>
          <w:tcPr>
            <w:tcW w:w="1523" w:type="dxa"/>
          </w:tcPr>
          <w:p w14:paraId="22405D73" w14:textId="04B8D82F" w:rsidR="00E101A0" w:rsidRPr="00063386" w:rsidRDefault="00063386" w:rsidP="007764B0">
            <w:pPr>
              <w:pStyle w:val="yiv2012610974msonormal"/>
              <w:jc w:val="both"/>
              <w:rPr>
                <w:rFonts w:ascii="Arial" w:hAnsi="Arial" w:cs="Arial"/>
                <w:sz w:val="20"/>
                <w:szCs w:val="20"/>
                <w:vertAlign w:val="superscript"/>
                <w:lang w:val="en-CA"/>
              </w:rPr>
            </w:pPr>
            <w:r w:rsidRPr="00063386">
              <w:rPr>
                <w:rFonts w:ascii="Arial" w:hAnsi="Arial" w:cs="Arial"/>
                <w:sz w:val="20"/>
                <w:szCs w:val="20"/>
                <w:lang w:val="en-CA"/>
              </w:rPr>
              <w:t>1,840</w:t>
            </w:r>
            <w:r w:rsidR="00E101A0" w:rsidRPr="00063386">
              <w:rPr>
                <w:rFonts w:ascii="Arial" w:hAnsi="Arial" w:cs="Arial"/>
                <w:sz w:val="20"/>
                <w:szCs w:val="20"/>
                <w:vertAlign w:val="superscript"/>
                <w:lang w:val="en-CA"/>
              </w:rPr>
              <w:t>(5)</w:t>
            </w:r>
          </w:p>
        </w:tc>
        <w:tc>
          <w:tcPr>
            <w:tcW w:w="1262" w:type="dxa"/>
          </w:tcPr>
          <w:p w14:paraId="1A4DD182" w14:textId="424A2D09" w:rsidR="00E101A0" w:rsidRPr="00063386" w:rsidRDefault="00063386" w:rsidP="007764B0">
            <w:pPr>
              <w:pStyle w:val="yiv2012610974msonormal"/>
              <w:jc w:val="both"/>
              <w:rPr>
                <w:rFonts w:ascii="Arial" w:hAnsi="Arial" w:cs="Arial"/>
                <w:sz w:val="20"/>
                <w:szCs w:val="20"/>
                <w:lang w:val="en-CA"/>
              </w:rPr>
            </w:pPr>
            <w:r w:rsidRPr="00063386">
              <w:rPr>
                <w:rFonts w:ascii="Arial" w:hAnsi="Arial" w:cs="Arial"/>
                <w:sz w:val="20"/>
                <w:szCs w:val="20"/>
                <w:lang w:val="en-CA"/>
              </w:rPr>
              <w:t>2,740</w:t>
            </w:r>
          </w:p>
        </w:tc>
      </w:tr>
      <w:tr w:rsidR="00E101A0" w:rsidRPr="00805315" w14:paraId="7C09D3F0" w14:textId="77777777" w:rsidTr="00EC7FAA">
        <w:tc>
          <w:tcPr>
            <w:tcW w:w="4045" w:type="dxa"/>
          </w:tcPr>
          <w:p w14:paraId="574EFCD3" w14:textId="77777777" w:rsidR="00E101A0" w:rsidRPr="00805315" w:rsidRDefault="00E101A0" w:rsidP="007764B0">
            <w:pPr>
              <w:pStyle w:val="yiv2012610974msonormal"/>
              <w:jc w:val="both"/>
              <w:rPr>
                <w:rFonts w:ascii="Arial" w:hAnsi="Arial" w:cs="Arial"/>
                <w:sz w:val="20"/>
                <w:szCs w:val="20"/>
              </w:rPr>
            </w:pPr>
          </w:p>
        </w:tc>
        <w:tc>
          <w:tcPr>
            <w:tcW w:w="2520" w:type="dxa"/>
          </w:tcPr>
          <w:p w14:paraId="0C45FF40" w14:textId="77777777" w:rsidR="00E101A0" w:rsidRPr="00805315" w:rsidRDefault="00E101A0" w:rsidP="007764B0">
            <w:pPr>
              <w:pStyle w:val="yiv2012610974msonormal"/>
              <w:jc w:val="both"/>
              <w:rPr>
                <w:rFonts w:ascii="Arial" w:hAnsi="Arial" w:cs="Arial"/>
                <w:sz w:val="20"/>
                <w:szCs w:val="20"/>
                <w:lang w:val="en-CA"/>
              </w:rPr>
            </w:pPr>
          </w:p>
        </w:tc>
        <w:tc>
          <w:tcPr>
            <w:tcW w:w="1523" w:type="dxa"/>
          </w:tcPr>
          <w:p w14:paraId="745DF07F" w14:textId="77777777" w:rsidR="00E101A0" w:rsidRPr="00805315" w:rsidRDefault="00E101A0" w:rsidP="007764B0">
            <w:pPr>
              <w:pStyle w:val="yiv2012610974msonormal"/>
              <w:jc w:val="both"/>
              <w:rPr>
                <w:rFonts w:ascii="Arial" w:hAnsi="Arial" w:cs="Arial"/>
                <w:sz w:val="20"/>
                <w:szCs w:val="20"/>
                <w:lang w:val="en-CA"/>
              </w:rPr>
            </w:pPr>
          </w:p>
        </w:tc>
        <w:tc>
          <w:tcPr>
            <w:tcW w:w="1262" w:type="dxa"/>
          </w:tcPr>
          <w:p w14:paraId="52E02575" w14:textId="77777777" w:rsidR="00E101A0" w:rsidRPr="00805315" w:rsidRDefault="00E101A0" w:rsidP="007764B0">
            <w:pPr>
              <w:pStyle w:val="yiv2012610974msonormal"/>
              <w:jc w:val="both"/>
              <w:rPr>
                <w:rFonts w:ascii="Arial" w:hAnsi="Arial" w:cs="Arial"/>
                <w:sz w:val="20"/>
                <w:szCs w:val="20"/>
                <w:lang w:val="en-CA"/>
              </w:rPr>
            </w:pPr>
          </w:p>
        </w:tc>
      </w:tr>
      <w:tr w:rsidR="00E101A0" w:rsidRPr="00805315" w14:paraId="3143F522" w14:textId="77777777" w:rsidTr="00EC7FAA">
        <w:tc>
          <w:tcPr>
            <w:tcW w:w="4045" w:type="dxa"/>
          </w:tcPr>
          <w:p w14:paraId="2014A79C" w14:textId="77777777" w:rsidR="00E101A0" w:rsidRPr="00805315" w:rsidRDefault="00E101A0" w:rsidP="007764B0">
            <w:pPr>
              <w:pStyle w:val="yiv2012610974msonormal"/>
              <w:jc w:val="both"/>
              <w:rPr>
                <w:rFonts w:ascii="Arial" w:hAnsi="Arial" w:cs="Arial"/>
                <w:sz w:val="20"/>
                <w:szCs w:val="20"/>
              </w:rPr>
            </w:pPr>
            <w:r w:rsidRPr="00805315">
              <w:rPr>
                <w:rFonts w:ascii="Arial" w:hAnsi="Arial" w:cs="Arial"/>
                <w:sz w:val="20"/>
                <w:szCs w:val="20"/>
              </w:rPr>
              <w:t>Net acres</w:t>
            </w:r>
            <w:r w:rsidRPr="00805315">
              <w:rPr>
                <w:rFonts w:ascii="Arial" w:hAnsi="Arial" w:cs="Arial"/>
                <w:sz w:val="20"/>
                <w:szCs w:val="20"/>
              </w:rPr>
              <w:tab/>
            </w:r>
            <w:r w:rsidRPr="00805315">
              <w:rPr>
                <w:rFonts w:ascii="Arial" w:hAnsi="Arial" w:cs="Arial"/>
                <w:sz w:val="20"/>
                <w:szCs w:val="20"/>
              </w:rPr>
              <w:tab/>
            </w:r>
            <w:r w:rsidRPr="00805315">
              <w:rPr>
                <w:rFonts w:ascii="Arial" w:hAnsi="Arial" w:cs="Arial"/>
                <w:sz w:val="20"/>
                <w:szCs w:val="20"/>
              </w:rPr>
              <w:tab/>
            </w:r>
            <w:r w:rsidRPr="00805315">
              <w:rPr>
                <w:rFonts w:ascii="Arial" w:hAnsi="Arial" w:cs="Arial"/>
                <w:sz w:val="20"/>
                <w:szCs w:val="20"/>
              </w:rPr>
              <w:tab/>
            </w:r>
          </w:p>
        </w:tc>
        <w:tc>
          <w:tcPr>
            <w:tcW w:w="2520" w:type="dxa"/>
          </w:tcPr>
          <w:p w14:paraId="536EC43E" w14:textId="2827C2E2" w:rsidR="00E101A0" w:rsidRPr="00805315" w:rsidRDefault="005326A4" w:rsidP="007764B0">
            <w:pPr>
              <w:pStyle w:val="yiv2012610974msonormal"/>
              <w:jc w:val="both"/>
              <w:rPr>
                <w:rFonts w:ascii="Arial" w:hAnsi="Arial" w:cs="Arial"/>
                <w:sz w:val="20"/>
                <w:szCs w:val="20"/>
                <w:lang w:val="en-CA"/>
              </w:rPr>
            </w:pPr>
            <w:r>
              <w:rPr>
                <w:rFonts w:ascii="Arial" w:hAnsi="Arial" w:cs="Arial"/>
                <w:sz w:val="20"/>
                <w:szCs w:val="20"/>
                <w:lang w:val="en-CA"/>
              </w:rPr>
              <w:t>83,116</w:t>
            </w:r>
          </w:p>
        </w:tc>
        <w:tc>
          <w:tcPr>
            <w:tcW w:w="1523" w:type="dxa"/>
          </w:tcPr>
          <w:p w14:paraId="5B6B5DAE" w14:textId="6C44E1ED" w:rsidR="00E101A0" w:rsidRPr="00805315" w:rsidRDefault="004B39EA" w:rsidP="007764B0">
            <w:pPr>
              <w:pStyle w:val="yiv2012610974msonormal"/>
              <w:jc w:val="both"/>
              <w:rPr>
                <w:rFonts w:ascii="Arial" w:hAnsi="Arial" w:cs="Arial"/>
                <w:sz w:val="20"/>
                <w:szCs w:val="20"/>
                <w:vertAlign w:val="superscript"/>
                <w:lang w:val="en-CA"/>
              </w:rPr>
            </w:pPr>
            <w:r w:rsidRPr="00805315">
              <w:rPr>
                <w:rFonts w:ascii="Arial" w:hAnsi="Arial" w:cs="Arial"/>
                <w:sz w:val="20"/>
                <w:szCs w:val="20"/>
                <w:lang w:val="en-CA"/>
              </w:rPr>
              <w:t>169,854</w:t>
            </w:r>
          </w:p>
        </w:tc>
        <w:tc>
          <w:tcPr>
            <w:tcW w:w="1262" w:type="dxa"/>
          </w:tcPr>
          <w:p w14:paraId="40F5D046" w14:textId="52FD252B" w:rsidR="00E101A0" w:rsidRPr="00805315" w:rsidRDefault="005326A4" w:rsidP="007764B0">
            <w:pPr>
              <w:pStyle w:val="yiv2012610974msonormal"/>
              <w:jc w:val="both"/>
              <w:rPr>
                <w:rFonts w:ascii="Arial" w:hAnsi="Arial" w:cs="Arial"/>
                <w:sz w:val="20"/>
                <w:szCs w:val="20"/>
                <w:lang w:val="en-CA"/>
              </w:rPr>
            </w:pPr>
            <w:r>
              <w:rPr>
                <w:rFonts w:ascii="Arial" w:hAnsi="Arial" w:cs="Arial"/>
                <w:sz w:val="20"/>
                <w:szCs w:val="20"/>
                <w:lang w:val="en-CA"/>
              </w:rPr>
              <w:t>252,970</w:t>
            </w:r>
          </w:p>
        </w:tc>
      </w:tr>
    </w:tbl>
    <w:p w14:paraId="045BCA0A" w14:textId="77777777" w:rsidR="00E101A0" w:rsidRPr="008B5946" w:rsidRDefault="00E101A0" w:rsidP="00E101A0">
      <w:pPr>
        <w:pStyle w:val="yiv2012610974msonormal"/>
        <w:spacing w:before="0" w:beforeAutospacing="0" w:after="0" w:afterAutospacing="0"/>
        <w:jc w:val="both"/>
        <w:rPr>
          <w:rFonts w:ascii="Arial" w:hAnsi="Arial" w:cs="Arial"/>
          <w:sz w:val="20"/>
          <w:szCs w:val="20"/>
        </w:rPr>
      </w:pPr>
    </w:p>
    <w:p w14:paraId="5062876F" w14:textId="77777777" w:rsidR="00E101A0" w:rsidRPr="00AB0183" w:rsidRDefault="00E101A0" w:rsidP="00E101A0">
      <w:pPr>
        <w:pStyle w:val="yiv2012610974msonormal"/>
        <w:spacing w:before="0" w:beforeAutospacing="0" w:after="0" w:afterAutospacing="0"/>
        <w:jc w:val="both"/>
        <w:rPr>
          <w:rFonts w:ascii="Arial" w:hAnsi="Arial" w:cs="Arial"/>
          <w:sz w:val="18"/>
          <w:szCs w:val="18"/>
        </w:rPr>
      </w:pPr>
      <w:r w:rsidRPr="00AB0183">
        <w:rPr>
          <w:rFonts w:ascii="Arial" w:hAnsi="Arial" w:cs="Arial"/>
          <w:sz w:val="18"/>
          <w:szCs w:val="18"/>
        </w:rPr>
        <w:t>Notes:</w:t>
      </w:r>
    </w:p>
    <w:p w14:paraId="6EF28C71" w14:textId="1D02A53D" w:rsidR="00E101A0" w:rsidRPr="00AB0183" w:rsidRDefault="00E101A0" w:rsidP="00E101A0">
      <w:pPr>
        <w:pStyle w:val="yiv2012610974msonormal"/>
        <w:numPr>
          <w:ilvl w:val="0"/>
          <w:numId w:val="38"/>
        </w:numPr>
        <w:spacing w:before="0" w:beforeAutospacing="0" w:after="0" w:afterAutospacing="0"/>
        <w:jc w:val="both"/>
        <w:rPr>
          <w:rFonts w:ascii="Arial" w:hAnsi="Arial" w:cs="Arial"/>
          <w:sz w:val="18"/>
          <w:szCs w:val="18"/>
        </w:rPr>
      </w:pPr>
      <w:r w:rsidRPr="00AB0183">
        <w:rPr>
          <w:rFonts w:ascii="Arial" w:hAnsi="Arial" w:cs="Arial"/>
          <w:sz w:val="18"/>
          <w:szCs w:val="18"/>
        </w:rPr>
        <w:t xml:space="preserve">Average daily production volumes are for </w:t>
      </w:r>
      <w:r w:rsidRPr="004875C0">
        <w:rPr>
          <w:rFonts w:ascii="Arial" w:hAnsi="Arial" w:cs="Arial"/>
          <w:sz w:val="18"/>
          <w:szCs w:val="18"/>
        </w:rPr>
        <w:t>the quarter ended</w:t>
      </w:r>
      <w:r w:rsidR="00095C6E">
        <w:rPr>
          <w:rFonts w:ascii="Arial" w:hAnsi="Arial" w:cs="Arial"/>
          <w:sz w:val="18"/>
          <w:szCs w:val="18"/>
        </w:rPr>
        <w:t xml:space="preserve"> </w:t>
      </w:r>
      <w:r w:rsidR="007D2348">
        <w:rPr>
          <w:rFonts w:ascii="Arial" w:hAnsi="Arial" w:cs="Arial"/>
          <w:sz w:val="18"/>
          <w:szCs w:val="18"/>
        </w:rPr>
        <w:t>June 30</w:t>
      </w:r>
      <w:r w:rsidR="00FC5ACB">
        <w:rPr>
          <w:rFonts w:ascii="Arial" w:hAnsi="Arial" w:cs="Arial"/>
          <w:sz w:val="18"/>
          <w:szCs w:val="18"/>
        </w:rPr>
        <w:t>, 2024</w:t>
      </w:r>
      <w:r w:rsidRPr="004875C0">
        <w:rPr>
          <w:rFonts w:ascii="Arial" w:hAnsi="Arial" w:cs="Arial"/>
          <w:sz w:val="18"/>
          <w:szCs w:val="18"/>
        </w:rPr>
        <w:t>,</w:t>
      </w:r>
      <w:r w:rsidRPr="00AB0183">
        <w:rPr>
          <w:rFonts w:ascii="Arial" w:hAnsi="Arial" w:cs="Arial"/>
          <w:sz w:val="18"/>
          <w:szCs w:val="18"/>
        </w:rPr>
        <w:t xml:space="preserve"> weighted approximately </w:t>
      </w:r>
      <w:r w:rsidR="005326A4">
        <w:rPr>
          <w:rFonts w:ascii="Arial" w:hAnsi="Arial" w:cs="Arial"/>
          <w:sz w:val="18"/>
          <w:szCs w:val="18"/>
        </w:rPr>
        <w:t>32</w:t>
      </w:r>
      <w:r w:rsidRPr="00AB0183">
        <w:rPr>
          <w:rFonts w:ascii="Arial" w:hAnsi="Arial" w:cs="Arial"/>
          <w:sz w:val="18"/>
          <w:szCs w:val="18"/>
        </w:rPr>
        <w:t xml:space="preserve">% to crude oil and natural gas liquids and approximately </w:t>
      </w:r>
      <w:r w:rsidR="005326A4">
        <w:rPr>
          <w:rFonts w:ascii="Arial" w:hAnsi="Arial" w:cs="Arial"/>
          <w:sz w:val="18"/>
          <w:szCs w:val="18"/>
        </w:rPr>
        <w:t>68</w:t>
      </w:r>
      <w:r w:rsidRPr="00AB0183">
        <w:rPr>
          <w:rFonts w:ascii="Arial" w:hAnsi="Arial" w:cs="Arial"/>
          <w:sz w:val="18"/>
          <w:szCs w:val="18"/>
        </w:rPr>
        <w:t>% to natural gas.</w:t>
      </w:r>
    </w:p>
    <w:p w14:paraId="6A02CEC6" w14:textId="0989E2DD" w:rsidR="00E101A0" w:rsidRPr="004875C0" w:rsidRDefault="00E101A0" w:rsidP="00E101A0">
      <w:pPr>
        <w:pStyle w:val="yiv2012610974msonormal"/>
        <w:numPr>
          <w:ilvl w:val="0"/>
          <w:numId w:val="38"/>
        </w:numPr>
        <w:spacing w:before="0" w:beforeAutospacing="0" w:after="0" w:afterAutospacing="0"/>
        <w:jc w:val="both"/>
        <w:rPr>
          <w:rFonts w:ascii="Arial" w:hAnsi="Arial" w:cs="Arial"/>
          <w:sz w:val="18"/>
          <w:szCs w:val="18"/>
        </w:rPr>
      </w:pPr>
      <w:r w:rsidRPr="00AB0183">
        <w:rPr>
          <w:rFonts w:ascii="Arial" w:hAnsi="Arial" w:cs="Arial"/>
          <w:sz w:val="18"/>
          <w:szCs w:val="18"/>
        </w:rPr>
        <w:t xml:space="preserve">Average daily sales volumes are for the </w:t>
      </w:r>
      <w:r w:rsidRPr="004875C0">
        <w:rPr>
          <w:rFonts w:ascii="Arial" w:hAnsi="Arial" w:cs="Arial"/>
          <w:sz w:val="18"/>
          <w:szCs w:val="18"/>
        </w:rPr>
        <w:t xml:space="preserve">quarter ended </w:t>
      </w:r>
      <w:r w:rsidR="007D2348">
        <w:rPr>
          <w:rFonts w:ascii="Arial" w:hAnsi="Arial" w:cs="Arial"/>
          <w:sz w:val="18"/>
          <w:szCs w:val="18"/>
        </w:rPr>
        <w:t>June 30</w:t>
      </w:r>
      <w:r w:rsidRPr="004875C0">
        <w:rPr>
          <w:rFonts w:ascii="Arial" w:hAnsi="Arial" w:cs="Arial"/>
          <w:sz w:val="18"/>
          <w:szCs w:val="18"/>
        </w:rPr>
        <w:t>, 20</w:t>
      </w:r>
      <w:r w:rsidR="00FC5ACB">
        <w:rPr>
          <w:rFonts w:ascii="Arial" w:hAnsi="Arial" w:cs="Arial"/>
          <w:sz w:val="18"/>
          <w:szCs w:val="18"/>
        </w:rPr>
        <w:t>24</w:t>
      </w:r>
      <w:r w:rsidRPr="004875C0">
        <w:rPr>
          <w:rFonts w:ascii="Arial" w:hAnsi="Arial" w:cs="Arial"/>
          <w:sz w:val="18"/>
          <w:szCs w:val="18"/>
        </w:rPr>
        <w:t>.</w:t>
      </w:r>
    </w:p>
    <w:p w14:paraId="08C3685C" w14:textId="1C3D5C8D" w:rsidR="00E101A0" w:rsidRPr="0071272B" w:rsidRDefault="00E101A0" w:rsidP="00E101A0">
      <w:pPr>
        <w:pStyle w:val="yiv2012610974msonormal"/>
        <w:numPr>
          <w:ilvl w:val="0"/>
          <w:numId w:val="38"/>
        </w:numPr>
        <w:spacing w:before="0" w:beforeAutospacing="0" w:after="0" w:afterAutospacing="0"/>
        <w:jc w:val="both"/>
        <w:rPr>
          <w:rFonts w:ascii="Arial" w:hAnsi="Arial" w:cs="Arial"/>
          <w:sz w:val="18"/>
          <w:szCs w:val="18"/>
        </w:rPr>
      </w:pPr>
      <w:r w:rsidRPr="0071272B">
        <w:rPr>
          <w:rFonts w:ascii="Arial" w:hAnsi="Arial" w:cs="Arial"/>
          <w:sz w:val="18"/>
          <w:szCs w:val="18"/>
        </w:rPr>
        <w:t>Reserves are "gross reserves", being working interest share of reserves before the deduction of royalties owned by others and without including royalty interests.</w:t>
      </w:r>
    </w:p>
    <w:p w14:paraId="4B875083" w14:textId="1427C4F0" w:rsidR="00E101A0" w:rsidRDefault="00E101A0" w:rsidP="00E101A0">
      <w:pPr>
        <w:pStyle w:val="yiv2012610974msonormal"/>
        <w:numPr>
          <w:ilvl w:val="0"/>
          <w:numId w:val="38"/>
        </w:numPr>
        <w:spacing w:before="0" w:beforeAutospacing="0" w:after="0" w:afterAutospacing="0"/>
        <w:jc w:val="both"/>
        <w:rPr>
          <w:rFonts w:ascii="Arial" w:hAnsi="Arial" w:cs="Arial"/>
          <w:sz w:val="18"/>
          <w:szCs w:val="18"/>
        </w:rPr>
      </w:pPr>
      <w:r w:rsidRPr="0071272B">
        <w:rPr>
          <w:rFonts w:ascii="Arial" w:hAnsi="Arial" w:cs="Arial"/>
          <w:sz w:val="18"/>
          <w:szCs w:val="18"/>
        </w:rPr>
        <w:t xml:space="preserve">The reserves volume estimates for </w:t>
      </w:r>
      <w:r w:rsidR="00FC5ACB" w:rsidRPr="0071272B">
        <w:rPr>
          <w:rFonts w:ascii="Arial" w:hAnsi="Arial" w:cs="Arial"/>
          <w:sz w:val="18"/>
          <w:szCs w:val="18"/>
        </w:rPr>
        <w:t>the Seller</w:t>
      </w:r>
      <w:r w:rsidRPr="0071272B">
        <w:rPr>
          <w:rFonts w:ascii="Arial" w:hAnsi="Arial" w:cs="Arial"/>
          <w:sz w:val="18"/>
          <w:szCs w:val="18"/>
        </w:rPr>
        <w:t xml:space="preserve"> are based on the</w:t>
      </w:r>
      <w:r>
        <w:rPr>
          <w:rFonts w:ascii="Arial" w:hAnsi="Arial" w:cs="Arial"/>
          <w:sz w:val="18"/>
          <w:szCs w:val="18"/>
        </w:rPr>
        <w:t xml:space="preserve"> Company's internal evaluation as at December 31, 20</w:t>
      </w:r>
      <w:r w:rsidR="00FC5ACB">
        <w:rPr>
          <w:rFonts w:ascii="Arial" w:hAnsi="Arial" w:cs="Arial"/>
          <w:sz w:val="18"/>
          <w:szCs w:val="18"/>
        </w:rPr>
        <w:t>23</w:t>
      </w:r>
      <w:r>
        <w:rPr>
          <w:rFonts w:ascii="Arial" w:hAnsi="Arial" w:cs="Arial"/>
          <w:sz w:val="18"/>
          <w:szCs w:val="18"/>
        </w:rPr>
        <w:t xml:space="preserve"> and were prepared by a qualified reserves evaluator who is a member of management of Crown Point in accordance with National Instrument 51-101 and the Canadian Oil and Gas Evaluation Handbook.  Given that </w:t>
      </w:r>
      <w:r w:rsidR="00FC5ACB">
        <w:rPr>
          <w:rFonts w:ascii="Arial" w:hAnsi="Arial" w:cs="Arial"/>
          <w:sz w:val="18"/>
          <w:szCs w:val="18"/>
        </w:rPr>
        <w:t>the Seller</w:t>
      </w:r>
      <w:r w:rsidR="009646F5">
        <w:rPr>
          <w:rFonts w:ascii="Arial" w:hAnsi="Arial" w:cs="Arial"/>
          <w:sz w:val="18"/>
          <w:szCs w:val="18"/>
        </w:rPr>
        <w:t xml:space="preserve">'s participating </w:t>
      </w:r>
      <w:r w:rsidRPr="00AB0183">
        <w:rPr>
          <w:rFonts w:ascii="Arial" w:hAnsi="Arial" w:cs="Arial"/>
          <w:sz w:val="18"/>
          <w:szCs w:val="18"/>
        </w:rPr>
        <w:t xml:space="preserve">interest in the TDF Concessions </w:t>
      </w:r>
      <w:r w:rsidR="009646F5">
        <w:rPr>
          <w:rFonts w:ascii="Arial" w:hAnsi="Arial" w:cs="Arial"/>
          <w:sz w:val="18"/>
          <w:szCs w:val="18"/>
        </w:rPr>
        <w:t xml:space="preserve">is approximately half the size of </w:t>
      </w:r>
      <w:r w:rsidRPr="00AB0183">
        <w:rPr>
          <w:rFonts w:ascii="Arial" w:hAnsi="Arial" w:cs="Arial"/>
          <w:sz w:val="18"/>
          <w:szCs w:val="18"/>
        </w:rPr>
        <w:t>Crown Point</w:t>
      </w:r>
      <w:r w:rsidR="009646F5">
        <w:rPr>
          <w:rFonts w:ascii="Arial" w:hAnsi="Arial" w:cs="Arial"/>
          <w:sz w:val="18"/>
          <w:szCs w:val="18"/>
        </w:rPr>
        <w:t>'s participating interest in the TDF Concessions</w:t>
      </w:r>
      <w:r w:rsidRPr="00AB0183">
        <w:rPr>
          <w:rFonts w:ascii="Arial" w:hAnsi="Arial" w:cs="Arial"/>
          <w:sz w:val="18"/>
          <w:szCs w:val="18"/>
        </w:rPr>
        <w:t xml:space="preserve">, </w:t>
      </w:r>
      <w:r w:rsidR="009646F5">
        <w:rPr>
          <w:rFonts w:ascii="Arial" w:hAnsi="Arial" w:cs="Arial"/>
          <w:sz w:val="18"/>
          <w:szCs w:val="18"/>
        </w:rPr>
        <w:t xml:space="preserve">the </w:t>
      </w:r>
      <w:r w:rsidRPr="00AB0183">
        <w:rPr>
          <w:rFonts w:ascii="Arial" w:hAnsi="Arial" w:cs="Arial"/>
          <w:sz w:val="18"/>
          <w:szCs w:val="18"/>
        </w:rPr>
        <w:t xml:space="preserve">reserves volumes </w:t>
      </w:r>
      <w:r w:rsidR="00EC7FAA">
        <w:rPr>
          <w:rFonts w:ascii="Arial" w:hAnsi="Arial" w:cs="Arial"/>
          <w:sz w:val="18"/>
          <w:szCs w:val="18"/>
        </w:rPr>
        <w:t xml:space="preserve">attributable to the Acquired Assets </w:t>
      </w:r>
      <w:r>
        <w:rPr>
          <w:rFonts w:ascii="Arial" w:hAnsi="Arial" w:cs="Arial"/>
          <w:sz w:val="18"/>
          <w:szCs w:val="18"/>
        </w:rPr>
        <w:t>were</w:t>
      </w:r>
      <w:r w:rsidRPr="00AB0183">
        <w:rPr>
          <w:rFonts w:ascii="Arial" w:hAnsi="Arial" w:cs="Arial"/>
          <w:sz w:val="18"/>
          <w:szCs w:val="18"/>
        </w:rPr>
        <w:t xml:space="preserve"> considered to be </w:t>
      </w:r>
      <w:r w:rsidR="009646F5">
        <w:rPr>
          <w:rFonts w:ascii="Arial" w:hAnsi="Arial" w:cs="Arial"/>
          <w:sz w:val="18"/>
          <w:szCs w:val="18"/>
        </w:rPr>
        <w:t xml:space="preserve">approximately half the size of </w:t>
      </w:r>
      <w:r w:rsidRPr="00AB0183">
        <w:rPr>
          <w:rFonts w:ascii="Arial" w:hAnsi="Arial" w:cs="Arial"/>
          <w:sz w:val="18"/>
          <w:szCs w:val="18"/>
        </w:rPr>
        <w:t>Crown Point's reserves volumes</w:t>
      </w:r>
      <w:r>
        <w:rPr>
          <w:rFonts w:ascii="Arial" w:hAnsi="Arial" w:cs="Arial"/>
          <w:sz w:val="18"/>
          <w:szCs w:val="18"/>
        </w:rPr>
        <w:t xml:space="preserve"> </w:t>
      </w:r>
      <w:r w:rsidR="00EC7FAA">
        <w:rPr>
          <w:rFonts w:ascii="Arial" w:hAnsi="Arial" w:cs="Arial"/>
          <w:sz w:val="18"/>
          <w:szCs w:val="18"/>
        </w:rPr>
        <w:t xml:space="preserve">attributable </w:t>
      </w:r>
      <w:r w:rsidR="008B07A9">
        <w:rPr>
          <w:rFonts w:ascii="Arial" w:hAnsi="Arial" w:cs="Arial"/>
          <w:sz w:val="18"/>
          <w:szCs w:val="18"/>
        </w:rPr>
        <w:t xml:space="preserve">to </w:t>
      </w:r>
      <w:r w:rsidR="00EC7FAA">
        <w:rPr>
          <w:rFonts w:ascii="Arial" w:hAnsi="Arial" w:cs="Arial"/>
          <w:sz w:val="18"/>
          <w:szCs w:val="18"/>
        </w:rPr>
        <w:t xml:space="preserve">the TDF Concessions </w:t>
      </w:r>
      <w:r>
        <w:rPr>
          <w:rFonts w:ascii="Arial" w:hAnsi="Arial" w:cs="Arial"/>
          <w:sz w:val="18"/>
          <w:szCs w:val="18"/>
        </w:rPr>
        <w:t>as at December 31, 20</w:t>
      </w:r>
      <w:r w:rsidR="009646F5">
        <w:rPr>
          <w:rFonts w:ascii="Arial" w:hAnsi="Arial" w:cs="Arial"/>
          <w:sz w:val="18"/>
          <w:szCs w:val="18"/>
        </w:rPr>
        <w:t>23</w:t>
      </w:r>
      <w:r w:rsidRPr="00AB0183">
        <w:rPr>
          <w:rFonts w:ascii="Arial" w:hAnsi="Arial" w:cs="Arial"/>
          <w:sz w:val="18"/>
          <w:szCs w:val="18"/>
        </w:rPr>
        <w:t>.</w:t>
      </w:r>
      <w:r w:rsidR="009646F5">
        <w:rPr>
          <w:rFonts w:ascii="Arial" w:hAnsi="Arial" w:cs="Arial"/>
          <w:sz w:val="18"/>
          <w:szCs w:val="18"/>
        </w:rPr>
        <w:t xml:space="preserve"> </w:t>
      </w:r>
    </w:p>
    <w:p w14:paraId="2128892F" w14:textId="05E8B75A" w:rsidR="00E101A0" w:rsidRPr="00AB0183" w:rsidRDefault="00E101A0" w:rsidP="00E101A0">
      <w:pPr>
        <w:pStyle w:val="yiv2012610974msonormal"/>
        <w:numPr>
          <w:ilvl w:val="0"/>
          <w:numId w:val="38"/>
        </w:numPr>
        <w:spacing w:before="0" w:beforeAutospacing="0" w:after="0" w:afterAutospacing="0"/>
        <w:jc w:val="both"/>
        <w:rPr>
          <w:rFonts w:ascii="Arial" w:hAnsi="Arial" w:cs="Arial"/>
          <w:sz w:val="18"/>
          <w:szCs w:val="18"/>
        </w:rPr>
      </w:pPr>
      <w:r w:rsidRPr="00AB0183">
        <w:rPr>
          <w:rFonts w:ascii="Arial" w:hAnsi="Arial" w:cs="Arial"/>
          <w:sz w:val="18"/>
          <w:szCs w:val="18"/>
        </w:rPr>
        <w:lastRenderedPageBreak/>
        <w:t xml:space="preserve">Crown Point's reserves volumes were </w:t>
      </w:r>
      <w:r w:rsidR="004B39EA">
        <w:rPr>
          <w:rFonts w:ascii="Arial" w:hAnsi="Arial" w:cs="Arial"/>
          <w:sz w:val="18"/>
          <w:szCs w:val="18"/>
        </w:rPr>
        <w:t>evaluated</w:t>
      </w:r>
      <w:r w:rsidRPr="00AB0183">
        <w:rPr>
          <w:rFonts w:ascii="Arial" w:hAnsi="Arial" w:cs="Arial"/>
          <w:sz w:val="18"/>
          <w:szCs w:val="18"/>
        </w:rPr>
        <w:t xml:space="preserve"> by </w:t>
      </w:r>
      <w:r w:rsidR="004B39EA">
        <w:rPr>
          <w:rFonts w:ascii="Arial" w:hAnsi="Arial" w:cs="Arial"/>
          <w:sz w:val="18"/>
          <w:szCs w:val="18"/>
        </w:rPr>
        <w:t>Sproule</w:t>
      </w:r>
      <w:r w:rsidRPr="00AB0183">
        <w:rPr>
          <w:rFonts w:ascii="Arial" w:hAnsi="Arial" w:cs="Arial"/>
          <w:sz w:val="18"/>
          <w:szCs w:val="18"/>
        </w:rPr>
        <w:t xml:space="preserve"> Associates </w:t>
      </w:r>
      <w:r w:rsidR="004B39EA">
        <w:rPr>
          <w:rFonts w:ascii="Arial" w:hAnsi="Arial" w:cs="Arial"/>
          <w:sz w:val="18"/>
          <w:szCs w:val="18"/>
        </w:rPr>
        <w:t>Limited</w:t>
      </w:r>
      <w:r w:rsidRPr="00AB0183">
        <w:rPr>
          <w:rFonts w:ascii="Arial" w:hAnsi="Arial" w:cs="Arial"/>
          <w:sz w:val="18"/>
          <w:szCs w:val="18"/>
        </w:rPr>
        <w:t xml:space="preserve"> as at December 31, 20</w:t>
      </w:r>
      <w:r w:rsidR="004B39EA">
        <w:rPr>
          <w:rFonts w:ascii="Arial" w:hAnsi="Arial" w:cs="Arial"/>
          <w:sz w:val="18"/>
          <w:szCs w:val="18"/>
        </w:rPr>
        <w:t>23</w:t>
      </w:r>
      <w:r w:rsidRPr="00AB0183">
        <w:rPr>
          <w:rFonts w:ascii="Arial" w:hAnsi="Arial" w:cs="Arial"/>
          <w:sz w:val="18"/>
          <w:szCs w:val="18"/>
        </w:rPr>
        <w:t xml:space="preserve"> in accordance with National Instrument 51-101</w:t>
      </w:r>
      <w:r>
        <w:rPr>
          <w:rFonts w:ascii="Arial" w:hAnsi="Arial" w:cs="Arial"/>
          <w:sz w:val="18"/>
          <w:szCs w:val="18"/>
        </w:rPr>
        <w:t xml:space="preserve"> and the Canadian Oil and Gas Evaluation Handbook</w:t>
      </w:r>
      <w:r w:rsidRPr="00AB0183">
        <w:rPr>
          <w:rFonts w:ascii="Arial" w:hAnsi="Arial" w:cs="Arial"/>
          <w:sz w:val="18"/>
          <w:szCs w:val="18"/>
        </w:rPr>
        <w:t xml:space="preserve">.    </w:t>
      </w:r>
    </w:p>
    <w:p w14:paraId="656BC7EB" w14:textId="77777777" w:rsidR="00E101A0" w:rsidRPr="008B5946" w:rsidRDefault="00E101A0" w:rsidP="008B5946">
      <w:pPr>
        <w:shd w:val="clear" w:color="auto" w:fill="FFFFFF"/>
        <w:jc w:val="both"/>
        <w:rPr>
          <w:rFonts w:ascii="Arial" w:hAnsi="Arial" w:cs="Arial"/>
          <w:sz w:val="20"/>
          <w:szCs w:val="20"/>
        </w:rPr>
      </w:pPr>
    </w:p>
    <w:p w14:paraId="4CF6B778" w14:textId="77777777" w:rsidR="00E959EF" w:rsidRPr="00805315" w:rsidRDefault="00E959EF" w:rsidP="008B5946">
      <w:pPr>
        <w:shd w:val="clear" w:color="auto" w:fill="FFFFFF"/>
        <w:jc w:val="both"/>
        <w:rPr>
          <w:rFonts w:ascii="Arial" w:hAnsi="Arial" w:cs="Arial"/>
          <w:b/>
          <w:sz w:val="20"/>
          <w:szCs w:val="20"/>
        </w:rPr>
      </w:pPr>
      <w:r w:rsidRPr="00805315">
        <w:rPr>
          <w:rFonts w:ascii="Arial" w:hAnsi="Arial" w:cs="Arial"/>
          <w:b/>
          <w:sz w:val="20"/>
          <w:szCs w:val="20"/>
        </w:rPr>
        <w:t xml:space="preserve">Purchase </w:t>
      </w:r>
      <w:r w:rsidR="00BB1C18" w:rsidRPr="00805315">
        <w:rPr>
          <w:rFonts w:ascii="Arial" w:hAnsi="Arial" w:cs="Arial"/>
          <w:b/>
          <w:sz w:val="20"/>
          <w:szCs w:val="20"/>
        </w:rPr>
        <w:t>Price</w:t>
      </w:r>
      <w:r w:rsidR="00F23A40" w:rsidRPr="00805315">
        <w:rPr>
          <w:rFonts w:ascii="Arial" w:hAnsi="Arial" w:cs="Arial"/>
          <w:b/>
          <w:sz w:val="20"/>
          <w:szCs w:val="20"/>
        </w:rPr>
        <w:t xml:space="preserve"> and </w:t>
      </w:r>
      <w:r w:rsidR="00F23A40" w:rsidRPr="00805315">
        <w:rPr>
          <w:rFonts w:ascii="Arial" w:hAnsi="Arial" w:cs="Arial"/>
          <w:b/>
          <w:color w:val="333333"/>
          <w:sz w:val="20"/>
          <w:szCs w:val="20"/>
        </w:rPr>
        <w:t>Financing</w:t>
      </w:r>
    </w:p>
    <w:p w14:paraId="2FE954A1" w14:textId="77777777" w:rsidR="00E959EF" w:rsidRPr="00805315" w:rsidRDefault="00E959EF" w:rsidP="008B5946">
      <w:pPr>
        <w:shd w:val="clear" w:color="auto" w:fill="FFFFFF"/>
        <w:jc w:val="both"/>
        <w:rPr>
          <w:rFonts w:ascii="Arial" w:hAnsi="Arial" w:cs="Arial"/>
          <w:sz w:val="20"/>
          <w:szCs w:val="20"/>
        </w:rPr>
      </w:pPr>
    </w:p>
    <w:p w14:paraId="403D9DFE" w14:textId="43821CDB" w:rsidR="00515769" w:rsidRPr="00805315" w:rsidRDefault="008B57CB" w:rsidP="008B5946">
      <w:pPr>
        <w:shd w:val="clear" w:color="auto" w:fill="FFFFFF"/>
        <w:jc w:val="both"/>
        <w:rPr>
          <w:rFonts w:ascii="Arial" w:hAnsi="Arial" w:cs="Arial"/>
          <w:color w:val="333333"/>
          <w:sz w:val="20"/>
          <w:szCs w:val="20"/>
        </w:rPr>
      </w:pPr>
      <w:r w:rsidRPr="00805315">
        <w:rPr>
          <w:rFonts w:ascii="Arial" w:hAnsi="Arial" w:cs="Arial"/>
          <w:sz w:val="20"/>
          <w:szCs w:val="20"/>
        </w:rPr>
        <w:t xml:space="preserve">The purchase price payable by Crown Point to the </w:t>
      </w:r>
      <w:r w:rsidR="00006D15" w:rsidRPr="00805315">
        <w:rPr>
          <w:rFonts w:ascii="Arial" w:hAnsi="Arial" w:cs="Arial"/>
          <w:sz w:val="20"/>
          <w:szCs w:val="20"/>
        </w:rPr>
        <w:t>Seller</w:t>
      </w:r>
      <w:r w:rsidRPr="00805315">
        <w:rPr>
          <w:rFonts w:ascii="Arial" w:hAnsi="Arial" w:cs="Arial"/>
          <w:sz w:val="20"/>
          <w:szCs w:val="20"/>
        </w:rPr>
        <w:t xml:space="preserve"> is </w:t>
      </w:r>
      <w:r w:rsidR="00006D15" w:rsidRPr="00805315">
        <w:rPr>
          <w:rFonts w:ascii="Arial" w:hAnsi="Arial" w:cs="Arial"/>
          <w:sz w:val="20"/>
          <w:szCs w:val="20"/>
        </w:rPr>
        <w:t>US$</w:t>
      </w:r>
      <w:r w:rsidR="00DE57D3" w:rsidRPr="00805315">
        <w:rPr>
          <w:rFonts w:ascii="Arial" w:hAnsi="Arial" w:cs="Arial"/>
          <w:sz w:val="20"/>
          <w:szCs w:val="20"/>
        </w:rPr>
        <w:t>700,000</w:t>
      </w:r>
      <w:r w:rsidR="00603047" w:rsidRPr="00805315">
        <w:rPr>
          <w:rFonts w:ascii="Arial" w:hAnsi="Arial" w:cs="Arial"/>
          <w:sz w:val="20"/>
          <w:szCs w:val="20"/>
        </w:rPr>
        <w:t xml:space="preserve"> </w:t>
      </w:r>
      <w:r w:rsidR="00025A09" w:rsidRPr="00805315">
        <w:rPr>
          <w:rFonts w:ascii="Arial" w:hAnsi="Arial" w:cs="Arial"/>
          <w:sz w:val="20"/>
          <w:szCs w:val="20"/>
        </w:rPr>
        <w:t>cash</w:t>
      </w:r>
      <w:r w:rsidR="00DE57D3" w:rsidRPr="00805315">
        <w:rPr>
          <w:rFonts w:ascii="Arial" w:hAnsi="Arial" w:cs="Arial"/>
          <w:sz w:val="20"/>
          <w:szCs w:val="20"/>
        </w:rPr>
        <w:t xml:space="preserve"> (US$293,000 of which has been paid as a deposit)</w:t>
      </w:r>
      <w:r w:rsidRPr="00805315">
        <w:rPr>
          <w:rFonts w:ascii="Arial" w:hAnsi="Arial" w:cs="Arial"/>
          <w:sz w:val="20"/>
          <w:szCs w:val="20"/>
        </w:rPr>
        <w:t xml:space="preserve">, </w:t>
      </w:r>
      <w:r w:rsidR="00025A09" w:rsidRPr="00805315">
        <w:rPr>
          <w:rFonts w:ascii="Arial" w:hAnsi="Arial" w:cs="Arial"/>
          <w:sz w:val="20"/>
          <w:szCs w:val="20"/>
        </w:rPr>
        <w:t xml:space="preserve">subject to </w:t>
      </w:r>
      <w:r w:rsidR="00111E23" w:rsidRPr="00805315">
        <w:rPr>
          <w:rFonts w:ascii="Arial" w:hAnsi="Arial" w:cs="Arial"/>
          <w:sz w:val="20"/>
          <w:szCs w:val="20"/>
        </w:rPr>
        <w:t xml:space="preserve">customary </w:t>
      </w:r>
      <w:r w:rsidR="00025A09" w:rsidRPr="00805315">
        <w:rPr>
          <w:rFonts w:ascii="Arial" w:hAnsi="Arial" w:cs="Arial"/>
          <w:sz w:val="20"/>
          <w:szCs w:val="20"/>
        </w:rPr>
        <w:t>closing adjustments</w:t>
      </w:r>
      <w:r w:rsidR="00111E23" w:rsidRPr="00805315">
        <w:rPr>
          <w:rFonts w:ascii="Arial" w:hAnsi="Arial" w:cs="Arial"/>
          <w:sz w:val="20"/>
          <w:szCs w:val="20"/>
        </w:rPr>
        <w:t xml:space="preserve">, including for crude oil and natural gas inventories </w:t>
      </w:r>
      <w:r w:rsidR="00DC6C43" w:rsidRPr="00805315">
        <w:rPr>
          <w:rFonts w:ascii="Arial" w:hAnsi="Arial" w:cs="Arial"/>
          <w:sz w:val="20"/>
          <w:szCs w:val="20"/>
        </w:rPr>
        <w:t xml:space="preserve">attributable to the </w:t>
      </w:r>
      <w:r w:rsidR="00B2131B">
        <w:rPr>
          <w:rFonts w:ascii="Arial" w:hAnsi="Arial" w:cs="Arial"/>
          <w:sz w:val="20"/>
          <w:szCs w:val="20"/>
        </w:rPr>
        <w:t>Acquired Assets</w:t>
      </w:r>
      <w:r w:rsidR="00DC6C43" w:rsidRPr="00805315">
        <w:rPr>
          <w:rFonts w:ascii="Arial" w:hAnsi="Arial" w:cs="Arial"/>
          <w:sz w:val="20"/>
          <w:szCs w:val="20"/>
        </w:rPr>
        <w:t xml:space="preserve"> on the effective date of the </w:t>
      </w:r>
      <w:r w:rsidR="00111E23" w:rsidRPr="00805315">
        <w:rPr>
          <w:rFonts w:ascii="Arial" w:hAnsi="Arial" w:cs="Arial"/>
          <w:sz w:val="20"/>
          <w:szCs w:val="20"/>
        </w:rPr>
        <w:t>Acquisition</w:t>
      </w:r>
      <w:r w:rsidR="00DC6C43" w:rsidRPr="00805315">
        <w:rPr>
          <w:rFonts w:ascii="Arial" w:hAnsi="Arial" w:cs="Arial"/>
          <w:sz w:val="20"/>
          <w:szCs w:val="20"/>
        </w:rPr>
        <w:t>, which</w:t>
      </w:r>
      <w:r w:rsidR="00111E23" w:rsidRPr="00805315">
        <w:rPr>
          <w:rFonts w:ascii="Arial" w:hAnsi="Arial" w:cs="Arial"/>
          <w:sz w:val="20"/>
          <w:szCs w:val="20"/>
        </w:rPr>
        <w:t xml:space="preserve"> is July 1, 2024</w:t>
      </w:r>
      <w:r w:rsidR="00DC6C43" w:rsidRPr="00805315">
        <w:rPr>
          <w:rFonts w:ascii="Arial" w:hAnsi="Arial" w:cs="Arial"/>
          <w:sz w:val="20"/>
          <w:szCs w:val="20"/>
        </w:rPr>
        <w:t xml:space="preserve">.  </w:t>
      </w:r>
      <w:r w:rsidR="003D518F" w:rsidRPr="00805315">
        <w:rPr>
          <w:rFonts w:ascii="Arial" w:hAnsi="Arial" w:cs="Arial"/>
          <w:color w:val="333333"/>
          <w:sz w:val="20"/>
          <w:szCs w:val="20"/>
        </w:rPr>
        <w:t xml:space="preserve">Crown Point anticipates funding the purchase price using </w:t>
      </w:r>
      <w:r w:rsidR="005403D0" w:rsidRPr="00805315">
        <w:rPr>
          <w:rFonts w:ascii="Arial" w:hAnsi="Arial" w:cs="Arial"/>
          <w:color w:val="333333"/>
          <w:sz w:val="20"/>
          <w:szCs w:val="20"/>
        </w:rPr>
        <w:t>its existing cash resources, operating cash flows</w:t>
      </w:r>
      <w:r w:rsidR="00385CDE" w:rsidRPr="00805315">
        <w:rPr>
          <w:rFonts w:ascii="Arial" w:hAnsi="Arial" w:cs="Arial"/>
          <w:color w:val="333333"/>
          <w:sz w:val="20"/>
          <w:szCs w:val="20"/>
        </w:rPr>
        <w:t>, an</w:t>
      </w:r>
      <w:r w:rsidR="00DC6C43" w:rsidRPr="00805315">
        <w:rPr>
          <w:rFonts w:ascii="Arial" w:hAnsi="Arial" w:cs="Arial"/>
          <w:color w:val="333333"/>
          <w:sz w:val="20"/>
          <w:szCs w:val="20"/>
        </w:rPr>
        <w:t xml:space="preserve">d </w:t>
      </w:r>
      <w:r w:rsidR="004C0232" w:rsidRPr="00805315">
        <w:rPr>
          <w:rFonts w:ascii="Arial" w:hAnsi="Arial" w:cs="Arial"/>
          <w:color w:val="333333"/>
          <w:sz w:val="20"/>
          <w:szCs w:val="20"/>
        </w:rPr>
        <w:t xml:space="preserve">new </w:t>
      </w:r>
      <w:r w:rsidR="003D518F" w:rsidRPr="00805315">
        <w:rPr>
          <w:rFonts w:ascii="Arial" w:hAnsi="Arial" w:cs="Arial"/>
          <w:color w:val="333333"/>
          <w:sz w:val="20"/>
          <w:szCs w:val="20"/>
        </w:rPr>
        <w:t xml:space="preserve">debt financing.  </w:t>
      </w:r>
    </w:p>
    <w:p w14:paraId="37B03BB7" w14:textId="77777777" w:rsidR="00615315" w:rsidRPr="00805315" w:rsidRDefault="00615315" w:rsidP="008B5946">
      <w:pPr>
        <w:shd w:val="clear" w:color="auto" w:fill="FFFFFF"/>
        <w:jc w:val="both"/>
        <w:rPr>
          <w:rFonts w:ascii="Arial" w:hAnsi="Arial" w:cs="Arial"/>
          <w:color w:val="333333"/>
          <w:sz w:val="20"/>
          <w:szCs w:val="20"/>
        </w:rPr>
      </w:pPr>
    </w:p>
    <w:p w14:paraId="16BC465D" w14:textId="5549F97F" w:rsidR="005B7BF5" w:rsidRPr="00805315" w:rsidRDefault="00B2131B" w:rsidP="008B5946">
      <w:pPr>
        <w:keepNext/>
        <w:shd w:val="clear" w:color="auto" w:fill="FFFFFF"/>
        <w:jc w:val="both"/>
        <w:rPr>
          <w:rFonts w:ascii="Arial" w:hAnsi="Arial" w:cs="Arial"/>
          <w:b/>
          <w:color w:val="333333"/>
          <w:sz w:val="20"/>
          <w:szCs w:val="20"/>
        </w:rPr>
      </w:pPr>
      <w:r>
        <w:rPr>
          <w:rFonts w:ascii="Arial" w:hAnsi="Arial" w:cs="Arial"/>
          <w:b/>
          <w:color w:val="333333"/>
          <w:sz w:val="20"/>
          <w:szCs w:val="20"/>
        </w:rPr>
        <w:t>Closing Conditions</w:t>
      </w:r>
    </w:p>
    <w:p w14:paraId="09334F2F" w14:textId="14FFEB01" w:rsidR="00D90238" w:rsidRPr="00805315" w:rsidRDefault="00486024" w:rsidP="00B2131B">
      <w:pPr>
        <w:pStyle w:val="yiv2012610974msonormal"/>
        <w:keepNext/>
        <w:jc w:val="both"/>
        <w:rPr>
          <w:rFonts w:ascii="Arial" w:hAnsi="Arial" w:cs="Arial"/>
          <w:color w:val="000000"/>
          <w:sz w:val="20"/>
          <w:szCs w:val="20"/>
        </w:rPr>
      </w:pPr>
      <w:r w:rsidRPr="00805315">
        <w:rPr>
          <w:rFonts w:ascii="Arial" w:hAnsi="Arial" w:cs="Arial"/>
          <w:sz w:val="20"/>
          <w:szCs w:val="20"/>
        </w:rPr>
        <w:t xml:space="preserve">Completion of the </w:t>
      </w:r>
      <w:r w:rsidR="00930C2A" w:rsidRPr="00805315">
        <w:rPr>
          <w:rFonts w:ascii="Arial" w:hAnsi="Arial" w:cs="Arial"/>
          <w:sz w:val="20"/>
          <w:szCs w:val="20"/>
        </w:rPr>
        <w:t>Acquisition</w:t>
      </w:r>
      <w:r w:rsidR="000919E9" w:rsidRPr="00805315">
        <w:rPr>
          <w:rFonts w:ascii="Arial" w:hAnsi="Arial" w:cs="Arial"/>
          <w:sz w:val="20"/>
          <w:szCs w:val="20"/>
        </w:rPr>
        <w:t xml:space="preserve"> </w:t>
      </w:r>
      <w:r w:rsidRPr="00805315">
        <w:rPr>
          <w:rFonts w:ascii="Arial" w:hAnsi="Arial" w:cs="Arial"/>
          <w:sz w:val="20"/>
          <w:szCs w:val="20"/>
        </w:rPr>
        <w:t xml:space="preserve">is subject to, among other things, </w:t>
      </w:r>
      <w:r w:rsidRPr="00805315">
        <w:rPr>
          <w:rFonts w:ascii="Arial" w:hAnsi="Arial" w:cs="Arial"/>
          <w:color w:val="000000"/>
          <w:sz w:val="20"/>
          <w:szCs w:val="20"/>
        </w:rPr>
        <w:t>the receipt of all necessary regulatory</w:t>
      </w:r>
      <w:r w:rsidR="004D0CB4" w:rsidRPr="00805315">
        <w:rPr>
          <w:rFonts w:ascii="Arial" w:hAnsi="Arial" w:cs="Arial"/>
          <w:color w:val="000000"/>
          <w:sz w:val="20"/>
          <w:szCs w:val="20"/>
        </w:rPr>
        <w:t>, stock exchange and Provincial approvals</w:t>
      </w:r>
      <w:r w:rsidRPr="00805315">
        <w:rPr>
          <w:rFonts w:ascii="Arial" w:hAnsi="Arial" w:cs="Arial"/>
          <w:color w:val="000000"/>
          <w:sz w:val="20"/>
          <w:szCs w:val="20"/>
        </w:rPr>
        <w:t>, the waiver or expiration of applicable rights of first refusal</w:t>
      </w:r>
      <w:r w:rsidR="004D0CB4" w:rsidRPr="00805315">
        <w:rPr>
          <w:rFonts w:ascii="Arial" w:hAnsi="Arial" w:cs="Arial"/>
          <w:color w:val="000000"/>
          <w:sz w:val="20"/>
          <w:szCs w:val="20"/>
        </w:rPr>
        <w:t xml:space="preserve"> ("</w:t>
      </w:r>
      <w:r w:rsidR="004D0CB4" w:rsidRPr="00805315">
        <w:rPr>
          <w:rFonts w:ascii="Arial" w:hAnsi="Arial" w:cs="Arial"/>
          <w:b/>
          <w:color w:val="000000"/>
          <w:sz w:val="20"/>
          <w:szCs w:val="20"/>
        </w:rPr>
        <w:t>ROFR</w:t>
      </w:r>
      <w:r w:rsidR="004D0CB4" w:rsidRPr="00805315">
        <w:rPr>
          <w:rFonts w:ascii="Arial" w:hAnsi="Arial" w:cs="Arial"/>
          <w:color w:val="000000"/>
          <w:sz w:val="20"/>
          <w:szCs w:val="20"/>
        </w:rPr>
        <w:t>")</w:t>
      </w:r>
      <w:r w:rsidRPr="00805315">
        <w:rPr>
          <w:rFonts w:ascii="Arial" w:hAnsi="Arial" w:cs="Arial"/>
          <w:color w:val="000000"/>
          <w:sz w:val="20"/>
          <w:szCs w:val="20"/>
        </w:rPr>
        <w:t>, and other customary closing conditions.</w:t>
      </w:r>
      <w:r w:rsidR="00F66D3A" w:rsidRPr="00805315">
        <w:rPr>
          <w:rFonts w:ascii="Arial" w:hAnsi="Arial" w:cs="Arial"/>
          <w:color w:val="000000"/>
          <w:sz w:val="20"/>
          <w:szCs w:val="20"/>
        </w:rPr>
        <w:t xml:space="preserve">  </w:t>
      </w:r>
      <w:r w:rsidR="00D90238" w:rsidRPr="00805315">
        <w:rPr>
          <w:rFonts w:ascii="Arial" w:hAnsi="Arial" w:cs="Arial"/>
          <w:color w:val="000000"/>
          <w:sz w:val="20"/>
          <w:szCs w:val="20"/>
        </w:rPr>
        <w:t xml:space="preserve">Crown Point's partners in the TDF Concessions have </w:t>
      </w:r>
      <w:r w:rsidR="004D0CB4" w:rsidRPr="00805315">
        <w:rPr>
          <w:rFonts w:ascii="Arial" w:hAnsi="Arial" w:cs="Arial"/>
          <w:color w:val="000000"/>
          <w:sz w:val="20"/>
          <w:szCs w:val="20"/>
        </w:rPr>
        <w:t>ROFRs</w:t>
      </w:r>
      <w:r w:rsidR="00D90238" w:rsidRPr="00805315">
        <w:rPr>
          <w:rFonts w:ascii="Arial" w:hAnsi="Arial" w:cs="Arial"/>
          <w:color w:val="000000"/>
          <w:sz w:val="20"/>
          <w:szCs w:val="20"/>
        </w:rPr>
        <w:t xml:space="preserve"> in connection with the Acquisition.  If one or more of such partners exercises its ROFR, the Company </w:t>
      </w:r>
      <w:r w:rsidR="003572FC" w:rsidRPr="00805315">
        <w:rPr>
          <w:rFonts w:ascii="Arial" w:hAnsi="Arial" w:cs="Arial"/>
          <w:color w:val="000000"/>
          <w:sz w:val="20"/>
          <w:szCs w:val="20"/>
        </w:rPr>
        <w:t xml:space="preserve">will </w:t>
      </w:r>
      <w:r w:rsidR="00D90238" w:rsidRPr="00805315">
        <w:rPr>
          <w:rFonts w:ascii="Arial" w:hAnsi="Arial" w:cs="Arial"/>
          <w:color w:val="000000"/>
          <w:sz w:val="20"/>
          <w:szCs w:val="20"/>
        </w:rPr>
        <w:t xml:space="preserve">acquire </w:t>
      </w:r>
      <w:r w:rsidR="004D0CB4" w:rsidRPr="00805315">
        <w:rPr>
          <w:rFonts w:ascii="Arial" w:hAnsi="Arial" w:cs="Arial"/>
          <w:color w:val="000000"/>
          <w:sz w:val="20"/>
          <w:szCs w:val="20"/>
        </w:rPr>
        <w:t>the portion of the Acquired Assets in respect of which the ROFR has not been exercised, and the purchase price shall be adjusted accordingly</w:t>
      </w:r>
      <w:r w:rsidR="00D90238" w:rsidRPr="00805315">
        <w:rPr>
          <w:rFonts w:ascii="Arial" w:hAnsi="Arial" w:cs="Arial"/>
          <w:color w:val="000000"/>
          <w:sz w:val="20"/>
          <w:szCs w:val="20"/>
        </w:rPr>
        <w:t>.</w:t>
      </w:r>
      <w:r w:rsidR="00B2131B">
        <w:rPr>
          <w:rFonts w:ascii="Arial" w:hAnsi="Arial" w:cs="Arial"/>
          <w:color w:val="000000"/>
          <w:sz w:val="20"/>
          <w:szCs w:val="20"/>
        </w:rPr>
        <w:t xml:space="preserve"> </w:t>
      </w:r>
      <w:r w:rsidR="00B2131B" w:rsidRPr="00805315">
        <w:rPr>
          <w:rFonts w:ascii="Arial" w:hAnsi="Arial" w:cs="Arial"/>
          <w:color w:val="000000"/>
          <w:sz w:val="20"/>
          <w:szCs w:val="20"/>
        </w:rPr>
        <w:t xml:space="preserve">Closing is currently expected to occur in the </w:t>
      </w:r>
      <w:r w:rsidR="00B2131B" w:rsidRPr="006777C8">
        <w:rPr>
          <w:rFonts w:ascii="Arial" w:hAnsi="Arial" w:cs="Arial"/>
          <w:color w:val="000000"/>
          <w:sz w:val="20"/>
          <w:szCs w:val="20"/>
        </w:rPr>
        <w:t>third</w:t>
      </w:r>
      <w:r w:rsidR="00B2131B" w:rsidRPr="00805315">
        <w:rPr>
          <w:rFonts w:ascii="Arial" w:hAnsi="Arial" w:cs="Arial"/>
          <w:color w:val="000000"/>
          <w:sz w:val="20"/>
          <w:szCs w:val="20"/>
        </w:rPr>
        <w:t xml:space="preserve"> quarter of 2024. </w:t>
      </w:r>
    </w:p>
    <w:p w14:paraId="2E81F67F"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For inquiries please contact:</w:t>
      </w:r>
    </w:p>
    <w:p w14:paraId="4ADA3FD3" w14:textId="77777777" w:rsidR="004D0CB4" w:rsidRPr="00805315" w:rsidRDefault="004D0CB4" w:rsidP="004D0CB4">
      <w:pPr>
        <w:shd w:val="clear" w:color="auto" w:fill="FFFFFF"/>
        <w:jc w:val="both"/>
        <w:rPr>
          <w:rFonts w:ascii="Arial" w:hAnsi="Arial" w:cs="Arial"/>
          <w:sz w:val="20"/>
          <w:szCs w:val="20"/>
          <w:lang w:eastAsia="es-AR"/>
        </w:rPr>
      </w:pPr>
    </w:p>
    <w:p w14:paraId="31CF6BC1"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 xml:space="preserve">Gabriel Obrador </w:t>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t>Marisa Tormakh</w:t>
      </w:r>
    </w:p>
    <w:p w14:paraId="7D658661"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 xml:space="preserve">President &amp; CEO </w:t>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t>Vice-President, Finance &amp; CFO</w:t>
      </w:r>
    </w:p>
    <w:p w14:paraId="3AE12B14"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 xml:space="preserve">Ph: (403) 232-1150 </w:t>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t>Ph: (403) 232-1150</w:t>
      </w:r>
    </w:p>
    <w:p w14:paraId="6B3E7135"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 xml:space="preserve">Crown Point Energy Inc. </w:t>
      </w:r>
      <w:r w:rsidRPr="00805315">
        <w:rPr>
          <w:rFonts w:ascii="Arial" w:hAnsi="Arial" w:cs="Arial"/>
          <w:sz w:val="20"/>
          <w:szCs w:val="20"/>
          <w:lang w:eastAsia="es-AR"/>
        </w:rPr>
        <w:tab/>
      </w:r>
      <w:r w:rsidRPr="00805315">
        <w:rPr>
          <w:rFonts w:ascii="Arial" w:hAnsi="Arial" w:cs="Arial"/>
          <w:sz w:val="20"/>
          <w:szCs w:val="20"/>
          <w:lang w:eastAsia="es-AR"/>
        </w:rPr>
        <w:tab/>
      </w:r>
      <w:r w:rsidRPr="00805315">
        <w:rPr>
          <w:rFonts w:ascii="Arial" w:hAnsi="Arial" w:cs="Arial"/>
          <w:sz w:val="20"/>
          <w:szCs w:val="20"/>
          <w:lang w:eastAsia="es-AR"/>
        </w:rPr>
        <w:tab/>
        <w:t>Crown Point Energy Inc.</w:t>
      </w:r>
    </w:p>
    <w:p w14:paraId="558A0161" w14:textId="77777777" w:rsidR="004D0CB4" w:rsidRPr="00805315" w:rsidRDefault="00000000" w:rsidP="004D0CB4">
      <w:pPr>
        <w:shd w:val="clear" w:color="auto" w:fill="FFFFFF"/>
        <w:jc w:val="both"/>
        <w:rPr>
          <w:rFonts w:ascii="Arial" w:hAnsi="Arial" w:cs="Arial"/>
          <w:sz w:val="20"/>
          <w:szCs w:val="20"/>
          <w:lang w:eastAsia="es-AR"/>
        </w:rPr>
      </w:pPr>
      <w:hyperlink r:id="rId14" w:history="1">
        <w:r w:rsidR="004D0CB4" w:rsidRPr="00805315">
          <w:rPr>
            <w:rStyle w:val="Hipervnculo"/>
            <w:rFonts w:ascii="Arial" w:hAnsi="Arial" w:cs="Arial"/>
            <w:sz w:val="20"/>
            <w:szCs w:val="20"/>
            <w:lang w:eastAsia="es-AR"/>
          </w:rPr>
          <w:t>gobrador@crownpointenergy.com</w:t>
        </w:r>
      </w:hyperlink>
      <w:r w:rsidR="004D0CB4" w:rsidRPr="00805315">
        <w:rPr>
          <w:rFonts w:ascii="Arial" w:hAnsi="Arial" w:cs="Arial"/>
          <w:sz w:val="20"/>
          <w:szCs w:val="20"/>
          <w:lang w:eastAsia="es-AR"/>
        </w:rPr>
        <w:t xml:space="preserve"> </w:t>
      </w:r>
      <w:r w:rsidR="004D0CB4" w:rsidRPr="00805315">
        <w:rPr>
          <w:rFonts w:ascii="Arial" w:hAnsi="Arial" w:cs="Arial"/>
          <w:sz w:val="20"/>
          <w:szCs w:val="20"/>
          <w:lang w:eastAsia="es-AR"/>
        </w:rPr>
        <w:tab/>
      </w:r>
      <w:r w:rsidR="004D0CB4" w:rsidRPr="00805315">
        <w:rPr>
          <w:rFonts w:ascii="Arial" w:hAnsi="Arial" w:cs="Arial"/>
          <w:sz w:val="20"/>
          <w:szCs w:val="20"/>
          <w:lang w:eastAsia="es-AR"/>
        </w:rPr>
        <w:tab/>
      </w:r>
      <w:hyperlink r:id="rId15" w:history="1">
        <w:r w:rsidR="004D0CB4" w:rsidRPr="00805315">
          <w:rPr>
            <w:rStyle w:val="Hipervnculo"/>
            <w:rFonts w:ascii="Arial" w:hAnsi="Arial" w:cs="Arial"/>
            <w:sz w:val="20"/>
            <w:szCs w:val="20"/>
            <w:lang w:eastAsia="es-AR"/>
          </w:rPr>
          <w:t>mtormakh@crownpointenergy.com</w:t>
        </w:r>
      </w:hyperlink>
      <w:r w:rsidR="004D0CB4" w:rsidRPr="00805315">
        <w:rPr>
          <w:rFonts w:ascii="Arial" w:hAnsi="Arial" w:cs="Arial"/>
          <w:sz w:val="20"/>
          <w:szCs w:val="20"/>
          <w:lang w:eastAsia="es-AR"/>
        </w:rPr>
        <w:t xml:space="preserve"> </w:t>
      </w:r>
    </w:p>
    <w:p w14:paraId="2A63BB49" w14:textId="77777777" w:rsidR="004D0CB4" w:rsidRPr="00805315" w:rsidRDefault="004D0CB4" w:rsidP="004D0CB4">
      <w:pPr>
        <w:shd w:val="clear" w:color="auto" w:fill="FFFFFF"/>
        <w:jc w:val="both"/>
        <w:rPr>
          <w:rFonts w:ascii="Arial" w:hAnsi="Arial" w:cs="Arial"/>
          <w:sz w:val="20"/>
          <w:szCs w:val="20"/>
          <w:lang w:eastAsia="es-AR"/>
        </w:rPr>
      </w:pPr>
    </w:p>
    <w:p w14:paraId="4F149937" w14:textId="77777777" w:rsidR="004D0CB4" w:rsidRPr="00805315" w:rsidRDefault="004D0CB4" w:rsidP="004D0CB4">
      <w:pPr>
        <w:shd w:val="clear" w:color="auto" w:fill="FFFFFF"/>
        <w:jc w:val="both"/>
        <w:rPr>
          <w:rFonts w:ascii="Arial" w:hAnsi="Arial" w:cs="Arial"/>
          <w:b/>
          <w:bCs/>
          <w:sz w:val="20"/>
          <w:szCs w:val="20"/>
          <w:lang w:eastAsia="es-AR"/>
        </w:rPr>
      </w:pPr>
      <w:r w:rsidRPr="00805315">
        <w:rPr>
          <w:rFonts w:ascii="Arial" w:hAnsi="Arial" w:cs="Arial"/>
          <w:b/>
          <w:bCs/>
          <w:sz w:val="20"/>
          <w:szCs w:val="20"/>
          <w:lang w:eastAsia="es-AR"/>
        </w:rPr>
        <w:t>About Crown Point</w:t>
      </w:r>
    </w:p>
    <w:p w14:paraId="6446A793" w14:textId="77777777" w:rsidR="004D0CB4" w:rsidRPr="00805315" w:rsidRDefault="004D0CB4" w:rsidP="004D0CB4">
      <w:pPr>
        <w:shd w:val="clear" w:color="auto" w:fill="FFFFFF"/>
        <w:jc w:val="both"/>
        <w:rPr>
          <w:rFonts w:ascii="Arial" w:hAnsi="Arial" w:cs="Arial"/>
          <w:b/>
          <w:bCs/>
          <w:sz w:val="20"/>
          <w:szCs w:val="20"/>
          <w:lang w:eastAsia="es-AR"/>
        </w:rPr>
      </w:pPr>
    </w:p>
    <w:p w14:paraId="05978F05" w14:textId="77777777" w:rsidR="004D0CB4" w:rsidRPr="00805315" w:rsidRDefault="004D0CB4" w:rsidP="004D0CB4">
      <w:pPr>
        <w:shd w:val="clear" w:color="auto" w:fill="FFFFFF"/>
        <w:jc w:val="both"/>
        <w:rPr>
          <w:rFonts w:ascii="Arial" w:hAnsi="Arial" w:cs="Arial"/>
          <w:sz w:val="20"/>
          <w:szCs w:val="20"/>
          <w:lang w:eastAsia="es-AR"/>
        </w:rPr>
      </w:pPr>
      <w:r w:rsidRPr="00805315">
        <w:rPr>
          <w:rFonts w:ascii="Arial" w:hAnsi="Arial" w:cs="Arial"/>
          <w:sz w:val="20"/>
          <w:szCs w:val="20"/>
          <w:lang w:eastAsia="es-AR"/>
        </w:rPr>
        <w:t>Crown Point is an international oil and gas exploration and development company incorporated in Alberta, Canada, trading on the TSX Venture Exchange and operating in Argentina. Crown Point's exploration and development activities are focused in three producing basins in Argentina, the Austral basin in the province of Tierra del Fuego, and the Neuquén and Cuyano basins in the province of Mendoza. Crown Point has a strategy that focuses on establishing a portfolio of producing properties, plus production enhancement and exploration opportunities to provide a basis for future growth.</w:t>
      </w:r>
    </w:p>
    <w:p w14:paraId="67F4BBFA" w14:textId="6FD737BB" w:rsidR="00963CAB" w:rsidRPr="008B5946" w:rsidRDefault="00963CAB" w:rsidP="008B5946">
      <w:pPr>
        <w:pStyle w:val="MICONHEADER1"/>
        <w:widowControl w:val="0"/>
        <w:ind w:left="0"/>
        <w:rPr>
          <w:rFonts w:ascii="Arial" w:hAnsi="Arial" w:cs="Arial"/>
          <w:b w:val="0"/>
          <w:bCs/>
          <w:caps w:val="0"/>
          <w:sz w:val="20"/>
          <w:szCs w:val="20"/>
        </w:rPr>
      </w:pPr>
    </w:p>
    <w:p w14:paraId="32DC4ECC" w14:textId="77777777" w:rsidR="001757BE" w:rsidRPr="008B5946" w:rsidRDefault="001757BE" w:rsidP="008B5946">
      <w:pPr>
        <w:pStyle w:val="MICONHEADER1"/>
        <w:widowControl w:val="0"/>
        <w:ind w:left="0"/>
        <w:rPr>
          <w:rFonts w:ascii="Arial" w:hAnsi="Arial" w:cs="Arial"/>
          <w:b w:val="0"/>
          <w:bCs/>
          <w:caps w:val="0"/>
          <w:sz w:val="20"/>
          <w:szCs w:val="20"/>
        </w:rPr>
      </w:pPr>
    </w:p>
    <w:p w14:paraId="48C7ADF1" w14:textId="77777777" w:rsidR="005D0054" w:rsidRPr="00805315" w:rsidRDefault="005D0054" w:rsidP="004B7D7A">
      <w:pPr>
        <w:autoSpaceDE w:val="0"/>
        <w:autoSpaceDN w:val="0"/>
        <w:adjustRightInd w:val="0"/>
        <w:jc w:val="both"/>
        <w:rPr>
          <w:rFonts w:ascii="Arial" w:hAnsi="Arial" w:cs="Arial"/>
          <w:b/>
          <w:bCs/>
          <w:sz w:val="18"/>
          <w:szCs w:val="18"/>
        </w:rPr>
      </w:pPr>
      <w:r w:rsidRPr="00805315">
        <w:rPr>
          <w:rFonts w:ascii="Arial" w:hAnsi="Arial" w:cs="Arial"/>
          <w:b/>
          <w:bCs/>
          <w:sz w:val="18"/>
          <w:szCs w:val="18"/>
        </w:rPr>
        <w:t>Advisories</w:t>
      </w:r>
    </w:p>
    <w:p w14:paraId="2F68DB7B" w14:textId="77777777" w:rsidR="004B7D7A" w:rsidRPr="00805315" w:rsidRDefault="005D0054" w:rsidP="004B7D7A">
      <w:pPr>
        <w:autoSpaceDE w:val="0"/>
        <w:autoSpaceDN w:val="0"/>
        <w:adjustRightInd w:val="0"/>
        <w:jc w:val="both"/>
        <w:rPr>
          <w:rFonts w:ascii="Arial" w:hAnsi="Arial" w:cs="Arial"/>
          <w:sz w:val="18"/>
          <w:szCs w:val="18"/>
          <w:u w:val="single"/>
        </w:rPr>
      </w:pPr>
      <w:r w:rsidRPr="00805315">
        <w:rPr>
          <w:rFonts w:ascii="Arial" w:hAnsi="Arial" w:cs="Arial"/>
          <w:b/>
          <w:bCs/>
          <w:sz w:val="18"/>
          <w:szCs w:val="18"/>
        </w:rPr>
        <w:br/>
      </w:r>
      <w:r w:rsidRPr="00805315">
        <w:rPr>
          <w:rFonts w:ascii="Arial" w:hAnsi="Arial" w:cs="Arial"/>
          <w:sz w:val="18"/>
          <w:szCs w:val="18"/>
          <w:u w:val="single"/>
        </w:rPr>
        <w:t>Forward-Looking Statements</w:t>
      </w:r>
    </w:p>
    <w:p w14:paraId="64B8CADC" w14:textId="72AE9A9A" w:rsidR="005D0054" w:rsidRPr="00805315" w:rsidRDefault="005D0054" w:rsidP="004B7D7A">
      <w:pPr>
        <w:autoSpaceDE w:val="0"/>
        <w:autoSpaceDN w:val="0"/>
        <w:adjustRightInd w:val="0"/>
        <w:jc w:val="both"/>
        <w:rPr>
          <w:rFonts w:ascii="Arial" w:hAnsi="Arial" w:cs="Arial"/>
          <w:sz w:val="18"/>
          <w:szCs w:val="18"/>
        </w:rPr>
      </w:pPr>
      <w:r w:rsidRPr="00805315">
        <w:rPr>
          <w:rFonts w:ascii="Arial" w:hAnsi="Arial" w:cs="Arial"/>
          <w:sz w:val="18"/>
          <w:szCs w:val="18"/>
        </w:rPr>
        <w:t>Certain information regarding Crown Point set forth in this document, including</w:t>
      </w:r>
      <w:r w:rsidR="00EE4B11">
        <w:rPr>
          <w:rFonts w:ascii="Arial" w:hAnsi="Arial" w:cs="Arial"/>
          <w:sz w:val="18"/>
          <w:szCs w:val="18"/>
        </w:rPr>
        <w:t xml:space="preserve"> </w:t>
      </w:r>
      <w:r w:rsidRPr="00EE4B11">
        <w:rPr>
          <w:rFonts w:ascii="Arial" w:hAnsi="Arial" w:cs="Arial"/>
          <w:sz w:val="18"/>
          <w:szCs w:val="18"/>
        </w:rPr>
        <w:t xml:space="preserve">all details regarding the proposed </w:t>
      </w:r>
      <w:r w:rsidR="00EF3BA8" w:rsidRPr="00EE4B11">
        <w:rPr>
          <w:rFonts w:ascii="Arial" w:hAnsi="Arial" w:cs="Arial"/>
          <w:sz w:val="18"/>
          <w:szCs w:val="18"/>
        </w:rPr>
        <w:t>Acquisition</w:t>
      </w:r>
      <w:r w:rsidRPr="00EE4B11">
        <w:rPr>
          <w:rFonts w:ascii="Arial" w:hAnsi="Arial" w:cs="Arial"/>
          <w:sz w:val="18"/>
          <w:szCs w:val="18"/>
        </w:rPr>
        <w:t xml:space="preserve">, the benefits that we anticipate deriving from the </w:t>
      </w:r>
      <w:r w:rsidR="00CE54A6" w:rsidRPr="00EE4B11">
        <w:rPr>
          <w:rFonts w:ascii="Arial" w:hAnsi="Arial" w:cs="Arial"/>
          <w:sz w:val="18"/>
          <w:szCs w:val="18"/>
        </w:rPr>
        <w:t>A</w:t>
      </w:r>
      <w:r w:rsidRPr="00EE4B11">
        <w:rPr>
          <w:rFonts w:ascii="Arial" w:hAnsi="Arial" w:cs="Arial"/>
          <w:sz w:val="18"/>
          <w:szCs w:val="18"/>
        </w:rPr>
        <w:t xml:space="preserve">cquisition, the anticipated timing for closing the </w:t>
      </w:r>
      <w:r w:rsidR="00504E5F" w:rsidRPr="00EE4B11">
        <w:rPr>
          <w:rFonts w:ascii="Arial" w:hAnsi="Arial" w:cs="Arial"/>
          <w:sz w:val="18"/>
          <w:szCs w:val="18"/>
        </w:rPr>
        <w:t>Acquisition</w:t>
      </w:r>
      <w:r w:rsidR="00CE54A6" w:rsidRPr="00EE4B11">
        <w:rPr>
          <w:rFonts w:ascii="Arial" w:hAnsi="Arial" w:cs="Arial"/>
          <w:sz w:val="18"/>
          <w:szCs w:val="18"/>
        </w:rPr>
        <w:t xml:space="preserve">, </w:t>
      </w:r>
      <w:r w:rsidR="00D2610B" w:rsidRPr="00EE4B11">
        <w:rPr>
          <w:rFonts w:ascii="Arial" w:hAnsi="Arial" w:cs="Arial"/>
          <w:sz w:val="18"/>
          <w:szCs w:val="18"/>
        </w:rPr>
        <w:t xml:space="preserve">our beliefs regarding how we will fund the purchase price for the Acquisition and </w:t>
      </w:r>
      <w:r w:rsidR="00CE54A6" w:rsidRPr="00EE4B11">
        <w:rPr>
          <w:rFonts w:ascii="Arial" w:hAnsi="Arial" w:cs="Arial"/>
          <w:sz w:val="18"/>
          <w:szCs w:val="18"/>
        </w:rPr>
        <w:t xml:space="preserve">our ability to fund the purchase price </w:t>
      </w:r>
      <w:r w:rsidR="00504E5F" w:rsidRPr="00EE4B11">
        <w:rPr>
          <w:rFonts w:ascii="Arial" w:hAnsi="Arial" w:cs="Arial"/>
          <w:sz w:val="18"/>
          <w:szCs w:val="18"/>
        </w:rPr>
        <w:t>for</w:t>
      </w:r>
      <w:r w:rsidR="00CE54A6" w:rsidRPr="00EE4B11">
        <w:rPr>
          <w:rFonts w:ascii="Arial" w:hAnsi="Arial" w:cs="Arial"/>
          <w:sz w:val="18"/>
          <w:szCs w:val="18"/>
        </w:rPr>
        <w:t xml:space="preserve"> the Acquisition, including our ability to obtain </w:t>
      </w:r>
      <w:r w:rsidR="00D2610B" w:rsidRPr="00EE4B11">
        <w:rPr>
          <w:rFonts w:ascii="Arial" w:hAnsi="Arial" w:cs="Arial"/>
          <w:sz w:val="18"/>
          <w:szCs w:val="18"/>
        </w:rPr>
        <w:t xml:space="preserve">the requisite </w:t>
      </w:r>
      <w:r w:rsidR="00CE54A6" w:rsidRPr="00EE4B11">
        <w:rPr>
          <w:rFonts w:ascii="Arial" w:hAnsi="Arial" w:cs="Arial"/>
          <w:sz w:val="18"/>
          <w:szCs w:val="18"/>
        </w:rPr>
        <w:t>debt financing</w:t>
      </w:r>
      <w:r w:rsidR="00B96BA6" w:rsidRPr="00EE4B11">
        <w:rPr>
          <w:rFonts w:ascii="Arial" w:hAnsi="Arial" w:cs="Arial"/>
          <w:sz w:val="18"/>
          <w:szCs w:val="18"/>
        </w:rPr>
        <w:t>,</w:t>
      </w:r>
      <w:r w:rsidR="00B96BA6" w:rsidRPr="00805315">
        <w:rPr>
          <w:rFonts w:ascii="Arial" w:hAnsi="Arial" w:cs="Arial"/>
          <w:sz w:val="18"/>
          <w:szCs w:val="18"/>
        </w:rPr>
        <w:t xml:space="preserve"> </w:t>
      </w:r>
      <w:r w:rsidRPr="00805315">
        <w:rPr>
          <w:rFonts w:ascii="Arial" w:hAnsi="Arial" w:cs="Arial"/>
          <w:sz w:val="18"/>
          <w:szCs w:val="18"/>
        </w:rPr>
        <w:t xml:space="preserve">may constitute forward-looking statements under applicable securities laws. The forward-looking information is based on certain key expectations and assumptions made by Crown Point, including expectations and assumptions concerning: prevailing commodity prices and exchange rates; applicable royalty rates and tax laws; future well production rates and reserve volumes; the timing of receipt of regulatory approvals; the performance of existing wells; the success obtained in drilling new wells; the sufficiency of budgeted capital expenditures in carrying out planned activities; and the availability and cost of labour and services. Although Crown Point believes that the expectations and assumptions on which such forward-looking information is based are reasonable, undue reliance should not be placed on the forward-looking information because Crown Point can give no assurances that they will prove to be correct. Since forward-looking </w:t>
      </w:r>
      <w:r w:rsidRPr="00805315">
        <w:rPr>
          <w:rFonts w:ascii="Arial" w:hAnsi="Arial" w:cs="Arial"/>
          <w:sz w:val="18"/>
          <w:szCs w:val="18"/>
        </w:rPr>
        <w:lastRenderedPageBreak/>
        <w:t>information addresses future events and conditions, by its very nature it involves inherent risks and uncertainties. Actual results could differ materially from those currently anticipated due to a number of factors and risks.  These risks include, without limitation: risks associated with oil and gas exploration, development, exploitation, production, marketing and transportation, loss of markets, volatility of commodity prices, environmental risks, inability to obtain drilling rigs or other services, capital expenditure costs, including drilling, completion and facility costs, unexpected decline rates in wells, wells not performing as expected, delays resulting from labour unrest, delays resulting from our inability to obtain required regulatory approvals and ability to access sufficient capital from internal and external sources, the impact of general economic conditions in Canada, Argentina, the United States and overseas, industry conditions, changes in laws and regulations (including the adoption of new environmental laws and regulations) and changes in how they are interpreted and enforced, increased competition, the lack of availability of qualified personnel or management, fluctuations in foreign exchange</w:t>
      </w:r>
      <w:r w:rsidR="00B2131B">
        <w:rPr>
          <w:rFonts w:ascii="Arial" w:hAnsi="Arial" w:cs="Arial"/>
          <w:sz w:val="18"/>
          <w:szCs w:val="18"/>
        </w:rPr>
        <w:t>,</w:t>
      </w:r>
      <w:r w:rsidRPr="00805315">
        <w:rPr>
          <w:rFonts w:ascii="Arial" w:hAnsi="Arial" w:cs="Arial"/>
          <w:sz w:val="18"/>
          <w:szCs w:val="18"/>
        </w:rPr>
        <w:t xml:space="preserve"> interest rates</w:t>
      </w:r>
      <w:r w:rsidR="00B2131B">
        <w:rPr>
          <w:rFonts w:ascii="Arial" w:hAnsi="Arial" w:cs="Arial"/>
          <w:sz w:val="18"/>
          <w:szCs w:val="18"/>
        </w:rPr>
        <w:t xml:space="preserve"> and inflation rates</w:t>
      </w:r>
      <w:r w:rsidRPr="00805315">
        <w:rPr>
          <w:rFonts w:ascii="Arial" w:hAnsi="Arial" w:cs="Arial"/>
          <w:sz w:val="18"/>
          <w:szCs w:val="18"/>
        </w:rPr>
        <w:t>, and stock market volatility and market valuations of companies with respect to announced transactions and the final valuations thereof. There are also risks inherent in the nature of the proposed A</w:t>
      </w:r>
      <w:r w:rsidR="00504E5F" w:rsidRPr="00805315">
        <w:rPr>
          <w:rFonts w:ascii="Arial" w:hAnsi="Arial" w:cs="Arial"/>
          <w:sz w:val="18"/>
          <w:szCs w:val="18"/>
        </w:rPr>
        <w:t>cquisition</w:t>
      </w:r>
      <w:r w:rsidRPr="00805315">
        <w:rPr>
          <w:rFonts w:ascii="Arial" w:hAnsi="Arial" w:cs="Arial"/>
          <w:sz w:val="18"/>
          <w:szCs w:val="18"/>
        </w:rPr>
        <w:t xml:space="preserve">, including failure to realize anticipated </w:t>
      </w:r>
      <w:r w:rsidR="00F13C05" w:rsidRPr="00805315">
        <w:rPr>
          <w:rFonts w:ascii="Arial" w:hAnsi="Arial" w:cs="Arial"/>
          <w:sz w:val="18"/>
          <w:szCs w:val="18"/>
        </w:rPr>
        <w:t>opportunities and benefits</w:t>
      </w:r>
      <w:r w:rsidRPr="00805315">
        <w:rPr>
          <w:rFonts w:ascii="Arial" w:hAnsi="Arial" w:cs="Arial"/>
          <w:sz w:val="18"/>
          <w:szCs w:val="18"/>
        </w:rPr>
        <w:t xml:space="preserve">; risks regarding the integration of </w:t>
      </w:r>
      <w:r w:rsidR="00F13C05" w:rsidRPr="00805315">
        <w:rPr>
          <w:rFonts w:ascii="Arial" w:hAnsi="Arial" w:cs="Arial"/>
          <w:sz w:val="18"/>
          <w:szCs w:val="18"/>
        </w:rPr>
        <w:t>the Acquired Assets</w:t>
      </w:r>
      <w:r w:rsidRPr="00805315">
        <w:rPr>
          <w:rFonts w:ascii="Arial" w:hAnsi="Arial" w:cs="Arial"/>
          <w:sz w:val="18"/>
          <w:szCs w:val="18"/>
        </w:rPr>
        <w:t xml:space="preserve"> into Crown Point; incorrect assessment by Crown Point of the value of </w:t>
      </w:r>
      <w:r w:rsidR="00F13C05" w:rsidRPr="00805315">
        <w:rPr>
          <w:rFonts w:ascii="Arial" w:hAnsi="Arial" w:cs="Arial"/>
          <w:sz w:val="18"/>
          <w:szCs w:val="18"/>
        </w:rPr>
        <w:t>the Acquired Assets</w:t>
      </w:r>
      <w:r w:rsidRPr="00805315">
        <w:rPr>
          <w:rFonts w:ascii="Arial" w:hAnsi="Arial" w:cs="Arial"/>
          <w:sz w:val="18"/>
          <w:szCs w:val="18"/>
        </w:rPr>
        <w:t>; failure to obtain the required regulatory and other third party approvals</w:t>
      </w:r>
      <w:r w:rsidR="00504E5F" w:rsidRPr="00805315">
        <w:rPr>
          <w:rFonts w:ascii="Arial" w:hAnsi="Arial" w:cs="Arial"/>
          <w:sz w:val="18"/>
          <w:szCs w:val="18"/>
        </w:rPr>
        <w:t xml:space="preserve">; failure to obtain the debt </w:t>
      </w:r>
      <w:r w:rsidR="00B96BA6" w:rsidRPr="00805315">
        <w:rPr>
          <w:rFonts w:ascii="Arial" w:hAnsi="Arial" w:cs="Arial"/>
          <w:sz w:val="18"/>
          <w:szCs w:val="18"/>
        </w:rPr>
        <w:t xml:space="preserve">and/or </w:t>
      </w:r>
      <w:r w:rsidR="00504E5F" w:rsidRPr="00805315">
        <w:rPr>
          <w:rFonts w:ascii="Arial" w:hAnsi="Arial" w:cs="Arial"/>
          <w:sz w:val="18"/>
          <w:szCs w:val="18"/>
        </w:rPr>
        <w:t xml:space="preserve">other financing required to fund the purchase price for the Acquisition; </w:t>
      </w:r>
      <w:r w:rsidR="007D2892" w:rsidRPr="00805315">
        <w:rPr>
          <w:rFonts w:ascii="Arial" w:hAnsi="Arial" w:cs="Arial"/>
          <w:sz w:val="18"/>
          <w:szCs w:val="18"/>
        </w:rPr>
        <w:t xml:space="preserve">the possibility that one or more of Crown Point's partners exercise its ROFR; </w:t>
      </w:r>
      <w:r w:rsidR="00504E5F" w:rsidRPr="00805315">
        <w:rPr>
          <w:rFonts w:ascii="Arial" w:hAnsi="Arial" w:cs="Arial"/>
          <w:sz w:val="18"/>
          <w:szCs w:val="18"/>
        </w:rPr>
        <w:t xml:space="preserve">and the possibility that the Agreement will be </w:t>
      </w:r>
      <w:r w:rsidR="00B2131B">
        <w:rPr>
          <w:rFonts w:ascii="Arial" w:hAnsi="Arial" w:cs="Arial"/>
          <w:sz w:val="18"/>
          <w:szCs w:val="18"/>
        </w:rPr>
        <w:t xml:space="preserve">amended or </w:t>
      </w:r>
      <w:r w:rsidR="00504E5F" w:rsidRPr="00805315">
        <w:rPr>
          <w:rFonts w:ascii="Arial" w:hAnsi="Arial" w:cs="Arial"/>
          <w:sz w:val="18"/>
          <w:szCs w:val="18"/>
        </w:rPr>
        <w:t>terminated</w:t>
      </w:r>
      <w:r w:rsidRPr="00805315">
        <w:rPr>
          <w:rFonts w:ascii="Arial" w:hAnsi="Arial" w:cs="Arial"/>
          <w:sz w:val="18"/>
          <w:szCs w:val="18"/>
        </w:rPr>
        <w:t xml:space="preserve">. Readers are cautioned that the foregoing list of factors is not exhaustive.  </w:t>
      </w:r>
    </w:p>
    <w:p w14:paraId="204B3736" w14:textId="77777777" w:rsidR="005D0054" w:rsidRPr="00805315" w:rsidRDefault="005D0054" w:rsidP="004B7D7A">
      <w:pPr>
        <w:autoSpaceDE w:val="0"/>
        <w:autoSpaceDN w:val="0"/>
        <w:adjustRightInd w:val="0"/>
        <w:jc w:val="both"/>
        <w:rPr>
          <w:rFonts w:ascii="Arial" w:hAnsi="Arial" w:cs="Arial"/>
          <w:sz w:val="18"/>
          <w:szCs w:val="18"/>
        </w:rPr>
      </w:pPr>
    </w:p>
    <w:p w14:paraId="0091CB91" w14:textId="77777777" w:rsidR="005D0054" w:rsidRPr="00805315" w:rsidRDefault="005D0054" w:rsidP="004B7D7A">
      <w:pPr>
        <w:autoSpaceDE w:val="0"/>
        <w:autoSpaceDN w:val="0"/>
        <w:adjustRightInd w:val="0"/>
        <w:jc w:val="both"/>
        <w:rPr>
          <w:rFonts w:ascii="Arial" w:hAnsi="Arial" w:cs="Arial"/>
          <w:sz w:val="18"/>
          <w:szCs w:val="18"/>
        </w:rPr>
      </w:pPr>
      <w:r w:rsidRPr="00805315">
        <w:rPr>
          <w:rFonts w:ascii="Arial" w:hAnsi="Arial" w:cs="Arial"/>
          <w:sz w:val="18"/>
          <w:szCs w:val="18"/>
        </w:rPr>
        <w:t xml:space="preserve">This press release also contains forward-looking information concerning the anticipated completion of the </w:t>
      </w:r>
      <w:r w:rsidR="00504E5F" w:rsidRPr="00805315">
        <w:rPr>
          <w:rFonts w:ascii="Arial" w:hAnsi="Arial" w:cs="Arial"/>
          <w:sz w:val="18"/>
          <w:szCs w:val="18"/>
        </w:rPr>
        <w:t>Acquisition</w:t>
      </w:r>
      <w:r w:rsidRPr="00805315">
        <w:rPr>
          <w:rFonts w:ascii="Arial" w:hAnsi="Arial" w:cs="Arial"/>
          <w:sz w:val="18"/>
          <w:szCs w:val="18"/>
        </w:rPr>
        <w:t xml:space="preserve"> and the anticipated timing thereof. Crown Point has provided </w:t>
      </w:r>
      <w:r w:rsidR="00B96BA6" w:rsidRPr="00805315">
        <w:rPr>
          <w:rFonts w:ascii="Arial" w:hAnsi="Arial" w:cs="Arial"/>
          <w:sz w:val="18"/>
          <w:szCs w:val="18"/>
        </w:rPr>
        <w:t>this information</w:t>
      </w:r>
      <w:r w:rsidRPr="00805315">
        <w:rPr>
          <w:rFonts w:ascii="Arial" w:hAnsi="Arial" w:cs="Arial"/>
          <w:sz w:val="18"/>
          <w:szCs w:val="18"/>
        </w:rPr>
        <w:t xml:space="preserve"> in reliance on certain assumptions that it believes are reasonable, including assumptions as to the timing of receipt of the necessary regulatory</w:t>
      </w:r>
      <w:r w:rsidR="00FF7379" w:rsidRPr="00805315">
        <w:rPr>
          <w:rFonts w:ascii="Arial" w:hAnsi="Arial" w:cs="Arial"/>
          <w:sz w:val="18"/>
          <w:szCs w:val="18"/>
        </w:rPr>
        <w:t>, stock exchange</w:t>
      </w:r>
      <w:r w:rsidRPr="00805315">
        <w:rPr>
          <w:rFonts w:ascii="Arial" w:hAnsi="Arial" w:cs="Arial"/>
          <w:sz w:val="18"/>
          <w:szCs w:val="18"/>
        </w:rPr>
        <w:t xml:space="preserve"> and </w:t>
      </w:r>
      <w:r w:rsidR="00FF7379" w:rsidRPr="00805315">
        <w:rPr>
          <w:rFonts w:ascii="Arial" w:hAnsi="Arial" w:cs="Arial"/>
          <w:sz w:val="18"/>
          <w:szCs w:val="18"/>
        </w:rPr>
        <w:t>other</w:t>
      </w:r>
      <w:r w:rsidRPr="00805315">
        <w:rPr>
          <w:rFonts w:ascii="Arial" w:hAnsi="Arial" w:cs="Arial"/>
          <w:sz w:val="18"/>
          <w:szCs w:val="18"/>
        </w:rPr>
        <w:t xml:space="preserve"> approvals and the satisfaction of and time necessary to satisfy the conditions to the closing of the </w:t>
      </w:r>
      <w:r w:rsidR="00FF7379" w:rsidRPr="00805315">
        <w:rPr>
          <w:rFonts w:ascii="Arial" w:hAnsi="Arial" w:cs="Arial"/>
          <w:sz w:val="18"/>
          <w:szCs w:val="18"/>
        </w:rPr>
        <w:t>Acquisition</w:t>
      </w:r>
      <w:r w:rsidRPr="00805315">
        <w:rPr>
          <w:rFonts w:ascii="Arial" w:hAnsi="Arial" w:cs="Arial"/>
          <w:sz w:val="18"/>
          <w:szCs w:val="18"/>
        </w:rPr>
        <w:t xml:space="preserve">. These dates may change for a number of reasons, including </w:t>
      </w:r>
      <w:r w:rsidR="00FF7379" w:rsidRPr="00805315">
        <w:rPr>
          <w:rFonts w:ascii="Arial" w:hAnsi="Arial" w:cs="Arial"/>
          <w:sz w:val="18"/>
          <w:szCs w:val="18"/>
        </w:rPr>
        <w:t>the</w:t>
      </w:r>
      <w:r w:rsidRPr="00805315">
        <w:rPr>
          <w:rFonts w:ascii="Arial" w:hAnsi="Arial" w:cs="Arial"/>
          <w:sz w:val="18"/>
          <w:szCs w:val="18"/>
        </w:rPr>
        <w:t xml:space="preserve"> inability to secure necessary regulatory</w:t>
      </w:r>
      <w:r w:rsidR="00FF7379" w:rsidRPr="00805315">
        <w:rPr>
          <w:rFonts w:ascii="Arial" w:hAnsi="Arial" w:cs="Arial"/>
          <w:sz w:val="18"/>
          <w:szCs w:val="18"/>
        </w:rPr>
        <w:t>, stock exchange</w:t>
      </w:r>
      <w:r w:rsidRPr="00805315">
        <w:rPr>
          <w:rFonts w:ascii="Arial" w:hAnsi="Arial" w:cs="Arial"/>
          <w:sz w:val="18"/>
          <w:szCs w:val="18"/>
        </w:rPr>
        <w:t xml:space="preserve"> or </w:t>
      </w:r>
      <w:r w:rsidR="00FF7379" w:rsidRPr="00805315">
        <w:rPr>
          <w:rFonts w:ascii="Arial" w:hAnsi="Arial" w:cs="Arial"/>
          <w:sz w:val="18"/>
          <w:szCs w:val="18"/>
        </w:rPr>
        <w:t>other</w:t>
      </w:r>
      <w:r w:rsidRPr="00805315">
        <w:rPr>
          <w:rFonts w:ascii="Arial" w:hAnsi="Arial" w:cs="Arial"/>
          <w:sz w:val="18"/>
          <w:szCs w:val="18"/>
        </w:rPr>
        <w:t xml:space="preserve"> approvals in the time assumed</w:t>
      </w:r>
      <w:r w:rsidR="007D2892" w:rsidRPr="00805315">
        <w:rPr>
          <w:rFonts w:ascii="Arial" w:hAnsi="Arial" w:cs="Arial"/>
          <w:sz w:val="18"/>
          <w:szCs w:val="18"/>
        </w:rPr>
        <w:t>, the exercise by one or more of Crown Point's partners of its ROFR,</w:t>
      </w:r>
      <w:r w:rsidRPr="00805315">
        <w:rPr>
          <w:rFonts w:ascii="Arial" w:hAnsi="Arial" w:cs="Arial"/>
          <w:sz w:val="18"/>
          <w:szCs w:val="18"/>
        </w:rPr>
        <w:t xml:space="preserve"> or the need for additional time to satisfy the conditions to the completion of the A</w:t>
      </w:r>
      <w:r w:rsidR="00FF7379" w:rsidRPr="00805315">
        <w:rPr>
          <w:rFonts w:ascii="Arial" w:hAnsi="Arial" w:cs="Arial"/>
          <w:sz w:val="18"/>
          <w:szCs w:val="18"/>
        </w:rPr>
        <w:t xml:space="preserve">cquisition. </w:t>
      </w:r>
      <w:r w:rsidRPr="00805315">
        <w:rPr>
          <w:rFonts w:ascii="Arial" w:hAnsi="Arial" w:cs="Arial"/>
          <w:sz w:val="18"/>
          <w:szCs w:val="18"/>
        </w:rPr>
        <w:t xml:space="preserve"> In addition, there are no assurances the </w:t>
      </w:r>
      <w:r w:rsidR="00FF7379" w:rsidRPr="00805315">
        <w:rPr>
          <w:rFonts w:ascii="Arial" w:hAnsi="Arial" w:cs="Arial"/>
          <w:sz w:val="18"/>
          <w:szCs w:val="18"/>
        </w:rPr>
        <w:t>Acquisition</w:t>
      </w:r>
      <w:r w:rsidRPr="00805315">
        <w:rPr>
          <w:rFonts w:ascii="Arial" w:hAnsi="Arial" w:cs="Arial"/>
          <w:sz w:val="18"/>
          <w:szCs w:val="18"/>
        </w:rPr>
        <w:t xml:space="preserve"> will be completed</w:t>
      </w:r>
      <w:r w:rsidR="00FF7379" w:rsidRPr="00805315">
        <w:rPr>
          <w:rFonts w:ascii="Arial" w:hAnsi="Arial" w:cs="Arial"/>
          <w:sz w:val="18"/>
          <w:szCs w:val="18"/>
        </w:rPr>
        <w:t xml:space="preserve"> on the terms disclosed herein or at all</w:t>
      </w:r>
      <w:r w:rsidRPr="00805315">
        <w:rPr>
          <w:rFonts w:ascii="Arial" w:hAnsi="Arial" w:cs="Arial"/>
          <w:sz w:val="18"/>
          <w:szCs w:val="18"/>
        </w:rPr>
        <w:t xml:space="preserve">. Accordingly, readers should not place undue reliance on the forward-looking information contained in this press release concerning </w:t>
      </w:r>
      <w:r w:rsidR="00FF7379" w:rsidRPr="00805315">
        <w:rPr>
          <w:rFonts w:ascii="Arial" w:hAnsi="Arial" w:cs="Arial"/>
          <w:sz w:val="18"/>
          <w:szCs w:val="18"/>
        </w:rPr>
        <w:t>the Acquisition</w:t>
      </w:r>
      <w:r w:rsidRPr="00805315">
        <w:rPr>
          <w:rFonts w:ascii="Arial" w:hAnsi="Arial" w:cs="Arial"/>
          <w:sz w:val="18"/>
          <w:szCs w:val="18"/>
        </w:rPr>
        <w:t xml:space="preserve">. </w:t>
      </w:r>
    </w:p>
    <w:p w14:paraId="743B2EF2" w14:textId="77777777" w:rsidR="005D0054" w:rsidRPr="00805315" w:rsidRDefault="005D0054" w:rsidP="004B7D7A">
      <w:pPr>
        <w:autoSpaceDE w:val="0"/>
        <w:autoSpaceDN w:val="0"/>
        <w:adjustRightInd w:val="0"/>
        <w:jc w:val="both"/>
        <w:rPr>
          <w:rFonts w:ascii="Arial" w:hAnsi="Arial" w:cs="Arial"/>
          <w:sz w:val="18"/>
          <w:szCs w:val="18"/>
        </w:rPr>
      </w:pPr>
    </w:p>
    <w:p w14:paraId="1D84FFBD" w14:textId="72311BA2" w:rsidR="005D0054" w:rsidRPr="00805315" w:rsidRDefault="005D0054" w:rsidP="004B7D7A">
      <w:pPr>
        <w:autoSpaceDE w:val="0"/>
        <w:autoSpaceDN w:val="0"/>
        <w:adjustRightInd w:val="0"/>
        <w:jc w:val="both"/>
        <w:rPr>
          <w:rFonts w:ascii="Arial" w:hAnsi="Arial" w:cs="Arial"/>
          <w:sz w:val="18"/>
          <w:szCs w:val="18"/>
        </w:rPr>
      </w:pPr>
      <w:r w:rsidRPr="00805315">
        <w:rPr>
          <w:rFonts w:ascii="Arial" w:hAnsi="Arial" w:cs="Arial"/>
          <w:sz w:val="18"/>
          <w:szCs w:val="18"/>
        </w:rPr>
        <w:t>Crown Point's actual results, performance or achievement could differ materially from those expressed in, or implied by, these forward-looking statements and, accordingly, no assurance can be given that any of the events anticipated by the forward-looking statements will transpire or occur, or if any of them do so, what benefits that the Company will derive therefrom.  Additional information on these and other factors that could affect Crown Point’s operations and financial results are included in reports on file with Canadian securities regulatory authorities and may be accessed through the SEDAR</w:t>
      </w:r>
      <w:r w:rsidR="00F13C05" w:rsidRPr="00805315">
        <w:rPr>
          <w:rFonts w:ascii="Arial" w:hAnsi="Arial" w:cs="Arial"/>
          <w:sz w:val="18"/>
          <w:szCs w:val="18"/>
        </w:rPr>
        <w:t>+</w:t>
      </w:r>
      <w:r w:rsidRPr="00805315">
        <w:rPr>
          <w:rFonts w:ascii="Arial" w:hAnsi="Arial" w:cs="Arial"/>
          <w:sz w:val="18"/>
          <w:szCs w:val="18"/>
        </w:rPr>
        <w:t xml:space="preserve"> website (</w:t>
      </w:r>
      <w:hyperlink r:id="rId16" w:history="1">
        <w:r w:rsidR="00F13C05" w:rsidRPr="00805315">
          <w:rPr>
            <w:rStyle w:val="Hipervnculo"/>
            <w:rFonts w:ascii="Arial" w:hAnsi="Arial" w:cs="Arial"/>
            <w:sz w:val="18"/>
            <w:szCs w:val="18"/>
          </w:rPr>
          <w:t>www.sedarplus.ca</w:t>
        </w:r>
      </w:hyperlink>
      <w:r w:rsidRPr="00805315">
        <w:rPr>
          <w:rFonts w:ascii="Arial" w:hAnsi="Arial" w:cs="Arial"/>
          <w:sz w:val="18"/>
          <w:szCs w:val="18"/>
        </w:rPr>
        <w:t>) or Crown Point’s website (</w:t>
      </w:r>
      <w:hyperlink r:id="rId17" w:history="1">
        <w:r w:rsidR="00FF7379" w:rsidRPr="00805315">
          <w:rPr>
            <w:rStyle w:val="Hipervnculo"/>
            <w:rFonts w:ascii="Arial" w:hAnsi="Arial" w:cs="Arial"/>
            <w:sz w:val="18"/>
            <w:szCs w:val="18"/>
          </w:rPr>
          <w:t>www.crownpointenergy.c</w:t>
        </w:r>
      </w:hyperlink>
      <w:r w:rsidR="00FF7379" w:rsidRPr="00805315">
        <w:rPr>
          <w:rFonts w:ascii="Arial" w:hAnsi="Arial" w:cs="Arial"/>
          <w:sz w:val="18"/>
          <w:szCs w:val="18"/>
        </w:rPr>
        <w:t>om</w:t>
      </w:r>
      <w:r w:rsidRPr="00805315">
        <w:rPr>
          <w:rFonts w:ascii="Arial" w:hAnsi="Arial" w:cs="Arial"/>
          <w:sz w:val="18"/>
          <w:szCs w:val="18"/>
        </w:rPr>
        <w:t>).  The forward-looking statements contained in this document are made as at the date of this news release and Crown Point does not undertake any obligation to update publicly or to revise any of the included forward-looking statements, whether as a result of new information, future events or otherwise, except as may be required by applicable securities laws.</w:t>
      </w:r>
    </w:p>
    <w:p w14:paraId="1253C46A" w14:textId="77777777" w:rsidR="005D0054" w:rsidRPr="00805315" w:rsidRDefault="005D0054" w:rsidP="004B7D7A">
      <w:pPr>
        <w:autoSpaceDE w:val="0"/>
        <w:autoSpaceDN w:val="0"/>
        <w:adjustRightInd w:val="0"/>
        <w:jc w:val="both"/>
        <w:rPr>
          <w:rFonts w:ascii="Arial" w:hAnsi="Arial" w:cs="Arial"/>
          <w:sz w:val="18"/>
          <w:szCs w:val="18"/>
        </w:rPr>
      </w:pPr>
    </w:p>
    <w:p w14:paraId="32A2C650" w14:textId="77777777" w:rsidR="004B7D7A" w:rsidRPr="00805315" w:rsidRDefault="004B7D7A" w:rsidP="004B7D7A">
      <w:pPr>
        <w:jc w:val="both"/>
        <w:rPr>
          <w:rFonts w:ascii="Arial" w:hAnsi="Arial" w:cs="Arial"/>
          <w:sz w:val="18"/>
          <w:szCs w:val="18"/>
          <w:u w:val="single"/>
        </w:rPr>
      </w:pPr>
      <w:r w:rsidRPr="00805315">
        <w:rPr>
          <w:rFonts w:ascii="Arial" w:hAnsi="Arial" w:cs="Arial"/>
          <w:sz w:val="18"/>
          <w:szCs w:val="18"/>
          <w:u w:val="single"/>
        </w:rPr>
        <w:t>Reserves Disclosure</w:t>
      </w:r>
    </w:p>
    <w:p w14:paraId="299EC08F" w14:textId="51439352" w:rsidR="008C21A6" w:rsidRPr="00805315" w:rsidRDefault="004B7D7A" w:rsidP="008C21A6">
      <w:pPr>
        <w:pStyle w:val="yiv2012610974msonormal"/>
        <w:spacing w:before="0" w:beforeAutospacing="0" w:after="0" w:afterAutospacing="0"/>
        <w:jc w:val="both"/>
        <w:rPr>
          <w:rFonts w:ascii="Arial" w:hAnsi="Arial" w:cs="Arial"/>
          <w:sz w:val="18"/>
          <w:szCs w:val="18"/>
        </w:rPr>
      </w:pPr>
      <w:r w:rsidRPr="00805315">
        <w:rPr>
          <w:rFonts w:ascii="Arial" w:hAnsi="Arial" w:cs="Arial"/>
          <w:sz w:val="18"/>
          <w:szCs w:val="18"/>
        </w:rPr>
        <w:t>"Proved reserves" are those reserves that can be estimated with a high degree of certainty to be recoverable. It is likely that the actual remaining quantities recovered will exceed the estimated proved reserves. "Probable reserves" are those additional reserves that are less certain to be recovered than proved reserves. It is equally likely that the actual remaining quantities recovered will be greater or less than the sum of the estimated proved plus probable reserves.</w:t>
      </w:r>
      <w:r w:rsidR="008C21A6" w:rsidRPr="00805315">
        <w:rPr>
          <w:rFonts w:ascii="Arial" w:hAnsi="Arial" w:cs="Arial"/>
          <w:sz w:val="18"/>
          <w:szCs w:val="18"/>
        </w:rPr>
        <w:t xml:space="preserve">  </w:t>
      </w:r>
    </w:p>
    <w:p w14:paraId="4A4DEB17" w14:textId="77777777" w:rsidR="004B7D7A" w:rsidRPr="00805315" w:rsidRDefault="004B7D7A" w:rsidP="004B7D7A">
      <w:pPr>
        <w:autoSpaceDE w:val="0"/>
        <w:autoSpaceDN w:val="0"/>
        <w:adjustRightInd w:val="0"/>
        <w:jc w:val="both"/>
        <w:rPr>
          <w:rFonts w:ascii="Arial" w:hAnsi="Arial" w:cs="Arial"/>
          <w:sz w:val="18"/>
          <w:szCs w:val="18"/>
        </w:rPr>
      </w:pPr>
    </w:p>
    <w:p w14:paraId="341B34E3" w14:textId="0ECEFC69" w:rsidR="005D0054" w:rsidRPr="00805315" w:rsidRDefault="00041677" w:rsidP="00041677">
      <w:pPr>
        <w:autoSpaceDE w:val="0"/>
        <w:autoSpaceDN w:val="0"/>
        <w:adjustRightInd w:val="0"/>
        <w:jc w:val="both"/>
        <w:rPr>
          <w:rFonts w:ascii="Arial" w:hAnsi="Arial" w:cs="Arial"/>
          <w:sz w:val="18"/>
          <w:szCs w:val="18"/>
        </w:rPr>
      </w:pPr>
      <w:r w:rsidRPr="00805315">
        <w:rPr>
          <w:rFonts w:ascii="Arial" w:hAnsi="Arial" w:cs="Arial"/>
          <w:sz w:val="18"/>
          <w:szCs w:val="18"/>
        </w:rPr>
        <w:t>"boe</w:t>
      </w:r>
      <w:r w:rsidR="00717ED9" w:rsidRPr="00805315">
        <w:rPr>
          <w:rFonts w:ascii="Arial" w:hAnsi="Arial" w:cs="Arial"/>
          <w:sz w:val="18"/>
          <w:szCs w:val="18"/>
        </w:rPr>
        <w:t>/</w:t>
      </w:r>
      <w:r w:rsidRPr="00805315">
        <w:rPr>
          <w:rFonts w:ascii="Arial" w:hAnsi="Arial" w:cs="Arial"/>
          <w:sz w:val="18"/>
          <w:szCs w:val="18"/>
        </w:rPr>
        <w:t>d" means barrel</w:t>
      </w:r>
      <w:r w:rsidR="00B41E7D" w:rsidRPr="00805315">
        <w:rPr>
          <w:rFonts w:ascii="Arial" w:hAnsi="Arial" w:cs="Arial"/>
          <w:sz w:val="18"/>
          <w:szCs w:val="18"/>
        </w:rPr>
        <w:t>s of oil equivalent per day.  "M</w:t>
      </w:r>
      <w:r w:rsidRPr="00805315">
        <w:rPr>
          <w:rFonts w:ascii="Arial" w:hAnsi="Arial" w:cs="Arial"/>
          <w:sz w:val="18"/>
          <w:szCs w:val="18"/>
        </w:rPr>
        <w:t xml:space="preserve">boe" means thousand barrels of oil equivalent.  </w:t>
      </w:r>
      <w:r w:rsidR="0041703B" w:rsidRPr="00805315">
        <w:rPr>
          <w:rFonts w:ascii="Arial" w:hAnsi="Arial" w:cs="Arial"/>
          <w:sz w:val="18"/>
          <w:szCs w:val="18"/>
        </w:rPr>
        <w:t>Barrels of oil equivalent (boes)</w:t>
      </w:r>
      <w:r w:rsidR="005D0054" w:rsidRPr="00805315">
        <w:rPr>
          <w:rFonts w:ascii="Arial" w:hAnsi="Arial" w:cs="Arial"/>
          <w:sz w:val="18"/>
          <w:szCs w:val="18"/>
        </w:rPr>
        <w:t xml:space="preserve"> may be misleading, particularly if used in isolation.  A </w:t>
      </w:r>
      <w:r w:rsidR="0041703B" w:rsidRPr="00805315">
        <w:rPr>
          <w:rFonts w:ascii="Arial" w:hAnsi="Arial" w:cs="Arial"/>
          <w:sz w:val="18"/>
          <w:szCs w:val="18"/>
        </w:rPr>
        <w:t>boe</w:t>
      </w:r>
      <w:r w:rsidR="005D0054" w:rsidRPr="00805315">
        <w:rPr>
          <w:rFonts w:ascii="Arial" w:hAnsi="Arial" w:cs="Arial"/>
          <w:sz w:val="18"/>
          <w:szCs w:val="18"/>
        </w:rPr>
        <w:t xml:space="preserve"> conversion ratio of 6 </w:t>
      </w:r>
      <w:r w:rsidR="0041703B" w:rsidRPr="00805315">
        <w:rPr>
          <w:rFonts w:ascii="Arial" w:hAnsi="Arial" w:cs="Arial"/>
          <w:sz w:val="18"/>
          <w:szCs w:val="18"/>
        </w:rPr>
        <w:t>thousand cubic feet (</w:t>
      </w:r>
      <w:r w:rsidR="00B41E7D" w:rsidRPr="00805315">
        <w:rPr>
          <w:rFonts w:ascii="Arial" w:hAnsi="Arial" w:cs="Arial"/>
          <w:sz w:val="18"/>
          <w:szCs w:val="18"/>
        </w:rPr>
        <w:t>M</w:t>
      </w:r>
      <w:r w:rsidR="0041703B" w:rsidRPr="00805315">
        <w:rPr>
          <w:rFonts w:ascii="Arial" w:hAnsi="Arial" w:cs="Arial"/>
          <w:sz w:val="18"/>
          <w:szCs w:val="18"/>
        </w:rPr>
        <w:t>cf) to</w:t>
      </w:r>
      <w:r w:rsidR="005D0054" w:rsidRPr="00805315">
        <w:rPr>
          <w:rFonts w:ascii="Arial" w:hAnsi="Arial" w:cs="Arial"/>
          <w:sz w:val="18"/>
          <w:szCs w:val="18"/>
        </w:rPr>
        <w:t xml:space="preserve"> 1 </w:t>
      </w:r>
      <w:r w:rsidR="0041703B" w:rsidRPr="00805315">
        <w:rPr>
          <w:rFonts w:ascii="Arial" w:hAnsi="Arial" w:cs="Arial"/>
          <w:sz w:val="18"/>
          <w:szCs w:val="18"/>
        </w:rPr>
        <w:t>barrel</w:t>
      </w:r>
      <w:r w:rsidR="005D0054" w:rsidRPr="00805315">
        <w:rPr>
          <w:rFonts w:ascii="Arial" w:hAnsi="Arial" w:cs="Arial"/>
          <w:sz w:val="18"/>
          <w:szCs w:val="18"/>
        </w:rPr>
        <w:t xml:space="preserve"> is based on an energy equivalency conversion method primarily applicable at the burner tip and does not represent a value equivalency at the wellhead.  In addition, given that the value ratio based on the current price of crude oil in Argentina as compared to the current price of natural gas in Argentina is significantly different from the energy equivalency of 6:1, utilizing a conversion on a 6:1 basis may be misleading as an indication of value.</w:t>
      </w:r>
    </w:p>
    <w:p w14:paraId="12C8BA4A" w14:textId="77777777" w:rsidR="00257631" w:rsidRPr="00805315" w:rsidRDefault="00193809" w:rsidP="004B7D7A">
      <w:pPr>
        <w:spacing w:before="120"/>
        <w:jc w:val="both"/>
        <w:rPr>
          <w:rFonts w:ascii="Arial" w:hAnsi="Arial" w:cs="Arial"/>
          <w:sz w:val="18"/>
          <w:szCs w:val="18"/>
        </w:rPr>
      </w:pPr>
      <w:r w:rsidRPr="00805315">
        <w:rPr>
          <w:rFonts w:ascii="Arial" w:hAnsi="Arial" w:cs="Arial"/>
          <w:b/>
          <w:bCs/>
          <w:sz w:val="18"/>
          <w:szCs w:val="18"/>
        </w:rPr>
        <w:t>Neither TSX Venture Exchange nor its Regulation Services Provider (as that term is defined in the policies of the TSX Venture Exchange) accepts responsibility for the adequacy or accuracy of this news release.</w:t>
      </w:r>
    </w:p>
    <w:sectPr w:rsidR="00257631" w:rsidRPr="00805315" w:rsidSect="000D0E5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1495A" w14:textId="77777777" w:rsidR="00F777E5" w:rsidRDefault="00F777E5" w:rsidP="00451CF4">
      <w:r>
        <w:separator/>
      </w:r>
    </w:p>
  </w:endnote>
  <w:endnote w:type="continuationSeparator" w:id="0">
    <w:p w14:paraId="457361B7" w14:textId="77777777" w:rsidR="00F777E5" w:rsidRDefault="00F777E5" w:rsidP="004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5C267" w14:textId="77777777" w:rsidR="004921B8" w:rsidRDefault="004921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1B59" w14:textId="77777777" w:rsidR="00690935" w:rsidRDefault="00690935" w:rsidP="00690935">
    <w:pPr>
      <w:pStyle w:val="Piedepgina"/>
      <w:jc w:val="center"/>
      <w:rPr>
        <w:rFonts w:ascii="Arial Narrow" w:hAnsi="Arial Narrow"/>
        <w:color w:val="002060"/>
        <w:sz w:val="20"/>
        <w:szCs w:val="20"/>
        <w:lang w:val="fr-CA"/>
      </w:rPr>
    </w:pPr>
    <w:r>
      <w:rPr>
        <w:rFonts w:ascii="Arial Narrow" w:hAnsi="Arial Narrow"/>
        <w:color w:val="002060"/>
        <w:sz w:val="20"/>
        <w:szCs w:val="20"/>
        <w:lang w:val="fr-CA"/>
      </w:rPr>
      <w:t xml:space="preserve">PO Box 1562 Station M, Calgary, Alberta, Canada T2P 3B9 </w:t>
    </w:r>
    <w:r w:rsidR="00E5435D" w:rsidRPr="005E10D3">
      <w:rPr>
        <w:rFonts w:ascii="Arial Narrow" w:hAnsi="Arial Narrow"/>
        <w:b/>
        <w:color w:val="002060"/>
        <w:sz w:val="20"/>
        <w:szCs w:val="20"/>
        <w:lang w:val="fr-CA"/>
      </w:rPr>
      <w:t>T</w:t>
    </w:r>
    <w:r w:rsidR="00E5435D" w:rsidRPr="005E10D3">
      <w:rPr>
        <w:rFonts w:ascii="Arial Narrow" w:hAnsi="Arial Narrow"/>
        <w:color w:val="002060"/>
        <w:sz w:val="20"/>
        <w:szCs w:val="20"/>
        <w:lang w:val="fr-CA"/>
      </w:rPr>
      <w:t xml:space="preserve"> 403.23</w:t>
    </w:r>
    <w:r>
      <w:rPr>
        <w:rFonts w:ascii="Arial Narrow" w:hAnsi="Arial Narrow"/>
        <w:color w:val="002060"/>
        <w:sz w:val="20"/>
        <w:szCs w:val="20"/>
        <w:lang w:val="fr-CA"/>
      </w:rPr>
      <w:t>2.1150</w:t>
    </w:r>
  </w:p>
  <w:p w14:paraId="6A9CBE78" w14:textId="77777777" w:rsidR="00E8633E" w:rsidRDefault="00E5435D" w:rsidP="00690935">
    <w:pPr>
      <w:pStyle w:val="Piedepgina"/>
      <w:jc w:val="center"/>
      <w:rPr>
        <w:rFonts w:ascii="Arial Narrow" w:hAnsi="Arial Narrow"/>
        <w:b/>
        <w:color w:val="002060"/>
        <w:sz w:val="20"/>
        <w:szCs w:val="20"/>
        <w:lang w:val="fr-CA"/>
      </w:rPr>
    </w:pPr>
    <w:r w:rsidRPr="005E10D3">
      <w:rPr>
        <w:rFonts w:ascii="Arial Narrow" w:hAnsi="Arial Narrow"/>
        <w:b/>
        <w:color w:val="002060"/>
        <w:sz w:val="20"/>
        <w:szCs w:val="20"/>
        <w:lang w:val="fr-CA"/>
      </w:rPr>
      <w:t>www.crownpointenergy.com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841C" w14:textId="364571E9" w:rsidR="00E8633E" w:rsidRPr="00676B01" w:rsidRDefault="00E8633E" w:rsidP="00676B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D6BB" w14:textId="77777777" w:rsidR="00F777E5" w:rsidRDefault="00F777E5" w:rsidP="00451CF4">
      <w:r>
        <w:separator/>
      </w:r>
    </w:p>
  </w:footnote>
  <w:footnote w:type="continuationSeparator" w:id="0">
    <w:p w14:paraId="3481D558" w14:textId="77777777" w:rsidR="00F777E5" w:rsidRDefault="00F777E5" w:rsidP="0045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C46F" w14:textId="77777777" w:rsidR="004921B8" w:rsidRDefault="004921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EEA6" w14:textId="14C94354" w:rsidR="00E5435D" w:rsidRDefault="00E8633E" w:rsidP="00451CF4">
    <w:pPr>
      <w:pStyle w:val="Encabezado"/>
      <w:ind w:left="540" w:hanging="540"/>
      <w:jc w:val="right"/>
    </w:pPr>
    <w:r>
      <w:rPr>
        <w:noProof/>
        <w:lang w:val="es-AR" w:eastAsia="es-AR"/>
      </w:rPr>
      <w:drawing>
        <wp:inline distT="0" distB="0" distL="0" distR="0" wp14:anchorId="5BCF3E5D" wp14:editId="44B5FD75">
          <wp:extent cx="1692910" cy="1045845"/>
          <wp:effectExtent l="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extLst>
                      <a:ext uri="{28A0092B-C50C-407E-A947-70E740481C1C}">
                        <a14:useLocalDpi xmlns:a14="http://schemas.microsoft.com/office/drawing/2010/main" val="0"/>
                      </a:ext>
                    </a:extLst>
                  </a:blip>
                  <a:srcRect t="6818"/>
                  <a:stretch>
                    <a:fillRect/>
                  </a:stretch>
                </pic:blipFill>
                <pic:spPr bwMode="auto">
                  <a:xfrm>
                    <a:off x="0" y="0"/>
                    <a:ext cx="1692910" cy="1045845"/>
                  </a:xfrm>
                  <a:prstGeom prst="rect">
                    <a:avLst/>
                  </a:prstGeom>
                  <a:noFill/>
                  <a:ln>
                    <a:noFill/>
                  </a:ln>
                </pic:spPr>
              </pic:pic>
            </a:graphicData>
          </a:graphic>
        </wp:inline>
      </w:drawing>
    </w:r>
  </w:p>
  <w:p w14:paraId="77F03AA1" w14:textId="77777777" w:rsidR="00E5435D" w:rsidRDefault="00E5435D" w:rsidP="00451CF4">
    <w:pPr>
      <w:pStyle w:val="Encabezado"/>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96F0" w14:textId="77777777" w:rsidR="004921B8" w:rsidRDefault="00492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7EE"/>
    <w:multiLevelType w:val="hybridMultilevel"/>
    <w:tmpl w:val="73F857A0"/>
    <w:lvl w:ilvl="0" w:tplc="F7B46A66">
      <w:start w:val="1"/>
      <w:numFmt w:val="bullet"/>
      <w:lvlText w:val="-"/>
      <w:lvlJc w:val="left"/>
      <w:pPr>
        <w:ind w:left="821" w:hanging="173"/>
      </w:pPr>
      <w:rPr>
        <w:rFonts w:ascii="Arial" w:eastAsia="Arial" w:hAnsi="Arial" w:hint="default"/>
        <w:sz w:val="22"/>
        <w:szCs w:val="22"/>
      </w:rPr>
    </w:lvl>
    <w:lvl w:ilvl="1" w:tplc="3C2A76D0">
      <w:start w:val="1"/>
      <w:numFmt w:val="bullet"/>
      <w:lvlText w:val="•"/>
      <w:lvlJc w:val="left"/>
      <w:pPr>
        <w:ind w:left="1624" w:hanging="173"/>
      </w:pPr>
      <w:rPr>
        <w:rFonts w:hint="default"/>
      </w:rPr>
    </w:lvl>
    <w:lvl w:ilvl="2" w:tplc="8B6E8974">
      <w:start w:val="1"/>
      <w:numFmt w:val="bullet"/>
      <w:lvlText w:val="•"/>
      <w:lvlJc w:val="left"/>
      <w:pPr>
        <w:ind w:left="2428" w:hanging="173"/>
      </w:pPr>
      <w:rPr>
        <w:rFonts w:hint="default"/>
      </w:rPr>
    </w:lvl>
    <w:lvl w:ilvl="3" w:tplc="CA50FE80">
      <w:start w:val="1"/>
      <w:numFmt w:val="bullet"/>
      <w:lvlText w:val="•"/>
      <w:lvlJc w:val="left"/>
      <w:pPr>
        <w:ind w:left="3232" w:hanging="173"/>
      </w:pPr>
      <w:rPr>
        <w:rFonts w:hint="default"/>
      </w:rPr>
    </w:lvl>
    <w:lvl w:ilvl="4" w:tplc="3A425ED0">
      <w:start w:val="1"/>
      <w:numFmt w:val="bullet"/>
      <w:lvlText w:val="•"/>
      <w:lvlJc w:val="left"/>
      <w:pPr>
        <w:ind w:left="4036" w:hanging="173"/>
      </w:pPr>
      <w:rPr>
        <w:rFonts w:hint="default"/>
      </w:rPr>
    </w:lvl>
    <w:lvl w:ilvl="5" w:tplc="CA662DB8">
      <w:start w:val="1"/>
      <w:numFmt w:val="bullet"/>
      <w:lvlText w:val="•"/>
      <w:lvlJc w:val="left"/>
      <w:pPr>
        <w:ind w:left="4840" w:hanging="173"/>
      </w:pPr>
      <w:rPr>
        <w:rFonts w:hint="default"/>
      </w:rPr>
    </w:lvl>
    <w:lvl w:ilvl="6" w:tplc="4D2C1E42">
      <w:start w:val="1"/>
      <w:numFmt w:val="bullet"/>
      <w:lvlText w:val="•"/>
      <w:lvlJc w:val="left"/>
      <w:pPr>
        <w:ind w:left="5644" w:hanging="173"/>
      </w:pPr>
      <w:rPr>
        <w:rFonts w:hint="default"/>
      </w:rPr>
    </w:lvl>
    <w:lvl w:ilvl="7" w:tplc="2DB4CFE4">
      <w:start w:val="1"/>
      <w:numFmt w:val="bullet"/>
      <w:lvlText w:val="•"/>
      <w:lvlJc w:val="left"/>
      <w:pPr>
        <w:ind w:left="6448" w:hanging="173"/>
      </w:pPr>
      <w:rPr>
        <w:rFonts w:hint="default"/>
      </w:rPr>
    </w:lvl>
    <w:lvl w:ilvl="8" w:tplc="D2C2E54A">
      <w:start w:val="1"/>
      <w:numFmt w:val="bullet"/>
      <w:lvlText w:val="•"/>
      <w:lvlJc w:val="left"/>
      <w:pPr>
        <w:ind w:left="7252" w:hanging="173"/>
      </w:pPr>
      <w:rPr>
        <w:rFonts w:hint="default"/>
      </w:rPr>
    </w:lvl>
  </w:abstractNum>
  <w:abstractNum w:abstractNumId="2"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5"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0C2E0E"/>
    <w:multiLevelType w:val="hybridMultilevel"/>
    <w:tmpl w:val="1C4E372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5E0A99"/>
    <w:multiLevelType w:val="hybridMultilevel"/>
    <w:tmpl w:val="76AE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2EE7170B"/>
    <w:multiLevelType w:val="hybridMultilevel"/>
    <w:tmpl w:val="533E0CAA"/>
    <w:lvl w:ilvl="0" w:tplc="7BF62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22690575">
    <w:abstractNumId w:val="26"/>
  </w:num>
  <w:num w:numId="2" w16cid:durableId="1110005223">
    <w:abstractNumId w:val="31"/>
  </w:num>
  <w:num w:numId="3" w16cid:durableId="1662005092">
    <w:abstractNumId w:val="13"/>
  </w:num>
  <w:num w:numId="4" w16cid:durableId="187374937">
    <w:abstractNumId w:val="6"/>
  </w:num>
  <w:num w:numId="5" w16cid:durableId="1179854543">
    <w:abstractNumId w:val="23"/>
  </w:num>
  <w:num w:numId="6" w16cid:durableId="1409301029">
    <w:abstractNumId w:val="36"/>
  </w:num>
  <w:num w:numId="7" w16cid:durableId="19474539">
    <w:abstractNumId w:val="4"/>
  </w:num>
  <w:num w:numId="8" w16cid:durableId="598635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03069">
    <w:abstractNumId w:val="19"/>
  </w:num>
  <w:num w:numId="10" w16cid:durableId="212930846">
    <w:abstractNumId w:val="2"/>
  </w:num>
  <w:num w:numId="11" w16cid:durableId="1342590302">
    <w:abstractNumId w:val="32"/>
  </w:num>
  <w:num w:numId="12" w16cid:durableId="27027516">
    <w:abstractNumId w:val="17"/>
  </w:num>
  <w:num w:numId="13" w16cid:durableId="371929979">
    <w:abstractNumId w:val="0"/>
  </w:num>
  <w:num w:numId="14" w16cid:durableId="780757312">
    <w:abstractNumId w:val="24"/>
  </w:num>
  <w:num w:numId="15" w16cid:durableId="1018003359">
    <w:abstractNumId w:val="21"/>
  </w:num>
  <w:num w:numId="16" w16cid:durableId="393312212">
    <w:abstractNumId w:val="34"/>
  </w:num>
  <w:num w:numId="17" w16cid:durableId="1555434644">
    <w:abstractNumId w:val="3"/>
  </w:num>
  <w:num w:numId="18" w16cid:durableId="528420201">
    <w:abstractNumId w:val="27"/>
  </w:num>
  <w:num w:numId="19" w16cid:durableId="76825138">
    <w:abstractNumId w:val="7"/>
  </w:num>
  <w:num w:numId="20" w16cid:durableId="1354264272">
    <w:abstractNumId w:val="29"/>
  </w:num>
  <w:num w:numId="21" w16cid:durableId="820386365">
    <w:abstractNumId w:val="5"/>
  </w:num>
  <w:num w:numId="22" w16cid:durableId="1127890614">
    <w:abstractNumId w:val="14"/>
  </w:num>
  <w:num w:numId="23" w16cid:durableId="308629074">
    <w:abstractNumId w:val="15"/>
  </w:num>
  <w:num w:numId="24" w16cid:durableId="1793475645">
    <w:abstractNumId w:val="18"/>
  </w:num>
  <w:num w:numId="25" w16cid:durableId="402798161">
    <w:abstractNumId w:val="28"/>
  </w:num>
  <w:num w:numId="26" w16cid:durableId="159586342">
    <w:abstractNumId w:val="25"/>
  </w:num>
  <w:num w:numId="27" w16cid:durableId="502165979">
    <w:abstractNumId w:val="8"/>
  </w:num>
  <w:num w:numId="28" w16cid:durableId="2096509384">
    <w:abstractNumId w:val="30"/>
  </w:num>
  <w:num w:numId="29" w16cid:durableId="863636532">
    <w:abstractNumId w:val="20"/>
  </w:num>
  <w:num w:numId="30" w16cid:durableId="902520570">
    <w:abstractNumId w:val="9"/>
  </w:num>
  <w:num w:numId="31" w16cid:durableId="1772164978">
    <w:abstractNumId w:val="37"/>
  </w:num>
  <w:num w:numId="32" w16cid:durableId="247203200">
    <w:abstractNumId w:val="33"/>
  </w:num>
  <w:num w:numId="33" w16cid:durableId="1105492514">
    <w:abstractNumId w:val="38"/>
  </w:num>
  <w:num w:numId="34" w16cid:durableId="1800420523">
    <w:abstractNumId w:val="35"/>
  </w:num>
  <w:num w:numId="35" w16cid:durableId="137847000">
    <w:abstractNumId w:val="22"/>
  </w:num>
  <w:num w:numId="36" w16cid:durableId="1627396141">
    <w:abstractNumId w:val="11"/>
  </w:num>
  <w:num w:numId="37" w16cid:durableId="1391229512">
    <w:abstractNumId w:val="12"/>
  </w:num>
  <w:num w:numId="38" w16cid:durableId="358356060">
    <w:abstractNumId w:val="16"/>
  </w:num>
  <w:num w:numId="39" w16cid:durableId="746420422">
    <w:abstractNumId w:val="1"/>
  </w:num>
  <w:num w:numId="40" w16cid:durableId="969363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Óq"/>
    <w:docVar w:name="85TrailerDateField" w:val="~}¥Ó_"/>
    <w:docVar w:name="85TrailerDraft" w:val="~}ŸÓe"/>
    <w:docVar w:name="85TrailerTime" w:val="~}£Óa"/>
    <w:docVar w:name="DMS_Work10" w:val="0~ACTIVE||1~13952689||2~2||3~Draft News Release - TDF Acquisition v2||5~JTO||6~JTO||8~DOCUMENTS||10~8/7/2024 3:28:48 PM||11~8/7/2024 3:28:48 PM||13~396404||14~False||17~public||18~JTO||19~JTO||21~True||22~True||25~069295||26~00001||27~317||28~SEC||29~GS||30~ACTIV||60~Crown Point Energy Inc.||61~General Corporate and Securities Matters||62~Oke, Jeffrey T.||63~Securities||64~General Securities||65~Active matter||74~Jeff Oke||75~Jeff Oke||76~WORD 2007||77~Documents||80~Jeff Oke||82~docx||85~8/7/2024 3:28:48 PM||99~1/1/0001 7:00:00 AM||102~False||106~C:\Users\jto\AppData\Roaming\iManage\Work\Recent\069295-00001-Crown Point Energy Inc.-General Corporate and Securities Matters\Draft News Release - TDF Acquisition v2(13952689.2).docx||107~1/1/0001 7:00:00 AM||109~8/7/2024 3:28:48 PM||112~1/1/0001 12:00:00 AM||113~8/7/2024 3:28:47 PM||114~8/7/2024 3:28:47 PM||117~True||118~False||124~False||"/>
    <w:docVar w:name="DocStamp_1_OptionalControlValues" w:val="~}¥Ó"/>
    <w:docVar w:name="ForteTempFile" w:val="C:\Users\nsturm\AppData\Local\Temp\88765c77-7841-47ec-99be-551141c2d1e5.docx"/>
    <w:docVar w:name="MPDocID" w:val="~}—Óutuvqqomq"/>
    <w:docVar w:name="MPDocIDTemplate" w:val="~}¤Ó"/>
    <w:docVar w:name="MPDocIDTemplateDefault" w:val="~}¤ÓU`X¥"/>
    <w:docVar w:name="NewDocStampType" w:val="~}ŸÓl"/>
    <w:docVar w:name="zzmp10mSEGsValidated" w:val="1"/>
    <w:docVar w:name="zzmp10NoTrailerPromptID" w:val="ACTIVE.13952689.2"/>
    <w:docVar w:name="zzmpCompatibilityMode" w:val="15"/>
  </w:docVars>
  <w:rsids>
    <w:rsidRoot w:val="00451CF4"/>
    <w:rsid w:val="00002052"/>
    <w:rsid w:val="00004044"/>
    <w:rsid w:val="00006D15"/>
    <w:rsid w:val="00010F36"/>
    <w:rsid w:val="00013941"/>
    <w:rsid w:val="00017090"/>
    <w:rsid w:val="000230F7"/>
    <w:rsid w:val="00023BC5"/>
    <w:rsid w:val="00023C28"/>
    <w:rsid w:val="00025614"/>
    <w:rsid w:val="00025949"/>
    <w:rsid w:val="00025A09"/>
    <w:rsid w:val="0003120A"/>
    <w:rsid w:val="00031672"/>
    <w:rsid w:val="000328AA"/>
    <w:rsid w:val="00033059"/>
    <w:rsid w:val="0003487B"/>
    <w:rsid w:val="000359CC"/>
    <w:rsid w:val="0003771F"/>
    <w:rsid w:val="00041606"/>
    <w:rsid w:val="00041677"/>
    <w:rsid w:val="00042B65"/>
    <w:rsid w:val="00043586"/>
    <w:rsid w:val="00043C17"/>
    <w:rsid w:val="0004484E"/>
    <w:rsid w:val="00050A9F"/>
    <w:rsid w:val="00050DBD"/>
    <w:rsid w:val="000522A8"/>
    <w:rsid w:val="00057387"/>
    <w:rsid w:val="00057A1E"/>
    <w:rsid w:val="00062F15"/>
    <w:rsid w:val="00063386"/>
    <w:rsid w:val="00064773"/>
    <w:rsid w:val="00065A86"/>
    <w:rsid w:val="0007063E"/>
    <w:rsid w:val="000716D5"/>
    <w:rsid w:val="00080E98"/>
    <w:rsid w:val="000919E9"/>
    <w:rsid w:val="000932B1"/>
    <w:rsid w:val="00095C6E"/>
    <w:rsid w:val="00097F5E"/>
    <w:rsid w:val="000A43D7"/>
    <w:rsid w:val="000A56E3"/>
    <w:rsid w:val="000A6968"/>
    <w:rsid w:val="000B06E9"/>
    <w:rsid w:val="000B18A4"/>
    <w:rsid w:val="000B2104"/>
    <w:rsid w:val="000B226F"/>
    <w:rsid w:val="000B3BB5"/>
    <w:rsid w:val="000B4702"/>
    <w:rsid w:val="000C124D"/>
    <w:rsid w:val="000C2C9F"/>
    <w:rsid w:val="000C5953"/>
    <w:rsid w:val="000C6EB2"/>
    <w:rsid w:val="000C710A"/>
    <w:rsid w:val="000C733D"/>
    <w:rsid w:val="000D0E50"/>
    <w:rsid w:val="000D3E93"/>
    <w:rsid w:val="000D45D4"/>
    <w:rsid w:val="000D63D8"/>
    <w:rsid w:val="000E0D25"/>
    <w:rsid w:val="000E1597"/>
    <w:rsid w:val="000E565B"/>
    <w:rsid w:val="000F076D"/>
    <w:rsid w:val="000F0997"/>
    <w:rsid w:val="000F2EBB"/>
    <w:rsid w:val="000F4F65"/>
    <w:rsid w:val="000F5DC2"/>
    <w:rsid w:val="00100075"/>
    <w:rsid w:val="00106A1F"/>
    <w:rsid w:val="00111E23"/>
    <w:rsid w:val="00111F93"/>
    <w:rsid w:val="00117643"/>
    <w:rsid w:val="00124069"/>
    <w:rsid w:val="00124B40"/>
    <w:rsid w:val="0012698E"/>
    <w:rsid w:val="00130191"/>
    <w:rsid w:val="001319EB"/>
    <w:rsid w:val="00133EFB"/>
    <w:rsid w:val="001340CF"/>
    <w:rsid w:val="001350B6"/>
    <w:rsid w:val="00150925"/>
    <w:rsid w:val="00150D8D"/>
    <w:rsid w:val="00151262"/>
    <w:rsid w:val="00152632"/>
    <w:rsid w:val="001548FF"/>
    <w:rsid w:val="0016148F"/>
    <w:rsid w:val="00163CC7"/>
    <w:rsid w:val="00163F57"/>
    <w:rsid w:val="00164077"/>
    <w:rsid w:val="0016447D"/>
    <w:rsid w:val="00165DB6"/>
    <w:rsid w:val="00165FD0"/>
    <w:rsid w:val="0016764C"/>
    <w:rsid w:val="001757BE"/>
    <w:rsid w:val="00177A20"/>
    <w:rsid w:val="001805FF"/>
    <w:rsid w:val="0018145D"/>
    <w:rsid w:val="0018209F"/>
    <w:rsid w:val="0018437C"/>
    <w:rsid w:val="001859E9"/>
    <w:rsid w:val="00192E2E"/>
    <w:rsid w:val="0019349D"/>
    <w:rsid w:val="00193809"/>
    <w:rsid w:val="001959BF"/>
    <w:rsid w:val="00197745"/>
    <w:rsid w:val="001A2143"/>
    <w:rsid w:val="001A4D38"/>
    <w:rsid w:val="001A4EF4"/>
    <w:rsid w:val="001A7457"/>
    <w:rsid w:val="001B1C03"/>
    <w:rsid w:val="001B2CF5"/>
    <w:rsid w:val="001B3527"/>
    <w:rsid w:val="001C3D2A"/>
    <w:rsid w:val="001C57CC"/>
    <w:rsid w:val="001D4E4B"/>
    <w:rsid w:val="001D4F6C"/>
    <w:rsid w:val="001D50E7"/>
    <w:rsid w:val="001D5C38"/>
    <w:rsid w:val="001D6766"/>
    <w:rsid w:val="001E52F0"/>
    <w:rsid w:val="001E7429"/>
    <w:rsid w:val="001F2D51"/>
    <w:rsid w:val="001F436C"/>
    <w:rsid w:val="001F7857"/>
    <w:rsid w:val="002038FC"/>
    <w:rsid w:val="0020498C"/>
    <w:rsid w:val="002055DF"/>
    <w:rsid w:val="00205E97"/>
    <w:rsid w:val="0020761A"/>
    <w:rsid w:val="0021022C"/>
    <w:rsid w:val="00211CCF"/>
    <w:rsid w:val="00214125"/>
    <w:rsid w:val="00214319"/>
    <w:rsid w:val="00216543"/>
    <w:rsid w:val="00216E19"/>
    <w:rsid w:val="00221DD0"/>
    <w:rsid w:val="002244FD"/>
    <w:rsid w:val="00224562"/>
    <w:rsid w:val="00224989"/>
    <w:rsid w:val="0022664B"/>
    <w:rsid w:val="00226AF8"/>
    <w:rsid w:val="002274E5"/>
    <w:rsid w:val="002300CD"/>
    <w:rsid w:val="002363BA"/>
    <w:rsid w:val="0024301D"/>
    <w:rsid w:val="00243DE1"/>
    <w:rsid w:val="00244E7C"/>
    <w:rsid w:val="00244EDD"/>
    <w:rsid w:val="00257531"/>
    <w:rsid w:val="00257631"/>
    <w:rsid w:val="00261E3B"/>
    <w:rsid w:val="002649E7"/>
    <w:rsid w:val="0027269D"/>
    <w:rsid w:val="002755B9"/>
    <w:rsid w:val="00276834"/>
    <w:rsid w:val="00276D5A"/>
    <w:rsid w:val="00277E46"/>
    <w:rsid w:val="00282271"/>
    <w:rsid w:val="00282EE9"/>
    <w:rsid w:val="00290BF2"/>
    <w:rsid w:val="00292BEA"/>
    <w:rsid w:val="00294A5A"/>
    <w:rsid w:val="00294C0F"/>
    <w:rsid w:val="002973D1"/>
    <w:rsid w:val="002A1B7D"/>
    <w:rsid w:val="002A3BF5"/>
    <w:rsid w:val="002A49FB"/>
    <w:rsid w:val="002A5742"/>
    <w:rsid w:val="002A7212"/>
    <w:rsid w:val="002A7277"/>
    <w:rsid w:val="002B0AA5"/>
    <w:rsid w:val="002B3B79"/>
    <w:rsid w:val="002C476A"/>
    <w:rsid w:val="002C537B"/>
    <w:rsid w:val="002D2B1A"/>
    <w:rsid w:val="002D2CA8"/>
    <w:rsid w:val="002D2D0A"/>
    <w:rsid w:val="002D437E"/>
    <w:rsid w:val="002D7E84"/>
    <w:rsid w:val="002E10DF"/>
    <w:rsid w:val="002E16DF"/>
    <w:rsid w:val="002E1BE1"/>
    <w:rsid w:val="002E3BD6"/>
    <w:rsid w:val="002E696C"/>
    <w:rsid w:val="002F5174"/>
    <w:rsid w:val="002F58C1"/>
    <w:rsid w:val="002F6AA2"/>
    <w:rsid w:val="00302DB2"/>
    <w:rsid w:val="00304C43"/>
    <w:rsid w:val="00305E62"/>
    <w:rsid w:val="0031396D"/>
    <w:rsid w:val="00314734"/>
    <w:rsid w:val="00315C11"/>
    <w:rsid w:val="00317357"/>
    <w:rsid w:val="003300CB"/>
    <w:rsid w:val="00330321"/>
    <w:rsid w:val="00330EAF"/>
    <w:rsid w:val="00331B5F"/>
    <w:rsid w:val="00331FFF"/>
    <w:rsid w:val="0033374C"/>
    <w:rsid w:val="0034165A"/>
    <w:rsid w:val="0034194B"/>
    <w:rsid w:val="0034252C"/>
    <w:rsid w:val="00347D43"/>
    <w:rsid w:val="00352472"/>
    <w:rsid w:val="0035304E"/>
    <w:rsid w:val="003531FC"/>
    <w:rsid w:val="003572FC"/>
    <w:rsid w:val="00360903"/>
    <w:rsid w:val="00360B79"/>
    <w:rsid w:val="00361D69"/>
    <w:rsid w:val="0036598D"/>
    <w:rsid w:val="00366F03"/>
    <w:rsid w:val="00367E49"/>
    <w:rsid w:val="00373A5A"/>
    <w:rsid w:val="00376E37"/>
    <w:rsid w:val="003828A1"/>
    <w:rsid w:val="00382FD1"/>
    <w:rsid w:val="00385CDE"/>
    <w:rsid w:val="003911F5"/>
    <w:rsid w:val="003A153C"/>
    <w:rsid w:val="003A1DEF"/>
    <w:rsid w:val="003A2584"/>
    <w:rsid w:val="003A2B47"/>
    <w:rsid w:val="003A2B7D"/>
    <w:rsid w:val="003A3846"/>
    <w:rsid w:val="003A7F98"/>
    <w:rsid w:val="003B10AC"/>
    <w:rsid w:val="003B161A"/>
    <w:rsid w:val="003B3C88"/>
    <w:rsid w:val="003B51FA"/>
    <w:rsid w:val="003B6B71"/>
    <w:rsid w:val="003C2ED5"/>
    <w:rsid w:val="003D0414"/>
    <w:rsid w:val="003D3CB8"/>
    <w:rsid w:val="003D518F"/>
    <w:rsid w:val="003E1C77"/>
    <w:rsid w:val="003E2504"/>
    <w:rsid w:val="003E6939"/>
    <w:rsid w:val="003E749F"/>
    <w:rsid w:val="003E78A4"/>
    <w:rsid w:val="003F2629"/>
    <w:rsid w:val="003F390F"/>
    <w:rsid w:val="004003C0"/>
    <w:rsid w:val="00403005"/>
    <w:rsid w:val="004162E7"/>
    <w:rsid w:val="0041703B"/>
    <w:rsid w:val="00421188"/>
    <w:rsid w:val="0042130F"/>
    <w:rsid w:val="0042133D"/>
    <w:rsid w:val="004226A6"/>
    <w:rsid w:val="00431AE5"/>
    <w:rsid w:val="00432B58"/>
    <w:rsid w:val="00433408"/>
    <w:rsid w:val="00442A8E"/>
    <w:rsid w:val="0044467D"/>
    <w:rsid w:val="00444BB3"/>
    <w:rsid w:val="00451504"/>
    <w:rsid w:val="00451CF4"/>
    <w:rsid w:val="004524AF"/>
    <w:rsid w:val="00456BA5"/>
    <w:rsid w:val="0047026E"/>
    <w:rsid w:val="00472F63"/>
    <w:rsid w:val="00474777"/>
    <w:rsid w:val="00480965"/>
    <w:rsid w:val="00481185"/>
    <w:rsid w:val="004835F9"/>
    <w:rsid w:val="004837E0"/>
    <w:rsid w:val="00483D15"/>
    <w:rsid w:val="00486024"/>
    <w:rsid w:val="00486625"/>
    <w:rsid w:val="004875C0"/>
    <w:rsid w:val="004915EA"/>
    <w:rsid w:val="00491C68"/>
    <w:rsid w:val="004921B8"/>
    <w:rsid w:val="00492BFC"/>
    <w:rsid w:val="00494934"/>
    <w:rsid w:val="004951CB"/>
    <w:rsid w:val="0049689D"/>
    <w:rsid w:val="004A2E5D"/>
    <w:rsid w:val="004A3410"/>
    <w:rsid w:val="004A56D3"/>
    <w:rsid w:val="004A5E44"/>
    <w:rsid w:val="004A72E9"/>
    <w:rsid w:val="004A773C"/>
    <w:rsid w:val="004B3239"/>
    <w:rsid w:val="004B3350"/>
    <w:rsid w:val="004B39EA"/>
    <w:rsid w:val="004B7D7A"/>
    <w:rsid w:val="004C0232"/>
    <w:rsid w:val="004C24C2"/>
    <w:rsid w:val="004C4E8E"/>
    <w:rsid w:val="004C7547"/>
    <w:rsid w:val="004D007F"/>
    <w:rsid w:val="004D0CB4"/>
    <w:rsid w:val="004D40E8"/>
    <w:rsid w:val="004D53DC"/>
    <w:rsid w:val="004E275F"/>
    <w:rsid w:val="004E5C24"/>
    <w:rsid w:val="004E6377"/>
    <w:rsid w:val="004F3AF4"/>
    <w:rsid w:val="00504E5F"/>
    <w:rsid w:val="00504FAD"/>
    <w:rsid w:val="00505674"/>
    <w:rsid w:val="0050574B"/>
    <w:rsid w:val="00510753"/>
    <w:rsid w:val="00511BFC"/>
    <w:rsid w:val="005125B4"/>
    <w:rsid w:val="00512967"/>
    <w:rsid w:val="00515769"/>
    <w:rsid w:val="00517AB2"/>
    <w:rsid w:val="00521FF0"/>
    <w:rsid w:val="00525A77"/>
    <w:rsid w:val="00526C37"/>
    <w:rsid w:val="00531148"/>
    <w:rsid w:val="00531F52"/>
    <w:rsid w:val="005326A4"/>
    <w:rsid w:val="00534994"/>
    <w:rsid w:val="00536750"/>
    <w:rsid w:val="005403AB"/>
    <w:rsid w:val="005403D0"/>
    <w:rsid w:val="005475C7"/>
    <w:rsid w:val="00554BA3"/>
    <w:rsid w:val="0055532C"/>
    <w:rsid w:val="0055681A"/>
    <w:rsid w:val="00557B5A"/>
    <w:rsid w:val="00560BF7"/>
    <w:rsid w:val="00561E5B"/>
    <w:rsid w:val="005635F2"/>
    <w:rsid w:val="005641E1"/>
    <w:rsid w:val="00564F26"/>
    <w:rsid w:val="005705EC"/>
    <w:rsid w:val="00574AD5"/>
    <w:rsid w:val="00575CCA"/>
    <w:rsid w:val="00580163"/>
    <w:rsid w:val="0058518C"/>
    <w:rsid w:val="00585291"/>
    <w:rsid w:val="00586159"/>
    <w:rsid w:val="00590381"/>
    <w:rsid w:val="00592C42"/>
    <w:rsid w:val="00595CFF"/>
    <w:rsid w:val="005A3BED"/>
    <w:rsid w:val="005B3299"/>
    <w:rsid w:val="005B3A0F"/>
    <w:rsid w:val="005B3B95"/>
    <w:rsid w:val="005B5DEC"/>
    <w:rsid w:val="005B66FF"/>
    <w:rsid w:val="005B7BF5"/>
    <w:rsid w:val="005C2CAA"/>
    <w:rsid w:val="005D0054"/>
    <w:rsid w:val="005D4E55"/>
    <w:rsid w:val="005D7A7F"/>
    <w:rsid w:val="005E10D3"/>
    <w:rsid w:val="005E3FA1"/>
    <w:rsid w:val="005E47B1"/>
    <w:rsid w:val="005E5C39"/>
    <w:rsid w:val="005E6FD2"/>
    <w:rsid w:val="005E7EBC"/>
    <w:rsid w:val="005F3BD4"/>
    <w:rsid w:val="005F4CC0"/>
    <w:rsid w:val="005F53D1"/>
    <w:rsid w:val="005F620C"/>
    <w:rsid w:val="00603047"/>
    <w:rsid w:val="006059A8"/>
    <w:rsid w:val="006105E1"/>
    <w:rsid w:val="00611C33"/>
    <w:rsid w:val="00612A84"/>
    <w:rsid w:val="00612F01"/>
    <w:rsid w:val="00613E3D"/>
    <w:rsid w:val="00614D39"/>
    <w:rsid w:val="00615315"/>
    <w:rsid w:val="0061538F"/>
    <w:rsid w:val="00616751"/>
    <w:rsid w:val="0061707D"/>
    <w:rsid w:val="00620130"/>
    <w:rsid w:val="006205E9"/>
    <w:rsid w:val="00626BDC"/>
    <w:rsid w:val="00626FA9"/>
    <w:rsid w:val="00634146"/>
    <w:rsid w:val="00636EC3"/>
    <w:rsid w:val="006404F4"/>
    <w:rsid w:val="00643A42"/>
    <w:rsid w:val="006440C6"/>
    <w:rsid w:val="00650B31"/>
    <w:rsid w:val="00650E39"/>
    <w:rsid w:val="00651DB8"/>
    <w:rsid w:val="00652FDE"/>
    <w:rsid w:val="006532BE"/>
    <w:rsid w:val="006614AF"/>
    <w:rsid w:val="00662291"/>
    <w:rsid w:val="00666430"/>
    <w:rsid w:val="00673AE9"/>
    <w:rsid w:val="00674C25"/>
    <w:rsid w:val="006765D3"/>
    <w:rsid w:val="00676B01"/>
    <w:rsid w:val="006777C8"/>
    <w:rsid w:val="00680B0F"/>
    <w:rsid w:val="0068268A"/>
    <w:rsid w:val="006854D8"/>
    <w:rsid w:val="00685552"/>
    <w:rsid w:val="00687575"/>
    <w:rsid w:val="00690935"/>
    <w:rsid w:val="00691764"/>
    <w:rsid w:val="006A1C90"/>
    <w:rsid w:val="006B0A8E"/>
    <w:rsid w:val="006B0AE0"/>
    <w:rsid w:val="006B19DD"/>
    <w:rsid w:val="006B76F6"/>
    <w:rsid w:val="006B7E95"/>
    <w:rsid w:val="006C31C2"/>
    <w:rsid w:val="006D08F0"/>
    <w:rsid w:val="006D31BF"/>
    <w:rsid w:val="006D47C0"/>
    <w:rsid w:val="006D58DE"/>
    <w:rsid w:val="006D774C"/>
    <w:rsid w:val="006E01EA"/>
    <w:rsid w:val="006E3A58"/>
    <w:rsid w:val="006E3DAB"/>
    <w:rsid w:val="006E6AD0"/>
    <w:rsid w:val="006E6E9B"/>
    <w:rsid w:val="006F2BFD"/>
    <w:rsid w:val="006F2D1E"/>
    <w:rsid w:val="006F49B6"/>
    <w:rsid w:val="006F5425"/>
    <w:rsid w:val="006F574E"/>
    <w:rsid w:val="007009AB"/>
    <w:rsid w:val="00704126"/>
    <w:rsid w:val="007068A8"/>
    <w:rsid w:val="0071272B"/>
    <w:rsid w:val="00714855"/>
    <w:rsid w:val="007176BE"/>
    <w:rsid w:val="00717ED9"/>
    <w:rsid w:val="007271A6"/>
    <w:rsid w:val="00731641"/>
    <w:rsid w:val="0073215F"/>
    <w:rsid w:val="00732D37"/>
    <w:rsid w:val="0073723B"/>
    <w:rsid w:val="00737588"/>
    <w:rsid w:val="00742571"/>
    <w:rsid w:val="00744A99"/>
    <w:rsid w:val="007476F4"/>
    <w:rsid w:val="00757D01"/>
    <w:rsid w:val="007623D2"/>
    <w:rsid w:val="00763E33"/>
    <w:rsid w:val="00764D43"/>
    <w:rsid w:val="00767049"/>
    <w:rsid w:val="007713F4"/>
    <w:rsid w:val="007719D9"/>
    <w:rsid w:val="00774F93"/>
    <w:rsid w:val="00780C91"/>
    <w:rsid w:val="007819DF"/>
    <w:rsid w:val="00782B0E"/>
    <w:rsid w:val="00784275"/>
    <w:rsid w:val="0079101C"/>
    <w:rsid w:val="007912AB"/>
    <w:rsid w:val="007943B5"/>
    <w:rsid w:val="00796140"/>
    <w:rsid w:val="007965EC"/>
    <w:rsid w:val="00796733"/>
    <w:rsid w:val="00796FA6"/>
    <w:rsid w:val="00796FBE"/>
    <w:rsid w:val="007A07D5"/>
    <w:rsid w:val="007A0BC2"/>
    <w:rsid w:val="007A1FC6"/>
    <w:rsid w:val="007B278E"/>
    <w:rsid w:val="007B3EA0"/>
    <w:rsid w:val="007C2985"/>
    <w:rsid w:val="007C48A3"/>
    <w:rsid w:val="007C5641"/>
    <w:rsid w:val="007D2348"/>
    <w:rsid w:val="007D2892"/>
    <w:rsid w:val="007D5BCA"/>
    <w:rsid w:val="007E2E20"/>
    <w:rsid w:val="007E42BF"/>
    <w:rsid w:val="007F563E"/>
    <w:rsid w:val="007F60DD"/>
    <w:rsid w:val="007F7102"/>
    <w:rsid w:val="007F7668"/>
    <w:rsid w:val="00805315"/>
    <w:rsid w:val="00810E7B"/>
    <w:rsid w:val="008111D0"/>
    <w:rsid w:val="0081326E"/>
    <w:rsid w:val="00813ACB"/>
    <w:rsid w:val="00814001"/>
    <w:rsid w:val="008152FC"/>
    <w:rsid w:val="00815A2C"/>
    <w:rsid w:val="0082234E"/>
    <w:rsid w:val="00824B0A"/>
    <w:rsid w:val="008275CC"/>
    <w:rsid w:val="00834176"/>
    <w:rsid w:val="00834882"/>
    <w:rsid w:val="0083503B"/>
    <w:rsid w:val="00835906"/>
    <w:rsid w:val="00836849"/>
    <w:rsid w:val="0083782D"/>
    <w:rsid w:val="008438D6"/>
    <w:rsid w:val="008439C4"/>
    <w:rsid w:val="00846115"/>
    <w:rsid w:val="008562E0"/>
    <w:rsid w:val="008573AF"/>
    <w:rsid w:val="00857CD0"/>
    <w:rsid w:val="00860011"/>
    <w:rsid w:val="00860260"/>
    <w:rsid w:val="00861299"/>
    <w:rsid w:val="00861690"/>
    <w:rsid w:val="00861EBD"/>
    <w:rsid w:val="00862703"/>
    <w:rsid w:val="00871F00"/>
    <w:rsid w:val="00877C6E"/>
    <w:rsid w:val="00882412"/>
    <w:rsid w:val="008845A5"/>
    <w:rsid w:val="008872D7"/>
    <w:rsid w:val="0089281B"/>
    <w:rsid w:val="00895F23"/>
    <w:rsid w:val="0089682A"/>
    <w:rsid w:val="008A36D9"/>
    <w:rsid w:val="008A4513"/>
    <w:rsid w:val="008A49FA"/>
    <w:rsid w:val="008A4A2C"/>
    <w:rsid w:val="008A56D8"/>
    <w:rsid w:val="008A624E"/>
    <w:rsid w:val="008A75ED"/>
    <w:rsid w:val="008B07A9"/>
    <w:rsid w:val="008B57CB"/>
    <w:rsid w:val="008B5946"/>
    <w:rsid w:val="008B69C7"/>
    <w:rsid w:val="008C1988"/>
    <w:rsid w:val="008C20EC"/>
    <w:rsid w:val="008C21A6"/>
    <w:rsid w:val="008C32FE"/>
    <w:rsid w:val="008C75B2"/>
    <w:rsid w:val="008D091D"/>
    <w:rsid w:val="008D1042"/>
    <w:rsid w:val="008D2C84"/>
    <w:rsid w:val="008E0951"/>
    <w:rsid w:val="008E16E3"/>
    <w:rsid w:val="008E369A"/>
    <w:rsid w:val="008E36FE"/>
    <w:rsid w:val="008E49CD"/>
    <w:rsid w:val="008E4BA2"/>
    <w:rsid w:val="008F120E"/>
    <w:rsid w:val="00900F80"/>
    <w:rsid w:val="00916C04"/>
    <w:rsid w:val="00917EB1"/>
    <w:rsid w:val="009202BA"/>
    <w:rsid w:val="009238DC"/>
    <w:rsid w:val="00930A9B"/>
    <w:rsid w:val="00930BAD"/>
    <w:rsid w:val="00930C2A"/>
    <w:rsid w:val="00934D3A"/>
    <w:rsid w:val="00937CED"/>
    <w:rsid w:val="00944C16"/>
    <w:rsid w:val="00950183"/>
    <w:rsid w:val="0095091C"/>
    <w:rsid w:val="00950AA0"/>
    <w:rsid w:val="00952567"/>
    <w:rsid w:val="009550BA"/>
    <w:rsid w:val="00955565"/>
    <w:rsid w:val="00957300"/>
    <w:rsid w:val="009601D1"/>
    <w:rsid w:val="00961051"/>
    <w:rsid w:val="00963AA7"/>
    <w:rsid w:val="00963CAB"/>
    <w:rsid w:val="009646F5"/>
    <w:rsid w:val="00967C91"/>
    <w:rsid w:val="00972A3B"/>
    <w:rsid w:val="0097313E"/>
    <w:rsid w:val="00975DCF"/>
    <w:rsid w:val="0097640E"/>
    <w:rsid w:val="00982384"/>
    <w:rsid w:val="00982DAE"/>
    <w:rsid w:val="009839F3"/>
    <w:rsid w:val="00983D9B"/>
    <w:rsid w:val="00983DBF"/>
    <w:rsid w:val="0098509E"/>
    <w:rsid w:val="009857AA"/>
    <w:rsid w:val="00986515"/>
    <w:rsid w:val="00990C4D"/>
    <w:rsid w:val="00993BAE"/>
    <w:rsid w:val="009959E6"/>
    <w:rsid w:val="009963AA"/>
    <w:rsid w:val="00996F18"/>
    <w:rsid w:val="00997CEA"/>
    <w:rsid w:val="009A0D15"/>
    <w:rsid w:val="009A1FA6"/>
    <w:rsid w:val="009A3C90"/>
    <w:rsid w:val="009A6AD7"/>
    <w:rsid w:val="009A6CC7"/>
    <w:rsid w:val="009A6E28"/>
    <w:rsid w:val="009B2468"/>
    <w:rsid w:val="009B2F2C"/>
    <w:rsid w:val="009C2A0D"/>
    <w:rsid w:val="009C3391"/>
    <w:rsid w:val="009C37D6"/>
    <w:rsid w:val="009C60DE"/>
    <w:rsid w:val="009C61D9"/>
    <w:rsid w:val="009C7150"/>
    <w:rsid w:val="009D1C2F"/>
    <w:rsid w:val="009D2DAF"/>
    <w:rsid w:val="009D3A2E"/>
    <w:rsid w:val="009D6982"/>
    <w:rsid w:val="009D7168"/>
    <w:rsid w:val="009E3C33"/>
    <w:rsid w:val="009E3CE6"/>
    <w:rsid w:val="009F2F06"/>
    <w:rsid w:val="009F4905"/>
    <w:rsid w:val="009F4DF7"/>
    <w:rsid w:val="009F4FE5"/>
    <w:rsid w:val="009F62B4"/>
    <w:rsid w:val="009F7181"/>
    <w:rsid w:val="009F7D9E"/>
    <w:rsid w:val="00A0146C"/>
    <w:rsid w:val="00A0323B"/>
    <w:rsid w:val="00A037ED"/>
    <w:rsid w:val="00A07215"/>
    <w:rsid w:val="00A07EAA"/>
    <w:rsid w:val="00A13780"/>
    <w:rsid w:val="00A212BB"/>
    <w:rsid w:val="00A21573"/>
    <w:rsid w:val="00A218C5"/>
    <w:rsid w:val="00A22450"/>
    <w:rsid w:val="00A2327B"/>
    <w:rsid w:val="00A24966"/>
    <w:rsid w:val="00A2508E"/>
    <w:rsid w:val="00A2750B"/>
    <w:rsid w:val="00A326BF"/>
    <w:rsid w:val="00A32FE3"/>
    <w:rsid w:val="00A33CA4"/>
    <w:rsid w:val="00A344A6"/>
    <w:rsid w:val="00A36152"/>
    <w:rsid w:val="00A37688"/>
    <w:rsid w:val="00A4393E"/>
    <w:rsid w:val="00A46D20"/>
    <w:rsid w:val="00A47572"/>
    <w:rsid w:val="00A52F91"/>
    <w:rsid w:val="00A53AD2"/>
    <w:rsid w:val="00A57D6F"/>
    <w:rsid w:val="00A648EC"/>
    <w:rsid w:val="00A73130"/>
    <w:rsid w:val="00A734A8"/>
    <w:rsid w:val="00A762A3"/>
    <w:rsid w:val="00A82B43"/>
    <w:rsid w:val="00A8504D"/>
    <w:rsid w:val="00A9353F"/>
    <w:rsid w:val="00A978BB"/>
    <w:rsid w:val="00AA40F0"/>
    <w:rsid w:val="00AA4346"/>
    <w:rsid w:val="00AB0183"/>
    <w:rsid w:val="00AC437D"/>
    <w:rsid w:val="00AC4EEE"/>
    <w:rsid w:val="00AC53DA"/>
    <w:rsid w:val="00AC59F9"/>
    <w:rsid w:val="00AC6F61"/>
    <w:rsid w:val="00AC7344"/>
    <w:rsid w:val="00AC7FA9"/>
    <w:rsid w:val="00AD38C1"/>
    <w:rsid w:val="00AD501F"/>
    <w:rsid w:val="00AE1097"/>
    <w:rsid w:val="00AF1A68"/>
    <w:rsid w:val="00AF23D5"/>
    <w:rsid w:val="00AF66E4"/>
    <w:rsid w:val="00B0030C"/>
    <w:rsid w:val="00B00BA3"/>
    <w:rsid w:val="00B03885"/>
    <w:rsid w:val="00B10579"/>
    <w:rsid w:val="00B1286D"/>
    <w:rsid w:val="00B129BD"/>
    <w:rsid w:val="00B145D2"/>
    <w:rsid w:val="00B208CB"/>
    <w:rsid w:val="00B20A89"/>
    <w:rsid w:val="00B20E9D"/>
    <w:rsid w:val="00B2131B"/>
    <w:rsid w:val="00B21FD1"/>
    <w:rsid w:val="00B30EEA"/>
    <w:rsid w:val="00B32A34"/>
    <w:rsid w:val="00B3415A"/>
    <w:rsid w:val="00B37CCC"/>
    <w:rsid w:val="00B41E7D"/>
    <w:rsid w:val="00B47767"/>
    <w:rsid w:val="00B53AC4"/>
    <w:rsid w:val="00B56B58"/>
    <w:rsid w:val="00B604C4"/>
    <w:rsid w:val="00B6188C"/>
    <w:rsid w:val="00B62AB6"/>
    <w:rsid w:val="00B64997"/>
    <w:rsid w:val="00B66255"/>
    <w:rsid w:val="00B67EB4"/>
    <w:rsid w:val="00B716DB"/>
    <w:rsid w:val="00B744E9"/>
    <w:rsid w:val="00B7529F"/>
    <w:rsid w:val="00B75759"/>
    <w:rsid w:val="00B75916"/>
    <w:rsid w:val="00B762A4"/>
    <w:rsid w:val="00B820F8"/>
    <w:rsid w:val="00B83F6A"/>
    <w:rsid w:val="00B84147"/>
    <w:rsid w:val="00B85175"/>
    <w:rsid w:val="00B9156C"/>
    <w:rsid w:val="00B91B60"/>
    <w:rsid w:val="00B939F8"/>
    <w:rsid w:val="00B93FA1"/>
    <w:rsid w:val="00B96BA6"/>
    <w:rsid w:val="00BA2BD6"/>
    <w:rsid w:val="00BA2F53"/>
    <w:rsid w:val="00BA74B6"/>
    <w:rsid w:val="00BB0385"/>
    <w:rsid w:val="00BB1C18"/>
    <w:rsid w:val="00BB2E1F"/>
    <w:rsid w:val="00BB373A"/>
    <w:rsid w:val="00BB411D"/>
    <w:rsid w:val="00BB587A"/>
    <w:rsid w:val="00BB5EFE"/>
    <w:rsid w:val="00BB6649"/>
    <w:rsid w:val="00BB73D8"/>
    <w:rsid w:val="00BC1CE6"/>
    <w:rsid w:val="00BD0D14"/>
    <w:rsid w:val="00BD48C2"/>
    <w:rsid w:val="00BE4E08"/>
    <w:rsid w:val="00BF0539"/>
    <w:rsid w:val="00C001D5"/>
    <w:rsid w:val="00C03807"/>
    <w:rsid w:val="00C06F4C"/>
    <w:rsid w:val="00C10669"/>
    <w:rsid w:val="00C11484"/>
    <w:rsid w:val="00C1193D"/>
    <w:rsid w:val="00C11E38"/>
    <w:rsid w:val="00C125DE"/>
    <w:rsid w:val="00C1690E"/>
    <w:rsid w:val="00C202AF"/>
    <w:rsid w:val="00C23FE6"/>
    <w:rsid w:val="00C2448E"/>
    <w:rsid w:val="00C25EC1"/>
    <w:rsid w:val="00C31CFF"/>
    <w:rsid w:val="00C36EF0"/>
    <w:rsid w:val="00C3730E"/>
    <w:rsid w:val="00C37AD9"/>
    <w:rsid w:val="00C41725"/>
    <w:rsid w:val="00C44747"/>
    <w:rsid w:val="00C4796D"/>
    <w:rsid w:val="00C522C0"/>
    <w:rsid w:val="00C551D6"/>
    <w:rsid w:val="00C55B23"/>
    <w:rsid w:val="00C55F2A"/>
    <w:rsid w:val="00C60DD9"/>
    <w:rsid w:val="00C6135D"/>
    <w:rsid w:val="00C6173E"/>
    <w:rsid w:val="00C61838"/>
    <w:rsid w:val="00C64F6E"/>
    <w:rsid w:val="00C65BCB"/>
    <w:rsid w:val="00C65F29"/>
    <w:rsid w:val="00C67CBE"/>
    <w:rsid w:val="00C70CA5"/>
    <w:rsid w:val="00C70EF5"/>
    <w:rsid w:val="00C71090"/>
    <w:rsid w:val="00C71323"/>
    <w:rsid w:val="00C71E5A"/>
    <w:rsid w:val="00C73E2B"/>
    <w:rsid w:val="00C74CCB"/>
    <w:rsid w:val="00C755C5"/>
    <w:rsid w:val="00C75AAF"/>
    <w:rsid w:val="00C76DC8"/>
    <w:rsid w:val="00C80383"/>
    <w:rsid w:val="00C85573"/>
    <w:rsid w:val="00C8573A"/>
    <w:rsid w:val="00C85965"/>
    <w:rsid w:val="00C90D58"/>
    <w:rsid w:val="00C91C19"/>
    <w:rsid w:val="00C9330E"/>
    <w:rsid w:val="00C95348"/>
    <w:rsid w:val="00C95640"/>
    <w:rsid w:val="00CA15D4"/>
    <w:rsid w:val="00CA1C87"/>
    <w:rsid w:val="00CA2A9A"/>
    <w:rsid w:val="00CA63BD"/>
    <w:rsid w:val="00CB0FB8"/>
    <w:rsid w:val="00CB1A3C"/>
    <w:rsid w:val="00CB4013"/>
    <w:rsid w:val="00CD148F"/>
    <w:rsid w:val="00CD19BB"/>
    <w:rsid w:val="00CD2E31"/>
    <w:rsid w:val="00CE019B"/>
    <w:rsid w:val="00CE54A6"/>
    <w:rsid w:val="00CF672F"/>
    <w:rsid w:val="00D10D0B"/>
    <w:rsid w:val="00D10FF0"/>
    <w:rsid w:val="00D11851"/>
    <w:rsid w:val="00D1213D"/>
    <w:rsid w:val="00D1262E"/>
    <w:rsid w:val="00D15F09"/>
    <w:rsid w:val="00D178B9"/>
    <w:rsid w:val="00D2610B"/>
    <w:rsid w:val="00D313CE"/>
    <w:rsid w:val="00D339E5"/>
    <w:rsid w:val="00D33C6D"/>
    <w:rsid w:val="00D347E1"/>
    <w:rsid w:val="00D37386"/>
    <w:rsid w:val="00D4678C"/>
    <w:rsid w:val="00D4741F"/>
    <w:rsid w:val="00D52D8E"/>
    <w:rsid w:val="00D52DA9"/>
    <w:rsid w:val="00D53638"/>
    <w:rsid w:val="00D54876"/>
    <w:rsid w:val="00D560B8"/>
    <w:rsid w:val="00D5656C"/>
    <w:rsid w:val="00D62A6C"/>
    <w:rsid w:val="00D63619"/>
    <w:rsid w:val="00D6512F"/>
    <w:rsid w:val="00D67B09"/>
    <w:rsid w:val="00D73D44"/>
    <w:rsid w:val="00D77C90"/>
    <w:rsid w:val="00D80B98"/>
    <w:rsid w:val="00D81328"/>
    <w:rsid w:val="00D83897"/>
    <w:rsid w:val="00D86141"/>
    <w:rsid w:val="00D86F16"/>
    <w:rsid w:val="00D90238"/>
    <w:rsid w:val="00D94005"/>
    <w:rsid w:val="00D947A2"/>
    <w:rsid w:val="00D948DF"/>
    <w:rsid w:val="00D9493A"/>
    <w:rsid w:val="00D94BAC"/>
    <w:rsid w:val="00D97909"/>
    <w:rsid w:val="00DA73C5"/>
    <w:rsid w:val="00DA79E0"/>
    <w:rsid w:val="00DB282D"/>
    <w:rsid w:val="00DB2CEE"/>
    <w:rsid w:val="00DB3348"/>
    <w:rsid w:val="00DB4F42"/>
    <w:rsid w:val="00DB755B"/>
    <w:rsid w:val="00DC14CF"/>
    <w:rsid w:val="00DC1E6C"/>
    <w:rsid w:val="00DC2AB3"/>
    <w:rsid w:val="00DC47C7"/>
    <w:rsid w:val="00DC6C43"/>
    <w:rsid w:val="00DC72CD"/>
    <w:rsid w:val="00DC7778"/>
    <w:rsid w:val="00DC7989"/>
    <w:rsid w:val="00DD076F"/>
    <w:rsid w:val="00DD4691"/>
    <w:rsid w:val="00DE05E3"/>
    <w:rsid w:val="00DE57D3"/>
    <w:rsid w:val="00DE7D9E"/>
    <w:rsid w:val="00DF27B2"/>
    <w:rsid w:val="00DF69D1"/>
    <w:rsid w:val="00E01E2D"/>
    <w:rsid w:val="00E03B91"/>
    <w:rsid w:val="00E05E3C"/>
    <w:rsid w:val="00E06B73"/>
    <w:rsid w:val="00E101A0"/>
    <w:rsid w:val="00E14797"/>
    <w:rsid w:val="00E15BD1"/>
    <w:rsid w:val="00E16611"/>
    <w:rsid w:val="00E17544"/>
    <w:rsid w:val="00E21B53"/>
    <w:rsid w:val="00E2212A"/>
    <w:rsid w:val="00E2266C"/>
    <w:rsid w:val="00E26C31"/>
    <w:rsid w:val="00E2750E"/>
    <w:rsid w:val="00E31AF3"/>
    <w:rsid w:val="00E32976"/>
    <w:rsid w:val="00E355FE"/>
    <w:rsid w:val="00E372D8"/>
    <w:rsid w:val="00E37FB0"/>
    <w:rsid w:val="00E41E6D"/>
    <w:rsid w:val="00E42633"/>
    <w:rsid w:val="00E46129"/>
    <w:rsid w:val="00E47784"/>
    <w:rsid w:val="00E479EC"/>
    <w:rsid w:val="00E5435D"/>
    <w:rsid w:val="00E55168"/>
    <w:rsid w:val="00E55DCB"/>
    <w:rsid w:val="00E55F5A"/>
    <w:rsid w:val="00E56F25"/>
    <w:rsid w:val="00E61720"/>
    <w:rsid w:val="00E63BC0"/>
    <w:rsid w:val="00E65E38"/>
    <w:rsid w:val="00E66B43"/>
    <w:rsid w:val="00E72AFE"/>
    <w:rsid w:val="00E76FAB"/>
    <w:rsid w:val="00E81BD7"/>
    <w:rsid w:val="00E829D1"/>
    <w:rsid w:val="00E84A4C"/>
    <w:rsid w:val="00E8633E"/>
    <w:rsid w:val="00E91D23"/>
    <w:rsid w:val="00E93469"/>
    <w:rsid w:val="00E940C3"/>
    <w:rsid w:val="00E95796"/>
    <w:rsid w:val="00E959EF"/>
    <w:rsid w:val="00EA0222"/>
    <w:rsid w:val="00EA03D5"/>
    <w:rsid w:val="00EA1C9E"/>
    <w:rsid w:val="00EA7716"/>
    <w:rsid w:val="00EB1303"/>
    <w:rsid w:val="00EB1E17"/>
    <w:rsid w:val="00EB3589"/>
    <w:rsid w:val="00EB6E8D"/>
    <w:rsid w:val="00EC1D34"/>
    <w:rsid w:val="00EC2889"/>
    <w:rsid w:val="00EC2F77"/>
    <w:rsid w:val="00EC57AF"/>
    <w:rsid w:val="00EC5899"/>
    <w:rsid w:val="00EC714A"/>
    <w:rsid w:val="00EC7FAA"/>
    <w:rsid w:val="00ED13DE"/>
    <w:rsid w:val="00ED1647"/>
    <w:rsid w:val="00ED3296"/>
    <w:rsid w:val="00ED5BB2"/>
    <w:rsid w:val="00ED6C3E"/>
    <w:rsid w:val="00EE4B11"/>
    <w:rsid w:val="00EE4E4F"/>
    <w:rsid w:val="00EE7F3B"/>
    <w:rsid w:val="00EF06DB"/>
    <w:rsid w:val="00EF3BA8"/>
    <w:rsid w:val="00EF4E83"/>
    <w:rsid w:val="00F00375"/>
    <w:rsid w:val="00F01240"/>
    <w:rsid w:val="00F06058"/>
    <w:rsid w:val="00F073BE"/>
    <w:rsid w:val="00F119B9"/>
    <w:rsid w:val="00F13C05"/>
    <w:rsid w:val="00F13FDF"/>
    <w:rsid w:val="00F14E87"/>
    <w:rsid w:val="00F1501D"/>
    <w:rsid w:val="00F20FF7"/>
    <w:rsid w:val="00F23A40"/>
    <w:rsid w:val="00F263D9"/>
    <w:rsid w:val="00F26B93"/>
    <w:rsid w:val="00F276B7"/>
    <w:rsid w:val="00F32D16"/>
    <w:rsid w:val="00F34804"/>
    <w:rsid w:val="00F34B09"/>
    <w:rsid w:val="00F35873"/>
    <w:rsid w:val="00F366D6"/>
    <w:rsid w:val="00F36937"/>
    <w:rsid w:val="00F4077B"/>
    <w:rsid w:val="00F434A0"/>
    <w:rsid w:val="00F51863"/>
    <w:rsid w:val="00F5214C"/>
    <w:rsid w:val="00F55596"/>
    <w:rsid w:val="00F56B10"/>
    <w:rsid w:val="00F66D3A"/>
    <w:rsid w:val="00F702E1"/>
    <w:rsid w:val="00F71250"/>
    <w:rsid w:val="00F734E1"/>
    <w:rsid w:val="00F768A1"/>
    <w:rsid w:val="00F777E5"/>
    <w:rsid w:val="00F816D5"/>
    <w:rsid w:val="00F8371F"/>
    <w:rsid w:val="00F839F3"/>
    <w:rsid w:val="00F83F3B"/>
    <w:rsid w:val="00F84382"/>
    <w:rsid w:val="00F87807"/>
    <w:rsid w:val="00F9338B"/>
    <w:rsid w:val="00F94B48"/>
    <w:rsid w:val="00F96991"/>
    <w:rsid w:val="00F96B4A"/>
    <w:rsid w:val="00FA0114"/>
    <w:rsid w:val="00FA0458"/>
    <w:rsid w:val="00FA5421"/>
    <w:rsid w:val="00FA6F10"/>
    <w:rsid w:val="00FA741E"/>
    <w:rsid w:val="00FB034E"/>
    <w:rsid w:val="00FB09DF"/>
    <w:rsid w:val="00FB2509"/>
    <w:rsid w:val="00FB3AC9"/>
    <w:rsid w:val="00FB51AD"/>
    <w:rsid w:val="00FB76B1"/>
    <w:rsid w:val="00FC5ACB"/>
    <w:rsid w:val="00FD1D01"/>
    <w:rsid w:val="00FD5180"/>
    <w:rsid w:val="00FD5D14"/>
    <w:rsid w:val="00FD5F91"/>
    <w:rsid w:val="00FE125B"/>
    <w:rsid w:val="00FE197F"/>
    <w:rsid w:val="00FE2A08"/>
    <w:rsid w:val="00FE2CD4"/>
    <w:rsid w:val="00FE73FC"/>
    <w:rsid w:val="00FF14CF"/>
    <w:rsid w:val="00FF3031"/>
    <w:rsid w:val="00FF4122"/>
    <w:rsid w:val="00FF47A7"/>
    <w:rsid w:val="00FF5428"/>
    <w:rsid w:val="00FF737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0A954"/>
  <w15:docId w15:val="{A385253D-2407-4108-A4BB-5399FE0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lang w:val="en-US" w:eastAsia="en-US"/>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uiPriority w:val="99"/>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8633E"/>
    <w:pPr>
      <w:widowControl w:val="0"/>
      <w:spacing w:line="200" w:lineRule="exact"/>
    </w:pPr>
    <w:rPr>
      <w:rFonts w:ascii="Times New Roman" w:eastAsia="Times New Roman" w:hAnsi="Times New Roman"/>
      <w:sz w:val="16"/>
      <w:szCs w:val="22"/>
      <w:lang w:val="en-US" w:eastAsia="en-US"/>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lang w:val="en-US" w:eastAsia="en-US"/>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lang w:val="en-US" w:eastAsia="en-US"/>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Calibri" w:hAnsi="Times New Roman"/>
      <w:sz w:val="24"/>
      <w:lang w:val="es-AR" w:eastAsia="es-AR"/>
    </w:rPr>
  </w:style>
  <w:style w:type="paragraph" w:customStyle="1" w:styleId="yiv2012610974msonormal">
    <w:name w:val="yiv2012610974msonormal"/>
    <w:basedOn w:val="Normal"/>
    <w:rsid w:val="009D6982"/>
    <w:pPr>
      <w:spacing w:before="100" w:beforeAutospacing="1" w:after="100" w:afterAutospacing="1"/>
    </w:pPr>
    <w:rPr>
      <w:rFonts w:ascii="Times New Roman" w:hAnsi="Times New Roman"/>
      <w:sz w:val="24"/>
    </w:rPr>
  </w:style>
  <w:style w:type="table" w:styleId="Tablaconcuadrcula">
    <w:name w:val="Table Grid"/>
    <w:basedOn w:val="Tablanormal"/>
    <w:uiPriority w:val="59"/>
    <w:rsid w:val="009D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633E"/>
    <w:rPr>
      <w:color w:val="808080"/>
    </w:rPr>
  </w:style>
  <w:style w:type="character" w:styleId="Mencinsinresolver">
    <w:name w:val="Unresolved Mention"/>
    <w:basedOn w:val="Fuentedeprrafopredeter"/>
    <w:uiPriority w:val="99"/>
    <w:semiHidden/>
    <w:unhideWhenUsed/>
    <w:rsid w:val="00E1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wnpointenerg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sedarplus.ca" TargetMode="External"/><Relationship Id="rId17" Type="http://schemas.openxmlformats.org/officeDocument/2006/relationships/hyperlink" Target="http://www.crownpointenergy.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darplus.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tormakh@crownpointenergy.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brador@crownpointenergy.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 A c t i v e ! 1 3 9 5 2 6 8 9 . 2 < / d o c u m e n t i d >  
     < s e n d e r i d > J T O < / s e n d e r i d >  
     < s e n d e r e m a i l > J T O @ B D P L A W . C O M < / s e n d e r e m a i l >  
     < l a s t m o d i f i e d > 2 0 2 4 - 0 8 - 0 7 T 0 9 : 4 7 : 0 0 . 0 0 0 0 0 0 0 - 0 6 : 0 0 < / l a s t m o d i f i e d >  
     < d a t a b a s e > A c t i v e 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02EB-9C1F-4802-855C-49F90BE75A78}">
  <ds:schemaRefs>
    <ds:schemaRef ds:uri="http://schemas.openxmlformats.org/officeDocument/2006/bibliography"/>
  </ds:schemaRefs>
</ds:datastoreItem>
</file>

<file path=customXml/itemProps2.xml><?xml version="1.0" encoding="utf-8"?>
<ds:datastoreItem xmlns:ds="http://schemas.openxmlformats.org/officeDocument/2006/customXml" ds:itemID="{FE343639-854E-4696-8054-DD2AC05FC59B}">
  <ds:schemaRefs>
    <ds:schemaRef ds:uri="http://schemas.openxmlformats.org/officeDocument/2006/bibliography"/>
  </ds:schemaRefs>
</ds:datastoreItem>
</file>

<file path=customXml/itemProps3.xml><?xml version="1.0" encoding="utf-8"?>
<ds:datastoreItem xmlns:ds="http://schemas.openxmlformats.org/officeDocument/2006/customXml" ds:itemID="{ECAD0138-FD46-49FF-988A-820B2F787AB9}">
  <ds:schemaRefs>
    <ds:schemaRef ds:uri="http://www.imanage.com/work/xmlschema"/>
  </ds:schemaRefs>
</ds:datastoreItem>
</file>

<file path=customXml/itemProps4.xml><?xml version="1.0" encoding="utf-8"?>
<ds:datastoreItem xmlns:ds="http://schemas.openxmlformats.org/officeDocument/2006/customXml" ds:itemID="{64C31212-4698-42D2-92F3-F839D94F2972}">
  <ds:schemaRefs>
    <ds:schemaRef ds:uri="http://schemas.openxmlformats.org/officeDocument/2006/bibliography"/>
  </ds:schemaRefs>
</ds:datastoreItem>
</file>

<file path=customXml/itemProps5.xml><?xml version="1.0" encoding="utf-8"?>
<ds:datastoreItem xmlns:ds="http://schemas.openxmlformats.org/officeDocument/2006/customXml" ds:itemID="{55FB6153-F9F3-44E8-9FB8-92BB5BD6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1920</Words>
  <Characters>10944</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12839</CharactersWithSpaces>
  <SharedDoc>false</SharedDoc>
  <HLinks>
    <vt:vector size="42" baseType="variant">
      <vt:variant>
        <vt:i4>3014718</vt:i4>
      </vt:variant>
      <vt:variant>
        <vt:i4>18</vt:i4>
      </vt:variant>
      <vt:variant>
        <vt:i4>0</vt:i4>
      </vt:variant>
      <vt:variant>
        <vt:i4>5</vt:i4>
      </vt:variant>
      <vt:variant>
        <vt:lpwstr>http://www.crownpointenergy.c/</vt:lpwstr>
      </vt:variant>
      <vt:variant>
        <vt:lpwstr/>
      </vt:variant>
      <vt:variant>
        <vt:i4>4194325</vt:i4>
      </vt:variant>
      <vt:variant>
        <vt:i4>15</vt:i4>
      </vt:variant>
      <vt:variant>
        <vt:i4>0</vt:i4>
      </vt:variant>
      <vt:variant>
        <vt:i4>5</vt:i4>
      </vt:variant>
      <vt:variant>
        <vt:lpwstr>http://www.sedar.com/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2949128</vt:i4>
      </vt:variant>
      <vt:variant>
        <vt:i4>9</vt:i4>
      </vt:variant>
      <vt:variant>
        <vt:i4>0</vt:i4>
      </vt:variant>
      <vt:variant>
        <vt:i4>5</vt:i4>
      </vt:variant>
      <vt:variant>
        <vt:lpwstr>mailto:amadden@crownpointenergy.com</vt:lpwstr>
      </vt:variant>
      <vt:variant>
        <vt:lpwstr/>
      </vt:variant>
      <vt:variant>
        <vt:i4>5832826</vt:i4>
      </vt:variant>
      <vt:variant>
        <vt:i4>6</vt:i4>
      </vt:variant>
      <vt:variant>
        <vt:i4>0</vt:i4>
      </vt:variant>
      <vt:variant>
        <vt:i4>5</vt:i4>
      </vt:variant>
      <vt:variant>
        <vt:lpwstr>mailto:bmoss@crownpointenergy.com</vt:lpwstr>
      </vt:variant>
      <vt:variant>
        <vt:lpwstr/>
      </vt:variant>
      <vt:variant>
        <vt:i4>4259923</vt:i4>
      </vt:variant>
      <vt:variant>
        <vt:i4>3</vt:i4>
      </vt:variant>
      <vt:variant>
        <vt:i4>0</vt:i4>
      </vt:variant>
      <vt:variant>
        <vt:i4>5</vt:i4>
      </vt:variant>
      <vt:variant>
        <vt:lpwstr>http://www.crownpointenergy.com/</vt:lpwstr>
      </vt:variant>
      <vt:variant>
        <vt:lpwstr/>
      </vt:variant>
      <vt:variant>
        <vt:i4>4194325</vt:i4>
      </vt:variant>
      <vt:variant>
        <vt:i4>0</vt:i4>
      </vt:variant>
      <vt:variant>
        <vt:i4>0</vt:i4>
      </vt:variant>
      <vt:variant>
        <vt:i4>5</vt:i4>
      </vt:variant>
      <vt:variant>
        <vt:lpwstr>http://www.sedar.com/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Seifert</dc:creator>
  <cp:lastModifiedBy>Maria Adriel</cp:lastModifiedBy>
  <cp:revision>3</cp:revision>
  <cp:lastPrinted>2016-07-22T15:09:00Z</cp:lastPrinted>
  <dcterms:created xsi:type="dcterms:W3CDTF">2024-08-12T15:49:00Z</dcterms:created>
  <dcterms:modified xsi:type="dcterms:W3CDTF">2024-08-12T18:37:00Z</dcterms:modified>
</cp:coreProperties>
</file>