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E5DDB" w14:textId="77777777" w:rsidR="00257631" w:rsidRPr="00FA2D67" w:rsidRDefault="00257631" w:rsidP="008B5946">
      <w:pPr>
        <w:autoSpaceDE w:val="0"/>
        <w:autoSpaceDN w:val="0"/>
        <w:adjustRightInd w:val="0"/>
        <w:jc w:val="right"/>
        <w:rPr>
          <w:rFonts w:ascii="Arial" w:hAnsi="Arial" w:cs="Arial"/>
          <w:sz w:val="20"/>
          <w:szCs w:val="20"/>
          <w:lang w:val="es-AR"/>
        </w:rPr>
      </w:pPr>
    </w:p>
    <w:p w14:paraId="7A937093" w14:textId="2CB30940" w:rsidR="00B3415A" w:rsidRPr="00FA2D67" w:rsidRDefault="00B3415A" w:rsidP="00FA2D67">
      <w:pPr>
        <w:tabs>
          <w:tab w:val="right" w:pos="8640"/>
        </w:tabs>
        <w:jc w:val="center"/>
        <w:rPr>
          <w:rFonts w:ascii="Arial" w:hAnsi="Arial" w:cs="Arial"/>
          <w:b/>
          <w:sz w:val="20"/>
          <w:szCs w:val="20"/>
          <w:lang w:val="es-AR"/>
        </w:rPr>
      </w:pPr>
      <w:r w:rsidRPr="00FA2D67">
        <w:rPr>
          <w:rFonts w:ascii="Arial" w:hAnsi="Arial" w:cs="Arial"/>
          <w:b/>
          <w:bCs/>
          <w:sz w:val="20"/>
          <w:szCs w:val="20"/>
          <w:lang w:val="es-AR"/>
        </w:rPr>
        <w:t xml:space="preserve">Crown Point anuncia una adquisición para ampliar su participación en concesiones de explotación </w:t>
      </w:r>
      <w:r w:rsidR="00F34804" w:rsidRPr="00FA2D67">
        <w:rPr>
          <w:rFonts w:ascii="Arial" w:hAnsi="Arial" w:cs="Arial"/>
          <w:b/>
          <w:bCs/>
          <w:sz w:val="20"/>
          <w:szCs w:val="20"/>
          <w:lang w:val="es-AR"/>
        </w:rPr>
        <w:t>en Tierra del Fuego, Argentina</w:t>
      </w:r>
    </w:p>
    <w:p w14:paraId="0552A553" w14:textId="77777777" w:rsidR="00B3415A" w:rsidRPr="00FA2D67" w:rsidRDefault="00B3415A" w:rsidP="008B5946">
      <w:pPr>
        <w:tabs>
          <w:tab w:val="right" w:pos="8640"/>
        </w:tabs>
        <w:jc w:val="center"/>
        <w:rPr>
          <w:rFonts w:ascii="Arial" w:hAnsi="Arial" w:cs="Arial"/>
          <w:b/>
          <w:sz w:val="20"/>
          <w:szCs w:val="20"/>
          <w:lang w:val="es-AR"/>
        </w:rPr>
      </w:pPr>
    </w:p>
    <w:p w14:paraId="354BB5A5" w14:textId="34FEB3C2" w:rsidR="00DC47C7" w:rsidRPr="00FA2D67" w:rsidRDefault="00D339E5" w:rsidP="008B5946">
      <w:pPr>
        <w:shd w:val="clear" w:color="auto" w:fill="FFFFFF"/>
        <w:jc w:val="both"/>
        <w:rPr>
          <w:rFonts w:ascii="Arial" w:hAnsi="Arial" w:cs="Arial"/>
          <w:sz w:val="20"/>
          <w:szCs w:val="20"/>
          <w:lang w:val="es-AR"/>
        </w:rPr>
      </w:pPr>
      <w:r w:rsidRPr="00FA2D67">
        <w:rPr>
          <w:rFonts w:ascii="Arial" w:hAnsi="Arial" w:cs="Arial"/>
          <w:sz w:val="20"/>
          <w:szCs w:val="20"/>
          <w:lang w:val="es-AR"/>
        </w:rPr>
        <w:t xml:space="preserve">CALGARY, Alberta, </w:t>
      </w:r>
      <w:r w:rsidR="00DC20CE">
        <w:rPr>
          <w:rFonts w:ascii="Arial" w:hAnsi="Arial" w:cs="Arial"/>
          <w:sz w:val="20"/>
          <w:szCs w:val="20"/>
          <w:lang w:val="es-AR"/>
        </w:rPr>
        <w:t>12</w:t>
      </w:r>
      <w:r w:rsidRPr="00FA2D67">
        <w:rPr>
          <w:rFonts w:ascii="Arial" w:hAnsi="Arial" w:cs="Arial"/>
          <w:sz w:val="20"/>
          <w:szCs w:val="20"/>
          <w:lang w:val="es-AR"/>
        </w:rPr>
        <w:t xml:space="preserve"> de agosto de 2024 -- Crown Point Energy Inc. (TSX-V:CWV) ("</w:t>
      </w:r>
      <w:r w:rsidRPr="00FA2D67">
        <w:rPr>
          <w:rFonts w:ascii="Arial" w:hAnsi="Arial" w:cs="Arial"/>
          <w:b/>
          <w:bCs/>
          <w:sz w:val="20"/>
          <w:szCs w:val="20"/>
          <w:lang w:val="es-AR"/>
        </w:rPr>
        <w:t>Crown Point</w:t>
      </w:r>
      <w:r w:rsidRPr="00FA2D67">
        <w:rPr>
          <w:rFonts w:ascii="Arial" w:hAnsi="Arial" w:cs="Arial"/>
          <w:sz w:val="20"/>
          <w:szCs w:val="20"/>
          <w:lang w:val="es-AR"/>
        </w:rPr>
        <w:t xml:space="preserve">" o la </w:t>
      </w:r>
      <w:r w:rsidR="00FA2D67">
        <w:rPr>
          <w:rFonts w:ascii="Arial" w:hAnsi="Arial" w:cs="Arial"/>
          <w:sz w:val="20"/>
          <w:szCs w:val="20"/>
          <w:lang w:val="es-AR"/>
        </w:rPr>
        <w:t>“</w:t>
      </w:r>
      <w:r w:rsidRPr="00FA2D67">
        <w:rPr>
          <w:rFonts w:ascii="Arial" w:hAnsi="Arial" w:cs="Arial"/>
          <w:b/>
          <w:bCs/>
          <w:sz w:val="20"/>
          <w:szCs w:val="20"/>
          <w:lang w:val="es-AR"/>
        </w:rPr>
        <w:t>Compañía</w:t>
      </w:r>
      <w:r w:rsidR="00FA2D67">
        <w:rPr>
          <w:rFonts w:ascii="Arial" w:hAnsi="Arial" w:cs="Arial"/>
          <w:sz w:val="20"/>
          <w:szCs w:val="20"/>
          <w:lang w:val="es-AR"/>
        </w:rPr>
        <w:t>”</w:t>
      </w:r>
      <w:r w:rsidRPr="00FA2D67">
        <w:rPr>
          <w:rFonts w:ascii="Arial" w:hAnsi="Arial" w:cs="Arial"/>
          <w:sz w:val="20"/>
          <w:szCs w:val="20"/>
          <w:lang w:val="es-AR"/>
        </w:rPr>
        <w:t xml:space="preserve">) </w:t>
      </w:r>
      <w:r w:rsidRPr="00FA2D67">
        <w:rPr>
          <w:rFonts w:ascii="Arial" w:hAnsi="Arial" w:cs="Arial"/>
          <w:color w:val="333333"/>
          <w:sz w:val="20"/>
          <w:szCs w:val="20"/>
          <w:lang w:val="es-AR"/>
        </w:rPr>
        <w:t xml:space="preserve">se complace en anunciar que </w:t>
      </w:r>
      <w:r w:rsidRPr="00FA2D67">
        <w:rPr>
          <w:rFonts w:ascii="Arial" w:hAnsi="Arial" w:cs="Arial"/>
          <w:sz w:val="20"/>
          <w:szCs w:val="20"/>
          <w:lang w:val="es-AR"/>
        </w:rPr>
        <w:t xml:space="preserve">su subsidiaria de propiedad absoluta, Crown Point </w:t>
      </w:r>
      <w:r w:rsidR="00FA2D67" w:rsidRPr="00FA2D67">
        <w:rPr>
          <w:rFonts w:ascii="Arial" w:hAnsi="Arial" w:cs="Arial"/>
          <w:sz w:val="20"/>
          <w:szCs w:val="20"/>
          <w:lang w:val="es-AR"/>
        </w:rPr>
        <w:t>Energía</w:t>
      </w:r>
      <w:r w:rsidRPr="00FA2D67">
        <w:rPr>
          <w:rFonts w:ascii="Arial" w:hAnsi="Arial" w:cs="Arial"/>
          <w:sz w:val="20"/>
          <w:szCs w:val="20"/>
          <w:lang w:val="es-AR"/>
        </w:rPr>
        <w:t xml:space="preserve"> S.A., ha celebrado un contrato de compraventa (el “</w:t>
      </w:r>
      <w:r w:rsidRPr="00FA2D67">
        <w:rPr>
          <w:rFonts w:ascii="Arial" w:hAnsi="Arial" w:cs="Arial"/>
          <w:b/>
          <w:bCs/>
          <w:sz w:val="20"/>
          <w:szCs w:val="20"/>
          <w:lang w:val="es-AR"/>
        </w:rPr>
        <w:t>Contrato</w:t>
      </w:r>
      <w:r w:rsidRPr="00FA2D67">
        <w:rPr>
          <w:rFonts w:ascii="Arial" w:hAnsi="Arial" w:cs="Arial"/>
          <w:sz w:val="20"/>
          <w:szCs w:val="20"/>
          <w:lang w:val="es-AR"/>
        </w:rPr>
        <w:t xml:space="preserve">”) con una parte independiente (la </w:t>
      </w:r>
      <w:r w:rsidR="00FA2D67">
        <w:rPr>
          <w:rFonts w:ascii="Arial" w:hAnsi="Arial" w:cs="Arial"/>
          <w:sz w:val="20"/>
          <w:szCs w:val="20"/>
          <w:lang w:val="es-AR"/>
        </w:rPr>
        <w:t>“</w:t>
      </w:r>
      <w:r w:rsidRPr="00FA2D67">
        <w:rPr>
          <w:rFonts w:ascii="Arial" w:hAnsi="Arial" w:cs="Arial"/>
          <w:b/>
          <w:bCs/>
          <w:sz w:val="20"/>
          <w:szCs w:val="20"/>
          <w:lang w:val="es-AR"/>
        </w:rPr>
        <w:t>Vendedora</w:t>
      </w:r>
      <w:r w:rsidR="00FA2D67">
        <w:rPr>
          <w:rFonts w:ascii="Arial" w:hAnsi="Arial" w:cs="Arial"/>
          <w:sz w:val="20"/>
          <w:szCs w:val="20"/>
          <w:lang w:val="es-AR"/>
        </w:rPr>
        <w:t>”</w:t>
      </w:r>
      <w:r w:rsidRPr="00FA2D67">
        <w:rPr>
          <w:rFonts w:ascii="Arial" w:hAnsi="Arial" w:cs="Arial"/>
          <w:sz w:val="20"/>
          <w:szCs w:val="20"/>
          <w:lang w:val="es-AR"/>
        </w:rPr>
        <w:t xml:space="preserve">) para adquirir una participación no operativa del 16,9972% (los </w:t>
      </w:r>
      <w:r w:rsidR="00FA2D67">
        <w:rPr>
          <w:rFonts w:ascii="Arial" w:hAnsi="Arial" w:cs="Arial"/>
          <w:sz w:val="20"/>
          <w:szCs w:val="20"/>
          <w:lang w:val="es-AR"/>
        </w:rPr>
        <w:t>“</w:t>
      </w:r>
      <w:r w:rsidRPr="00FA2D67">
        <w:rPr>
          <w:rFonts w:ascii="Arial" w:hAnsi="Arial" w:cs="Arial"/>
          <w:b/>
          <w:bCs/>
          <w:sz w:val="20"/>
          <w:szCs w:val="20"/>
          <w:lang w:val="es-AR"/>
        </w:rPr>
        <w:t>Activos Adquiridos</w:t>
      </w:r>
      <w:r w:rsidR="00FA2D67">
        <w:rPr>
          <w:rFonts w:ascii="Arial" w:hAnsi="Arial" w:cs="Arial"/>
          <w:sz w:val="20"/>
          <w:szCs w:val="20"/>
          <w:lang w:val="es-AR"/>
        </w:rPr>
        <w:t>”</w:t>
      </w:r>
      <w:r w:rsidRPr="00FA2D67">
        <w:rPr>
          <w:rFonts w:ascii="Arial" w:hAnsi="Arial" w:cs="Arial"/>
          <w:sz w:val="20"/>
          <w:szCs w:val="20"/>
          <w:lang w:val="es-AR"/>
        </w:rPr>
        <w:t xml:space="preserve">) en las concesiones de explotación de hidrocarburos de Rio Cullen, Las Violetas y La Angostura (las </w:t>
      </w:r>
      <w:r w:rsidR="00FA2D67">
        <w:rPr>
          <w:rFonts w:ascii="Arial" w:hAnsi="Arial" w:cs="Arial"/>
          <w:sz w:val="20"/>
          <w:szCs w:val="20"/>
          <w:lang w:val="es-AR"/>
        </w:rPr>
        <w:t>“</w:t>
      </w:r>
      <w:r w:rsidRPr="00FA2D67">
        <w:rPr>
          <w:rFonts w:ascii="Arial" w:hAnsi="Arial" w:cs="Arial"/>
          <w:b/>
          <w:bCs/>
          <w:sz w:val="20"/>
          <w:szCs w:val="20"/>
          <w:lang w:val="es-AR"/>
        </w:rPr>
        <w:t>Concesiones de TDF</w:t>
      </w:r>
      <w:r w:rsidR="00FA2D67">
        <w:rPr>
          <w:rFonts w:ascii="Arial" w:hAnsi="Arial" w:cs="Arial"/>
          <w:sz w:val="20"/>
          <w:szCs w:val="20"/>
          <w:lang w:val="es-AR"/>
        </w:rPr>
        <w:t>”</w:t>
      </w:r>
      <w:r w:rsidRPr="00FA2D67">
        <w:rPr>
          <w:rFonts w:ascii="Arial" w:hAnsi="Arial" w:cs="Arial"/>
          <w:sz w:val="20"/>
          <w:szCs w:val="20"/>
          <w:lang w:val="es-AR"/>
        </w:rPr>
        <w:t xml:space="preserve">) situadas al sur de Argentina, en la región de Tierra del Fuego de la Cuenca Austral (la </w:t>
      </w:r>
      <w:r w:rsidR="00FA2D67">
        <w:rPr>
          <w:rFonts w:ascii="Arial" w:hAnsi="Arial" w:cs="Arial"/>
          <w:sz w:val="20"/>
          <w:szCs w:val="20"/>
          <w:lang w:val="es-AR"/>
        </w:rPr>
        <w:t>“</w:t>
      </w:r>
      <w:r w:rsidRPr="00FA2D67">
        <w:rPr>
          <w:rFonts w:ascii="Arial" w:hAnsi="Arial" w:cs="Arial"/>
          <w:b/>
          <w:bCs/>
          <w:sz w:val="20"/>
          <w:szCs w:val="20"/>
          <w:lang w:val="es-AR"/>
        </w:rPr>
        <w:t>Adquisición</w:t>
      </w:r>
      <w:r w:rsidR="00FA2D67">
        <w:rPr>
          <w:rFonts w:ascii="Arial" w:hAnsi="Arial" w:cs="Arial"/>
          <w:sz w:val="20"/>
          <w:szCs w:val="20"/>
          <w:lang w:val="es-AR"/>
        </w:rPr>
        <w:t>”</w:t>
      </w:r>
      <w:r w:rsidRPr="00FA2D67">
        <w:rPr>
          <w:rFonts w:ascii="Arial" w:hAnsi="Arial" w:cs="Arial"/>
          <w:sz w:val="20"/>
          <w:szCs w:val="20"/>
          <w:lang w:val="es-AR"/>
        </w:rPr>
        <w:t>).  Actualmente</w:t>
      </w:r>
      <w:r w:rsidR="00FA2D67">
        <w:rPr>
          <w:rFonts w:ascii="Arial" w:hAnsi="Arial" w:cs="Arial"/>
          <w:sz w:val="20"/>
          <w:szCs w:val="20"/>
          <w:lang w:val="es-AR"/>
        </w:rPr>
        <w:t>,</w:t>
      </w:r>
      <w:r w:rsidRPr="00FA2D67">
        <w:rPr>
          <w:rFonts w:ascii="Arial" w:hAnsi="Arial" w:cs="Arial"/>
          <w:sz w:val="20"/>
          <w:szCs w:val="20"/>
          <w:lang w:val="es-AR"/>
        </w:rPr>
        <w:t xml:space="preserve"> Crown Point posee una participación no operativa del 34,7349% en las Concesiones de TDF.</w:t>
      </w:r>
    </w:p>
    <w:p w14:paraId="7C296385" w14:textId="77777777" w:rsidR="00615315" w:rsidRPr="00FA2D67" w:rsidRDefault="00615315" w:rsidP="008B5946">
      <w:pPr>
        <w:shd w:val="clear" w:color="auto" w:fill="FFFFFF"/>
        <w:jc w:val="both"/>
        <w:rPr>
          <w:rFonts w:ascii="Arial" w:hAnsi="Arial" w:cs="Arial"/>
          <w:sz w:val="20"/>
          <w:szCs w:val="20"/>
          <w:lang w:val="es-AR"/>
        </w:rPr>
      </w:pPr>
    </w:p>
    <w:p w14:paraId="63E7DA4B" w14:textId="4412B1D7" w:rsidR="00515769" w:rsidRPr="00FA2D67" w:rsidRDefault="00DC1E6C" w:rsidP="008B5946">
      <w:pPr>
        <w:shd w:val="clear" w:color="auto" w:fill="FFFFFF"/>
        <w:jc w:val="both"/>
        <w:rPr>
          <w:rFonts w:ascii="Arial" w:hAnsi="Arial" w:cs="Arial"/>
          <w:sz w:val="20"/>
          <w:szCs w:val="20"/>
          <w:lang w:val="es-AR"/>
        </w:rPr>
      </w:pPr>
      <w:r w:rsidRPr="00FA2D67">
        <w:rPr>
          <w:rFonts w:ascii="Arial" w:hAnsi="Arial" w:cs="Arial"/>
          <w:sz w:val="20"/>
          <w:szCs w:val="20"/>
          <w:lang w:val="es-AR"/>
        </w:rPr>
        <w:t>Las tres Concesiones de TDF, las cuales abarcan una superficie total de 489.000 acres brutos, están enteramente situadas en territorio argentino, en la extensión sur de la Cuenca Austral en la isla de Tierra del Fuego.  Los activos están ponderados por producción de gas e incluyen infraestructura propia de la Compañía para recolectar, procesar y transportar la producción de gas a los mercados de la isla y del territorio continental.  Para más información sobre las Concesiones de TDF, se pueden consultar los documentos informativos que Crown Point publica continuamente, entre ellos, el formulario de información anual y la Declaración de datos sobre reservas y otra información sobre petróleo y gas más recientes, disponibles en el sitio web SEDAR+ (</w:t>
      </w:r>
      <w:hyperlink r:id="rId12" w:history="1">
        <w:r w:rsidRPr="00FA2D67">
          <w:rPr>
            <w:rStyle w:val="Hipervnculo"/>
            <w:rFonts w:ascii="Arial" w:hAnsi="Arial" w:cs="Arial"/>
            <w:sz w:val="20"/>
            <w:szCs w:val="20"/>
            <w:lang w:val="es-AR"/>
          </w:rPr>
          <w:t>www.sedarplus.ca</w:t>
        </w:r>
      </w:hyperlink>
      <w:r w:rsidRPr="00FA2D67">
        <w:rPr>
          <w:rFonts w:ascii="Arial" w:hAnsi="Arial" w:cs="Arial"/>
          <w:sz w:val="20"/>
          <w:szCs w:val="20"/>
          <w:lang w:val="es-AR"/>
        </w:rPr>
        <w:t>) y en el sitio web de Crown Point (</w:t>
      </w:r>
      <w:hyperlink r:id="rId13" w:history="1">
        <w:r w:rsidRPr="00FA2D67">
          <w:rPr>
            <w:rStyle w:val="Hipervnculo"/>
            <w:rFonts w:ascii="Arial" w:hAnsi="Arial" w:cs="Arial"/>
            <w:sz w:val="20"/>
            <w:szCs w:val="20"/>
            <w:lang w:val="es-AR"/>
          </w:rPr>
          <w:t>www.crownpointenergy.com</w:t>
        </w:r>
      </w:hyperlink>
      <w:r w:rsidRPr="00FA2D67">
        <w:rPr>
          <w:rFonts w:ascii="Arial" w:hAnsi="Arial" w:cs="Arial"/>
          <w:sz w:val="20"/>
          <w:szCs w:val="20"/>
          <w:lang w:val="es-AR"/>
        </w:rPr>
        <w:t>).</w:t>
      </w:r>
    </w:p>
    <w:p w14:paraId="72E17DA0" w14:textId="77777777" w:rsidR="00E101A0" w:rsidRPr="00FA2D67" w:rsidRDefault="00E101A0" w:rsidP="00E101A0">
      <w:pPr>
        <w:pStyle w:val="yiv2012610974msonormal"/>
        <w:keepNext/>
        <w:jc w:val="both"/>
        <w:rPr>
          <w:rFonts w:ascii="Arial" w:hAnsi="Arial" w:cs="Arial"/>
          <w:b/>
          <w:sz w:val="20"/>
          <w:szCs w:val="20"/>
          <w:lang w:val="es-AR"/>
        </w:rPr>
      </w:pPr>
      <w:r w:rsidRPr="00FA2D67">
        <w:rPr>
          <w:rFonts w:ascii="Arial" w:hAnsi="Arial" w:cs="Arial"/>
          <w:b/>
          <w:bCs/>
          <w:sz w:val="20"/>
          <w:szCs w:val="20"/>
          <w:lang w:val="es-AR"/>
        </w:rPr>
        <w:t>Información relevante sobre la Adquisición</w:t>
      </w:r>
    </w:p>
    <w:p w14:paraId="63AC21A5" w14:textId="5B2519BE" w:rsidR="00615315" w:rsidRPr="00FA2D67" w:rsidRDefault="006777C8" w:rsidP="00E101A0">
      <w:pPr>
        <w:pStyle w:val="yiv2012610974msonormal"/>
        <w:keepNext/>
        <w:jc w:val="both"/>
        <w:rPr>
          <w:rFonts w:ascii="Arial" w:hAnsi="Arial" w:cs="Arial"/>
          <w:sz w:val="20"/>
          <w:szCs w:val="20"/>
          <w:lang w:val="es-AR"/>
        </w:rPr>
      </w:pPr>
      <w:r w:rsidRPr="00FA2D67">
        <w:rPr>
          <w:rFonts w:ascii="Arial" w:hAnsi="Arial" w:cs="Arial"/>
          <w:sz w:val="20"/>
          <w:szCs w:val="20"/>
          <w:lang w:val="es-AR"/>
        </w:rPr>
        <w:t xml:space="preserve">Esta </w:t>
      </w:r>
      <w:r w:rsidR="00F02AE8">
        <w:rPr>
          <w:rFonts w:ascii="Arial" w:hAnsi="Arial" w:cs="Arial"/>
          <w:sz w:val="20"/>
          <w:szCs w:val="20"/>
          <w:lang w:val="es-AR"/>
        </w:rPr>
        <w:t>A</w:t>
      </w:r>
      <w:r w:rsidRPr="00FA2D67">
        <w:rPr>
          <w:rFonts w:ascii="Arial" w:hAnsi="Arial" w:cs="Arial"/>
          <w:sz w:val="20"/>
          <w:szCs w:val="20"/>
          <w:lang w:val="es-AR"/>
        </w:rPr>
        <w:t>dquisición consolidará la posición de Crown Point en la</w:t>
      </w:r>
      <w:r w:rsidR="00F02AE8">
        <w:rPr>
          <w:rFonts w:ascii="Arial" w:hAnsi="Arial" w:cs="Arial"/>
          <w:sz w:val="20"/>
          <w:szCs w:val="20"/>
          <w:lang w:val="es-AR"/>
        </w:rPr>
        <w:t>s</w:t>
      </w:r>
      <w:r w:rsidRPr="00FA2D67">
        <w:rPr>
          <w:rFonts w:ascii="Arial" w:hAnsi="Arial" w:cs="Arial"/>
          <w:sz w:val="20"/>
          <w:szCs w:val="20"/>
          <w:lang w:val="es-AR"/>
        </w:rPr>
        <w:t xml:space="preserve"> </w:t>
      </w:r>
      <w:r w:rsidR="00F02AE8">
        <w:rPr>
          <w:rFonts w:ascii="Arial" w:hAnsi="Arial" w:cs="Arial"/>
          <w:sz w:val="20"/>
          <w:szCs w:val="20"/>
          <w:lang w:val="es-AR"/>
        </w:rPr>
        <w:t>Concesiones</w:t>
      </w:r>
      <w:r w:rsidRPr="00FA2D67">
        <w:rPr>
          <w:rFonts w:ascii="Arial" w:hAnsi="Arial" w:cs="Arial"/>
          <w:sz w:val="20"/>
          <w:szCs w:val="20"/>
          <w:lang w:val="es-AR"/>
        </w:rPr>
        <w:t xml:space="preserve"> de TDF.</w:t>
      </w:r>
    </w:p>
    <w:p w14:paraId="4F9D5B9C" w14:textId="32DB58C7" w:rsidR="00E101A0" w:rsidRPr="00FA2D67" w:rsidRDefault="00E101A0" w:rsidP="00E101A0">
      <w:pPr>
        <w:pStyle w:val="yiv2012610974msonormal"/>
        <w:keepNext/>
        <w:jc w:val="both"/>
        <w:rPr>
          <w:rFonts w:ascii="Arial" w:hAnsi="Arial" w:cs="Arial"/>
          <w:sz w:val="20"/>
          <w:szCs w:val="20"/>
          <w:lang w:val="es-AR"/>
        </w:rPr>
      </w:pPr>
      <w:r w:rsidRPr="00FA2D67">
        <w:rPr>
          <w:rFonts w:ascii="Arial" w:hAnsi="Arial" w:cs="Arial"/>
          <w:sz w:val="20"/>
          <w:szCs w:val="20"/>
          <w:lang w:val="es-AR"/>
        </w:rPr>
        <w:t xml:space="preserve">En el siguiente cuadro se exponen los volúmenes de producción, volúmenes de venta, reservas y superficie de las tierras de la Vendedora y de Crown Point con respecto a las Concesiones de TDF, en términos individuales y proyectados: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2507"/>
        <w:gridCol w:w="1519"/>
        <w:gridCol w:w="1306"/>
      </w:tblGrid>
      <w:tr w:rsidR="00E101A0" w:rsidRPr="00FA2D67" w14:paraId="5CF88E47" w14:textId="77777777" w:rsidTr="00EC7FAA">
        <w:tc>
          <w:tcPr>
            <w:tcW w:w="4045" w:type="dxa"/>
          </w:tcPr>
          <w:p w14:paraId="62D04C82" w14:textId="4801CE28" w:rsidR="00E101A0" w:rsidRPr="00FA2D67" w:rsidRDefault="00D94BAC" w:rsidP="007764B0">
            <w:pPr>
              <w:pStyle w:val="yiv2012610974msonormal"/>
              <w:jc w:val="both"/>
              <w:rPr>
                <w:rFonts w:ascii="Arial" w:hAnsi="Arial" w:cs="Arial"/>
                <w:b/>
                <w:bCs/>
                <w:sz w:val="20"/>
                <w:szCs w:val="20"/>
                <w:lang w:val="es-AR"/>
              </w:rPr>
            </w:pPr>
            <w:r w:rsidRPr="00FA2D67">
              <w:rPr>
                <w:rFonts w:ascii="Arial" w:hAnsi="Arial" w:cs="Arial"/>
                <w:b/>
                <w:bCs/>
                <w:sz w:val="20"/>
                <w:szCs w:val="20"/>
                <w:lang w:val="es-AR"/>
              </w:rPr>
              <w:t>Concesiones de TDF</w:t>
            </w:r>
          </w:p>
        </w:tc>
        <w:tc>
          <w:tcPr>
            <w:tcW w:w="2520" w:type="dxa"/>
          </w:tcPr>
          <w:p w14:paraId="6C13F316" w14:textId="7A9BF425" w:rsidR="00E101A0" w:rsidRPr="00FA2D67" w:rsidRDefault="00E101A0" w:rsidP="00FA2D67">
            <w:pPr>
              <w:pStyle w:val="yiv2012610974msonormal"/>
              <w:jc w:val="center"/>
              <w:rPr>
                <w:rFonts w:ascii="Arial" w:hAnsi="Arial" w:cs="Arial"/>
                <w:b/>
                <w:bCs/>
                <w:sz w:val="20"/>
                <w:szCs w:val="20"/>
                <w:lang w:val="es-AR"/>
              </w:rPr>
            </w:pPr>
            <w:r w:rsidRPr="00FA2D67">
              <w:rPr>
                <w:rFonts w:ascii="Arial" w:hAnsi="Arial" w:cs="Arial"/>
                <w:b/>
                <w:bCs/>
                <w:sz w:val="20"/>
                <w:szCs w:val="20"/>
                <w:lang w:val="es-AR"/>
              </w:rPr>
              <w:t>Vendedora</w:t>
            </w:r>
          </w:p>
        </w:tc>
        <w:tc>
          <w:tcPr>
            <w:tcW w:w="1523" w:type="dxa"/>
          </w:tcPr>
          <w:p w14:paraId="5461875B" w14:textId="77777777" w:rsidR="00E101A0" w:rsidRPr="00FA2D67" w:rsidRDefault="00E101A0" w:rsidP="00FA2D67">
            <w:pPr>
              <w:pStyle w:val="yiv2012610974msonormal"/>
              <w:jc w:val="center"/>
              <w:rPr>
                <w:rFonts w:ascii="Arial" w:hAnsi="Arial" w:cs="Arial"/>
                <w:b/>
                <w:bCs/>
                <w:sz w:val="20"/>
                <w:szCs w:val="20"/>
                <w:lang w:val="es-AR"/>
              </w:rPr>
            </w:pPr>
            <w:r w:rsidRPr="00FA2D67">
              <w:rPr>
                <w:rFonts w:ascii="Arial" w:hAnsi="Arial" w:cs="Arial"/>
                <w:b/>
                <w:bCs/>
                <w:sz w:val="20"/>
                <w:szCs w:val="20"/>
                <w:lang w:val="es-AR"/>
              </w:rPr>
              <w:t>Crown Point</w:t>
            </w:r>
          </w:p>
        </w:tc>
        <w:tc>
          <w:tcPr>
            <w:tcW w:w="1262" w:type="dxa"/>
          </w:tcPr>
          <w:p w14:paraId="3C928B58" w14:textId="77777777" w:rsidR="00E101A0" w:rsidRPr="00FA2D67" w:rsidRDefault="00E101A0" w:rsidP="00FA2D67">
            <w:pPr>
              <w:pStyle w:val="yiv2012610974msonormal"/>
              <w:jc w:val="center"/>
              <w:rPr>
                <w:rFonts w:ascii="Arial" w:hAnsi="Arial" w:cs="Arial"/>
                <w:b/>
                <w:bCs/>
                <w:sz w:val="20"/>
                <w:szCs w:val="20"/>
                <w:lang w:val="es-AR"/>
              </w:rPr>
            </w:pPr>
            <w:r w:rsidRPr="00FA2D67">
              <w:rPr>
                <w:rFonts w:ascii="Arial" w:hAnsi="Arial" w:cs="Arial"/>
                <w:b/>
                <w:bCs/>
                <w:sz w:val="20"/>
                <w:szCs w:val="20"/>
                <w:lang w:val="es-AR"/>
              </w:rPr>
              <w:t>Proyectado</w:t>
            </w:r>
          </w:p>
        </w:tc>
      </w:tr>
      <w:tr w:rsidR="00E101A0" w:rsidRPr="00FA2D67" w14:paraId="24C5B4D0" w14:textId="77777777" w:rsidTr="00EC7FAA">
        <w:tc>
          <w:tcPr>
            <w:tcW w:w="4045" w:type="dxa"/>
          </w:tcPr>
          <w:p w14:paraId="4677156E" w14:textId="77777777" w:rsidR="00E101A0" w:rsidRPr="00FA2D67" w:rsidRDefault="00E101A0" w:rsidP="007764B0">
            <w:pPr>
              <w:pStyle w:val="yiv2012610974msonormal"/>
              <w:jc w:val="both"/>
              <w:rPr>
                <w:rFonts w:ascii="Arial" w:hAnsi="Arial" w:cs="Arial"/>
                <w:sz w:val="20"/>
                <w:szCs w:val="20"/>
                <w:lang w:val="es-AR"/>
              </w:rPr>
            </w:pPr>
          </w:p>
        </w:tc>
        <w:tc>
          <w:tcPr>
            <w:tcW w:w="2520" w:type="dxa"/>
          </w:tcPr>
          <w:p w14:paraId="617DFC6B" w14:textId="77777777" w:rsidR="00E101A0" w:rsidRPr="00FA2D67" w:rsidRDefault="00E101A0" w:rsidP="007764B0">
            <w:pPr>
              <w:pStyle w:val="yiv2012610974msonormal"/>
              <w:jc w:val="both"/>
              <w:rPr>
                <w:rFonts w:ascii="Arial" w:hAnsi="Arial" w:cs="Arial"/>
                <w:sz w:val="20"/>
                <w:szCs w:val="20"/>
                <w:lang w:val="es-AR"/>
              </w:rPr>
            </w:pPr>
          </w:p>
        </w:tc>
        <w:tc>
          <w:tcPr>
            <w:tcW w:w="1523" w:type="dxa"/>
          </w:tcPr>
          <w:p w14:paraId="39497E72" w14:textId="77777777" w:rsidR="00E101A0" w:rsidRPr="00FA2D67" w:rsidRDefault="00E101A0" w:rsidP="007764B0">
            <w:pPr>
              <w:pStyle w:val="yiv2012610974msonormal"/>
              <w:jc w:val="both"/>
              <w:rPr>
                <w:rFonts w:ascii="Arial" w:hAnsi="Arial" w:cs="Arial"/>
                <w:sz w:val="20"/>
                <w:szCs w:val="20"/>
                <w:lang w:val="es-AR"/>
              </w:rPr>
            </w:pPr>
          </w:p>
        </w:tc>
        <w:tc>
          <w:tcPr>
            <w:tcW w:w="1262" w:type="dxa"/>
          </w:tcPr>
          <w:p w14:paraId="5384B2A1" w14:textId="77777777" w:rsidR="00E101A0" w:rsidRPr="00FA2D67" w:rsidRDefault="00E101A0" w:rsidP="007764B0">
            <w:pPr>
              <w:pStyle w:val="yiv2012610974msonormal"/>
              <w:jc w:val="both"/>
              <w:rPr>
                <w:rFonts w:ascii="Arial" w:hAnsi="Arial" w:cs="Arial"/>
                <w:sz w:val="20"/>
                <w:szCs w:val="20"/>
                <w:lang w:val="es-AR"/>
              </w:rPr>
            </w:pPr>
          </w:p>
        </w:tc>
      </w:tr>
      <w:tr w:rsidR="00E101A0" w:rsidRPr="00FA2D67" w14:paraId="49FC4630" w14:textId="77777777" w:rsidTr="00EC7FAA">
        <w:tc>
          <w:tcPr>
            <w:tcW w:w="4045" w:type="dxa"/>
          </w:tcPr>
          <w:p w14:paraId="4FB65FBC" w14:textId="4015DC02" w:rsidR="00E101A0" w:rsidRPr="00FA2D67" w:rsidRDefault="00D94BAC" w:rsidP="007764B0">
            <w:pPr>
              <w:pStyle w:val="yiv2012610974msonormal"/>
              <w:jc w:val="both"/>
              <w:rPr>
                <w:rFonts w:ascii="Arial" w:hAnsi="Arial" w:cs="Arial"/>
                <w:sz w:val="20"/>
                <w:szCs w:val="20"/>
                <w:lang w:val="es-AR"/>
              </w:rPr>
            </w:pPr>
            <w:r w:rsidRPr="00FA2D67">
              <w:rPr>
                <w:rFonts w:ascii="Arial" w:hAnsi="Arial" w:cs="Arial"/>
                <w:sz w:val="20"/>
                <w:szCs w:val="20"/>
                <w:lang w:val="es-AR"/>
              </w:rPr>
              <w:t>Participación</w:t>
            </w:r>
          </w:p>
        </w:tc>
        <w:tc>
          <w:tcPr>
            <w:tcW w:w="2520" w:type="dxa"/>
          </w:tcPr>
          <w:p w14:paraId="228396C6" w14:textId="3EEB17CB" w:rsidR="00E101A0" w:rsidRPr="00FA2D67" w:rsidRDefault="00D94BAC" w:rsidP="007764B0">
            <w:pPr>
              <w:pStyle w:val="yiv2012610974msonormal"/>
              <w:jc w:val="both"/>
              <w:rPr>
                <w:rFonts w:ascii="Arial" w:hAnsi="Arial" w:cs="Arial"/>
                <w:sz w:val="20"/>
                <w:szCs w:val="20"/>
                <w:lang w:val="es-AR"/>
              </w:rPr>
            </w:pPr>
            <w:r w:rsidRPr="00FA2D67">
              <w:rPr>
                <w:rFonts w:ascii="Arial" w:hAnsi="Arial" w:cs="Arial"/>
                <w:sz w:val="20"/>
                <w:szCs w:val="20"/>
                <w:lang w:val="es-AR"/>
              </w:rPr>
              <w:t>16,9972%</w:t>
            </w:r>
          </w:p>
        </w:tc>
        <w:tc>
          <w:tcPr>
            <w:tcW w:w="1523" w:type="dxa"/>
          </w:tcPr>
          <w:p w14:paraId="2D3BFDDA" w14:textId="6B0C9EC0" w:rsidR="00E101A0" w:rsidRPr="00FA2D67" w:rsidRDefault="00D94BAC" w:rsidP="007764B0">
            <w:pPr>
              <w:pStyle w:val="yiv2012610974msonormal"/>
              <w:jc w:val="both"/>
              <w:rPr>
                <w:rFonts w:ascii="Arial" w:hAnsi="Arial" w:cs="Arial"/>
                <w:sz w:val="20"/>
                <w:szCs w:val="20"/>
                <w:lang w:val="es-AR"/>
              </w:rPr>
            </w:pPr>
            <w:r w:rsidRPr="00FA2D67">
              <w:rPr>
                <w:rFonts w:ascii="Arial" w:hAnsi="Arial" w:cs="Arial"/>
                <w:sz w:val="20"/>
                <w:szCs w:val="20"/>
                <w:lang w:val="es-AR"/>
              </w:rPr>
              <w:t>34,7349%</w:t>
            </w:r>
          </w:p>
        </w:tc>
        <w:tc>
          <w:tcPr>
            <w:tcW w:w="1262" w:type="dxa"/>
          </w:tcPr>
          <w:p w14:paraId="71865874" w14:textId="0864A63C" w:rsidR="00E101A0" w:rsidRPr="00FA2D67" w:rsidRDefault="00E101A0" w:rsidP="007764B0">
            <w:pPr>
              <w:pStyle w:val="yiv2012610974msonormal"/>
              <w:jc w:val="both"/>
              <w:rPr>
                <w:rFonts w:ascii="Arial" w:hAnsi="Arial" w:cs="Arial"/>
                <w:sz w:val="20"/>
                <w:szCs w:val="20"/>
                <w:lang w:val="es-AR"/>
              </w:rPr>
            </w:pPr>
            <w:r w:rsidRPr="00FA2D67">
              <w:rPr>
                <w:rFonts w:ascii="Arial" w:hAnsi="Arial" w:cs="Arial"/>
                <w:sz w:val="20"/>
                <w:szCs w:val="20"/>
                <w:lang w:val="es-AR"/>
              </w:rPr>
              <w:t>51,7321%</w:t>
            </w:r>
          </w:p>
        </w:tc>
      </w:tr>
      <w:tr w:rsidR="00E101A0" w:rsidRPr="00FA2D67" w14:paraId="44814D08" w14:textId="77777777" w:rsidTr="00EC7FAA">
        <w:tc>
          <w:tcPr>
            <w:tcW w:w="4045" w:type="dxa"/>
          </w:tcPr>
          <w:p w14:paraId="6E1D7694" w14:textId="77777777" w:rsidR="00E101A0" w:rsidRPr="00FA2D67" w:rsidRDefault="00E101A0" w:rsidP="007764B0">
            <w:pPr>
              <w:pStyle w:val="yiv2012610974msonormal"/>
              <w:jc w:val="both"/>
              <w:rPr>
                <w:rFonts w:ascii="Arial" w:hAnsi="Arial" w:cs="Arial"/>
                <w:sz w:val="20"/>
                <w:szCs w:val="20"/>
                <w:lang w:val="es-AR"/>
              </w:rPr>
            </w:pPr>
          </w:p>
        </w:tc>
        <w:tc>
          <w:tcPr>
            <w:tcW w:w="2520" w:type="dxa"/>
          </w:tcPr>
          <w:p w14:paraId="7B5AEF1E" w14:textId="77777777" w:rsidR="00E101A0" w:rsidRPr="00FA2D67" w:rsidRDefault="00E101A0" w:rsidP="007764B0">
            <w:pPr>
              <w:pStyle w:val="yiv2012610974msonormal"/>
              <w:jc w:val="both"/>
              <w:rPr>
                <w:rFonts w:ascii="Arial" w:hAnsi="Arial" w:cs="Arial"/>
                <w:sz w:val="20"/>
                <w:szCs w:val="20"/>
                <w:lang w:val="es-AR"/>
              </w:rPr>
            </w:pPr>
          </w:p>
        </w:tc>
        <w:tc>
          <w:tcPr>
            <w:tcW w:w="1523" w:type="dxa"/>
          </w:tcPr>
          <w:p w14:paraId="6A944CB4" w14:textId="77777777" w:rsidR="00E101A0" w:rsidRPr="00FA2D67" w:rsidRDefault="00E101A0" w:rsidP="007764B0">
            <w:pPr>
              <w:pStyle w:val="yiv2012610974msonormal"/>
              <w:jc w:val="both"/>
              <w:rPr>
                <w:rFonts w:ascii="Arial" w:hAnsi="Arial" w:cs="Arial"/>
                <w:sz w:val="20"/>
                <w:szCs w:val="20"/>
                <w:lang w:val="es-AR"/>
              </w:rPr>
            </w:pPr>
          </w:p>
        </w:tc>
        <w:tc>
          <w:tcPr>
            <w:tcW w:w="1262" w:type="dxa"/>
          </w:tcPr>
          <w:p w14:paraId="564F8A81" w14:textId="77777777" w:rsidR="00E101A0" w:rsidRPr="00FA2D67" w:rsidRDefault="00E101A0" w:rsidP="007764B0">
            <w:pPr>
              <w:pStyle w:val="yiv2012610974msonormal"/>
              <w:jc w:val="both"/>
              <w:rPr>
                <w:rFonts w:ascii="Arial" w:hAnsi="Arial" w:cs="Arial"/>
                <w:sz w:val="20"/>
                <w:szCs w:val="20"/>
                <w:lang w:val="es-AR"/>
              </w:rPr>
            </w:pPr>
          </w:p>
        </w:tc>
      </w:tr>
      <w:tr w:rsidR="00E101A0" w:rsidRPr="00FA2D67" w14:paraId="731D0D3A" w14:textId="77777777" w:rsidTr="00EC7FAA">
        <w:tc>
          <w:tcPr>
            <w:tcW w:w="4045" w:type="dxa"/>
          </w:tcPr>
          <w:p w14:paraId="2F750167" w14:textId="58DC9BA2" w:rsidR="00E101A0" w:rsidRPr="00FA2D67" w:rsidRDefault="00E101A0" w:rsidP="007764B0">
            <w:pPr>
              <w:pStyle w:val="yiv2012610974msonormal"/>
              <w:jc w:val="both"/>
              <w:rPr>
                <w:rFonts w:ascii="Arial" w:hAnsi="Arial" w:cs="Arial"/>
                <w:sz w:val="20"/>
                <w:szCs w:val="20"/>
                <w:lang w:val="es-AR"/>
              </w:rPr>
            </w:pPr>
            <w:r w:rsidRPr="00FA2D67">
              <w:rPr>
                <w:rFonts w:ascii="Arial" w:hAnsi="Arial" w:cs="Arial"/>
                <w:sz w:val="20"/>
                <w:szCs w:val="20"/>
                <w:lang w:val="es-AR"/>
              </w:rPr>
              <w:t>Producción (1° trimestre de 2024</w:t>
            </w:r>
            <w:r w:rsidRPr="00FA2D67">
              <w:rPr>
                <w:rFonts w:ascii="Arial" w:hAnsi="Arial" w:cs="Arial"/>
                <w:sz w:val="20"/>
                <w:szCs w:val="20"/>
                <w:vertAlign w:val="superscript"/>
                <w:lang w:val="es-AR"/>
              </w:rPr>
              <w:t>(1)</w:t>
            </w:r>
            <w:r w:rsidRPr="00FA2D67">
              <w:rPr>
                <w:rFonts w:ascii="Arial" w:hAnsi="Arial" w:cs="Arial"/>
                <w:sz w:val="20"/>
                <w:szCs w:val="20"/>
                <w:lang w:val="es-AR"/>
              </w:rPr>
              <w:t xml:space="preserve">) (BOE/d) </w:t>
            </w:r>
          </w:p>
        </w:tc>
        <w:tc>
          <w:tcPr>
            <w:tcW w:w="2520" w:type="dxa"/>
          </w:tcPr>
          <w:p w14:paraId="36C3898F" w14:textId="712EF9C6" w:rsidR="00E101A0" w:rsidRPr="00FA2D67" w:rsidRDefault="00095C6E" w:rsidP="007764B0">
            <w:pPr>
              <w:pStyle w:val="yiv2012610974msonormal"/>
              <w:jc w:val="both"/>
              <w:rPr>
                <w:rFonts w:ascii="Arial" w:hAnsi="Arial" w:cs="Arial"/>
                <w:sz w:val="20"/>
                <w:szCs w:val="20"/>
                <w:lang w:val="es-AR"/>
              </w:rPr>
            </w:pPr>
            <w:r w:rsidRPr="00FA2D67">
              <w:rPr>
                <w:rFonts w:ascii="Arial" w:hAnsi="Arial" w:cs="Arial"/>
                <w:sz w:val="20"/>
                <w:szCs w:val="20"/>
                <w:lang w:val="es-AR"/>
              </w:rPr>
              <w:t>3</w:t>
            </w:r>
            <w:r w:rsidR="00F02AE8">
              <w:rPr>
                <w:rFonts w:ascii="Arial" w:hAnsi="Arial" w:cs="Arial"/>
                <w:sz w:val="20"/>
                <w:szCs w:val="20"/>
                <w:lang w:val="es-AR"/>
              </w:rPr>
              <w:t>53</w:t>
            </w:r>
          </w:p>
        </w:tc>
        <w:tc>
          <w:tcPr>
            <w:tcW w:w="1523" w:type="dxa"/>
          </w:tcPr>
          <w:p w14:paraId="0681152F" w14:textId="35705C23" w:rsidR="00E101A0" w:rsidRPr="00FA2D67" w:rsidRDefault="005326A4" w:rsidP="007764B0">
            <w:pPr>
              <w:pStyle w:val="yiv2012610974msonormal"/>
              <w:jc w:val="both"/>
              <w:rPr>
                <w:rFonts w:ascii="Arial" w:hAnsi="Arial" w:cs="Arial"/>
                <w:sz w:val="20"/>
                <w:szCs w:val="20"/>
                <w:lang w:val="es-AR"/>
              </w:rPr>
            </w:pPr>
            <w:r w:rsidRPr="00FA2D67">
              <w:rPr>
                <w:rFonts w:ascii="Arial" w:hAnsi="Arial" w:cs="Arial"/>
                <w:sz w:val="20"/>
                <w:szCs w:val="20"/>
                <w:lang w:val="es-AR"/>
              </w:rPr>
              <w:t>7</w:t>
            </w:r>
            <w:r w:rsidR="00FA2055">
              <w:rPr>
                <w:rFonts w:ascii="Arial" w:hAnsi="Arial" w:cs="Arial"/>
                <w:sz w:val="20"/>
                <w:szCs w:val="20"/>
                <w:lang w:val="es-AR"/>
              </w:rPr>
              <w:t>21</w:t>
            </w:r>
            <w:r w:rsidRPr="00FA2D67">
              <w:rPr>
                <w:rFonts w:ascii="Arial" w:hAnsi="Arial" w:cs="Arial"/>
                <w:sz w:val="20"/>
                <w:szCs w:val="20"/>
                <w:lang w:val="es-AR"/>
              </w:rPr>
              <w:t>,00</w:t>
            </w:r>
          </w:p>
        </w:tc>
        <w:tc>
          <w:tcPr>
            <w:tcW w:w="1262" w:type="dxa"/>
          </w:tcPr>
          <w:p w14:paraId="21166493" w14:textId="739115D1" w:rsidR="00E101A0" w:rsidRPr="00FA2D67" w:rsidRDefault="005326A4" w:rsidP="007764B0">
            <w:pPr>
              <w:pStyle w:val="yiv2012610974msonormal"/>
              <w:jc w:val="both"/>
              <w:rPr>
                <w:rFonts w:ascii="Arial" w:hAnsi="Arial" w:cs="Arial"/>
                <w:sz w:val="20"/>
                <w:szCs w:val="20"/>
                <w:lang w:val="es-AR"/>
              </w:rPr>
            </w:pPr>
            <w:r w:rsidRPr="00FA2D67">
              <w:rPr>
                <w:rFonts w:ascii="Arial" w:hAnsi="Arial" w:cs="Arial"/>
                <w:sz w:val="20"/>
                <w:szCs w:val="20"/>
                <w:lang w:val="es-AR"/>
              </w:rPr>
              <w:t>1.</w:t>
            </w:r>
            <w:r w:rsidR="00FA2055">
              <w:rPr>
                <w:rFonts w:ascii="Arial" w:hAnsi="Arial" w:cs="Arial"/>
                <w:sz w:val="20"/>
                <w:szCs w:val="20"/>
                <w:lang w:val="es-AR"/>
              </w:rPr>
              <w:t>074</w:t>
            </w:r>
          </w:p>
        </w:tc>
      </w:tr>
      <w:tr w:rsidR="00E101A0" w:rsidRPr="00FA2D67" w14:paraId="4B54375D" w14:textId="77777777" w:rsidTr="00EC7FAA">
        <w:tc>
          <w:tcPr>
            <w:tcW w:w="4045" w:type="dxa"/>
          </w:tcPr>
          <w:p w14:paraId="3C916241" w14:textId="77777777" w:rsidR="00E101A0" w:rsidRPr="00FA2D67" w:rsidRDefault="00E101A0" w:rsidP="007764B0">
            <w:pPr>
              <w:pStyle w:val="yiv2012610974msonormal"/>
              <w:jc w:val="both"/>
              <w:rPr>
                <w:rFonts w:ascii="Arial" w:hAnsi="Arial" w:cs="Arial"/>
                <w:sz w:val="20"/>
                <w:szCs w:val="20"/>
                <w:lang w:val="es-AR"/>
              </w:rPr>
            </w:pPr>
          </w:p>
        </w:tc>
        <w:tc>
          <w:tcPr>
            <w:tcW w:w="2520" w:type="dxa"/>
          </w:tcPr>
          <w:p w14:paraId="30733EF1" w14:textId="77777777" w:rsidR="00E101A0" w:rsidRPr="00FA2D67" w:rsidRDefault="00E101A0" w:rsidP="007764B0">
            <w:pPr>
              <w:pStyle w:val="yiv2012610974msonormal"/>
              <w:jc w:val="both"/>
              <w:rPr>
                <w:rFonts w:ascii="Arial" w:hAnsi="Arial" w:cs="Arial"/>
                <w:sz w:val="20"/>
                <w:szCs w:val="20"/>
                <w:lang w:val="es-AR"/>
              </w:rPr>
            </w:pPr>
          </w:p>
        </w:tc>
        <w:tc>
          <w:tcPr>
            <w:tcW w:w="1523" w:type="dxa"/>
          </w:tcPr>
          <w:p w14:paraId="50426988" w14:textId="77777777" w:rsidR="00E101A0" w:rsidRPr="00FA2D67" w:rsidRDefault="00E101A0" w:rsidP="007764B0">
            <w:pPr>
              <w:pStyle w:val="yiv2012610974msonormal"/>
              <w:jc w:val="both"/>
              <w:rPr>
                <w:rFonts w:ascii="Arial" w:hAnsi="Arial" w:cs="Arial"/>
                <w:sz w:val="20"/>
                <w:szCs w:val="20"/>
                <w:lang w:val="es-AR"/>
              </w:rPr>
            </w:pPr>
          </w:p>
        </w:tc>
        <w:tc>
          <w:tcPr>
            <w:tcW w:w="1262" w:type="dxa"/>
          </w:tcPr>
          <w:p w14:paraId="1ED77946" w14:textId="77777777" w:rsidR="00E101A0" w:rsidRPr="00FA2D67" w:rsidRDefault="00E101A0" w:rsidP="007764B0">
            <w:pPr>
              <w:pStyle w:val="yiv2012610974msonormal"/>
              <w:jc w:val="both"/>
              <w:rPr>
                <w:rFonts w:ascii="Arial" w:hAnsi="Arial" w:cs="Arial"/>
                <w:sz w:val="20"/>
                <w:szCs w:val="20"/>
                <w:lang w:val="es-AR"/>
              </w:rPr>
            </w:pPr>
          </w:p>
        </w:tc>
      </w:tr>
      <w:tr w:rsidR="00D94BAC" w:rsidRPr="00FA2D67" w14:paraId="536925C4" w14:textId="77777777" w:rsidTr="00EC7FAA">
        <w:tc>
          <w:tcPr>
            <w:tcW w:w="4045" w:type="dxa"/>
          </w:tcPr>
          <w:p w14:paraId="78DCC8D1" w14:textId="072CB306" w:rsidR="00D94BAC" w:rsidRPr="00FA2D67" w:rsidRDefault="00D94BAC" w:rsidP="00D94BAC">
            <w:pPr>
              <w:pStyle w:val="yiv2012610974msonormal"/>
              <w:jc w:val="both"/>
              <w:rPr>
                <w:rFonts w:ascii="Arial" w:hAnsi="Arial" w:cs="Arial"/>
                <w:sz w:val="20"/>
                <w:szCs w:val="20"/>
                <w:lang w:val="es-AR"/>
              </w:rPr>
            </w:pPr>
            <w:r w:rsidRPr="00FA2D67">
              <w:rPr>
                <w:rFonts w:ascii="Arial" w:hAnsi="Arial" w:cs="Arial"/>
                <w:sz w:val="20"/>
                <w:szCs w:val="20"/>
                <w:lang w:val="es-AR"/>
              </w:rPr>
              <w:t>Ventas (1° trimestre de 2024</w:t>
            </w:r>
            <w:r w:rsidRPr="00FA2D67">
              <w:rPr>
                <w:rFonts w:ascii="Arial" w:hAnsi="Arial" w:cs="Arial"/>
                <w:sz w:val="20"/>
                <w:szCs w:val="20"/>
                <w:vertAlign w:val="superscript"/>
                <w:lang w:val="es-AR"/>
              </w:rPr>
              <w:t>(2)</w:t>
            </w:r>
            <w:r w:rsidRPr="00FA2D67">
              <w:rPr>
                <w:rFonts w:ascii="Arial" w:hAnsi="Arial" w:cs="Arial"/>
                <w:sz w:val="20"/>
                <w:szCs w:val="20"/>
                <w:lang w:val="es-AR"/>
              </w:rPr>
              <w:t>) (BOE/d)</w:t>
            </w:r>
          </w:p>
        </w:tc>
        <w:tc>
          <w:tcPr>
            <w:tcW w:w="2520" w:type="dxa"/>
          </w:tcPr>
          <w:p w14:paraId="4910F88E" w14:textId="340726C7" w:rsidR="00D94BAC" w:rsidRPr="00FA2D67" w:rsidRDefault="005326A4" w:rsidP="00D94BAC">
            <w:pPr>
              <w:pStyle w:val="yiv2012610974msonormal"/>
              <w:jc w:val="both"/>
              <w:rPr>
                <w:rFonts w:ascii="Arial" w:hAnsi="Arial" w:cs="Arial"/>
                <w:sz w:val="20"/>
                <w:szCs w:val="20"/>
                <w:lang w:val="es-AR"/>
              </w:rPr>
            </w:pPr>
            <w:r w:rsidRPr="00FA2D67">
              <w:rPr>
                <w:rFonts w:ascii="Arial" w:hAnsi="Arial" w:cs="Arial"/>
                <w:sz w:val="20"/>
                <w:szCs w:val="20"/>
                <w:lang w:val="es-AR"/>
              </w:rPr>
              <w:t>398</w:t>
            </w:r>
          </w:p>
        </w:tc>
        <w:tc>
          <w:tcPr>
            <w:tcW w:w="1523" w:type="dxa"/>
          </w:tcPr>
          <w:p w14:paraId="2B1C3887" w14:textId="66FE1862" w:rsidR="00D94BAC" w:rsidRPr="00FA2D67" w:rsidRDefault="00FA2055" w:rsidP="00D94BAC">
            <w:pPr>
              <w:pStyle w:val="yiv2012610974msonormal"/>
              <w:jc w:val="both"/>
              <w:rPr>
                <w:rFonts w:ascii="Arial" w:hAnsi="Arial" w:cs="Arial"/>
                <w:sz w:val="20"/>
                <w:szCs w:val="20"/>
                <w:lang w:val="es-AR"/>
              </w:rPr>
            </w:pPr>
            <w:r>
              <w:rPr>
                <w:rFonts w:ascii="Arial" w:hAnsi="Arial" w:cs="Arial"/>
                <w:sz w:val="20"/>
                <w:szCs w:val="20"/>
                <w:lang w:val="es-AR"/>
              </w:rPr>
              <w:t>813</w:t>
            </w:r>
          </w:p>
        </w:tc>
        <w:tc>
          <w:tcPr>
            <w:tcW w:w="1262" w:type="dxa"/>
          </w:tcPr>
          <w:p w14:paraId="74B15DD2" w14:textId="00773BAD" w:rsidR="00D94BAC" w:rsidRPr="00FA2D67" w:rsidRDefault="005326A4" w:rsidP="00D94BAC">
            <w:pPr>
              <w:pStyle w:val="yiv2012610974msonormal"/>
              <w:jc w:val="both"/>
              <w:rPr>
                <w:rFonts w:ascii="Arial" w:hAnsi="Arial" w:cs="Arial"/>
                <w:sz w:val="20"/>
                <w:szCs w:val="20"/>
                <w:lang w:val="es-AR"/>
              </w:rPr>
            </w:pPr>
            <w:r w:rsidRPr="00FA2D67">
              <w:rPr>
                <w:rFonts w:ascii="Arial" w:hAnsi="Arial" w:cs="Arial"/>
                <w:sz w:val="20"/>
                <w:szCs w:val="20"/>
                <w:lang w:val="es-AR"/>
              </w:rPr>
              <w:t>1</w:t>
            </w:r>
            <w:r w:rsidR="00FA2D67">
              <w:rPr>
                <w:rFonts w:ascii="Arial" w:hAnsi="Arial" w:cs="Arial"/>
                <w:sz w:val="20"/>
                <w:szCs w:val="20"/>
                <w:lang w:val="es-AR"/>
              </w:rPr>
              <w:t>.</w:t>
            </w:r>
            <w:r w:rsidRPr="00FA2D67">
              <w:rPr>
                <w:rFonts w:ascii="Arial" w:hAnsi="Arial" w:cs="Arial"/>
                <w:sz w:val="20"/>
                <w:szCs w:val="20"/>
                <w:lang w:val="es-AR"/>
              </w:rPr>
              <w:t>21</w:t>
            </w:r>
            <w:r w:rsidR="00FA2055">
              <w:rPr>
                <w:rFonts w:ascii="Arial" w:hAnsi="Arial" w:cs="Arial"/>
                <w:sz w:val="20"/>
                <w:szCs w:val="20"/>
                <w:lang w:val="es-AR"/>
              </w:rPr>
              <w:t>1</w:t>
            </w:r>
          </w:p>
        </w:tc>
      </w:tr>
      <w:tr w:rsidR="00E101A0" w:rsidRPr="00FA2D67" w14:paraId="46612282" w14:textId="77777777" w:rsidTr="00EC7FAA">
        <w:tc>
          <w:tcPr>
            <w:tcW w:w="4045" w:type="dxa"/>
          </w:tcPr>
          <w:p w14:paraId="03DAC060" w14:textId="77777777" w:rsidR="00E101A0" w:rsidRPr="00FA2D67" w:rsidRDefault="00E101A0" w:rsidP="007764B0">
            <w:pPr>
              <w:pStyle w:val="yiv2012610974msonormal"/>
              <w:jc w:val="both"/>
              <w:rPr>
                <w:rFonts w:ascii="Arial" w:hAnsi="Arial" w:cs="Arial"/>
                <w:sz w:val="20"/>
                <w:szCs w:val="20"/>
                <w:lang w:val="es-AR"/>
              </w:rPr>
            </w:pPr>
          </w:p>
        </w:tc>
        <w:tc>
          <w:tcPr>
            <w:tcW w:w="2520" w:type="dxa"/>
          </w:tcPr>
          <w:p w14:paraId="7A12D320" w14:textId="77777777" w:rsidR="00E101A0" w:rsidRPr="00FA2D67" w:rsidRDefault="00E101A0" w:rsidP="007764B0">
            <w:pPr>
              <w:pStyle w:val="yiv2012610974msonormal"/>
              <w:jc w:val="both"/>
              <w:rPr>
                <w:rFonts w:ascii="Arial" w:hAnsi="Arial" w:cs="Arial"/>
                <w:sz w:val="20"/>
                <w:szCs w:val="20"/>
                <w:lang w:val="es-AR"/>
              </w:rPr>
            </w:pPr>
          </w:p>
        </w:tc>
        <w:tc>
          <w:tcPr>
            <w:tcW w:w="1523" w:type="dxa"/>
          </w:tcPr>
          <w:p w14:paraId="3F3A71EE" w14:textId="77777777" w:rsidR="00E101A0" w:rsidRPr="00FA2D67" w:rsidRDefault="00E101A0" w:rsidP="007764B0">
            <w:pPr>
              <w:pStyle w:val="yiv2012610974msonormal"/>
              <w:jc w:val="both"/>
              <w:rPr>
                <w:rFonts w:ascii="Arial" w:hAnsi="Arial" w:cs="Arial"/>
                <w:sz w:val="20"/>
                <w:szCs w:val="20"/>
                <w:lang w:val="es-AR"/>
              </w:rPr>
            </w:pPr>
          </w:p>
        </w:tc>
        <w:tc>
          <w:tcPr>
            <w:tcW w:w="1262" w:type="dxa"/>
          </w:tcPr>
          <w:p w14:paraId="40318251" w14:textId="77777777" w:rsidR="00E101A0" w:rsidRPr="00FA2D67" w:rsidRDefault="00E101A0" w:rsidP="007764B0">
            <w:pPr>
              <w:pStyle w:val="yiv2012610974msonormal"/>
              <w:jc w:val="both"/>
              <w:rPr>
                <w:rFonts w:ascii="Arial" w:hAnsi="Arial" w:cs="Arial"/>
                <w:sz w:val="20"/>
                <w:szCs w:val="20"/>
                <w:lang w:val="es-AR"/>
              </w:rPr>
            </w:pPr>
          </w:p>
        </w:tc>
      </w:tr>
      <w:tr w:rsidR="00E101A0" w:rsidRPr="00FA2D67" w14:paraId="6783A9DF" w14:textId="77777777" w:rsidTr="00EC7FAA">
        <w:tc>
          <w:tcPr>
            <w:tcW w:w="4045" w:type="dxa"/>
          </w:tcPr>
          <w:p w14:paraId="1775C133" w14:textId="77777777" w:rsidR="00E101A0" w:rsidRPr="00FA2D67" w:rsidRDefault="00E101A0" w:rsidP="007764B0">
            <w:pPr>
              <w:pStyle w:val="yiv2012610974msonormal"/>
              <w:jc w:val="both"/>
              <w:rPr>
                <w:rFonts w:ascii="Arial" w:hAnsi="Arial" w:cs="Arial"/>
                <w:sz w:val="20"/>
                <w:szCs w:val="20"/>
                <w:lang w:val="es-AR"/>
              </w:rPr>
            </w:pPr>
            <w:r w:rsidRPr="00FA2D67">
              <w:rPr>
                <w:rFonts w:ascii="Arial" w:hAnsi="Arial" w:cs="Arial"/>
                <w:sz w:val="20"/>
                <w:szCs w:val="20"/>
                <w:lang w:val="es-AR"/>
              </w:rPr>
              <w:t>Reservas</w:t>
            </w:r>
            <w:r w:rsidRPr="00FA2D67">
              <w:rPr>
                <w:rFonts w:ascii="Arial" w:hAnsi="Arial" w:cs="Arial"/>
                <w:sz w:val="20"/>
                <w:szCs w:val="20"/>
                <w:vertAlign w:val="superscript"/>
                <w:lang w:val="es-AR"/>
              </w:rPr>
              <w:t xml:space="preserve">(3) </w:t>
            </w:r>
            <w:r w:rsidRPr="00FA2D67">
              <w:rPr>
                <w:rFonts w:ascii="Arial" w:hAnsi="Arial" w:cs="Arial"/>
                <w:sz w:val="20"/>
                <w:szCs w:val="20"/>
                <w:lang w:val="es-AR"/>
              </w:rPr>
              <w:t>(MBOE)</w:t>
            </w:r>
          </w:p>
        </w:tc>
        <w:tc>
          <w:tcPr>
            <w:tcW w:w="2520" w:type="dxa"/>
          </w:tcPr>
          <w:p w14:paraId="1B81918E" w14:textId="77777777" w:rsidR="00E101A0" w:rsidRPr="00FA2D67" w:rsidRDefault="00E101A0" w:rsidP="007764B0">
            <w:pPr>
              <w:pStyle w:val="yiv2012610974msonormal"/>
              <w:jc w:val="both"/>
              <w:rPr>
                <w:rFonts w:ascii="Arial" w:hAnsi="Arial" w:cs="Arial"/>
                <w:sz w:val="20"/>
                <w:szCs w:val="20"/>
                <w:lang w:val="es-AR"/>
              </w:rPr>
            </w:pPr>
          </w:p>
        </w:tc>
        <w:tc>
          <w:tcPr>
            <w:tcW w:w="1523" w:type="dxa"/>
          </w:tcPr>
          <w:p w14:paraId="54B9A7C3" w14:textId="77777777" w:rsidR="00E101A0" w:rsidRPr="00FA2D67" w:rsidRDefault="00E101A0" w:rsidP="007764B0">
            <w:pPr>
              <w:pStyle w:val="yiv2012610974msonormal"/>
              <w:jc w:val="both"/>
              <w:rPr>
                <w:rFonts w:ascii="Arial" w:hAnsi="Arial" w:cs="Arial"/>
                <w:sz w:val="20"/>
                <w:szCs w:val="20"/>
                <w:lang w:val="es-AR"/>
              </w:rPr>
            </w:pPr>
          </w:p>
        </w:tc>
        <w:tc>
          <w:tcPr>
            <w:tcW w:w="1262" w:type="dxa"/>
          </w:tcPr>
          <w:p w14:paraId="7165C000" w14:textId="77777777" w:rsidR="00E101A0" w:rsidRPr="00FA2D67" w:rsidRDefault="00E101A0" w:rsidP="007764B0">
            <w:pPr>
              <w:pStyle w:val="yiv2012610974msonormal"/>
              <w:jc w:val="both"/>
              <w:rPr>
                <w:rFonts w:ascii="Arial" w:hAnsi="Arial" w:cs="Arial"/>
                <w:sz w:val="20"/>
                <w:szCs w:val="20"/>
                <w:lang w:val="es-AR"/>
              </w:rPr>
            </w:pPr>
          </w:p>
        </w:tc>
      </w:tr>
      <w:tr w:rsidR="00E101A0" w:rsidRPr="00FA2D67" w14:paraId="0A6CEA45" w14:textId="77777777" w:rsidTr="00EC7FAA">
        <w:tc>
          <w:tcPr>
            <w:tcW w:w="4045" w:type="dxa"/>
          </w:tcPr>
          <w:p w14:paraId="4118C32D" w14:textId="77777777" w:rsidR="00E101A0" w:rsidRPr="00FA2D67" w:rsidRDefault="00E101A0" w:rsidP="007764B0">
            <w:pPr>
              <w:pStyle w:val="yiv2012610974msonormal"/>
              <w:jc w:val="both"/>
              <w:rPr>
                <w:rFonts w:ascii="Arial" w:hAnsi="Arial" w:cs="Arial"/>
                <w:sz w:val="20"/>
                <w:szCs w:val="20"/>
                <w:lang w:val="es-AR"/>
              </w:rPr>
            </w:pPr>
            <w:r w:rsidRPr="00FA2D67">
              <w:rPr>
                <w:rFonts w:ascii="Arial" w:hAnsi="Arial" w:cs="Arial"/>
                <w:sz w:val="20"/>
                <w:szCs w:val="20"/>
                <w:lang w:val="es-AR"/>
              </w:rPr>
              <w:t xml:space="preserve">     Total reservas probadas</w:t>
            </w:r>
          </w:p>
        </w:tc>
        <w:tc>
          <w:tcPr>
            <w:tcW w:w="2520" w:type="dxa"/>
          </w:tcPr>
          <w:p w14:paraId="6E047627" w14:textId="0D38BEFD" w:rsidR="00E101A0" w:rsidRPr="00FA2D67" w:rsidRDefault="00FA2055" w:rsidP="007764B0">
            <w:pPr>
              <w:pStyle w:val="yiv2012610974msonormal"/>
              <w:jc w:val="both"/>
              <w:rPr>
                <w:rFonts w:ascii="Arial" w:hAnsi="Arial" w:cs="Arial"/>
                <w:sz w:val="20"/>
                <w:szCs w:val="20"/>
                <w:lang w:val="es-AR"/>
              </w:rPr>
            </w:pPr>
            <w:r>
              <w:rPr>
                <w:rFonts w:ascii="Arial" w:hAnsi="Arial" w:cs="Arial"/>
                <w:sz w:val="20"/>
                <w:szCs w:val="20"/>
                <w:lang w:val="es-AR"/>
              </w:rPr>
              <w:t>316</w:t>
            </w:r>
            <w:r w:rsidR="005326A4" w:rsidRPr="00FA2D67">
              <w:rPr>
                <w:rFonts w:ascii="Arial" w:hAnsi="Arial" w:cs="Arial"/>
                <w:sz w:val="20"/>
                <w:szCs w:val="20"/>
                <w:vertAlign w:val="superscript"/>
                <w:lang w:val="es-AR"/>
              </w:rPr>
              <w:t>(4)</w:t>
            </w:r>
          </w:p>
        </w:tc>
        <w:tc>
          <w:tcPr>
            <w:tcW w:w="1523" w:type="dxa"/>
          </w:tcPr>
          <w:p w14:paraId="3C35AA15" w14:textId="5603C8EA" w:rsidR="00E101A0" w:rsidRPr="00FA2D67" w:rsidRDefault="00FA2055" w:rsidP="007764B0">
            <w:pPr>
              <w:pStyle w:val="yiv2012610974msonormal"/>
              <w:jc w:val="both"/>
              <w:rPr>
                <w:rFonts w:ascii="Arial" w:hAnsi="Arial" w:cs="Arial"/>
                <w:sz w:val="20"/>
                <w:szCs w:val="20"/>
                <w:vertAlign w:val="superscript"/>
                <w:lang w:val="es-AR"/>
              </w:rPr>
            </w:pPr>
            <w:r>
              <w:rPr>
                <w:rFonts w:ascii="Arial" w:hAnsi="Arial" w:cs="Arial"/>
                <w:sz w:val="20"/>
                <w:szCs w:val="20"/>
                <w:lang w:val="es-AR"/>
              </w:rPr>
              <w:t>646</w:t>
            </w:r>
            <w:r w:rsidR="005326A4" w:rsidRPr="00FA2D67">
              <w:rPr>
                <w:rFonts w:ascii="Arial" w:hAnsi="Arial" w:cs="Arial"/>
                <w:sz w:val="20"/>
                <w:szCs w:val="20"/>
                <w:vertAlign w:val="superscript"/>
                <w:lang w:val="es-AR"/>
              </w:rPr>
              <w:t>(5)</w:t>
            </w:r>
          </w:p>
        </w:tc>
        <w:tc>
          <w:tcPr>
            <w:tcW w:w="1262" w:type="dxa"/>
          </w:tcPr>
          <w:p w14:paraId="71CAC177" w14:textId="3D5906B8" w:rsidR="00E101A0" w:rsidRPr="00FA2D67" w:rsidRDefault="00FA2055" w:rsidP="007764B0">
            <w:pPr>
              <w:pStyle w:val="yiv2012610974msonormal"/>
              <w:jc w:val="both"/>
              <w:rPr>
                <w:rFonts w:ascii="Arial" w:hAnsi="Arial" w:cs="Arial"/>
                <w:sz w:val="20"/>
                <w:szCs w:val="20"/>
                <w:lang w:val="es-AR"/>
              </w:rPr>
            </w:pPr>
            <w:r>
              <w:rPr>
                <w:rFonts w:ascii="Arial" w:hAnsi="Arial" w:cs="Arial"/>
                <w:sz w:val="20"/>
                <w:szCs w:val="20"/>
                <w:lang w:val="es-AR"/>
              </w:rPr>
              <w:t>962</w:t>
            </w:r>
          </w:p>
        </w:tc>
      </w:tr>
      <w:tr w:rsidR="00E101A0" w:rsidRPr="00FA2D67" w14:paraId="366B1BB4" w14:textId="77777777" w:rsidTr="00EC7FAA">
        <w:tc>
          <w:tcPr>
            <w:tcW w:w="4045" w:type="dxa"/>
          </w:tcPr>
          <w:p w14:paraId="0F640C3F" w14:textId="77777777" w:rsidR="00E101A0" w:rsidRPr="00FA2D67" w:rsidRDefault="00E101A0" w:rsidP="007764B0">
            <w:pPr>
              <w:pStyle w:val="yiv2012610974msonormal"/>
              <w:jc w:val="both"/>
              <w:rPr>
                <w:rFonts w:ascii="Arial" w:hAnsi="Arial" w:cs="Arial"/>
                <w:sz w:val="20"/>
                <w:szCs w:val="20"/>
                <w:lang w:val="es-AR"/>
              </w:rPr>
            </w:pPr>
            <w:r w:rsidRPr="00FA2D67">
              <w:rPr>
                <w:rFonts w:ascii="Arial" w:hAnsi="Arial" w:cs="Arial"/>
                <w:sz w:val="20"/>
                <w:szCs w:val="20"/>
                <w:lang w:val="es-AR"/>
              </w:rPr>
              <w:t xml:space="preserve">     Total reservas probadas más probables</w:t>
            </w:r>
          </w:p>
        </w:tc>
        <w:tc>
          <w:tcPr>
            <w:tcW w:w="2520" w:type="dxa"/>
          </w:tcPr>
          <w:p w14:paraId="0C3682B0" w14:textId="16E0DB3F" w:rsidR="00E101A0" w:rsidRPr="00FA2D67" w:rsidRDefault="00FA2055" w:rsidP="007764B0">
            <w:pPr>
              <w:pStyle w:val="yiv2012610974msonormal"/>
              <w:jc w:val="both"/>
              <w:rPr>
                <w:rFonts w:ascii="Arial" w:hAnsi="Arial" w:cs="Arial"/>
                <w:sz w:val="20"/>
                <w:szCs w:val="20"/>
                <w:lang w:val="es-AR"/>
              </w:rPr>
            </w:pPr>
            <w:r>
              <w:rPr>
                <w:rFonts w:ascii="Arial" w:hAnsi="Arial" w:cs="Arial"/>
                <w:sz w:val="20"/>
                <w:szCs w:val="20"/>
                <w:lang w:val="es-AR"/>
              </w:rPr>
              <w:t>900</w:t>
            </w:r>
            <w:r w:rsidR="005326A4" w:rsidRPr="00FA2D67">
              <w:rPr>
                <w:rFonts w:ascii="Arial" w:hAnsi="Arial" w:cs="Arial"/>
                <w:sz w:val="20"/>
                <w:szCs w:val="20"/>
                <w:vertAlign w:val="superscript"/>
                <w:lang w:val="es-AR"/>
              </w:rPr>
              <w:t>(4)</w:t>
            </w:r>
          </w:p>
        </w:tc>
        <w:tc>
          <w:tcPr>
            <w:tcW w:w="1523" w:type="dxa"/>
          </w:tcPr>
          <w:p w14:paraId="22405D73" w14:textId="051F9D87" w:rsidR="00E101A0" w:rsidRPr="00FA2D67" w:rsidRDefault="00FA2055" w:rsidP="007764B0">
            <w:pPr>
              <w:pStyle w:val="yiv2012610974msonormal"/>
              <w:jc w:val="both"/>
              <w:rPr>
                <w:rFonts w:ascii="Arial" w:hAnsi="Arial" w:cs="Arial"/>
                <w:sz w:val="20"/>
                <w:szCs w:val="20"/>
                <w:vertAlign w:val="superscript"/>
                <w:lang w:val="es-AR"/>
              </w:rPr>
            </w:pPr>
            <w:r>
              <w:rPr>
                <w:rFonts w:ascii="Arial" w:hAnsi="Arial" w:cs="Arial"/>
                <w:sz w:val="20"/>
                <w:szCs w:val="20"/>
                <w:lang w:val="es-AR"/>
              </w:rPr>
              <w:t>1840</w:t>
            </w:r>
            <w:r w:rsidR="005326A4" w:rsidRPr="00FA2D67">
              <w:rPr>
                <w:rFonts w:ascii="Arial" w:hAnsi="Arial" w:cs="Arial"/>
                <w:sz w:val="20"/>
                <w:szCs w:val="20"/>
                <w:vertAlign w:val="superscript"/>
                <w:lang w:val="es-AR"/>
              </w:rPr>
              <w:t>(5)</w:t>
            </w:r>
          </w:p>
        </w:tc>
        <w:tc>
          <w:tcPr>
            <w:tcW w:w="1262" w:type="dxa"/>
          </w:tcPr>
          <w:p w14:paraId="1A4DD182" w14:textId="5ED98EE6" w:rsidR="00E101A0" w:rsidRPr="00FA2D67" w:rsidRDefault="00FA2055" w:rsidP="007764B0">
            <w:pPr>
              <w:pStyle w:val="yiv2012610974msonormal"/>
              <w:jc w:val="both"/>
              <w:rPr>
                <w:rFonts w:ascii="Arial" w:hAnsi="Arial" w:cs="Arial"/>
                <w:sz w:val="20"/>
                <w:szCs w:val="20"/>
                <w:lang w:val="es-AR"/>
              </w:rPr>
            </w:pPr>
            <w:r>
              <w:rPr>
                <w:rFonts w:ascii="Arial" w:hAnsi="Arial" w:cs="Arial"/>
                <w:sz w:val="20"/>
                <w:szCs w:val="20"/>
                <w:lang w:val="es-AR"/>
              </w:rPr>
              <w:t>2740</w:t>
            </w:r>
          </w:p>
        </w:tc>
      </w:tr>
      <w:tr w:rsidR="00E101A0" w:rsidRPr="00FA2D67" w14:paraId="7C09D3F0" w14:textId="77777777" w:rsidTr="00EC7FAA">
        <w:tc>
          <w:tcPr>
            <w:tcW w:w="4045" w:type="dxa"/>
          </w:tcPr>
          <w:p w14:paraId="574EFCD3" w14:textId="77777777" w:rsidR="00E101A0" w:rsidRPr="00FA2D67" w:rsidRDefault="00E101A0" w:rsidP="007764B0">
            <w:pPr>
              <w:pStyle w:val="yiv2012610974msonormal"/>
              <w:jc w:val="both"/>
              <w:rPr>
                <w:rFonts w:ascii="Arial" w:hAnsi="Arial" w:cs="Arial"/>
                <w:sz w:val="20"/>
                <w:szCs w:val="20"/>
                <w:lang w:val="es-AR"/>
              </w:rPr>
            </w:pPr>
          </w:p>
        </w:tc>
        <w:tc>
          <w:tcPr>
            <w:tcW w:w="2520" w:type="dxa"/>
          </w:tcPr>
          <w:p w14:paraId="0C45FF40" w14:textId="77777777" w:rsidR="00E101A0" w:rsidRPr="00FA2D67" w:rsidRDefault="00E101A0" w:rsidP="007764B0">
            <w:pPr>
              <w:pStyle w:val="yiv2012610974msonormal"/>
              <w:jc w:val="both"/>
              <w:rPr>
                <w:rFonts w:ascii="Arial" w:hAnsi="Arial" w:cs="Arial"/>
                <w:sz w:val="20"/>
                <w:szCs w:val="20"/>
                <w:lang w:val="es-AR"/>
              </w:rPr>
            </w:pPr>
          </w:p>
        </w:tc>
        <w:tc>
          <w:tcPr>
            <w:tcW w:w="1523" w:type="dxa"/>
          </w:tcPr>
          <w:p w14:paraId="745DF07F" w14:textId="77777777" w:rsidR="00E101A0" w:rsidRPr="00FA2D67" w:rsidRDefault="00E101A0" w:rsidP="007764B0">
            <w:pPr>
              <w:pStyle w:val="yiv2012610974msonormal"/>
              <w:jc w:val="both"/>
              <w:rPr>
                <w:rFonts w:ascii="Arial" w:hAnsi="Arial" w:cs="Arial"/>
                <w:sz w:val="20"/>
                <w:szCs w:val="20"/>
                <w:lang w:val="es-AR"/>
              </w:rPr>
            </w:pPr>
          </w:p>
        </w:tc>
        <w:tc>
          <w:tcPr>
            <w:tcW w:w="1262" w:type="dxa"/>
          </w:tcPr>
          <w:p w14:paraId="52E02575" w14:textId="77777777" w:rsidR="00E101A0" w:rsidRPr="00FA2D67" w:rsidRDefault="00E101A0" w:rsidP="007764B0">
            <w:pPr>
              <w:pStyle w:val="yiv2012610974msonormal"/>
              <w:jc w:val="both"/>
              <w:rPr>
                <w:rFonts w:ascii="Arial" w:hAnsi="Arial" w:cs="Arial"/>
                <w:sz w:val="20"/>
                <w:szCs w:val="20"/>
                <w:lang w:val="es-AR"/>
              </w:rPr>
            </w:pPr>
          </w:p>
        </w:tc>
      </w:tr>
      <w:tr w:rsidR="00E101A0" w:rsidRPr="00FA2D67" w14:paraId="3143F522" w14:textId="77777777" w:rsidTr="00EC7FAA">
        <w:tc>
          <w:tcPr>
            <w:tcW w:w="4045" w:type="dxa"/>
          </w:tcPr>
          <w:p w14:paraId="2014A79C" w14:textId="77777777" w:rsidR="00E101A0" w:rsidRPr="00FA2D67" w:rsidRDefault="00E101A0" w:rsidP="007764B0">
            <w:pPr>
              <w:pStyle w:val="yiv2012610974msonormal"/>
              <w:jc w:val="both"/>
              <w:rPr>
                <w:rFonts w:ascii="Arial" w:hAnsi="Arial" w:cs="Arial"/>
                <w:sz w:val="20"/>
                <w:szCs w:val="20"/>
                <w:lang w:val="es-AR"/>
              </w:rPr>
            </w:pPr>
            <w:r w:rsidRPr="00FA2D67">
              <w:rPr>
                <w:rFonts w:ascii="Arial" w:hAnsi="Arial" w:cs="Arial"/>
                <w:sz w:val="20"/>
                <w:szCs w:val="20"/>
                <w:lang w:val="es-AR"/>
              </w:rPr>
              <w:t>Acres netos</w:t>
            </w:r>
            <w:r w:rsidRPr="00FA2D67">
              <w:rPr>
                <w:rFonts w:ascii="Arial" w:hAnsi="Arial" w:cs="Arial"/>
                <w:sz w:val="20"/>
                <w:szCs w:val="20"/>
                <w:lang w:val="es-AR"/>
              </w:rPr>
              <w:tab/>
            </w:r>
            <w:r w:rsidRPr="00FA2D67">
              <w:rPr>
                <w:rFonts w:ascii="Arial" w:hAnsi="Arial" w:cs="Arial"/>
                <w:sz w:val="20"/>
                <w:szCs w:val="20"/>
                <w:lang w:val="es-AR"/>
              </w:rPr>
              <w:tab/>
            </w:r>
            <w:r w:rsidRPr="00FA2D67">
              <w:rPr>
                <w:rFonts w:ascii="Arial" w:hAnsi="Arial" w:cs="Arial"/>
                <w:sz w:val="20"/>
                <w:szCs w:val="20"/>
                <w:lang w:val="es-AR"/>
              </w:rPr>
              <w:tab/>
            </w:r>
            <w:r w:rsidRPr="00FA2D67">
              <w:rPr>
                <w:rFonts w:ascii="Arial" w:hAnsi="Arial" w:cs="Arial"/>
                <w:sz w:val="20"/>
                <w:szCs w:val="20"/>
                <w:lang w:val="es-AR"/>
              </w:rPr>
              <w:tab/>
            </w:r>
          </w:p>
        </w:tc>
        <w:tc>
          <w:tcPr>
            <w:tcW w:w="2520" w:type="dxa"/>
          </w:tcPr>
          <w:p w14:paraId="536EC43E" w14:textId="08D5D550" w:rsidR="00E101A0" w:rsidRPr="00FA2D67" w:rsidRDefault="005326A4" w:rsidP="007764B0">
            <w:pPr>
              <w:pStyle w:val="yiv2012610974msonormal"/>
              <w:jc w:val="both"/>
              <w:rPr>
                <w:rFonts w:ascii="Arial" w:hAnsi="Arial" w:cs="Arial"/>
                <w:sz w:val="20"/>
                <w:szCs w:val="20"/>
                <w:lang w:val="es-AR"/>
              </w:rPr>
            </w:pPr>
            <w:r w:rsidRPr="00FA2D67">
              <w:rPr>
                <w:rFonts w:ascii="Arial" w:hAnsi="Arial" w:cs="Arial"/>
                <w:sz w:val="20"/>
                <w:szCs w:val="20"/>
                <w:lang w:val="es-AR"/>
              </w:rPr>
              <w:t>83</w:t>
            </w:r>
            <w:r w:rsidR="00FA2D67">
              <w:rPr>
                <w:rFonts w:ascii="Arial" w:hAnsi="Arial" w:cs="Arial"/>
                <w:sz w:val="20"/>
                <w:szCs w:val="20"/>
                <w:lang w:val="es-AR"/>
              </w:rPr>
              <w:t>.</w:t>
            </w:r>
            <w:r w:rsidRPr="00FA2D67">
              <w:rPr>
                <w:rFonts w:ascii="Arial" w:hAnsi="Arial" w:cs="Arial"/>
                <w:sz w:val="20"/>
                <w:szCs w:val="20"/>
                <w:lang w:val="es-AR"/>
              </w:rPr>
              <w:t>116</w:t>
            </w:r>
          </w:p>
        </w:tc>
        <w:tc>
          <w:tcPr>
            <w:tcW w:w="1523" w:type="dxa"/>
          </w:tcPr>
          <w:p w14:paraId="5B6B5DAE" w14:textId="5630AEDF" w:rsidR="00E101A0" w:rsidRPr="00FA2D67" w:rsidRDefault="004B39EA" w:rsidP="007764B0">
            <w:pPr>
              <w:pStyle w:val="yiv2012610974msonormal"/>
              <w:jc w:val="both"/>
              <w:rPr>
                <w:rFonts w:ascii="Arial" w:hAnsi="Arial" w:cs="Arial"/>
                <w:sz w:val="20"/>
                <w:szCs w:val="20"/>
                <w:vertAlign w:val="superscript"/>
                <w:lang w:val="es-AR"/>
              </w:rPr>
            </w:pPr>
            <w:r w:rsidRPr="00FA2D67">
              <w:rPr>
                <w:rFonts w:ascii="Arial" w:hAnsi="Arial" w:cs="Arial"/>
                <w:sz w:val="20"/>
                <w:szCs w:val="20"/>
                <w:lang w:val="es-AR"/>
              </w:rPr>
              <w:t>169</w:t>
            </w:r>
            <w:r w:rsidR="00FA2D67">
              <w:rPr>
                <w:rFonts w:ascii="Arial" w:hAnsi="Arial" w:cs="Arial"/>
                <w:sz w:val="20"/>
                <w:szCs w:val="20"/>
                <w:lang w:val="es-AR"/>
              </w:rPr>
              <w:t>.</w:t>
            </w:r>
            <w:r w:rsidRPr="00FA2D67">
              <w:rPr>
                <w:rFonts w:ascii="Arial" w:hAnsi="Arial" w:cs="Arial"/>
                <w:sz w:val="20"/>
                <w:szCs w:val="20"/>
                <w:lang w:val="es-AR"/>
              </w:rPr>
              <w:t>854</w:t>
            </w:r>
          </w:p>
        </w:tc>
        <w:tc>
          <w:tcPr>
            <w:tcW w:w="1262" w:type="dxa"/>
          </w:tcPr>
          <w:p w14:paraId="40F5D046" w14:textId="4BD3600D" w:rsidR="00E101A0" w:rsidRPr="00FA2D67" w:rsidRDefault="005326A4" w:rsidP="007764B0">
            <w:pPr>
              <w:pStyle w:val="yiv2012610974msonormal"/>
              <w:jc w:val="both"/>
              <w:rPr>
                <w:rFonts w:ascii="Arial" w:hAnsi="Arial" w:cs="Arial"/>
                <w:sz w:val="20"/>
                <w:szCs w:val="20"/>
                <w:lang w:val="es-AR"/>
              </w:rPr>
            </w:pPr>
            <w:r w:rsidRPr="00FA2D67">
              <w:rPr>
                <w:rFonts w:ascii="Arial" w:hAnsi="Arial" w:cs="Arial"/>
                <w:sz w:val="20"/>
                <w:szCs w:val="20"/>
                <w:lang w:val="es-AR"/>
              </w:rPr>
              <w:t>252</w:t>
            </w:r>
            <w:r w:rsidR="00FA2D67">
              <w:rPr>
                <w:rFonts w:ascii="Arial" w:hAnsi="Arial" w:cs="Arial"/>
                <w:sz w:val="20"/>
                <w:szCs w:val="20"/>
                <w:lang w:val="es-AR"/>
              </w:rPr>
              <w:t>.</w:t>
            </w:r>
            <w:r w:rsidRPr="00FA2D67">
              <w:rPr>
                <w:rFonts w:ascii="Arial" w:hAnsi="Arial" w:cs="Arial"/>
                <w:sz w:val="20"/>
                <w:szCs w:val="20"/>
                <w:lang w:val="es-AR"/>
              </w:rPr>
              <w:t>970</w:t>
            </w:r>
          </w:p>
        </w:tc>
      </w:tr>
    </w:tbl>
    <w:p w14:paraId="045BCA0A" w14:textId="77777777" w:rsidR="00E101A0" w:rsidRPr="00FA2D67" w:rsidRDefault="00E101A0" w:rsidP="00E101A0">
      <w:pPr>
        <w:pStyle w:val="yiv2012610974msonormal"/>
        <w:spacing w:before="0" w:beforeAutospacing="0" w:after="0" w:afterAutospacing="0"/>
        <w:jc w:val="both"/>
        <w:rPr>
          <w:rFonts w:ascii="Arial" w:hAnsi="Arial" w:cs="Arial"/>
          <w:sz w:val="20"/>
          <w:szCs w:val="20"/>
          <w:lang w:val="es-AR"/>
        </w:rPr>
      </w:pPr>
    </w:p>
    <w:p w14:paraId="5062876F" w14:textId="77777777" w:rsidR="00E101A0" w:rsidRPr="00FA2D67" w:rsidRDefault="00E101A0" w:rsidP="00E101A0">
      <w:pPr>
        <w:pStyle w:val="yiv2012610974msonormal"/>
        <w:spacing w:before="0" w:beforeAutospacing="0" w:after="0" w:afterAutospacing="0"/>
        <w:jc w:val="both"/>
        <w:rPr>
          <w:rFonts w:ascii="Arial" w:hAnsi="Arial" w:cs="Arial"/>
          <w:sz w:val="18"/>
          <w:szCs w:val="18"/>
          <w:lang w:val="es-AR"/>
        </w:rPr>
      </w:pPr>
      <w:r w:rsidRPr="00FA2D67">
        <w:rPr>
          <w:rFonts w:ascii="Arial" w:hAnsi="Arial" w:cs="Arial"/>
          <w:sz w:val="18"/>
          <w:szCs w:val="18"/>
          <w:lang w:val="es-AR"/>
        </w:rPr>
        <w:t>Notas:</w:t>
      </w:r>
    </w:p>
    <w:p w14:paraId="6EF28C71" w14:textId="7DD55462" w:rsidR="00E101A0" w:rsidRPr="00FA2D67" w:rsidRDefault="00E101A0" w:rsidP="00E101A0">
      <w:pPr>
        <w:pStyle w:val="yiv2012610974msonormal"/>
        <w:numPr>
          <w:ilvl w:val="0"/>
          <w:numId w:val="38"/>
        </w:numPr>
        <w:spacing w:before="0" w:beforeAutospacing="0" w:after="0" w:afterAutospacing="0"/>
        <w:jc w:val="both"/>
        <w:rPr>
          <w:rFonts w:ascii="Arial" w:hAnsi="Arial" w:cs="Arial"/>
          <w:sz w:val="18"/>
          <w:szCs w:val="18"/>
          <w:lang w:val="es-AR"/>
        </w:rPr>
      </w:pPr>
      <w:r w:rsidRPr="00FA2D67">
        <w:rPr>
          <w:rFonts w:ascii="Arial" w:hAnsi="Arial" w:cs="Arial"/>
          <w:sz w:val="18"/>
          <w:szCs w:val="18"/>
          <w:lang w:val="es-AR"/>
        </w:rPr>
        <w:t xml:space="preserve">Los volúmenes de producción diaria promedio corresponden al trimestre finalizado el </w:t>
      </w:r>
      <w:r w:rsidR="00DC20CE">
        <w:rPr>
          <w:rFonts w:ascii="Arial" w:hAnsi="Arial" w:cs="Arial"/>
          <w:sz w:val="18"/>
          <w:szCs w:val="18"/>
          <w:lang w:val="es-AR"/>
        </w:rPr>
        <w:t>30</w:t>
      </w:r>
      <w:r w:rsidRPr="00FA2D67">
        <w:rPr>
          <w:rFonts w:ascii="Arial" w:hAnsi="Arial" w:cs="Arial"/>
          <w:sz w:val="18"/>
          <w:szCs w:val="18"/>
          <w:lang w:val="es-AR"/>
        </w:rPr>
        <w:t xml:space="preserve"> de </w:t>
      </w:r>
      <w:r w:rsidR="00DC20CE">
        <w:rPr>
          <w:rFonts w:ascii="Arial" w:hAnsi="Arial" w:cs="Arial"/>
          <w:sz w:val="18"/>
          <w:szCs w:val="18"/>
          <w:lang w:val="es-AR"/>
        </w:rPr>
        <w:t>junio</w:t>
      </w:r>
      <w:r w:rsidRPr="00FA2D67">
        <w:rPr>
          <w:rFonts w:ascii="Arial" w:hAnsi="Arial" w:cs="Arial"/>
          <w:sz w:val="18"/>
          <w:szCs w:val="18"/>
          <w:lang w:val="es-AR"/>
        </w:rPr>
        <w:t xml:space="preserve"> de 2024, habiéndose ponderado que aproximadamente un 32% corresponde a petróleo crudo y líquidos de gas natural y un 68% corresponde a gas natural.</w:t>
      </w:r>
    </w:p>
    <w:p w14:paraId="6A02CEC6" w14:textId="03C47845" w:rsidR="00E101A0" w:rsidRPr="00FA2D67" w:rsidRDefault="00E101A0" w:rsidP="00E101A0">
      <w:pPr>
        <w:pStyle w:val="yiv2012610974msonormal"/>
        <w:numPr>
          <w:ilvl w:val="0"/>
          <w:numId w:val="38"/>
        </w:numPr>
        <w:spacing w:before="0" w:beforeAutospacing="0" w:after="0" w:afterAutospacing="0"/>
        <w:jc w:val="both"/>
        <w:rPr>
          <w:rFonts w:ascii="Arial" w:hAnsi="Arial" w:cs="Arial"/>
          <w:sz w:val="18"/>
          <w:szCs w:val="18"/>
          <w:lang w:val="es-AR"/>
        </w:rPr>
      </w:pPr>
      <w:r w:rsidRPr="00FA2D67">
        <w:rPr>
          <w:rFonts w:ascii="Arial" w:hAnsi="Arial" w:cs="Arial"/>
          <w:sz w:val="18"/>
          <w:szCs w:val="18"/>
          <w:lang w:val="es-AR"/>
        </w:rPr>
        <w:t xml:space="preserve">Los volúmenes de ventas diarias promedio corresponden al trimestre finalizado del </w:t>
      </w:r>
      <w:r w:rsidR="00DC20CE">
        <w:rPr>
          <w:rFonts w:ascii="Arial" w:hAnsi="Arial" w:cs="Arial"/>
          <w:sz w:val="18"/>
          <w:szCs w:val="18"/>
          <w:lang w:val="es-AR"/>
        </w:rPr>
        <w:t>30</w:t>
      </w:r>
      <w:r w:rsidRPr="00FA2D67">
        <w:rPr>
          <w:rFonts w:ascii="Arial" w:hAnsi="Arial" w:cs="Arial"/>
          <w:sz w:val="18"/>
          <w:szCs w:val="18"/>
          <w:lang w:val="es-AR"/>
        </w:rPr>
        <w:t xml:space="preserve"> de </w:t>
      </w:r>
      <w:r w:rsidR="00DC20CE">
        <w:rPr>
          <w:rFonts w:ascii="Arial" w:hAnsi="Arial" w:cs="Arial"/>
          <w:sz w:val="18"/>
          <w:szCs w:val="18"/>
          <w:lang w:val="es-AR"/>
        </w:rPr>
        <w:t>junio</w:t>
      </w:r>
      <w:r w:rsidRPr="00FA2D67">
        <w:rPr>
          <w:rFonts w:ascii="Arial" w:hAnsi="Arial" w:cs="Arial"/>
          <w:sz w:val="18"/>
          <w:szCs w:val="18"/>
          <w:lang w:val="es-AR"/>
        </w:rPr>
        <w:t xml:space="preserve"> de 2024.</w:t>
      </w:r>
    </w:p>
    <w:p w14:paraId="08C3685C" w14:textId="52608E61" w:rsidR="00E101A0" w:rsidRPr="00FA2D67" w:rsidRDefault="00E101A0" w:rsidP="00E101A0">
      <w:pPr>
        <w:pStyle w:val="yiv2012610974msonormal"/>
        <w:numPr>
          <w:ilvl w:val="0"/>
          <w:numId w:val="38"/>
        </w:numPr>
        <w:spacing w:before="0" w:beforeAutospacing="0" w:after="0" w:afterAutospacing="0"/>
        <w:jc w:val="both"/>
        <w:rPr>
          <w:rFonts w:ascii="Arial" w:hAnsi="Arial" w:cs="Arial"/>
          <w:sz w:val="18"/>
          <w:szCs w:val="18"/>
          <w:lang w:val="es-AR"/>
        </w:rPr>
      </w:pPr>
      <w:r w:rsidRPr="00FA2D67">
        <w:rPr>
          <w:rFonts w:ascii="Arial" w:hAnsi="Arial" w:cs="Arial"/>
          <w:sz w:val="18"/>
          <w:szCs w:val="18"/>
          <w:lang w:val="es-AR"/>
        </w:rPr>
        <w:t xml:space="preserve">Las reservas son </w:t>
      </w:r>
      <w:r w:rsidR="00FA2D67">
        <w:rPr>
          <w:rFonts w:ascii="Arial" w:hAnsi="Arial" w:cs="Arial"/>
          <w:sz w:val="18"/>
          <w:szCs w:val="18"/>
          <w:lang w:val="es-AR"/>
        </w:rPr>
        <w:t>“</w:t>
      </w:r>
      <w:r w:rsidRPr="00FA2D67">
        <w:rPr>
          <w:rFonts w:ascii="Arial" w:hAnsi="Arial" w:cs="Arial"/>
          <w:sz w:val="18"/>
          <w:szCs w:val="18"/>
          <w:lang w:val="es-AR"/>
        </w:rPr>
        <w:t>reservas brutas</w:t>
      </w:r>
      <w:r w:rsidR="00FA2D67">
        <w:rPr>
          <w:rFonts w:ascii="Arial" w:hAnsi="Arial" w:cs="Arial"/>
          <w:sz w:val="18"/>
          <w:szCs w:val="18"/>
          <w:lang w:val="es-AR"/>
        </w:rPr>
        <w:t>”</w:t>
      </w:r>
      <w:r w:rsidRPr="00FA2D67">
        <w:rPr>
          <w:rFonts w:ascii="Arial" w:hAnsi="Arial" w:cs="Arial"/>
          <w:sz w:val="18"/>
          <w:szCs w:val="18"/>
          <w:lang w:val="es-AR"/>
        </w:rPr>
        <w:t xml:space="preserve"> y corresponden a la participación en las reservas antes de deducir regalías de terceros y sin incluir derechos de regalía.</w:t>
      </w:r>
    </w:p>
    <w:p w14:paraId="4B875083" w14:textId="28D20515" w:rsidR="00E101A0" w:rsidRPr="00FA2D67" w:rsidRDefault="00E101A0" w:rsidP="00E101A0">
      <w:pPr>
        <w:pStyle w:val="yiv2012610974msonormal"/>
        <w:numPr>
          <w:ilvl w:val="0"/>
          <w:numId w:val="38"/>
        </w:numPr>
        <w:spacing w:before="0" w:beforeAutospacing="0" w:after="0" w:afterAutospacing="0"/>
        <w:jc w:val="both"/>
        <w:rPr>
          <w:rFonts w:ascii="Arial" w:hAnsi="Arial" w:cs="Arial"/>
          <w:sz w:val="18"/>
          <w:szCs w:val="18"/>
          <w:lang w:val="es-AR"/>
        </w:rPr>
      </w:pPr>
      <w:r w:rsidRPr="00FA2D67">
        <w:rPr>
          <w:rFonts w:ascii="Arial" w:hAnsi="Arial" w:cs="Arial"/>
          <w:sz w:val="18"/>
          <w:szCs w:val="18"/>
          <w:lang w:val="es-AR"/>
        </w:rPr>
        <w:t>Los volúmenes de reservas estimados para la Vendedora se basan en la evaluación interna de la Compañía al 31 de diciembre de 2023 y fueron preparados por un evaluador de reservas calificado, miembro de la dirección de Crown Point</w:t>
      </w:r>
      <w:r w:rsidR="00B11172">
        <w:rPr>
          <w:rFonts w:ascii="Arial" w:hAnsi="Arial" w:cs="Arial"/>
          <w:sz w:val="18"/>
          <w:szCs w:val="18"/>
          <w:lang w:val="es-AR"/>
        </w:rPr>
        <w:t>,</w:t>
      </w:r>
      <w:r w:rsidRPr="00FA2D67">
        <w:rPr>
          <w:rFonts w:ascii="Arial" w:hAnsi="Arial" w:cs="Arial"/>
          <w:sz w:val="18"/>
          <w:szCs w:val="18"/>
          <w:lang w:val="es-AR"/>
        </w:rPr>
        <w:t xml:space="preserve"> de conformidad con el Instrumento Nacional 51-101 y el Manual Canadiense de Evaluación de Petróleo y Gas.  Dado que la participación de la Vendedora en las Concesiones de TDF equivale aproximadamente a la mitad de la participación de Crown Point en las Concesiones de TDF, se consideró que los volúmenes de reservas atribuibles a los Activos Adquiridos equivalen aproximadamente a la mitad de los volúmenes de reservas de Crown Point atribuibles a las Concesiones de TDF al 31 de diciembre de 2023. </w:t>
      </w:r>
    </w:p>
    <w:p w14:paraId="2128892F" w14:textId="05E8B75A" w:rsidR="00E101A0" w:rsidRPr="00FA2D67" w:rsidRDefault="00E101A0" w:rsidP="00E101A0">
      <w:pPr>
        <w:pStyle w:val="yiv2012610974msonormal"/>
        <w:numPr>
          <w:ilvl w:val="0"/>
          <w:numId w:val="38"/>
        </w:numPr>
        <w:spacing w:before="0" w:beforeAutospacing="0" w:after="0" w:afterAutospacing="0"/>
        <w:jc w:val="both"/>
        <w:rPr>
          <w:rFonts w:ascii="Arial" w:hAnsi="Arial" w:cs="Arial"/>
          <w:sz w:val="18"/>
          <w:szCs w:val="18"/>
          <w:lang w:val="es-AR"/>
        </w:rPr>
      </w:pPr>
      <w:r w:rsidRPr="00FA2D67">
        <w:rPr>
          <w:rFonts w:ascii="Arial" w:hAnsi="Arial" w:cs="Arial"/>
          <w:sz w:val="18"/>
          <w:szCs w:val="18"/>
          <w:lang w:val="es-AR"/>
        </w:rPr>
        <w:t xml:space="preserve">Los volúmenes de reservas de Crown Point fueron evaluados por Sproule Associates Limited al 31 de diciembre de 2023 de conformidad con el Instrumento Nacional 51-101 y con el Manual Canadiense de Evaluación de Petróleo y Gas.    </w:t>
      </w:r>
    </w:p>
    <w:p w14:paraId="656BC7EB" w14:textId="77777777" w:rsidR="00E101A0" w:rsidRPr="00FA2D67" w:rsidRDefault="00E101A0" w:rsidP="008B5946">
      <w:pPr>
        <w:shd w:val="clear" w:color="auto" w:fill="FFFFFF"/>
        <w:jc w:val="both"/>
        <w:rPr>
          <w:rFonts w:ascii="Arial" w:hAnsi="Arial" w:cs="Arial"/>
          <w:sz w:val="20"/>
          <w:szCs w:val="20"/>
          <w:lang w:val="es-AR"/>
        </w:rPr>
      </w:pPr>
    </w:p>
    <w:p w14:paraId="4CF6B778" w14:textId="77777777" w:rsidR="00E959EF" w:rsidRPr="00FA2D67" w:rsidRDefault="00E959EF" w:rsidP="008B5946">
      <w:pPr>
        <w:shd w:val="clear" w:color="auto" w:fill="FFFFFF"/>
        <w:jc w:val="both"/>
        <w:rPr>
          <w:rFonts w:ascii="Arial" w:hAnsi="Arial" w:cs="Arial"/>
          <w:b/>
          <w:sz w:val="20"/>
          <w:szCs w:val="20"/>
          <w:lang w:val="es-AR"/>
        </w:rPr>
      </w:pPr>
      <w:r w:rsidRPr="00FA2D67">
        <w:rPr>
          <w:rFonts w:ascii="Arial" w:hAnsi="Arial" w:cs="Arial"/>
          <w:b/>
          <w:bCs/>
          <w:sz w:val="20"/>
          <w:szCs w:val="20"/>
          <w:lang w:val="es-AR"/>
        </w:rPr>
        <w:t xml:space="preserve">Precio de compra y </w:t>
      </w:r>
      <w:r w:rsidRPr="00FA2D67">
        <w:rPr>
          <w:rFonts w:ascii="Arial" w:hAnsi="Arial" w:cs="Arial"/>
          <w:b/>
          <w:bCs/>
          <w:color w:val="333333"/>
          <w:sz w:val="20"/>
          <w:szCs w:val="20"/>
          <w:lang w:val="es-AR"/>
        </w:rPr>
        <w:t>financiamiento</w:t>
      </w:r>
    </w:p>
    <w:p w14:paraId="2FE954A1" w14:textId="77777777" w:rsidR="00E959EF" w:rsidRPr="00FA2D67" w:rsidRDefault="00E959EF" w:rsidP="008B5946">
      <w:pPr>
        <w:shd w:val="clear" w:color="auto" w:fill="FFFFFF"/>
        <w:jc w:val="both"/>
        <w:rPr>
          <w:rFonts w:ascii="Arial" w:hAnsi="Arial" w:cs="Arial"/>
          <w:sz w:val="20"/>
          <w:szCs w:val="20"/>
          <w:lang w:val="es-AR"/>
        </w:rPr>
      </w:pPr>
    </w:p>
    <w:p w14:paraId="403D9DFE" w14:textId="43821CDB" w:rsidR="00515769" w:rsidRPr="00FA2D67" w:rsidRDefault="008B57CB" w:rsidP="008B5946">
      <w:pPr>
        <w:shd w:val="clear" w:color="auto" w:fill="FFFFFF"/>
        <w:jc w:val="both"/>
        <w:rPr>
          <w:rFonts w:ascii="Arial" w:hAnsi="Arial" w:cs="Arial"/>
          <w:color w:val="333333"/>
          <w:sz w:val="20"/>
          <w:szCs w:val="20"/>
          <w:lang w:val="es-AR"/>
        </w:rPr>
      </w:pPr>
      <w:r w:rsidRPr="00FA2D67">
        <w:rPr>
          <w:rFonts w:ascii="Arial" w:hAnsi="Arial" w:cs="Arial"/>
          <w:sz w:val="20"/>
          <w:szCs w:val="20"/>
          <w:lang w:val="es-AR"/>
        </w:rPr>
        <w:t xml:space="preserve">El precio de compra pagadero por Crown Point a la Vendedora asciende a US$700.000 (US$293.000 de los cuales se adelantaron como depósito), sujeto a ajustes de cierre habituales, incluso por inventarios de gas natural y petróleo crudo atribuibles a los Activos Adquiridos a la fecha efectiva de la Adquisición, es decir, el 1 de julio de 2024.  </w:t>
      </w:r>
      <w:r w:rsidRPr="00FA2D67">
        <w:rPr>
          <w:rFonts w:ascii="Arial" w:hAnsi="Arial" w:cs="Arial"/>
          <w:color w:val="333333"/>
          <w:sz w:val="20"/>
          <w:szCs w:val="20"/>
          <w:lang w:val="es-AR"/>
        </w:rPr>
        <w:t xml:space="preserve">Crown Point tiene previsto financiar el precio de compra con sus disponibilidades y flujos de fondos operativos existentes y con financiamiento mediante deuda nueva.   </w:t>
      </w:r>
    </w:p>
    <w:p w14:paraId="37B03BB7" w14:textId="77777777" w:rsidR="00615315" w:rsidRPr="00FA2D67" w:rsidRDefault="00615315" w:rsidP="008B5946">
      <w:pPr>
        <w:shd w:val="clear" w:color="auto" w:fill="FFFFFF"/>
        <w:jc w:val="both"/>
        <w:rPr>
          <w:rFonts w:ascii="Arial" w:hAnsi="Arial" w:cs="Arial"/>
          <w:color w:val="333333"/>
          <w:sz w:val="20"/>
          <w:szCs w:val="20"/>
          <w:lang w:val="es-AR"/>
        </w:rPr>
      </w:pPr>
    </w:p>
    <w:p w14:paraId="16BC465D" w14:textId="5549F97F" w:rsidR="005B7BF5" w:rsidRPr="00FA2D67" w:rsidRDefault="00B2131B" w:rsidP="008B5946">
      <w:pPr>
        <w:keepNext/>
        <w:shd w:val="clear" w:color="auto" w:fill="FFFFFF"/>
        <w:jc w:val="both"/>
        <w:rPr>
          <w:rFonts w:ascii="Arial" w:hAnsi="Arial" w:cs="Arial"/>
          <w:b/>
          <w:color w:val="333333"/>
          <w:sz w:val="20"/>
          <w:szCs w:val="20"/>
          <w:lang w:val="es-AR"/>
        </w:rPr>
      </w:pPr>
      <w:r w:rsidRPr="00FA2D67">
        <w:rPr>
          <w:rFonts w:ascii="Arial" w:hAnsi="Arial" w:cs="Arial"/>
          <w:b/>
          <w:bCs/>
          <w:color w:val="333333"/>
          <w:sz w:val="20"/>
          <w:szCs w:val="20"/>
          <w:lang w:val="es-AR"/>
        </w:rPr>
        <w:t>Condiciones de cierre</w:t>
      </w:r>
    </w:p>
    <w:p w14:paraId="09334F2F" w14:textId="291DD81F" w:rsidR="00D90238" w:rsidRPr="00FA2D67" w:rsidRDefault="00486024" w:rsidP="00B2131B">
      <w:pPr>
        <w:pStyle w:val="yiv2012610974msonormal"/>
        <w:keepNext/>
        <w:jc w:val="both"/>
        <w:rPr>
          <w:rFonts w:ascii="Arial" w:hAnsi="Arial" w:cs="Arial"/>
          <w:color w:val="000000"/>
          <w:sz w:val="20"/>
          <w:szCs w:val="20"/>
          <w:lang w:val="es-AR"/>
        </w:rPr>
      </w:pPr>
      <w:r w:rsidRPr="00FA2D67">
        <w:rPr>
          <w:rFonts w:ascii="Arial" w:hAnsi="Arial" w:cs="Arial"/>
          <w:sz w:val="20"/>
          <w:szCs w:val="20"/>
          <w:lang w:val="es-AR"/>
        </w:rPr>
        <w:t xml:space="preserve">La consumación de la Adquisición está supeditada, entre otras cosas, a la obtención de todas las aprobaciones regulatorias, bursátiles y provinciales necesarias, la dispensa o </w:t>
      </w:r>
      <w:r w:rsidRPr="00FA2D67">
        <w:rPr>
          <w:rFonts w:ascii="Arial" w:hAnsi="Arial" w:cs="Arial"/>
          <w:color w:val="000000"/>
          <w:sz w:val="20"/>
          <w:szCs w:val="20"/>
          <w:lang w:val="es-AR"/>
        </w:rPr>
        <w:t>caducidad de derechos preferentes de compra aplicables (</w:t>
      </w:r>
      <w:r w:rsidR="00B11172">
        <w:rPr>
          <w:rFonts w:ascii="Arial" w:hAnsi="Arial" w:cs="Arial"/>
          <w:color w:val="000000"/>
          <w:sz w:val="20"/>
          <w:szCs w:val="20"/>
          <w:lang w:val="es-AR"/>
        </w:rPr>
        <w:t>“</w:t>
      </w:r>
      <w:r w:rsidRPr="00FA2D67">
        <w:rPr>
          <w:rFonts w:ascii="Arial" w:hAnsi="Arial" w:cs="Arial"/>
          <w:b/>
          <w:bCs/>
          <w:color w:val="000000"/>
          <w:sz w:val="20"/>
          <w:szCs w:val="20"/>
          <w:lang w:val="es-AR"/>
        </w:rPr>
        <w:t>derechos preferentes de compra</w:t>
      </w:r>
      <w:r w:rsidR="00B11172">
        <w:rPr>
          <w:rFonts w:ascii="Arial" w:hAnsi="Arial" w:cs="Arial"/>
          <w:color w:val="000000"/>
          <w:sz w:val="20"/>
          <w:szCs w:val="20"/>
          <w:lang w:val="es-AR"/>
        </w:rPr>
        <w:t>”</w:t>
      </w:r>
      <w:r w:rsidRPr="00FA2D67">
        <w:rPr>
          <w:rFonts w:ascii="Arial" w:hAnsi="Arial" w:cs="Arial"/>
          <w:color w:val="000000"/>
          <w:sz w:val="20"/>
          <w:szCs w:val="20"/>
          <w:lang w:val="es-AR"/>
        </w:rPr>
        <w:t xml:space="preserve">) y otras condiciones de cierre habituales.  Los socios de Crown Point en las Concesiones de TDF tienen derechos preferentes de compra con respecto a la Adquisición.  Si uno o </w:t>
      </w:r>
      <w:r w:rsidR="00B11172">
        <w:rPr>
          <w:rFonts w:ascii="Arial" w:hAnsi="Arial" w:cs="Arial"/>
          <w:color w:val="000000"/>
          <w:sz w:val="20"/>
          <w:szCs w:val="20"/>
          <w:lang w:val="es-AR"/>
        </w:rPr>
        <w:t>varios</w:t>
      </w:r>
      <w:r w:rsidRPr="00FA2D67">
        <w:rPr>
          <w:rFonts w:ascii="Arial" w:hAnsi="Arial" w:cs="Arial"/>
          <w:color w:val="000000"/>
          <w:sz w:val="20"/>
          <w:szCs w:val="20"/>
          <w:lang w:val="es-AR"/>
        </w:rPr>
        <w:t xml:space="preserve"> de </w:t>
      </w:r>
      <w:r w:rsidR="00B11172">
        <w:rPr>
          <w:rFonts w:ascii="Arial" w:hAnsi="Arial" w:cs="Arial"/>
          <w:color w:val="000000"/>
          <w:sz w:val="20"/>
          <w:szCs w:val="20"/>
          <w:lang w:val="es-AR"/>
        </w:rPr>
        <w:t>ellos</w:t>
      </w:r>
      <w:r w:rsidRPr="00FA2D67">
        <w:rPr>
          <w:rFonts w:ascii="Arial" w:hAnsi="Arial" w:cs="Arial"/>
          <w:color w:val="000000"/>
          <w:sz w:val="20"/>
          <w:szCs w:val="20"/>
          <w:lang w:val="es-AR"/>
        </w:rPr>
        <w:t xml:space="preserve"> ejerce</w:t>
      </w:r>
      <w:r w:rsidR="00B11172">
        <w:rPr>
          <w:rFonts w:ascii="Arial" w:hAnsi="Arial" w:cs="Arial"/>
          <w:color w:val="000000"/>
          <w:sz w:val="20"/>
          <w:szCs w:val="20"/>
          <w:lang w:val="es-AR"/>
        </w:rPr>
        <w:t>n</w:t>
      </w:r>
      <w:r w:rsidRPr="00FA2D67">
        <w:rPr>
          <w:rFonts w:ascii="Arial" w:hAnsi="Arial" w:cs="Arial"/>
          <w:color w:val="000000"/>
          <w:sz w:val="20"/>
          <w:szCs w:val="20"/>
          <w:lang w:val="es-AR"/>
        </w:rPr>
        <w:t xml:space="preserve"> sus derechos preferentes de compra, la Compañía adquirirá la porción de los Activos Adquiridos respecto de los que no se hayan ejercido derechos preferentes de compra y el precio de compra se ajustará en consecuencia. Se espera que el cierre se consume durante el primer trimestre de 2024. </w:t>
      </w:r>
    </w:p>
    <w:p w14:paraId="2E81F67F" w14:textId="77777777" w:rsidR="004D0CB4" w:rsidRPr="00FA2D67" w:rsidRDefault="004D0CB4" w:rsidP="004D0CB4">
      <w:pPr>
        <w:shd w:val="clear" w:color="auto" w:fill="FFFFFF"/>
        <w:jc w:val="both"/>
        <w:rPr>
          <w:rFonts w:ascii="Arial" w:hAnsi="Arial" w:cs="Arial"/>
          <w:sz w:val="20"/>
          <w:szCs w:val="20"/>
          <w:lang w:val="es-AR"/>
        </w:rPr>
      </w:pPr>
      <w:r w:rsidRPr="00FA2D67">
        <w:rPr>
          <w:rFonts w:ascii="Arial" w:hAnsi="Arial" w:cs="Arial"/>
          <w:sz w:val="20"/>
          <w:szCs w:val="20"/>
          <w:lang w:val="es-AR"/>
        </w:rPr>
        <w:t>Ante cualquier consulta, contactarse con:</w:t>
      </w:r>
    </w:p>
    <w:p w14:paraId="4ADA3FD3" w14:textId="77777777" w:rsidR="004D0CB4" w:rsidRPr="00FA2D67" w:rsidRDefault="004D0CB4" w:rsidP="004D0CB4">
      <w:pPr>
        <w:shd w:val="clear" w:color="auto" w:fill="FFFFFF"/>
        <w:jc w:val="both"/>
        <w:rPr>
          <w:rFonts w:ascii="Arial" w:hAnsi="Arial" w:cs="Arial"/>
          <w:sz w:val="20"/>
          <w:szCs w:val="20"/>
          <w:lang w:val="es-AR"/>
        </w:rPr>
      </w:pPr>
    </w:p>
    <w:p w14:paraId="31CF6BC1" w14:textId="77777777" w:rsidR="004D0CB4" w:rsidRPr="00FA2D67" w:rsidRDefault="004D0CB4" w:rsidP="004D0CB4">
      <w:pPr>
        <w:shd w:val="clear" w:color="auto" w:fill="FFFFFF"/>
        <w:jc w:val="both"/>
        <w:rPr>
          <w:rFonts w:ascii="Arial" w:hAnsi="Arial" w:cs="Arial"/>
          <w:sz w:val="20"/>
          <w:szCs w:val="20"/>
          <w:lang w:val="es-AR"/>
        </w:rPr>
      </w:pPr>
      <w:r w:rsidRPr="00FA2D67">
        <w:rPr>
          <w:rFonts w:ascii="Arial" w:hAnsi="Arial" w:cs="Arial"/>
          <w:sz w:val="20"/>
          <w:szCs w:val="20"/>
          <w:lang w:val="es-AR"/>
        </w:rPr>
        <w:t xml:space="preserve">Gabriel Obrador </w:t>
      </w:r>
      <w:r w:rsidRPr="00FA2D67">
        <w:rPr>
          <w:rFonts w:ascii="Arial" w:hAnsi="Arial" w:cs="Arial"/>
          <w:sz w:val="20"/>
          <w:szCs w:val="20"/>
          <w:lang w:val="es-AR"/>
        </w:rPr>
        <w:tab/>
      </w:r>
      <w:r w:rsidRPr="00FA2D67">
        <w:rPr>
          <w:rFonts w:ascii="Arial" w:hAnsi="Arial" w:cs="Arial"/>
          <w:sz w:val="20"/>
          <w:szCs w:val="20"/>
          <w:lang w:val="es-AR"/>
        </w:rPr>
        <w:tab/>
      </w:r>
      <w:r w:rsidRPr="00FA2D67">
        <w:rPr>
          <w:rFonts w:ascii="Arial" w:hAnsi="Arial" w:cs="Arial"/>
          <w:sz w:val="20"/>
          <w:szCs w:val="20"/>
          <w:lang w:val="es-AR"/>
        </w:rPr>
        <w:tab/>
      </w:r>
      <w:r w:rsidRPr="00FA2D67">
        <w:rPr>
          <w:rFonts w:ascii="Arial" w:hAnsi="Arial" w:cs="Arial"/>
          <w:sz w:val="20"/>
          <w:szCs w:val="20"/>
          <w:lang w:val="es-AR"/>
        </w:rPr>
        <w:tab/>
        <w:t>Marisa Tormakh</w:t>
      </w:r>
    </w:p>
    <w:p w14:paraId="7D658661" w14:textId="05E90282" w:rsidR="004D0CB4" w:rsidRPr="00FA2D67" w:rsidRDefault="004D0CB4" w:rsidP="004D0CB4">
      <w:pPr>
        <w:shd w:val="clear" w:color="auto" w:fill="FFFFFF"/>
        <w:jc w:val="both"/>
        <w:rPr>
          <w:rFonts w:ascii="Arial" w:hAnsi="Arial" w:cs="Arial"/>
          <w:sz w:val="20"/>
          <w:szCs w:val="20"/>
          <w:lang w:val="es-AR"/>
        </w:rPr>
      </w:pPr>
      <w:r w:rsidRPr="00FA2D67">
        <w:rPr>
          <w:rFonts w:ascii="Arial" w:hAnsi="Arial" w:cs="Arial"/>
          <w:sz w:val="20"/>
          <w:szCs w:val="20"/>
          <w:lang w:val="es-AR"/>
        </w:rPr>
        <w:t>Presidente y Director Ejecutivo</w:t>
      </w:r>
      <w:r w:rsidRPr="00FA2D67">
        <w:rPr>
          <w:rFonts w:ascii="Arial" w:hAnsi="Arial" w:cs="Arial"/>
          <w:sz w:val="20"/>
          <w:szCs w:val="20"/>
          <w:lang w:val="es-AR"/>
        </w:rPr>
        <w:tab/>
      </w:r>
      <w:r w:rsidRPr="00FA2D67">
        <w:rPr>
          <w:rFonts w:ascii="Arial" w:hAnsi="Arial" w:cs="Arial"/>
          <w:sz w:val="20"/>
          <w:szCs w:val="20"/>
          <w:lang w:val="es-AR"/>
        </w:rPr>
        <w:tab/>
      </w:r>
      <w:r w:rsidRPr="00FA2D67">
        <w:rPr>
          <w:rFonts w:ascii="Arial" w:hAnsi="Arial" w:cs="Arial"/>
          <w:sz w:val="20"/>
          <w:szCs w:val="20"/>
          <w:lang w:val="es-AR"/>
        </w:rPr>
        <w:tab/>
        <w:t>Vicepresidenta de Finanzas y Directora Financiera</w:t>
      </w:r>
    </w:p>
    <w:p w14:paraId="3AE12B14" w14:textId="5711F31E" w:rsidR="004D0CB4" w:rsidRPr="00F02AE8" w:rsidRDefault="004D0CB4" w:rsidP="004D0CB4">
      <w:pPr>
        <w:shd w:val="clear" w:color="auto" w:fill="FFFFFF"/>
        <w:jc w:val="both"/>
        <w:rPr>
          <w:rFonts w:ascii="Arial" w:hAnsi="Arial" w:cs="Arial"/>
          <w:sz w:val="20"/>
          <w:szCs w:val="20"/>
        </w:rPr>
      </w:pPr>
      <w:proofErr w:type="spellStart"/>
      <w:r w:rsidRPr="00F02AE8">
        <w:rPr>
          <w:rFonts w:ascii="Arial" w:hAnsi="Arial" w:cs="Arial"/>
          <w:sz w:val="20"/>
          <w:szCs w:val="20"/>
        </w:rPr>
        <w:t>Teléfono</w:t>
      </w:r>
      <w:proofErr w:type="spellEnd"/>
      <w:r w:rsidRPr="00F02AE8">
        <w:rPr>
          <w:rFonts w:ascii="Arial" w:hAnsi="Arial" w:cs="Arial"/>
          <w:sz w:val="20"/>
          <w:szCs w:val="20"/>
        </w:rPr>
        <w:t xml:space="preserve">: (403) 232-1150 </w:t>
      </w:r>
      <w:r w:rsidRPr="00F02AE8">
        <w:rPr>
          <w:rFonts w:ascii="Arial" w:hAnsi="Arial" w:cs="Arial"/>
          <w:sz w:val="20"/>
          <w:szCs w:val="20"/>
        </w:rPr>
        <w:tab/>
      </w:r>
      <w:r w:rsidRPr="00F02AE8">
        <w:rPr>
          <w:rFonts w:ascii="Arial" w:hAnsi="Arial" w:cs="Arial"/>
          <w:sz w:val="20"/>
          <w:szCs w:val="20"/>
        </w:rPr>
        <w:tab/>
      </w:r>
      <w:r w:rsidRPr="00F02AE8">
        <w:rPr>
          <w:rFonts w:ascii="Arial" w:hAnsi="Arial" w:cs="Arial"/>
          <w:sz w:val="20"/>
          <w:szCs w:val="20"/>
        </w:rPr>
        <w:tab/>
      </w:r>
      <w:proofErr w:type="spellStart"/>
      <w:r w:rsidRPr="00F02AE8">
        <w:rPr>
          <w:rFonts w:ascii="Arial" w:hAnsi="Arial" w:cs="Arial"/>
          <w:sz w:val="20"/>
          <w:szCs w:val="20"/>
        </w:rPr>
        <w:t>Teléfono</w:t>
      </w:r>
      <w:proofErr w:type="spellEnd"/>
      <w:r w:rsidRPr="00F02AE8">
        <w:rPr>
          <w:rFonts w:ascii="Arial" w:hAnsi="Arial" w:cs="Arial"/>
          <w:sz w:val="20"/>
          <w:szCs w:val="20"/>
        </w:rPr>
        <w:t>: (403) 232-1150</w:t>
      </w:r>
    </w:p>
    <w:p w14:paraId="6B3E7135" w14:textId="77777777" w:rsidR="004D0CB4" w:rsidRPr="00F02AE8" w:rsidRDefault="004D0CB4" w:rsidP="004D0CB4">
      <w:pPr>
        <w:shd w:val="clear" w:color="auto" w:fill="FFFFFF"/>
        <w:jc w:val="both"/>
        <w:rPr>
          <w:rFonts w:ascii="Arial" w:hAnsi="Arial" w:cs="Arial"/>
          <w:sz w:val="20"/>
          <w:szCs w:val="20"/>
        </w:rPr>
      </w:pPr>
      <w:r w:rsidRPr="00F02AE8">
        <w:rPr>
          <w:rFonts w:ascii="Arial" w:hAnsi="Arial" w:cs="Arial"/>
          <w:sz w:val="20"/>
          <w:szCs w:val="20"/>
        </w:rPr>
        <w:t xml:space="preserve">Crown Point Energy Inc. </w:t>
      </w:r>
      <w:r w:rsidRPr="00F02AE8">
        <w:rPr>
          <w:rFonts w:ascii="Arial" w:hAnsi="Arial" w:cs="Arial"/>
          <w:sz w:val="20"/>
          <w:szCs w:val="20"/>
        </w:rPr>
        <w:tab/>
      </w:r>
      <w:r w:rsidRPr="00F02AE8">
        <w:rPr>
          <w:rFonts w:ascii="Arial" w:hAnsi="Arial" w:cs="Arial"/>
          <w:sz w:val="20"/>
          <w:szCs w:val="20"/>
        </w:rPr>
        <w:tab/>
      </w:r>
      <w:r w:rsidRPr="00F02AE8">
        <w:rPr>
          <w:rFonts w:ascii="Arial" w:hAnsi="Arial" w:cs="Arial"/>
          <w:sz w:val="20"/>
          <w:szCs w:val="20"/>
        </w:rPr>
        <w:tab/>
        <w:t>Crown Point Energy Inc.</w:t>
      </w:r>
    </w:p>
    <w:p w14:paraId="558A0161" w14:textId="77777777" w:rsidR="004D0CB4" w:rsidRPr="00F02AE8" w:rsidRDefault="00000000" w:rsidP="004D0CB4">
      <w:pPr>
        <w:shd w:val="clear" w:color="auto" w:fill="FFFFFF"/>
        <w:jc w:val="both"/>
        <w:rPr>
          <w:rFonts w:ascii="Arial" w:hAnsi="Arial" w:cs="Arial"/>
          <w:sz w:val="20"/>
          <w:szCs w:val="20"/>
        </w:rPr>
      </w:pPr>
      <w:hyperlink r:id="rId14" w:history="1">
        <w:r w:rsidR="001D6766" w:rsidRPr="00F02AE8">
          <w:rPr>
            <w:rStyle w:val="Hipervnculo"/>
            <w:rFonts w:ascii="Arial" w:hAnsi="Arial" w:cs="Arial"/>
            <w:sz w:val="20"/>
            <w:szCs w:val="20"/>
          </w:rPr>
          <w:t>gobrador@crownpointenergy.com</w:t>
        </w:r>
      </w:hyperlink>
      <w:r w:rsidR="001D6766" w:rsidRPr="00F02AE8">
        <w:rPr>
          <w:rFonts w:ascii="Arial" w:hAnsi="Arial" w:cs="Arial"/>
          <w:sz w:val="20"/>
          <w:szCs w:val="20"/>
        </w:rPr>
        <w:t xml:space="preserve"> </w:t>
      </w:r>
      <w:r w:rsidR="001D6766" w:rsidRPr="00F02AE8">
        <w:rPr>
          <w:rFonts w:ascii="Arial" w:hAnsi="Arial" w:cs="Arial"/>
          <w:sz w:val="20"/>
          <w:szCs w:val="20"/>
        </w:rPr>
        <w:tab/>
      </w:r>
      <w:r w:rsidR="001D6766" w:rsidRPr="00F02AE8">
        <w:rPr>
          <w:rFonts w:ascii="Arial" w:hAnsi="Arial" w:cs="Arial"/>
          <w:sz w:val="20"/>
          <w:szCs w:val="20"/>
        </w:rPr>
        <w:tab/>
      </w:r>
      <w:hyperlink r:id="rId15" w:history="1">
        <w:r w:rsidR="001D6766" w:rsidRPr="00F02AE8">
          <w:rPr>
            <w:rStyle w:val="Hipervnculo"/>
            <w:rFonts w:ascii="Arial" w:hAnsi="Arial" w:cs="Arial"/>
            <w:sz w:val="20"/>
            <w:szCs w:val="20"/>
          </w:rPr>
          <w:t>mtormakh@crownpointenergy.com</w:t>
        </w:r>
      </w:hyperlink>
      <w:r w:rsidR="001D6766" w:rsidRPr="00F02AE8">
        <w:rPr>
          <w:rFonts w:ascii="Arial" w:hAnsi="Arial" w:cs="Arial"/>
          <w:sz w:val="20"/>
          <w:szCs w:val="20"/>
        </w:rPr>
        <w:t xml:space="preserve"> </w:t>
      </w:r>
    </w:p>
    <w:p w14:paraId="2A63BB49" w14:textId="77777777" w:rsidR="004D0CB4" w:rsidRPr="00F02AE8" w:rsidRDefault="004D0CB4" w:rsidP="004D0CB4">
      <w:pPr>
        <w:shd w:val="clear" w:color="auto" w:fill="FFFFFF"/>
        <w:jc w:val="both"/>
        <w:rPr>
          <w:rFonts w:ascii="Arial" w:hAnsi="Arial" w:cs="Arial"/>
          <w:sz w:val="20"/>
          <w:szCs w:val="20"/>
        </w:rPr>
      </w:pPr>
    </w:p>
    <w:p w14:paraId="4F149937" w14:textId="77777777" w:rsidR="004D0CB4" w:rsidRPr="00FA2D67" w:rsidRDefault="004D0CB4" w:rsidP="004D0CB4">
      <w:pPr>
        <w:shd w:val="clear" w:color="auto" w:fill="FFFFFF"/>
        <w:jc w:val="both"/>
        <w:rPr>
          <w:rFonts w:ascii="Arial" w:hAnsi="Arial" w:cs="Arial"/>
          <w:b/>
          <w:bCs/>
          <w:sz w:val="20"/>
          <w:szCs w:val="20"/>
          <w:lang w:val="es-AR"/>
        </w:rPr>
      </w:pPr>
      <w:r w:rsidRPr="00FA2D67">
        <w:rPr>
          <w:rFonts w:ascii="Arial" w:hAnsi="Arial" w:cs="Arial"/>
          <w:b/>
          <w:bCs/>
          <w:sz w:val="20"/>
          <w:szCs w:val="20"/>
          <w:lang w:val="es-AR"/>
        </w:rPr>
        <w:t>Información sobre Crown Point</w:t>
      </w:r>
    </w:p>
    <w:p w14:paraId="6446A793" w14:textId="77777777" w:rsidR="004D0CB4" w:rsidRPr="00FA2D67" w:rsidRDefault="004D0CB4" w:rsidP="004D0CB4">
      <w:pPr>
        <w:shd w:val="clear" w:color="auto" w:fill="FFFFFF"/>
        <w:jc w:val="both"/>
        <w:rPr>
          <w:rFonts w:ascii="Arial" w:hAnsi="Arial" w:cs="Arial"/>
          <w:b/>
          <w:bCs/>
          <w:sz w:val="20"/>
          <w:szCs w:val="20"/>
          <w:lang w:val="es-AR"/>
        </w:rPr>
      </w:pPr>
    </w:p>
    <w:p w14:paraId="05978F05" w14:textId="77777777" w:rsidR="004D0CB4" w:rsidRPr="00FA2D67" w:rsidRDefault="004D0CB4" w:rsidP="004D0CB4">
      <w:pPr>
        <w:shd w:val="clear" w:color="auto" w:fill="FFFFFF"/>
        <w:jc w:val="both"/>
        <w:rPr>
          <w:rFonts w:ascii="Arial" w:hAnsi="Arial" w:cs="Arial"/>
          <w:sz w:val="20"/>
          <w:szCs w:val="20"/>
          <w:lang w:val="es-AR"/>
        </w:rPr>
      </w:pPr>
      <w:r w:rsidRPr="00FA2D67">
        <w:rPr>
          <w:rFonts w:ascii="Arial" w:hAnsi="Arial" w:cs="Arial"/>
          <w:sz w:val="20"/>
          <w:szCs w:val="20"/>
          <w:lang w:val="es-AR"/>
        </w:rPr>
        <w:t>Crown Point es una compañía internacional de exploración y desarrollo de petróleo y gas constituida en Alberta, Canadá, cuyas acciones cotizan en la Bolsa de Valores de Toronto y que posee operaciones en Argentina. Las actividades de exploración y desarrollo de Crown Point están concentradas en tres cuencas de producción de Argentina, la Cuenca Austral, situada en la Provincia de Tierra del Fuego, y las Cuencas Neuquina y Cuyana, en la Provincia de Mendoza. Crown Point tiene una estrategia basada en construir una cartera de activos productivos, introducir mejoras en la producción y aprovechar oportunidades de exploración para sentar las bases de su futuro crecimiento.</w:t>
      </w:r>
    </w:p>
    <w:p w14:paraId="67F4BBFA" w14:textId="6FD737BB" w:rsidR="00963CAB" w:rsidRPr="00FA2D67" w:rsidRDefault="00963CAB" w:rsidP="008B5946">
      <w:pPr>
        <w:pStyle w:val="MICONHEADER1"/>
        <w:widowControl w:val="0"/>
        <w:ind w:left="0"/>
        <w:rPr>
          <w:rFonts w:ascii="Arial" w:hAnsi="Arial" w:cs="Arial"/>
          <w:b w:val="0"/>
          <w:bCs/>
          <w:caps w:val="0"/>
          <w:sz w:val="20"/>
          <w:szCs w:val="20"/>
          <w:lang w:val="es-AR"/>
        </w:rPr>
      </w:pPr>
    </w:p>
    <w:p w14:paraId="32DC4ECC" w14:textId="66A8A116" w:rsidR="001757BE" w:rsidRDefault="001757BE" w:rsidP="008B5946">
      <w:pPr>
        <w:pStyle w:val="MICONHEADER1"/>
        <w:widowControl w:val="0"/>
        <w:ind w:left="0"/>
        <w:rPr>
          <w:rFonts w:ascii="Arial" w:hAnsi="Arial" w:cs="Arial"/>
          <w:b w:val="0"/>
          <w:bCs/>
          <w:caps w:val="0"/>
          <w:sz w:val="20"/>
          <w:szCs w:val="20"/>
          <w:lang w:val="es-AR"/>
        </w:rPr>
      </w:pPr>
    </w:p>
    <w:p w14:paraId="6E38A500" w14:textId="0E1EF34E" w:rsidR="00FA2D67" w:rsidRDefault="00FA2D67" w:rsidP="008B5946">
      <w:pPr>
        <w:pStyle w:val="MICONHEADER1"/>
        <w:widowControl w:val="0"/>
        <w:ind w:left="0"/>
        <w:rPr>
          <w:rFonts w:ascii="Arial" w:hAnsi="Arial" w:cs="Arial"/>
          <w:b w:val="0"/>
          <w:bCs/>
          <w:caps w:val="0"/>
          <w:sz w:val="20"/>
          <w:szCs w:val="20"/>
          <w:lang w:val="es-AR"/>
        </w:rPr>
      </w:pPr>
    </w:p>
    <w:p w14:paraId="5468A604" w14:textId="77777777" w:rsidR="00FA2D67" w:rsidRPr="00FA2D67" w:rsidRDefault="00FA2D67" w:rsidP="008B5946">
      <w:pPr>
        <w:pStyle w:val="MICONHEADER1"/>
        <w:widowControl w:val="0"/>
        <w:ind w:left="0"/>
        <w:rPr>
          <w:rFonts w:ascii="Arial" w:hAnsi="Arial" w:cs="Arial"/>
          <w:b w:val="0"/>
          <w:bCs/>
          <w:caps w:val="0"/>
          <w:sz w:val="20"/>
          <w:szCs w:val="20"/>
          <w:lang w:val="es-AR"/>
        </w:rPr>
      </w:pPr>
    </w:p>
    <w:p w14:paraId="48C7ADF1" w14:textId="77777777" w:rsidR="005D0054" w:rsidRPr="00FA2D67" w:rsidRDefault="005D0054" w:rsidP="004B7D7A">
      <w:pPr>
        <w:autoSpaceDE w:val="0"/>
        <w:autoSpaceDN w:val="0"/>
        <w:adjustRightInd w:val="0"/>
        <w:jc w:val="both"/>
        <w:rPr>
          <w:rFonts w:ascii="Arial" w:hAnsi="Arial" w:cs="Arial"/>
          <w:b/>
          <w:bCs/>
          <w:sz w:val="18"/>
          <w:szCs w:val="18"/>
          <w:lang w:val="es-AR"/>
        </w:rPr>
      </w:pPr>
      <w:r w:rsidRPr="00FA2D67">
        <w:rPr>
          <w:rFonts w:ascii="Arial" w:hAnsi="Arial" w:cs="Arial"/>
          <w:b/>
          <w:bCs/>
          <w:sz w:val="18"/>
          <w:szCs w:val="18"/>
          <w:lang w:val="es-AR"/>
        </w:rPr>
        <w:t>Advertencias</w:t>
      </w:r>
    </w:p>
    <w:p w14:paraId="2F68DB7B" w14:textId="77777777" w:rsidR="004B7D7A" w:rsidRPr="00FA2D67" w:rsidRDefault="005D0054" w:rsidP="004B7D7A">
      <w:pPr>
        <w:autoSpaceDE w:val="0"/>
        <w:autoSpaceDN w:val="0"/>
        <w:adjustRightInd w:val="0"/>
        <w:jc w:val="both"/>
        <w:rPr>
          <w:rFonts w:ascii="Arial" w:hAnsi="Arial" w:cs="Arial"/>
          <w:sz w:val="18"/>
          <w:szCs w:val="18"/>
          <w:u w:val="single"/>
          <w:lang w:val="es-AR"/>
        </w:rPr>
      </w:pPr>
      <w:r w:rsidRPr="00FA2D67">
        <w:rPr>
          <w:rFonts w:ascii="Arial" w:hAnsi="Arial" w:cs="Arial"/>
          <w:sz w:val="18"/>
          <w:szCs w:val="18"/>
          <w:lang w:val="es-AR"/>
        </w:rPr>
        <w:br/>
      </w:r>
      <w:r w:rsidRPr="00FA2D67">
        <w:rPr>
          <w:rFonts w:ascii="Arial" w:hAnsi="Arial" w:cs="Arial"/>
          <w:sz w:val="18"/>
          <w:szCs w:val="18"/>
          <w:u w:val="single"/>
          <w:lang w:val="es-AR"/>
        </w:rPr>
        <w:t>Declaraciones sobre hechos futuros</w:t>
      </w:r>
    </w:p>
    <w:p w14:paraId="64B8CADC" w14:textId="1BF6B0E1" w:rsidR="005D0054" w:rsidRPr="00FA2D67" w:rsidRDefault="005D0054" w:rsidP="004B7D7A">
      <w:pPr>
        <w:autoSpaceDE w:val="0"/>
        <w:autoSpaceDN w:val="0"/>
        <w:adjustRightInd w:val="0"/>
        <w:jc w:val="both"/>
        <w:rPr>
          <w:rFonts w:ascii="Arial" w:hAnsi="Arial" w:cs="Arial"/>
          <w:sz w:val="18"/>
          <w:szCs w:val="18"/>
          <w:lang w:val="es-AR"/>
        </w:rPr>
      </w:pPr>
      <w:r w:rsidRPr="00FA2D67">
        <w:rPr>
          <w:rFonts w:ascii="Arial" w:hAnsi="Arial" w:cs="Arial"/>
          <w:sz w:val="18"/>
          <w:szCs w:val="18"/>
          <w:lang w:val="es-AR"/>
        </w:rPr>
        <w:t xml:space="preserve">Cierta información sobre Crown Point contenida en este documento, incluidos los detalles sobre la Adquisición propuesta, los beneficios que se espera obtener de la Adquisición, la fecha prevista de cierre de la Adquisición, la forma en la que la Compañía cree que financiará el precio de compra de la Adquisición y su capacidad de hacerlo, incluso la capacidad de obtener el financiamiento mediante deuda necesario, puede constituir información sobre hechos futuros en virtud de las leyes sobre títulos valores aplicables. La información sobre hechos futuros se basa en ciertas expectativas y supuestos clave realizados por Crown Point, lo que abarca expectativas y supuestos sobre: precios de los </w:t>
      </w:r>
      <w:r w:rsidRPr="00FA2D67">
        <w:rPr>
          <w:rFonts w:ascii="Arial" w:hAnsi="Arial" w:cs="Arial"/>
          <w:i/>
          <w:iCs/>
          <w:sz w:val="18"/>
          <w:szCs w:val="18"/>
          <w:lang w:val="es-AR"/>
        </w:rPr>
        <w:t>commodities</w:t>
      </w:r>
      <w:r w:rsidRPr="00FA2D67">
        <w:rPr>
          <w:rFonts w:ascii="Arial" w:hAnsi="Arial" w:cs="Arial"/>
          <w:sz w:val="18"/>
          <w:szCs w:val="18"/>
          <w:lang w:val="es-AR"/>
        </w:rPr>
        <w:t xml:space="preserve"> y tipos de cambio vigentes; porcentajes de regalías y leyes impositivas aplicables; futuros índices de producción de pozos y volúmenes de reservas; fecha de recepción de las aprobaciones regulatorias pertinentes; </w:t>
      </w:r>
      <w:r w:rsidR="00B11172">
        <w:rPr>
          <w:rFonts w:ascii="Arial" w:hAnsi="Arial" w:cs="Arial"/>
          <w:sz w:val="18"/>
          <w:szCs w:val="18"/>
          <w:lang w:val="es-AR"/>
        </w:rPr>
        <w:t xml:space="preserve">el </w:t>
      </w:r>
      <w:r w:rsidRPr="00FA2D67">
        <w:rPr>
          <w:rFonts w:ascii="Arial" w:hAnsi="Arial" w:cs="Arial"/>
          <w:sz w:val="18"/>
          <w:szCs w:val="18"/>
          <w:lang w:val="es-AR"/>
        </w:rPr>
        <w:t xml:space="preserve">desempeño de pozos existentes; el éxito obtenido en la perforación de pozos nuevos; la suficiencia del presupuesto para inversiones en bienes de capital para llevar a cabo las actividades previstas y la disponibilidad y el costo de mano de obra y servicios. Si bien Crown Point considera que las expectativas y los supuestos en los que se basa dicha información sobre hechos futuros son razonables, se recomienda no depositar excesiva confianza en dicha información pues Crown Point no puede asegurar que </w:t>
      </w:r>
      <w:r w:rsidR="00B11172" w:rsidRPr="00FA2D67">
        <w:rPr>
          <w:rFonts w:ascii="Arial" w:hAnsi="Arial" w:cs="Arial"/>
          <w:sz w:val="18"/>
          <w:szCs w:val="18"/>
          <w:lang w:val="es-AR"/>
        </w:rPr>
        <w:t xml:space="preserve">finalmente </w:t>
      </w:r>
      <w:r w:rsidRPr="00FA2D67">
        <w:rPr>
          <w:rFonts w:ascii="Arial" w:hAnsi="Arial" w:cs="Arial"/>
          <w:sz w:val="18"/>
          <w:szCs w:val="18"/>
          <w:lang w:val="es-AR"/>
        </w:rPr>
        <w:t xml:space="preserve">será correcta. Atento a que la información sobre hechos futuros se refiere a acontecimientos y condiciones futuras, por su propia naturaleza, dicha información conlleva riesgos e incertidumbres intrínsecas. Los resultados reales pueden diferir significativamente de los previstos actualmente debido a numerosos factores y riesgos.  Dichos riesgos incluyen, sin limitación: riesgos asociados a la exploración, el desarrollo, la explotación, la producción, la comercialización y el transporte de petróleo y gas, pérdida de mercados, volatilidad en los precios de los </w:t>
      </w:r>
      <w:r w:rsidRPr="00FA2D67">
        <w:rPr>
          <w:rFonts w:ascii="Arial" w:hAnsi="Arial" w:cs="Arial"/>
          <w:i/>
          <w:iCs/>
          <w:sz w:val="18"/>
          <w:szCs w:val="18"/>
          <w:lang w:val="es-AR"/>
        </w:rPr>
        <w:t>commodities</w:t>
      </w:r>
      <w:r w:rsidRPr="00FA2D67">
        <w:rPr>
          <w:rFonts w:ascii="Arial" w:hAnsi="Arial" w:cs="Arial"/>
          <w:sz w:val="18"/>
          <w:szCs w:val="18"/>
          <w:lang w:val="es-AR"/>
        </w:rPr>
        <w:t xml:space="preserve">, riesgos ambientales, imposibilidad para obtener plataformas de perforación u otros servicios, costos de inversiones en bienes de capital, incluidos costos de perforación, terminación y terminales, índices de agotamiento de pozos inesperados, pozos cuyo desempeño no es acorde a las expectativas, demoras ocasionadas por conflictos laborales, demoras originadas por el hecho de que la Compañía no pueda obtener la aprobaciones regulatorias necesarias y la posibilidad de acceder a capital suficiente a través de fuentes internas y externas, el impacto de la coyuntura económica general en Canadá, Argentina, Estados Unidos y otros países, las condiciones de la industria, cambios en la normativa aplicable (incluida la adopción de nuevas leyes y reglamentaciones ambientales) y cambios en su respectiva interpretación y aplicación, mayor competencia, falta de disponibilidad de personal calificado o gerencial, fluctuaciones en los tipos de cambio, tasas de interés y de inflación, volatilidad en el mercado bursátil y valuaciones de mercado de empresas en razón del anuncio de transacciones y sus valuaciones finales. También existen riesgos inherentes a la naturaleza de la Adquisición propuesta, incluida la imposibilidad de concretar oportunidades y beneficios previstos; riesgos asociados a la integración de los Activos Adquiridos a Crown Point; determinación incorrecta por parte de Crown Point del valor de los Activos Adquiridos; imposibilidad de obtener las aprobaciones requeridas de organismos regulatorios y otros terceros; imposibilidad de obtener el financiamiento mediante deuda y/o de otra índole necesario para fondear el precio de compra de la Adquisición; la posibilidad de que uno o varios socios de Crown Point ejerzan sus derechos preferentes de compra; y la posibilidad de que el Contrato se modifique o rescinda. Se advierte al lector que la lista precedente de factores no es taxativa.  </w:t>
      </w:r>
    </w:p>
    <w:p w14:paraId="204B3736" w14:textId="77777777" w:rsidR="005D0054" w:rsidRPr="00FA2D67" w:rsidRDefault="005D0054" w:rsidP="004B7D7A">
      <w:pPr>
        <w:autoSpaceDE w:val="0"/>
        <w:autoSpaceDN w:val="0"/>
        <w:adjustRightInd w:val="0"/>
        <w:jc w:val="both"/>
        <w:rPr>
          <w:rFonts w:ascii="Arial" w:hAnsi="Arial" w:cs="Arial"/>
          <w:sz w:val="18"/>
          <w:szCs w:val="18"/>
          <w:lang w:val="es-AR"/>
        </w:rPr>
      </w:pPr>
    </w:p>
    <w:p w14:paraId="0091CB91" w14:textId="7AE4E63E" w:rsidR="005D0054" w:rsidRPr="00FA2D67" w:rsidRDefault="005D0054" w:rsidP="004B7D7A">
      <w:pPr>
        <w:autoSpaceDE w:val="0"/>
        <w:autoSpaceDN w:val="0"/>
        <w:adjustRightInd w:val="0"/>
        <w:jc w:val="both"/>
        <w:rPr>
          <w:rFonts w:ascii="Arial" w:hAnsi="Arial" w:cs="Arial"/>
          <w:sz w:val="18"/>
          <w:szCs w:val="18"/>
          <w:lang w:val="es-AR"/>
        </w:rPr>
      </w:pPr>
      <w:r w:rsidRPr="00FA2D67">
        <w:rPr>
          <w:rFonts w:ascii="Arial" w:hAnsi="Arial" w:cs="Arial"/>
          <w:sz w:val="18"/>
          <w:szCs w:val="18"/>
          <w:lang w:val="es-AR"/>
        </w:rPr>
        <w:t>Este comunicado de prensa también contiene información sobre hechos futuros relacionada con la consumación prevista de la Adquisición y la fecha en la que se espera concretar. Crown Point ha proporcionado esta información en base a ciertos supuestos que considera razonable</w:t>
      </w:r>
      <w:r w:rsidR="007C02EE">
        <w:rPr>
          <w:rFonts w:ascii="Arial" w:hAnsi="Arial" w:cs="Arial"/>
          <w:sz w:val="18"/>
          <w:szCs w:val="18"/>
          <w:lang w:val="es-AR"/>
        </w:rPr>
        <w:t>s</w:t>
      </w:r>
      <w:r w:rsidRPr="00FA2D67">
        <w:rPr>
          <w:rFonts w:ascii="Arial" w:hAnsi="Arial" w:cs="Arial"/>
          <w:sz w:val="18"/>
          <w:szCs w:val="18"/>
          <w:lang w:val="es-AR"/>
        </w:rPr>
        <w:t xml:space="preserve">, incluidos supuestos sobre el momento en el que recibirá las aprobaciones regulatorias, bursátiles y de otra índole necesarias y el cumplimiento de las condiciones para el cierre de la Adquisición y el tiempo necesario para hacerlo. Estas fechas pueden variar por diversas razones, </w:t>
      </w:r>
      <w:r w:rsidR="007C02EE">
        <w:rPr>
          <w:rFonts w:ascii="Arial" w:hAnsi="Arial" w:cs="Arial"/>
          <w:sz w:val="18"/>
          <w:szCs w:val="18"/>
          <w:lang w:val="es-AR"/>
        </w:rPr>
        <w:t>incluso por</w:t>
      </w:r>
      <w:r w:rsidRPr="00FA2D67">
        <w:rPr>
          <w:rFonts w:ascii="Arial" w:hAnsi="Arial" w:cs="Arial"/>
          <w:sz w:val="18"/>
          <w:szCs w:val="18"/>
          <w:lang w:val="es-AR"/>
        </w:rPr>
        <w:t xml:space="preserve"> la imposibilidad de obtener las aprobaciones regulatorias, bursátiles y de otra índole en el tiempo previsto, el ejercicio por parte de uno o varios socios de Crown Point de sus derechos preferentes de compra, o la necesidad de disponer de más tiempo para cumplir las condiciones para concretar la Adquisición.  Asimismo, no se puede asegurar que la Adquisición se irá a concretar o, si así fuera, que se consumará en los términos estipulados en el presente. Por consiguiente, se recomienda al lector no depositar excesiva confianza en la información sobre hechos futuros contenida en este comunicado de prensa sobre la Adquisición. </w:t>
      </w:r>
    </w:p>
    <w:p w14:paraId="743B2EF2" w14:textId="77777777" w:rsidR="005D0054" w:rsidRPr="00FA2D67" w:rsidRDefault="005D0054" w:rsidP="004B7D7A">
      <w:pPr>
        <w:autoSpaceDE w:val="0"/>
        <w:autoSpaceDN w:val="0"/>
        <w:adjustRightInd w:val="0"/>
        <w:jc w:val="both"/>
        <w:rPr>
          <w:rFonts w:ascii="Arial" w:hAnsi="Arial" w:cs="Arial"/>
          <w:sz w:val="18"/>
          <w:szCs w:val="18"/>
          <w:lang w:val="es-AR"/>
        </w:rPr>
      </w:pPr>
    </w:p>
    <w:p w14:paraId="1D84FFBD" w14:textId="72311BA2" w:rsidR="005D0054" w:rsidRPr="00FA2D67" w:rsidRDefault="005D0054" w:rsidP="004B7D7A">
      <w:pPr>
        <w:autoSpaceDE w:val="0"/>
        <w:autoSpaceDN w:val="0"/>
        <w:adjustRightInd w:val="0"/>
        <w:jc w:val="both"/>
        <w:rPr>
          <w:rFonts w:ascii="Arial" w:hAnsi="Arial" w:cs="Arial"/>
          <w:sz w:val="18"/>
          <w:szCs w:val="18"/>
          <w:lang w:val="es-AR"/>
        </w:rPr>
      </w:pPr>
      <w:r w:rsidRPr="00FA2D67">
        <w:rPr>
          <w:rFonts w:ascii="Arial" w:hAnsi="Arial" w:cs="Arial"/>
          <w:sz w:val="18"/>
          <w:szCs w:val="18"/>
          <w:lang w:val="es-AR"/>
        </w:rPr>
        <w:t>Los resultados, el desempeño o los logros reales de Crown Point pueden diferir significativamente de los indicados, expresa o implícitamente, en estas declaraciones sobre hechos futuros; por consiguiente, no se puede asegurar que los acontecimientos anticipados en tales declaraciones irán a suceder u ocurrir o, si así fuera, qué beneficios traerán aparejados para la Compañía.  Se puede consultar información adicional sobre estos y otros factores que podrían afectar las operaciones y los resultados financieros de Crown Point en informes presentados antes las autoridades regulatorias de títulos valores de Canadá, disponibles a través del sitio web de SEDAR+ (</w:t>
      </w:r>
      <w:hyperlink r:id="rId16" w:history="1">
        <w:r w:rsidRPr="00FA2D67">
          <w:rPr>
            <w:rStyle w:val="Hipervnculo"/>
            <w:rFonts w:ascii="Arial" w:hAnsi="Arial" w:cs="Arial"/>
            <w:sz w:val="18"/>
            <w:szCs w:val="18"/>
            <w:lang w:val="es-AR"/>
          </w:rPr>
          <w:t>www.sedarplus.ca</w:t>
        </w:r>
      </w:hyperlink>
      <w:r w:rsidRPr="00FA2D67">
        <w:rPr>
          <w:rFonts w:ascii="Arial" w:hAnsi="Arial" w:cs="Arial"/>
          <w:sz w:val="18"/>
          <w:szCs w:val="18"/>
          <w:lang w:val="es-AR"/>
        </w:rPr>
        <w:t>) o del sitio web de Crown Point (</w:t>
      </w:r>
      <w:hyperlink r:id="rId17" w:history="1">
        <w:r w:rsidRPr="00FA2D67">
          <w:rPr>
            <w:rStyle w:val="Hipervnculo"/>
            <w:rFonts w:ascii="Arial" w:hAnsi="Arial" w:cs="Arial"/>
            <w:sz w:val="18"/>
            <w:szCs w:val="18"/>
            <w:lang w:val="es-AR"/>
          </w:rPr>
          <w:t>www.crownpointenergy.c</w:t>
        </w:r>
      </w:hyperlink>
      <w:r w:rsidRPr="00FA2D67">
        <w:rPr>
          <w:rFonts w:ascii="Arial" w:hAnsi="Arial" w:cs="Arial"/>
          <w:sz w:val="18"/>
          <w:szCs w:val="18"/>
          <w:lang w:val="es-AR"/>
        </w:rPr>
        <w:t>om).  Las declaraciones sobre hechos futuros contenidas en este comunicado de prensa se realizan a la fecha de su publicación y Crown Point no asume ninguna obligación de actualizar públicamente o revisar cualquiera de las declaraciones sobre hechos futuros incluidas, ya sea como resultado de información nueva, hechos futuros o de otra forma, salvo en la medida de lo requerido por las leyes aplicables en materia de títulos valores.</w:t>
      </w:r>
    </w:p>
    <w:p w14:paraId="1253C46A" w14:textId="77777777" w:rsidR="005D0054" w:rsidRPr="00FA2D67" w:rsidRDefault="005D0054" w:rsidP="004B7D7A">
      <w:pPr>
        <w:autoSpaceDE w:val="0"/>
        <w:autoSpaceDN w:val="0"/>
        <w:adjustRightInd w:val="0"/>
        <w:jc w:val="both"/>
        <w:rPr>
          <w:rFonts w:ascii="Arial" w:hAnsi="Arial" w:cs="Arial"/>
          <w:sz w:val="18"/>
          <w:szCs w:val="18"/>
          <w:lang w:val="es-AR"/>
        </w:rPr>
      </w:pPr>
    </w:p>
    <w:p w14:paraId="32A2C650" w14:textId="77777777" w:rsidR="004B7D7A" w:rsidRPr="00FA2D67" w:rsidRDefault="004B7D7A" w:rsidP="004B7D7A">
      <w:pPr>
        <w:jc w:val="both"/>
        <w:rPr>
          <w:rFonts w:ascii="Arial" w:hAnsi="Arial" w:cs="Arial"/>
          <w:sz w:val="18"/>
          <w:szCs w:val="18"/>
          <w:u w:val="single"/>
          <w:lang w:val="es-AR"/>
        </w:rPr>
      </w:pPr>
      <w:r w:rsidRPr="00FA2D67">
        <w:rPr>
          <w:rFonts w:ascii="Arial" w:hAnsi="Arial" w:cs="Arial"/>
          <w:sz w:val="18"/>
          <w:szCs w:val="18"/>
          <w:u w:val="single"/>
          <w:lang w:val="es-AR"/>
        </w:rPr>
        <w:t>Información sobre reservas</w:t>
      </w:r>
    </w:p>
    <w:p w14:paraId="299EC08F" w14:textId="22FB6DF4" w:rsidR="008C21A6" w:rsidRPr="00FA2D67" w:rsidRDefault="007C02EE" w:rsidP="008C21A6">
      <w:pPr>
        <w:pStyle w:val="yiv2012610974msonormal"/>
        <w:spacing w:before="0" w:beforeAutospacing="0" w:after="0" w:afterAutospacing="0"/>
        <w:jc w:val="both"/>
        <w:rPr>
          <w:rFonts w:ascii="Arial" w:hAnsi="Arial" w:cs="Arial"/>
          <w:sz w:val="18"/>
          <w:szCs w:val="18"/>
          <w:lang w:val="es-AR"/>
        </w:rPr>
      </w:pPr>
      <w:r>
        <w:rPr>
          <w:rFonts w:ascii="Arial" w:hAnsi="Arial" w:cs="Arial"/>
          <w:sz w:val="18"/>
          <w:szCs w:val="18"/>
          <w:lang w:val="es-AR"/>
        </w:rPr>
        <w:t>“</w:t>
      </w:r>
      <w:r w:rsidR="004B7D7A" w:rsidRPr="00FA2D67">
        <w:rPr>
          <w:rFonts w:ascii="Arial" w:hAnsi="Arial" w:cs="Arial"/>
          <w:sz w:val="18"/>
          <w:szCs w:val="18"/>
          <w:lang w:val="es-AR"/>
        </w:rPr>
        <w:t>Reservas probadas</w:t>
      </w:r>
      <w:r>
        <w:rPr>
          <w:rFonts w:ascii="Arial" w:hAnsi="Arial" w:cs="Arial"/>
          <w:sz w:val="18"/>
          <w:szCs w:val="18"/>
          <w:lang w:val="es-AR"/>
        </w:rPr>
        <w:t>”</w:t>
      </w:r>
      <w:r w:rsidR="004B7D7A" w:rsidRPr="00FA2D67">
        <w:rPr>
          <w:rFonts w:ascii="Arial" w:hAnsi="Arial" w:cs="Arial"/>
          <w:sz w:val="18"/>
          <w:szCs w:val="18"/>
          <w:lang w:val="es-AR"/>
        </w:rPr>
        <w:t xml:space="preserve"> son aquellas que pueden estimarse como recuperables con un alto grado de certeza. Es probable que las cantidades restantes efectivamente recuperadas superen las reservas probadas estimadas. </w:t>
      </w:r>
      <w:r>
        <w:rPr>
          <w:rFonts w:ascii="Arial" w:hAnsi="Arial" w:cs="Arial"/>
          <w:sz w:val="18"/>
          <w:szCs w:val="18"/>
          <w:lang w:val="es-AR"/>
        </w:rPr>
        <w:t>“</w:t>
      </w:r>
      <w:r w:rsidR="004B7D7A" w:rsidRPr="00FA2D67">
        <w:rPr>
          <w:rFonts w:ascii="Arial" w:hAnsi="Arial" w:cs="Arial"/>
          <w:sz w:val="18"/>
          <w:szCs w:val="18"/>
          <w:lang w:val="es-AR"/>
        </w:rPr>
        <w:t>Reservas probables</w:t>
      </w:r>
      <w:r>
        <w:rPr>
          <w:rFonts w:ascii="Arial" w:hAnsi="Arial" w:cs="Arial"/>
          <w:sz w:val="18"/>
          <w:szCs w:val="18"/>
          <w:lang w:val="es-AR"/>
        </w:rPr>
        <w:t>”</w:t>
      </w:r>
      <w:r w:rsidR="004B7D7A" w:rsidRPr="00FA2D67">
        <w:rPr>
          <w:rFonts w:ascii="Arial" w:hAnsi="Arial" w:cs="Arial"/>
          <w:sz w:val="18"/>
          <w:szCs w:val="18"/>
          <w:lang w:val="es-AR"/>
        </w:rPr>
        <w:t xml:space="preserve"> son reservas adicionales con menor certeza de recuperación que las reservas probadas.  Es igualmente probable que las cantidades restantes efectivamente recuperadas sean mayores o menores a la suma de las reservas probables más las reservas probadas estimadas.  </w:t>
      </w:r>
    </w:p>
    <w:p w14:paraId="4A4DEB17" w14:textId="77777777" w:rsidR="004B7D7A" w:rsidRPr="00FA2D67" w:rsidRDefault="004B7D7A" w:rsidP="004B7D7A">
      <w:pPr>
        <w:autoSpaceDE w:val="0"/>
        <w:autoSpaceDN w:val="0"/>
        <w:adjustRightInd w:val="0"/>
        <w:jc w:val="both"/>
        <w:rPr>
          <w:rFonts w:ascii="Arial" w:hAnsi="Arial" w:cs="Arial"/>
          <w:sz w:val="18"/>
          <w:szCs w:val="18"/>
          <w:lang w:val="es-AR"/>
        </w:rPr>
      </w:pPr>
    </w:p>
    <w:p w14:paraId="341B34E3" w14:textId="58F81A7D" w:rsidR="005D0054" w:rsidRPr="00FA2D67" w:rsidRDefault="007C02EE" w:rsidP="00041677">
      <w:pPr>
        <w:autoSpaceDE w:val="0"/>
        <w:autoSpaceDN w:val="0"/>
        <w:adjustRightInd w:val="0"/>
        <w:jc w:val="both"/>
        <w:rPr>
          <w:rFonts w:ascii="Arial" w:hAnsi="Arial" w:cs="Arial"/>
          <w:sz w:val="18"/>
          <w:szCs w:val="18"/>
          <w:lang w:val="es-AR"/>
        </w:rPr>
      </w:pPr>
      <w:r>
        <w:rPr>
          <w:rFonts w:ascii="Arial" w:hAnsi="Arial" w:cs="Arial"/>
          <w:sz w:val="18"/>
          <w:szCs w:val="18"/>
          <w:lang w:val="es-AR"/>
        </w:rPr>
        <w:t>“</w:t>
      </w:r>
      <w:r w:rsidR="00041677" w:rsidRPr="00FA2D67">
        <w:rPr>
          <w:rFonts w:ascii="Arial" w:hAnsi="Arial" w:cs="Arial"/>
          <w:sz w:val="18"/>
          <w:szCs w:val="18"/>
          <w:lang w:val="es-AR"/>
        </w:rPr>
        <w:t>BOE/d</w:t>
      </w:r>
      <w:r>
        <w:rPr>
          <w:rFonts w:ascii="Arial" w:hAnsi="Arial" w:cs="Arial"/>
          <w:sz w:val="18"/>
          <w:szCs w:val="18"/>
          <w:lang w:val="es-AR"/>
        </w:rPr>
        <w:t>”</w:t>
      </w:r>
      <w:r w:rsidR="00041677" w:rsidRPr="00FA2D67">
        <w:rPr>
          <w:rFonts w:ascii="Arial" w:hAnsi="Arial" w:cs="Arial"/>
          <w:sz w:val="18"/>
          <w:szCs w:val="18"/>
          <w:lang w:val="es-AR"/>
        </w:rPr>
        <w:t xml:space="preserve"> significa barriles de equivalente de petróleo por día.  </w:t>
      </w:r>
      <w:r>
        <w:rPr>
          <w:rFonts w:ascii="Arial" w:hAnsi="Arial" w:cs="Arial"/>
          <w:sz w:val="18"/>
          <w:szCs w:val="18"/>
          <w:lang w:val="es-AR"/>
        </w:rPr>
        <w:t>“</w:t>
      </w:r>
      <w:r w:rsidR="00041677" w:rsidRPr="00FA2D67">
        <w:rPr>
          <w:rFonts w:ascii="Arial" w:hAnsi="Arial" w:cs="Arial"/>
          <w:sz w:val="18"/>
          <w:szCs w:val="18"/>
          <w:lang w:val="es-AR"/>
        </w:rPr>
        <w:t>MBOE</w:t>
      </w:r>
      <w:r>
        <w:rPr>
          <w:rFonts w:ascii="Arial" w:hAnsi="Arial" w:cs="Arial"/>
          <w:sz w:val="18"/>
          <w:szCs w:val="18"/>
          <w:lang w:val="es-AR"/>
        </w:rPr>
        <w:t>”</w:t>
      </w:r>
      <w:r w:rsidR="00041677" w:rsidRPr="00FA2D67">
        <w:rPr>
          <w:rFonts w:ascii="Arial" w:hAnsi="Arial" w:cs="Arial"/>
          <w:sz w:val="18"/>
          <w:szCs w:val="18"/>
          <w:lang w:val="es-AR"/>
        </w:rPr>
        <w:t xml:space="preserve"> significa miles de barriles de equivalente de petróleo.  El término barril equivalente de petróleo (“BOE“) puede ser conducente a error, en especial, si se utiliza en forma aislada.  La conversión de BOE a una razón de seis mil pies cúbicos (Mcf) por barril se basa en un método de conversión de equivalencias de energía fundamentalmente aplicable en la boquilla del quemador y no representa una equivalencia de valores a boca de pozo.  Asimismo, atento a que la razón de valor basada en el precio actual del crudo en Argentina comparado con el precio actual del gas natural en Argentina difiere significativamente de la equivalencia de energía de 6:1, el uso de una conversión a razón de 6:1 puede ser conducente a error como indicación de valor.</w:t>
      </w:r>
    </w:p>
    <w:p w14:paraId="12C8BA4A" w14:textId="77777777" w:rsidR="00257631" w:rsidRPr="00FA2D67" w:rsidRDefault="00193809" w:rsidP="004B7D7A">
      <w:pPr>
        <w:spacing w:before="120"/>
        <w:jc w:val="both"/>
        <w:rPr>
          <w:rFonts w:ascii="Arial" w:hAnsi="Arial" w:cs="Arial"/>
          <w:sz w:val="18"/>
          <w:szCs w:val="18"/>
          <w:lang w:val="es-AR"/>
        </w:rPr>
      </w:pPr>
      <w:r w:rsidRPr="00FA2D67">
        <w:rPr>
          <w:rFonts w:ascii="Arial" w:hAnsi="Arial" w:cs="Arial"/>
          <w:b/>
          <w:bCs/>
          <w:sz w:val="18"/>
          <w:szCs w:val="18"/>
          <w:lang w:val="es-AR"/>
        </w:rPr>
        <w:t>Ni la Bolsa de Valores de Toronto ni su Proveedor de Servicios Regulatorios (conforme ese término se define en las políticas de la Bolsa de Valores de Toronto) asumen responsabilidad alguna por la adecuación o exactitud de este comunicado de prensa.</w:t>
      </w:r>
    </w:p>
    <w:sectPr w:rsidR="00257631" w:rsidRPr="00FA2D67" w:rsidSect="000D0E50">
      <w:headerReference w:type="default" r:id="rId18"/>
      <w:footerReference w:type="default" r:id="rId19"/>
      <w:footerReference w:type="first" r:id="rId20"/>
      <w:pgSz w:w="12240" w:h="15840"/>
      <w:pgMar w:top="1440" w:right="1440" w:bottom="1260" w:left="1440" w:header="36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BC22D" w14:textId="77777777" w:rsidR="00B530F6" w:rsidRDefault="00B530F6" w:rsidP="00451CF4">
      <w:r>
        <w:separator/>
      </w:r>
    </w:p>
  </w:endnote>
  <w:endnote w:type="continuationSeparator" w:id="0">
    <w:p w14:paraId="4E01D385" w14:textId="77777777" w:rsidR="00B530F6" w:rsidRDefault="00B530F6" w:rsidP="0045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D1B59" w14:textId="77777777" w:rsidR="00690935" w:rsidRDefault="00690935" w:rsidP="00690935">
    <w:pPr>
      <w:pStyle w:val="Piedepgina"/>
      <w:jc w:val="center"/>
      <w:rPr>
        <w:rFonts w:ascii="Arial Narrow" w:hAnsi="Arial Narrow"/>
        <w:color w:val="002060"/>
        <w:sz w:val="20"/>
        <w:szCs w:val="20"/>
      </w:rPr>
    </w:pPr>
    <w:r>
      <w:rPr>
        <w:rFonts w:ascii="Arial Narrow" w:hAnsi="Arial Narrow"/>
        <w:color w:val="002060"/>
        <w:sz w:val="20"/>
        <w:szCs w:val="20"/>
        <w:lang w:val="es"/>
      </w:rPr>
      <w:t xml:space="preserve">PO Box 1562 Station M, Calgary, Alberta, Canadá T2P 3B9 </w:t>
    </w:r>
    <w:r>
      <w:rPr>
        <w:rFonts w:ascii="Arial Narrow" w:hAnsi="Arial Narrow"/>
        <w:b/>
        <w:bCs/>
        <w:color w:val="002060"/>
        <w:sz w:val="20"/>
        <w:szCs w:val="20"/>
        <w:lang w:val="es"/>
      </w:rPr>
      <w:t>T</w:t>
    </w:r>
    <w:r>
      <w:rPr>
        <w:rFonts w:ascii="Arial Narrow" w:hAnsi="Arial Narrow"/>
        <w:color w:val="002060"/>
        <w:sz w:val="20"/>
        <w:szCs w:val="20"/>
        <w:lang w:val="es"/>
      </w:rPr>
      <w:t xml:space="preserve"> 403.232.1150</w:t>
    </w:r>
  </w:p>
  <w:p w14:paraId="6A9CBE78" w14:textId="77777777" w:rsidR="00E8633E" w:rsidRDefault="00E5435D" w:rsidP="00690935">
    <w:pPr>
      <w:pStyle w:val="Piedepgina"/>
      <w:jc w:val="center"/>
      <w:rPr>
        <w:rFonts w:ascii="Arial Narrow" w:hAnsi="Arial Narrow"/>
        <w:b/>
        <w:color w:val="002060"/>
        <w:sz w:val="20"/>
        <w:szCs w:val="20"/>
      </w:rPr>
    </w:pPr>
    <w:r>
      <w:rPr>
        <w:rFonts w:ascii="Arial Narrow" w:hAnsi="Arial Narrow"/>
        <w:b/>
        <w:bCs/>
        <w:color w:val="002060"/>
        <w:sz w:val="20"/>
        <w:szCs w:val="20"/>
        <w:lang w:val="es"/>
      </w:rPr>
      <w:t>www.crownpointenergy.com</w:t>
    </w:r>
  </w:p>
  <w:p w14:paraId="5619DE8F" w14:textId="37818647" w:rsidR="00E8633E" w:rsidRDefault="00E8633E">
    <w:pPr>
      <w:pStyle w:val="Piedepgina"/>
    </w:pPr>
    <w:r>
      <w:rPr>
        <w:noProof/>
        <w:lang w:val="es"/>
      </w:rPr>
      <mc:AlternateContent>
        <mc:Choice Requires="wps">
          <w:drawing>
            <wp:anchor distT="0" distB="0" distL="114300" distR="114300" simplePos="0" relativeHeight="251659264" behindDoc="1" locked="0" layoutInCell="1" allowOverlap="1" wp14:anchorId="498ACB1F" wp14:editId="330DE7C7">
              <wp:simplePos x="0" y="0"/>
              <wp:positionH relativeFrom="margin">
                <wp:posOffset>0</wp:posOffset>
              </wp:positionH>
              <wp:positionV relativeFrom="paragraph">
                <wp:posOffset>0</wp:posOffset>
              </wp:positionV>
              <wp:extent cx="2560320" cy="2559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6C9F351B" w14:textId="71A82127" w:rsidR="00E8633E" w:rsidRDefault="00E8633E">
                          <w:pPr>
                            <w:pStyle w:val="MacPacTrailer"/>
                          </w:pPr>
                          <w:r>
                            <w:rPr>
                              <w:lang w:val="es"/>
                            </w:rPr>
                            <w:t>13950588.1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ACB1F" id="_x0000_t202" coordsize="21600,21600" o:spt="202" path="m,l,21600r21600,l21600,xe">
              <v:stroke joinstyle="miter"/>
              <v:path gradientshapeok="t" o:connecttype="rect"/>
            </v:shapetype>
            <v:shape id="Text Box 2"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6C9F351B" w14:textId="71A82127" w:rsidR="00E8633E" w:rsidRDefault="00E8633E">
                    <w:pPr>
                      <w:pStyle w:val="MacPacTrailer"/>
                      <w:bidi w:val="0"/>
                    </w:pPr>
                    <w:r>
                      <w:rPr>
                        <w:lang w:val="es"/>
                        <w:b w:val="0"/>
                        <w:bCs w:val="0"/>
                        <w:i w:val="0"/>
                        <w:iCs w:val="0"/>
                        <w:u w:val="none"/>
                        <w:vertAlign w:val="baseline"/>
                        <w:rtl w:val="0"/>
                      </w:rPr>
                      <w:t xml:space="preserve">13950588.1</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0841C" w14:textId="3A1D5E7C" w:rsidR="00E8633E" w:rsidRDefault="00E8633E">
    <w:pPr>
      <w:pStyle w:val="Piedepgina"/>
    </w:pPr>
    <w:r>
      <w:rPr>
        <w:noProof/>
        <w:lang w:val="es"/>
      </w:rPr>
      <mc:AlternateContent>
        <mc:Choice Requires="wps">
          <w:drawing>
            <wp:anchor distT="0" distB="0" distL="114300" distR="114300" simplePos="0" relativeHeight="251661312" behindDoc="1" locked="0" layoutInCell="1" allowOverlap="1" wp14:anchorId="0FA151A4" wp14:editId="27C13510">
              <wp:simplePos x="0" y="0"/>
              <wp:positionH relativeFrom="margin">
                <wp:posOffset>0</wp:posOffset>
              </wp:positionH>
              <wp:positionV relativeFrom="paragraph">
                <wp:posOffset>0</wp:posOffset>
              </wp:positionV>
              <wp:extent cx="2560320" cy="255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3AC5CC8E" w14:textId="04E387CE" w:rsidR="00E8633E" w:rsidRDefault="00E8633E">
                          <w:pPr>
                            <w:pStyle w:val="MacPacTrailer"/>
                          </w:pPr>
                          <w:r>
                            <w:rPr>
                              <w:lang w:val="es"/>
                            </w:rPr>
                            <w:t>13950588.1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151A4" id="_x0000_t202" coordsize="21600,21600" o:spt="202" path="m,l,21600r21600,l21600,xe">
              <v:stroke joinstyle="miter"/>
              <v:path gradientshapeok="t" o:connecttype="rect"/>
            </v:shapetype>
            <v:shape id="Text Box 1" o:spid="_x0000_s1027"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3AC5CC8E" w14:textId="04E387CE" w:rsidR="00E8633E" w:rsidRDefault="00E8633E">
                    <w:pPr>
                      <w:pStyle w:val="MacPacTrailer"/>
                      <w:bidi w:val="0"/>
                    </w:pPr>
                    <w:r>
                      <w:rPr>
                        <w:lang w:val="es"/>
                        <w:b w:val="0"/>
                        <w:bCs w:val="0"/>
                        <w:i w:val="0"/>
                        <w:iCs w:val="0"/>
                        <w:u w:val="none"/>
                        <w:vertAlign w:val="baseline"/>
                        <w:rtl w:val="0"/>
                      </w:rPr>
                      <w:t xml:space="preserve">13950588.1</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DD9B5" w14:textId="77777777" w:rsidR="00B530F6" w:rsidRDefault="00B530F6" w:rsidP="00451CF4">
      <w:r>
        <w:separator/>
      </w:r>
    </w:p>
  </w:footnote>
  <w:footnote w:type="continuationSeparator" w:id="0">
    <w:p w14:paraId="7BCAC4DF" w14:textId="77777777" w:rsidR="00B530F6" w:rsidRDefault="00B530F6" w:rsidP="0045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0EEA6" w14:textId="14C94354" w:rsidR="00E5435D" w:rsidRDefault="00E8633E" w:rsidP="00451CF4">
    <w:pPr>
      <w:pStyle w:val="Encabezado"/>
      <w:ind w:left="540" w:hanging="540"/>
      <w:jc w:val="right"/>
    </w:pPr>
    <w:r>
      <w:rPr>
        <w:noProof/>
        <w:lang w:val="es"/>
      </w:rPr>
      <w:drawing>
        <wp:inline distT="0" distB="0" distL="0" distR="0" wp14:anchorId="5BCF3E5D" wp14:editId="44B5FD75">
          <wp:extent cx="1692910" cy="1045845"/>
          <wp:effectExtent l="0" t="0" r="0" b="0"/>
          <wp:docPr id="1" name="Picture 0" descr="CWV_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WV_new logo.jpg"/>
                  <pic:cNvPicPr>
                    <a:picLocks noChangeAspect="1" noChangeArrowheads="1"/>
                  </pic:cNvPicPr>
                </pic:nvPicPr>
                <pic:blipFill>
                  <a:blip r:embed="rId1">
                    <a:extLst>
                      <a:ext uri="{28A0092B-C50C-407E-A947-70E740481C1C}">
                        <a14:useLocalDpi xmlns:a14="http://schemas.microsoft.com/office/drawing/2010/main" val="0"/>
                      </a:ext>
                    </a:extLst>
                  </a:blip>
                  <a:srcRect t="6818"/>
                  <a:stretch>
                    <a:fillRect/>
                  </a:stretch>
                </pic:blipFill>
                <pic:spPr bwMode="auto">
                  <a:xfrm>
                    <a:off x="0" y="0"/>
                    <a:ext cx="1692910" cy="1045845"/>
                  </a:xfrm>
                  <a:prstGeom prst="rect">
                    <a:avLst/>
                  </a:prstGeom>
                  <a:noFill/>
                  <a:ln>
                    <a:noFill/>
                  </a:ln>
                </pic:spPr>
              </pic:pic>
            </a:graphicData>
          </a:graphic>
        </wp:inline>
      </w:drawing>
    </w:r>
  </w:p>
  <w:p w14:paraId="77F03AA1" w14:textId="77777777" w:rsidR="00E5435D" w:rsidRDefault="00E5435D" w:rsidP="00451CF4">
    <w:pPr>
      <w:pStyle w:val="Encabezado"/>
      <w:ind w:left="540" w:hanging="5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7914"/>
    <w:multiLevelType w:val="hybridMultilevel"/>
    <w:tmpl w:val="87764B36"/>
    <w:lvl w:ilvl="0" w:tplc="E16C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777EE"/>
    <w:multiLevelType w:val="hybridMultilevel"/>
    <w:tmpl w:val="73F857A0"/>
    <w:lvl w:ilvl="0" w:tplc="F7B46A66">
      <w:start w:val="1"/>
      <w:numFmt w:val="bullet"/>
      <w:lvlText w:val="-"/>
      <w:lvlJc w:val="left"/>
      <w:pPr>
        <w:ind w:left="821" w:hanging="173"/>
      </w:pPr>
      <w:rPr>
        <w:rFonts w:ascii="Arial" w:eastAsia="Arial" w:hAnsi="Arial" w:hint="default"/>
        <w:sz w:val="22"/>
        <w:szCs w:val="22"/>
      </w:rPr>
    </w:lvl>
    <w:lvl w:ilvl="1" w:tplc="3C2A76D0">
      <w:start w:val="1"/>
      <w:numFmt w:val="bullet"/>
      <w:lvlText w:val="•"/>
      <w:lvlJc w:val="left"/>
      <w:pPr>
        <w:ind w:left="1624" w:hanging="173"/>
      </w:pPr>
      <w:rPr>
        <w:rFonts w:hint="default"/>
      </w:rPr>
    </w:lvl>
    <w:lvl w:ilvl="2" w:tplc="8B6E8974">
      <w:start w:val="1"/>
      <w:numFmt w:val="bullet"/>
      <w:lvlText w:val="•"/>
      <w:lvlJc w:val="left"/>
      <w:pPr>
        <w:ind w:left="2428" w:hanging="173"/>
      </w:pPr>
      <w:rPr>
        <w:rFonts w:hint="default"/>
      </w:rPr>
    </w:lvl>
    <w:lvl w:ilvl="3" w:tplc="CA50FE80">
      <w:start w:val="1"/>
      <w:numFmt w:val="bullet"/>
      <w:lvlText w:val="•"/>
      <w:lvlJc w:val="left"/>
      <w:pPr>
        <w:ind w:left="3232" w:hanging="173"/>
      </w:pPr>
      <w:rPr>
        <w:rFonts w:hint="default"/>
      </w:rPr>
    </w:lvl>
    <w:lvl w:ilvl="4" w:tplc="3A425ED0">
      <w:start w:val="1"/>
      <w:numFmt w:val="bullet"/>
      <w:lvlText w:val="•"/>
      <w:lvlJc w:val="left"/>
      <w:pPr>
        <w:ind w:left="4036" w:hanging="173"/>
      </w:pPr>
      <w:rPr>
        <w:rFonts w:hint="default"/>
      </w:rPr>
    </w:lvl>
    <w:lvl w:ilvl="5" w:tplc="CA662DB8">
      <w:start w:val="1"/>
      <w:numFmt w:val="bullet"/>
      <w:lvlText w:val="•"/>
      <w:lvlJc w:val="left"/>
      <w:pPr>
        <w:ind w:left="4840" w:hanging="173"/>
      </w:pPr>
      <w:rPr>
        <w:rFonts w:hint="default"/>
      </w:rPr>
    </w:lvl>
    <w:lvl w:ilvl="6" w:tplc="4D2C1E42">
      <w:start w:val="1"/>
      <w:numFmt w:val="bullet"/>
      <w:lvlText w:val="•"/>
      <w:lvlJc w:val="left"/>
      <w:pPr>
        <w:ind w:left="5644" w:hanging="173"/>
      </w:pPr>
      <w:rPr>
        <w:rFonts w:hint="default"/>
      </w:rPr>
    </w:lvl>
    <w:lvl w:ilvl="7" w:tplc="2DB4CFE4">
      <w:start w:val="1"/>
      <w:numFmt w:val="bullet"/>
      <w:lvlText w:val="•"/>
      <w:lvlJc w:val="left"/>
      <w:pPr>
        <w:ind w:left="6448" w:hanging="173"/>
      </w:pPr>
      <w:rPr>
        <w:rFonts w:hint="default"/>
      </w:rPr>
    </w:lvl>
    <w:lvl w:ilvl="8" w:tplc="D2C2E54A">
      <w:start w:val="1"/>
      <w:numFmt w:val="bullet"/>
      <w:lvlText w:val="•"/>
      <w:lvlJc w:val="left"/>
      <w:pPr>
        <w:ind w:left="7252" w:hanging="173"/>
      </w:pPr>
      <w:rPr>
        <w:rFonts w:hint="default"/>
      </w:rPr>
    </w:lvl>
  </w:abstractNum>
  <w:abstractNum w:abstractNumId="2" w15:restartNumberingAfterBreak="0">
    <w:nsid w:val="075E5863"/>
    <w:multiLevelType w:val="hybridMultilevel"/>
    <w:tmpl w:val="11B0C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BE5D24"/>
    <w:multiLevelType w:val="hybridMultilevel"/>
    <w:tmpl w:val="7E7E1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2B3237"/>
    <w:multiLevelType w:val="multilevel"/>
    <w:tmpl w:val="E2B49FE0"/>
    <w:name w:val="zzmpSecurity||Security|2|3|0|0|0|41||0|0|33||0|0|35||0|0|34||1|0|32||1|0|32||1|0|32||0|0|32||1|0|34||"/>
    <w:lvl w:ilvl="0">
      <w:start w:val="1"/>
      <w:numFmt w:val="none"/>
      <w:lvlRestart w:val="0"/>
      <w:pStyle w:val="SecurityL1"/>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1">
      <w:start w:val="1"/>
      <w:numFmt w:val="none"/>
      <w:lvlRestart w:val="0"/>
      <w:pStyle w:val="SecurityL2"/>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2">
      <w:start w:val="1"/>
      <w:numFmt w:val="none"/>
      <w:lvlRestart w:val="0"/>
      <w:pStyle w:val="SecurityL3"/>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3">
      <w:start w:val="1"/>
      <w:numFmt w:val="none"/>
      <w:lvlRestart w:val="0"/>
      <w:pStyle w:val="SecurityL4"/>
      <w:suff w:val="nothing"/>
      <w:lvlText w:val=""/>
      <w:lvlJc w:val="left"/>
      <w:pPr>
        <w:tabs>
          <w:tab w:val="num" w:pos="1440"/>
        </w:tabs>
        <w:ind w:left="720" w:firstLine="0"/>
      </w:pPr>
      <w:rPr>
        <w:rFonts w:ascii="Times New Roman" w:hAnsi="Times New Roman" w:cs="Times New Roman"/>
        <w:b w:val="0"/>
        <w:i w:val="0"/>
        <w:caps w:val="0"/>
        <w:color w:val="auto"/>
        <w:sz w:val="22"/>
        <w:u w:val="none"/>
      </w:rPr>
    </w:lvl>
    <w:lvl w:ilvl="4">
      <w:start w:val="1"/>
      <w:numFmt w:val="decimal"/>
      <w:pStyle w:val="SecurityL5"/>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pStyle w:val="SecurityL6"/>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pStyle w:val="SecurityL7"/>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pStyle w:val="SecurityL8"/>
      <w:suff w:val="nothing"/>
      <w:lvlText w:val=""/>
      <w:lvlJc w:val="left"/>
      <w:pPr>
        <w:tabs>
          <w:tab w:val="num" w:pos="720"/>
        </w:tabs>
        <w:ind w:left="0" w:firstLine="0"/>
      </w:pPr>
      <w:rPr>
        <w:rFonts w:ascii="Times New Roman" w:hAnsi="Times New Roman" w:cs="Times New Roman"/>
        <w:b w:val="0"/>
        <w:i w:val="0"/>
        <w:caps w:val="0"/>
        <w:color w:val="auto"/>
        <w:sz w:val="18"/>
        <w:u w:val="none"/>
      </w:rPr>
    </w:lvl>
    <w:lvl w:ilvl="8">
      <w:start w:val="1"/>
      <w:numFmt w:val="decimal"/>
      <w:pStyle w:val="SecurityL9"/>
      <w:lvlText w:val="(%9)"/>
      <w:lvlJc w:val="left"/>
      <w:pPr>
        <w:tabs>
          <w:tab w:val="num" w:pos="720"/>
        </w:tabs>
        <w:ind w:left="720" w:hanging="720"/>
      </w:pPr>
      <w:rPr>
        <w:rFonts w:ascii="Times New Roman" w:hAnsi="Times New Roman" w:cs="Times New Roman"/>
        <w:b w:val="0"/>
        <w:i/>
        <w:caps w:val="0"/>
        <w:color w:val="auto"/>
        <w:sz w:val="18"/>
        <w:u w:val="none"/>
      </w:rPr>
    </w:lvl>
  </w:abstractNum>
  <w:abstractNum w:abstractNumId="5" w15:restartNumberingAfterBreak="0">
    <w:nsid w:val="12B556C4"/>
    <w:multiLevelType w:val="hybridMultilevel"/>
    <w:tmpl w:val="B09863D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6" w15:restartNumberingAfterBreak="0">
    <w:nsid w:val="14577A96"/>
    <w:multiLevelType w:val="hybridMultilevel"/>
    <w:tmpl w:val="8D3A53C0"/>
    <w:lvl w:ilvl="0" w:tplc="10090001">
      <w:start w:val="1"/>
      <w:numFmt w:val="bullet"/>
      <w:lvlText w:val=""/>
      <w:lvlJc w:val="left"/>
      <w:pPr>
        <w:ind w:left="720" w:hanging="360"/>
      </w:pPr>
      <w:rPr>
        <w:rFonts w:ascii="Symbol" w:hAnsi="Symbol" w:hint="default"/>
      </w:rPr>
    </w:lvl>
    <w:lvl w:ilvl="1" w:tplc="5F8258F0">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A46E63"/>
    <w:multiLevelType w:val="hybridMultilevel"/>
    <w:tmpl w:val="10BA31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B902948"/>
    <w:multiLevelType w:val="hybridMultilevel"/>
    <w:tmpl w:val="CD7C8C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D617EC"/>
    <w:multiLevelType w:val="hybridMultilevel"/>
    <w:tmpl w:val="EC2E311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0C2E0E"/>
    <w:multiLevelType w:val="hybridMultilevel"/>
    <w:tmpl w:val="1C4E372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D4B04C5"/>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5E0A99"/>
    <w:multiLevelType w:val="hybridMultilevel"/>
    <w:tmpl w:val="76AE7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E10E4"/>
    <w:multiLevelType w:val="hybridMultilevel"/>
    <w:tmpl w:val="680288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0980EAD"/>
    <w:multiLevelType w:val="hybridMultilevel"/>
    <w:tmpl w:val="84C04322"/>
    <w:lvl w:ilvl="0" w:tplc="5F8258F0">
      <w:numFmt w:val="bullet"/>
      <w:lvlText w:val="-"/>
      <w:lvlJc w:val="left"/>
      <w:pPr>
        <w:ind w:left="1004" w:hanging="360"/>
      </w:pPr>
      <w:rPr>
        <w:rFonts w:ascii="Arial" w:eastAsia="Times New Roman" w:hAnsi="Arial" w:cs="Aria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5" w15:restartNumberingAfterBreak="0">
    <w:nsid w:val="23510409"/>
    <w:multiLevelType w:val="hybridMultilevel"/>
    <w:tmpl w:val="0BD099FA"/>
    <w:lvl w:ilvl="0" w:tplc="10090005">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6" w15:restartNumberingAfterBreak="0">
    <w:nsid w:val="2EE7170B"/>
    <w:multiLevelType w:val="hybridMultilevel"/>
    <w:tmpl w:val="533E0CAA"/>
    <w:lvl w:ilvl="0" w:tplc="7BF62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71138"/>
    <w:multiLevelType w:val="hybridMultilevel"/>
    <w:tmpl w:val="7EF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77F0F"/>
    <w:multiLevelType w:val="hybridMultilevel"/>
    <w:tmpl w:val="8F368B92"/>
    <w:lvl w:ilvl="0" w:tplc="10090003">
      <w:start w:val="1"/>
      <w:numFmt w:val="bullet"/>
      <w:lvlText w:val="o"/>
      <w:lvlJc w:val="left"/>
      <w:pPr>
        <w:ind w:left="1004" w:hanging="360"/>
      </w:pPr>
      <w:rPr>
        <w:rFonts w:ascii="Courier New" w:hAnsi="Courier New" w:cs="Courier New"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9" w15:restartNumberingAfterBreak="0">
    <w:nsid w:val="43060989"/>
    <w:multiLevelType w:val="hybridMultilevel"/>
    <w:tmpl w:val="E890588E"/>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15:restartNumberingAfterBreak="0">
    <w:nsid w:val="45CF493B"/>
    <w:multiLevelType w:val="hybridMultilevel"/>
    <w:tmpl w:val="4E3CE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A0421F"/>
    <w:multiLevelType w:val="hybridMultilevel"/>
    <w:tmpl w:val="B7F49D6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5A0A38"/>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FC6DD3"/>
    <w:multiLevelType w:val="hybridMultilevel"/>
    <w:tmpl w:val="F4E0B88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624EAB"/>
    <w:multiLevelType w:val="hybridMultilevel"/>
    <w:tmpl w:val="545A7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AD6472"/>
    <w:multiLevelType w:val="hybridMultilevel"/>
    <w:tmpl w:val="4FC6D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7C6162F"/>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9E7C79"/>
    <w:multiLevelType w:val="hybridMultilevel"/>
    <w:tmpl w:val="257A3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81771C"/>
    <w:multiLevelType w:val="hybridMultilevel"/>
    <w:tmpl w:val="5F443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3A87E83"/>
    <w:multiLevelType w:val="hybridMultilevel"/>
    <w:tmpl w:val="70EA4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7EA5528"/>
    <w:multiLevelType w:val="hybridMultilevel"/>
    <w:tmpl w:val="D5E2E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BB9618F"/>
    <w:multiLevelType w:val="hybridMultilevel"/>
    <w:tmpl w:val="00528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C4733F0"/>
    <w:multiLevelType w:val="hybridMultilevel"/>
    <w:tmpl w:val="9C722D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EAD222E"/>
    <w:multiLevelType w:val="hybridMultilevel"/>
    <w:tmpl w:val="148CA5C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39E44B9"/>
    <w:multiLevelType w:val="hybridMultilevel"/>
    <w:tmpl w:val="3D4011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B819FB"/>
    <w:multiLevelType w:val="hybridMultilevel"/>
    <w:tmpl w:val="BB3A1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5025C1"/>
    <w:multiLevelType w:val="hybridMultilevel"/>
    <w:tmpl w:val="4F143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B4464E"/>
    <w:multiLevelType w:val="hybridMultilevel"/>
    <w:tmpl w:val="9EE2C10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F2D22EE"/>
    <w:multiLevelType w:val="hybridMultilevel"/>
    <w:tmpl w:val="8D80E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104569750">
    <w:abstractNumId w:val="26"/>
  </w:num>
  <w:num w:numId="2" w16cid:durableId="1436560623">
    <w:abstractNumId w:val="31"/>
  </w:num>
  <w:num w:numId="3" w16cid:durableId="1014964278">
    <w:abstractNumId w:val="13"/>
  </w:num>
  <w:num w:numId="4" w16cid:durableId="1801223445">
    <w:abstractNumId w:val="6"/>
  </w:num>
  <w:num w:numId="5" w16cid:durableId="1365862640">
    <w:abstractNumId w:val="23"/>
  </w:num>
  <w:num w:numId="6" w16cid:durableId="1772234868">
    <w:abstractNumId w:val="36"/>
  </w:num>
  <w:num w:numId="7" w16cid:durableId="2063167202">
    <w:abstractNumId w:val="4"/>
  </w:num>
  <w:num w:numId="8" w16cid:durableId="1773235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1309816">
    <w:abstractNumId w:val="19"/>
  </w:num>
  <w:num w:numId="10" w16cid:durableId="1524006881">
    <w:abstractNumId w:val="2"/>
  </w:num>
  <w:num w:numId="11" w16cid:durableId="276065749">
    <w:abstractNumId w:val="32"/>
  </w:num>
  <w:num w:numId="12" w16cid:durableId="1183932160">
    <w:abstractNumId w:val="17"/>
  </w:num>
  <w:num w:numId="13" w16cid:durableId="1041445464">
    <w:abstractNumId w:val="0"/>
  </w:num>
  <w:num w:numId="14" w16cid:durableId="708915736">
    <w:abstractNumId w:val="24"/>
  </w:num>
  <w:num w:numId="15" w16cid:durableId="1761560973">
    <w:abstractNumId w:val="21"/>
  </w:num>
  <w:num w:numId="16" w16cid:durableId="436487689">
    <w:abstractNumId w:val="34"/>
  </w:num>
  <w:num w:numId="17" w16cid:durableId="2095736951">
    <w:abstractNumId w:val="3"/>
  </w:num>
  <w:num w:numId="18" w16cid:durableId="1057322368">
    <w:abstractNumId w:val="27"/>
  </w:num>
  <w:num w:numId="19" w16cid:durableId="2064715544">
    <w:abstractNumId w:val="7"/>
  </w:num>
  <w:num w:numId="20" w16cid:durableId="679744019">
    <w:abstractNumId w:val="29"/>
  </w:num>
  <w:num w:numId="21" w16cid:durableId="1034044303">
    <w:abstractNumId w:val="5"/>
  </w:num>
  <w:num w:numId="22" w16cid:durableId="1163665335">
    <w:abstractNumId w:val="14"/>
  </w:num>
  <w:num w:numId="23" w16cid:durableId="881866653">
    <w:abstractNumId w:val="15"/>
  </w:num>
  <w:num w:numId="24" w16cid:durableId="581184851">
    <w:abstractNumId w:val="18"/>
  </w:num>
  <w:num w:numId="25" w16cid:durableId="140344427">
    <w:abstractNumId w:val="28"/>
  </w:num>
  <w:num w:numId="26" w16cid:durableId="1697658079">
    <w:abstractNumId w:val="25"/>
  </w:num>
  <w:num w:numId="27" w16cid:durableId="1069307079">
    <w:abstractNumId w:val="8"/>
  </w:num>
  <w:num w:numId="28" w16cid:durableId="2118794076">
    <w:abstractNumId w:val="30"/>
  </w:num>
  <w:num w:numId="29" w16cid:durableId="984625264">
    <w:abstractNumId w:val="20"/>
  </w:num>
  <w:num w:numId="30" w16cid:durableId="1898784627">
    <w:abstractNumId w:val="9"/>
  </w:num>
  <w:num w:numId="31" w16cid:durableId="208690096">
    <w:abstractNumId w:val="37"/>
  </w:num>
  <w:num w:numId="32" w16cid:durableId="2030133239">
    <w:abstractNumId w:val="33"/>
  </w:num>
  <w:num w:numId="33" w16cid:durableId="117531596">
    <w:abstractNumId w:val="38"/>
  </w:num>
  <w:num w:numId="34" w16cid:durableId="1851411674">
    <w:abstractNumId w:val="35"/>
  </w:num>
  <w:num w:numId="35" w16cid:durableId="1086879780">
    <w:abstractNumId w:val="22"/>
  </w:num>
  <w:num w:numId="36" w16cid:durableId="998659739">
    <w:abstractNumId w:val="11"/>
  </w:num>
  <w:num w:numId="37" w16cid:durableId="526719295">
    <w:abstractNumId w:val="12"/>
  </w:num>
  <w:num w:numId="38" w16cid:durableId="495650912">
    <w:abstractNumId w:val="16"/>
  </w:num>
  <w:num w:numId="39" w16cid:durableId="1089765234">
    <w:abstractNumId w:val="1"/>
  </w:num>
  <w:num w:numId="40" w16cid:durableId="1710102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Óq"/>
    <w:docVar w:name="85TrailerDateField" w:val="~}¥Ó_"/>
    <w:docVar w:name="85TrailerDraft" w:val="~}ŸÓe"/>
    <w:docVar w:name="85TrailerTime" w:val="~}£Óa"/>
    <w:docVar w:name="DMS_Work10" w:val="0~ACTIVE||1~13950588||2~1||3~News Release - TDF Acquisition||5~JTO||6~JTO||7~WORDX||8~DOCUMENTS||10~8/2/2024 9:03:42 PM||11~8/2/2024 7:37:06 PM||13~402899||14~False||17~public||18~JTO||19~JTO||21~True||22~True||23~False||25~069295||26~00001||27~317||28~SEC||29~GS||30~ACTIV||60~Crown Point Energy Inc.||61~General Corporate and Securities Matters||62~Oke, Jeffrey T.||63~Securities||64~General Securities||65~Active matter||74~Jeff Oke||75~Jeff Oke||76~WORD 2007||77~Documents||82~docx||85~8/2/2024 9:03:43 PM||99~1/1/0001 12:00:00 AM||106~C:\Users\jto\AppData\Roaming\iManage\Work\Recent\069295-00001-Crown Point Energy Inc.-General Corporate and Securities Matters\News Release - TDF Acquisition(13950588.1).docx||107~1/1/0001 12:00:00 AM||109~8/2/2024 9:04:38 PM||113~8/2/2024 7:37:05 PM||114~8/2/2024 9:03:39 PM||124~False||"/>
    <w:docVar w:name="DocStamp_1_OptionalControlValues" w:val="~}¥Ó"/>
    <w:docVar w:name="ForteTempFile" w:val="C:\Users\nsturm\AppData\Local\Temp\88765c77-7841-47ec-99be-551141c2d1e5.docx"/>
    <w:docVar w:name="MPDocID" w:val="~}—Óutuvqqomq"/>
    <w:docVar w:name="MPDocIDTemplate" w:val="~}¤Ó"/>
    <w:docVar w:name="MPDocIDTemplateDefault" w:val="~}¤ÓU`X¥"/>
    <w:docVar w:name="NewDocStampType" w:val="~}ŸÓl"/>
    <w:docVar w:name="zzmp10LastTrailerInserted" w:val="^`~#mp!@(b@#N┝┪&lt;=Ŝ9mk9f7p¶gÙ⌋Ùpũ⌒'ñÎçÕ⌘ÉéÏ!⌙Ïæ⌓⌟;k9l·m6@⌎Óŧ⌋^_₳N⌜⌞⌋²É⌙⌑)⌈;$WSMHYLI8011"/>
    <w:docVar w:name="zzmp10LastTrailerInserted_1078" w:val="^`~#mp!@(b@#N┝┪&lt;=Ŝ9mk9f7p¶gÙ⌋Ùpũ⌒'ñÎçÕ⌘ÉéÏ!⌙Ïæ⌓⌟;k9l·m6@⌎Óŧ⌋^_₳N⌜⌞⌋²É⌙⌑)⌈;$WSMHYLI8011"/>
    <w:docVar w:name="zzmp10mSEGsValidated" w:val="1"/>
    <w:docVar w:name="zzmpCompatibilityMode" w:val="15"/>
  </w:docVars>
  <w:rsids>
    <w:rsidRoot w:val="00451CF4"/>
    <w:rsid w:val="00002052"/>
    <w:rsid w:val="00004044"/>
    <w:rsid w:val="00006D15"/>
    <w:rsid w:val="00010F36"/>
    <w:rsid w:val="00013941"/>
    <w:rsid w:val="00017090"/>
    <w:rsid w:val="00023BC5"/>
    <w:rsid w:val="00023C28"/>
    <w:rsid w:val="00025614"/>
    <w:rsid w:val="00025949"/>
    <w:rsid w:val="00025A09"/>
    <w:rsid w:val="0003120A"/>
    <w:rsid w:val="00031672"/>
    <w:rsid w:val="000328AA"/>
    <w:rsid w:val="00033059"/>
    <w:rsid w:val="0003487B"/>
    <w:rsid w:val="000359CC"/>
    <w:rsid w:val="0003771F"/>
    <w:rsid w:val="00041606"/>
    <w:rsid w:val="00041677"/>
    <w:rsid w:val="00042B65"/>
    <w:rsid w:val="00043586"/>
    <w:rsid w:val="00043C17"/>
    <w:rsid w:val="0004484E"/>
    <w:rsid w:val="00050A9F"/>
    <w:rsid w:val="00050DBD"/>
    <w:rsid w:val="000522A8"/>
    <w:rsid w:val="00056AFE"/>
    <w:rsid w:val="00057387"/>
    <w:rsid w:val="00057A1E"/>
    <w:rsid w:val="00062F15"/>
    <w:rsid w:val="00064773"/>
    <w:rsid w:val="00065A86"/>
    <w:rsid w:val="0007063E"/>
    <w:rsid w:val="000716D5"/>
    <w:rsid w:val="00080E98"/>
    <w:rsid w:val="000919E9"/>
    <w:rsid w:val="000932B1"/>
    <w:rsid w:val="00095C6E"/>
    <w:rsid w:val="00097F5E"/>
    <w:rsid w:val="000A43D7"/>
    <w:rsid w:val="000A56E3"/>
    <w:rsid w:val="000A6968"/>
    <w:rsid w:val="000B06E9"/>
    <w:rsid w:val="000B18A4"/>
    <w:rsid w:val="000B2104"/>
    <w:rsid w:val="000B226F"/>
    <w:rsid w:val="000B3BB5"/>
    <w:rsid w:val="000B4702"/>
    <w:rsid w:val="000C124D"/>
    <w:rsid w:val="000C2C9F"/>
    <w:rsid w:val="000C5953"/>
    <w:rsid w:val="000C6EB2"/>
    <w:rsid w:val="000C710A"/>
    <w:rsid w:val="000C733D"/>
    <w:rsid w:val="000D0E50"/>
    <w:rsid w:val="000D3E93"/>
    <w:rsid w:val="000D45D4"/>
    <w:rsid w:val="000D63D8"/>
    <w:rsid w:val="000E0D25"/>
    <w:rsid w:val="000E1597"/>
    <w:rsid w:val="000E565B"/>
    <w:rsid w:val="000F076D"/>
    <w:rsid w:val="000F0997"/>
    <w:rsid w:val="000F2EBB"/>
    <w:rsid w:val="000F4F65"/>
    <w:rsid w:val="000F5DC2"/>
    <w:rsid w:val="00100075"/>
    <w:rsid w:val="00106A1F"/>
    <w:rsid w:val="00111E23"/>
    <w:rsid w:val="00111F93"/>
    <w:rsid w:val="00117643"/>
    <w:rsid w:val="00124069"/>
    <w:rsid w:val="00124B40"/>
    <w:rsid w:val="0012698E"/>
    <w:rsid w:val="00130191"/>
    <w:rsid w:val="001319EB"/>
    <w:rsid w:val="00133EFB"/>
    <w:rsid w:val="001340CF"/>
    <w:rsid w:val="001350B6"/>
    <w:rsid w:val="00150925"/>
    <w:rsid w:val="00150D8D"/>
    <w:rsid w:val="00151262"/>
    <w:rsid w:val="00152632"/>
    <w:rsid w:val="001548FF"/>
    <w:rsid w:val="0016148F"/>
    <w:rsid w:val="00163CC7"/>
    <w:rsid w:val="00163F57"/>
    <w:rsid w:val="00164077"/>
    <w:rsid w:val="0016447D"/>
    <w:rsid w:val="00165DB6"/>
    <w:rsid w:val="00165FD0"/>
    <w:rsid w:val="0016764C"/>
    <w:rsid w:val="001757BE"/>
    <w:rsid w:val="00177A20"/>
    <w:rsid w:val="001805FF"/>
    <w:rsid w:val="0018145D"/>
    <w:rsid w:val="0018209F"/>
    <w:rsid w:val="0018437C"/>
    <w:rsid w:val="001859E9"/>
    <w:rsid w:val="00192E2E"/>
    <w:rsid w:val="0019349D"/>
    <w:rsid w:val="00193809"/>
    <w:rsid w:val="001959BF"/>
    <w:rsid w:val="00197745"/>
    <w:rsid w:val="001A2143"/>
    <w:rsid w:val="001A4D38"/>
    <w:rsid w:val="001A4EF4"/>
    <w:rsid w:val="001A7457"/>
    <w:rsid w:val="001B1C03"/>
    <w:rsid w:val="001B2CF5"/>
    <w:rsid w:val="001B3527"/>
    <w:rsid w:val="001C3D2A"/>
    <w:rsid w:val="001C57CC"/>
    <w:rsid w:val="001D4E4B"/>
    <w:rsid w:val="001D4F6C"/>
    <w:rsid w:val="001D50E7"/>
    <w:rsid w:val="001D5C38"/>
    <w:rsid w:val="001D6766"/>
    <w:rsid w:val="001E52F0"/>
    <w:rsid w:val="001E7429"/>
    <w:rsid w:val="001F2D51"/>
    <w:rsid w:val="001F436C"/>
    <w:rsid w:val="001F7857"/>
    <w:rsid w:val="002038FC"/>
    <w:rsid w:val="0020498C"/>
    <w:rsid w:val="002055DF"/>
    <w:rsid w:val="00205E97"/>
    <w:rsid w:val="0020761A"/>
    <w:rsid w:val="0021022C"/>
    <w:rsid w:val="00211CCF"/>
    <w:rsid w:val="00214125"/>
    <w:rsid w:val="00214319"/>
    <w:rsid w:val="00216543"/>
    <w:rsid w:val="00216E19"/>
    <w:rsid w:val="00221DD0"/>
    <w:rsid w:val="00224562"/>
    <w:rsid w:val="00224989"/>
    <w:rsid w:val="0022664B"/>
    <w:rsid w:val="00226AF8"/>
    <w:rsid w:val="002274E5"/>
    <w:rsid w:val="002300CD"/>
    <w:rsid w:val="002363BA"/>
    <w:rsid w:val="0024301D"/>
    <w:rsid w:val="00243DE1"/>
    <w:rsid w:val="00244E7C"/>
    <w:rsid w:val="00244EDD"/>
    <w:rsid w:val="00257531"/>
    <w:rsid w:val="00257631"/>
    <w:rsid w:val="00261E3B"/>
    <w:rsid w:val="002649E7"/>
    <w:rsid w:val="0027269D"/>
    <w:rsid w:val="002755B9"/>
    <w:rsid w:val="00276834"/>
    <w:rsid w:val="00276D5A"/>
    <w:rsid w:val="00277E46"/>
    <w:rsid w:val="00282271"/>
    <w:rsid w:val="00282EE9"/>
    <w:rsid w:val="00290BF2"/>
    <w:rsid w:val="00292BEA"/>
    <w:rsid w:val="00294A5A"/>
    <w:rsid w:val="00294C0F"/>
    <w:rsid w:val="002973D1"/>
    <w:rsid w:val="002A1B7D"/>
    <w:rsid w:val="002A3BF5"/>
    <w:rsid w:val="002A49FB"/>
    <w:rsid w:val="002A5742"/>
    <w:rsid w:val="002A7212"/>
    <w:rsid w:val="002A7277"/>
    <w:rsid w:val="002B0AA5"/>
    <w:rsid w:val="002B3B79"/>
    <w:rsid w:val="002C476A"/>
    <w:rsid w:val="002C537B"/>
    <w:rsid w:val="002D2B1A"/>
    <w:rsid w:val="002D2CA8"/>
    <w:rsid w:val="002D2D0A"/>
    <w:rsid w:val="002D437E"/>
    <w:rsid w:val="002D7E84"/>
    <w:rsid w:val="002E10DF"/>
    <w:rsid w:val="002E16DF"/>
    <w:rsid w:val="002E1BE1"/>
    <w:rsid w:val="002E3BD6"/>
    <w:rsid w:val="002E696C"/>
    <w:rsid w:val="002F5174"/>
    <w:rsid w:val="002F58C1"/>
    <w:rsid w:val="002F6AA2"/>
    <w:rsid w:val="00302DB2"/>
    <w:rsid w:val="00304C43"/>
    <w:rsid w:val="00305E62"/>
    <w:rsid w:val="0031396D"/>
    <w:rsid w:val="00314734"/>
    <w:rsid w:val="00315C11"/>
    <w:rsid w:val="00317357"/>
    <w:rsid w:val="003300CB"/>
    <w:rsid w:val="00330321"/>
    <w:rsid w:val="00330EAF"/>
    <w:rsid w:val="00331B5F"/>
    <w:rsid w:val="00331FFF"/>
    <w:rsid w:val="0033374C"/>
    <w:rsid w:val="0034165A"/>
    <w:rsid w:val="0034194B"/>
    <w:rsid w:val="0034252C"/>
    <w:rsid w:val="00347D43"/>
    <w:rsid w:val="00352472"/>
    <w:rsid w:val="0035304E"/>
    <w:rsid w:val="003531FC"/>
    <w:rsid w:val="003572FC"/>
    <w:rsid w:val="00360903"/>
    <w:rsid w:val="00360B79"/>
    <w:rsid w:val="00361D69"/>
    <w:rsid w:val="0036598D"/>
    <w:rsid w:val="00366F03"/>
    <w:rsid w:val="00367E49"/>
    <w:rsid w:val="00373A5A"/>
    <w:rsid w:val="00376E37"/>
    <w:rsid w:val="003828A1"/>
    <w:rsid w:val="00382FD1"/>
    <w:rsid w:val="00385CDE"/>
    <w:rsid w:val="003911F5"/>
    <w:rsid w:val="003A153C"/>
    <w:rsid w:val="003A1DEF"/>
    <w:rsid w:val="003A2584"/>
    <w:rsid w:val="003A2B47"/>
    <w:rsid w:val="003A2B7D"/>
    <w:rsid w:val="003A3846"/>
    <w:rsid w:val="003A7F98"/>
    <w:rsid w:val="003B10AC"/>
    <w:rsid w:val="003B161A"/>
    <w:rsid w:val="003B3C88"/>
    <w:rsid w:val="003B51FA"/>
    <w:rsid w:val="003B6B71"/>
    <w:rsid w:val="003C2ED5"/>
    <w:rsid w:val="003D0414"/>
    <w:rsid w:val="003D3CB8"/>
    <w:rsid w:val="003D518F"/>
    <w:rsid w:val="003E1C77"/>
    <w:rsid w:val="003E2504"/>
    <w:rsid w:val="003E6939"/>
    <w:rsid w:val="003E749F"/>
    <w:rsid w:val="003E78A4"/>
    <w:rsid w:val="003F2629"/>
    <w:rsid w:val="003F390F"/>
    <w:rsid w:val="004003C0"/>
    <w:rsid w:val="00403005"/>
    <w:rsid w:val="004162E7"/>
    <w:rsid w:val="0041703B"/>
    <w:rsid w:val="00421188"/>
    <w:rsid w:val="0042130F"/>
    <w:rsid w:val="0042133D"/>
    <w:rsid w:val="004226A6"/>
    <w:rsid w:val="00431AE5"/>
    <w:rsid w:val="00432B58"/>
    <w:rsid w:val="00433408"/>
    <w:rsid w:val="00442A8E"/>
    <w:rsid w:val="0044467D"/>
    <w:rsid w:val="00444BB3"/>
    <w:rsid w:val="00451504"/>
    <w:rsid w:val="00451CF4"/>
    <w:rsid w:val="004524AF"/>
    <w:rsid w:val="00456BA5"/>
    <w:rsid w:val="0047026E"/>
    <w:rsid w:val="00472F63"/>
    <w:rsid w:val="00474777"/>
    <w:rsid w:val="00480965"/>
    <w:rsid w:val="00481185"/>
    <w:rsid w:val="004835F9"/>
    <w:rsid w:val="004837E0"/>
    <w:rsid w:val="00486024"/>
    <w:rsid w:val="00486625"/>
    <w:rsid w:val="004875C0"/>
    <w:rsid w:val="004915EA"/>
    <w:rsid w:val="00491C68"/>
    <w:rsid w:val="00492BFC"/>
    <w:rsid w:val="00494934"/>
    <w:rsid w:val="004951CB"/>
    <w:rsid w:val="0049689D"/>
    <w:rsid w:val="004A2E5D"/>
    <w:rsid w:val="004A3410"/>
    <w:rsid w:val="004A56D3"/>
    <w:rsid w:val="004A5E44"/>
    <w:rsid w:val="004A72E9"/>
    <w:rsid w:val="004B3239"/>
    <w:rsid w:val="004B3350"/>
    <w:rsid w:val="004B39EA"/>
    <w:rsid w:val="004B7D7A"/>
    <w:rsid w:val="004C0232"/>
    <w:rsid w:val="004C24C2"/>
    <w:rsid w:val="004C4E8E"/>
    <w:rsid w:val="004C7547"/>
    <w:rsid w:val="004D007F"/>
    <w:rsid w:val="004D0CB4"/>
    <w:rsid w:val="004D40E8"/>
    <w:rsid w:val="004D53DC"/>
    <w:rsid w:val="004E275F"/>
    <w:rsid w:val="004E5C24"/>
    <w:rsid w:val="004E6377"/>
    <w:rsid w:val="004F3AF4"/>
    <w:rsid w:val="00504E5F"/>
    <w:rsid w:val="00504FAD"/>
    <w:rsid w:val="00505674"/>
    <w:rsid w:val="00510753"/>
    <w:rsid w:val="00511BFC"/>
    <w:rsid w:val="005125B4"/>
    <w:rsid w:val="00512967"/>
    <w:rsid w:val="00515769"/>
    <w:rsid w:val="00517AB2"/>
    <w:rsid w:val="00521FF0"/>
    <w:rsid w:val="00525A77"/>
    <w:rsid w:val="00526C37"/>
    <w:rsid w:val="00531148"/>
    <w:rsid w:val="00531F52"/>
    <w:rsid w:val="005326A4"/>
    <w:rsid w:val="00534994"/>
    <w:rsid w:val="00536750"/>
    <w:rsid w:val="005403AB"/>
    <w:rsid w:val="005403D0"/>
    <w:rsid w:val="005475C7"/>
    <w:rsid w:val="00554BA3"/>
    <w:rsid w:val="0055532C"/>
    <w:rsid w:val="0055681A"/>
    <w:rsid w:val="00557B5A"/>
    <w:rsid w:val="00560BF7"/>
    <w:rsid w:val="00561E5B"/>
    <w:rsid w:val="005635F2"/>
    <w:rsid w:val="005641E1"/>
    <w:rsid w:val="00564F26"/>
    <w:rsid w:val="005705EC"/>
    <w:rsid w:val="00574AD5"/>
    <w:rsid w:val="00575CCA"/>
    <w:rsid w:val="00580163"/>
    <w:rsid w:val="0058518C"/>
    <w:rsid w:val="00585291"/>
    <w:rsid w:val="00586159"/>
    <w:rsid w:val="00590381"/>
    <w:rsid w:val="00592C42"/>
    <w:rsid w:val="00595CFF"/>
    <w:rsid w:val="005A3BED"/>
    <w:rsid w:val="005B3299"/>
    <w:rsid w:val="005B3A0F"/>
    <w:rsid w:val="005B3B95"/>
    <w:rsid w:val="005B4176"/>
    <w:rsid w:val="005B5DEC"/>
    <w:rsid w:val="005B66FF"/>
    <w:rsid w:val="005B7BF5"/>
    <w:rsid w:val="005C2CAA"/>
    <w:rsid w:val="005D0054"/>
    <w:rsid w:val="005D4E55"/>
    <w:rsid w:val="005D7A7F"/>
    <w:rsid w:val="005E10D3"/>
    <w:rsid w:val="005E3FA1"/>
    <w:rsid w:val="005E47B1"/>
    <w:rsid w:val="005E5C39"/>
    <w:rsid w:val="005E6FD2"/>
    <w:rsid w:val="005E7EBC"/>
    <w:rsid w:val="005F3BD4"/>
    <w:rsid w:val="005F4CC0"/>
    <w:rsid w:val="005F53D1"/>
    <w:rsid w:val="005F620C"/>
    <w:rsid w:val="00603047"/>
    <w:rsid w:val="006059A8"/>
    <w:rsid w:val="006105E1"/>
    <w:rsid w:val="00611C33"/>
    <w:rsid w:val="00612A84"/>
    <w:rsid w:val="00612F01"/>
    <w:rsid w:val="00613E3D"/>
    <w:rsid w:val="00614D39"/>
    <w:rsid w:val="00615315"/>
    <w:rsid w:val="0061538F"/>
    <w:rsid w:val="00616751"/>
    <w:rsid w:val="0061707D"/>
    <w:rsid w:val="00620130"/>
    <w:rsid w:val="006205E9"/>
    <w:rsid w:val="00626BDC"/>
    <w:rsid w:val="00626FA9"/>
    <w:rsid w:val="00634146"/>
    <w:rsid w:val="00636EC3"/>
    <w:rsid w:val="006404F4"/>
    <w:rsid w:val="00643A42"/>
    <w:rsid w:val="006440C6"/>
    <w:rsid w:val="00650B31"/>
    <w:rsid w:val="00651DB8"/>
    <w:rsid w:val="00652FDE"/>
    <w:rsid w:val="006532BE"/>
    <w:rsid w:val="006614AF"/>
    <w:rsid w:val="00662291"/>
    <w:rsid w:val="00666430"/>
    <w:rsid w:val="00673AE9"/>
    <w:rsid w:val="00674C25"/>
    <w:rsid w:val="006765D3"/>
    <w:rsid w:val="006777C8"/>
    <w:rsid w:val="00680B0F"/>
    <w:rsid w:val="0068268A"/>
    <w:rsid w:val="006854D8"/>
    <w:rsid w:val="00685552"/>
    <w:rsid w:val="00687575"/>
    <w:rsid w:val="00690935"/>
    <w:rsid w:val="00691764"/>
    <w:rsid w:val="006A1C90"/>
    <w:rsid w:val="006B0A8E"/>
    <w:rsid w:val="006B0AE0"/>
    <w:rsid w:val="006B19DD"/>
    <w:rsid w:val="006B76F6"/>
    <w:rsid w:val="006B7E95"/>
    <w:rsid w:val="006C31C2"/>
    <w:rsid w:val="006D08F0"/>
    <w:rsid w:val="006D31BF"/>
    <w:rsid w:val="006D47C0"/>
    <w:rsid w:val="006D58DE"/>
    <w:rsid w:val="006D774C"/>
    <w:rsid w:val="006E01EA"/>
    <w:rsid w:val="006E3A58"/>
    <w:rsid w:val="006E3DAB"/>
    <w:rsid w:val="006E6AD0"/>
    <w:rsid w:val="006E6E9B"/>
    <w:rsid w:val="006F2BFD"/>
    <w:rsid w:val="006F2D1E"/>
    <w:rsid w:val="006F49B6"/>
    <w:rsid w:val="006F5425"/>
    <w:rsid w:val="006F574E"/>
    <w:rsid w:val="007009AB"/>
    <w:rsid w:val="00704126"/>
    <w:rsid w:val="007068A8"/>
    <w:rsid w:val="00714855"/>
    <w:rsid w:val="007176BE"/>
    <w:rsid w:val="00717ED9"/>
    <w:rsid w:val="0072449B"/>
    <w:rsid w:val="007271A6"/>
    <w:rsid w:val="00731641"/>
    <w:rsid w:val="0073215F"/>
    <w:rsid w:val="00732D37"/>
    <w:rsid w:val="0073723B"/>
    <w:rsid w:val="00737588"/>
    <w:rsid w:val="00742571"/>
    <w:rsid w:val="00744A99"/>
    <w:rsid w:val="007476F4"/>
    <w:rsid w:val="00757D01"/>
    <w:rsid w:val="007623D2"/>
    <w:rsid w:val="00763E33"/>
    <w:rsid w:val="00764D43"/>
    <w:rsid w:val="00767049"/>
    <w:rsid w:val="007713F4"/>
    <w:rsid w:val="007719D9"/>
    <w:rsid w:val="00774F93"/>
    <w:rsid w:val="00780C91"/>
    <w:rsid w:val="007819DF"/>
    <w:rsid w:val="00782B0E"/>
    <w:rsid w:val="00784275"/>
    <w:rsid w:val="0079101C"/>
    <w:rsid w:val="007912AB"/>
    <w:rsid w:val="007943B5"/>
    <w:rsid w:val="00796140"/>
    <w:rsid w:val="007965EC"/>
    <w:rsid w:val="00796733"/>
    <w:rsid w:val="00796FA6"/>
    <w:rsid w:val="00796FBE"/>
    <w:rsid w:val="007A07D5"/>
    <w:rsid w:val="007A0BC2"/>
    <w:rsid w:val="007A1FC6"/>
    <w:rsid w:val="007B278E"/>
    <w:rsid w:val="007B3EA0"/>
    <w:rsid w:val="007C02EE"/>
    <w:rsid w:val="007C2985"/>
    <w:rsid w:val="007C48A3"/>
    <w:rsid w:val="007C5641"/>
    <w:rsid w:val="007D2892"/>
    <w:rsid w:val="007D5BCA"/>
    <w:rsid w:val="007E42BF"/>
    <w:rsid w:val="007F563E"/>
    <w:rsid w:val="007F60DD"/>
    <w:rsid w:val="007F7102"/>
    <w:rsid w:val="007F7668"/>
    <w:rsid w:val="00805315"/>
    <w:rsid w:val="00810E7B"/>
    <w:rsid w:val="008111D0"/>
    <w:rsid w:val="0081326E"/>
    <w:rsid w:val="00813ACB"/>
    <w:rsid w:val="00814001"/>
    <w:rsid w:val="008152FC"/>
    <w:rsid w:val="00815A2C"/>
    <w:rsid w:val="0082234E"/>
    <w:rsid w:val="00824B0A"/>
    <w:rsid w:val="008275CC"/>
    <w:rsid w:val="00834176"/>
    <w:rsid w:val="00834882"/>
    <w:rsid w:val="0083503B"/>
    <w:rsid w:val="00835906"/>
    <w:rsid w:val="00836849"/>
    <w:rsid w:val="0083782D"/>
    <w:rsid w:val="008438D6"/>
    <w:rsid w:val="008439C4"/>
    <w:rsid w:val="00846115"/>
    <w:rsid w:val="008562E0"/>
    <w:rsid w:val="008573AF"/>
    <w:rsid w:val="00857CD0"/>
    <w:rsid w:val="00860011"/>
    <w:rsid w:val="00860260"/>
    <w:rsid w:val="00861299"/>
    <w:rsid w:val="00861690"/>
    <w:rsid w:val="00861EBD"/>
    <w:rsid w:val="00862703"/>
    <w:rsid w:val="00871F00"/>
    <w:rsid w:val="00877C6E"/>
    <w:rsid w:val="00882412"/>
    <w:rsid w:val="008845A5"/>
    <w:rsid w:val="008872D7"/>
    <w:rsid w:val="0089281B"/>
    <w:rsid w:val="00895F23"/>
    <w:rsid w:val="0089682A"/>
    <w:rsid w:val="008A36D9"/>
    <w:rsid w:val="008A4513"/>
    <w:rsid w:val="008A49FA"/>
    <w:rsid w:val="008A4A2C"/>
    <w:rsid w:val="008A56D8"/>
    <w:rsid w:val="008A624E"/>
    <w:rsid w:val="008A75ED"/>
    <w:rsid w:val="008B57CB"/>
    <w:rsid w:val="008B5946"/>
    <w:rsid w:val="008B69C7"/>
    <w:rsid w:val="008C1988"/>
    <w:rsid w:val="008C20EC"/>
    <w:rsid w:val="008C21A6"/>
    <w:rsid w:val="008C32FE"/>
    <w:rsid w:val="008C75B2"/>
    <w:rsid w:val="008D091D"/>
    <w:rsid w:val="008D1042"/>
    <w:rsid w:val="008D2C84"/>
    <w:rsid w:val="008E0951"/>
    <w:rsid w:val="008E16E3"/>
    <w:rsid w:val="008E369A"/>
    <w:rsid w:val="008E36FE"/>
    <w:rsid w:val="008E49CD"/>
    <w:rsid w:val="008E4BA2"/>
    <w:rsid w:val="008F120E"/>
    <w:rsid w:val="00900F80"/>
    <w:rsid w:val="00916C04"/>
    <w:rsid w:val="00917EB1"/>
    <w:rsid w:val="009202BA"/>
    <w:rsid w:val="009238DC"/>
    <w:rsid w:val="00930A9B"/>
    <w:rsid w:val="00930BAD"/>
    <w:rsid w:val="00930C2A"/>
    <w:rsid w:val="00934D3A"/>
    <w:rsid w:val="00937CED"/>
    <w:rsid w:val="00944C16"/>
    <w:rsid w:val="00950183"/>
    <w:rsid w:val="0095091C"/>
    <w:rsid w:val="00950AA0"/>
    <w:rsid w:val="00952567"/>
    <w:rsid w:val="009550BA"/>
    <w:rsid w:val="00955565"/>
    <w:rsid w:val="00957300"/>
    <w:rsid w:val="009601D1"/>
    <w:rsid w:val="00961051"/>
    <w:rsid w:val="00963AA7"/>
    <w:rsid w:val="00963CAB"/>
    <w:rsid w:val="009646F5"/>
    <w:rsid w:val="00967C91"/>
    <w:rsid w:val="00972A3B"/>
    <w:rsid w:val="0097313E"/>
    <w:rsid w:val="00975DCF"/>
    <w:rsid w:val="0097640E"/>
    <w:rsid w:val="00982384"/>
    <w:rsid w:val="00982DAE"/>
    <w:rsid w:val="009839F3"/>
    <w:rsid w:val="00983D9B"/>
    <w:rsid w:val="00983DBF"/>
    <w:rsid w:val="0098509E"/>
    <w:rsid w:val="009857AA"/>
    <w:rsid w:val="00986515"/>
    <w:rsid w:val="00990C4D"/>
    <w:rsid w:val="00993BAE"/>
    <w:rsid w:val="009959E6"/>
    <w:rsid w:val="009963AA"/>
    <w:rsid w:val="00996F18"/>
    <w:rsid w:val="00997CEA"/>
    <w:rsid w:val="009A0D15"/>
    <w:rsid w:val="009A1FA6"/>
    <w:rsid w:val="009A3C90"/>
    <w:rsid w:val="009A6AD7"/>
    <w:rsid w:val="009A6CC7"/>
    <w:rsid w:val="009A6E28"/>
    <w:rsid w:val="009B2468"/>
    <w:rsid w:val="009B2F2C"/>
    <w:rsid w:val="009C2A0D"/>
    <w:rsid w:val="009C3391"/>
    <w:rsid w:val="009C37D6"/>
    <w:rsid w:val="009C60DE"/>
    <w:rsid w:val="009C61D9"/>
    <w:rsid w:val="009C7150"/>
    <w:rsid w:val="009D1C2F"/>
    <w:rsid w:val="009D2DAF"/>
    <w:rsid w:val="009D3A2E"/>
    <w:rsid w:val="009D6982"/>
    <w:rsid w:val="009D7168"/>
    <w:rsid w:val="009E3C33"/>
    <w:rsid w:val="009E3CE6"/>
    <w:rsid w:val="009F2F06"/>
    <w:rsid w:val="009F4905"/>
    <w:rsid w:val="009F4DF7"/>
    <w:rsid w:val="009F4FE5"/>
    <w:rsid w:val="009F62B4"/>
    <w:rsid w:val="009F7181"/>
    <w:rsid w:val="009F7D9E"/>
    <w:rsid w:val="00A0146C"/>
    <w:rsid w:val="00A0323B"/>
    <w:rsid w:val="00A037ED"/>
    <w:rsid w:val="00A07215"/>
    <w:rsid w:val="00A07EAA"/>
    <w:rsid w:val="00A13780"/>
    <w:rsid w:val="00A212BB"/>
    <w:rsid w:val="00A21573"/>
    <w:rsid w:val="00A218C5"/>
    <w:rsid w:val="00A22450"/>
    <w:rsid w:val="00A2327B"/>
    <w:rsid w:val="00A24966"/>
    <w:rsid w:val="00A2508E"/>
    <w:rsid w:val="00A2750B"/>
    <w:rsid w:val="00A326BF"/>
    <w:rsid w:val="00A32FE3"/>
    <w:rsid w:val="00A344A6"/>
    <w:rsid w:val="00A36152"/>
    <w:rsid w:val="00A37688"/>
    <w:rsid w:val="00A4393E"/>
    <w:rsid w:val="00A46D20"/>
    <w:rsid w:val="00A47572"/>
    <w:rsid w:val="00A52F91"/>
    <w:rsid w:val="00A53AD2"/>
    <w:rsid w:val="00A57D6F"/>
    <w:rsid w:val="00A648EC"/>
    <w:rsid w:val="00A73130"/>
    <w:rsid w:val="00A734A8"/>
    <w:rsid w:val="00A762A3"/>
    <w:rsid w:val="00A82B43"/>
    <w:rsid w:val="00A8504D"/>
    <w:rsid w:val="00A9353F"/>
    <w:rsid w:val="00A978BB"/>
    <w:rsid w:val="00AA40F0"/>
    <w:rsid w:val="00AA4346"/>
    <w:rsid w:val="00AB0183"/>
    <w:rsid w:val="00AC437D"/>
    <w:rsid w:val="00AC4EEE"/>
    <w:rsid w:val="00AC53DA"/>
    <w:rsid w:val="00AC59F9"/>
    <w:rsid w:val="00AC6F61"/>
    <w:rsid w:val="00AC7344"/>
    <w:rsid w:val="00AC7FA9"/>
    <w:rsid w:val="00AD38C1"/>
    <w:rsid w:val="00AD501F"/>
    <w:rsid w:val="00AE1097"/>
    <w:rsid w:val="00AF1A68"/>
    <w:rsid w:val="00AF23D5"/>
    <w:rsid w:val="00AF66E4"/>
    <w:rsid w:val="00B0030C"/>
    <w:rsid w:val="00B00BA3"/>
    <w:rsid w:val="00B03885"/>
    <w:rsid w:val="00B10579"/>
    <w:rsid w:val="00B11172"/>
    <w:rsid w:val="00B1286D"/>
    <w:rsid w:val="00B129BD"/>
    <w:rsid w:val="00B145D2"/>
    <w:rsid w:val="00B208CB"/>
    <w:rsid w:val="00B20A89"/>
    <w:rsid w:val="00B20E9D"/>
    <w:rsid w:val="00B2131B"/>
    <w:rsid w:val="00B21FD1"/>
    <w:rsid w:val="00B30EEA"/>
    <w:rsid w:val="00B32A34"/>
    <w:rsid w:val="00B3415A"/>
    <w:rsid w:val="00B37CCC"/>
    <w:rsid w:val="00B41E7D"/>
    <w:rsid w:val="00B47767"/>
    <w:rsid w:val="00B530F6"/>
    <w:rsid w:val="00B53AC4"/>
    <w:rsid w:val="00B56B58"/>
    <w:rsid w:val="00B604C4"/>
    <w:rsid w:val="00B6188C"/>
    <w:rsid w:val="00B62AB6"/>
    <w:rsid w:val="00B64997"/>
    <w:rsid w:val="00B66255"/>
    <w:rsid w:val="00B67EB4"/>
    <w:rsid w:val="00B716DB"/>
    <w:rsid w:val="00B744E9"/>
    <w:rsid w:val="00B7529F"/>
    <w:rsid w:val="00B75759"/>
    <w:rsid w:val="00B75916"/>
    <w:rsid w:val="00B762A4"/>
    <w:rsid w:val="00B820F8"/>
    <w:rsid w:val="00B83F6A"/>
    <w:rsid w:val="00B84147"/>
    <w:rsid w:val="00B85175"/>
    <w:rsid w:val="00B9156C"/>
    <w:rsid w:val="00B91B60"/>
    <w:rsid w:val="00B939F8"/>
    <w:rsid w:val="00B93FA1"/>
    <w:rsid w:val="00B96BA6"/>
    <w:rsid w:val="00BA2BD6"/>
    <w:rsid w:val="00BA2F53"/>
    <w:rsid w:val="00BA74B6"/>
    <w:rsid w:val="00BB0385"/>
    <w:rsid w:val="00BB1C18"/>
    <w:rsid w:val="00BB2E1F"/>
    <w:rsid w:val="00BB373A"/>
    <w:rsid w:val="00BB411D"/>
    <w:rsid w:val="00BB587A"/>
    <w:rsid w:val="00BB5EFE"/>
    <w:rsid w:val="00BB6649"/>
    <w:rsid w:val="00BB73D8"/>
    <w:rsid w:val="00BC1CE6"/>
    <w:rsid w:val="00BD0D14"/>
    <w:rsid w:val="00BD48C2"/>
    <w:rsid w:val="00BE4E08"/>
    <w:rsid w:val="00BF0539"/>
    <w:rsid w:val="00C001D5"/>
    <w:rsid w:val="00C03807"/>
    <w:rsid w:val="00C06F4C"/>
    <w:rsid w:val="00C10669"/>
    <w:rsid w:val="00C11484"/>
    <w:rsid w:val="00C1193D"/>
    <w:rsid w:val="00C11E38"/>
    <w:rsid w:val="00C125DE"/>
    <w:rsid w:val="00C1690E"/>
    <w:rsid w:val="00C202AF"/>
    <w:rsid w:val="00C23FE6"/>
    <w:rsid w:val="00C2448E"/>
    <w:rsid w:val="00C25EC1"/>
    <w:rsid w:val="00C31CFF"/>
    <w:rsid w:val="00C36EF0"/>
    <w:rsid w:val="00C3730E"/>
    <w:rsid w:val="00C37AD9"/>
    <w:rsid w:val="00C44747"/>
    <w:rsid w:val="00C4796D"/>
    <w:rsid w:val="00C522C0"/>
    <w:rsid w:val="00C551D6"/>
    <w:rsid w:val="00C55B23"/>
    <w:rsid w:val="00C55F2A"/>
    <w:rsid w:val="00C60DD9"/>
    <w:rsid w:val="00C6135D"/>
    <w:rsid w:val="00C6173E"/>
    <w:rsid w:val="00C61838"/>
    <w:rsid w:val="00C64F6E"/>
    <w:rsid w:val="00C65BCB"/>
    <w:rsid w:val="00C65F29"/>
    <w:rsid w:val="00C67CBE"/>
    <w:rsid w:val="00C70CA5"/>
    <w:rsid w:val="00C70EF5"/>
    <w:rsid w:val="00C71090"/>
    <w:rsid w:val="00C71323"/>
    <w:rsid w:val="00C71E5A"/>
    <w:rsid w:val="00C73E2B"/>
    <w:rsid w:val="00C74CCB"/>
    <w:rsid w:val="00C755C5"/>
    <w:rsid w:val="00C75AAF"/>
    <w:rsid w:val="00C76DC8"/>
    <w:rsid w:val="00C80383"/>
    <w:rsid w:val="00C85573"/>
    <w:rsid w:val="00C8573A"/>
    <w:rsid w:val="00C85965"/>
    <w:rsid w:val="00C90D58"/>
    <w:rsid w:val="00C91C19"/>
    <w:rsid w:val="00C9330E"/>
    <w:rsid w:val="00C95348"/>
    <w:rsid w:val="00C95640"/>
    <w:rsid w:val="00CA15D4"/>
    <w:rsid w:val="00CA1C87"/>
    <w:rsid w:val="00CA2A9A"/>
    <w:rsid w:val="00CA63BD"/>
    <w:rsid w:val="00CB0FB8"/>
    <w:rsid w:val="00CB1A3C"/>
    <w:rsid w:val="00CB4013"/>
    <w:rsid w:val="00CD148F"/>
    <w:rsid w:val="00CD19BB"/>
    <w:rsid w:val="00CD2E31"/>
    <w:rsid w:val="00CE019B"/>
    <w:rsid w:val="00CE54A6"/>
    <w:rsid w:val="00CF672F"/>
    <w:rsid w:val="00D10D0B"/>
    <w:rsid w:val="00D10FF0"/>
    <w:rsid w:val="00D11851"/>
    <w:rsid w:val="00D1262E"/>
    <w:rsid w:val="00D15F09"/>
    <w:rsid w:val="00D178B9"/>
    <w:rsid w:val="00D2610B"/>
    <w:rsid w:val="00D313CE"/>
    <w:rsid w:val="00D339E5"/>
    <w:rsid w:val="00D33C6D"/>
    <w:rsid w:val="00D347E1"/>
    <w:rsid w:val="00D37386"/>
    <w:rsid w:val="00D4678C"/>
    <w:rsid w:val="00D4741F"/>
    <w:rsid w:val="00D52D8E"/>
    <w:rsid w:val="00D52DA9"/>
    <w:rsid w:val="00D53638"/>
    <w:rsid w:val="00D54876"/>
    <w:rsid w:val="00D560B8"/>
    <w:rsid w:val="00D5656C"/>
    <w:rsid w:val="00D62A6C"/>
    <w:rsid w:val="00D63619"/>
    <w:rsid w:val="00D6512F"/>
    <w:rsid w:val="00D67B09"/>
    <w:rsid w:val="00D73D44"/>
    <w:rsid w:val="00D77C90"/>
    <w:rsid w:val="00D80B98"/>
    <w:rsid w:val="00D81328"/>
    <w:rsid w:val="00D83897"/>
    <w:rsid w:val="00D86141"/>
    <w:rsid w:val="00D86F16"/>
    <w:rsid w:val="00D90238"/>
    <w:rsid w:val="00D94005"/>
    <w:rsid w:val="00D947A2"/>
    <w:rsid w:val="00D948DF"/>
    <w:rsid w:val="00D9493A"/>
    <w:rsid w:val="00D94BAC"/>
    <w:rsid w:val="00D97909"/>
    <w:rsid w:val="00DA73C5"/>
    <w:rsid w:val="00DA79E0"/>
    <w:rsid w:val="00DB282D"/>
    <w:rsid w:val="00DB2CEE"/>
    <w:rsid w:val="00DB3348"/>
    <w:rsid w:val="00DB4F42"/>
    <w:rsid w:val="00DB755B"/>
    <w:rsid w:val="00DC14CF"/>
    <w:rsid w:val="00DC1E6C"/>
    <w:rsid w:val="00DC20CE"/>
    <w:rsid w:val="00DC2AB3"/>
    <w:rsid w:val="00DC47C7"/>
    <w:rsid w:val="00DC6C43"/>
    <w:rsid w:val="00DC72CD"/>
    <w:rsid w:val="00DC7778"/>
    <w:rsid w:val="00DC7989"/>
    <w:rsid w:val="00DD076F"/>
    <w:rsid w:val="00DD4691"/>
    <w:rsid w:val="00DE05E3"/>
    <w:rsid w:val="00DE57D3"/>
    <w:rsid w:val="00DE7D9E"/>
    <w:rsid w:val="00DF27B2"/>
    <w:rsid w:val="00DF69D1"/>
    <w:rsid w:val="00E01E2D"/>
    <w:rsid w:val="00E03B91"/>
    <w:rsid w:val="00E05E3C"/>
    <w:rsid w:val="00E06B73"/>
    <w:rsid w:val="00E101A0"/>
    <w:rsid w:val="00E14797"/>
    <w:rsid w:val="00E15BD1"/>
    <w:rsid w:val="00E16611"/>
    <w:rsid w:val="00E17544"/>
    <w:rsid w:val="00E21B53"/>
    <w:rsid w:val="00E2212A"/>
    <w:rsid w:val="00E2266C"/>
    <w:rsid w:val="00E26C31"/>
    <w:rsid w:val="00E2750E"/>
    <w:rsid w:val="00E31AF3"/>
    <w:rsid w:val="00E32976"/>
    <w:rsid w:val="00E355FE"/>
    <w:rsid w:val="00E372D8"/>
    <w:rsid w:val="00E37FB0"/>
    <w:rsid w:val="00E41E6D"/>
    <w:rsid w:val="00E42633"/>
    <w:rsid w:val="00E46129"/>
    <w:rsid w:val="00E47784"/>
    <w:rsid w:val="00E479EC"/>
    <w:rsid w:val="00E5435D"/>
    <w:rsid w:val="00E55168"/>
    <w:rsid w:val="00E55DCB"/>
    <w:rsid w:val="00E55F5A"/>
    <w:rsid w:val="00E56F25"/>
    <w:rsid w:val="00E61720"/>
    <w:rsid w:val="00E63BC0"/>
    <w:rsid w:val="00E65E38"/>
    <w:rsid w:val="00E66B43"/>
    <w:rsid w:val="00E72AFE"/>
    <w:rsid w:val="00E76FAB"/>
    <w:rsid w:val="00E81BD7"/>
    <w:rsid w:val="00E829D1"/>
    <w:rsid w:val="00E84A4C"/>
    <w:rsid w:val="00E8633E"/>
    <w:rsid w:val="00E91D23"/>
    <w:rsid w:val="00E93469"/>
    <w:rsid w:val="00E940C3"/>
    <w:rsid w:val="00E95796"/>
    <w:rsid w:val="00E959EF"/>
    <w:rsid w:val="00EA0222"/>
    <w:rsid w:val="00EA03D5"/>
    <w:rsid w:val="00EA1C9E"/>
    <w:rsid w:val="00EA7716"/>
    <w:rsid w:val="00EB1303"/>
    <w:rsid w:val="00EB1E17"/>
    <w:rsid w:val="00EB3068"/>
    <w:rsid w:val="00EB6E8D"/>
    <w:rsid w:val="00EC1D34"/>
    <w:rsid w:val="00EC2F77"/>
    <w:rsid w:val="00EC57AF"/>
    <w:rsid w:val="00EC5899"/>
    <w:rsid w:val="00EC714A"/>
    <w:rsid w:val="00EC7FAA"/>
    <w:rsid w:val="00ED13DE"/>
    <w:rsid w:val="00ED1647"/>
    <w:rsid w:val="00ED3296"/>
    <w:rsid w:val="00ED5BB2"/>
    <w:rsid w:val="00ED6C3E"/>
    <w:rsid w:val="00EE4B11"/>
    <w:rsid w:val="00EE4E4F"/>
    <w:rsid w:val="00EE7F3B"/>
    <w:rsid w:val="00EF06DB"/>
    <w:rsid w:val="00EF3BA8"/>
    <w:rsid w:val="00EF4E83"/>
    <w:rsid w:val="00F00375"/>
    <w:rsid w:val="00F01240"/>
    <w:rsid w:val="00F02AE8"/>
    <w:rsid w:val="00F06058"/>
    <w:rsid w:val="00F073BE"/>
    <w:rsid w:val="00F119B9"/>
    <w:rsid w:val="00F13C05"/>
    <w:rsid w:val="00F14E87"/>
    <w:rsid w:val="00F1501D"/>
    <w:rsid w:val="00F20FF7"/>
    <w:rsid w:val="00F23A40"/>
    <w:rsid w:val="00F263D9"/>
    <w:rsid w:val="00F26B93"/>
    <w:rsid w:val="00F276B7"/>
    <w:rsid w:val="00F32D16"/>
    <w:rsid w:val="00F34804"/>
    <w:rsid w:val="00F34B09"/>
    <w:rsid w:val="00F35873"/>
    <w:rsid w:val="00F366D6"/>
    <w:rsid w:val="00F36937"/>
    <w:rsid w:val="00F4077B"/>
    <w:rsid w:val="00F434A0"/>
    <w:rsid w:val="00F51863"/>
    <w:rsid w:val="00F5214C"/>
    <w:rsid w:val="00F55596"/>
    <w:rsid w:val="00F56B10"/>
    <w:rsid w:val="00F66D3A"/>
    <w:rsid w:val="00F702E1"/>
    <w:rsid w:val="00F71250"/>
    <w:rsid w:val="00F734E1"/>
    <w:rsid w:val="00F768A1"/>
    <w:rsid w:val="00F816D5"/>
    <w:rsid w:val="00F8371F"/>
    <w:rsid w:val="00F839F3"/>
    <w:rsid w:val="00F83F3B"/>
    <w:rsid w:val="00F84382"/>
    <w:rsid w:val="00F87807"/>
    <w:rsid w:val="00F9338B"/>
    <w:rsid w:val="00F94B48"/>
    <w:rsid w:val="00F96991"/>
    <w:rsid w:val="00F96B4A"/>
    <w:rsid w:val="00FA0114"/>
    <w:rsid w:val="00FA0458"/>
    <w:rsid w:val="00FA2055"/>
    <w:rsid w:val="00FA2D67"/>
    <w:rsid w:val="00FA5421"/>
    <w:rsid w:val="00FA6F10"/>
    <w:rsid w:val="00FA741E"/>
    <w:rsid w:val="00FB034E"/>
    <w:rsid w:val="00FB09DF"/>
    <w:rsid w:val="00FB2509"/>
    <w:rsid w:val="00FB3AC9"/>
    <w:rsid w:val="00FB51AD"/>
    <w:rsid w:val="00FB76B1"/>
    <w:rsid w:val="00FC5ACB"/>
    <w:rsid w:val="00FD1D01"/>
    <w:rsid w:val="00FD5180"/>
    <w:rsid w:val="00FD5D14"/>
    <w:rsid w:val="00FD5F91"/>
    <w:rsid w:val="00FE125B"/>
    <w:rsid w:val="00FE197F"/>
    <w:rsid w:val="00FE2A08"/>
    <w:rsid w:val="00FE2CD4"/>
    <w:rsid w:val="00FE73FC"/>
    <w:rsid w:val="00FF14CF"/>
    <w:rsid w:val="00FF3031"/>
    <w:rsid w:val="00FF4122"/>
    <w:rsid w:val="00FF47A7"/>
    <w:rsid w:val="00FF5428"/>
    <w:rsid w:val="00FF737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0A954"/>
  <w15:docId w15:val="{A385253D-2407-4108-A4BB-5399FE0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631"/>
    <w:rPr>
      <w:rFonts w:ascii="Verdana" w:eastAsia="Times New Roman" w:hAnsi="Verdana"/>
      <w:sz w:val="22"/>
      <w:szCs w:val="24"/>
      <w:lang w:val="en-US" w:eastAsia="en-US"/>
    </w:rPr>
  </w:style>
  <w:style w:type="paragraph" w:styleId="Ttulo8">
    <w:name w:val="heading 8"/>
    <w:basedOn w:val="Normal"/>
    <w:next w:val="Normal"/>
    <w:link w:val="Ttulo8Car"/>
    <w:qFormat/>
    <w:rsid w:val="004951CB"/>
    <w:pPr>
      <w:keepNext/>
      <w:jc w:val="both"/>
      <w:outlineLvl w:val="7"/>
    </w:pPr>
    <w:rPr>
      <w:rFonts w:ascii="Arial" w:hAnsi="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CF4"/>
    <w:pPr>
      <w:tabs>
        <w:tab w:val="center" w:pos="4680"/>
        <w:tab w:val="right" w:pos="9360"/>
      </w:tabs>
    </w:pPr>
    <w:rPr>
      <w:rFonts w:ascii="Calibri" w:eastAsia="Calibri" w:hAnsi="Calibri"/>
      <w:szCs w:val="22"/>
    </w:rPr>
  </w:style>
  <w:style w:type="character" w:customStyle="1" w:styleId="EncabezadoCar">
    <w:name w:val="Encabezado Car"/>
    <w:basedOn w:val="Fuentedeprrafopredeter"/>
    <w:link w:val="Encabezado"/>
    <w:uiPriority w:val="99"/>
    <w:rsid w:val="00451CF4"/>
  </w:style>
  <w:style w:type="paragraph" w:styleId="Piedepgina">
    <w:name w:val="footer"/>
    <w:basedOn w:val="Normal"/>
    <w:link w:val="PiedepginaCar"/>
    <w:uiPriority w:val="99"/>
    <w:unhideWhenUsed/>
    <w:rsid w:val="00451CF4"/>
    <w:pPr>
      <w:tabs>
        <w:tab w:val="center" w:pos="4680"/>
        <w:tab w:val="right" w:pos="9360"/>
      </w:tabs>
    </w:pPr>
    <w:rPr>
      <w:rFonts w:ascii="Calibri" w:eastAsia="Calibri" w:hAnsi="Calibri"/>
      <w:szCs w:val="22"/>
    </w:rPr>
  </w:style>
  <w:style w:type="character" w:customStyle="1" w:styleId="PiedepginaCar">
    <w:name w:val="Pie de página Car"/>
    <w:basedOn w:val="Fuentedeprrafopredeter"/>
    <w:link w:val="Piedepgina"/>
    <w:uiPriority w:val="99"/>
    <w:rsid w:val="00451CF4"/>
  </w:style>
  <w:style w:type="paragraph" w:styleId="Textodeglobo">
    <w:name w:val="Balloon Text"/>
    <w:basedOn w:val="Normal"/>
    <w:link w:val="TextodegloboCar"/>
    <w:unhideWhenUsed/>
    <w:rsid w:val="00451CF4"/>
    <w:rPr>
      <w:rFonts w:ascii="Tahoma" w:eastAsia="Calibri" w:hAnsi="Tahoma" w:cs="Tahoma"/>
      <w:sz w:val="16"/>
      <w:szCs w:val="16"/>
    </w:rPr>
  </w:style>
  <w:style w:type="character" w:customStyle="1" w:styleId="TextodegloboCar">
    <w:name w:val="Texto de globo Car"/>
    <w:basedOn w:val="Fuentedeprrafopredeter"/>
    <w:link w:val="Textodeglobo"/>
    <w:rsid w:val="00451CF4"/>
    <w:rPr>
      <w:rFonts w:ascii="Tahoma" w:hAnsi="Tahoma" w:cs="Tahoma"/>
      <w:sz w:val="16"/>
      <w:szCs w:val="16"/>
    </w:rPr>
  </w:style>
  <w:style w:type="character" w:styleId="Hipervnculo">
    <w:name w:val="Hyperlink"/>
    <w:uiPriority w:val="99"/>
    <w:rsid w:val="00997CEA"/>
    <w:rPr>
      <w:color w:val="0000FF"/>
      <w:u w:val="single"/>
    </w:rPr>
  </w:style>
  <w:style w:type="paragraph" w:customStyle="1" w:styleId="MICONHEADER1">
    <w:name w:val="MICON HEADER1"/>
    <w:basedOn w:val="Normal"/>
    <w:rsid w:val="00997CEA"/>
    <w:pPr>
      <w:tabs>
        <w:tab w:val="left" w:pos="720"/>
      </w:tabs>
      <w:ind w:left="1080"/>
      <w:jc w:val="both"/>
    </w:pPr>
    <w:rPr>
      <w:rFonts w:ascii="Times New Roman" w:eastAsia="Calibri" w:hAnsi="Times New Roman"/>
      <w:b/>
      <w:caps/>
      <w:sz w:val="24"/>
    </w:rPr>
  </w:style>
  <w:style w:type="paragraph" w:styleId="Prrafodelista">
    <w:name w:val="List Paragraph"/>
    <w:basedOn w:val="Normal"/>
    <w:uiPriority w:val="34"/>
    <w:qFormat/>
    <w:rsid w:val="00997CEA"/>
    <w:pPr>
      <w:ind w:left="720"/>
      <w:contextualSpacing/>
    </w:pPr>
    <w:rPr>
      <w:rFonts w:ascii="Times New Roman" w:hAnsi="Times New Roman"/>
      <w:sz w:val="24"/>
    </w:rPr>
  </w:style>
  <w:style w:type="paragraph" w:customStyle="1" w:styleId="MacPacTrailer">
    <w:name w:val="MacPac Trailer"/>
    <w:rsid w:val="00E8633E"/>
    <w:pPr>
      <w:widowControl w:val="0"/>
      <w:spacing w:line="200" w:lineRule="exact"/>
    </w:pPr>
    <w:rPr>
      <w:rFonts w:ascii="Times New Roman" w:eastAsia="Times New Roman" w:hAnsi="Times New Roman"/>
      <w:sz w:val="16"/>
      <w:szCs w:val="22"/>
      <w:lang w:val="en-US" w:eastAsia="en-US"/>
    </w:rPr>
  </w:style>
  <w:style w:type="paragraph" w:styleId="Textosinformato">
    <w:name w:val="Plain Text"/>
    <w:basedOn w:val="Normal"/>
    <w:link w:val="TextosinformatoCar"/>
    <w:uiPriority w:val="99"/>
    <w:unhideWhenUsed/>
    <w:rsid w:val="00431AE5"/>
    <w:rPr>
      <w:rFonts w:ascii="Consolas" w:eastAsia="Calibri" w:hAnsi="Consolas" w:cs="Consolas"/>
      <w:sz w:val="21"/>
      <w:szCs w:val="21"/>
      <w:lang w:val="en-CA"/>
    </w:rPr>
  </w:style>
  <w:style w:type="character" w:customStyle="1" w:styleId="TextosinformatoCar">
    <w:name w:val="Texto sin formato Car"/>
    <w:basedOn w:val="Fuentedeprrafopredeter"/>
    <w:link w:val="Textosinformato"/>
    <w:uiPriority w:val="99"/>
    <w:rsid w:val="00431AE5"/>
    <w:rPr>
      <w:rFonts w:ascii="Consolas" w:hAnsi="Consolas" w:cs="Consolas"/>
      <w:sz w:val="21"/>
      <w:szCs w:val="21"/>
      <w:lang w:val="en-CA"/>
    </w:rPr>
  </w:style>
  <w:style w:type="paragraph" w:customStyle="1" w:styleId="Default">
    <w:name w:val="Default"/>
    <w:rsid w:val="00B62AB6"/>
    <w:pPr>
      <w:widowControl w:val="0"/>
      <w:autoSpaceDE w:val="0"/>
      <w:autoSpaceDN w:val="0"/>
      <w:adjustRightInd w:val="0"/>
      <w:jc w:val="both"/>
    </w:pPr>
    <w:rPr>
      <w:rFonts w:ascii="Arial" w:eastAsia="Times New Roman" w:hAnsi="Arial" w:cs="Arial"/>
      <w:color w:val="000000"/>
      <w:sz w:val="24"/>
      <w:szCs w:val="24"/>
      <w:lang w:val="en-US" w:eastAsia="en-US"/>
    </w:rPr>
  </w:style>
  <w:style w:type="paragraph" w:customStyle="1" w:styleId="tabletext">
    <w:name w:val="table text"/>
    <w:aliases w:val="tt,Table Text,table tex"/>
    <w:basedOn w:val="Normal"/>
    <w:link w:val="TableTextChar"/>
    <w:qFormat/>
    <w:rsid w:val="00B62AB6"/>
    <w:pPr>
      <w:keepNext/>
      <w:jc w:val="both"/>
    </w:pPr>
    <w:rPr>
      <w:rFonts w:ascii="Times New Roman" w:hAnsi="Times New Roman"/>
      <w:sz w:val="20"/>
      <w:lang w:val="en-CA"/>
    </w:rPr>
  </w:style>
  <w:style w:type="paragraph" w:customStyle="1" w:styleId="SecurityL1">
    <w:name w:val="Security_L1"/>
    <w:basedOn w:val="Normal"/>
    <w:next w:val="Normal"/>
    <w:rsid w:val="00B62AB6"/>
    <w:pPr>
      <w:keepNext/>
      <w:numPr>
        <w:numId w:val="7"/>
      </w:numPr>
      <w:spacing w:after="240"/>
      <w:jc w:val="center"/>
      <w:outlineLvl w:val="0"/>
    </w:pPr>
    <w:rPr>
      <w:rFonts w:ascii="Times New Roman" w:hAnsi="Times New Roman"/>
      <w:b/>
      <w:caps/>
      <w:szCs w:val="20"/>
      <w:lang w:val="en-CA"/>
    </w:rPr>
  </w:style>
  <w:style w:type="paragraph" w:customStyle="1" w:styleId="SecurityL2">
    <w:name w:val="Security_L2"/>
    <w:basedOn w:val="SecurityL1"/>
    <w:next w:val="Normal"/>
    <w:rsid w:val="00B62AB6"/>
    <w:pPr>
      <w:numPr>
        <w:ilvl w:val="1"/>
      </w:numPr>
      <w:tabs>
        <w:tab w:val="left" w:pos="1440"/>
      </w:tabs>
      <w:jc w:val="both"/>
      <w:outlineLvl w:val="1"/>
    </w:pPr>
    <w:rPr>
      <w:caps w:val="0"/>
    </w:rPr>
  </w:style>
  <w:style w:type="paragraph" w:customStyle="1" w:styleId="SecurityL3">
    <w:name w:val="Security_L3"/>
    <w:basedOn w:val="SecurityL2"/>
    <w:next w:val="Normal"/>
    <w:rsid w:val="00B62AB6"/>
    <w:pPr>
      <w:numPr>
        <w:ilvl w:val="2"/>
      </w:numPr>
      <w:outlineLvl w:val="2"/>
    </w:pPr>
    <w:rPr>
      <w:i/>
    </w:rPr>
  </w:style>
  <w:style w:type="paragraph" w:customStyle="1" w:styleId="SecurityL4">
    <w:name w:val="Security_L4"/>
    <w:basedOn w:val="SecurityL3"/>
    <w:next w:val="Normal"/>
    <w:rsid w:val="00B62AB6"/>
    <w:pPr>
      <w:numPr>
        <w:ilvl w:val="3"/>
      </w:numPr>
      <w:outlineLvl w:val="3"/>
    </w:pPr>
    <w:rPr>
      <w:b w:val="0"/>
    </w:rPr>
  </w:style>
  <w:style w:type="paragraph" w:customStyle="1" w:styleId="SecurityL5">
    <w:name w:val="Security_L5"/>
    <w:basedOn w:val="SecurityL4"/>
    <w:rsid w:val="00B62AB6"/>
    <w:pPr>
      <w:keepNext w:val="0"/>
      <w:numPr>
        <w:ilvl w:val="4"/>
      </w:numPr>
      <w:outlineLvl w:val="4"/>
    </w:pPr>
    <w:rPr>
      <w:i w:val="0"/>
      <w:sz w:val="20"/>
    </w:rPr>
  </w:style>
  <w:style w:type="paragraph" w:customStyle="1" w:styleId="SecurityL6">
    <w:name w:val="Security_L6"/>
    <w:basedOn w:val="SecurityL5"/>
    <w:rsid w:val="00B62AB6"/>
    <w:pPr>
      <w:numPr>
        <w:ilvl w:val="5"/>
      </w:numPr>
      <w:outlineLvl w:val="5"/>
    </w:pPr>
  </w:style>
  <w:style w:type="paragraph" w:customStyle="1" w:styleId="SecurityL7">
    <w:name w:val="Security_L7"/>
    <w:basedOn w:val="SecurityL6"/>
    <w:rsid w:val="00B62AB6"/>
    <w:pPr>
      <w:numPr>
        <w:ilvl w:val="6"/>
      </w:numPr>
      <w:outlineLvl w:val="6"/>
    </w:pPr>
  </w:style>
  <w:style w:type="paragraph" w:customStyle="1" w:styleId="SecurityL8">
    <w:name w:val="Security_L8"/>
    <w:basedOn w:val="SecurityL7"/>
    <w:next w:val="Normal"/>
    <w:rsid w:val="00B62AB6"/>
    <w:pPr>
      <w:numPr>
        <w:ilvl w:val="7"/>
      </w:numPr>
      <w:spacing w:before="120" w:after="120"/>
      <w:outlineLvl w:val="7"/>
    </w:pPr>
    <w:rPr>
      <w:sz w:val="18"/>
    </w:rPr>
  </w:style>
  <w:style w:type="paragraph" w:customStyle="1" w:styleId="SecurityL9">
    <w:name w:val="Security_L9"/>
    <w:basedOn w:val="SecurityL8"/>
    <w:rsid w:val="00B62AB6"/>
    <w:pPr>
      <w:numPr>
        <w:ilvl w:val="8"/>
      </w:numPr>
      <w:spacing w:before="0" w:after="60"/>
      <w:outlineLvl w:val="8"/>
    </w:pPr>
    <w:rPr>
      <w:i/>
    </w:rPr>
  </w:style>
  <w:style w:type="paragraph" w:styleId="Textoindependiente">
    <w:name w:val="Body Text"/>
    <w:aliases w:val="bt"/>
    <w:basedOn w:val="Normal"/>
    <w:link w:val="TextoindependienteCar"/>
    <w:rsid w:val="00B62AB6"/>
    <w:pPr>
      <w:spacing w:after="240" w:line="240" w:lineRule="atLeast"/>
      <w:jc w:val="both"/>
    </w:pPr>
    <w:rPr>
      <w:rFonts w:ascii="Times New Roman" w:hAnsi="Times New Roman"/>
      <w:lang w:val="en-CA"/>
    </w:rPr>
  </w:style>
  <w:style w:type="character" w:customStyle="1" w:styleId="TextoindependienteCar">
    <w:name w:val="Texto independiente Car"/>
    <w:aliases w:val="bt Car"/>
    <w:basedOn w:val="Fuentedeprrafopredeter"/>
    <w:link w:val="Textoindependiente"/>
    <w:rsid w:val="00B62AB6"/>
    <w:rPr>
      <w:rFonts w:ascii="Times New Roman" w:eastAsia="Times New Roman" w:hAnsi="Times New Roman" w:cs="Times New Roman"/>
      <w:szCs w:val="24"/>
      <w:lang w:val="en-CA"/>
    </w:rPr>
  </w:style>
  <w:style w:type="character" w:customStyle="1" w:styleId="TableTextChar">
    <w:name w:val="Table Text Char"/>
    <w:aliases w:val="tt Char"/>
    <w:basedOn w:val="Fuentedeprrafopredeter"/>
    <w:link w:val="tabletext"/>
    <w:rsid w:val="00B62AB6"/>
    <w:rPr>
      <w:rFonts w:ascii="Times New Roman" w:eastAsia="Times New Roman" w:hAnsi="Times New Roman" w:cs="Times New Roman"/>
      <w:sz w:val="20"/>
      <w:szCs w:val="24"/>
      <w:lang w:val="en-CA"/>
    </w:rPr>
  </w:style>
  <w:style w:type="character" w:customStyle="1" w:styleId="Ttulo8Car">
    <w:name w:val="Título 8 Car"/>
    <w:basedOn w:val="Fuentedeprrafopredeter"/>
    <w:link w:val="Ttulo8"/>
    <w:rsid w:val="004951CB"/>
    <w:rPr>
      <w:rFonts w:ascii="Arial" w:eastAsia="Times New Roman" w:hAnsi="Arial" w:cs="Times New Roman"/>
      <w:b/>
      <w:bCs/>
      <w:sz w:val="20"/>
      <w:szCs w:val="20"/>
    </w:rPr>
  </w:style>
  <w:style w:type="character" w:styleId="Refdecomentario">
    <w:name w:val="annotation reference"/>
    <w:unhideWhenUsed/>
    <w:rsid w:val="004951CB"/>
    <w:rPr>
      <w:sz w:val="16"/>
      <w:szCs w:val="16"/>
    </w:rPr>
  </w:style>
  <w:style w:type="paragraph" w:styleId="Textocomentario">
    <w:name w:val="annotation text"/>
    <w:basedOn w:val="Normal"/>
    <w:link w:val="TextocomentarioCar"/>
    <w:uiPriority w:val="99"/>
    <w:semiHidden/>
    <w:unhideWhenUsed/>
    <w:rsid w:val="004951CB"/>
    <w:rPr>
      <w:rFonts w:ascii="Arial" w:hAnsi="Arial"/>
      <w:sz w:val="20"/>
      <w:szCs w:val="20"/>
    </w:rPr>
  </w:style>
  <w:style w:type="character" w:customStyle="1" w:styleId="TextocomentarioCar">
    <w:name w:val="Texto comentario Car"/>
    <w:basedOn w:val="Fuentedeprrafopredeter"/>
    <w:link w:val="Textocomentario"/>
    <w:uiPriority w:val="99"/>
    <w:semiHidden/>
    <w:rsid w:val="004951CB"/>
    <w:rPr>
      <w:rFonts w:ascii="Arial" w:eastAsia="Times New Roman" w:hAnsi="Arial" w:cs="Times New Roman"/>
      <w:sz w:val="20"/>
      <w:szCs w:val="20"/>
    </w:rPr>
  </w:style>
  <w:style w:type="paragraph" w:styleId="Textoindependiente2">
    <w:name w:val="Body Text 2"/>
    <w:basedOn w:val="Normal"/>
    <w:link w:val="Textoindependiente2Car"/>
    <w:unhideWhenUsed/>
    <w:rsid w:val="003E2504"/>
    <w:pPr>
      <w:spacing w:after="120" w:line="480" w:lineRule="auto"/>
    </w:pPr>
  </w:style>
  <w:style w:type="character" w:customStyle="1" w:styleId="Textoindependiente2Car">
    <w:name w:val="Texto independiente 2 Car"/>
    <w:basedOn w:val="Fuentedeprrafopredeter"/>
    <w:link w:val="Textoindependiente2"/>
    <w:rsid w:val="003E2504"/>
    <w:rPr>
      <w:rFonts w:ascii="Verdana" w:eastAsia="Times New Roman" w:hAnsi="Verdana" w:cs="Times New Roman"/>
      <w:szCs w:val="24"/>
    </w:rPr>
  </w:style>
  <w:style w:type="paragraph" w:styleId="Sangradetextonormal">
    <w:name w:val="Body Text Indent"/>
    <w:basedOn w:val="Normal"/>
    <w:link w:val="SangradetextonormalCar"/>
    <w:uiPriority w:val="99"/>
    <w:semiHidden/>
    <w:unhideWhenUsed/>
    <w:rsid w:val="002A7212"/>
    <w:pPr>
      <w:spacing w:after="120"/>
      <w:ind w:left="283"/>
    </w:pPr>
  </w:style>
  <w:style w:type="character" w:customStyle="1" w:styleId="SangradetextonormalCar">
    <w:name w:val="Sangría de texto normal Car"/>
    <w:basedOn w:val="Fuentedeprrafopredeter"/>
    <w:link w:val="Sangradetextonormal"/>
    <w:uiPriority w:val="99"/>
    <w:semiHidden/>
    <w:rsid w:val="002A7212"/>
    <w:rPr>
      <w:rFonts w:ascii="Verdana" w:eastAsia="Times New Roman" w:hAnsi="Verdana"/>
      <w:sz w:val="22"/>
      <w:szCs w:val="24"/>
    </w:rPr>
  </w:style>
  <w:style w:type="paragraph" w:styleId="Asuntodelcomentario">
    <w:name w:val="annotation subject"/>
    <w:basedOn w:val="Textocomentario"/>
    <w:next w:val="Textocomentario"/>
    <w:link w:val="AsuntodelcomentarioCar"/>
    <w:uiPriority w:val="99"/>
    <w:semiHidden/>
    <w:unhideWhenUsed/>
    <w:rsid w:val="008A56D8"/>
    <w:rPr>
      <w:rFonts w:ascii="Verdana" w:hAnsi="Verdana"/>
      <w:b/>
      <w:bCs/>
    </w:rPr>
  </w:style>
  <w:style w:type="character" w:customStyle="1" w:styleId="AsuntodelcomentarioCar">
    <w:name w:val="Asunto del comentario Car"/>
    <w:basedOn w:val="TextocomentarioCar"/>
    <w:link w:val="Asuntodelcomentario"/>
    <w:uiPriority w:val="99"/>
    <w:semiHidden/>
    <w:rsid w:val="008A56D8"/>
    <w:rPr>
      <w:rFonts w:ascii="Verdana" w:eastAsia="Times New Roman" w:hAnsi="Verdana" w:cs="Times New Roman"/>
      <w:b/>
      <w:bCs/>
      <w:sz w:val="20"/>
      <w:szCs w:val="20"/>
    </w:rPr>
  </w:style>
  <w:style w:type="paragraph" w:styleId="Revisin">
    <w:name w:val="Revision"/>
    <w:hidden/>
    <w:uiPriority w:val="99"/>
    <w:semiHidden/>
    <w:rsid w:val="008A56D8"/>
    <w:rPr>
      <w:rFonts w:ascii="Verdana" w:eastAsia="Times New Roman" w:hAnsi="Verdana"/>
      <w:sz w:val="22"/>
      <w:szCs w:val="24"/>
      <w:lang w:val="en-US" w:eastAsia="en-US"/>
    </w:rPr>
  </w:style>
  <w:style w:type="paragraph" w:customStyle="1" w:styleId="AuditBody">
    <w:name w:val="AuditBody"/>
    <w:aliases w:val="ab,Audit Body"/>
    <w:basedOn w:val="Normal"/>
    <w:rsid w:val="002B0AA5"/>
    <w:pPr>
      <w:overflowPunct w:val="0"/>
      <w:autoSpaceDE w:val="0"/>
      <w:autoSpaceDN w:val="0"/>
      <w:adjustRightInd w:val="0"/>
      <w:spacing w:before="120" w:line="280" w:lineRule="atLeast"/>
      <w:jc w:val="both"/>
      <w:textAlignment w:val="baseline"/>
    </w:pPr>
    <w:rPr>
      <w:rFonts w:ascii="Arial" w:hAnsi="Arial"/>
      <w:sz w:val="20"/>
      <w:szCs w:val="20"/>
    </w:rPr>
  </w:style>
  <w:style w:type="paragraph" w:customStyle="1" w:styleId="FS2">
    <w:name w:val="FS2"/>
    <w:basedOn w:val="Normal"/>
    <w:link w:val="FS2Char"/>
    <w:rsid w:val="00810E7B"/>
    <w:pPr>
      <w:tabs>
        <w:tab w:val="decimal" w:pos="7280"/>
        <w:tab w:val="decimal" w:pos="9000"/>
      </w:tabs>
      <w:overflowPunct w:val="0"/>
      <w:autoSpaceDE w:val="0"/>
      <w:autoSpaceDN w:val="0"/>
      <w:adjustRightInd w:val="0"/>
      <w:ind w:left="540" w:hanging="180"/>
      <w:textAlignment w:val="baseline"/>
    </w:pPr>
    <w:rPr>
      <w:rFonts w:ascii="Arial" w:hAnsi="Arial"/>
      <w:sz w:val="20"/>
      <w:szCs w:val="20"/>
    </w:rPr>
  </w:style>
  <w:style w:type="character" w:customStyle="1" w:styleId="FS2Char">
    <w:name w:val="FS2 Char"/>
    <w:link w:val="FS2"/>
    <w:rsid w:val="00810E7B"/>
    <w:rPr>
      <w:rFonts w:ascii="Arial" w:eastAsia="Times New Roman" w:hAnsi="Arial"/>
    </w:rPr>
  </w:style>
  <w:style w:type="paragraph" w:customStyle="1" w:styleId="SecurityCont2">
    <w:name w:val="Security Cont 2"/>
    <w:aliases w:val="s2"/>
    <w:basedOn w:val="Normal"/>
    <w:rsid w:val="00810E7B"/>
    <w:pPr>
      <w:spacing w:after="240"/>
      <w:jc w:val="both"/>
    </w:pPr>
    <w:rPr>
      <w:rFonts w:ascii="Times New Roman" w:hAnsi="Times New Roman"/>
      <w:sz w:val="20"/>
      <w:szCs w:val="20"/>
      <w:lang w:val="en-CA"/>
    </w:rPr>
  </w:style>
  <w:style w:type="paragraph" w:styleId="NormalWeb">
    <w:name w:val="Normal (Web)"/>
    <w:basedOn w:val="Normal"/>
    <w:uiPriority w:val="99"/>
    <w:semiHidden/>
    <w:unhideWhenUsed/>
    <w:rsid w:val="0098509E"/>
    <w:pPr>
      <w:spacing w:before="100" w:beforeAutospacing="1" w:after="100" w:afterAutospacing="1"/>
    </w:pPr>
    <w:rPr>
      <w:rFonts w:ascii="Times New Roman" w:eastAsia="Calibri" w:hAnsi="Times New Roman"/>
      <w:sz w:val="24"/>
      <w:lang w:val="es-AR" w:eastAsia="es-AR"/>
    </w:rPr>
  </w:style>
  <w:style w:type="paragraph" w:customStyle="1" w:styleId="yiv2012610974msonormal">
    <w:name w:val="yiv2012610974msonormal"/>
    <w:basedOn w:val="Normal"/>
    <w:rsid w:val="009D6982"/>
    <w:pPr>
      <w:spacing w:before="100" w:beforeAutospacing="1" w:after="100" w:afterAutospacing="1"/>
    </w:pPr>
    <w:rPr>
      <w:rFonts w:ascii="Times New Roman" w:hAnsi="Times New Roman"/>
      <w:sz w:val="24"/>
    </w:rPr>
  </w:style>
  <w:style w:type="table" w:styleId="Tablaconcuadrcula">
    <w:name w:val="Table Grid"/>
    <w:basedOn w:val="Tablanormal"/>
    <w:uiPriority w:val="59"/>
    <w:rsid w:val="009D6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8633E"/>
    <w:rPr>
      <w:color w:val="808080"/>
    </w:rPr>
  </w:style>
  <w:style w:type="character" w:styleId="Mencinsinresolver">
    <w:name w:val="Unresolved Mention"/>
    <w:basedOn w:val="Fuentedeprrafopredeter"/>
    <w:uiPriority w:val="99"/>
    <w:semiHidden/>
    <w:unhideWhenUsed/>
    <w:rsid w:val="00E10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625594">
      <w:bodyDiv w:val="1"/>
      <w:marLeft w:val="0"/>
      <w:marRight w:val="0"/>
      <w:marTop w:val="0"/>
      <w:marBottom w:val="0"/>
      <w:divBdr>
        <w:top w:val="none" w:sz="0" w:space="0" w:color="auto"/>
        <w:left w:val="none" w:sz="0" w:space="0" w:color="auto"/>
        <w:bottom w:val="none" w:sz="0" w:space="0" w:color="auto"/>
        <w:right w:val="none" w:sz="0" w:space="0" w:color="auto"/>
      </w:divBdr>
    </w:div>
    <w:div w:id="848372547">
      <w:bodyDiv w:val="1"/>
      <w:marLeft w:val="0"/>
      <w:marRight w:val="0"/>
      <w:marTop w:val="0"/>
      <w:marBottom w:val="0"/>
      <w:divBdr>
        <w:top w:val="none" w:sz="0" w:space="0" w:color="auto"/>
        <w:left w:val="none" w:sz="0" w:space="0" w:color="auto"/>
        <w:bottom w:val="none" w:sz="0" w:space="0" w:color="auto"/>
        <w:right w:val="none" w:sz="0" w:space="0" w:color="auto"/>
      </w:divBdr>
    </w:div>
    <w:div w:id="10730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rownpointenergy.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edarplus.ca" TargetMode="External"/><Relationship Id="rId17" Type="http://schemas.openxmlformats.org/officeDocument/2006/relationships/hyperlink" Target="http://www.crownpointenergy.c" TargetMode="External"/><Relationship Id="rId2" Type="http://schemas.openxmlformats.org/officeDocument/2006/relationships/customXml" Target="../customXml/item2.xml"/><Relationship Id="rId16" Type="http://schemas.openxmlformats.org/officeDocument/2006/relationships/hyperlink" Target="http://www.sedarplus.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tormakh@crownpointenergy.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obrador@crownpointenergy.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d o c u m e n t i d > A c t i v e ! 1 3 9 5 0 5 8 8 . 1 < / d o c u m e n t i d > < s e n d e r i d > J T O < / s e n d e r i d > < s e n d e r e m a i l > J T O @ B D P L A W . C O M < / s e n d e r e m a i l > < l a s t m o d i f i e d > 2 0 2 4 - 0 8 - 0 2 T 1 5 : 3 6 : 0 0 . 0 0 0 0 0 0 0 - 0 6 : 0 0 < / l a s t m o d i f i e d > < d a t a b a s e > A c t i v e < / d a t a b a s 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C02EB-9C1F-4802-855C-49F90BE75A78}">
  <ds:schemaRefs>
    <ds:schemaRef ds:uri="http://schemas.openxmlformats.org/officeDocument/2006/bibliography"/>
  </ds:schemaRefs>
</ds:datastoreItem>
</file>

<file path=customXml/itemProps2.xml><?xml version="1.0" encoding="utf-8"?>
<ds:datastoreItem xmlns:ds="http://schemas.openxmlformats.org/officeDocument/2006/customXml" ds:itemID="{E1B153D3-C18D-443A-913F-DD059782EA50}">
  <ds:schemaRefs>
    <ds:schemaRef ds:uri="http://www.imanage.com/work/xmlschema"/>
  </ds:schemaRefs>
</ds:datastoreItem>
</file>

<file path=customXml/itemProps3.xml><?xml version="1.0" encoding="utf-8"?>
<ds:datastoreItem xmlns:ds="http://schemas.openxmlformats.org/officeDocument/2006/customXml" ds:itemID="{55FB6153-F9F3-44E8-9FB8-92BB5BD60D75}">
  <ds:schemaRefs>
    <ds:schemaRef ds:uri="http://schemas.openxmlformats.org/officeDocument/2006/bibliography"/>
  </ds:schemaRefs>
</ds:datastoreItem>
</file>

<file path=customXml/itemProps4.xml><?xml version="1.0" encoding="utf-8"?>
<ds:datastoreItem xmlns:ds="http://schemas.openxmlformats.org/officeDocument/2006/customXml" ds:itemID="{64C31212-4698-42D2-92F3-F839D94F2972}">
  <ds:schemaRefs>
    <ds:schemaRef ds:uri="http://schemas.openxmlformats.org/officeDocument/2006/bibliography"/>
  </ds:schemaRefs>
</ds:datastoreItem>
</file>

<file path=customXml/itemProps5.xml><?xml version="1.0" encoding="utf-8"?>
<ds:datastoreItem xmlns:ds="http://schemas.openxmlformats.org/officeDocument/2006/customXml" ds:itemID="{FE343639-854E-4696-8054-DD2AC05F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2167</Words>
  <Characters>12357</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14496</CharactersWithSpaces>
  <SharedDoc>false</SharedDoc>
  <HLinks>
    <vt:vector size="42" baseType="variant">
      <vt:variant>
        <vt:i4>3014718</vt:i4>
      </vt:variant>
      <vt:variant>
        <vt:i4>18</vt:i4>
      </vt:variant>
      <vt:variant>
        <vt:i4>0</vt:i4>
      </vt:variant>
      <vt:variant>
        <vt:i4>5</vt:i4>
      </vt:variant>
      <vt:variant>
        <vt:lpwstr>http://www.crownpointenergy.c/</vt:lpwstr>
      </vt:variant>
      <vt:variant>
        <vt:lpwstr/>
      </vt:variant>
      <vt:variant>
        <vt:i4>4194325</vt:i4>
      </vt:variant>
      <vt:variant>
        <vt:i4>15</vt:i4>
      </vt:variant>
      <vt:variant>
        <vt:i4>0</vt:i4>
      </vt:variant>
      <vt:variant>
        <vt:i4>5</vt:i4>
      </vt:variant>
      <vt:variant>
        <vt:lpwstr>http://www.sedar.com/</vt:lpwstr>
      </vt:variant>
      <vt:variant>
        <vt:lpwstr/>
      </vt:variant>
      <vt:variant>
        <vt:i4>4259923</vt:i4>
      </vt:variant>
      <vt:variant>
        <vt:i4>12</vt:i4>
      </vt:variant>
      <vt:variant>
        <vt:i4>0</vt:i4>
      </vt:variant>
      <vt:variant>
        <vt:i4>5</vt:i4>
      </vt:variant>
      <vt:variant>
        <vt:lpwstr>http://www.crownpointenergy.com/</vt:lpwstr>
      </vt:variant>
      <vt:variant>
        <vt:lpwstr/>
      </vt:variant>
      <vt:variant>
        <vt:i4>2949128</vt:i4>
      </vt:variant>
      <vt:variant>
        <vt:i4>9</vt:i4>
      </vt:variant>
      <vt:variant>
        <vt:i4>0</vt:i4>
      </vt:variant>
      <vt:variant>
        <vt:i4>5</vt:i4>
      </vt:variant>
      <vt:variant>
        <vt:lpwstr>mailto:amadden@crownpointenergy.com</vt:lpwstr>
      </vt:variant>
      <vt:variant>
        <vt:lpwstr/>
      </vt:variant>
      <vt:variant>
        <vt:i4>5832826</vt:i4>
      </vt:variant>
      <vt:variant>
        <vt:i4>6</vt:i4>
      </vt:variant>
      <vt:variant>
        <vt:i4>0</vt:i4>
      </vt:variant>
      <vt:variant>
        <vt:i4>5</vt:i4>
      </vt:variant>
      <vt:variant>
        <vt:lpwstr>mailto:bmoss@crownpointenergy.com</vt:lpwstr>
      </vt:variant>
      <vt:variant>
        <vt:lpwstr/>
      </vt:variant>
      <vt:variant>
        <vt:i4>4259923</vt:i4>
      </vt:variant>
      <vt:variant>
        <vt:i4>3</vt:i4>
      </vt:variant>
      <vt:variant>
        <vt:i4>0</vt:i4>
      </vt:variant>
      <vt:variant>
        <vt:i4>5</vt:i4>
      </vt:variant>
      <vt:variant>
        <vt:lpwstr>http://www.crownpointenergy.com/</vt:lpwstr>
      </vt:variant>
      <vt:variant>
        <vt:lpwstr/>
      </vt:variant>
      <vt:variant>
        <vt:i4>4194325</vt:i4>
      </vt:variant>
      <vt:variant>
        <vt:i4>0</vt:i4>
      </vt:variant>
      <vt:variant>
        <vt:i4>0</vt:i4>
      </vt:variant>
      <vt:variant>
        <vt:i4>5</vt:i4>
      </vt:variant>
      <vt:variant>
        <vt:lpwstr>http://www.sedar.com/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Seifert</dc:creator>
  <cp:lastModifiedBy>Maria Adriel</cp:lastModifiedBy>
  <cp:revision>4</cp:revision>
  <cp:lastPrinted>2016-07-22T15:09:00Z</cp:lastPrinted>
  <dcterms:created xsi:type="dcterms:W3CDTF">2024-08-12T16:14:00Z</dcterms:created>
  <dcterms:modified xsi:type="dcterms:W3CDTF">2024-08-12T16:42:00Z</dcterms:modified>
</cp:coreProperties>
</file>