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31" w:rsidRPr="00717B62" w:rsidRDefault="00257631" w:rsidP="00257631">
      <w:pPr>
        <w:autoSpaceDE w:val="0"/>
        <w:autoSpaceDN w:val="0"/>
        <w:adjustRightInd w:val="0"/>
        <w:jc w:val="right"/>
        <w:rPr>
          <w:rFonts w:ascii="Arial" w:hAnsi="Arial" w:cs="Arial"/>
          <w:szCs w:val="22"/>
          <w:lang w:val="es-AR"/>
        </w:rPr>
      </w:pPr>
    </w:p>
    <w:p w:rsidR="00997CEA" w:rsidRPr="00717B62" w:rsidRDefault="00997CEA" w:rsidP="0070547D">
      <w:pPr>
        <w:widowControl w:val="0"/>
        <w:tabs>
          <w:tab w:val="right" w:pos="9360"/>
        </w:tabs>
        <w:jc w:val="both"/>
        <w:rPr>
          <w:rFonts w:ascii="Arial" w:hAnsi="Arial" w:cs="Arial"/>
          <w:sz w:val="24"/>
          <w:lang w:val="es-AR"/>
        </w:rPr>
      </w:pPr>
      <w:r w:rsidRPr="00717B62">
        <w:rPr>
          <w:rFonts w:ascii="Arial" w:hAnsi="Arial" w:cs="Arial"/>
          <w:sz w:val="24"/>
          <w:lang w:val="es-AR"/>
        </w:rPr>
        <w:t xml:space="preserve">PARA PUBLICACIÓN INMEDIATA </w:t>
      </w:r>
      <w:r w:rsidRPr="00717B62">
        <w:rPr>
          <w:rFonts w:ascii="Arial" w:hAnsi="Arial" w:cs="Arial"/>
          <w:sz w:val="24"/>
          <w:lang w:val="es-AR"/>
        </w:rPr>
        <w:tab/>
        <w:t>CWV: TSX.V</w:t>
      </w:r>
    </w:p>
    <w:p w:rsidR="00997CEA" w:rsidRPr="00717B62" w:rsidRDefault="001A566D" w:rsidP="00D17181">
      <w:pPr>
        <w:widowControl w:val="0"/>
        <w:rPr>
          <w:rFonts w:ascii="Arial" w:hAnsi="Arial" w:cs="Arial"/>
          <w:sz w:val="24"/>
          <w:lang w:val="es-AR"/>
        </w:rPr>
      </w:pPr>
      <w:r>
        <w:rPr>
          <w:rFonts w:ascii="Arial" w:hAnsi="Arial" w:cs="Arial"/>
          <w:sz w:val="24"/>
          <w:lang w:val="es-AR"/>
        </w:rPr>
        <w:t>13 de mayo</w:t>
      </w:r>
      <w:r w:rsidR="00E46032" w:rsidRPr="00717B62">
        <w:rPr>
          <w:rFonts w:ascii="Arial" w:hAnsi="Arial" w:cs="Arial"/>
          <w:sz w:val="24"/>
          <w:lang w:val="es-AR"/>
        </w:rPr>
        <w:t xml:space="preserve"> de 202</w:t>
      </w:r>
      <w:r w:rsidR="00D7466A">
        <w:rPr>
          <w:rFonts w:ascii="Arial" w:hAnsi="Arial" w:cs="Arial"/>
          <w:sz w:val="24"/>
          <w:lang w:val="es-AR"/>
        </w:rPr>
        <w:t>4</w:t>
      </w:r>
    </w:p>
    <w:p w:rsidR="00043229" w:rsidRPr="00717B62" w:rsidRDefault="00043229" w:rsidP="00D17181">
      <w:pPr>
        <w:widowControl w:val="0"/>
        <w:rPr>
          <w:rFonts w:ascii="Arial" w:hAnsi="Arial" w:cs="Arial"/>
          <w:b/>
          <w:sz w:val="24"/>
          <w:lang w:val="es-AR"/>
        </w:rPr>
      </w:pPr>
    </w:p>
    <w:p w:rsidR="00043229" w:rsidRPr="00717B62" w:rsidRDefault="00E5435D" w:rsidP="00D17181">
      <w:pPr>
        <w:widowControl w:val="0"/>
        <w:ind w:left="720"/>
        <w:jc w:val="center"/>
        <w:outlineLvl w:val="0"/>
        <w:rPr>
          <w:rFonts w:ascii="Arial" w:hAnsi="Arial" w:cs="Arial"/>
          <w:b/>
          <w:sz w:val="24"/>
          <w:lang w:val="es-AR"/>
        </w:rPr>
      </w:pPr>
      <w:r w:rsidRPr="00717B62">
        <w:rPr>
          <w:rFonts w:ascii="Arial" w:hAnsi="Arial" w:cs="Arial"/>
          <w:b/>
          <w:bCs/>
          <w:sz w:val="24"/>
          <w:lang w:val="es-AR"/>
        </w:rPr>
        <w:t>Crown Point anuncia sus resultados operativos y financieros</w:t>
      </w:r>
    </w:p>
    <w:p w:rsidR="007B3383" w:rsidRPr="00717B62" w:rsidRDefault="00F11C6C" w:rsidP="007B3383">
      <w:pPr>
        <w:widowControl w:val="0"/>
        <w:ind w:left="720"/>
        <w:jc w:val="center"/>
        <w:outlineLvl w:val="0"/>
        <w:rPr>
          <w:rFonts w:ascii="Arial" w:hAnsi="Arial" w:cs="Arial"/>
          <w:b/>
          <w:sz w:val="24"/>
          <w:lang w:val="es-AR"/>
        </w:rPr>
      </w:pPr>
      <w:proofErr w:type="gramStart"/>
      <w:r w:rsidRPr="00717B62">
        <w:rPr>
          <w:rFonts w:ascii="Arial" w:hAnsi="Arial" w:cs="Arial"/>
          <w:b/>
          <w:bCs/>
          <w:sz w:val="24"/>
          <w:lang w:val="es-AR"/>
        </w:rPr>
        <w:t>para</w:t>
      </w:r>
      <w:proofErr w:type="gramEnd"/>
      <w:r w:rsidRPr="00717B62">
        <w:rPr>
          <w:rFonts w:ascii="Arial" w:hAnsi="Arial" w:cs="Arial"/>
          <w:b/>
          <w:bCs/>
          <w:sz w:val="24"/>
          <w:lang w:val="es-AR"/>
        </w:rPr>
        <w:t xml:space="preserve"> el período de tres meses finalizado el 31 de </w:t>
      </w:r>
      <w:r w:rsidR="001A566D">
        <w:rPr>
          <w:rFonts w:ascii="Arial" w:hAnsi="Arial" w:cs="Arial"/>
          <w:b/>
          <w:bCs/>
          <w:sz w:val="24"/>
          <w:lang w:val="es-AR"/>
        </w:rPr>
        <w:t xml:space="preserve">marzo </w:t>
      </w:r>
      <w:r w:rsidRPr="00717B62">
        <w:rPr>
          <w:rFonts w:ascii="Arial" w:hAnsi="Arial" w:cs="Arial"/>
          <w:b/>
          <w:bCs/>
          <w:sz w:val="24"/>
          <w:lang w:val="es-AR"/>
        </w:rPr>
        <w:t xml:space="preserve">de </w:t>
      </w:r>
      <w:r w:rsidR="001A566D">
        <w:rPr>
          <w:rFonts w:ascii="Arial" w:hAnsi="Arial" w:cs="Arial"/>
          <w:b/>
          <w:bCs/>
          <w:sz w:val="24"/>
          <w:lang w:val="es-AR"/>
        </w:rPr>
        <w:t>2024</w:t>
      </w:r>
    </w:p>
    <w:p w:rsidR="00AF42C9" w:rsidRPr="00717B62" w:rsidRDefault="00997CEA" w:rsidP="001C13CF">
      <w:pPr>
        <w:widowControl w:val="0"/>
        <w:tabs>
          <w:tab w:val="left" w:pos="1440"/>
        </w:tabs>
        <w:spacing w:before="120" w:line="240" w:lineRule="atLeast"/>
        <w:jc w:val="both"/>
        <w:rPr>
          <w:rFonts w:ascii="Arial" w:hAnsi="Arial" w:cs="Arial"/>
          <w:sz w:val="20"/>
          <w:szCs w:val="20"/>
          <w:lang w:val="es-AR"/>
        </w:rPr>
      </w:pPr>
      <w:r w:rsidRPr="00717B62">
        <w:rPr>
          <w:rFonts w:ascii="Arial" w:hAnsi="Arial" w:cs="Arial"/>
          <w:b/>
          <w:bCs/>
          <w:sz w:val="20"/>
          <w:szCs w:val="20"/>
          <w:lang w:val="es-AR"/>
        </w:rPr>
        <w:t xml:space="preserve">TSX-V: CWV: </w:t>
      </w:r>
      <w:r w:rsidRPr="00717B62">
        <w:rPr>
          <w:rFonts w:ascii="Arial" w:hAnsi="Arial" w:cs="Arial"/>
          <w:sz w:val="20"/>
          <w:szCs w:val="20"/>
          <w:lang w:val="es-AR"/>
        </w:rPr>
        <w:t xml:space="preserve">En el día de hoy, </w:t>
      </w:r>
      <w:r w:rsidRPr="00717B62">
        <w:rPr>
          <w:rFonts w:ascii="Arial" w:hAnsi="Arial" w:cs="Arial"/>
          <w:b/>
          <w:bCs/>
          <w:sz w:val="20"/>
          <w:szCs w:val="20"/>
          <w:lang w:val="es-AR"/>
        </w:rPr>
        <w:t xml:space="preserve">Crown Point Energy Inc. </w:t>
      </w:r>
      <w:r w:rsidRPr="00717B62">
        <w:rPr>
          <w:rFonts w:ascii="Arial" w:hAnsi="Arial" w:cs="Arial"/>
          <w:sz w:val="20"/>
          <w:szCs w:val="20"/>
          <w:lang w:val="es-AR"/>
        </w:rPr>
        <w:t>(</w:t>
      </w:r>
      <w:r w:rsidRPr="00717B62">
        <w:rPr>
          <w:rFonts w:ascii="Arial" w:hAnsi="Arial" w:cs="Arial"/>
          <w:b/>
          <w:bCs/>
          <w:sz w:val="20"/>
          <w:szCs w:val="20"/>
          <w:lang w:val="es-AR"/>
        </w:rPr>
        <w:t>“Crown Point”</w:t>
      </w:r>
      <w:r w:rsidRPr="00717B62">
        <w:rPr>
          <w:rFonts w:ascii="Arial" w:hAnsi="Arial" w:cs="Arial"/>
          <w:sz w:val="20"/>
          <w:szCs w:val="20"/>
          <w:lang w:val="es-AR"/>
        </w:rPr>
        <w:t xml:space="preserve"> o</w:t>
      </w:r>
      <w:r w:rsidRPr="00717B62">
        <w:rPr>
          <w:rFonts w:ascii="Arial" w:hAnsi="Arial" w:cs="Arial"/>
          <w:b/>
          <w:bCs/>
          <w:sz w:val="20"/>
          <w:szCs w:val="20"/>
          <w:lang w:val="es-AR"/>
        </w:rPr>
        <w:t> </w:t>
      </w:r>
      <w:r w:rsidRPr="00717B62">
        <w:rPr>
          <w:rFonts w:ascii="Arial" w:hAnsi="Arial" w:cs="Arial"/>
          <w:sz w:val="20"/>
          <w:szCs w:val="20"/>
          <w:lang w:val="es-AR"/>
        </w:rPr>
        <w:t>la</w:t>
      </w:r>
      <w:r w:rsidRPr="00717B62">
        <w:rPr>
          <w:rFonts w:ascii="Arial" w:hAnsi="Arial" w:cs="Arial"/>
          <w:b/>
          <w:bCs/>
          <w:sz w:val="20"/>
          <w:szCs w:val="20"/>
          <w:lang w:val="es-AR"/>
        </w:rPr>
        <w:t xml:space="preserve"> “Compañía”</w:t>
      </w:r>
      <w:r w:rsidRPr="00717B62">
        <w:rPr>
          <w:rFonts w:ascii="Arial" w:hAnsi="Arial" w:cs="Arial"/>
          <w:sz w:val="20"/>
          <w:szCs w:val="20"/>
          <w:lang w:val="es-AR"/>
        </w:rPr>
        <w:t xml:space="preserve">) anunció sus resultados financieros </w:t>
      </w:r>
      <w:r w:rsidR="00D7466A">
        <w:rPr>
          <w:rFonts w:ascii="Arial" w:hAnsi="Arial" w:cs="Arial"/>
          <w:sz w:val="20"/>
          <w:szCs w:val="20"/>
          <w:lang w:val="es-AR"/>
        </w:rPr>
        <w:t xml:space="preserve">y operativos </w:t>
      </w:r>
      <w:r w:rsidRPr="00717B62">
        <w:rPr>
          <w:rFonts w:ascii="Arial" w:hAnsi="Arial" w:cs="Arial"/>
          <w:sz w:val="20"/>
          <w:szCs w:val="20"/>
          <w:lang w:val="es-AR"/>
        </w:rPr>
        <w:t xml:space="preserve">correspondientes al período de tres meses finalizado el 31 de </w:t>
      </w:r>
      <w:r w:rsidR="001A566D">
        <w:rPr>
          <w:rFonts w:ascii="Arial" w:hAnsi="Arial" w:cs="Arial"/>
          <w:sz w:val="20"/>
          <w:szCs w:val="20"/>
          <w:lang w:val="es-AR"/>
        </w:rPr>
        <w:t xml:space="preserve">marzo </w:t>
      </w:r>
      <w:r w:rsidRPr="00717B62">
        <w:rPr>
          <w:rFonts w:ascii="Arial" w:hAnsi="Arial" w:cs="Arial"/>
          <w:sz w:val="20"/>
          <w:szCs w:val="20"/>
          <w:lang w:val="es-AR"/>
        </w:rPr>
        <w:t xml:space="preserve">de </w:t>
      </w:r>
      <w:r w:rsidR="001A566D">
        <w:rPr>
          <w:rFonts w:ascii="Arial" w:hAnsi="Arial" w:cs="Arial"/>
          <w:sz w:val="20"/>
          <w:szCs w:val="20"/>
          <w:lang w:val="es-AR"/>
        </w:rPr>
        <w:t>2024</w:t>
      </w:r>
      <w:r w:rsidRPr="00717B62">
        <w:rPr>
          <w:rFonts w:ascii="Arial" w:hAnsi="Arial" w:cs="Arial"/>
          <w:sz w:val="20"/>
          <w:szCs w:val="20"/>
          <w:lang w:val="es-AR"/>
        </w:rPr>
        <w:t>.</w:t>
      </w:r>
    </w:p>
    <w:p w:rsidR="00953B3F" w:rsidRPr="001A566D" w:rsidRDefault="00D7466A" w:rsidP="001C13CF">
      <w:pPr>
        <w:widowControl w:val="0"/>
        <w:tabs>
          <w:tab w:val="left" w:pos="1440"/>
        </w:tabs>
        <w:spacing w:before="120" w:line="240" w:lineRule="atLeast"/>
        <w:jc w:val="both"/>
        <w:rPr>
          <w:rFonts w:ascii="Arial" w:hAnsi="Arial" w:cs="Arial"/>
          <w:sz w:val="20"/>
          <w:szCs w:val="20"/>
          <w:lang w:val="es-AR"/>
        </w:rPr>
      </w:pPr>
      <w:r>
        <w:rPr>
          <w:rFonts w:ascii="Arial" w:hAnsi="Arial" w:cs="Arial"/>
          <w:sz w:val="20"/>
          <w:szCs w:val="20"/>
          <w:lang w:val="es-AR"/>
        </w:rPr>
        <w:t xml:space="preserve">A continuación se </w:t>
      </w:r>
      <w:r w:rsidR="00AE4739">
        <w:rPr>
          <w:rFonts w:ascii="Arial" w:hAnsi="Arial" w:cs="Arial"/>
          <w:sz w:val="20"/>
          <w:szCs w:val="20"/>
          <w:lang w:val="es-AR"/>
        </w:rPr>
        <w:t xml:space="preserve">detalla cierta </w:t>
      </w:r>
      <w:r>
        <w:rPr>
          <w:rFonts w:ascii="Arial" w:hAnsi="Arial" w:cs="Arial"/>
          <w:sz w:val="20"/>
          <w:szCs w:val="20"/>
          <w:lang w:val="es-AR"/>
        </w:rPr>
        <w:t xml:space="preserve">información seleccionada, que deberá leerse junto con los </w:t>
      </w:r>
      <w:r w:rsidR="00AF42C9" w:rsidRPr="00717B62">
        <w:rPr>
          <w:rFonts w:ascii="Arial" w:hAnsi="Arial" w:cs="Arial"/>
          <w:sz w:val="20"/>
          <w:szCs w:val="20"/>
          <w:lang w:val="es-AR"/>
        </w:rPr>
        <w:t xml:space="preserve">estados financieros consolidados </w:t>
      </w:r>
      <w:r w:rsidR="001A566D">
        <w:rPr>
          <w:rFonts w:ascii="Arial" w:hAnsi="Arial" w:cs="Arial"/>
          <w:sz w:val="20"/>
          <w:szCs w:val="20"/>
          <w:lang w:val="es-AR"/>
        </w:rPr>
        <w:t xml:space="preserve">intermedios condensados no </w:t>
      </w:r>
      <w:r w:rsidR="00AF42C9" w:rsidRPr="00717B62">
        <w:rPr>
          <w:rFonts w:ascii="Arial" w:hAnsi="Arial" w:cs="Arial"/>
          <w:sz w:val="20"/>
          <w:szCs w:val="20"/>
          <w:lang w:val="es-AR"/>
        </w:rPr>
        <w:t>auditados y la reseña y perspectiva operativa y financiera (la “</w:t>
      </w:r>
      <w:r w:rsidR="00AF42C9" w:rsidRPr="00717B62">
        <w:rPr>
          <w:rFonts w:ascii="Arial" w:hAnsi="Arial" w:cs="Arial"/>
          <w:b/>
          <w:bCs/>
          <w:sz w:val="20"/>
          <w:szCs w:val="20"/>
          <w:lang w:val="es-AR"/>
        </w:rPr>
        <w:t>reseña y perspectiva operativa y financiera</w:t>
      </w:r>
      <w:r w:rsidR="00AF42C9" w:rsidRPr="00717B62">
        <w:rPr>
          <w:rFonts w:ascii="Arial" w:hAnsi="Arial" w:cs="Arial"/>
          <w:sz w:val="20"/>
          <w:szCs w:val="20"/>
          <w:lang w:val="es-AR"/>
        </w:rPr>
        <w:t xml:space="preserve">”) </w:t>
      </w:r>
      <w:r>
        <w:rPr>
          <w:rFonts w:ascii="Arial" w:hAnsi="Arial" w:cs="Arial"/>
          <w:sz w:val="20"/>
          <w:szCs w:val="20"/>
          <w:lang w:val="es-AR"/>
        </w:rPr>
        <w:t xml:space="preserve">de la Compañía </w:t>
      </w:r>
      <w:r w:rsidR="00AF42C9" w:rsidRPr="00717B62">
        <w:rPr>
          <w:rFonts w:ascii="Arial" w:hAnsi="Arial" w:cs="Arial"/>
          <w:sz w:val="20"/>
          <w:szCs w:val="20"/>
          <w:lang w:val="es-AR"/>
        </w:rPr>
        <w:t xml:space="preserve">al 31 de </w:t>
      </w:r>
      <w:r w:rsidR="001A566D">
        <w:rPr>
          <w:rFonts w:ascii="Arial" w:hAnsi="Arial" w:cs="Arial"/>
          <w:sz w:val="20"/>
          <w:szCs w:val="20"/>
          <w:lang w:val="es-AR"/>
        </w:rPr>
        <w:t xml:space="preserve">marzo </w:t>
      </w:r>
      <w:r w:rsidR="00AF42C9" w:rsidRPr="00717B62">
        <w:rPr>
          <w:rFonts w:ascii="Arial" w:hAnsi="Arial" w:cs="Arial"/>
          <w:sz w:val="20"/>
          <w:szCs w:val="20"/>
          <w:lang w:val="es-AR"/>
        </w:rPr>
        <w:t xml:space="preserve">de </w:t>
      </w:r>
      <w:r w:rsidR="001A566D">
        <w:rPr>
          <w:rFonts w:ascii="Arial" w:hAnsi="Arial" w:cs="Arial"/>
          <w:sz w:val="20"/>
          <w:szCs w:val="20"/>
          <w:lang w:val="es-AR"/>
        </w:rPr>
        <w:t>2024</w:t>
      </w:r>
      <w:r w:rsidR="001A566D" w:rsidRPr="00717B62">
        <w:rPr>
          <w:rFonts w:ascii="Arial" w:hAnsi="Arial" w:cs="Arial"/>
          <w:sz w:val="20"/>
          <w:szCs w:val="20"/>
          <w:lang w:val="es-AR"/>
        </w:rPr>
        <w:t xml:space="preserve"> </w:t>
      </w:r>
      <w:r>
        <w:rPr>
          <w:rFonts w:ascii="Arial" w:hAnsi="Arial" w:cs="Arial"/>
          <w:sz w:val="20"/>
          <w:szCs w:val="20"/>
          <w:lang w:val="es-AR"/>
        </w:rPr>
        <w:t xml:space="preserve">que se presentarán </w:t>
      </w:r>
      <w:r w:rsidR="00AF42C9" w:rsidRPr="00717B62">
        <w:rPr>
          <w:rFonts w:ascii="Arial" w:hAnsi="Arial" w:cs="Arial"/>
          <w:sz w:val="20"/>
          <w:szCs w:val="20"/>
          <w:lang w:val="es-AR"/>
        </w:rPr>
        <w:t xml:space="preserve">ante las autoridades regulatorias de títulos valores de Canadá, a cuya información se podrá acceder a través del perfil de la Compañía en </w:t>
      </w:r>
      <w:hyperlink r:id="rId11" w:history="1">
        <w:r w:rsidR="00AE4739" w:rsidRPr="0090454F">
          <w:rPr>
            <w:rStyle w:val="Hipervnculo"/>
            <w:rFonts w:ascii="Arial" w:hAnsi="Arial" w:cs="Arial"/>
            <w:sz w:val="20"/>
            <w:szCs w:val="20"/>
            <w:lang w:val="es-AR"/>
          </w:rPr>
          <w:t>www.sedarplus.ca</w:t>
        </w:r>
      </w:hyperlink>
      <w:r w:rsidR="00AF42C9" w:rsidRPr="00717B62">
        <w:rPr>
          <w:rFonts w:ascii="Arial" w:hAnsi="Arial" w:cs="Arial"/>
          <w:sz w:val="20"/>
          <w:szCs w:val="20"/>
          <w:lang w:val="es-AR"/>
        </w:rPr>
        <w:t> y en su sitio web, </w:t>
      </w:r>
      <w:hyperlink r:id="rId12" w:history="1">
        <w:r w:rsidR="00AF42C9" w:rsidRPr="00717B62">
          <w:rPr>
            <w:rStyle w:val="Hipervnculo"/>
            <w:rFonts w:ascii="Arial" w:hAnsi="Arial" w:cs="Arial"/>
            <w:sz w:val="20"/>
            <w:szCs w:val="20"/>
            <w:lang w:val="es-AR"/>
          </w:rPr>
          <w:t>www.crownpointenergy.com</w:t>
        </w:r>
      </w:hyperlink>
      <w:r w:rsidR="00AF42C9" w:rsidRPr="00717B62">
        <w:rPr>
          <w:rFonts w:ascii="Arial" w:hAnsi="Arial" w:cs="Arial"/>
          <w:sz w:val="20"/>
          <w:szCs w:val="20"/>
          <w:lang w:val="es-AR"/>
        </w:rPr>
        <w:t xml:space="preserve">. </w:t>
      </w:r>
      <w:r w:rsidR="00AF42C9" w:rsidRPr="00717B62">
        <w:rPr>
          <w:rFonts w:ascii="Arial" w:hAnsi="Arial" w:cs="Arial"/>
          <w:b/>
          <w:bCs/>
          <w:sz w:val="20"/>
          <w:szCs w:val="20"/>
          <w:lang w:val="es-AR"/>
        </w:rPr>
        <w:t xml:space="preserve">Todas las cifras en dólares se encuentran expresadas en dólares estadounidenses (“USD”), salvo que se indique lo contrario. </w:t>
      </w:r>
      <w:r w:rsidR="001A566D" w:rsidRPr="00383E73">
        <w:rPr>
          <w:rFonts w:ascii="Arial" w:hAnsi="Arial" w:cs="Arial"/>
          <w:sz w:val="20"/>
          <w:szCs w:val="20"/>
          <w:lang w:val="es-ES_tradnl"/>
        </w:rPr>
        <w:t xml:space="preserve">En la siguiente reseña, se puede hacer referencia al período de tres meses finalizado el 31 de marzo de </w:t>
      </w:r>
      <w:r w:rsidR="001A566D">
        <w:rPr>
          <w:rFonts w:ascii="Arial" w:hAnsi="Arial" w:cs="Arial"/>
          <w:sz w:val="20"/>
          <w:szCs w:val="20"/>
          <w:lang w:val="es-ES_tradnl"/>
        </w:rPr>
        <w:t>2024</w:t>
      </w:r>
      <w:r w:rsidR="001A566D" w:rsidRPr="00383E73">
        <w:rPr>
          <w:rFonts w:ascii="Arial" w:hAnsi="Arial" w:cs="Arial"/>
          <w:sz w:val="20"/>
          <w:szCs w:val="20"/>
          <w:lang w:val="es-ES_tradnl"/>
        </w:rPr>
        <w:t xml:space="preserve"> como “1° trimestre de </w:t>
      </w:r>
      <w:r w:rsidR="001A566D">
        <w:rPr>
          <w:rFonts w:ascii="Arial" w:hAnsi="Arial" w:cs="Arial"/>
          <w:sz w:val="20"/>
          <w:szCs w:val="20"/>
          <w:lang w:val="es-ES_tradnl"/>
        </w:rPr>
        <w:t>2024</w:t>
      </w:r>
      <w:r w:rsidR="001A566D" w:rsidRPr="00383E73">
        <w:rPr>
          <w:rFonts w:ascii="Arial" w:hAnsi="Arial" w:cs="Arial"/>
          <w:sz w:val="20"/>
          <w:szCs w:val="20"/>
          <w:lang w:val="es-ES_tradnl"/>
        </w:rPr>
        <w:t>”.</w:t>
      </w:r>
    </w:p>
    <w:p w:rsidR="00486ADF" w:rsidRPr="00717B62" w:rsidRDefault="00716692" w:rsidP="00ED3233">
      <w:pPr>
        <w:widowControl w:val="0"/>
        <w:spacing w:before="120"/>
        <w:jc w:val="both"/>
        <w:rPr>
          <w:rFonts w:ascii="Arial" w:hAnsi="Arial" w:cs="Arial"/>
          <w:b/>
          <w:bCs/>
          <w:caps/>
          <w:color w:val="000000"/>
          <w:sz w:val="20"/>
          <w:szCs w:val="20"/>
          <w:lang w:val="es-AR"/>
        </w:rPr>
      </w:pPr>
      <w:r w:rsidRPr="00717B62">
        <w:rPr>
          <w:rFonts w:ascii="Arial" w:hAnsi="Arial" w:cs="Arial"/>
          <w:b/>
          <w:bCs/>
          <w:caps/>
          <w:color w:val="000000"/>
          <w:sz w:val="20"/>
          <w:szCs w:val="20"/>
          <w:lang w:val="es-AR"/>
        </w:rPr>
        <w:t xml:space="preserve">RESUMEN DEL </w:t>
      </w:r>
      <w:r w:rsidR="001A566D">
        <w:rPr>
          <w:rFonts w:ascii="Arial" w:hAnsi="Arial" w:cs="Arial"/>
          <w:b/>
          <w:bCs/>
          <w:caps/>
          <w:color w:val="000000"/>
          <w:sz w:val="20"/>
          <w:szCs w:val="20"/>
          <w:lang w:val="es-AR"/>
        </w:rPr>
        <w:t>1</w:t>
      </w:r>
      <w:r w:rsidRPr="00717B62">
        <w:rPr>
          <w:rFonts w:ascii="Arial" w:hAnsi="Arial" w:cs="Arial"/>
          <w:b/>
          <w:bCs/>
          <w:caps/>
          <w:color w:val="000000"/>
          <w:sz w:val="20"/>
          <w:szCs w:val="20"/>
          <w:lang w:val="es-AR"/>
        </w:rPr>
        <w:t xml:space="preserve">° TRIMESTRE DE </w:t>
      </w:r>
      <w:r w:rsidR="001A566D">
        <w:rPr>
          <w:rFonts w:ascii="Arial" w:hAnsi="Arial" w:cs="Arial"/>
          <w:b/>
          <w:bCs/>
          <w:caps/>
          <w:color w:val="000000"/>
          <w:sz w:val="20"/>
          <w:szCs w:val="20"/>
          <w:lang w:val="es-AR"/>
        </w:rPr>
        <w:t>2024</w:t>
      </w:r>
    </w:p>
    <w:p w:rsidR="003C3173" w:rsidRPr="00717B62" w:rsidRDefault="002E4CEF" w:rsidP="00486ADF">
      <w:pPr>
        <w:widowControl w:val="0"/>
        <w:autoSpaceDE w:val="0"/>
        <w:autoSpaceDN w:val="0"/>
        <w:adjustRightInd w:val="0"/>
        <w:spacing w:before="120" w:line="240" w:lineRule="atLeast"/>
        <w:jc w:val="both"/>
        <w:rPr>
          <w:rFonts w:ascii="Arial" w:hAnsi="Arial" w:cs="Arial"/>
          <w:sz w:val="20"/>
          <w:szCs w:val="20"/>
          <w:lang w:val="es-AR"/>
        </w:rPr>
      </w:pPr>
      <w:r w:rsidRPr="00717B62">
        <w:rPr>
          <w:rFonts w:ascii="Arial" w:hAnsi="Arial" w:cs="Arial"/>
          <w:sz w:val="20"/>
          <w:szCs w:val="20"/>
          <w:lang w:val="es-AR"/>
        </w:rPr>
        <w:t xml:space="preserve">Durante el </w:t>
      </w:r>
      <w:r w:rsidR="001A566D">
        <w:rPr>
          <w:rFonts w:ascii="Arial" w:hAnsi="Arial" w:cs="Arial"/>
          <w:sz w:val="20"/>
          <w:szCs w:val="20"/>
          <w:lang w:val="es-AR"/>
        </w:rPr>
        <w:t>1</w:t>
      </w:r>
      <w:r w:rsidRPr="00717B62">
        <w:rPr>
          <w:rFonts w:ascii="Arial" w:hAnsi="Arial" w:cs="Arial"/>
          <w:sz w:val="20"/>
          <w:szCs w:val="20"/>
          <w:lang w:val="es-AR"/>
        </w:rPr>
        <w:t xml:space="preserve">° trimestre de </w:t>
      </w:r>
      <w:r w:rsidR="001A566D">
        <w:rPr>
          <w:rFonts w:ascii="Arial" w:hAnsi="Arial" w:cs="Arial"/>
          <w:sz w:val="20"/>
          <w:szCs w:val="20"/>
          <w:lang w:val="es-AR"/>
        </w:rPr>
        <w:t>2024</w:t>
      </w:r>
      <w:r w:rsidRPr="00717B62">
        <w:rPr>
          <w:rFonts w:ascii="Arial" w:hAnsi="Arial" w:cs="Arial"/>
          <w:sz w:val="20"/>
          <w:szCs w:val="20"/>
          <w:lang w:val="es-AR"/>
        </w:rPr>
        <w:t>, la Compañía:</w:t>
      </w:r>
    </w:p>
    <w:p w:rsidR="00A44435" w:rsidRPr="00717B62" w:rsidRDefault="001736B6" w:rsidP="00184829">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717B62">
        <w:rPr>
          <w:rFonts w:ascii="Arial" w:hAnsi="Arial" w:cs="Arial"/>
          <w:sz w:val="20"/>
          <w:szCs w:val="20"/>
          <w:lang w:val="es-AR"/>
        </w:rPr>
        <w:t xml:space="preserve">Informó un efectivo neto </w:t>
      </w:r>
      <w:r w:rsidR="00BD5EAF">
        <w:rPr>
          <w:rFonts w:ascii="Arial" w:hAnsi="Arial" w:cs="Arial"/>
          <w:sz w:val="20"/>
          <w:szCs w:val="20"/>
          <w:lang w:val="es-AR"/>
        </w:rPr>
        <w:t xml:space="preserve">generado por </w:t>
      </w:r>
      <w:r w:rsidRPr="00717B62">
        <w:rPr>
          <w:rFonts w:ascii="Arial" w:hAnsi="Arial" w:cs="Arial"/>
          <w:sz w:val="20"/>
          <w:szCs w:val="20"/>
          <w:lang w:val="es-AR"/>
        </w:rPr>
        <w:t>las actividades operativas y un flujo de fondos generado por actividades operativas de $</w:t>
      </w:r>
      <w:r w:rsidR="00AE4739">
        <w:rPr>
          <w:rFonts w:ascii="Arial" w:hAnsi="Arial" w:cs="Arial"/>
          <w:sz w:val="20"/>
          <w:szCs w:val="20"/>
          <w:lang w:val="es-AR"/>
        </w:rPr>
        <w:t>0,</w:t>
      </w:r>
      <w:r w:rsidR="0099749A">
        <w:rPr>
          <w:rFonts w:ascii="Arial" w:hAnsi="Arial" w:cs="Arial"/>
          <w:sz w:val="20"/>
          <w:szCs w:val="20"/>
          <w:lang w:val="es-AR"/>
        </w:rPr>
        <w:t>5</w:t>
      </w:r>
      <w:r w:rsidRPr="00717B62">
        <w:rPr>
          <w:rFonts w:ascii="Arial" w:hAnsi="Arial" w:cs="Arial"/>
          <w:sz w:val="20"/>
          <w:szCs w:val="20"/>
          <w:lang w:val="es-AR"/>
        </w:rPr>
        <w:t xml:space="preserve"> millones; </w:t>
      </w:r>
    </w:p>
    <w:p w:rsidR="007841B4" w:rsidRPr="00717B62" w:rsidRDefault="00020D0D" w:rsidP="007841B4">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717B62">
        <w:rPr>
          <w:rFonts w:ascii="Arial" w:hAnsi="Arial" w:cs="Arial"/>
          <w:sz w:val="20"/>
          <w:szCs w:val="20"/>
          <w:lang w:val="es-AR"/>
        </w:rPr>
        <w:t>Obtuvo un ingreso por ventas de petróleo y gas natural de $</w:t>
      </w:r>
      <w:r w:rsidR="0099749A">
        <w:rPr>
          <w:rFonts w:ascii="Arial" w:hAnsi="Arial" w:cs="Arial"/>
          <w:sz w:val="20"/>
          <w:szCs w:val="20"/>
          <w:lang w:val="es-AR"/>
        </w:rPr>
        <w:t>6</w:t>
      </w:r>
      <w:r w:rsidR="008130F7">
        <w:rPr>
          <w:rFonts w:ascii="Arial" w:hAnsi="Arial" w:cs="Arial"/>
          <w:sz w:val="20"/>
          <w:szCs w:val="20"/>
          <w:lang w:val="es-AR"/>
        </w:rPr>
        <w:t>,</w:t>
      </w:r>
      <w:r w:rsidR="0099749A">
        <w:rPr>
          <w:rFonts w:ascii="Arial" w:hAnsi="Arial" w:cs="Arial"/>
          <w:sz w:val="20"/>
          <w:szCs w:val="20"/>
          <w:lang w:val="es-AR"/>
        </w:rPr>
        <w:t>1</w:t>
      </w:r>
      <w:r w:rsidRPr="00717B62">
        <w:rPr>
          <w:rFonts w:ascii="Arial" w:hAnsi="Arial" w:cs="Arial"/>
          <w:sz w:val="20"/>
          <w:szCs w:val="20"/>
          <w:lang w:val="es-AR"/>
        </w:rPr>
        <w:t xml:space="preserve"> millones sobre un volumen de ventas diarias promedio total de 1.</w:t>
      </w:r>
      <w:r w:rsidR="0099749A">
        <w:rPr>
          <w:rFonts w:ascii="Arial" w:hAnsi="Arial" w:cs="Arial"/>
          <w:sz w:val="20"/>
          <w:szCs w:val="20"/>
          <w:lang w:val="es-AR"/>
        </w:rPr>
        <w:t>302</w:t>
      </w:r>
      <w:r w:rsidR="0099749A" w:rsidRPr="00717B62">
        <w:rPr>
          <w:rFonts w:ascii="Arial" w:hAnsi="Arial" w:cs="Arial"/>
          <w:sz w:val="20"/>
          <w:szCs w:val="20"/>
          <w:lang w:val="es-AR"/>
        </w:rPr>
        <w:t xml:space="preserve"> </w:t>
      </w:r>
      <w:r w:rsidRPr="00717B62">
        <w:rPr>
          <w:rFonts w:ascii="Arial" w:hAnsi="Arial" w:cs="Arial"/>
          <w:sz w:val="20"/>
          <w:szCs w:val="20"/>
          <w:lang w:val="es-AR"/>
        </w:rPr>
        <w:t>BOE por día, lo que representa un</w:t>
      </w:r>
      <w:r w:rsidR="00BD5EAF">
        <w:rPr>
          <w:rFonts w:ascii="Arial" w:hAnsi="Arial" w:cs="Arial"/>
          <w:sz w:val="20"/>
          <w:szCs w:val="20"/>
          <w:lang w:val="es-AR"/>
        </w:rPr>
        <w:t xml:space="preserve">a </w:t>
      </w:r>
      <w:r w:rsidR="00207F74">
        <w:rPr>
          <w:rFonts w:ascii="Arial" w:hAnsi="Arial" w:cs="Arial"/>
          <w:sz w:val="20"/>
          <w:szCs w:val="20"/>
          <w:lang w:val="es-AR"/>
        </w:rPr>
        <w:t xml:space="preserve">disminución </w:t>
      </w:r>
      <w:r w:rsidR="008B0CD2">
        <w:rPr>
          <w:rFonts w:ascii="Arial" w:hAnsi="Arial" w:cs="Arial"/>
          <w:sz w:val="20"/>
          <w:szCs w:val="20"/>
          <w:lang w:val="es-AR"/>
        </w:rPr>
        <w:t>comparado con</w:t>
      </w:r>
      <w:r w:rsidRPr="00717B62">
        <w:rPr>
          <w:rFonts w:ascii="Arial" w:hAnsi="Arial" w:cs="Arial"/>
          <w:sz w:val="20"/>
          <w:szCs w:val="20"/>
          <w:lang w:val="es-AR"/>
        </w:rPr>
        <w:t xml:space="preserve"> el </w:t>
      </w:r>
      <w:r w:rsidR="0099749A">
        <w:rPr>
          <w:rFonts w:ascii="Arial" w:hAnsi="Arial" w:cs="Arial"/>
          <w:sz w:val="20"/>
          <w:szCs w:val="20"/>
          <w:lang w:val="es-AR"/>
        </w:rPr>
        <w:t>1</w:t>
      </w:r>
      <w:r w:rsidRPr="00717B62">
        <w:rPr>
          <w:rFonts w:ascii="Arial" w:hAnsi="Arial" w:cs="Arial"/>
          <w:sz w:val="20"/>
          <w:szCs w:val="20"/>
          <w:lang w:val="es-AR"/>
        </w:rPr>
        <w:t>° trimestre d</w:t>
      </w:r>
      <w:r w:rsidRPr="008B0CD2">
        <w:rPr>
          <w:rFonts w:ascii="Arial" w:hAnsi="Arial" w:cs="Arial"/>
          <w:sz w:val="20"/>
          <w:szCs w:val="20"/>
          <w:lang w:val="es-AR"/>
        </w:rPr>
        <w:t xml:space="preserve">e </w:t>
      </w:r>
      <w:r w:rsidR="0099749A" w:rsidRPr="008B0CD2">
        <w:rPr>
          <w:rFonts w:ascii="Arial" w:hAnsi="Arial" w:cs="Arial"/>
          <w:sz w:val="20"/>
          <w:szCs w:val="20"/>
          <w:lang w:val="es-AR"/>
        </w:rPr>
        <w:t>2023</w:t>
      </w:r>
      <w:r w:rsidR="0099749A" w:rsidRPr="00717B62">
        <w:rPr>
          <w:rFonts w:ascii="Arial" w:hAnsi="Arial" w:cs="Arial"/>
          <w:sz w:val="20"/>
          <w:szCs w:val="20"/>
          <w:lang w:val="es-AR"/>
        </w:rPr>
        <w:t xml:space="preserve"> </w:t>
      </w:r>
      <w:r w:rsidR="00207F74">
        <w:rPr>
          <w:rFonts w:ascii="Arial" w:hAnsi="Arial" w:cs="Arial"/>
          <w:sz w:val="20"/>
          <w:szCs w:val="20"/>
          <w:lang w:val="es-AR"/>
        </w:rPr>
        <w:t xml:space="preserve">debido </w:t>
      </w:r>
      <w:r w:rsidR="00BD5EAF">
        <w:rPr>
          <w:rFonts w:ascii="Arial" w:hAnsi="Arial" w:cs="Arial"/>
          <w:sz w:val="20"/>
          <w:szCs w:val="20"/>
          <w:lang w:val="es-AR"/>
        </w:rPr>
        <w:t xml:space="preserve">a la </w:t>
      </w:r>
      <w:r w:rsidRPr="00717B62">
        <w:rPr>
          <w:rFonts w:ascii="Arial" w:hAnsi="Arial" w:cs="Arial"/>
          <w:sz w:val="20"/>
          <w:szCs w:val="20"/>
          <w:lang w:val="es-AR"/>
        </w:rPr>
        <w:t xml:space="preserve">reducción en </w:t>
      </w:r>
      <w:r w:rsidR="00912EFB">
        <w:rPr>
          <w:rFonts w:ascii="Arial" w:hAnsi="Arial" w:cs="Arial"/>
          <w:sz w:val="20"/>
          <w:szCs w:val="20"/>
          <w:lang w:val="es-AR"/>
        </w:rPr>
        <w:t>los volúmenes de ventas de gas en las Concesiones de TDF</w:t>
      </w:r>
      <w:r w:rsidR="004813E2">
        <w:rPr>
          <w:rFonts w:ascii="Arial" w:hAnsi="Arial" w:cs="Arial"/>
          <w:sz w:val="20"/>
          <w:szCs w:val="20"/>
          <w:lang w:val="es-AR"/>
        </w:rPr>
        <w:t xml:space="preserve"> en el </w:t>
      </w:r>
      <w:r w:rsidR="0099749A">
        <w:rPr>
          <w:rFonts w:ascii="Arial" w:hAnsi="Arial" w:cs="Arial"/>
          <w:sz w:val="20"/>
          <w:szCs w:val="20"/>
          <w:lang w:val="es-AR"/>
        </w:rPr>
        <w:t>1</w:t>
      </w:r>
      <w:r w:rsidR="004813E2">
        <w:rPr>
          <w:rFonts w:ascii="Arial" w:hAnsi="Arial" w:cs="Arial"/>
          <w:sz w:val="20"/>
          <w:szCs w:val="20"/>
          <w:lang w:val="es-AR"/>
        </w:rPr>
        <w:t xml:space="preserve">° trimestre de </w:t>
      </w:r>
      <w:r w:rsidR="0099749A">
        <w:rPr>
          <w:rFonts w:ascii="Arial" w:hAnsi="Arial" w:cs="Arial"/>
          <w:sz w:val="20"/>
          <w:szCs w:val="20"/>
          <w:lang w:val="es-AR"/>
        </w:rPr>
        <w:t>2024</w:t>
      </w:r>
      <w:r w:rsidR="00BD5EAF">
        <w:rPr>
          <w:rFonts w:ascii="Arial" w:hAnsi="Arial" w:cs="Arial"/>
          <w:sz w:val="20"/>
          <w:szCs w:val="20"/>
          <w:lang w:val="es-AR"/>
        </w:rPr>
        <w:t>;</w:t>
      </w:r>
    </w:p>
    <w:p w:rsidR="002E4CEF" w:rsidRPr="00717B62" w:rsidRDefault="002E4CEF" w:rsidP="005D5E6B">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717B62">
        <w:rPr>
          <w:rFonts w:ascii="Arial" w:hAnsi="Arial" w:cs="Arial"/>
          <w:sz w:val="20"/>
          <w:szCs w:val="20"/>
          <w:lang w:val="es-AR"/>
        </w:rPr>
        <w:t>Recibió un promedio de $</w:t>
      </w:r>
      <w:r w:rsidR="005455C7">
        <w:rPr>
          <w:rFonts w:ascii="Arial" w:hAnsi="Arial" w:cs="Arial"/>
          <w:sz w:val="20"/>
          <w:szCs w:val="20"/>
          <w:lang w:val="es-AR"/>
        </w:rPr>
        <w:t>4,</w:t>
      </w:r>
      <w:r w:rsidR="0099749A">
        <w:rPr>
          <w:rFonts w:ascii="Arial" w:hAnsi="Arial" w:cs="Arial"/>
          <w:sz w:val="20"/>
          <w:szCs w:val="20"/>
          <w:lang w:val="es-AR"/>
        </w:rPr>
        <w:t>51</w:t>
      </w:r>
      <w:r w:rsidR="0099749A" w:rsidRPr="00717B62">
        <w:rPr>
          <w:rFonts w:ascii="Arial" w:hAnsi="Arial" w:cs="Arial"/>
          <w:sz w:val="20"/>
          <w:szCs w:val="20"/>
          <w:lang w:val="es-AR"/>
        </w:rPr>
        <w:t xml:space="preserve"> </w:t>
      </w:r>
      <w:r w:rsidRPr="00717B62">
        <w:rPr>
          <w:rFonts w:ascii="Arial" w:hAnsi="Arial" w:cs="Arial"/>
          <w:sz w:val="20"/>
          <w:szCs w:val="20"/>
          <w:lang w:val="es-AR"/>
        </w:rPr>
        <w:t>por mcf de gas natural y $</w:t>
      </w:r>
      <w:r w:rsidR="0099749A">
        <w:rPr>
          <w:rFonts w:ascii="Arial" w:hAnsi="Arial" w:cs="Arial"/>
          <w:sz w:val="20"/>
          <w:szCs w:val="20"/>
          <w:lang w:val="es-AR"/>
        </w:rPr>
        <w:t>62,47</w:t>
      </w:r>
      <w:r w:rsidRPr="00717B62">
        <w:rPr>
          <w:rFonts w:ascii="Arial" w:hAnsi="Arial" w:cs="Arial"/>
          <w:sz w:val="20"/>
          <w:szCs w:val="20"/>
          <w:lang w:val="es-AR"/>
        </w:rPr>
        <w:t xml:space="preserve"> por bbl de petróleo;</w:t>
      </w:r>
    </w:p>
    <w:p w:rsidR="00C77492" w:rsidRDefault="00084355" w:rsidP="00184829">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717B62">
        <w:rPr>
          <w:rFonts w:ascii="Arial" w:hAnsi="Arial" w:cs="Arial"/>
          <w:sz w:val="20"/>
          <w:szCs w:val="20"/>
          <w:lang w:val="es-AR"/>
        </w:rPr>
        <w:t>Informó un netback operativo de $</w:t>
      </w:r>
      <w:r w:rsidR="0099749A">
        <w:rPr>
          <w:rFonts w:ascii="Arial" w:hAnsi="Arial" w:cs="Arial"/>
          <w:sz w:val="20"/>
          <w:szCs w:val="20"/>
          <w:lang w:val="es-AR"/>
        </w:rPr>
        <w:t>5,74</w:t>
      </w:r>
      <w:r w:rsidRPr="00717B62">
        <w:rPr>
          <w:rFonts w:ascii="Arial" w:hAnsi="Arial" w:cs="Arial"/>
          <w:sz w:val="20"/>
          <w:szCs w:val="20"/>
          <w:lang w:val="es-AR"/>
        </w:rPr>
        <w:t xml:space="preserve"> por BOE</w:t>
      </w:r>
      <w:r w:rsidRPr="00717B62">
        <w:rPr>
          <w:rStyle w:val="Refdenotaalpie"/>
          <w:rFonts w:ascii="Arial" w:hAnsi="Arial" w:cs="Arial"/>
          <w:sz w:val="20"/>
          <w:szCs w:val="20"/>
          <w:lang w:val="es-AR"/>
        </w:rPr>
        <w:footnoteReference w:id="2"/>
      </w:r>
      <w:r w:rsidRPr="00717B62">
        <w:rPr>
          <w:rFonts w:ascii="Arial" w:hAnsi="Arial" w:cs="Arial"/>
          <w:sz w:val="20"/>
          <w:szCs w:val="20"/>
          <w:lang w:val="es-AR"/>
        </w:rPr>
        <w:t xml:space="preserve">; </w:t>
      </w:r>
    </w:p>
    <w:p w:rsidR="005B101B" w:rsidRDefault="004C3EED" w:rsidP="00AB646E">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4C3EED">
        <w:rPr>
          <w:rFonts w:ascii="Arial" w:hAnsi="Arial" w:cs="Arial"/>
          <w:sz w:val="20"/>
          <w:szCs w:val="20"/>
          <w:lang w:val="es-AR"/>
        </w:rPr>
        <w:t xml:space="preserve">Obtuvo </w:t>
      </w:r>
      <w:r w:rsidR="00096F6B">
        <w:rPr>
          <w:rFonts w:ascii="Arial" w:hAnsi="Arial" w:cs="Arial"/>
          <w:sz w:val="20"/>
          <w:szCs w:val="20"/>
          <w:lang w:val="es-AR"/>
        </w:rPr>
        <w:t>$</w:t>
      </w:r>
      <w:r w:rsidR="0099749A">
        <w:rPr>
          <w:rFonts w:ascii="Arial" w:hAnsi="Arial" w:cs="Arial"/>
          <w:sz w:val="20"/>
          <w:szCs w:val="20"/>
          <w:lang w:val="es-AR"/>
        </w:rPr>
        <w:t>2</w:t>
      </w:r>
      <w:r w:rsidR="00096F6B">
        <w:rPr>
          <w:rFonts w:ascii="Arial" w:hAnsi="Arial" w:cs="Arial"/>
          <w:sz w:val="20"/>
          <w:szCs w:val="20"/>
          <w:lang w:val="es-AR"/>
        </w:rPr>
        <w:t xml:space="preserve">,2 millones </w:t>
      </w:r>
      <w:r w:rsidRPr="004C3EED">
        <w:rPr>
          <w:rFonts w:ascii="Arial" w:hAnsi="Arial" w:cs="Arial"/>
          <w:sz w:val="20"/>
          <w:szCs w:val="20"/>
          <w:lang w:val="es-AR"/>
        </w:rPr>
        <w:t>de préstamos para capital de trabajo</w:t>
      </w:r>
      <w:r w:rsidR="0099749A">
        <w:rPr>
          <w:rFonts w:ascii="Arial" w:hAnsi="Arial" w:cs="Arial"/>
          <w:sz w:val="20"/>
          <w:szCs w:val="20"/>
          <w:lang w:val="es-AR"/>
        </w:rPr>
        <w:t>, financiación de exportaciones</w:t>
      </w:r>
      <w:r w:rsidRPr="004C3EED">
        <w:rPr>
          <w:rFonts w:ascii="Arial" w:hAnsi="Arial" w:cs="Arial"/>
          <w:sz w:val="20"/>
          <w:szCs w:val="20"/>
          <w:lang w:val="es-AR"/>
        </w:rPr>
        <w:t xml:space="preserve"> y </w:t>
      </w:r>
      <w:r w:rsidR="00454132" w:rsidRPr="004C3EED">
        <w:rPr>
          <w:rFonts w:ascii="Arial" w:hAnsi="Arial" w:cs="Arial"/>
          <w:sz w:val="20"/>
          <w:szCs w:val="20"/>
          <w:lang w:val="es-AR"/>
        </w:rPr>
        <w:t>sobregiros</w:t>
      </w:r>
      <w:r w:rsidR="00096F6B">
        <w:rPr>
          <w:rFonts w:ascii="Arial" w:hAnsi="Arial" w:cs="Arial"/>
          <w:sz w:val="20"/>
          <w:szCs w:val="20"/>
          <w:lang w:val="es-AR"/>
        </w:rPr>
        <w:t xml:space="preserve">, y </w:t>
      </w:r>
      <w:r w:rsidR="0099749A">
        <w:rPr>
          <w:rFonts w:ascii="Arial" w:hAnsi="Arial" w:cs="Arial"/>
          <w:sz w:val="20"/>
          <w:szCs w:val="20"/>
          <w:lang w:val="es-AR"/>
        </w:rPr>
        <w:t xml:space="preserve">devolvió </w:t>
      </w:r>
      <w:r w:rsidR="003A442A">
        <w:rPr>
          <w:rFonts w:ascii="Arial" w:hAnsi="Arial" w:cs="Arial"/>
          <w:sz w:val="20"/>
          <w:szCs w:val="20"/>
          <w:lang w:val="es-AR"/>
        </w:rPr>
        <w:t>$</w:t>
      </w:r>
      <w:r w:rsidR="0099749A">
        <w:rPr>
          <w:rFonts w:ascii="Arial" w:hAnsi="Arial" w:cs="Arial"/>
          <w:sz w:val="20"/>
          <w:szCs w:val="20"/>
          <w:lang w:val="es-AR"/>
        </w:rPr>
        <w:t>2,1</w:t>
      </w:r>
      <w:r w:rsidR="003A442A">
        <w:rPr>
          <w:rFonts w:ascii="Arial" w:hAnsi="Arial" w:cs="Arial"/>
          <w:sz w:val="20"/>
          <w:szCs w:val="20"/>
          <w:lang w:val="es-AR"/>
        </w:rPr>
        <w:t xml:space="preserve"> millones </w:t>
      </w:r>
      <w:r w:rsidR="00F136B9">
        <w:rPr>
          <w:rFonts w:ascii="Arial" w:hAnsi="Arial" w:cs="Arial"/>
          <w:sz w:val="20"/>
          <w:szCs w:val="20"/>
          <w:lang w:val="es-AR"/>
        </w:rPr>
        <w:t xml:space="preserve">de </w:t>
      </w:r>
      <w:r w:rsidR="008B0CD2">
        <w:rPr>
          <w:rFonts w:ascii="Arial" w:hAnsi="Arial" w:cs="Arial"/>
          <w:sz w:val="20"/>
          <w:szCs w:val="20"/>
          <w:lang w:val="es-AR"/>
        </w:rPr>
        <w:t>documentos</w:t>
      </w:r>
      <w:r w:rsidR="00F136B9">
        <w:rPr>
          <w:rFonts w:ascii="Arial" w:hAnsi="Arial" w:cs="Arial"/>
          <w:sz w:val="20"/>
          <w:szCs w:val="20"/>
          <w:lang w:val="es-AR"/>
        </w:rPr>
        <w:t xml:space="preserve"> a pagar y $0,3 millones de préstamos para capital de trabajo y financiación de exportaciones</w:t>
      </w:r>
      <w:r w:rsidR="00454132" w:rsidRPr="004C3EED">
        <w:rPr>
          <w:rFonts w:ascii="Arial" w:hAnsi="Arial" w:cs="Arial"/>
          <w:sz w:val="20"/>
          <w:szCs w:val="20"/>
          <w:lang w:val="es-AR"/>
        </w:rPr>
        <w:t>;</w:t>
      </w:r>
    </w:p>
    <w:p w:rsidR="004C3EED" w:rsidRPr="00717B62" w:rsidRDefault="004C3EED" w:rsidP="004C3EED">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717B62">
        <w:rPr>
          <w:rFonts w:ascii="Arial" w:hAnsi="Arial" w:cs="Arial"/>
          <w:sz w:val="20"/>
          <w:szCs w:val="20"/>
          <w:lang w:val="es-AR"/>
        </w:rPr>
        <w:t>Informó una pérdida antes de impuestos de $</w:t>
      </w:r>
      <w:r w:rsidR="003A442A">
        <w:rPr>
          <w:rFonts w:ascii="Arial" w:hAnsi="Arial" w:cs="Arial"/>
          <w:sz w:val="20"/>
          <w:szCs w:val="20"/>
          <w:lang w:val="es-AR"/>
        </w:rPr>
        <w:t>2</w:t>
      </w:r>
      <w:r w:rsidRPr="00717B62">
        <w:rPr>
          <w:rFonts w:ascii="Arial" w:hAnsi="Arial" w:cs="Arial"/>
          <w:sz w:val="20"/>
          <w:szCs w:val="20"/>
          <w:lang w:val="es-AR"/>
        </w:rPr>
        <w:t>,</w:t>
      </w:r>
      <w:r w:rsidR="00F136B9">
        <w:rPr>
          <w:rFonts w:ascii="Arial" w:hAnsi="Arial" w:cs="Arial"/>
          <w:sz w:val="20"/>
          <w:szCs w:val="20"/>
          <w:lang w:val="es-AR"/>
        </w:rPr>
        <w:t>1</w:t>
      </w:r>
      <w:r w:rsidR="00F136B9" w:rsidRPr="00717B62">
        <w:rPr>
          <w:rFonts w:ascii="Arial" w:hAnsi="Arial" w:cs="Arial"/>
          <w:sz w:val="20"/>
          <w:szCs w:val="20"/>
          <w:lang w:val="es-AR"/>
        </w:rPr>
        <w:t xml:space="preserve"> </w:t>
      </w:r>
      <w:r w:rsidRPr="00717B62">
        <w:rPr>
          <w:rFonts w:ascii="Arial" w:hAnsi="Arial" w:cs="Arial"/>
          <w:sz w:val="20"/>
          <w:szCs w:val="20"/>
          <w:lang w:val="es-AR"/>
        </w:rPr>
        <w:t>millones y una pérdida neta de $</w:t>
      </w:r>
      <w:r w:rsidR="00F136B9">
        <w:rPr>
          <w:rFonts w:ascii="Arial" w:hAnsi="Arial" w:cs="Arial"/>
          <w:sz w:val="20"/>
          <w:szCs w:val="20"/>
          <w:lang w:val="es-AR"/>
        </w:rPr>
        <w:t>0,9</w:t>
      </w:r>
      <w:r w:rsidRPr="00717B62">
        <w:rPr>
          <w:rFonts w:ascii="Arial" w:hAnsi="Arial" w:cs="Arial"/>
          <w:sz w:val="20"/>
          <w:szCs w:val="20"/>
          <w:lang w:val="es-AR"/>
        </w:rPr>
        <w:t xml:space="preserve"> millones;</w:t>
      </w:r>
    </w:p>
    <w:p w:rsidR="00F53D5F" w:rsidRPr="00717B62" w:rsidRDefault="00F53D5F" w:rsidP="00184829">
      <w:pPr>
        <w:pStyle w:val="Prrafodelista"/>
        <w:widowControl w:val="0"/>
        <w:numPr>
          <w:ilvl w:val="0"/>
          <w:numId w:val="43"/>
        </w:numPr>
        <w:autoSpaceDE w:val="0"/>
        <w:autoSpaceDN w:val="0"/>
        <w:adjustRightInd w:val="0"/>
        <w:spacing w:before="60" w:line="240" w:lineRule="atLeast"/>
        <w:ind w:left="548" w:hanging="274"/>
        <w:contextualSpacing w:val="0"/>
        <w:jc w:val="both"/>
        <w:rPr>
          <w:rFonts w:ascii="Arial" w:hAnsi="Arial" w:cs="Arial"/>
          <w:sz w:val="20"/>
          <w:szCs w:val="20"/>
          <w:lang w:val="es-AR"/>
        </w:rPr>
      </w:pPr>
      <w:r w:rsidRPr="00717B62">
        <w:rPr>
          <w:rFonts w:ascii="Arial" w:hAnsi="Arial" w:cs="Arial"/>
          <w:sz w:val="20"/>
          <w:szCs w:val="20"/>
          <w:lang w:val="es-AR"/>
        </w:rPr>
        <w:t>Informó un déficit de capital de trabajo</w:t>
      </w:r>
      <w:r w:rsidRPr="00717B62">
        <w:rPr>
          <w:rStyle w:val="Refdenotaalpie"/>
          <w:rFonts w:ascii="Arial" w:hAnsi="Arial" w:cs="Arial"/>
          <w:sz w:val="20"/>
          <w:szCs w:val="20"/>
          <w:lang w:val="es-AR"/>
        </w:rPr>
        <w:footnoteReference w:id="3"/>
      </w:r>
      <w:r w:rsidR="00A83BFA" w:rsidRPr="00717B62">
        <w:rPr>
          <w:rFonts w:ascii="Arial" w:hAnsi="Arial" w:cs="Arial"/>
          <w:sz w:val="20"/>
          <w:szCs w:val="20"/>
          <w:lang w:val="es-AR"/>
        </w:rPr>
        <w:t xml:space="preserve"> </w:t>
      </w:r>
      <w:r w:rsidRPr="00717B62">
        <w:rPr>
          <w:rFonts w:ascii="Arial" w:hAnsi="Arial" w:cs="Arial"/>
          <w:sz w:val="20"/>
          <w:szCs w:val="20"/>
          <w:lang w:val="es-AR"/>
        </w:rPr>
        <w:t>de $</w:t>
      </w:r>
      <w:r w:rsidR="00F136B9">
        <w:rPr>
          <w:rFonts w:ascii="Arial" w:hAnsi="Arial" w:cs="Arial"/>
          <w:sz w:val="20"/>
          <w:szCs w:val="20"/>
          <w:lang w:val="es-AR"/>
        </w:rPr>
        <w:t xml:space="preserve">19,9 </w:t>
      </w:r>
      <w:r w:rsidRPr="00717B62">
        <w:rPr>
          <w:rFonts w:ascii="Arial" w:hAnsi="Arial" w:cs="Arial"/>
          <w:sz w:val="20"/>
          <w:szCs w:val="20"/>
          <w:lang w:val="es-AR"/>
        </w:rPr>
        <w:t>millones.</w:t>
      </w:r>
    </w:p>
    <w:p w:rsidR="00B6426B" w:rsidRPr="008B0CD2" w:rsidRDefault="00394995" w:rsidP="003115D5">
      <w:pPr>
        <w:pStyle w:val="Prrafodelista"/>
        <w:widowControl w:val="0"/>
        <w:numPr>
          <w:ilvl w:val="0"/>
          <w:numId w:val="43"/>
        </w:numPr>
        <w:autoSpaceDE w:val="0"/>
        <w:autoSpaceDN w:val="0"/>
        <w:adjustRightInd w:val="0"/>
        <w:spacing w:before="60" w:after="120" w:line="240" w:lineRule="atLeast"/>
        <w:ind w:left="548" w:hanging="274"/>
        <w:jc w:val="both"/>
        <w:rPr>
          <w:rFonts w:ascii="Arial" w:hAnsi="Arial" w:cs="Arial"/>
          <w:sz w:val="20"/>
          <w:szCs w:val="20"/>
          <w:lang w:val="es-AR"/>
        </w:rPr>
      </w:pPr>
      <w:r w:rsidRPr="00FE4367">
        <w:rPr>
          <w:rFonts w:ascii="Arial" w:hAnsi="Arial" w:cs="Arial"/>
          <w:sz w:val="20"/>
          <w:szCs w:val="20"/>
          <w:lang w:val="es-AR"/>
        </w:rPr>
        <w:t xml:space="preserve">Como se informó en el comunicado de prensa emitido </w:t>
      </w:r>
      <w:r w:rsidR="00A26206" w:rsidRPr="00FE4367">
        <w:rPr>
          <w:rFonts w:ascii="Arial" w:hAnsi="Arial" w:cs="Arial"/>
          <w:sz w:val="20"/>
          <w:szCs w:val="20"/>
          <w:lang w:val="es-AR"/>
        </w:rPr>
        <w:t>el 9 de febrero de 2024, l</w:t>
      </w:r>
      <w:r w:rsidR="00A26206" w:rsidRPr="00FE4367">
        <w:rPr>
          <w:rFonts w:ascii="Arial" w:hAnsi="Arial" w:cs="Arial"/>
          <w:sz w:val="20"/>
          <w:szCs w:val="20"/>
          <w:lang w:val="es-ES_tradnl"/>
        </w:rPr>
        <w:t xml:space="preserve">a Compañía celebró un contrato </w:t>
      </w:r>
      <w:r w:rsidR="002251DB" w:rsidRPr="00FE4367">
        <w:rPr>
          <w:rFonts w:ascii="Arial" w:hAnsi="Arial" w:cs="Arial"/>
          <w:sz w:val="20"/>
          <w:szCs w:val="20"/>
          <w:lang w:val="es-ES_tradnl"/>
        </w:rPr>
        <w:t xml:space="preserve">para adquirir </w:t>
      </w:r>
      <w:r w:rsidR="00A26206" w:rsidRPr="00FE4367">
        <w:rPr>
          <w:rFonts w:ascii="Arial" w:hAnsi="Arial" w:cs="Arial"/>
          <w:sz w:val="20"/>
          <w:szCs w:val="20"/>
          <w:lang w:val="es-ES_tradnl"/>
        </w:rPr>
        <w:t xml:space="preserve">una participación del 100% en </w:t>
      </w:r>
      <w:r w:rsidR="002251DB" w:rsidRPr="00FE4367">
        <w:rPr>
          <w:rFonts w:ascii="Arial" w:hAnsi="Arial" w:cs="Arial"/>
          <w:sz w:val="20"/>
          <w:szCs w:val="20"/>
          <w:lang w:val="es-ES_tradnl"/>
        </w:rPr>
        <w:t xml:space="preserve">las concesiones de explotación de hidrocarburos </w:t>
      </w:r>
      <w:r w:rsidR="00A26206" w:rsidRPr="00FE4367">
        <w:rPr>
          <w:rFonts w:ascii="Arial" w:hAnsi="Arial" w:cs="Arial"/>
          <w:sz w:val="20"/>
          <w:szCs w:val="20"/>
          <w:lang w:val="es-ES_tradnl"/>
        </w:rPr>
        <w:t xml:space="preserve">Piedra Clavada y Koluel Kaike </w:t>
      </w:r>
      <w:r w:rsidR="002251DB" w:rsidRPr="00FE4367">
        <w:rPr>
          <w:rFonts w:ascii="Arial" w:hAnsi="Arial" w:cs="Arial"/>
          <w:sz w:val="20"/>
          <w:szCs w:val="20"/>
          <w:lang w:val="es-ES_tradnl"/>
        </w:rPr>
        <w:t xml:space="preserve">(las </w:t>
      </w:r>
      <w:r w:rsidR="002251DB" w:rsidRPr="00FE4367">
        <w:rPr>
          <w:rFonts w:ascii="Arial" w:hAnsi="Arial" w:cs="Arial"/>
          <w:b/>
          <w:sz w:val="20"/>
          <w:szCs w:val="20"/>
          <w:lang w:val="es-ES_tradnl"/>
        </w:rPr>
        <w:t>“Concesiones de Santa Cruz</w:t>
      </w:r>
      <w:r w:rsidR="002251DB" w:rsidRPr="00FE4367">
        <w:rPr>
          <w:rFonts w:ascii="Arial" w:hAnsi="Arial" w:cs="Arial"/>
          <w:sz w:val="20"/>
          <w:szCs w:val="20"/>
          <w:lang w:val="es-ES_tradnl"/>
        </w:rPr>
        <w:t xml:space="preserve">”). </w:t>
      </w:r>
      <w:r w:rsidR="00B6426B" w:rsidRPr="008B0CD2">
        <w:rPr>
          <w:rFonts w:ascii="Arial" w:hAnsi="Arial" w:cs="Arial"/>
          <w:sz w:val="20"/>
          <w:szCs w:val="20"/>
          <w:lang w:val="es-AR"/>
        </w:rPr>
        <w:t xml:space="preserve">Actualmente la Compañía se encuentra en proceso </w:t>
      </w:r>
      <w:r w:rsidR="00F136B9" w:rsidRPr="008B0CD2">
        <w:rPr>
          <w:rFonts w:ascii="Arial" w:hAnsi="Arial" w:cs="Arial"/>
          <w:sz w:val="20"/>
          <w:szCs w:val="20"/>
          <w:lang w:val="es-AR"/>
        </w:rPr>
        <w:t>de</w:t>
      </w:r>
      <w:r w:rsidR="00B6426B" w:rsidRPr="008B0CD2">
        <w:rPr>
          <w:rFonts w:ascii="Arial" w:hAnsi="Arial" w:cs="Arial"/>
          <w:sz w:val="20"/>
          <w:szCs w:val="20"/>
          <w:lang w:val="es-AR"/>
        </w:rPr>
        <w:t xml:space="preserve"> obtener la aprobación de la provincia de Santa Cruz y organizar </w:t>
      </w:r>
      <w:r w:rsidR="00F21945" w:rsidRPr="008B0CD2">
        <w:rPr>
          <w:rFonts w:ascii="Arial" w:hAnsi="Arial" w:cs="Arial"/>
          <w:sz w:val="20"/>
          <w:szCs w:val="20"/>
          <w:lang w:val="es-AR"/>
        </w:rPr>
        <w:t>el financiamiento necesario</w:t>
      </w:r>
      <w:r w:rsidR="00B6426B" w:rsidRPr="008B0CD2">
        <w:rPr>
          <w:rFonts w:ascii="Arial" w:hAnsi="Arial" w:cs="Arial"/>
          <w:sz w:val="20"/>
          <w:szCs w:val="20"/>
          <w:lang w:val="es-AR"/>
        </w:rPr>
        <w:t xml:space="preserve"> </w:t>
      </w:r>
      <w:r w:rsidR="004A162B" w:rsidRPr="008B0CD2">
        <w:rPr>
          <w:rFonts w:ascii="Arial" w:hAnsi="Arial" w:cs="Arial"/>
          <w:sz w:val="20"/>
          <w:szCs w:val="20"/>
          <w:lang w:val="es-AR"/>
        </w:rPr>
        <w:t>para fondear la porción en efectivo del precio de compra</w:t>
      </w:r>
      <w:r w:rsidR="00F136B9" w:rsidRPr="008B0CD2">
        <w:rPr>
          <w:rFonts w:ascii="Arial" w:hAnsi="Arial" w:cs="Arial"/>
          <w:sz w:val="20"/>
          <w:szCs w:val="20"/>
          <w:lang w:val="es-AR"/>
        </w:rPr>
        <w:t xml:space="preserve"> (neto del depósito de $2,4 millones pagado por la Compañía)</w:t>
      </w:r>
      <w:r w:rsidR="004A162B" w:rsidRPr="008B0CD2">
        <w:rPr>
          <w:rFonts w:ascii="Arial" w:hAnsi="Arial" w:cs="Arial"/>
          <w:sz w:val="20"/>
          <w:szCs w:val="20"/>
          <w:lang w:val="es-AR"/>
        </w:rPr>
        <w:t xml:space="preserve">. El cierre de la adquisición está previsto para </w:t>
      </w:r>
      <w:r w:rsidR="00F136B9" w:rsidRPr="008B0CD2">
        <w:rPr>
          <w:rFonts w:ascii="Arial" w:hAnsi="Arial" w:cs="Arial"/>
          <w:sz w:val="20"/>
          <w:szCs w:val="20"/>
          <w:lang w:val="es-AR"/>
        </w:rPr>
        <w:t xml:space="preserve">julio </w:t>
      </w:r>
      <w:r w:rsidR="004A162B" w:rsidRPr="008B0CD2">
        <w:rPr>
          <w:rFonts w:ascii="Arial" w:hAnsi="Arial" w:cs="Arial"/>
          <w:sz w:val="20"/>
          <w:szCs w:val="20"/>
          <w:lang w:val="es-AR"/>
        </w:rPr>
        <w:t>de 2024.</w:t>
      </w:r>
    </w:p>
    <w:p w:rsidR="004A162B" w:rsidRDefault="004A162B" w:rsidP="004A162B">
      <w:pPr>
        <w:pStyle w:val="Prrafodelista"/>
        <w:widowControl w:val="0"/>
        <w:autoSpaceDE w:val="0"/>
        <w:autoSpaceDN w:val="0"/>
        <w:adjustRightInd w:val="0"/>
        <w:spacing w:before="60" w:line="240" w:lineRule="atLeast"/>
        <w:ind w:left="548"/>
        <w:contextualSpacing w:val="0"/>
        <w:jc w:val="both"/>
        <w:rPr>
          <w:rFonts w:ascii="Arial" w:hAnsi="Arial" w:cs="Arial"/>
          <w:sz w:val="20"/>
          <w:szCs w:val="20"/>
          <w:lang w:val="es-AR"/>
        </w:rPr>
      </w:pPr>
    </w:p>
    <w:p w:rsidR="00F136B9" w:rsidRPr="00717B62" w:rsidRDefault="00F136B9" w:rsidP="00F136B9">
      <w:pPr>
        <w:rPr>
          <w:rFonts w:ascii="Arial" w:hAnsi="Arial" w:cs="Arial"/>
          <w:b/>
          <w:bCs/>
          <w:caps/>
          <w:color w:val="000000"/>
          <w:sz w:val="20"/>
          <w:szCs w:val="20"/>
          <w:lang w:val="es-AR"/>
        </w:rPr>
      </w:pPr>
    </w:p>
    <w:p w:rsidR="00F136B9" w:rsidRDefault="00F136B9" w:rsidP="00F136B9">
      <w:pPr>
        <w:widowControl w:val="0"/>
        <w:rPr>
          <w:rFonts w:ascii="Arial" w:hAnsi="Arial" w:cs="Arial"/>
          <w:b/>
          <w:bCs/>
          <w:caps/>
          <w:color w:val="000000"/>
          <w:sz w:val="20"/>
          <w:szCs w:val="20"/>
          <w:lang w:val="es-AR"/>
        </w:rPr>
      </w:pPr>
      <w:r>
        <w:rPr>
          <w:rFonts w:ascii="Arial" w:hAnsi="Arial" w:cs="Arial"/>
          <w:b/>
          <w:bCs/>
          <w:caps/>
          <w:color w:val="000000"/>
          <w:sz w:val="20"/>
          <w:szCs w:val="20"/>
          <w:lang w:val="es-AR"/>
        </w:rPr>
        <w:t>HECHOS POSTERIORES</w:t>
      </w:r>
    </w:p>
    <w:p w:rsidR="00F136B9" w:rsidRDefault="00F136B9" w:rsidP="00F136B9">
      <w:pPr>
        <w:widowControl w:val="0"/>
        <w:spacing w:before="120"/>
        <w:rPr>
          <w:rFonts w:ascii="Arial" w:hAnsi="Arial" w:cs="Arial"/>
          <w:sz w:val="20"/>
          <w:szCs w:val="20"/>
          <w:lang w:val="es-AR"/>
        </w:rPr>
      </w:pPr>
      <w:r>
        <w:rPr>
          <w:rFonts w:ascii="Arial" w:hAnsi="Arial" w:cs="Arial"/>
          <w:sz w:val="20"/>
          <w:szCs w:val="20"/>
          <w:lang w:val="es-AR"/>
        </w:rPr>
        <w:t>Con posterioridad al 31 de marzo de 2024, la Compañía:</w:t>
      </w:r>
    </w:p>
    <w:p w:rsidR="00F136B9" w:rsidRPr="00F136B9" w:rsidRDefault="00F136B9" w:rsidP="00F136B9">
      <w:pPr>
        <w:pStyle w:val="Prrafodelista"/>
        <w:widowControl w:val="0"/>
        <w:numPr>
          <w:ilvl w:val="0"/>
          <w:numId w:val="50"/>
        </w:numPr>
        <w:spacing w:before="120"/>
        <w:rPr>
          <w:rFonts w:ascii="Arial" w:hAnsi="Arial" w:cs="Arial"/>
          <w:sz w:val="20"/>
          <w:szCs w:val="20"/>
          <w:lang w:val="es-AR"/>
        </w:rPr>
      </w:pPr>
      <w:r w:rsidRPr="00F136B9">
        <w:rPr>
          <w:rFonts w:ascii="Arial" w:hAnsi="Arial" w:cs="Arial"/>
          <w:sz w:val="20"/>
          <w:szCs w:val="20"/>
          <w:lang w:val="es-AR"/>
        </w:rPr>
        <w:lastRenderedPageBreak/>
        <w:t>Obtuvo préstamos para capital de trabajo y sobregiros por un monto total de $5,43 millones y devolvió $0</w:t>
      </w:r>
      <w:r w:rsidR="008B0CD2">
        <w:rPr>
          <w:rFonts w:ascii="Arial" w:hAnsi="Arial" w:cs="Arial"/>
          <w:sz w:val="20"/>
          <w:szCs w:val="20"/>
          <w:lang w:val="es-AR"/>
        </w:rPr>
        <w:t>,</w:t>
      </w:r>
      <w:r w:rsidRPr="00F136B9">
        <w:rPr>
          <w:rFonts w:ascii="Arial" w:hAnsi="Arial" w:cs="Arial"/>
          <w:sz w:val="20"/>
          <w:szCs w:val="20"/>
          <w:lang w:val="es-AR"/>
        </w:rPr>
        <w:t>39 millones de préstamos para capital de trabajo.</w:t>
      </w:r>
    </w:p>
    <w:p w:rsidR="00F136B9" w:rsidRPr="00F136B9" w:rsidRDefault="00F136B9" w:rsidP="00F136B9">
      <w:pPr>
        <w:pStyle w:val="Prrafodelista"/>
        <w:widowControl w:val="0"/>
        <w:numPr>
          <w:ilvl w:val="0"/>
          <w:numId w:val="50"/>
        </w:numPr>
        <w:spacing w:before="120"/>
        <w:rPr>
          <w:rFonts w:ascii="Arial" w:hAnsi="Arial" w:cs="Arial"/>
          <w:sz w:val="20"/>
          <w:szCs w:val="20"/>
          <w:lang w:val="es-AR"/>
        </w:rPr>
      </w:pPr>
      <w:r w:rsidRPr="00F136B9">
        <w:rPr>
          <w:rFonts w:ascii="Arial" w:hAnsi="Arial" w:cs="Arial"/>
          <w:sz w:val="20"/>
          <w:szCs w:val="20"/>
          <w:lang w:val="es-AR"/>
        </w:rPr>
        <w:t>Canceló la segunda cuota de capital de $2,1 millones sobre las Obligaciones Negociables Clase III.</w:t>
      </w:r>
    </w:p>
    <w:p w:rsidR="004813E2" w:rsidRPr="004A162B" w:rsidRDefault="004813E2" w:rsidP="004A162B">
      <w:pPr>
        <w:pStyle w:val="Prrafodelista"/>
        <w:widowControl w:val="0"/>
        <w:autoSpaceDE w:val="0"/>
        <w:autoSpaceDN w:val="0"/>
        <w:adjustRightInd w:val="0"/>
        <w:spacing w:before="60" w:line="240" w:lineRule="atLeast"/>
        <w:ind w:left="548"/>
        <w:contextualSpacing w:val="0"/>
        <w:jc w:val="both"/>
        <w:rPr>
          <w:rFonts w:ascii="Arial" w:hAnsi="Arial" w:cs="Arial"/>
          <w:sz w:val="20"/>
          <w:szCs w:val="20"/>
          <w:lang w:val="es-AR"/>
        </w:rPr>
      </w:pPr>
    </w:p>
    <w:p w:rsidR="00FB09DF" w:rsidRPr="00717B62" w:rsidRDefault="008A75ED" w:rsidP="008100FA">
      <w:pPr>
        <w:widowControl w:val="0"/>
        <w:rPr>
          <w:rFonts w:ascii="Arial" w:hAnsi="Arial" w:cs="Arial"/>
          <w:b/>
          <w:bCs/>
          <w:caps/>
          <w:color w:val="000000"/>
          <w:sz w:val="20"/>
          <w:szCs w:val="20"/>
          <w:lang w:val="es-AR"/>
        </w:rPr>
      </w:pPr>
      <w:r w:rsidRPr="00717B62">
        <w:rPr>
          <w:rFonts w:ascii="Arial" w:hAnsi="Arial" w:cs="Arial"/>
          <w:b/>
          <w:bCs/>
          <w:caps/>
          <w:color w:val="000000"/>
          <w:sz w:val="20"/>
          <w:szCs w:val="20"/>
          <w:lang w:val="es-AR"/>
        </w:rPr>
        <w:t>Reseña Operativa</w:t>
      </w:r>
    </w:p>
    <w:p w:rsidR="00FB09DF" w:rsidRPr="00717B62" w:rsidRDefault="00FB09DF" w:rsidP="008100FA">
      <w:pPr>
        <w:widowControl w:val="0"/>
        <w:spacing w:before="120" w:line="240" w:lineRule="atLeast"/>
        <w:jc w:val="both"/>
        <w:rPr>
          <w:rFonts w:ascii="Arial" w:hAnsi="Arial" w:cs="Arial"/>
          <w:b/>
          <w:sz w:val="20"/>
          <w:szCs w:val="20"/>
          <w:lang w:val="es-AR"/>
        </w:rPr>
      </w:pPr>
      <w:r w:rsidRPr="00717B62">
        <w:rPr>
          <w:rFonts w:ascii="Arial" w:hAnsi="Arial" w:cs="Arial"/>
          <w:b/>
          <w:bCs/>
          <w:sz w:val="20"/>
          <w:szCs w:val="20"/>
          <w:lang w:val="es-AR"/>
        </w:rPr>
        <w:t>Concesión de Tierra del Fuego (“TDF”</w:t>
      </w:r>
      <w:r w:rsidR="00CE49A0">
        <w:rPr>
          <w:rFonts w:ascii="Arial" w:hAnsi="Arial" w:cs="Arial"/>
          <w:b/>
          <w:bCs/>
          <w:sz w:val="20"/>
          <w:szCs w:val="20"/>
          <w:lang w:val="es-AR"/>
        </w:rPr>
        <w:t xml:space="preserve"> o las “Concesiones de TDF”</w:t>
      </w:r>
      <w:r w:rsidRPr="00717B62">
        <w:rPr>
          <w:rFonts w:ascii="Arial" w:hAnsi="Arial" w:cs="Arial"/>
          <w:b/>
          <w:bCs/>
          <w:sz w:val="20"/>
          <w:szCs w:val="20"/>
          <w:lang w:val="es-AR"/>
        </w:rPr>
        <w:t>)</w:t>
      </w:r>
    </w:p>
    <w:p w:rsidR="007C3AF5" w:rsidRPr="00E4387E" w:rsidRDefault="00320949" w:rsidP="00E4387E">
      <w:pPr>
        <w:pStyle w:val="Prrafodelista"/>
        <w:numPr>
          <w:ilvl w:val="0"/>
          <w:numId w:val="49"/>
        </w:numPr>
        <w:spacing w:before="120" w:line="240" w:lineRule="atLeast"/>
        <w:jc w:val="both"/>
        <w:rPr>
          <w:rFonts w:ascii="Arial" w:hAnsi="Arial" w:cs="Arial"/>
          <w:sz w:val="20"/>
          <w:szCs w:val="20"/>
          <w:lang w:val="es-AR"/>
        </w:rPr>
      </w:pPr>
      <w:r w:rsidRPr="00E4387E">
        <w:rPr>
          <w:rFonts w:ascii="Arial" w:hAnsi="Arial" w:cs="Arial"/>
          <w:sz w:val="20"/>
          <w:szCs w:val="20"/>
          <w:lang w:val="es-AR"/>
        </w:rPr>
        <w:t xml:space="preserve">Durante el </w:t>
      </w:r>
      <w:r w:rsidR="00F136B9">
        <w:rPr>
          <w:rFonts w:ascii="Arial" w:hAnsi="Arial" w:cs="Arial"/>
          <w:sz w:val="20"/>
          <w:szCs w:val="20"/>
          <w:lang w:val="es-AR"/>
        </w:rPr>
        <w:t>1</w:t>
      </w:r>
      <w:r w:rsidRPr="00E4387E">
        <w:rPr>
          <w:rFonts w:ascii="Arial" w:hAnsi="Arial" w:cs="Arial"/>
          <w:sz w:val="20"/>
          <w:szCs w:val="20"/>
          <w:lang w:val="es-AR"/>
        </w:rPr>
        <w:t>° trimestre de 20</w:t>
      </w:r>
      <w:r w:rsidR="00F136B9">
        <w:rPr>
          <w:rFonts w:ascii="Arial" w:hAnsi="Arial" w:cs="Arial"/>
          <w:sz w:val="20"/>
          <w:szCs w:val="20"/>
          <w:lang w:val="es-AR"/>
        </w:rPr>
        <w:t>24</w:t>
      </w:r>
      <w:r w:rsidRPr="00E4387E">
        <w:rPr>
          <w:rFonts w:ascii="Arial" w:hAnsi="Arial" w:cs="Arial"/>
          <w:sz w:val="20"/>
          <w:szCs w:val="20"/>
          <w:lang w:val="es-AR"/>
        </w:rPr>
        <w:t xml:space="preserve">, la producción de petróleo en San Martín fue en promedio de </w:t>
      </w:r>
      <w:r w:rsidR="00F136B9">
        <w:rPr>
          <w:rFonts w:ascii="Arial" w:hAnsi="Arial" w:cs="Arial"/>
          <w:sz w:val="20"/>
          <w:szCs w:val="20"/>
          <w:lang w:val="es-AR"/>
        </w:rPr>
        <w:t>405</w:t>
      </w:r>
      <w:r w:rsidR="00F136B9" w:rsidRPr="00E4387E">
        <w:rPr>
          <w:rFonts w:ascii="Arial" w:hAnsi="Arial" w:cs="Arial"/>
          <w:sz w:val="20"/>
          <w:szCs w:val="20"/>
          <w:lang w:val="es-AR"/>
        </w:rPr>
        <w:t xml:space="preserve"> </w:t>
      </w:r>
      <w:r w:rsidR="00A83BFA" w:rsidRPr="00E4387E">
        <w:rPr>
          <w:rFonts w:ascii="Arial" w:hAnsi="Arial" w:cs="Arial"/>
          <w:sz w:val="20"/>
          <w:szCs w:val="20"/>
          <w:lang w:val="es-AR"/>
        </w:rPr>
        <w:t xml:space="preserve">bbls </w:t>
      </w:r>
      <w:r w:rsidRPr="00E4387E">
        <w:rPr>
          <w:rFonts w:ascii="Arial" w:hAnsi="Arial" w:cs="Arial"/>
          <w:sz w:val="20"/>
          <w:szCs w:val="20"/>
          <w:lang w:val="es-AR"/>
        </w:rPr>
        <w:t>(</w:t>
      </w:r>
      <w:r w:rsidR="00F136B9" w:rsidRPr="00E4387E">
        <w:rPr>
          <w:rFonts w:ascii="Arial" w:hAnsi="Arial" w:cs="Arial"/>
          <w:sz w:val="20"/>
          <w:szCs w:val="20"/>
          <w:lang w:val="es-AR"/>
        </w:rPr>
        <w:t>1</w:t>
      </w:r>
      <w:r w:rsidR="00F136B9">
        <w:rPr>
          <w:rFonts w:ascii="Arial" w:hAnsi="Arial" w:cs="Arial"/>
          <w:sz w:val="20"/>
          <w:szCs w:val="20"/>
          <w:lang w:val="es-AR"/>
        </w:rPr>
        <w:t>41</w:t>
      </w:r>
      <w:r w:rsidR="00F136B9" w:rsidRPr="00E4387E">
        <w:rPr>
          <w:rFonts w:ascii="Arial" w:hAnsi="Arial" w:cs="Arial"/>
          <w:sz w:val="20"/>
          <w:szCs w:val="20"/>
          <w:lang w:val="es-AR"/>
        </w:rPr>
        <w:t xml:space="preserve"> </w:t>
      </w:r>
      <w:r w:rsidR="00B06234" w:rsidRPr="00E4387E">
        <w:rPr>
          <w:rFonts w:ascii="Arial" w:hAnsi="Arial" w:cs="Arial"/>
          <w:sz w:val="20"/>
          <w:szCs w:val="20"/>
          <w:lang w:val="es-AR"/>
        </w:rPr>
        <w:t xml:space="preserve">bbls </w:t>
      </w:r>
      <w:r w:rsidR="00A83BFA" w:rsidRPr="00E4387E">
        <w:rPr>
          <w:rFonts w:ascii="Arial" w:hAnsi="Arial" w:cs="Arial"/>
          <w:sz w:val="20"/>
          <w:szCs w:val="20"/>
          <w:lang w:val="es-AR"/>
        </w:rPr>
        <w:t>netos</w:t>
      </w:r>
      <w:r w:rsidRPr="00E4387E">
        <w:rPr>
          <w:rFonts w:ascii="Arial" w:hAnsi="Arial" w:cs="Arial"/>
          <w:sz w:val="20"/>
          <w:szCs w:val="20"/>
          <w:lang w:val="es-AR"/>
        </w:rPr>
        <w:t>) por día</w:t>
      </w:r>
      <w:r w:rsidR="00EF02BB" w:rsidRPr="00E4387E">
        <w:rPr>
          <w:rFonts w:ascii="Arial" w:hAnsi="Arial" w:cs="Arial"/>
          <w:sz w:val="20"/>
          <w:szCs w:val="20"/>
          <w:lang w:val="es-AR"/>
        </w:rPr>
        <w:t xml:space="preserve"> </w:t>
      </w:r>
      <w:r w:rsidR="00FA3281" w:rsidRPr="00E4387E">
        <w:rPr>
          <w:rFonts w:ascii="Arial" w:hAnsi="Arial" w:cs="Arial"/>
          <w:sz w:val="20"/>
          <w:szCs w:val="20"/>
          <w:lang w:val="es-AR"/>
        </w:rPr>
        <w:t xml:space="preserve">de petróleo </w:t>
      </w:r>
      <w:r w:rsidR="00AB454D" w:rsidRPr="00E4387E">
        <w:rPr>
          <w:rFonts w:ascii="Arial" w:hAnsi="Arial" w:cs="Arial"/>
          <w:sz w:val="20"/>
          <w:szCs w:val="20"/>
          <w:lang w:val="es-AR"/>
        </w:rPr>
        <w:t xml:space="preserve">y la producción de gas natural de la concesión Las Violetas fue en promedio de </w:t>
      </w:r>
      <w:r w:rsidR="00F136B9">
        <w:rPr>
          <w:rFonts w:ascii="Arial" w:hAnsi="Arial" w:cs="Arial"/>
          <w:sz w:val="20"/>
          <w:szCs w:val="20"/>
          <w:lang w:val="es-AR"/>
        </w:rPr>
        <w:t>8.988</w:t>
      </w:r>
      <w:r w:rsidR="00AB454D" w:rsidRPr="00E4387E">
        <w:rPr>
          <w:rFonts w:ascii="Arial" w:hAnsi="Arial" w:cs="Arial"/>
          <w:sz w:val="20"/>
          <w:szCs w:val="20"/>
          <w:lang w:val="es-AR"/>
        </w:rPr>
        <w:t xml:space="preserve"> mcf </w:t>
      </w:r>
      <w:r w:rsidRPr="00E4387E">
        <w:rPr>
          <w:rFonts w:ascii="Arial" w:hAnsi="Arial" w:cs="Arial"/>
          <w:sz w:val="20"/>
          <w:szCs w:val="20"/>
          <w:lang w:val="es-AR"/>
        </w:rPr>
        <w:t>(</w:t>
      </w:r>
      <w:r w:rsidR="007C3AF5" w:rsidRPr="00E4387E">
        <w:rPr>
          <w:rFonts w:ascii="Arial" w:hAnsi="Arial" w:cs="Arial"/>
          <w:sz w:val="20"/>
          <w:szCs w:val="20"/>
          <w:lang w:val="es-AR"/>
        </w:rPr>
        <w:t>3.</w:t>
      </w:r>
      <w:r w:rsidR="00F136B9">
        <w:rPr>
          <w:rFonts w:ascii="Arial" w:hAnsi="Arial" w:cs="Arial"/>
          <w:sz w:val="20"/>
          <w:szCs w:val="20"/>
          <w:lang w:val="es-AR"/>
        </w:rPr>
        <w:t>122</w:t>
      </w:r>
      <w:r w:rsidR="00F136B9" w:rsidRPr="00E4387E">
        <w:rPr>
          <w:rFonts w:ascii="Arial" w:hAnsi="Arial" w:cs="Arial"/>
          <w:sz w:val="20"/>
          <w:szCs w:val="20"/>
          <w:lang w:val="es-AR"/>
        </w:rPr>
        <w:t xml:space="preserve"> </w:t>
      </w:r>
      <w:r w:rsidR="00A83BFA" w:rsidRPr="00E4387E">
        <w:rPr>
          <w:rFonts w:ascii="Arial" w:hAnsi="Arial" w:cs="Arial"/>
          <w:sz w:val="20"/>
          <w:szCs w:val="20"/>
          <w:lang w:val="es-AR"/>
        </w:rPr>
        <w:t>mcf netos</w:t>
      </w:r>
      <w:r w:rsidRPr="00E4387E">
        <w:rPr>
          <w:rFonts w:ascii="Arial" w:hAnsi="Arial" w:cs="Arial"/>
          <w:sz w:val="20"/>
          <w:szCs w:val="20"/>
          <w:lang w:val="es-AR"/>
        </w:rPr>
        <w:t>) por día</w:t>
      </w:r>
      <w:r w:rsidR="004813E2" w:rsidRPr="00E4387E">
        <w:rPr>
          <w:rFonts w:ascii="Arial" w:hAnsi="Arial" w:cs="Arial"/>
          <w:sz w:val="20"/>
          <w:szCs w:val="20"/>
          <w:lang w:val="es-AR"/>
        </w:rPr>
        <w:t xml:space="preserve">, mientras que </w:t>
      </w:r>
      <w:r w:rsidR="0088424E" w:rsidRPr="00E4387E">
        <w:rPr>
          <w:rFonts w:ascii="Arial" w:hAnsi="Arial" w:cs="Arial"/>
          <w:sz w:val="20"/>
          <w:szCs w:val="20"/>
          <w:lang w:val="es-AR"/>
        </w:rPr>
        <w:t>su</w:t>
      </w:r>
      <w:r w:rsidRPr="00E4387E">
        <w:rPr>
          <w:rFonts w:ascii="Arial" w:hAnsi="Arial" w:cs="Arial"/>
          <w:sz w:val="20"/>
          <w:szCs w:val="20"/>
          <w:lang w:val="es-AR"/>
        </w:rPr>
        <w:t xml:space="preserve"> producción de petróleo fue en promedio de </w:t>
      </w:r>
      <w:r w:rsidR="00F136B9">
        <w:rPr>
          <w:rFonts w:ascii="Arial" w:hAnsi="Arial" w:cs="Arial"/>
          <w:sz w:val="20"/>
          <w:szCs w:val="20"/>
          <w:lang w:val="es-AR"/>
        </w:rPr>
        <w:t>221</w:t>
      </w:r>
      <w:r w:rsidR="00F136B9" w:rsidRPr="00E4387E">
        <w:rPr>
          <w:rFonts w:ascii="Arial" w:hAnsi="Arial" w:cs="Arial"/>
          <w:sz w:val="20"/>
          <w:szCs w:val="20"/>
          <w:lang w:val="es-AR"/>
        </w:rPr>
        <w:t xml:space="preserve"> </w:t>
      </w:r>
      <w:r w:rsidR="00A83BFA" w:rsidRPr="00E4387E">
        <w:rPr>
          <w:rFonts w:ascii="Arial" w:hAnsi="Arial" w:cs="Arial"/>
          <w:sz w:val="20"/>
          <w:szCs w:val="20"/>
          <w:lang w:val="es-AR"/>
        </w:rPr>
        <w:t xml:space="preserve">bbls </w:t>
      </w:r>
      <w:r w:rsidRPr="00E4387E">
        <w:rPr>
          <w:rFonts w:ascii="Arial" w:hAnsi="Arial" w:cs="Arial"/>
          <w:sz w:val="20"/>
          <w:szCs w:val="20"/>
          <w:lang w:val="es-AR"/>
        </w:rPr>
        <w:t>(</w:t>
      </w:r>
      <w:r w:rsidR="00F136B9">
        <w:rPr>
          <w:rFonts w:ascii="Arial" w:hAnsi="Arial" w:cs="Arial"/>
          <w:sz w:val="20"/>
          <w:szCs w:val="20"/>
          <w:lang w:val="es-AR"/>
        </w:rPr>
        <w:t>77</w:t>
      </w:r>
      <w:r w:rsidR="00F136B9" w:rsidRPr="00E4387E">
        <w:rPr>
          <w:rFonts w:ascii="Arial" w:hAnsi="Arial" w:cs="Arial"/>
          <w:sz w:val="20"/>
          <w:szCs w:val="20"/>
          <w:lang w:val="es-AR"/>
        </w:rPr>
        <w:t xml:space="preserve"> </w:t>
      </w:r>
      <w:r w:rsidR="00A83BFA" w:rsidRPr="00E4387E">
        <w:rPr>
          <w:rFonts w:ascii="Arial" w:hAnsi="Arial" w:cs="Arial"/>
          <w:sz w:val="20"/>
          <w:szCs w:val="20"/>
          <w:lang w:val="es-AR"/>
        </w:rPr>
        <w:t>bbls netos</w:t>
      </w:r>
      <w:r w:rsidRPr="00E4387E">
        <w:rPr>
          <w:rFonts w:ascii="Arial" w:hAnsi="Arial" w:cs="Arial"/>
          <w:sz w:val="20"/>
          <w:szCs w:val="20"/>
          <w:lang w:val="es-AR"/>
        </w:rPr>
        <w:t>) por día</w:t>
      </w:r>
      <w:r w:rsidR="00207F74" w:rsidRPr="00E4387E">
        <w:rPr>
          <w:rFonts w:ascii="Arial" w:hAnsi="Arial" w:cs="Arial"/>
          <w:sz w:val="20"/>
          <w:szCs w:val="20"/>
          <w:lang w:val="es-AR"/>
        </w:rPr>
        <w:t xml:space="preserve"> de petróleo</w:t>
      </w:r>
      <w:r w:rsidRPr="00E4387E">
        <w:rPr>
          <w:rFonts w:ascii="Arial" w:hAnsi="Arial" w:cs="Arial"/>
          <w:sz w:val="20"/>
          <w:szCs w:val="20"/>
          <w:lang w:val="es-AR"/>
        </w:rPr>
        <w:t>.</w:t>
      </w:r>
    </w:p>
    <w:p w:rsidR="00320949" w:rsidRPr="00320949" w:rsidRDefault="00320949" w:rsidP="00320949">
      <w:pPr>
        <w:spacing w:before="120" w:line="240" w:lineRule="atLeast"/>
        <w:jc w:val="both"/>
        <w:rPr>
          <w:rFonts w:ascii="Arial" w:hAnsi="Arial" w:cs="Arial"/>
          <w:b/>
          <w:sz w:val="20"/>
          <w:szCs w:val="20"/>
          <w:lang w:val="es-AR"/>
        </w:rPr>
      </w:pPr>
      <w:r w:rsidRPr="00320949">
        <w:rPr>
          <w:rFonts w:ascii="Arial" w:hAnsi="Arial" w:cs="Arial"/>
          <w:b/>
          <w:bCs/>
          <w:sz w:val="20"/>
          <w:szCs w:val="20"/>
          <w:lang w:val="es-AR"/>
        </w:rPr>
        <w:t>Concesi</w:t>
      </w:r>
      <w:r w:rsidR="00BA24CD">
        <w:rPr>
          <w:rFonts w:ascii="Arial" w:hAnsi="Arial" w:cs="Arial"/>
          <w:b/>
          <w:bCs/>
          <w:sz w:val="20"/>
          <w:szCs w:val="20"/>
          <w:lang w:val="es-AR"/>
        </w:rPr>
        <w:t>o</w:t>
      </w:r>
      <w:r w:rsidRPr="00320949">
        <w:rPr>
          <w:rFonts w:ascii="Arial" w:hAnsi="Arial" w:cs="Arial"/>
          <w:b/>
          <w:bCs/>
          <w:sz w:val="20"/>
          <w:szCs w:val="20"/>
          <w:lang w:val="es-AR"/>
        </w:rPr>
        <w:t>n</w:t>
      </w:r>
      <w:r w:rsidR="00BA24CD">
        <w:rPr>
          <w:rFonts w:ascii="Arial" w:hAnsi="Arial" w:cs="Arial"/>
          <w:b/>
          <w:bCs/>
          <w:sz w:val="20"/>
          <w:szCs w:val="20"/>
          <w:lang w:val="es-AR"/>
        </w:rPr>
        <w:t>es</w:t>
      </w:r>
      <w:r w:rsidRPr="00320949">
        <w:rPr>
          <w:rFonts w:ascii="Arial" w:hAnsi="Arial" w:cs="Arial"/>
          <w:b/>
          <w:bCs/>
          <w:sz w:val="20"/>
          <w:szCs w:val="20"/>
          <w:lang w:val="es-AR"/>
        </w:rPr>
        <w:t xml:space="preserve"> </w:t>
      </w:r>
      <w:r w:rsidR="00A83BFA" w:rsidRPr="00717B62">
        <w:rPr>
          <w:rFonts w:ascii="Arial" w:hAnsi="Arial" w:cs="Arial"/>
          <w:b/>
          <w:bCs/>
          <w:sz w:val="20"/>
          <w:szCs w:val="20"/>
          <w:lang w:val="es-AR"/>
        </w:rPr>
        <w:t xml:space="preserve">de </w:t>
      </w:r>
      <w:r w:rsidR="00DD2B76">
        <w:rPr>
          <w:rFonts w:ascii="Arial" w:hAnsi="Arial" w:cs="Arial"/>
          <w:b/>
          <w:bCs/>
          <w:sz w:val="20"/>
          <w:szCs w:val="20"/>
          <w:lang w:val="es-AR"/>
        </w:rPr>
        <w:t xml:space="preserve">Mendoza </w:t>
      </w:r>
      <w:r w:rsidRPr="00320949">
        <w:rPr>
          <w:rFonts w:ascii="Arial" w:hAnsi="Arial" w:cs="Arial"/>
          <w:b/>
          <w:sz w:val="20"/>
          <w:szCs w:val="20"/>
          <w:lang w:val="es-AR"/>
        </w:rPr>
        <w:t>(</w:t>
      </w:r>
      <w:r w:rsidR="00DD2B76">
        <w:rPr>
          <w:rFonts w:ascii="Arial" w:hAnsi="Arial" w:cs="Arial"/>
          <w:b/>
          <w:sz w:val="20"/>
          <w:szCs w:val="20"/>
          <w:lang w:val="es-AR"/>
        </w:rPr>
        <w:t xml:space="preserve">las </w:t>
      </w:r>
      <w:r w:rsidRPr="00320949">
        <w:rPr>
          <w:rFonts w:ascii="Arial" w:hAnsi="Arial" w:cs="Arial"/>
          <w:b/>
          <w:sz w:val="20"/>
          <w:szCs w:val="20"/>
          <w:lang w:val="es-AR"/>
        </w:rPr>
        <w:t>“C</w:t>
      </w:r>
      <w:r w:rsidR="00DD2B76">
        <w:rPr>
          <w:rFonts w:ascii="Arial" w:hAnsi="Arial" w:cs="Arial"/>
          <w:b/>
          <w:sz w:val="20"/>
          <w:szCs w:val="20"/>
          <w:lang w:val="es-AR"/>
        </w:rPr>
        <w:t>oncesiones de Mendoza</w:t>
      </w:r>
      <w:r w:rsidRPr="00320949">
        <w:rPr>
          <w:rFonts w:ascii="Arial" w:hAnsi="Arial" w:cs="Arial"/>
          <w:b/>
          <w:sz w:val="20"/>
          <w:szCs w:val="20"/>
          <w:lang w:val="es-AR"/>
        </w:rPr>
        <w:t>”)</w:t>
      </w:r>
    </w:p>
    <w:p w:rsidR="00F45C1E" w:rsidRPr="00E4387E" w:rsidRDefault="00F45C1E" w:rsidP="00E4387E">
      <w:pPr>
        <w:pStyle w:val="Prrafodelista"/>
        <w:numPr>
          <w:ilvl w:val="0"/>
          <w:numId w:val="49"/>
        </w:numPr>
        <w:spacing w:before="120" w:line="240" w:lineRule="atLeast"/>
        <w:jc w:val="both"/>
        <w:rPr>
          <w:rFonts w:ascii="Arial" w:hAnsi="Arial" w:cs="Arial"/>
          <w:sz w:val="20"/>
          <w:szCs w:val="20"/>
          <w:lang w:val="es-AR"/>
        </w:rPr>
      </w:pPr>
      <w:r w:rsidRPr="00E4387E">
        <w:rPr>
          <w:rFonts w:ascii="Arial" w:hAnsi="Arial" w:cs="Arial"/>
          <w:sz w:val="20"/>
          <w:szCs w:val="20"/>
          <w:lang w:val="es-AR"/>
        </w:rPr>
        <w:t xml:space="preserve">La </w:t>
      </w:r>
      <w:r w:rsidRPr="00E4387E">
        <w:rPr>
          <w:rFonts w:ascii="Arial" w:hAnsi="Arial" w:cs="Arial"/>
          <w:bCs/>
          <w:sz w:val="20"/>
          <w:szCs w:val="20"/>
          <w:lang w:val="es-AR"/>
        </w:rPr>
        <w:t xml:space="preserve">producción de petróleo para el </w:t>
      </w:r>
      <w:r w:rsidR="00F136B9">
        <w:rPr>
          <w:rFonts w:ascii="Arial" w:hAnsi="Arial" w:cs="Arial"/>
          <w:sz w:val="20"/>
          <w:szCs w:val="20"/>
          <w:lang w:val="es-AR"/>
        </w:rPr>
        <w:t>1</w:t>
      </w:r>
      <w:r w:rsidRPr="00E4387E">
        <w:rPr>
          <w:rFonts w:ascii="Arial" w:hAnsi="Arial" w:cs="Arial"/>
          <w:sz w:val="20"/>
          <w:szCs w:val="20"/>
          <w:lang w:val="es-AR"/>
        </w:rPr>
        <w:t>°</w:t>
      </w:r>
      <w:r w:rsidRPr="00E4387E">
        <w:rPr>
          <w:rFonts w:ascii="Arial" w:hAnsi="Arial" w:cs="Arial"/>
          <w:bCs/>
          <w:sz w:val="20"/>
          <w:szCs w:val="20"/>
          <w:lang w:val="es-AR"/>
        </w:rPr>
        <w:t xml:space="preserve"> trimestre de </w:t>
      </w:r>
      <w:r w:rsidR="00F136B9">
        <w:rPr>
          <w:rFonts w:ascii="Arial" w:hAnsi="Arial" w:cs="Arial"/>
          <w:bCs/>
          <w:sz w:val="20"/>
          <w:szCs w:val="20"/>
          <w:lang w:val="es-AR"/>
        </w:rPr>
        <w:t>2024</w:t>
      </w:r>
      <w:r w:rsidR="00F136B9" w:rsidRPr="00E4387E">
        <w:rPr>
          <w:rFonts w:ascii="Arial" w:hAnsi="Arial" w:cs="Arial"/>
          <w:bCs/>
          <w:sz w:val="20"/>
          <w:szCs w:val="20"/>
          <w:lang w:val="es-AR"/>
        </w:rPr>
        <w:t xml:space="preserve"> </w:t>
      </w:r>
      <w:r w:rsidRPr="00E4387E">
        <w:rPr>
          <w:rFonts w:ascii="Arial" w:hAnsi="Arial" w:cs="Arial"/>
          <w:bCs/>
          <w:sz w:val="20"/>
          <w:szCs w:val="20"/>
          <w:lang w:val="es-AR"/>
        </w:rPr>
        <w:t xml:space="preserve">fue en promedio de </w:t>
      </w:r>
      <w:r w:rsidR="00F136B9">
        <w:rPr>
          <w:rFonts w:ascii="Arial" w:hAnsi="Arial" w:cs="Arial"/>
          <w:bCs/>
          <w:sz w:val="20"/>
          <w:szCs w:val="20"/>
          <w:lang w:val="es-AR"/>
        </w:rPr>
        <w:t>798</w:t>
      </w:r>
      <w:r w:rsidR="00F136B9" w:rsidRPr="00E4387E">
        <w:rPr>
          <w:rFonts w:ascii="Arial" w:hAnsi="Arial" w:cs="Arial"/>
          <w:sz w:val="20"/>
          <w:szCs w:val="20"/>
          <w:lang w:val="es-AR"/>
        </w:rPr>
        <w:t xml:space="preserve"> </w:t>
      </w:r>
      <w:r w:rsidRPr="00E4387E">
        <w:rPr>
          <w:rFonts w:ascii="Arial" w:hAnsi="Arial" w:cs="Arial"/>
          <w:sz w:val="20"/>
          <w:szCs w:val="20"/>
          <w:lang w:val="es-AR"/>
        </w:rPr>
        <w:t>bbls (</w:t>
      </w:r>
      <w:r w:rsidR="00F136B9">
        <w:rPr>
          <w:rFonts w:ascii="Arial" w:hAnsi="Arial" w:cs="Arial"/>
          <w:sz w:val="20"/>
          <w:szCs w:val="20"/>
          <w:lang w:val="es-AR"/>
        </w:rPr>
        <w:t>399</w:t>
      </w:r>
      <w:r w:rsidR="00F136B9" w:rsidRPr="00E4387E">
        <w:rPr>
          <w:rFonts w:ascii="Arial" w:hAnsi="Arial" w:cs="Arial"/>
          <w:sz w:val="20"/>
          <w:szCs w:val="20"/>
          <w:lang w:val="es-AR"/>
        </w:rPr>
        <w:t xml:space="preserve"> </w:t>
      </w:r>
      <w:r w:rsidRPr="00E4387E">
        <w:rPr>
          <w:rFonts w:ascii="Arial" w:hAnsi="Arial" w:cs="Arial"/>
          <w:sz w:val="20"/>
          <w:szCs w:val="20"/>
          <w:lang w:val="es-AR"/>
        </w:rPr>
        <w:t>bbls netos) por día de petróleo</w:t>
      </w:r>
      <w:r w:rsidR="00082FA6" w:rsidRPr="00E4387E">
        <w:rPr>
          <w:rFonts w:ascii="Arial" w:hAnsi="Arial" w:cs="Arial"/>
          <w:sz w:val="20"/>
          <w:szCs w:val="20"/>
          <w:lang w:val="es-AR"/>
        </w:rPr>
        <w:t xml:space="preserve"> en </w:t>
      </w:r>
      <w:r w:rsidR="00082FA6" w:rsidRPr="00E4387E">
        <w:rPr>
          <w:rFonts w:ascii="Arial" w:hAnsi="Arial" w:cs="Arial"/>
          <w:bCs/>
          <w:sz w:val="20"/>
          <w:szCs w:val="20"/>
          <w:lang w:val="es-AR"/>
        </w:rPr>
        <w:t xml:space="preserve">la Concesión de </w:t>
      </w:r>
      <w:r w:rsidR="004813E2" w:rsidRPr="00E4387E">
        <w:rPr>
          <w:rFonts w:ascii="Arial" w:hAnsi="Arial" w:cs="Arial"/>
          <w:bCs/>
          <w:sz w:val="20"/>
          <w:szCs w:val="20"/>
          <w:lang w:val="es-AR"/>
        </w:rPr>
        <w:t>CH</w:t>
      </w:r>
      <w:r w:rsidR="00082FA6" w:rsidRPr="00E4387E">
        <w:rPr>
          <w:rFonts w:ascii="Arial" w:hAnsi="Arial" w:cs="Arial"/>
          <w:bCs/>
          <w:sz w:val="20"/>
          <w:szCs w:val="20"/>
          <w:lang w:val="es-AR"/>
        </w:rPr>
        <w:t xml:space="preserve"> </w:t>
      </w:r>
      <w:r w:rsidR="00082FA6" w:rsidRPr="00E4387E">
        <w:rPr>
          <w:rFonts w:ascii="Arial" w:hAnsi="Arial" w:cs="Arial"/>
          <w:sz w:val="20"/>
          <w:szCs w:val="20"/>
          <w:lang w:val="es-AR"/>
        </w:rPr>
        <w:t xml:space="preserve">y de </w:t>
      </w:r>
      <w:r w:rsidR="00F136B9" w:rsidRPr="00E4387E">
        <w:rPr>
          <w:rFonts w:ascii="Arial" w:hAnsi="Arial" w:cs="Arial"/>
          <w:sz w:val="20"/>
          <w:szCs w:val="20"/>
          <w:lang w:val="es-AR"/>
        </w:rPr>
        <w:t>1</w:t>
      </w:r>
      <w:r w:rsidR="00F136B9">
        <w:rPr>
          <w:rFonts w:ascii="Arial" w:hAnsi="Arial" w:cs="Arial"/>
          <w:sz w:val="20"/>
          <w:szCs w:val="20"/>
          <w:lang w:val="es-AR"/>
        </w:rPr>
        <w:t>66</w:t>
      </w:r>
      <w:r w:rsidR="00F136B9" w:rsidRPr="00E4387E">
        <w:rPr>
          <w:rFonts w:ascii="Arial" w:hAnsi="Arial" w:cs="Arial"/>
          <w:sz w:val="20"/>
          <w:szCs w:val="20"/>
          <w:lang w:val="es-AR"/>
        </w:rPr>
        <w:t xml:space="preserve"> </w:t>
      </w:r>
      <w:r w:rsidR="00082FA6" w:rsidRPr="00E4387E">
        <w:rPr>
          <w:rFonts w:ascii="Arial" w:hAnsi="Arial" w:cs="Arial"/>
          <w:sz w:val="20"/>
          <w:szCs w:val="20"/>
          <w:lang w:val="es-AR"/>
        </w:rPr>
        <w:t>bbls (</w:t>
      </w:r>
      <w:r w:rsidR="00F136B9" w:rsidRPr="00E4387E">
        <w:rPr>
          <w:rFonts w:ascii="Arial" w:hAnsi="Arial" w:cs="Arial"/>
          <w:sz w:val="20"/>
          <w:szCs w:val="20"/>
          <w:lang w:val="es-AR"/>
        </w:rPr>
        <w:t>8</w:t>
      </w:r>
      <w:r w:rsidR="00F136B9">
        <w:rPr>
          <w:rFonts w:ascii="Arial" w:hAnsi="Arial" w:cs="Arial"/>
          <w:sz w:val="20"/>
          <w:szCs w:val="20"/>
          <w:lang w:val="es-AR"/>
        </w:rPr>
        <w:t>3</w:t>
      </w:r>
      <w:r w:rsidR="00F136B9" w:rsidRPr="00E4387E">
        <w:rPr>
          <w:rFonts w:ascii="Arial" w:hAnsi="Arial" w:cs="Arial"/>
          <w:sz w:val="20"/>
          <w:szCs w:val="20"/>
          <w:lang w:val="es-AR"/>
        </w:rPr>
        <w:t xml:space="preserve"> </w:t>
      </w:r>
      <w:r w:rsidR="00082FA6" w:rsidRPr="00E4387E">
        <w:rPr>
          <w:rFonts w:ascii="Arial" w:hAnsi="Arial" w:cs="Arial"/>
          <w:sz w:val="20"/>
          <w:szCs w:val="20"/>
          <w:lang w:val="es-AR"/>
        </w:rPr>
        <w:t>bbls netos) por día de petróleo en la Concesión de PPCO</w:t>
      </w:r>
      <w:r w:rsidRPr="00E4387E">
        <w:rPr>
          <w:rFonts w:ascii="Arial" w:hAnsi="Arial" w:cs="Arial"/>
          <w:sz w:val="20"/>
          <w:szCs w:val="20"/>
          <w:lang w:val="es-AR"/>
        </w:rPr>
        <w:t>.</w:t>
      </w:r>
    </w:p>
    <w:p w:rsidR="00E64D98" w:rsidRPr="00717B62" w:rsidRDefault="00E64D98" w:rsidP="00BA24CD">
      <w:pPr>
        <w:pStyle w:val="Ne4"/>
        <w:keepNext/>
        <w:widowControl w:val="0"/>
        <w:spacing w:before="240" w:line="240" w:lineRule="atLeast"/>
        <w:ind w:left="0"/>
        <w:rPr>
          <w:rFonts w:cs="Arial"/>
          <w:lang w:val="es-AR"/>
        </w:rPr>
      </w:pPr>
      <w:r w:rsidRPr="00717B62">
        <w:rPr>
          <w:rFonts w:cs="Arial"/>
          <w:b/>
          <w:bCs/>
          <w:lang w:val="es-AR"/>
        </w:rPr>
        <w:t>PERSPECTIVAS</w:t>
      </w:r>
    </w:p>
    <w:p w:rsidR="00506357" w:rsidRPr="00B702D9" w:rsidRDefault="00BA0AC9" w:rsidP="00B702D9">
      <w:pPr>
        <w:pStyle w:val="Prrafodelista"/>
        <w:keepNext/>
        <w:numPr>
          <w:ilvl w:val="0"/>
          <w:numId w:val="49"/>
        </w:numPr>
        <w:spacing w:before="120" w:line="240" w:lineRule="atLeast"/>
        <w:jc w:val="both"/>
        <w:rPr>
          <w:rFonts w:ascii="Arial" w:hAnsi="Arial" w:cs="Arial"/>
          <w:sz w:val="20"/>
          <w:szCs w:val="20"/>
          <w:lang w:val="es-AR"/>
        </w:rPr>
      </w:pPr>
      <w:r w:rsidRPr="00B702D9">
        <w:rPr>
          <w:rFonts w:ascii="Arial" w:hAnsi="Arial" w:cs="Arial"/>
          <w:sz w:val="20"/>
          <w:szCs w:val="20"/>
          <w:lang w:val="es-AR"/>
        </w:rPr>
        <w:t>El gasto de capital en activos desarrollados y productivos presupuestado de la Compañía para el ejercicio 202</w:t>
      </w:r>
      <w:r w:rsidR="000E15D7" w:rsidRPr="00B702D9">
        <w:rPr>
          <w:rFonts w:ascii="Arial" w:hAnsi="Arial" w:cs="Arial"/>
          <w:sz w:val="20"/>
          <w:szCs w:val="20"/>
          <w:lang w:val="es-AR"/>
        </w:rPr>
        <w:t>4</w:t>
      </w:r>
      <w:r w:rsidRPr="00B702D9">
        <w:rPr>
          <w:rFonts w:ascii="Arial" w:hAnsi="Arial" w:cs="Arial"/>
          <w:sz w:val="20"/>
          <w:szCs w:val="20"/>
          <w:lang w:val="es-AR"/>
        </w:rPr>
        <w:t xml:space="preserve"> asciende a </w:t>
      </w:r>
      <w:r w:rsidR="000E15D7" w:rsidRPr="00B702D9">
        <w:rPr>
          <w:rFonts w:ascii="Arial" w:hAnsi="Arial" w:cs="Arial"/>
          <w:sz w:val="20"/>
          <w:szCs w:val="20"/>
          <w:lang w:val="es-AR"/>
        </w:rPr>
        <w:t xml:space="preserve">aproximadamente </w:t>
      </w:r>
      <w:r w:rsidRPr="00B702D9">
        <w:rPr>
          <w:rFonts w:ascii="Arial" w:hAnsi="Arial" w:cs="Arial"/>
          <w:sz w:val="20"/>
          <w:szCs w:val="20"/>
          <w:lang w:val="es-AR"/>
        </w:rPr>
        <w:t>$</w:t>
      </w:r>
      <w:r w:rsidR="00F136B9">
        <w:rPr>
          <w:rFonts w:ascii="Arial" w:hAnsi="Arial" w:cs="Arial"/>
          <w:sz w:val="20"/>
          <w:szCs w:val="20"/>
          <w:lang w:val="es-AR"/>
        </w:rPr>
        <w:t>4,9</w:t>
      </w:r>
      <w:r w:rsidRPr="00B702D9">
        <w:rPr>
          <w:rFonts w:ascii="Arial" w:hAnsi="Arial" w:cs="Arial"/>
          <w:sz w:val="20"/>
          <w:szCs w:val="20"/>
          <w:lang w:val="es-AR"/>
        </w:rPr>
        <w:t xml:space="preserve"> millones, </w:t>
      </w:r>
      <w:r w:rsidR="000E15D7" w:rsidRPr="00B702D9">
        <w:rPr>
          <w:rFonts w:ascii="Arial" w:hAnsi="Arial" w:cs="Arial"/>
          <w:sz w:val="20"/>
          <w:szCs w:val="20"/>
          <w:lang w:val="es-AR"/>
        </w:rPr>
        <w:t xml:space="preserve">de los cuales $1,5 millones corresponden a la reparación de un pozo y mejoras </w:t>
      </w:r>
      <w:r w:rsidR="005C1221" w:rsidRPr="00B702D9">
        <w:rPr>
          <w:rFonts w:ascii="Arial" w:hAnsi="Arial" w:cs="Arial"/>
          <w:sz w:val="20"/>
          <w:szCs w:val="20"/>
          <w:lang w:val="es-AR"/>
        </w:rPr>
        <w:t xml:space="preserve">en las </w:t>
      </w:r>
      <w:r w:rsidRPr="00B702D9">
        <w:rPr>
          <w:rFonts w:ascii="Arial" w:hAnsi="Arial" w:cs="Arial"/>
          <w:sz w:val="20"/>
          <w:szCs w:val="20"/>
          <w:lang w:val="es-AR"/>
        </w:rPr>
        <w:t xml:space="preserve">instalaciones </w:t>
      </w:r>
      <w:r w:rsidR="005C1221" w:rsidRPr="00B702D9">
        <w:rPr>
          <w:rFonts w:ascii="Arial" w:hAnsi="Arial" w:cs="Arial"/>
          <w:sz w:val="20"/>
          <w:szCs w:val="20"/>
          <w:lang w:val="es-AR"/>
        </w:rPr>
        <w:t xml:space="preserve">de las Concesiones </w:t>
      </w:r>
      <w:r w:rsidRPr="00B702D9">
        <w:rPr>
          <w:rFonts w:ascii="Arial" w:hAnsi="Arial" w:cs="Arial"/>
          <w:sz w:val="20"/>
          <w:szCs w:val="20"/>
          <w:lang w:val="es-AR"/>
        </w:rPr>
        <w:t>de TDF</w:t>
      </w:r>
      <w:r w:rsidR="000E15D7" w:rsidRPr="00B702D9">
        <w:rPr>
          <w:rFonts w:ascii="Arial" w:hAnsi="Arial" w:cs="Arial"/>
          <w:sz w:val="20"/>
          <w:szCs w:val="20"/>
          <w:lang w:val="es-AR"/>
        </w:rPr>
        <w:t>, y $</w:t>
      </w:r>
      <w:r w:rsidR="00F136B9">
        <w:rPr>
          <w:rFonts w:ascii="Arial" w:hAnsi="Arial" w:cs="Arial"/>
          <w:sz w:val="20"/>
          <w:szCs w:val="20"/>
          <w:lang w:val="es-AR"/>
        </w:rPr>
        <w:t>3,4</w:t>
      </w:r>
      <w:r w:rsidR="000E15D7" w:rsidRPr="00B702D9">
        <w:rPr>
          <w:rFonts w:ascii="Arial" w:hAnsi="Arial" w:cs="Arial"/>
          <w:sz w:val="20"/>
          <w:szCs w:val="20"/>
          <w:lang w:val="es-AR"/>
        </w:rPr>
        <w:t xml:space="preserve"> millones corresponden a reparaciones de pozos</w:t>
      </w:r>
      <w:r w:rsidR="0096627F">
        <w:rPr>
          <w:rFonts w:ascii="Arial" w:hAnsi="Arial" w:cs="Arial"/>
          <w:sz w:val="20"/>
          <w:szCs w:val="20"/>
          <w:lang w:val="es-AR"/>
        </w:rPr>
        <w:t>,</w:t>
      </w:r>
      <w:r w:rsidR="000E15D7" w:rsidRPr="00B702D9">
        <w:rPr>
          <w:rFonts w:ascii="Arial" w:hAnsi="Arial" w:cs="Arial"/>
          <w:sz w:val="20"/>
          <w:szCs w:val="20"/>
          <w:lang w:val="es-AR"/>
        </w:rPr>
        <w:t xml:space="preserve"> </w:t>
      </w:r>
      <w:r w:rsidRPr="00B702D9">
        <w:rPr>
          <w:rFonts w:ascii="Arial" w:hAnsi="Arial" w:cs="Arial"/>
          <w:sz w:val="20"/>
          <w:szCs w:val="20"/>
          <w:lang w:val="es-AR"/>
        </w:rPr>
        <w:t>mejoras en las instalaciones y optimización en</w:t>
      </w:r>
      <w:r w:rsidR="00506357" w:rsidRPr="00B702D9">
        <w:rPr>
          <w:rFonts w:ascii="Arial" w:hAnsi="Arial" w:cs="Arial"/>
          <w:sz w:val="20"/>
          <w:szCs w:val="20"/>
          <w:lang w:val="es-AR"/>
        </w:rPr>
        <w:t xml:space="preserve"> las Concesiones de Mendoza</w:t>
      </w:r>
      <w:r w:rsidRPr="00B702D9">
        <w:rPr>
          <w:rFonts w:ascii="Arial" w:hAnsi="Arial" w:cs="Arial"/>
          <w:sz w:val="20"/>
          <w:szCs w:val="20"/>
          <w:lang w:val="es-AR"/>
        </w:rPr>
        <w:t xml:space="preserve">. </w:t>
      </w:r>
      <w:r w:rsidR="00506357" w:rsidRPr="00B702D9">
        <w:rPr>
          <w:rFonts w:ascii="Arial" w:hAnsi="Arial" w:cs="Arial"/>
          <w:sz w:val="20"/>
          <w:szCs w:val="20"/>
          <w:lang w:val="es-AR"/>
        </w:rPr>
        <w:t xml:space="preserve">La Compañía </w:t>
      </w:r>
      <w:r w:rsidR="00031C63" w:rsidRPr="00B702D9">
        <w:rPr>
          <w:rFonts w:ascii="Arial" w:hAnsi="Arial" w:cs="Arial"/>
          <w:sz w:val="20"/>
          <w:szCs w:val="20"/>
          <w:lang w:val="es-AR"/>
        </w:rPr>
        <w:t xml:space="preserve">también </w:t>
      </w:r>
      <w:r w:rsidR="00506357" w:rsidRPr="00B702D9">
        <w:rPr>
          <w:rFonts w:ascii="Arial" w:hAnsi="Arial" w:cs="Arial"/>
          <w:sz w:val="20"/>
          <w:szCs w:val="20"/>
          <w:lang w:val="es-AR"/>
        </w:rPr>
        <w:t>prevé invertir $0,</w:t>
      </w:r>
      <w:r w:rsidR="00031C63" w:rsidRPr="00B702D9">
        <w:rPr>
          <w:rFonts w:ascii="Arial" w:hAnsi="Arial" w:cs="Arial"/>
          <w:sz w:val="20"/>
          <w:szCs w:val="20"/>
          <w:lang w:val="es-AR"/>
        </w:rPr>
        <w:t>5</w:t>
      </w:r>
      <w:r w:rsidR="00506357" w:rsidRPr="00B702D9">
        <w:rPr>
          <w:rFonts w:ascii="Arial" w:hAnsi="Arial" w:cs="Arial"/>
          <w:sz w:val="20"/>
          <w:szCs w:val="20"/>
          <w:lang w:val="es-AR"/>
        </w:rPr>
        <w:t xml:space="preserve"> millones en pruebas a realizarse en las capas de arenisca que contienen gas del Grupo Neuquén en CL</w:t>
      </w:r>
      <w:r w:rsidR="00031C63" w:rsidRPr="00B702D9">
        <w:rPr>
          <w:rFonts w:ascii="Arial" w:hAnsi="Arial" w:cs="Arial"/>
          <w:sz w:val="20"/>
          <w:szCs w:val="20"/>
          <w:lang w:val="es-AR"/>
        </w:rPr>
        <w:t>L</w:t>
      </w:r>
      <w:r w:rsidR="00506357" w:rsidRPr="00B702D9">
        <w:rPr>
          <w:rFonts w:ascii="Arial" w:hAnsi="Arial" w:cs="Arial"/>
          <w:sz w:val="20"/>
          <w:szCs w:val="20"/>
          <w:lang w:val="es-AR"/>
        </w:rPr>
        <w:t>.</w:t>
      </w:r>
      <w:r w:rsidR="0096627F">
        <w:rPr>
          <w:rFonts w:ascii="Arial" w:hAnsi="Arial" w:cs="Arial"/>
          <w:sz w:val="20"/>
          <w:szCs w:val="20"/>
          <w:lang w:val="es-AR"/>
        </w:rPr>
        <w:t xml:space="preserve"> Durante el 1º trimestre de 2024, la Compañía incurrió en </w:t>
      </w:r>
      <w:r w:rsidR="00B66A67">
        <w:rPr>
          <w:rFonts w:ascii="Arial" w:hAnsi="Arial" w:cs="Arial"/>
          <w:sz w:val="20"/>
          <w:szCs w:val="20"/>
          <w:lang w:val="es-AR"/>
        </w:rPr>
        <w:t>gastos</w:t>
      </w:r>
      <w:r w:rsidR="0096627F">
        <w:rPr>
          <w:rFonts w:ascii="Arial" w:hAnsi="Arial" w:cs="Arial"/>
          <w:sz w:val="20"/>
          <w:szCs w:val="20"/>
          <w:lang w:val="es-AR"/>
        </w:rPr>
        <w:t xml:space="preserve"> de capital por $0,3 millones en las Concesiones de Mendoza.</w:t>
      </w:r>
    </w:p>
    <w:p w:rsidR="00BA0AC9" w:rsidRPr="00717B62" w:rsidRDefault="00BA0AC9">
      <w:pPr>
        <w:rPr>
          <w:rFonts w:ascii="Arial" w:hAnsi="Arial" w:cs="Arial"/>
          <w:b/>
          <w:bCs/>
          <w:caps/>
          <w:color w:val="000000"/>
          <w:sz w:val="20"/>
          <w:szCs w:val="20"/>
          <w:lang w:val="es-AR"/>
        </w:rPr>
      </w:pPr>
      <w:r w:rsidRPr="00717B62">
        <w:rPr>
          <w:rFonts w:ascii="Arial" w:hAnsi="Arial" w:cs="Arial"/>
          <w:b/>
          <w:bCs/>
          <w:caps/>
          <w:color w:val="000000"/>
          <w:sz w:val="20"/>
          <w:szCs w:val="20"/>
          <w:lang w:val="es-AR"/>
        </w:rPr>
        <w:br w:type="page"/>
      </w:r>
    </w:p>
    <w:p w:rsidR="006429BF" w:rsidRDefault="006429BF" w:rsidP="0020731E">
      <w:pPr>
        <w:widowControl w:val="0"/>
        <w:spacing w:before="240" w:after="120" w:line="260" w:lineRule="atLeast"/>
        <w:ind w:left="288" w:right="-309" w:hanging="288"/>
        <w:jc w:val="both"/>
        <w:outlineLvl w:val="8"/>
        <w:rPr>
          <w:rFonts w:ascii="Arial" w:hAnsi="Arial" w:cs="Arial"/>
          <w:caps/>
          <w:color w:val="000000"/>
          <w:szCs w:val="22"/>
          <w:vertAlign w:val="superscript"/>
          <w:lang w:val="es-AR"/>
        </w:rPr>
      </w:pPr>
      <w:r w:rsidRPr="00717B62">
        <w:rPr>
          <w:rFonts w:ascii="Arial" w:hAnsi="Arial" w:cs="Arial"/>
          <w:b/>
          <w:bCs/>
          <w:caps/>
          <w:color w:val="000000"/>
          <w:sz w:val="20"/>
          <w:szCs w:val="20"/>
          <w:lang w:val="es-AR"/>
        </w:rPr>
        <w:lastRenderedPageBreak/>
        <w:t>INFORMACIÓN FINANCIERA RESUMIDA</w:t>
      </w:r>
    </w:p>
    <w:tbl>
      <w:tblPr>
        <w:tblW w:w="8104" w:type="dxa"/>
        <w:tblLayout w:type="fixed"/>
        <w:tblLook w:val="04A0" w:firstRow="1" w:lastRow="0" w:firstColumn="1" w:lastColumn="0" w:noHBand="0" w:noVBand="1"/>
      </w:tblPr>
      <w:tblGrid>
        <w:gridCol w:w="5490"/>
        <w:gridCol w:w="1307"/>
        <w:gridCol w:w="1307"/>
      </w:tblGrid>
      <w:tr w:rsidR="00AB646E" w:rsidRPr="00902562" w:rsidTr="00AB646E">
        <w:trPr>
          <w:trHeight w:val="321"/>
        </w:trPr>
        <w:tc>
          <w:tcPr>
            <w:tcW w:w="5490" w:type="dxa"/>
            <w:tcBorders>
              <w:top w:val="single" w:sz="12" w:space="0" w:color="auto"/>
              <w:bottom w:val="single" w:sz="4" w:space="0" w:color="auto"/>
            </w:tcBorders>
          </w:tcPr>
          <w:p w:rsidR="00AB646E" w:rsidRPr="00AB646E" w:rsidRDefault="00AB646E" w:rsidP="00AB646E">
            <w:pPr>
              <w:widowControl w:val="0"/>
              <w:jc w:val="both"/>
              <w:rPr>
                <w:rFonts w:ascii="Arial" w:hAnsi="Arial" w:cs="Arial"/>
                <w:bCs/>
                <w:sz w:val="16"/>
                <w:szCs w:val="16"/>
                <w:lang w:val="es-ES_tradnl"/>
              </w:rPr>
            </w:pPr>
            <w:r w:rsidRPr="00717B62">
              <w:rPr>
                <w:rFonts w:ascii="Arial" w:hAnsi="Arial" w:cs="Arial"/>
                <w:sz w:val="16"/>
                <w:szCs w:val="16"/>
                <w:lang w:val="es-AR"/>
              </w:rPr>
              <w:t>(cifras expresadas en $, salvo por las correspondientes a las acciones en circulación)</w:t>
            </w:r>
          </w:p>
        </w:tc>
        <w:tc>
          <w:tcPr>
            <w:tcW w:w="1307" w:type="dxa"/>
            <w:tcBorders>
              <w:top w:val="single" w:sz="12" w:space="0" w:color="auto"/>
              <w:bottom w:val="single" w:sz="4" w:space="0" w:color="auto"/>
            </w:tcBorders>
            <w:vAlign w:val="bottom"/>
          </w:tcPr>
          <w:p w:rsidR="008B0CD2" w:rsidRDefault="00AB646E" w:rsidP="00AB646E">
            <w:pPr>
              <w:widowControl w:val="0"/>
              <w:jc w:val="right"/>
              <w:rPr>
                <w:rFonts w:ascii="Arial" w:hAnsi="Arial" w:cs="Arial"/>
                <w:b/>
                <w:bCs/>
                <w:sz w:val="16"/>
                <w:szCs w:val="16"/>
                <w:lang w:val="en-CA"/>
              </w:rPr>
            </w:pPr>
            <w:r>
              <w:rPr>
                <w:rFonts w:ascii="Arial" w:hAnsi="Arial" w:cs="Arial"/>
                <w:b/>
                <w:bCs/>
                <w:sz w:val="16"/>
                <w:szCs w:val="16"/>
                <w:lang w:val="en-CA"/>
              </w:rPr>
              <w:t xml:space="preserve">31 de </w:t>
            </w:r>
          </w:p>
          <w:p w:rsidR="00AB646E" w:rsidRPr="00902562" w:rsidRDefault="0096627F" w:rsidP="00AB646E">
            <w:pPr>
              <w:widowControl w:val="0"/>
              <w:jc w:val="right"/>
              <w:rPr>
                <w:rFonts w:ascii="Arial" w:hAnsi="Arial" w:cs="Arial"/>
                <w:b/>
                <w:bCs/>
                <w:sz w:val="16"/>
                <w:szCs w:val="16"/>
                <w:lang w:val="en-CA"/>
              </w:rPr>
            </w:pPr>
            <w:r>
              <w:rPr>
                <w:rFonts w:ascii="Arial" w:hAnsi="Arial" w:cs="Arial"/>
                <w:b/>
                <w:bCs/>
                <w:sz w:val="16"/>
                <w:szCs w:val="16"/>
                <w:lang w:val="en-CA"/>
              </w:rPr>
              <w:t xml:space="preserve">marzo </w:t>
            </w:r>
            <w:r w:rsidR="00AB646E">
              <w:rPr>
                <w:rFonts w:ascii="Arial" w:hAnsi="Arial" w:cs="Arial"/>
                <w:b/>
                <w:bCs/>
                <w:sz w:val="16"/>
                <w:szCs w:val="16"/>
                <w:lang w:val="en-CA"/>
              </w:rPr>
              <w:t>de</w:t>
            </w:r>
            <w:r w:rsidR="008B0CD2">
              <w:rPr>
                <w:rFonts w:ascii="Arial" w:hAnsi="Arial" w:cs="Arial"/>
                <w:b/>
                <w:bCs/>
                <w:sz w:val="16"/>
                <w:szCs w:val="16"/>
                <w:lang w:val="en-CA"/>
              </w:rPr>
              <w:t xml:space="preserve"> </w:t>
            </w:r>
          </w:p>
          <w:p w:rsidR="00AB646E" w:rsidRPr="00902562" w:rsidRDefault="0096627F" w:rsidP="00031C63">
            <w:pPr>
              <w:widowControl w:val="0"/>
              <w:jc w:val="right"/>
              <w:rPr>
                <w:rFonts w:ascii="Arial" w:hAnsi="Arial" w:cs="Arial"/>
                <w:b/>
                <w:bCs/>
                <w:sz w:val="18"/>
                <w:szCs w:val="18"/>
                <w:lang w:val="en-CA"/>
              </w:rPr>
            </w:pPr>
            <w:r>
              <w:rPr>
                <w:rFonts w:ascii="Arial" w:hAnsi="Arial" w:cs="Arial"/>
                <w:b/>
                <w:bCs/>
                <w:sz w:val="16"/>
                <w:szCs w:val="16"/>
                <w:lang w:val="en-CA"/>
              </w:rPr>
              <w:t>2024</w:t>
            </w:r>
          </w:p>
        </w:tc>
        <w:tc>
          <w:tcPr>
            <w:tcW w:w="1307" w:type="dxa"/>
            <w:tcBorders>
              <w:top w:val="single" w:sz="12" w:space="0" w:color="auto"/>
              <w:bottom w:val="single" w:sz="4" w:space="0" w:color="auto"/>
            </w:tcBorders>
            <w:vAlign w:val="bottom"/>
          </w:tcPr>
          <w:p w:rsidR="00AB646E" w:rsidRPr="00902562" w:rsidRDefault="00AB646E" w:rsidP="00AB646E">
            <w:pPr>
              <w:widowControl w:val="0"/>
              <w:jc w:val="right"/>
              <w:rPr>
                <w:rFonts w:ascii="Arial" w:hAnsi="Arial" w:cs="Arial"/>
                <w:b/>
                <w:bCs/>
                <w:sz w:val="16"/>
                <w:szCs w:val="16"/>
                <w:lang w:val="en-CA"/>
              </w:rPr>
            </w:pPr>
            <w:r>
              <w:rPr>
                <w:rFonts w:ascii="Arial" w:hAnsi="Arial" w:cs="Arial"/>
                <w:b/>
                <w:bCs/>
                <w:sz w:val="16"/>
                <w:szCs w:val="16"/>
                <w:lang w:val="en-CA"/>
              </w:rPr>
              <w:t>31 de diciembre de</w:t>
            </w:r>
          </w:p>
          <w:p w:rsidR="00AB646E" w:rsidRPr="00902562" w:rsidRDefault="0096627F" w:rsidP="00AB646E">
            <w:pPr>
              <w:widowControl w:val="0"/>
              <w:jc w:val="right"/>
              <w:rPr>
                <w:rFonts w:ascii="Arial" w:hAnsi="Arial" w:cs="Arial"/>
                <w:b/>
                <w:bCs/>
                <w:sz w:val="16"/>
                <w:szCs w:val="16"/>
                <w:lang w:val="en-CA"/>
              </w:rPr>
            </w:pPr>
            <w:r>
              <w:rPr>
                <w:rFonts w:ascii="Arial" w:hAnsi="Arial" w:cs="Arial"/>
                <w:b/>
                <w:bCs/>
                <w:sz w:val="16"/>
                <w:szCs w:val="16"/>
                <w:lang w:val="en-CA"/>
              </w:rPr>
              <w:t>2023</w:t>
            </w:r>
          </w:p>
        </w:tc>
      </w:tr>
      <w:tr w:rsidR="0096627F" w:rsidRPr="00902562" w:rsidTr="00E4387E">
        <w:tblPrEx>
          <w:tblLook w:val="01E0" w:firstRow="1" w:lastRow="1" w:firstColumn="1" w:lastColumn="1" w:noHBand="0" w:noVBand="0"/>
        </w:tblPrEx>
        <w:trPr>
          <w:trHeight w:val="184"/>
        </w:trPr>
        <w:tc>
          <w:tcPr>
            <w:tcW w:w="5490" w:type="dxa"/>
            <w:tcBorders>
              <w:top w:val="single" w:sz="4" w:space="0" w:color="auto"/>
            </w:tcBorders>
          </w:tcPr>
          <w:p w:rsidR="0096627F" w:rsidRDefault="0096627F" w:rsidP="0096627F">
            <w:pPr>
              <w:widowControl w:val="0"/>
              <w:spacing w:before="60" w:line="240" w:lineRule="atLeast"/>
              <w:rPr>
                <w:rFonts w:ascii="Arial" w:hAnsi="Arial" w:cs="Arial"/>
                <w:sz w:val="18"/>
                <w:szCs w:val="18"/>
                <w:lang w:val="en-CA"/>
              </w:rPr>
            </w:pPr>
            <w:r w:rsidRPr="00717B62">
              <w:rPr>
                <w:rFonts w:ascii="Arial" w:hAnsi="Arial" w:cs="Arial"/>
                <w:sz w:val="18"/>
                <w:szCs w:val="18"/>
                <w:lang w:val="es-AR"/>
              </w:rPr>
              <w:t>Activo corriente</w:t>
            </w:r>
          </w:p>
        </w:tc>
        <w:tc>
          <w:tcPr>
            <w:tcW w:w="1307" w:type="dxa"/>
            <w:tcBorders>
              <w:top w:val="single" w:sz="4" w:space="0" w:color="000000"/>
            </w:tcBorders>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6</w:t>
            </w:r>
            <w:r>
              <w:rPr>
                <w:rFonts w:ascii="Arial" w:hAnsi="Arial" w:cs="Arial"/>
                <w:sz w:val="18"/>
                <w:szCs w:val="18"/>
              </w:rPr>
              <w:t>.</w:t>
            </w:r>
            <w:r w:rsidRPr="00002555">
              <w:rPr>
                <w:rFonts w:ascii="Arial" w:hAnsi="Arial" w:cs="Arial"/>
                <w:sz w:val="18"/>
                <w:szCs w:val="18"/>
              </w:rPr>
              <w:t>114</w:t>
            </w:r>
            <w:r>
              <w:rPr>
                <w:rFonts w:ascii="Arial" w:hAnsi="Arial" w:cs="Arial"/>
                <w:sz w:val="18"/>
                <w:szCs w:val="18"/>
              </w:rPr>
              <w:t>.</w:t>
            </w:r>
            <w:r w:rsidRPr="00002555">
              <w:rPr>
                <w:rFonts w:ascii="Arial" w:hAnsi="Arial" w:cs="Arial"/>
                <w:sz w:val="18"/>
                <w:szCs w:val="18"/>
              </w:rPr>
              <w:t>498</w:t>
            </w:r>
          </w:p>
        </w:tc>
        <w:tc>
          <w:tcPr>
            <w:tcW w:w="1307" w:type="dxa"/>
            <w:tcBorders>
              <w:top w:val="single" w:sz="4" w:space="0" w:color="auto"/>
            </w:tcBorders>
          </w:tcPr>
          <w:p w:rsidR="0096627F" w:rsidRPr="00A1132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7</w:t>
            </w:r>
            <w:r>
              <w:rPr>
                <w:rFonts w:ascii="Arial" w:hAnsi="Arial" w:cs="Arial"/>
                <w:sz w:val="18"/>
                <w:szCs w:val="18"/>
              </w:rPr>
              <w:t>.</w:t>
            </w:r>
            <w:r w:rsidRPr="00002555">
              <w:rPr>
                <w:rFonts w:ascii="Arial" w:hAnsi="Arial" w:cs="Arial"/>
                <w:sz w:val="18"/>
                <w:szCs w:val="18"/>
              </w:rPr>
              <w:t>636</w:t>
            </w:r>
            <w:r>
              <w:rPr>
                <w:rFonts w:ascii="Arial" w:hAnsi="Arial" w:cs="Arial"/>
                <w:sz w:val="18"/>
                <w:szCs w:val="18"/>
              </w:rPr>
              <w:t>.</w:t>
            </w:r>
            <w:r w:rsidRPr="00002555">
              <w:rPr>
                <w:rFonts w:ascii="Arial" w:hAnsi="Arial" w:cs="Arial"/>
                <w:sz w:val="18"/>
                <w:szCs w:val="18"/>
              </w:rPr>
              <w:t>408</w:t>
            </w:r>
          </w:p>
        </w:tc>
      </w:tr>
      <w:tr w:rsidR="0096627F" w:rsidRPr="00902562" w:rsidTr="00E4387E">
        <w:tblPrEx>
          <w:tblLook w:val="01E0" w:firstRow="1" w:lastRow="1" w:firstColumn="1" w:lastColumn="1" w:noHBand="0" w:noVBand="0"/>
        </w:tblPrEx>
        <w:trPr>
          <w:trHeight w:val="184"/>
        </w:trPr>
        <w:tc>
          <w:tcPr>
            <w:tcW w:w="5490" w:type="dxa"/>
            <w:tcBorders>
              <w:bottom w:val="single" w:sz="4" w:space="0" w:color="auto"/>
            </w:tcBorders>
          </w:tcPr>
          <w:p w:rsidR="0096627F" w:rsidRDefault="0096627F" w:rsidP="0096627F">
            <w:pPr>
              <w:widowControl w:val="0"/>
              <w:spacing w:line="240" w:lineRule="atLeast"/>
              <w:rPr>
                <w:rFonts w:ascii="Arial" w:hAnsi="Arial" w:cs="Arial"/>
                <w:sz w:val="18"/>
                <w:szCs w:val="18"/>
                <w:lang w:val="en-CA"/>
              </w:rPr>
            </w:pPr>
            <w:r w:rsidRPr="00717B62">
              <w:rPr>
                <w:rFonts w:ascii="Arial" w:hAnsi="Arial" w:cs="Arial"/>
                <w:sz w:val="18"/>
                <w:szCs w:val="18"/>
                <w:lang w:val="es-AR"/>
              </w:rPr>
              <w:t>Pasivo corriente</w:t>
            </w:r>
          </w:p>
        </w:tc>
        <w:tc>
          <w:tcPr>
            <w:tcW w:w="1307" w:type="dxa"/>
            <w:tcBorders>
              <w:bottom w:val="single" w:sz="4" w:space="0" w:color="000000"/>
            </w:tcBorders>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(25</w:t>
            </w:r>
            <w:r>
              <w:rPr>
                <w:rFonts w:ascii="Arial" w:hAnsi="Arial" w:cs="Arial"/>
                <w:sz w:val="18"/>
                <w:szCs w:val="18"/>
              </w:rPr>
              <w:t>.</w:t>
            </w:r>
            <w:r w:rsidRPr="00002555">
              <w:rPr>
                <w:rFonts w:ascii="Arial" w:hAnsi="Arial" w:cs="Arial"/>
                <w:sz w:val="18"/>
                <w:szCs w:val="18"/>
              </w:rPr>
              <w:t>975</w:t>
            </w:r>
            <w:r>
              <w:rPr>
                <w:rFonts w:ascii="Arial" w:hAnsi="Arial" w:cs="Arial"/>
                <w:sz w:val="18"/>
                <w:szCs w:val="18"/>
              </w:rPr>
              <w:t>.</w:t>
            </w:r>
            <w:r w:rsidRPr="00002555">
              <w:rPr>
                <w:rFonts w:ascii="Arial" w:hAnsi="Arial" w:cs="Arial"/>
                <w:sz w:val="18"/>
                <w:szCs w:val="18"/>
              </w:rPr>
              <w:t>815)</w:t>
            </w:r>
          </w:p>
        </w:tc>
        <w:tc>
          <w:tcPr>
            <w:tcW w:w="1307" w:type="dxa"/>
            <w:tcBorders>
              <w:bottom w:val="single" w:sz="4" w:space="0" w:color="auto"/>
            </w:tcBorders>
          </w:tcPr>
          <w:p w:rsidR="0096627F" w:rsidRPr="00A1132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(19</w:t>
            </w:r>
            <w:r>
              <w:rPr>
                <w:rFonts w:ascii="Arial" w:hAnsi="Arial" w:cs="Arial"/>
                <w:sz w:val="18"/>
                <w:szCs w:val="18"/>
              </w:rPr>
              <w:t>.</w:t>
            </w:r>
            <w:r w:rsidRPr="00002555">
              <w:rPr>
                <w:rFonts w:ascii="Arial" w:hAnsi="Arial" w:cs="Arial"/>
                <w:sz w:val="18"/>
                <w:szCs w:val="18"/>
              </w:rPr>
              <w:t>422</w:t>
            </w:r>
            <w:r>
              <w:rPr>
                <w:rFonts w:ascii="Arial" w:hAnsi="Arial" w:cs="Arial"/>
                <w:sz w:val="18"/>
                <w:szCs w:val="18"/>
              </w:rPr>
              <w:t>.</w:t>
            </w:r>
            <w:r w:rsidRPr="00002555">
              <w:rPr>
                <w:rFonts w:ascii="Arial" w:hAnsi="Arial" w:cs="Arial"/>
                <w:sz w:val="18"/>
                <w:szCs w:val="18"/>
              </w:rPr>
              <w:t>342)</w:t>
            </w:r>
          </w:p>
        </w:tc>
      </w:tr>
      <w:tr w:rsidR="0096627F" w:rsidRPr="00902562" w:rsidTr="00460347">
        <w:tblPrEx>
          <w:tblLook w:val="01E0" w:firstRow="1" w:lastRow="1" w:firstColumn="1" w:lastColumn="1" w:noHBand="0" w:noVBand="0"/>
        </w:tblPrEx>
        <w:trPr>
          <w:trHeight w:val="184"/>
        </w:trPr>
        <w:tc>
          <w:tcPr>
            <w:tcW w:w="5490" w:type="dxa"/>
            <w:tcBorders>
              <w:top w:val="single" w:sz="4" w:space="0" w:color="auto"/>
              <w:bottom w:val="single" w:sz="4" w:space="0" w:color="auto"/>
            </w:tcBorders>
          </w:tcPr>
          <w:p w:rsidR="0096627F" w:rsidRPr="00902562" w:rsidRDefault="0096627F" w:rsidP="0096627F">
            <w:pPr>
              <w:widowControl w:val="0"/>
              <w:spacing w:line="240" w:lineRule="atLeast"/>
              <w:rPr>
                <w:rFonts w:ascii="Arial" w:hAnsi="Arial" w:cs="Arial"/>
                <w:sz w:val="18"/>
                <w:szCs w:val="18"/>
                <w:lang w:val="en-CA"/>
              </w:rPr>
            </w:pPr>
            <w:r w:rsidRPr="00717B62">
              <w:rPr>
                <w:rFonts w:ascii="Arial" w:hAnsi="Arial" w:cs="Arial"/>
                <w:sz w:val="18"/>
                <w:szCs w:val="18"/>
                <w:lang w:val="es-AR"/>
              </w:rPr>
              <w:t>Capital de trabajo</w:t>
            </w:r>
            <w:r w:rsidRPr="00717B62">
              <w:rPr>
                <w:rFonts w:ascii="Arial" w:hAnsi="Arial" w:cs="Arial"/>
                <w:sz w:val="20"/>
                <w:szCs w:val="20"/>
                <w:vertAlign w:val="superscript"/>
                <w:lang w:val="es-AR"/>
              </w:rPr>
              <w:t>(</w:t>
            </w:r>
            <w:r>
              <w:rPr>
                <w:rFonts w:ascii="Arial" w:hAnsi="Arial" w:cs="Arial"/>
                <w:sz w:val="20"/>
                <w:szCs w:val="20"/>
                <w:vertAlign w:val="superscript"/>
                <w:lang w:val="es-AR"/>
              </w:rPr>
              <w:t>1</w:t>
            </w:r>
            <w:r w:rsidRPr="00717B62">
              <w:rPr>
                <w:rFonts w:ascii="Arial" w:hAnsi="Arial" w:cs="Arial"/>
                <w:sz w:val="20"/>
                <w:szCs w:val="20"/>
                <w:vertAlign w:val="superscript"/>
                <w:lang w:val="es-AR"/>
              </w:rPr>
              <w:t>)</w:t>
            </w:r>
          </w:p>
        </w:tc>
        <w:tc>
          <w:tcPr>
            <w:tcW w:w="1307" w:type="dxa"/>
            <w:tcBorders>
              <w:top w:val="single" w:sz="4" w:space="0" w:color="000000"/>
              <w:bottom w:val="single" w:sz="4" w:space="0" w:color="000000"/>
            </w:tcBorders>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(19</w:t>
            </w:r>
            <w:r>
              <w:rPr>
                <w:rFonts w:ascii="Arial" w:hAnsi="Arial" w:cs="Arial"/>
                <w:sz w:val="18"/>
                <w:szCs w:val="18"/>
              </w:rPr>
              <w:t>.</w:t>
            </w:r>
            <w:r w:rsidRPr="00002555">
              <w:rPr>
                <w:rFonts w:ascii="Arial" w:hAnsi="Arial" w:cs="Arial"/>
                <w:sz w:val="18"/>
                <w:szCs w:val="18"/>
              </w:rPr>
              <w:t>861</w:t>
            </w:r>
            <w:r>
              <w:rPr>
                <w:rFonts w:ascii="Arial" w:hAnsi="Arial" w:cs="Arial"/>
                <w:sz w:val="18"/>
                <w:szCs w:val="18"/>
              </w:rPr>
              <w:t>.</w:t>
            </w:r>
            <w:r w:rsidRPr="00002555">
              <w:rPr>
                <w:rFonts w:ascii="Arial" w:hAnsi="Arial" w:cs="Arial"/>
                <w:sz w:val="18"/>
                <w:szCs w:val="18"/>
              </w:rPr>
              <w:t>317)</w:t>
            </w:r>
          </w:p>
        </w:tc>
        <w:tc>
          <w:tcPr>
            <w:tcW w:w="1307" w:type="dxa"/>
            <w:tcBorders>
              <w:top w:val="single" w:sz="4" w:space="0" w:color="auto"/>
              <w:bottom w:val="single" w:sz="4" w:space="0" w:color="auto"/>
            </w:tcBorders>
          </w:tcPr>
          <w:p w:rsidR="0096627F" w:rsidRPr="00A1132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(11</w:t>
            </w:r>
            <w:r>
              <w:rPr>
                <w:rFonts w:ascii="Arial" w:hAnsi="Arial" w:cs="Arial"/>
                <w:sz w:val="18"/>
                <w:szCs w:val="18"/>
              </w:rPr>
              <w:t>.</w:t>
            </w:r>
            <w:r w:rsidRPr="00002555">
              <w:rPr>
                <w:rFonts w:ascii="Arial" w:hAnsi="Arial" w:cs="Arial"/>
                <w:sz w:val="18"/>
                <w:szCs w:val="18"/>
              </w:rPr>
              <w:t>785</w:t>
            </w:r>
            <w:r>
              <w:rPr>
                <w:rFonts w:ascii="Arial" w:hAnsi="Arial" w:cs="Arial"/>
                <w:sz w:val="18"/>
                <w:szCs w:val="18"/>
              </w:rPr>
              <w:t>.</w:t>
            </w:r>
            <w:r w:rsidRPr="00002555">
              <w:rPr>
                <w:rFonts w:ascii="Arial" w:hAnsi="Arial" w:cs="Arial"/>
                <w:sz w:val="18"/>
                <w:szCs w:val="18"/>
              </w:rPr>
              <w:t>934)</w:t>
            </w:r>
          </w:p>
        </w:tc>
      </w:tr>
      <w:tr w:rsidR="0096627F" w:rsidRPr="00902562" w:rsidTr="00460347">
        <w:tblPrEx>
          <w:tblLook w:val="01E0" w:firstRow="1" w:lastRow="1" w:firstColumn="1" w:lastColumn="1" w:noHBand="0" w:noVBand="0"/>
        </w:tblPrEx>
        <w:trPr>
          <w:trHeight w:val="235"/>
        </w:trPr>
        <w:tc>
          <w:tcPr>
            <w:tcW w:w="5490" w:type="dxa"/>
            <w:tcBorders>
              <w:top w:val="single" w:sz="4" w:space="0" w:color="auto"/>
            </w:tcBorders>
            <w:vAlign w:val="bottom"/>
          </w:tcPr>
          <w:p w:rsidR="0096627F" w:rsidRPr="00AB646E" w:rsidRDefault="0096627F" w:rsidP="0096627F">
            <w:pPr>
              <w:widowControl w:val="0"/>
              <w:spacing w:before="60" w:line="240" w:lineRule="atLeast"/>
              <w:rPr>
                <w:rFonts w:ascii="Arial" w:hAnsi="Arial" w:cs="Arial"/>
                <w:sz w:val="18"/>
                <w:szCs w:val="18"/>
                <w:lang w:val="es-ES_tradnl"/>
              </w:rPr>
            </w:pPr>
            <w:r w:rsidRPr="00717B62">
              <w:rPr>
                <w:rFonts w:ascii="Arial" w:hAnsi="Arial" w:cs="Arial"/>
                <w:sz w:val="18"/>
                <w:szCs w:val="18"/>
                <w:lang w:val="es-AR"/>
              </w:rPr>
              <w:t>Activos de exploración y evaluación</w:t>
            </w:r>
          </w:p>
        </w:tc>
        <w:tc>
          <w:tcPr>
            <w:tcW w:w="1307" w:type="dxa"/>
            <w:tcBorders>
              <w:top w:val="single" w:sz="4" w:space="0" w:color="000000"/>
            </w:tcBorders>
            <w:shd w:val="clear" w:color="auto" w:fill="auto"/>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14</w:t>
            </w:r>
            <w:r>
              <w:rPr>
                <w:rFonts w:ascii="Arial" w:hAnsi="Arial" w:cs="Arial"/>
                <w:sz w:val="18"/>
                <w:szCs w:val="18"/>
              </w:rPr>
              <w:t>.</w:t>
            </w:r>
            <w:r w:rsidRPr="00002555">
              <w:rPr>
                <w:rFonts w:ascii="Arial" w:hAnsi="Arial" w:cs="Arial"/>
                <w:sz w:val="18"/>
                <w:szCs w:val="18"/>
              </w:rPr>
              <w:t>103</w:t>
            </w:r>
            <w:r>
              <w:rPr>
                <w:rFonts w:ascii="Arial" w:hAnsi="Arial" w:cs="Arial"/>
                <w:sz w:val="18"/>
                <w:szCs w:val="18"/>
              </w:rPr>
              <w:t>.</w:t>
            </w:r>
            <w:r w:rsidRPr="00002555">
              <w:rPr>
                <w:rFonts w:ascii="Arial" w:hAnsi="Arial" w:cs="Arial"/>
                <w:sz w:val="18"/>
                <w:szCs w:val="18"/>
              </w:rPr>
              <w:t>353</w:t>
            </w:r>
          </w:p>
        </w:tc>
        <w:tc>
          <w:tcPr>
            <w:tcW w:w="1307" w:type="dxa"/>
            <w:tcBorders>
              <w:top w:val="single" w:sz="4" w:space="0" w:color="auto"/>
            </w:tcBorders>
            <w:shd w:val="clear" w:color="auto" w:fill="auto"/>
          </w:tcPr>
          <w:p w:rsidR="0096627F" w:rsidRPr="00A11329" w:rsidRDefault="0096627F" w:rsidP="0096627F">
            <w:pPr>
              <w:widowControl w:val="0"/>
              <w:tabs>
                <w:tab w:val="decimal" w:pos="1062"/>
              </w:tabs>
              <w:spacing w:before="60" w:line="240" w:lineRule="atLeast"/>
              <w:ind w:right="-45"/>
              <w:rPr>
                <w:rFonts w:ascii="Arial" w:hAnsi="Arial" w:cs="Arial"/>
                <w:sz w:val="18"/>
                <w:szCs w:val="18"/>
                <w:lang w:val="en-CA"/>
              </w:rPr>
            </w:pPr>
            <w:r w:rsidRPr="00002555">
              <w:rPr>
                <w:rFonts w:ascii="Arial" w:hAnsi="Arial" w:cs="Arial"/>
                <w:sz w:val="18"/>
                <w:szCs w:val="18"/>
              </w:rPr>
              <w:t>14</w:t>
            </w:r>
            <w:r>
              <w:rPr>
                <w:rFonts w:ascii="Arial" w:hAnsi="Arial" w:cs="Arial"/>
                <w:sz w:val="18"/>
                <w:szCs w:val="18"/>
              </w:rPr>
              <w:t>.</w:t>
            </w:r>
            <w:r w:rsidRPr="00002555">
              <w:rPr>
                <w:rFonts w:ascii="Arial" w:hAnsi="Arial" w:cs="Arial"/>
                <w:sz w:val="18"/>
                <w:szCs w:val="18"/>
              </w:rPr>
              <w:t>103</w:t>
            </w:r>
            <w:r>
              <w:rPr>
                <w:rFonts w:ascii="Arial" w:hAnsi="Arial" w:cs="Arial"/>
                <w:sz w:val="18"/>
                <w:szCs w:val="18"/>
              </w:rPr>
              <w:t>.</w:t>
            </w:r>
            <w:r w:rsidRPr="00002555">
              <w:rPr>
                <w:rFonts w:ascii="Arial" w:hAnsi="Arial" w:cs="Arial"/>
                <w:sz w:val="18"/>
                <w:szCs w:val="18"/>
              </w:rPr>
              <w:t>353</w:t>
            </w:r>
          </w:p>
        </w:tc>
      </w:tr>
      <w:tr w:rsidR="0096627F" w:rsidRPr="00902562" w:rsidTr="00460347">
        <w:tblPrEx>
          <w:tblLook w:val="01E0" w:firstRow="1" w:lastRow="1" w:firstColumn="1" w:lastColumn="1" w:noHBand="0" w:noVBand="0"/>
        </w:tblPrEx>
        <w:trPr>
          <w:trHeight w:val="235"/>
        </w:trPr>
        <w:tc>
          <w:tcPr>
            <w:tcW w:w="5490" w:type="dxa"/>
            <w:vAlign w:val="bottom"/>
          </w:tcPr>
          <w:p w:rsidR="0096627F" w:rsidRPr="00902562" w:rsidRDefault="0096627F" w:rsidP="0096627F">
            <w:pPr>
              <w:widowControl w:val="0"/>
              <w:spacing w:line="240" w:lineRule="atLeast"/>
              <w:rPr>
                <w:rFonts w:ascii="Arial" w:hAnsi="Arial" w:cs="Arial"/>
                <w:sz w:val="18"/>
                <w:szCs w:val="18"/>
                <w:lang w:val="en-CA"/>
              </w:rPr>
            </w:pPr>
            <w:r w:rsidRPr="00717B62">
              <w:rPr>
                <w:rFonts w:ascii="Arial" w:hAnsi="Arial" w:cs="Arial"/>
                <w:sz w:val="18"/>
                <w:szCs w:val="18"/>
                <w:lang w:val="es-AR"/>
              </w:rPr>
              <w:t>Bienes de uso</w:t>
            </w:r>
          </w:p>
        </w:tc>
        <w:tc>
          <w:tcPr>
            <w:tcW w:w="1307" w:type="dxa"/>
            <w:shd w:val="clear" w:color="auto" w:fill="auto"/>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43</w:t>
            </w:r>
            <w:r>
              <w:rPr>
                <w:rFonts w:ascii="Arial" w:hAnsi="Arial" w:cs="Arial"/>
                <w:sz w:val="18"/>
                <w:szCs w:val="18"/>
              </w:rPr>
              <w:t>.</w:t>
            </w:r>
            <w:r w:rsidRPr="00002555">
              <w:rPr>
                <w:rFonts w:ascii="Arial" w:hAnsi="Arial" w:cs="Arial"/>
                <w:sz w:val="18"/>
                <w:szCs w:val="18"/>
              </w:rPr>
              <w:t>892</w:t>
            </w:r>
            <w:r>
              <w:rPr>
                <w:rFonts w:ascii="Arial" w:hAnsi="Arial" w:cs="Arial"/>
                <w:sz w:val="18"/>
                <w:szCs w:val="18"/>
              </w:rPr>
              <w:t>.</w:t>
            </w:r>
            <w:r w:rsidRPr="00002555">
              <w:rPr>
                <w:rFonts w:ascii="Arial" w:hAnsi="Arial" w:cs="Arial"/>
                <w:sz w:val="18"/>
                <w:szCs w:val="18"/>
              </w:rPr>
              <w:t>301</w:t>
            </w:r>
          </w:p>
        </w:tc>
        <w:tc>
          <w:tcPr>
            <w:tcW w:w="1307" w:type="dxa"/>
            <w:shd w:val="clear" w:color="auto" w:fill="auto"/>
          </w:tcPr>
          <w:p w:rsidR="0096627F" w:rsidRPr="00A1132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45</w:t>
            </w:r>
            <w:r>
              <w:rPr>
                <w:rFonts w:ascii="Arial" w:hAnsi="Arial" w:cs="Arial"/>
                <w:sz w:val="18"/>
                <w:szCs w:val="18"/>
              </w:rPr>
              <w:t>.</w:t>
            </w:r>
            <w:r w:rsidRPr="00002555">
              <w:rPr>
                <w:rFonts w:ascii="Arial" w:hAnsi="Arial" w:cs="Arial"/>
                <w:sz w:val="18"/>
                <w:szCs w:val="18"/>
              </w:rPr>
              <w:t>834</w:t>
            </w:r>
            <w:r>
              <w:rPr>
                <w:rFonts w:ascii="Arial" w:hAnsi="Arial" w:cs="Arial"/>
                <w:sz w:val="18"/>
                <w:szCs w:val="18"/>
              </w:rPr>
              <w:t>.</w:t>
            </w:r>
            <w:r w:rsidRPr="00002555">
              <w:rPr>
                <w:rFonts w:ascii="Arial" w:hAnsi="Arial" w:cs="Arial"/>
                <w:sz w:val="18"/>
                <w:szCs w:val="18"/>
              </w:rPr>
              <w:t>731</w:t>
            </w:r>
          </w:p>
        </w:tc>
      </w:tr>
      <w:tr w:rsidR="0096627F" w:rsidRPr="00902562" w:rsidTr="00460347">
        <w:tblPrEx>
          <w:tblLook w:val="01E0" w:firstRow="1" w:lastRow="1" w:firstColumn="1" w:lastColumn="1" w:noHBand="0" w:noVBand="0"/>
        </w:tblPrEx>
        <w:trPr>
          <w:trHeight w:val="247"/>
        </w:trPr>
        <w:tc>
          <w:tcPr>
            <w:tcW w:w="5490" w:type="dxa"/>
            <w:vAlign w:val="bottom"/>
          </w:tcPr>
          <w:p w:rsidR="0096627F" w:rsidRPr="00902562" w:rsidRDefault="0096627F" w:rsidP="0096627F">
            <w:pPr>
              <w:widowControl w:val="0"/>
              <w:spacing w:line="240" w:lineRule="atLeast"/>
              <w:rPr>
                <w:rFonts w:ascii="Arial" w:hAnsi="Arial" w:cs="Arial"/>
                <w:sz w:val="18"/>
                <w:szCs w:val="18"/>
                <w:lang w:val="en-CA"/>
              </w:rPr>
            </w:pPr>
            <w:r w:rsidRPr="00717B62">
              <w:rPr>
                <w:rFonts w:ascii="Arial" w:hAnsi="Arial" w:cs="Arial"/>
                <w:sz w:val="18"/>
                <w:szCs w:val="18"/>
                <w:lang w:val="es-AR"/>
              </w:rPr>
              <w:t>Total activo</w:t>
            </w:r>
          </w:p>
        </w:tc>
        <w:tc>
          <w:tcPr>
            <w:tcW w:w="1307" w:type="dxa"/>
            <w:shd w:val="clear" w:color="auto" w:fill="auto"/>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66</w:t>
            </w:r>
            <w:r>
              <w:rPr>
                <w:rFonts w:ascii="Arial" w:hAnsi="Arial" w:cs="Arial"/>
                <w:sz w:val="18"/>
                <w:szCs w:val="18"/>
              </w:rPr>
              <w:t>.</w:t>
            </w:r>
            <w:r w:rsidRPr="00002555">
              <w:rPr>
                <w:rFonts w:ascii="Arial" w:hAnsi="Arial" w:cs="Arial"/>
                <w:sz w:val="18"/>
                <w:szCs w:val="18"/>
              </w:rPr>
              <w:t>725</w:t>
            </w:r>
            <w:r>
              <w:rPr>
                <w:rFonts w:ascii="Arial" w:hAnsi="Arial" w:cs="Arial"/>
                <w:sz w:val="18"/>
                <w:szCs w:val="18"/>
              </w:rPr>
              <w:t>.</w:t>
            </w:r>
            <w:r w:rsidRPr="00002555">
              <w:rPr>
                <w:rFonts w:ascii="Arial" w:hAnsi="Arial" w:cs="Arial"/>
                <w:sz w:val="18"/>
                <w:szCs w:val="18"/>
              </w:rPr>
              <w:t>317</w:t>
            </w:r>
          </w:p>
        </w:tc>
        <w:tc>
          <w:tcPr>
            <w:tcW w:w="1307" w:type="dxa"/>
            <w:shd w:val="clear" w:color="auto" w:fill="auto"/>
          </w:tcPr>
          <w:p w:rsidR="0096627F" w:rsidRPr="00A1132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67</w:t>
            </w:r>
            <w:r>
              <w:rPr>
                <w:rFonts w:ascii="Arial" w:hAnsi="Arial" w:cs="Arial"/>
                <w:sz w:val="18"/>
                <w:szCs w:val="18"/>
              </w:rPr>
              <w:t>.</w:t>
            </w:r>
            <w:r w:rsidRPr="00002555">
              <w:rPr>
                <w:rFonts w:ascii="Arial" w:hAnsi="Arial" w:cs="Arial"/>
                <w:sz w:val="18"/>
                <w:szCs w:val="18"/>
              </w:rPr>
              <w:t>785</w:t>
            </w:r>
            <w:r>
              <w:rPr>
                <w:rFonts w:ascii="Arial" w:hAnsi="Arial" w:cs="Arial"/>
                <w:sz w:val="18"/>
                <w:szCs w:val="18"/>
              </w:rPr>
              <w:t>.</w:t>
            </w:r>
            <w:r w:rsidRPr="00002555">
              <w:rPr>
                <w:rFonts w:ascii="Arial" w:hAnsi="Arial" w:cs="Arial"/>
                <w:sz w:val="18"/>
                <w:szCs w:val="18"/>
              </w:rPr>
              <w:t>665</w:t>
            </w:r>
          </w:p>
        </w:tc>
      </w:tr>
      <w:tr w:rsidR="0096627F" w:rsidRPr="00902562" w:rsidTr="00460347">
        <w:tblPrEx>
          <w:tblLook w:val="01E0" w:firstRow="1" w:lastRow="1" w:firstColumn="1" w:lastColumn="1" w:noHBand="0" w:noVBand="0"/>
        </w:tblPrEx>
        <w:trPr>
          <w:trHeight w:val="235"/>
        </w:trPr>
        <w:tc>
          <w:tcPr>
            <w:tcW w:w="5490" w:type="dxa"/>
            <w:vAlign w:val="bottom"/>
          </w:tcPr>
          <w:p w:rsidR="0096627F" w:rsidRPr="00902562" w:rsidRDefault="0096627F" w:rsidP="0096627F">
            <w:pPr>
              <w:widowControl w:val="0"/>
              <w:spacing w:line="240" w:lineRule="atLeast"/>
              <w:rPr>
                <w:rFonts w:ascii="Arial" w:hAnsi="Arial" w:cs="Arial"/>
                <w:sz w:val="18"/>
                <w:szCs w:val="18"/>
                <w:lang w:val="en-CA"/>
              </w:rPr>
            </w:pPr>
            <w:r w:rsidRPr="00717B62">
              <w:rPr>
                <w:rFonts w:ascii="Arial" w:hAnsi="Arial" w:cs="Arial"/>
                <w:sz w:val="18"/>
                <w:szCs w:val="18"/>
                <w:lang w:val="es-AR"/>
              </w:rPr>
              <w:t xml:space="preserve">Pasivos financieros no corrientes </w:t>
            </w:r>
            <w:r w:rsidRPr="00717B62">
              <w:rPr>
                <w:rFonts w:ascii="Arial" w:hAnsi="Arial" w:cs="Arial"/>
                <w:sz w:val="18"/>
                <w:szCs w:val="18"/>
                <w:vertAlign w:val="superscript"/>
                <w:lang w:val="es-AR"/>
              </w:rPr>
              <w:t>(</w:t>
            </w:r>
            <w:r>
              <w:rPr>
                <w:rFonts w:ascii="Arial" w:hAnsi="Arial" w:cs="Arial"/>
                <w:sz w:val="18"/>
                <w:szCs w:val="18"/>
                <w:vertAlign w:val="superscript"/>
                <w:lang w:val="es-AR"/>
              </w:rPr>
              <w:t>1</w:t>
            </w:r>
            <w:r w:rsidRPr="00717B62">
              <w:rPr>
                <w:rFonts w:ascii="Arial" w:hAnsi="Arial" w:cs="Arial"/>
                <w:sz w:val="18"/>
                <w:szCs w:val="18"/>
                <w:vertAlign w:val="superscript"/>
                <w:lang w:val="es-AR"/>
              </w:rPr>
              <w:t>)</w:t>
            </w:r>
          </w:p>
        </w:tc>
        <w:tc>
          <w:tcPr>
            <w:tcW w:w="1307" w:type="dxa"/>
            <w:shd w:val="clear" w:color="auto" w:fill="auto"/>
          </w:tcPr>
          <w:p w:rsidR="0096627F" w:rsidRPr="00BA0AC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12</w:t>
            </w:r>
            <w:r>
              <w:rPr>
                <w:rFonts w:ascii="Arial" w:hAnsi="Arial" w:cs="Arial"/>
                <w:sz w:val="18"/>
                <w:szCs w:val="18"/>
              </w:rPr>
              <w:t>.</w:t>
            </w:r>
            <w:r w:rsidRPr="00002555">
              <w:rPr>
                <w:rFonts w:ascii="Arial" w:hAnsi="Arial" w:cs="Arial"/>
                <w:sz w:val="18"/>
                <w:szCs w:val="18"/>
              </w:rPr>
              <w:t>749</w:t>
            </w:r>
            <w:r>
              <w:rPr>
                <w:rFonts w:ascii="Arial" w:hAnsi="Arial" w:cs="Arial"/>
                <w:sz w:val="18"/>
                <w:szCs w:val="18"/>
              </w:rPr>
              <w:t>.</w:t>
            </w:r>
            <w:r w:rsidRPr="00002555">
              <w:rPr>
                <w:rFonts w:ascii="Arial" w:hAnsi="Arial" w:cs="Arial"/>
                <w:sz w:val="18"/>
                <w:szCs w:val="18"/>
              </w:rPr>
              <w:t>949</w:t>
            </w:r>
          </w:p>
        </w:tc>
        <w:tc>
          <w:tcPr>
            <w:tcW w:w="1307" w:type="dxa"/>
          </w:tcPr>
          <w:p w:rsidR="0096627F" w:rsidRPr="00A11329"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18</w:t>
            </w:r>
            <w:r>
              <w:rPr>
                <w:rFonts w:ascii="Arial" w:hAnsi="Arial" w:cs="Arial"/>
                <w:sz w:val="18"/>
                <w:szCs w:val="18"/>
              </w:rPr>
              <w:t>.</w:t>
            </w:r>
            <w:r w:rsidRPr="00002555">
              <w:rPr>
                <w:rFonts w:ascii="Arial" w:hAnsi="Arial" w:cs="Arial"/>
                <w:sz w:val="18"/>
                <w:szCs w:val="18"/>
              </w:rPr>
              <w:t>317</w:t>
            </w:r>
            <w:r>
              <w:rPr>
                <w:rFonts w:ascii="Arial" w:hAnsi="Arial" w:cs="Arial"/>
                <w:sz w:val="18"/>
                <w:szCs w:val="18"/>
              </w:rPr>
              <w:t>.</w:t>
            </w:r>
            <w:r w:rsidRPr="00002555">
              <w:rPr>
                <w:rFonts w:ascii="Arial" w:hAnsi="Arial" w:cs="Arial"/>
                <w:sz w:val="18"/>
                <w:szCs w:val="18"/>
              </w:rPr>
              <w:t>856</w:t>
            </w:r>
          </w:p>
        </w:tc>
      </w:tr>
      <w:tr w:rsidR="0096627F" w:rsidRPr="00902562" w:rsidTr="00460347">
        <w:tblPrEx>
          <w:tblLook w:val="01E0" w:firstRow="1" w:lastRow="1" w:firstColumn="1" w:lastColumn="1" w:noHBand="0" w:noVBand="0"/>
        </w:tblPrEx>
        <w:trPr>
          <w:trHeight w:val="235"/>
        </w:trPr>
        <w:tc>
          <w:tcPr>
            <w:tcW w:w="5490" w:type="dxa"/>
            <w:vAlign w:val="bottom"/>
          </w:tcPr>
          <w:p w:rsidR="0096627F" w:rsidRPr="00902562" w:rsidRDefault="0096627F" w:rsidP="0096627F">
            <w:pPr>
              <w:widowControl w:val="0"/>
              <w:spacing w:line="240" w:lineRule="atLeast"/>
              <w:rPr>
                <w:rFonts w:ascii="Arial" w:hAnsi="Arial" w:cs="Arial"/>
                <w:sz w:val="18"/>
                <w:szCs w:val="18"/>
                <w:lang w:val="en-CA"/>
              </w:rPr>
            </w:pPr>
            <w:r w:rsidRPr="00717B62">
              <w:rPr>
                <w:rFonts w:ascii="Arial" w:hAnsi="Arial" w:cs="Arial"/>
                <w:sz w:val="18"/>
                <w:szCs w:val="18"/>
                <w:lang w:val="es-AR"/>
              </w:rPr>
              <w:t>Capital accionario</w:t>
            </w:r>
          </w:p>
        </w:tc>
        <w:tc>
          <w:tcPr>
            <w:tcW w:w="1307" w:type="dxa"/>
          </w:tcPr>
          <w:p w:rsidR="0096627F" w:rsidRPr="00902562"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56</w:t>
            </w:r>
            <w:r>
              <w:rPr>
                <w:rFonts w:ascii="Arial" w:hAnsi="Arial" w:cs="Arial"/>
                <w:sz w:val="18"/>
                <w:szCs w:val="18"/>
              </w:rPr>
              <w:t>.</w:t>
            </w:r>
            <w:r w:rsidRPr="00002555">
              <w:rPr>
                <w:rFonts w:ascii="Arial" w:hAnsi="Arial" w:cs="Arial"/>
                <w:sz w:val="18"/>
                <w:szCs w:val="18"/>
              </w:rPr>
              <w:t>456</w:t>
            </w:r>
            <w:r>
              <w:rPr>
                <w:rFonts w:ascii="Arial" w:hAnsi="Arial" w:cs="Arial"/>
                <w:sz w:val="18"/>
                <w:szCs w:val="18"/>
              </w:rPr>
              <w:t>.</w:t>
            </w:r>
            <w:r w:rsidRPr="00002555">
              <w:rPr>
                <w:rFonts w:ascii="Arial" w:hAnsi="Arial" w:cs="Arial"/>
                <w:sz w:val="18"/>
                <w:szCs w:val="18"/>
              </w:rPr>
              <w:t>328</w:t>
            </w:r>
          </w:p>
        </w:tc>
        <w:tc>
          <w:tcPr>
            <w:tcW w:w="1307" w:type="dxa"/>
          </w:tcPr>
          <w:p w:rsidR="0096627F" w:rsidRPr="00902562"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56</w:t>
            </w:r>
            <w:r>
              <w:rPr>
                <w:rFonts w:ascii="Arial" w:hAnsi="Arial" w:cs="Arial"/>
                <w:sz w:val="18"/>
                <w:szCs w:val="18"/>
              </w:rPr>
              <w:t>.</w:t>
            </w:r>
            <w:r w:rsidRPr="00002555">
              <w:rPr>
                <w:rFonts w:ascii="Arial" w:hAnsi="Arial" w:cs="Arial"/>
                <w:sz w:val="18"/>
                <w:szCs w:val="18"/>
              </w:rPr>
              <w:t>456</w:t>
            </w:r>
            <w:r>
              <w:rPr>
                <w:rFonts w:ascii="Arial" w:hAnsi="Arial" w:cs="Arial"/>
                <w:sz w:val="18"/>
                <w:szCs w:val="18"/>
              </w:rPr>
              <w:t>.</w:t>
            </w:r>
            <w:r w:rsidRPr="00002555">
              <w:rPr>
                <w:rFonts w:ascii="Arial" w:hAnsi="Arial" w:cs="Arial"/>
                <w:sz w:val="18"/>
                <w:szCs w:val="18"/>
              </w:rPr>
              <w:t>328</w:t>
            </w:r>
          </w:p>
        </w:tc>
      </w:tr>
      <w:tr w:rsidR="0096627F" w:rsidRPr="00902562" w:rsidTr="00460347">
        <w:tblPrEx>
          <w:tblLook w:val="01E0" w:firstRow="1" w:lastRow="1" w:firstColumn="1" w:lastColumn="1" w:noHBand="0" w:noVBand="0"/>
        </w:tblPrEx>
        <w:trPr>
          <w:trHeight w:val="235"/>
        </w:trPr>
        <w:tc>
          <w:tcPr>
            <w:tcW w:w="5490" w:type="dxa"/>
            <w:tcBorders>
              <w:bottom w:val="single" w:sz="12" w:space="0" w:color="auto"/>
            </w:tcBorders>
            <w:vAlign w:val="bottom"/>
          </w:tcPr>
          <w:p w:rsidR="0096627F" w:rsidRPr="00AB646E" w:rsidRDefault="0096627F" w:rsidP="0096627F">
            <w:pPr>
              <w:widowControl w:val="0"/>
              <w:spacing w:line="240" w:lineRule="atLeast"/>
              <w:rPr>
                <w:rFonts w:ascii="Arial" w:hAnsi="Arial" w:cs="Arial"/>
                <w:sz w:val="18"/>
                <w:szCs w:val="18"/>
                <w:lang w:val="es-ES_tradnl"/>
              </w:rPr>
            </w:pPr>
            <w:r w:rsidRPr="00717B62">
              <w:rPr>
                <w:rFonts w:ascii="Arial" w:hAnsi="Arial" w:cs="Arial"/>
                <w:sz w:val="18"/>
                <w:szCs w:val="18"/>
                <w:lang w:val="es-AR"/>
              </w:rPr>
              <w:t xml:space="preserve">Total acciones ordinarias en circulación </w:t>
            </w:r>
          </w:p>
        </w:tc>
        <w:tc>
          <w:tcPr>
            <w:tcW w:w="1307" w:type="dxa"/>
            <w:tcBorders>
              <w:bottom w:val="single" w:sz="12" w:space="0" w:color="auto"/>
            </w:tcBorders>
          </w:tcPr>
          <w:p w:rsidR="0096627F" w:rsidRPr="00902562"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72</w:t>
            </w:r>
            <w:r>
              <w:rPr>
                <w:rFonts w:ascii="Arial" w:hAnsi="Arial" w:cs="Arial"/>
                <w:sz w:val="18"/>
                <w:szCs w:val="18"/>
              </w:rPr>
              <w:t>.</w:t>
            </w:r>
            <w:r w:rsidRPr="00002555">
              <w:rPr>
                <w:rFonts w:ascii="Arial" w:hAnsi="Arial" w:cs="Arial"/>
                <w:sz w:val="18"/>
                <w:szCs w:val="18"/>
              </w:rPr>
              <w:t>903</w:t>
            </w:r>
            <w:r>
              <w:rPr>
                <w:rFonts w:ascii="Arial" w:hAnsi="Arial" w:cs="Arial"/>
                <w:sz w:val="18"/>
                <w:szCs w:val="18"/>
              </w:rPr>
              <w:t>.</w:t>
            </w:r>
            <w:r w:rsidRPr="00002555">
              <w:rPr>
                <w:rFonts w:ascii="Arial" w:hAnsi="Arial" w:cs="Arial"/>
                <w:sz w:val="18"/>
                <w:szCs w:val="18"/>
              </w:rPr>
              <w:t>038</w:t>
            </w:r>
          </w:p>
        </w:tc>
        <w:tc>
          <w:tcPr>
            <w:tcW w:w="1307" w:type="dxa"/>
            <w:tcBorders>
              <w:bottom w:val="single" w:sz="12" w:space="0" w:color="auto"/>
            </w:tcBorders>
          </w:tcPr>
          <w:p w:rsidR="0096627F" w:rsidRPr="00902562" w:rsidRDefault="0096627F" w:rsidP="0096627F">
            <w:pPr>
              <w:widowControl w:val="0"/>
              <w:tabs>
                <w:tab w:val="decimal" w:pos="1062"/>
              </w:tabs>
              <w:spacing w:line="240" w:lineRule="atLeast"/>
              <w:ind w:right="-45"/>
              <w:rPr>
                <w:rFonts w:ascii="Arial" w:hAnsi="Arial" w:cs="Arial"/>
                <w:sz w:val="18"/>
                <w:szCs w:val="18"/>
                <w:lang w:val="en-CA"/>
              </w:rPr>
            </w:pPr>
            <w:r w:rsidRPr="00002555">
              <w:rPr>
                <w:rFonts w:ascii="Arial" w:hAnsi="Arial" w:cs="Arial"/>
                <w:sz w:val="18"/>
                <w:szCs w:val="18"/>
              </w:rPr>
              <w:t>72</w:t>
            </w:r>
            <w:r>
              <w:rPr>
                <w:rFonts w:ascii="Arial" w:hAnsi="Arial" w:cs="Arial"/>
                <w:sz w:val="18"/>
                <w:szCs w:val="18"/>
              </w:rPr>
              <w:t>.</w:t>
            </w:r>
            <w:r w:rsidRPr="00002555">
              <w:rPr>
                <w:rFonts w:ascii="Arial" w:hAnsi="Arial" w:cs="Arial"/>
                <w:sz w:val="18"/>
                <w:szCs w:val="18"/>
              </w:rPr>
              <w:t>903</w:t>
            </w:r>
            <w:r>
              <w:rPr>
                <w:rFonts w:ascii="Arial" w:hAnsi="Arial" w:cs="Arial"/>
                <w:sz w:val="18"/>
                <w:szCs w:val="18"/>
              </w:rPr>
              <w:t>.</w:t>
            </w:r>
            <w:r w:rsidRPr="00002555">
              <w:rPr>
                <w:rFonts w:ascii="Arial" w:hAnsi="Arial" w:cs="Arial"/>
                <w:sz w:val="18"/>
                <w:szCs w:val="18"/>
              </w:rPr>
              <w:t>038</w:t>
            </w:r>
          </w:p>
        </w:tc>
      </w:tr>
      <w:tr w:rsidR="00AB646E" w:rsidRPr="00902562" w:rsidTr="00AB646E">
        <w:tblPrEx>
          <w:tblLook w:val="01E0" w:firstRow="1" w:lastRow="1" w:firstColumn="1" w:lastColumn="1" w:noHBand="0" w:noVBand="0"/>
        </w:tblPrEx>
        <w:trPr>
          <w:trHeight w:val="50"/>
        </w:trPr>
        <w:tc>
          <w:tcPr>
            <w:tcW w:w="5490" w:type="dxa"/>
            <w:tcBorders>
              <w:top w:val="single" w:sz="12" w:space="0" w:color="auto"/>
            </w:tcBorders>
            <w:vAlign w:val="bottom"/>
          </w:tcPr>
          <w:p w:rsidR="00AB646E" w:rsidRPr="00902562" w:rsidRDefault="00AB646E" w:rsidP="00AB646E">
            <w:pPr>
              <w:widowControl w:val="0"/>
              <w:rPr>
                <w:rFonts w:ascii="Arial" w:hAnsi="Arial" w:cs="Arial"/>
                <w:sz w:val="4"/>
                <w:szCs w:val="4"/>
                <w:lang w:val="en-CA"/>
              </w:rPr>
            </w:pPr>
          </w:p>
        </w:tc>
        <w:tc>
          <w:tcPr>
            <w:tcW w:w="1307" w:type="dxa"/>
            <w:tcBorders>
              <w:top w:val="single" w:sz="12" w:space="0" w:color="auto"/>
            </w:tcBorders>
            <w:vAlign w:val="bottom"/>
          </w:tcPr>
          <w:p w:rsidR="00AB646E" w:rsidRPr="00902562" w:rsidRDefault="00AB646E" w:rsidP="00AB646E">
            <w:pPr>
              <w:widowControl w:val="0"/>
              <w:ind w:right="-45"/>
              <w:jc w:val="right"/>
              <w:rPr>
                <w:rFonts w:ascii="Arial" w:hAnsi="Arial" w:cs="Arial"/>
                <w:sz w:val="4"/>
                <w:szCs w:val="4"/>
                <w:lang w:val="en-CA"/>
              </w:rPr>
            </w:pPr>
          </w:p>
        </w:tc>
        <w:tc>
          <w:tcPr>
            <w:tcW w:w="1307" w:type="dxa"/>
            <w:tcBorders>
              <w:top w:val="single" w:sz="12" w:space="0" w:color="auto"/>
            </w:tcBorders>
            <w:vAlign w:val="bottom"/>
          </w:tcPr>
          <w:p w:rsidR="00AB646E" w:rsidRPr="00902562" w:rsidRDefault="00AB646E" w:rsidP="00AB646E">
            <w:pPr>
              <w:widowControl w:val="0"/>
              <w:jc w:val="right"/>
              <w:rPr>
                <w:rFonts w:ascii="Arial" w:hAnsi="Arial" w:cs="Arial"/>
                <w:sz w:val="4"/>
                <w:szCs w:val="4"/>
                <w:lang w:val="en-CA"/>
              </w:rPr>
            </w:pPr>
          </w:p>
        </w:tc>
      </w:tr>
    </w:tbl>
    <w:p w:rsidR="00893629" w:rsidRDefault="00893629">
      <w:pPr>
        <w:rPr>
          <w:rFonts w:ascii="Arial" w:hAnsi="Arial" w:cs="Arial"/>
          <w:sz w:val="20"/>
          <w:szCs w:val="20"/>
          <w:lang w:val="es-AR"/>
        </w:rPr>
      </w:pPr>
    </w:p>
    <w:p w:rsidR="00394AC6" w:rsidRDefault="00394AC6">
      <w:pPr>
        <w:rPr>
          <w:rFonts w:ascii="Arial" w:hAnsi="Arial" w:cs="Arial"/>
          <w:sz w:val="20"/>
          <w:szCs w:val="20"/>
          <w:lang w:val="es-AR"/>
        </w:rPr>
      </w:pPr>
    </w:p>
    <w:tbl>
      <w:tblPr>
        <w:tblW w:w="8018" w:type="dxa"/>
        <w:tblLayout w:type="fixed"/>
        <w:tblLook w:val="04A0" w:firstRow="1" w:lastRow="0" w:firstColumn="1" w:lastColumn="0" w:noHBand="0" w:noVBand="1"/>
      </w:tblPr>
      <w:tblGrid>
        <w:gridCol w:w="5670"/>
        <w:gridCol w:w="1188"/>
        <w:gridCol w:w="1160"/>
      </w:tblGrid>
      <w:tr w:rsidR="0096627F" w:rsidRPr="00460347" w:rsidTr="0096627F">
        <w:trPr>
          <w:trHeight w:val="272"/>
        </w:trPr>
        <w:tc>
          <w:tcPr>
            <w:tcW w:w="5670" w:type="dxa"/>
            <w:tcBorders>
              <w:top w:val="single" w:sz="12" w:space="0" w:color="auto"/>
            </w:tcBorders>
            <w:vAlign w:val="bottom"/>
          </w:tcPr>
          <w:p w:rsidR="0096627F" w:rsidRPr="00A73253" w:rsidRDefault="0096627F" w:rsidP="00A73253">
            <w:pPr>
              <w:rPr>
                <w:rFonts w:ascii="Arial" w:hAnsi="Arial" w:cs="Arial"/>
                <w:bCs/>
                <w:sz w:val="18"/>
                <w:szCs w:val="18"/>
                <w:lang w:val="es-ES_tradnl"/>
              </w:rPr>
            </w:pPr>
            <w:bookmarkStart w:id="0" w:name="_Hlk129535955"/>
            <w:r w:rsidRPr="00717B62">
              <w:rPr>
                <w:rFonts w:ascii="Arial" w:hAnsi="Arial" w:cs="Arial"/>
                <w:sz w:val="16"/>
                <w:szCs w:val="16"/>
                <w:lang w:val="es-AR"/>
              </w:rPr>
              <w:t>(cifras expresadas en $, salvo por las correspondientes a las acciones en circulación)</w:t>
            </w:r>
          </w:p>
        </w:tc>
        <w:tc>
          <w:tcPr>
            <w:tcW w:w="2348" w:type="dxa"/>
            <w:gridSpan w:val="2"/>
            <w:tcBorders>
              <w:top w:val="single" w:sz="12" w:space="0" w:color="auto"/>
            </w:tcBorders>
            <w:vAlign w:val="bottom"/>
          </w:tcPr>
          <w:p w:rsidR="0096627F" w:rsidRPr="00AB646E" w:rsidRDefault="0096627F" w:rsidP="00A73253">
            <w:pPr>
              <w:jc w:val="center"/>
              <w:rPr>
                <w:rFonts w:ascii="Arial" w:hAnsi="Arial" w:cs="Arial"/>
                <w:b/>
                <w:bCs/>
                <w:sz w:val="18"/>
                <w:szCs w:val="18"/>
                <w:lang w:val="es-ES_tradnl"/>
              </w:rPr>
            </w:pPr>
            <w:r w:rsidRPr="00AB646E">
              <w:rPr>
                <w:rFonts w:ascii="Arial" w:hAnsi="Arial" w:cs="Arial"/>
                <w:b/>
                <w:bCs/>
                <w:sz w:val="18"/>
                <w:szCs w:val="18"/>
                <w:lang w:val="es-ES_tradnl"/>
              </w:rPr>
              <w:t>Período de tres meses finalizado el</w:t>
            </w:r>
          </w:p>
        </w:tc>
      </w:tr>
      <w:tr w:rsidR="0096627F" w:rsidRPr="009E0282" w:rsidTr="0096627F">
        <w:trPr>
          <w:trHeight w:val="211"/>
        </w:trPr>
        <w:tc>
          <w:tcPr>
            <w:tcW w:w="5670" w:type="dxa"/>
          </w:tcPr>
          <w:p w:rsidR="0096627F" w:rsidRPr="00460347" w:rsidRDefault="0096627F" w:rsidP="00A73253">
            <w:pPr>
              <w:rPr>
                <w:rFonts w:ascii="Arial" w:hAnsi="Arial" w:cs="Arial"/>
                <w:bCs/>
                <w:sz w:val="18"/>
                <w:szCs w:val="18"/>
                <w:lang w:val="es-ES_tradnl"/>
              </w:rPr>
            </w:pPr>
          </w:p>
        </w:tc>
        <w:tc>
          <w:tcPr>
            <w:tcW w:w="2348" w:type="dxa"/>
            <w:gridSpan w:val="2"/>
            <w:vAlign w:val="bottom"/>
          </w:tcPr>
          <w:p w:rsidR="0096627F" w:rsidRPr="009E0282" w:rsidRDefault="0096627F" w:rsidP="0096627F">
            <w:pPr>
              <w:jc w:val="center"/>
              <w:rPr>
                <w:rFonts w:ascii="Arial" w:hAnsi="Arial" w:cs="Arial"/>
                <w:b/>
                <w:bCs/>
                <w:sz w:val="18"/>
                <w:szCs w:val="18"/>
                <w:lang w:val="en-CA"/>
              </w:rPr>
            </w:pPr>
            <w:r w:rsidRPr="009E0282">
              <w:rPr>
                <w:rFonts w:ascii="Arial" w:hAnsi="Arial" w:cs="Arial"/>
                <w:b/>
                <w:bCs/>
                <w:sz w:val="18"/>
                <w:szCs w:val="18"/>
                <w:lang w:val="en-CA"/>
              </w:rPr>
              <w:t>31</w:t>
            </w:r>
            <w:r>
              <w:rPr>
                <w:rFonts w:ascii="Arial" w:hAnsi="Arial" w:cs="Arial"/>
                <w:b/>
                <w:bCs/>
                <w:sz w:val="18"/>
                <w:szCs w:val="18"/>
                <w:lang w:val="en-CA"/>
              </w:rPr>
              <w:t xml:space="preserve"> de marzo de</w:t>
            </w:r>
          </w:p>
        </w:tc>
      </w:tr>
      <w:tr w:rsidR="0096627F" w:rsidRPr="009E0282" w:rsidTr="0096627F">
        <w:trPr>
          <w:trHeight w:val="195"/>
        </w:trPr>
        <w:tc>
          <w:tcPr>
            <w:tcW w:w="5670" w:type="dxa"/>
          </w:tcPr>
          <w:p w:rsidR="0096627F" w:rsidRPr="009E0282" w:rsidRDefault="0096627F" w:rsidP="00A73253">
            <w:pPr>
              <w:rPr>
                <w:rFonts w:ascii="Arial" w:hAnsi="Arial" w:cs="Arial"/>
                <w:bCs/>
                <w:sz w:val="18"/>
                <w:szCs w:val="18"/>
                <w:lang w:val="en-CA"/>
              </w:rPr>
            </w:pPr>
          </w:p>
        </w:tc>
        <w:tc>
          <w:tcPr>
            <w:tcW w:w="1188" w:type="dxa"/>
            <w:vAlign w:val="bottom"/>
          </w:tcPr>
          <w:p w:rsidR="0096627F" w:rsidRPr="009E0282" w:rsidRDefault="0096627F" w:rsidP="00A73253">
            <w:pPr>
              <w:jc w:val="center"/>
              <w:rPr>
                <w:rFonts w:ascii="Arial" w:hAnsi="Arial" w:cs="Arial"/>
                <w:b/>
                <w:bCs/>
                <w:sz w:val="18"/>
                <w:szCs w:val="18"/>
                <w:lang w:val="en-CA"/>
              </w:rPr>
            </w:pPr>
            <w:r>
              <w:rPr>
                <w:rFonts w:ascii="Arial" w:hAnsi="Arial" w:cs="Arial"/>
                <w:b/>
                <w:bCs/>
                <w:sz w:val="18"/>
                <w:szCs w:val="18"/>
                <w:lang w:val="en-CA"/>
              </w:rPr>
              <w:t>2024</w:t>
            </w:r>
          </w:p>
        </w:tc>
        <w:tc>
          <w:tcPr>
            <w:tcW w:w="1160" w:type="dxa"/>
            <w:vAlign w:val="bottom"/>
          </w:tcPr>
          <w:p w:rsidR="0096627F" w:rsidRPr="009E0282" w:rsidRDefault="0096627F" w:rsidP="00A73253">
            <w:pPr>
              <w:jc w:val="center"/>
              <w:rPr>
                <w:rFonts w:ascii="Arial" w:hAnsi="Arial" w:cs="Arial"/>
                <w:b/>
                <w:bCs/>
                <w:sz w:val="18"/>
                <w:szCs w:val="18"/>
                <w:lang w:val="en-CA"/>
              </w:rPr>
            </w:pPr>
            <w:r>
              <w:rPr>
                <w:rFonts w:ascii="Arial" w:hAnsi="Arial" w:cs="Arial"/>
                <w:b/>
                <w:bCs/>
                <w:sz w:val="18"/>
                <w:szCs w:val="18"/>
                <w:lang w:val="en-CA"/>
              </w:rPr>
              <w:t>2023</w:t>
            </w:r>
          </w:p>
        </w:tc>
      </w:tr>
      <w:tr w:rsidR="0096627F" w:rsidRPr="009E0282" w:rsidTr="00460347">
        <w:tblPrEx>
          <w:tblLook w:val="01E0" w:firstRow="1" w:lastRow="1" w:firstColumn="1" w:lastColumn="1" w:noHBand="0" w:noVBand="0"/>
        </w:tblPrEx>
        <w:trPr>
          <w:trHeight w:val="93"/>
        </w:trPr>
        <w:tc>
          <w:tcPr>
            <w:tcW w:w="5670" w:type="dxa"/>
            <w:tcBorders>
              <w:top w:val="single" w:sz="4" w:space="0" w:color="auto"/>
            </w:tcBorders>
            <w:vAlign w:val="bottom"/>
          </w:tcPr>
          <w:p w:rsidR="0096627F" w:rsidRPr="00A73253" w:rsidRDefault="0096627F" w:rsidP="0096627F">
            <w:pPr>
              <w:rPr>
                <w:rFonts w:ascii="Arial" w:hAnsi="Arial" w:cs="Arial"/>
                <w:sz w:val="18"/>
                <w:szCs w:val="18"/>
                <w:lang w:val="es-ES_tradnl"/>
              </w:rPr>
            </w:pPr>
            <w:r w:rsidRPr="00717B62">
              <w:rPr>
                <w:rFonts w:ascii="Arial" w:hAnsi="Arial" w:cs="Arial"/>
                <w:sz w:val="18"/>
                <w:szCs w:val="18"/>
                <w:lang w:val="es-AR"/>
              </w:rPr>
              <w:t xml:space="preserve">Ingresos por ventas de petróleo y gas natural </w:t>
            </w:r>
          </w:p>
        </w:tc>
        <w:tc>
          <w:tcPr>
            <w:tcW w:w="1188" w:type="dxa"/>
            <w:tcBorders>
              <w:top w:val="single" w:sz="4" w:space="0" w:color="auto"/>
            </w:tcBorders>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6</w:t>
            </w:r>
            <w:r>
              <w:rPr>
                <w:rFonts w:ascii="Arial" w:hAnsi="Arial" w:cs="Arial"/>
                <w:sz w:val="18"/>
                <w:szCs w:val="18"/>
              </w:rPr>
              <w:t>.</w:t>
            </w:r>
            <w:r w:rsidRPr="00C016BA">
              <w:rPr>
                <w:rFonts w:ascii="Arial" w:hAnsi="Arial" w:cs="Arial"/>
                <w:sz w:val="18"/>
                <w:szCs w:val="18"/>
              </w:rPr>
              <w:t>101</w:t>
            </w:r>
            <w:r>
              <w:rPr>
                <w:rFonts w:ascii="Arial" w:hAnsi="Arial" w:cs="Arial"/>
                <w:sz w:val="18"/>
                <w:szCs w:val="18"/>
              </w:rPr>
              <w:t>.</w:t>
            </w:r>
            <w:r w:rsidRPr="00C016BA">
              <w:rPr>
                <w:rFonts w:ascii="Arial" w:hAnsi="Arial" w:cs="Arial"/>
                <w:sz w:val="18"/>
                <w:szCs w:val="18"/>
              </w:rPr>
              <w:t>086</w:t>
            </w:r>
          </w:p>
        </w:tc>
        <w:tc>
          <w:tcPr>
            <w:tcW w:w="1160" w:type="dxa"/>
            <w:tcBorders>
              <w:top w:val="single" w:sz="4" w:space="0" w:color="auto"/>
            </w:tcBorders>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7</w:t>
            </w:r>
            <w:r>
              <w:rPr>
                <w:rFonts w:ascii="Arial" w:hAnsi="Arial" w:cs="Arial"/>
                <w:sz w:val="18"/>
                <w:szCs w:val="18"/>
              </w:rPr>
              <w:t>.</w:t>
            </w:r>
            <w:r w:rsidRPr="00C016BA">
              <w:rPr>
                <w:rFonts w:ascii="Arial" w:hAnsi="Arial" w:cs="Arial"/>
                <w:sz w:val="18"/>
                <w:szCs w:val="18"/>
              </w:rPr>
              <w:t>100</w:t>
            </w:r>
            <w:r>
              <w:rPr>
                <w:rFonts w:ascii="Arial" w:hAnsi="Arial" w:cs="Arial"/>
                <w:sz w:val="18"/>
                <w:szCs w:val="18"/>
              </w:rPr>
              <w:t>.</w:t>
            </w:r>
            <w:r w:rsidRPr="00C016BA">
              <w:rPr>
                <w:rFonts w:ascii="Arial" w:hAnsi="Arial" w:cs="Arial"/>
                <w:sz w:val="18"/>
                <w:szCs w:val="18"/>
              </w:rPr>
              <w:t>558</w:t>
            </w:r>
          </w:p>
        </w:tc>
      </w:tr>
      <w:tr w:rsidR="0096627F" w:rsidRPr="009E0282" w:rsidTr="00460347">
        <w:tblPrEx>
          <w:tblLook w:val="01E0" w:firstRow="1" w:lastRow="1" w:firstColumn="1" w:lastColumn="1" w:noHBand="0" w:noVBand="0"/>
        </w:tblPrEx>
        <w:trPr>
          <w:trHeight w:val="205"/>
        </w:trPr>
        <w:tc>
          <w:tcPr>
            <w:tcW w:w="5670" w:type="dxa"/>
            <w:vAlign w:val="bottom"/>
          </w:tcPr>
          <w:p w:rsidR="0096627F" w:rsidRPr="00A73253" w:rsidRDefault="0096627F" w:rsidP="0096627F">
            <w:pPr>
              <w:rPr>
                <w:rFonts w:ascii="Arial" w:hAnsi="Arial" w:cs="Arial"/>
                <w:sz w:val="18"/>
                <w:szCs w:val="18"/>
                <w:lang w:val="es-ES_tradnl"/>
              </w:rPr>
            </w:pPr>
            <w:r>
              <w:rPr>
                <w:rFonts w:ascii="Arial" w:hAnsi="Arial" w:cs="Arial"/>
                <w:color w:val="000000"/>
                <w:sz w:val="18"/>
                <w:szCs w:val="18"/>
                <w:lang w:val="es-AR"/>
              </w:rPr>
              <w:t xml:space="preserve">Pérdida </w:t>
            </w:r>
            <w:r w:rsidRPr="00717B62">
              <w:rPr>
                <w:rFonts w:ascii="Arial" w:hAnsi="Arial" w:cs="Arial"/>
                <w:color w:val="000000"/>
                <w:sz w:val="18"/>
                <w:szCs w:val="18"/>
                <w:lang w:val="es-AR"/>
              </w:rPr>
              <w:t>antes de impuestos</w:t>
            </w:r>
          </w:p>
        </w:tc>
        <w:tc>
          <w:tcPr>
            <w:tcW w:w="1188" w:type="dxa"/>
            <w:shd w:val="clear" w:color="auto" w:fill="auto"/>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(2</w:t>
            </w:r>
            <w:r>
              <w:rPr>
                <w:rFonts w:ascii="Arial" w:hAnsi="Arial" w:cs="Arial"/>
                <w:sz w:val="18"/>
                <w:szCs w:val="18"/>
              </w:rPr>
              <w:t>.</w:t>
            </w:r>
            <w:r w:rsidRPr="00C016BA">
              <w:rPr>
                <w:rFonts w:ascii="Arial" w:hAnsi="Arial" w:cs="Arial"/>
                <w:sz w:val="18"/>
                <w:szCs w:val="18"/>
              </w:rPr>
              <w:t>127</w:t>
            </w:r>
            <w:r>
              <w:rPr>
                <w:rFonts w:ascii="Arial" w:hAnsi="Arial" w:cs="Arial"/>
                <w:sz w:val="18"/>
                <w:szCs w:val="18"/>
              </w:rPr>
              <w:t>.</w:t>
            </w:r>
            <w:r w:rsidRPr="00C016BA">
              <w:rPr>
                <w:rFonts w:ascii="Arial" w:hAnsi="Arial" w:cs="Arial"/>
                <w:sz w:val="18"/>
                <w:szCs w:val="18"/>
              </w:rPr>
              <w:t>175)</w:t>
            </w:r>
          </w:p>
        </w:tc>
        <w:tc>
          <w:tcPr>
            <w:tcW w:w="1160" w:type="dxa"/>
            <w:shd w:val="clear" w:color="auto" w:fill="auto"/>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(2</w:t>
            </w:r>
            <w:r>
              <w:rPr>
                <w:rFonts w:ascii="Arial" w:hAnsi="Arial" w:cs="Arial"/>
                <w:sz w:val="18"/>
                <w:szCs w:val="18"/>
              </w:rPr>
              <w:t>.</w:t>
            </w:r>
            <w:r w:rsidRPr="00C016BA">
              <w:rPr>
                <w:rFonts w:ascii="Arial" w:hAnsi="Arial" w:cs="Arial"/>
                <w:sz w:val="18"/>
                <w:szCs w:val="18"/>
              </w:rPr>
              <w:t>393</w:t>
            </w:r>
            <w:r>
              <w:rPr>
                <w:rFonts w:ascii="Arial" w:hAnsi="Arial" w:cs="Arial"/>
                <w:sz w:val="18"/>
                <w:szCs w:val="18"/>
              </w:rPr>
              <w:t>.</w:t>
            </w:r>
            <w:r w:rsidRPr="00C016BA">
              <w:rPr>
                <w:rFonts w:ascii="Arial" w:hAnsi="Arial" w:cs="Arial"/>
                <w:sz w:val="18"/>
                <w:szCs w:val="18"/>
              </w:rPr>
              <w:t>195)</w:t>
            </w:r>
          </w:p>
        </w:tc>
      </w:tr>
      <w:tr w:rsidR="0096627F" w:rsidRPr="009E0282" w:rsidTr="00460347">
        <w:tblPrEx>
          <w:tblLook w:val="01E0" w:firstRow="1" w:lastRow="1" w:firstColumn="1" w:lastColumn="1" w:noHBand="0" w:noVBand="0"/>
        </w:tblPrEx>
        <w:trPr>
          <w:trHeight w:val="236"/>
        </w:trPr>
        <w:tc>
          <w:tcPr>
            <w:tcW w:w="5670" w:type="dxa"/>
            <w:shd w:val="clear" w:color="auto" w:fill="auto"/>
            <w:vAlign w:val="bottom"/>
          </w:tcPr>
          <w:p w:rsidR="0096627F" w:rsidRPr="009E0282" w:rsidRDefault="0096627F" w:rsidP="0096627F">
            <w:pPr>
              <w:rPr>
                <w:rFonts w:ascii="Arial" w:hAnsi="Arial" w:cs="Arial"/>
                <w:sz w:val="18"/>
                <w:szCs w:val="18"/>
                <w:lang w:val="en-CA"/>
              </w:rPr>
            </w:pPr>
            <w:r>
              <w:rPr>
                <w:rFonts w:ascii="Arial" w:hAnsi="Arial" w:cs="Arial"/>
                <w:color w:val="000000"/>
                <w:sz w:val="18"/>
                <w:szCs w:val="18"/>
                <w:lang w:val="es-AR"/>
              </w:rPr>
              <w:t>P</w:t>
            </w:r>
            <w:r w:rsidRPr="00717B62">
              <w:rPr>
                <w:rFonts w:ascii="Arial" w:hAnsi="Arial" w:cs="Arial"/>
                <w:color w:val="000000"/>
                <w:sz w:val="18"/>
                <w:szCs w:val="18"/>
                <w:lang w:val="es-AR"/>
              </w:rPr>
              <w:t xml:space="preserve">érdida neta </w:t>
            </w:r>
          </w:p>
        </w:tc>
        <w:tc>
          <w:tcPr>
            <w:tcW w:w="1188" w:type="dxa"/>
            <w:shd w:val="clear" w:color="auto" w:fill="auto"/>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(901</w:t>
            </w:r>
            <w:r>
              <w:rPr>
                <w:rFonts w:ascii="Arial" w:hAnsi="Arial" w:cs="Arial"/>
                <w:sz w:val="18"/>
                <w:szCs w:val="18"/>
              </w:rPr>
              <w:t>.</w:t>
            </w:r>
            <w:r w:rsidRPr="00C016BA">
              <w:rPr>
                <w:rFonts w:ascii="Arial" w:hAnsi="Arial" w:cs="Arial"/>
                <w:sz w:val="18"/>
                <w:szCs w:val="18"/>
              </w:rPr>
              <w:t>734)</w:t>
            </w:r>
          </w:p>
        </w:tc>
        <w:tc>
          <w:tcPr>
            <w:tcW w:w="1160" w:type="dxa"/>
            <w:shd w:val="clear" w:color="auto" w:fill="auto"/>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(1</w:t>
            </w:r>
            <w:r>
              <w:rPr>
                <w:rFonts w:ascii="Arial" w:hAnsi="Arial" w:cs="Arial"/>
                <w:sz w:val="18"/>
                <w:szCs w:val="18"/>
              </w:rPr>
              <w:t>.</w:t>
            </w:r>
            <w:r w:rsidRPr="00C016BA">
              <w:rPr>
                <w:rFonts w:ascii="Arial" w:hAnsi="Arial" w:cs="Arial"/>
                <w:sz w:val="18"/>
                <w:szCs w:val="18"/>
              </w:rPr>
              <w:t>861</w:t>
            </w:r>
            <w:r>
              <w:rPr>
                <w:rFonts w:ascii="Arial" w:hAnsi="Arial" w:cs="Arial"/>
                <w:sz w:val="18"/>
                <w:szCs w:val="18"/>
              </w:rPr>
              <w:t>.</w:t>
            </w:r>
            <w:r w:rsidRPr="00C016BA">
              <w:rPr>
                <w:rFonts w:ascii="Arial" w:hAnsi="Arial" w:cs="Arial"/>
                <w:sz w:val="18"/>
                <w:szCs w:val="18"/>
              </w:rPr>
              <w:t>570)</w:t>
            </w:r>
          </w:p>
        </w:tc>
      </w:tr>
      <w:tr w:rsidR="0096627F" w:rsidRPr="009E0282" w:rsidTr="00460347">
        <w:tblPrEx>
          <w:tblLook w:val="01E0" w:firstRow="1" w:lastRow="1" w:firstColumn="1" w:lastColumn="1" w:noHBand="0" w:noVBand="0"/>
        </w:tblPrEx>
        <w:trPr>
          <w:trHeight w:val="240"/>
        </w:trPr>
        <w:tc>
          <w:tcPr>
            <w:tcW w:w="5670" w:type="dxa"/>
            <w:shd w:val="clear" w:color="auto" w:fill="auto"/>
            <w:vAlign w:val="bottom"/>
          </w:tcPr>
          <w:p w:rsidR="0096627F" w:rsidRPr="00A73253" w:rsidRDefault="0096627F" w:rsidP="0096627F">
            <w:pPr>
              <w:rPr>
                <w:rFonts w:ascii="Arial" w:hAnsi="Arial" w:cs="Arial"/>
                <w:sz w:val="18"/>
                <w:szCs w:val="18"/>
                <w:lang w:val="es-ES_tradnl"/>
              </w:rPr>
            </w:pPr>
            <w:r>
              <w:rPr>
                <w:rFonts w:ascii="Arial" w:hAnsi="Arial" w:cs="Arial"/>
                <w:color w:val="000000"/>
                <w:sz w:val="18"/>
                <w:szCs w:val="18"/>
                <w:lang w:val="es-AR"/>
              </w:rPr>
              <w:t>P</w:t>
            </w:r>
            <w:r w:rsidRPr="00717B62">
              <w:rPr>
                <w:rFonts w:ascii="Arial" w:hAnsi="Arial" w:cs="Arial"/>
                <w:color w:val="000000"/>
                <w:sz w:val="18"/>
                <w:szCs w:val="18"/>
                <w:lang w:val="es-AR"/>
              </w:rPr>
              <w:t>érdida neta por acción </w:t>
            </w:r>
            <w:r w:rsidRPr="00717B62">
              <w:rPr>
                <w:rFonts w:ascii="Arial" w:hAnsi="Arial" w:cs="Arial"/>
                <w:sz w:val="20"/>
                <w:szCs w:val="20"/>
                <w:vertAlign w:val="superscript"/>
                <w:lang w:val="es-AR"/>
              </w:rPr>
              <w:t>(</w:t>
            </w:r>
            <w:r>
              <w:rPr>
                <w:rFonts w:ascii="Arial" w:hAnsi="Arial" w:cs="Arial"/>
                <w:sz w:val="20"/>
                <w:szCs w:val="20"/>
                <w:vertAlign w:val="superscript"/>
                <w:lang w:val="es-AR"/>
              </w:rPr>
              <w:t>2</w:t>
            </w:r>
            <w:r w:rsidRPr="00717B62">
              <w:rPr>
                <w:rFonts w:ascii="Arial" w:hAnsi="Arial" w:cs="Arial"/>
                <w:sz w:val="20"/>
                <w:szCs w:val="20"/>
                <w:vertAlign w:val="superscript"/>
                <w:lang w:val="es-AR"/>
              </w:rPr>
              <w:t>)</w:t>
            </w:r>
          </w:p>
        </w:tc>
        <w:tc>
          <w:tcPr>
            <w:tcW w:w="1188" w:type="dxa"/>
            <w:shd w:val="clear" w:color="auto" w:fill="auto"/>
            <w:vAlign w:val="bottom"/>
          </w:tcPr>
          <w:p w:rsidR="0096627F" w:rsidRPr="009E0282" w:rsidRDefault="0096627F" w:rsidP="008B0CD2">
            <w:pPr>
              <w:jc w:val="right"/>
              <w:rPr>
                <w:rFonts w:ascii="Arial" w:hAnsi="Arial" w:cs="Arial"/>
                <w:sz w:val="18"/>
                <w:szCs w:val="18"/>
                <w:lang w:val="en-CA"/>
              </w:rPr>
            </w:pPr>
            <w:r w:rsidRPr="00C016BA">
              <w:rPr>
                <w:rFonts w:ascii="Arial" w:hAnsi="Arial" w:cs="Arial"/>
                <w:sz w:val="18"/>
                <w:szCs w:val="18"/>
              </w:rPr>
              <w:t>(0</w:t>
            </w:r>
            <w:r w:rsidR="008B0CD2">
              <w:rPr>
                <w:rFonts w:ascii="Arial" w:hAnsi="Arial" w:cs="Arial"/>
                <w:sz w:val="18"/>
                <w:szCs w:val="18"/>
              </w:rPr>
              <w:t>,</w:t>
            </w:r>
            <w:r w:rsidRPr="00C016BA">
              <w:rPr>
                <w:rFonts w:ascii="Arial" w:hAnsi="Arial" w:cs="Arial"/>
                <w:sz w:val="18"/>
                <w:szCs w:val="18"/>
              </w:rPr>
              <w:t>01)</w:t>
            </w:r>
          </w:p>
        </w:tc>
        <w:tc>
          <w:tcPr>
            <w:tcW w:w="1160" w:type="dxa"/>
            <w:shd w:val="clear" w:color="auto" w:fill="auto"/>
            <w:vAlign w:val="bottom"/>
          </w:tcPr>
          <w:p w:rsidR="0096627F" w:rsidRPr="009E0282" w:rsidRDefault="0096627F" w:rsidP="008B0CD2">
            <w:pPr>
              <w:jc w:val="right"/>
              <w:rPr>
                <w:rFonts w:ascii="Arial" w:hAnsi="Arial" w:cs="Arial"/>
                <w:sz w:val="18"/>
                <w:szCs w:val="18"/>
                <w:lang w:val="en-CA"/>
              </w:rPr>
            </w:pPr>
            <w:r w:rsidRPr="00C016BA">
              <w:rPr>
                <w:rFonts w:ascii="Arial" w:hAnsi="Arial" w:cs="Arial"/>
                <w:sz w:val="18"/>
                <w:szCs w:val="18"/>
              </w:rPr>
              <w:t>(0</w:t>
            </w:r>
            <w:r w:rsidR="008B0CD2">
              <w:rPr>
                <w:rFonts w:ascii="Arial" w:hAnsi="Arial" w:cs="Arial"/>
                <w:sz w:val="18"/>
                <w:szCs w:val="18"/>
              </w:rPr>
              <w:t>,</w:t>
            </w:r>
            <w:r w:rsidRPr="00C016BA">
              <w:rPr>
                <w:rFonts w:ascii="Arial" w:hAnsi="Arial" w:cs="Arial"/>
                <w:sz w:val="18"/>
                <w:szCs w:val="18"/>
              </w:rPr>
              <w:t>03)</w:t>
            </w:r>
          </w:p>
        </w:tc>
      </w:tr>
      <w:tr w:rsidR="0096627F" w:rsidRPr="009E0282" w:rsidTr="00460347">
        <w:tblPrEx>
          <w:tblLook w:val="01E0" w:firstRow="1" w:lastRow="1" w:firstColumn="1" w:lastColumn="1" w:noHBand="0" w:noVBand="0"/>
        </w:tblPrEx>
        <w:trPr>
          <w:trHeight w:val="240"/>
        </w:trPr>
        <w:tc>
          <w:tcPr>
            <w:tcW w:w="5670" w:type="dxa"/>
            <w:vAlign w:val="bottom"/>
          </w:tcPr>
          <w:p w:rsidR="0096627F" w:rsidRPr="00A73253" w:rsidRDefault="0096627F" w:rsidP="0096627F">
            <w:pPr>
              <w:rPr>
                <w:rFonts w:ascii="Arial" w:hAnsi="Arial" w:cs="Arial"/>
                <w:sz w:val="18"/>
                <w:szCs w:val="18"/>
                <w:lang w:val="es-ES_tradnl"/>
              </w:rPr>
            </w:pPr>
            <w:r w:rsidRPr="00717B62">
              <w:rPr>
                <w:rFonts w:ascii="Arial" w:hAnsi="Arial" w:cs="Arial"/>
                <w:color w:val="000000"/>
                <w:sz w:val="18"/>
                <w:szCs w:val="18"/>
                <w:lang w:val="es-AR"/>
              </w:rPr>
              <w:t xml:space="preserve">Efectivo neto </w:t>
            </w:r>
            <w:r>
              <w:rPr>
                <w:rFonts w:ascii="Arial" w:hAnsi="Arial" w:cs="Arial"/>
                <w:color w:val="000000"/>
                <w:sz w:val="18"/>
                <w:szCs w:val="18"/>
                <w:lang w:val="es-AR"/>
              </w:rPr>
              <w:t xml:space="preserve">generado por </w:t>
            </w:r>
            <w:r w:rsidRPr="00717B62">
              <w:rPr>
                <w:rFonts w:ascii="Arial" w:hAnsi="Arial" w:cs="Arial"/>
                <w:color w:val="000000"/>
                <w:sz w:val="18"/>
                <w:szCs w:val="18"/>
                <w:lang w:val="es-AR"/>
              </w:rPr>
              <w:t>las actividades operativas</w:t>
            </w:r>
          </w:p>
        </w:tc>
        <w:tc>
          <w:tcPr>
            <w:tcW w:w="1188" w:type="dxa"/>
            <w:vAlign w:val="bottom"/>
          </w:tcPr>
          <w:p w:rsidR="0096627F" w:rsidRPr="009E0282" w:rsidRDefault="0096627F" w:rsidP="0096627F">
            <w:pPr>
              <w:jc w:val="right"/>
              <w:rPr>
                <w:rFonts w:ascii="Arial" w:hAnsi="Arial" w:cs="Arial"/>
                <w:sz w:val="18"/>
                <w:szCs w:val="18"/>
                <w:lang w:val="en-CA"/>
              </w:rPr>
            </w:pPr>
            <w:r>
              <w:rPr>
                <w:rFonts w:ascii="Arial" w:hAnsi="Arial" w:cs="Arial"/>
                <w:sz w:val="18"/>
                <w:szCs w:val="18"/>
              </w:rPr>
              <w:t>463.430</w:t>
            </w:r>
          </w:p>
        </w:tc>
        <w:tc>
          <w:tcPr>
            <w:tcW w:w="1160" w:type="dxa"/>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923</w:t>
            </w:r>
            <w:r>
              <w:rPr>
                <w:rFonts w:ascii="Arial" w:hAnsi="Arial" w:cs="Arial"/>
                <w:sz w:val="18"/>
                <w:szCs w:val="18"/>
              </w:rPr>
              <w:t>.</w:t>
            </w:r>
            <w:r w:rsidRPr="00C016BA">
              <w:rPr>
                <w:rFonts w:ascii="Arial" w:hAnsi="Arial" w:cs="Arial"/>
                <w:sz w:val="18"/>
                <w:szCs w:val="18"/>
              </w:rPr>
              <w:t>774</w:t>
            </w:r>
          </w:p>
        </w:tc>
      </w:tr>
      <w:tr w:rsidR="0096627F" w:rsidRPr="009E0282" w:rsidTr="00460347">
        <w:tblPrEx>
          <w:tblLook w:val="01E0" w:firstRow="1" w:lastRow="1" w:firstColumn="1" w:lastColumn="1" w:noHBand="0" w:noVBand="0"/>
        </w:tblPrEx>
        <w:trPr>
          <w:trHeight w:val="240"/>
        </w:trPr>
        <w:tc>
          <w:tcPr>
            <w:tcW w:w="5670" w:type="dxa"/>
            <w:vAlign w:val="bottom"/>
          </w:tcPr>
          <w:p w:rsidR="0096627F" w:rsidRPr="00A73253" w:rsidRDefault="0096627F" w:rsidP="0096627F">
            <w:pPr>
              <w:rPr>
                <w:rFonts w:ascii="Arial" w:hAnsi="Arial" w:cs="Arial"/>
                <w:sz w:val="18"/>
                <w:szCs w:val="18"/>
                <w:lang w:val="es-ES_tradnl"/>
              </w:rPr>
            </w:pPr>
            <w:r w:rsidRPr="00717B62">
              <w:rPr>
                <w:rFonts w:ascii="Arial" w:hAnsi="Arial" w:cs="Arial"/>
                <w:color w:val="000000"/>
                <w:sz w:val="18"/>
                <w:szCs w:val="18"/>
                <w:lang w:val="es-AR"/>
              </w:rPr>
              <w:t>Efectivo neto por acción – actividades operativas </w:t>
            </w:r>
            <w:r w:rsidRPr="00717B62">
              <w:rPr>
                <w:rFonts w:ascii="Arial" w:hAnsi="Arial" w:cs="Arial"/>
                <w:sz w:val="20"/>
                <w:szCs w:val="20"/>
                <w:vertAlign w:val="superscript"/>
                <w:lang w:val="es-AR"/>
              </w:rPr>
              <w:t>(</w:t>
            </w:r>
            <w:r>
              <w:rPr>
                <w:rFonts w:ascii="Arial" w:hAnsi="Arial" w:cs="Arial"/>
                <w:sz w:val="20"/>
                <w:szCs w:val="20"/>
                <w:vertAlign w:val="superscript"/>
                <w:lang w:val="es-AR"/>
              </w:rPr>
              <w:t>1</w:t>
            </w:r>
            <w:r w:rsidRPr="00717B62">
              <w:rPr>
                <w:rFonts w:ascii="Arial" w:hAnsi="Arial" w:cs="Arial"/>
                <w:sz w:val="20"/>
                <w:szCs w:val="20"/>
                <w:vertAlign w:val="superscript"/>
                <w:lang w:val="es-AR"/>
              </w:rPr>
              <w:t>)(</w:t>
            </w:r>
            <w:r>
              <w:rPr>
                <w:rFonts w:ascii="Arial" w:hAnsi="Arial" w:cs="Arial"/>
                <w:sz w:val="20"/>
                <w:szCs w:val="20"/>
                <w:vertAlign w:val="superscript"/>
                <w:lang w:val="es-AR"/>
              </w:rPr>
              <w:t>2</w:t>
            </w:r>
            <w:r w:rsidRPr="00717B62">
              <w:rPr>
                <w:rFonts w:ascii="Arial" w:hAnsi="Arial" w:cs="Arial"/>
                <w:sz w:val="20"/>
                <w:szCs w:val="20"/>
                <w:vertAlign w:val="superscript"/>
                <w:lang w:val="es-AR"/>
              </w:rPr>
              <w:t>)</w:t>
            </w:r>
          </w:p>
        </w:tc>
        <w:tc>
          <w:tcPr>
            <w:tcW w:w="1188" w:type="dxa"/>
            <w:vAlign w:val="bottom"/>
          </w:tcPr>
          <w:p w:rsidR="0096627F" w:rsidRPr="009E0282" w:rsidRDefault="0096627F" w:rsidP="008B0CD2">
            <w:pPr>
              <w:jc w:val="right"/>
              <w:rPr>
                <w:rFonts w:ascii="Arial" w:hAnsi="Arial" w:cs="Arial"/>
                <w:sz w:val="18"/>
                <w:szCs w:val="18"/>
                <w:lang w:val="en-CA"/>
              </w:rPr>
            </w:pPr>
            <w:r w:rsidRPr="00C016BA">
              <w:rPr>
                <w:rFonts w:ascii="Arial" w:hAnsi="Arial" w:cs="Arial"/>
                <w:sz w:val="18"/>
                <w:szCs w:val="18"/>
              </w:rPr>
              <w:t>0</w:t>
            </w:r>
            <w:r w:rsidR="008B0CD2">
              <w:rPr>
                <w:rFonts w:ascii="Arial" w:hAnsi="Arial" w:cs="Arial"/>
                <w:sz w:val="18"/>
                <w:szCs w:val="18"/>
              </w:rPr>
              <w:t>,</w:t>
            </w:r>
            <w:r w:rsidRPr="00C016BA">
              <w:rPr>
                <w:rFonts w:ascii="Arial" w:hAnsi="Arial" w:cs="Arial"/>
                <w:sz w:val="18"/>
                <w:szCs w:val="18"/>
              </w:rPr>
              <w:t>01</w:t>
            </w:r>
          </w:p>
        </w:tc>
        <w:tc>
          <w:tcPr>
            <w:tcW w:w="1160" w:type="dxa"/>
            <w:vAlign w:val="bottom"/>
          </w:tcPr>
          <w:p w:rsidR="0096627F" w:rsidRPr="009E0282" w:rsidRDefault="0096627F" w:rsidP="008B0CD2">
            <w:pPr>
              <w:jc w:val="right"/>
              <w:rPr>
                <w:rFonts w:ascii="Arial" w:hAnsi="Arial" w:cs="Arial"/>
                <w:sz w:val="18"/>
                <w:szCs w:val="18"/>
                <w:lang w:val="en-CA"/>
              </w:rPr>
            </w:pPr>
            <w:r w:rsidRPr="00C016BA">
              <w:rPr>
                <w:rFonts w:ascii="Arial" w:hAnsi="Arial" w:cs="Arial"/>
                <w:sz w:val="18"/>
                <w:szCs w:val="18"/>
              </w:rPr>
              <w:t>0</w:t>
            </w:r>
            <w:r w:rsidR="008B0CD2">
              <w:rPr>
                <w:rFonts w:ascii="Arial" w:hAnsi="Arial" w:cs="Arial"/>
                <w:sz w:val="18"/>
                <w:szCs w:val="18"/>
              </w:rPr>
              <w:t>,</w:t>
            </w:r>
            <w:r w:rsidRPr="00C016BA">
              <w:rPr>
                <w:rFonts w:ascii="Arial" w:hAnsi="Arial" w:cs="Arial"/>
                <w:sz w:val="18"/>
                <w:szCs w:val="18"/>
              </w:rPr>
              <w:t>01</w:t>
            </w:r>
          </w:p>
        </w:tc>
      </w:tr>
      <w:tr w:rsidR="0096627F" w:rsidRPr="009E0282" w:rsidTr="00460347">
        <w:tblPrEx>
          <w:tblLook w:val="01E0" w:firstRow="1" w:lastRow="1" w:firstColumn="1" w:lastColumn="1" w:noHBand="0" w:noVBand="0"/>
        </w:tblPrEx>
        <w:trPr>
          <w:trHeight w:val="219"/>
        </w:trPr>
        <w:tc>
          <w:tcPr>
            <w:tcW w:w="5670" w:type="dxa"/>
            <w:vAlign w:val="bottom"/>
          </w:tcPr>
          <w:p w:rsidR="0096627F" w:rsidRPr="00A73253" w:rsidRDefault="0096627F" w:rsidP="0096627F">
            <w:pPr>
              <w:rPr>
                <w:rFonts w:ascii="Arial" w:hAnsi="Arial" w:cs="Arial"/>
                <w:sz w:val="18"/>
                <w:szCs w:val="18"/>
                <w:lang w:val="es-ES_tradnl"/>
              </w:rPr>
            </w:pPr>
            <w:r w:rsidRPr="00717B62">
              <w:rPr>
                <w:rFonts w:ascii="Arial" w:hAnsi="Arial" w:cs="Arial"/>
                <w:color w:val="000000"/>
                <w:sz w:val="18"/>
                <w:szCs w:val="18"/>
                <w:lang w:val="es-AR"/>
              </w:rPr>
              <w:t xml:space="preserve">Flujo de fondos </w:t>
            </w:r>
            <w:r>
              <w:rPr>
                <w:rFonts w:ascii="Arial" w:hAnsi="Arial" w:cs="Arial"/>
                <w:color w:val="000000"/>
                <w:sz w:val="18"/>
                <w:szCs w:val="18"/>
                <w:lang w:val="es-AR"/>
              </w:rPr>
              <w:t xml:space="preserve">generado por </w:t>
            </w:r>
            <w:r w:rsidRPr="00717B62">
              <w:rPr>
                <w:rFonts w:ascii="Arial" w:hAnsi="Arial" w:cs="Arial"/>
                <w:color w:val="000000"/>
                <w:sz w:val="18"/>
                <w:szCs w:val="18"/>
                <w:lang w:val="es-AR"/>
              </w:rPr>
              <w:t xml:space="preserve">las actividades operativas </w:t>
            </w:r>
          </w:p>
        </w:tc>
        <w:tc>
          <w:tcPr>
            <w:tcW w:w="1188" w:type="dxa"/>
            <w:vAlign w:val="bottom"/>
          </w:tcPr>
          <w:p w:rsidR="0096627F" w:rsidRPr="009E0282" w:rsidRDefault="0096627F" w:rsidP="0096627F">
            <w:pPr>
              <w:jc w:val="right"/>
              <w:rPr>
                <w:rFonts w:ascii="Arial" w:hAnsi="Arial" w:cs="Arial"/>
                <w:sz w:val="18"/>
                <w:szCs w:val="18"/>
                <w:lang w:val="en-CA"/>
              </w:rPr>
            </w:pPr>
            <w:r>
              <w:rPr>
                <w:rFonts w:ascii="Arial" w:hAnsi="Arial" w:cs="Arial"/>
                <w:sz w:val="18"/>
                <w:szCs w:val="18"/>
              </w:rPr>
              <w:t>471.494</w:t>
            </w:r>
          </w:p>
        </w:tc>
        <w:tc>
          <w:tcPr>
            <w:tcW w:w="1160" w:type="dxa"/>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135</w:t>
            </w:r>
            <w:r>
              <w:rPr>
                <w:rFonts w:ascii="Arial" w:hAnsi="Arial" w:cs="Arial"/>
                <w:sz w:val="18"/>
                <w:szCs w:val="18"/>
              </w:rPr>
              <w:t>.</w:t>
            </w:r>
            <w:r w:rsidRPr="00C016BA">
              <w:rPr>
                <w:rFonts w:ascii="Arial" w:hAnsi="Arial" w:cs="Arial"/>
                <w:sz w:val="18"/>
                <w:szCs w:val="18"/>
              </w:rPr>
              <w:t>443</w:t>
            </w:r>
          </w:p>
        </w:tc>
      </w:tr>
      <w:tr w:rsidR="0096627F" w:rsidRPr="009E0282" w:rsidTr="00460347">
        <w:tblPrEx>
          <w:tblLook w:val="01E0" w:firstRow="1" w:lastRow="1" w:firstColumn="1" w:lastColumn="1" w:noHBand="0" w:noVBand="0"/>
        </w:tblPrEx>
        <w:trPr>
          <w:trHeight w:val="240"/>
        </w:trPr>
        <w:tc>
          <w:tcPr>
            <w:tcW w:w="5670" w:type="dxa"/>
            <w:vAlign w:val="bottom"/>
          </w:tcPr>
          <w:p w:rsidR="0096627F" w:rsidRPr="00A73253" w:rsidRDefault="0096627F" w:rsidP="0096627F">
            <w:pPr>
              <w:rPr>
                <w:rFonts w:ascii="Arial" w:hAnsi="Arial" w:cs="Arial"/>
                <w:sz w:val="18"/>
                <w:szCs w:val="18"/>
                <w:lang w:val="es-ES_tradnl"/>
              </w:rPr>
            </w:pPr>
            <w:r w:rsidRPr="00717B62">
              <w:rPr>
                <w:rFonts w:ascii="Arial" w:hAnsi="Arial" w:cs="Arial"/>
                <w:color w:val="000000"/>
                <w:sz w:val="18"/>
                <w:szCs w:val="18"/>
                <w:lang w:val="es-AR"/>
              </w:rPr>
              <w:t>Flujo de fondos por acción – actividades operativas </w:t>
            </w:r>
            <w:r w:rsidRPr="00717B62">
              <w:rPr>
                <w:rFonts w:ascii="Arial" w:hAnsi="Arial" w:cs="Arial"/>
                <w:sz w:val="20"/>
                <w:szCs w:val="20"/>
                <w:vertAlign w:val="superscript"/>
                <w:lang w:val="es-AR"/>
              </w:rPr>
              <w:t>(</w:t>
            </w:r>
            <w:r>
              <w:rPr>
                <w:rFonts w:ascii="Arial" w:hAnsi="Arial" w:cs="Arial"/>
                <w:sz w:val="20"/>
                <w:szCs w:val="20"/>
                <w:vertAlign w:val="superscript"/>
                <w:lang w:val="es-AR"/>
              </w:rPr>
              <w:t>1</w:t>
            </w:r>
            <w:r w:rsidRPr="00717B62">
              <w:rPr>
                <w:rFonts w:ascii="Arial" w:hAnsi="Arial" w:cs="Arial"/>
                <w:sz w:val="20"/>
                <w:szCs w:val="20"/>
                <w:vertAlign w:val="superscript"/>
                <w:lang w:val="es-AR"/>
              </w:rPr>
              <w:t>)(</w:t>
            </w:r>
            <w:r>
              <w:rPr>
                <w:rFonts w:ascii="Arial" w:hAnsi="Arial" w:cs="Arial"/>
                <w:sz w:val="20"/>
                <w:szCs w:val="20"/>
                <w:vertAlign w:val="superscript"/>
                <w:lang w:val="es-AR"/>
              </w:rPr>
              <w:t>2</w:t>
            </w:r>
            <w:r w:rsidRPr="00717B62">
              <w:rPr>
                <w:rFonts w:ascii="Arial" w:hAnsi="Arial" w:cs="Arial"/>
                <w:sz w:val="20"/>
                <w:szCs w:val="20"/>
                <w:vertAlign w:val="superscript"/>
                <w:lang w:val="es-AR"/>
              </w:rPr>
              <w:t>)</w:t>
            </w:r>
          </w:p>
        </w:tc>
        <w:tc>
          <w:tcPr>
            <w:tcW w:w="1188" w:type="dxa"/>
            <w:vAlign w:val="bottom"/>
          </w:tcPr>
          <w:p w:rsidR="0096627F" w:rsidRPr="009E0282" w:rsidRDefault="008B0CD2" w:rsidP="0096627F">
            <w:pPr>
              <w:jc w:val="right"/>
              <w:rPr>
                <w:rFonts w:ascii="Arial" w:hAnsi="Arial" w:cs="Arial"/>
                <w:sz w:val="18"/>
                <w:szCs w:val="18"/>
                <w:lang w:val="en-CA"/>
              </w:rPr>
            </w:pPr>
            <w:r>
              <w:rPr>
                <w:rFonts w:ascii="Arial" w:hAnsi="Arial" w:cs="Arial"/>
                <w:sz w:val="18"/>
                <w:szCs w:val="18"/>
              </w:rPr>
              <w:t>0,</w:t>
            </w:r>
            <w:r w:rsidR="0096627F" w:rsidRPr="00C016BA">
              <w:rPr>
                <w:rFonts w:ascii="Arial" w:hAnsi="Arial" w:cs="Arial"/>
                <w:sz w:val="18"/>
                <w:szCs w:val="18"/>
              </w:rPr>
              <w:t>01</w:t>
            </w:r>
          </w:p>
        </w:tc>
        <w:tc>
          <w:tcPr>
            <w:tcW w:w="1160" w:type="dxa"/>
            <w:vAlign w:val="bottom"/>
          </w:tcPr>
          <w:p w:rsidR="0096627F" w:rsidRPr="009E0282" w:rsidRDefault="008B0CD2" w:rsidP="0096627F">
            <w:pPr>
              <w:jc w:val="right"/>
              <w:rPr>
                <w:rFonts w:ascii="Arial" w:hAnsi="Arial" w:cs="Arial"/>
                <w:sz w:val="18"/>
                <w:szCs w:val="18"/>
                <w:lang w:val="en-CA"/>
              </w:rPr>
            </w:pPr>
            <w:r>
              <w:rPr>
                <w:rFonts w:ascii="Arial" w:hAnsi="Arial" w:cs="Arial"/>
                <w:sz w:val="18"/>
                <w:szCs w:val="18"/>
              </w:rPr>
              <w:t>0,</w:t>
            </w:r>
            <w:r w:rsidR="0096627F" w:rsidRPr="00C016BA">
              <w:rPr>
                <w:rFonts w:ascii="Arial" w:hAnsi="Arial" w:cs="Arial"/>
                <w:sz w:val="18"/>
                <w:szCs w:val="18"/>
              </w:rPr>
              <w:t>00</w:t>
            </w:r>
          </w:p>
        </w:tc>
      </w:tr>
      <w:tr w:rsidR="0096627F" w:rsidRPr="009E0282" w:rsidTr="00460347">
        <w:tblPrEx>
          <w:tblLook w:val="01E0" w:firstRow="1" w:lastRow="1" w:firstColumn="1" w:lastColumn="1" w:noHBand="0" w:noVBand="0"/>
        </w:tblPrEx>
        <w:trPr>
          <w:trHeight w:val="219"/>
        </w:trPr>
        <w:tc>
          <w:tcPr>
            <w:tcW w:w="5670" w:type="dxa"/>
            <w:vAlign w:val="bottom"/>
          </w:tcPr>
          <w:p w:rsidR="0096627F" w:rsidRPr="00A73253" w:rsidRDefault="0096627F" w:rsidP="0096627F">
            <w:pPr>
              <w:rPr>
                <w:rFonts w:ascii="Arial" w:hAnsi="Arial" w:cs="Arial"/>
                <w:sz w:val="18"/>
                <w:szCs w:val="18"/>
                <w:lang w:val="es-ES_tradnl"/>
              </w:rPr>
            </w:pPr>
            <w:r w:rsidRPr="00717B62">
              <w:rPr>
                <w:rFonts w:ascii="Arial" w:hAnsi="Arial" w:cs="Arial"/>
                <w:color w:val="000000"/>
                <w:sz w:val="18"/>
                <w:szCs w:val="18"/>
                <w:lang w:val="es-AR"/>
              </w:rPr>
              <w:t xml:space="preserve">Cantidad de acciones promedio ponderada </w:t>
            </w:r>
            <w:r>
              <w:rPr>
                <w:rFonts w:ascii="Arial" w:hAnsi="Arial" w:cs="Arial"/>
                <w:color w:val="000000"/>
                <w:sz w:val="18"/>
                <w:szCs w:val="18"/>
                <w:lang w:val="es-AR"/>
              </w:rPr>
              <w:t>–</w:t>
            </w:r>
            <w:r w:rsidRPr="00717B62">
              <w:rPr>
                <w:rFonts w:ascii="Arial" w:hAnsi="Arial" w:cs="Arial"/>
                <w:color w:val="000000"/>
                <w:sz w:val="18"/>
                <w:szCs w:val="18"/>
                <w:lang w:val="es-AR"/>
              </w:rPr>
              <w:t xml:space="preserve"> básica</w:t>
            </w:r>
            <w:r>
              <w:rPr>
                <w:rFonts w:ascii="Arial" w:hAnsi="Arial" w:cs="Arial"/>
                <w:color w:val="000000"/>
                <w:sz w:val="18"/>
                <w:szCs w:val="18"/>
                <w:lang w:val="es-AR"/>
              </w:rPr>
              <w:t xml:space="preserve"> y diluida</w:t>
            </w:r>
          </w:p>
        </w:tc>
        <w:tc>
          <w:tcPr>
            <w:tcW w:w="1188" w:type="dxa"/>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72</w:t>
            </w:r>
            <w:r>
              <w:rPr>
                <w:rFonts w:ascii="Arial" w:hAnsi="Arial" w:cs="Arial"/>
                <w:sz w:val="18"/>
                <w:szCs w:val="18"/>
              </w:rPr>
              <w:t>.</w:t>
            </w:r>
            <w:r w:rsidRPr="00C016BA">
              <w:rPr>
                <w:rFonts w:ascii="Arial" w:hAnsi="Arial" w:cs="Arial"/>
                <w:sz w:val="18"/>
                <w:szCs w:val="18"/>
              </w:rPr>
              <w:t>903</w:t>
            </w:r>
            <w:r>
              <w:rPr>
                <w:rFonts w:ascii="Arial" w:hAnsi="Arial" w:cs="Arial"/>
                <w:sz w:val="18"/>
                <w:szCs w:val="18"/>
              </w:rPr>
              <w:t>.</w:t>
            </w:r>
            <w:r w:rsidRPr="00C016BA">
              <w:rPr>
                <w:rFonts w:ascii="Arial" w:hAnsi="Arial" w:cs="Arial"/>
                <w:sz w:val="18"/>
                <w:szCs w:val="18"/>
              </w:rPr>
              <w:t>038</w:t>
            </w:r>
          </w:p>
        </w:tc>
        <w:tc>
          <w:tcPr>
            <w:tcW w:w="1160" w:type="dxa"/>
            <w:vAlign w:val="bottom"/>
          </w:tcPr>
          <w:p w:rsidR="0096627F" w:rsidRPr="009E0282" w:rsidRDefault="0096627F" w:rsidP="0096627F">
            <w:pPr>
              <w:jc w:val="right"/>
              <w:rPr>
                <w:rFonts w:ascii="Arial" w:hAnsi="Arial" w:cs="Arial"/>
                <w:sz w:val="18"/>
                <w:szCs w:val="18"/>
                <w:lang w:val="en-CA"/>
              </w:rPr>
            </w:pPr>
            <w:r w:rsidRPr="00C016BA">
              <w:rPr>
                <w:rFonts w:ascii="Arial" w:hAnsi="Arial" w:cs="Arial"/>
                <w:sz w:val="18"/>
                <w:szCs w:val="18"/>
              </w:rPr>
              <w:t>72</w:t>
            </w:r>
            <w:r>
              <w:rPr>
                <w:rFonts w:ascii="Arial" w:hAnsi="Arial" w:cs="Arial"/>
                <w:sz w:val="18"/>
                <w:szCs w:val="18"/>
              </w:rPr>
              <w:t>.</w:t>
            </w:r>
            <w:r w:rsidRPr="00C016BA">
              <w:rPr>
                <w:rFonts w:ascii="Arial" w:hAnsi="Arial" w:cs="Arial"/>
                <w:sz w:val="18"/>
                <w:szCs w:val="18"/>
              </w:rPr>
              <w:t>903</w:t>
            </w:r>
            <w:r>
              <w:rPr>
                <w:rFonts w:ascii="Arial" w:hAnsi="Arial" w:cs="Arial"/>
                <w:sz w:val="18"/>
                <w:szCs w:val="18"/>
              </w:rPr>
              <w:t>.</w:t>
            </w:r>
            <w:r w:rsidRPr="00C016BA">
              <w:rPr>
                <w:rFonts w:ascii="Arial" w:hAnsi="Arial" w:cs="Arial"/>
                <w:sz w:val="18"/>
                <w:szCs w:val="18"/>
              </w:rPr>
              <w:t>038</w:t>
            </w:r>
          </w:p>
        </w:tc>
      </w:tr>
      <w:tr w:rsidR="0096627F" w:rsidRPr="009E0282" w:rsidTr="0096627F">
        <w:tblPrEx>
          <w:tblLook w:val="01E0" w:firstRow="1" w:lastRow="1" w:firstColumn="1" w:lastColumn="1" w:noHBand="0" w:noVBand="0"/>
        </w:tblPrEx>
        <w:trPr>
          <w:trHeight w:val="49"/>
        </w:trPr>
        <w:tc>
          <w:tcPr>
            <w:tcW w:w="5670" w:type="dxa"/>
            <w:tcBorders>
              <w:top w:val="single" w:sz="12" w:space="0" w:color="auto"/>
            </w:tcBorders>
            <w:vAlign w:val="bottom"/>
          </w:tcPr>
          <w:p w:rsidR="0096627F" w:rsidRPr="009E0282" w:rsidRDefault="0096627F" w:rsidP="00A73253">
            <w:pPr>
              <w:rPr>
                <w:rFonts w:ascii="Arial" w:hAnsi="Arial" w:cs="Arial"/>
                <w:sz w:val="18"/>
                <w:szCs w:val="18"/>
              </w:rPr>
            </w:pPr>
          </w:p>
        </w:tc>
        <w:tc>
          <w:tcPr>
            <w:tcW w:w="1188" w:type="dxa"/>
            <w:tcBorders>
              <w:top w:val="single" w:sz="12" w:space="0" w:color="auto"/>
            </w:tcBorders>
            <w:vAlign w:val="bottom"/>
          </w:tcPr>
          <w:p w:rsidR="0096627F" w:rsidRPr="009E0282" w:rsidRDefault="0096627F" w:rsidP="00A73253">
            <w:pPr>
              <w:rPr>
                <w:rFonts w:ascii="Arial" w:hAnsi="Arial" w:cs="Arial"/>
                <w:sz w:val="18"/>
                <w:szCs w:val="18"/>
                <w:lang w:val="en-CA"/>
              </w:rPr>
            </w:pPr>
          </w:p>
        </w:tc>
        <w:tc>
          <w:tcPr>
            <w:tcW w:w="1160" w:type="dxa"/>
            <w:tcBorders>
              <w:top w:val="single" w:sz="12" w:space="0" w:color="auto"/>
            </w:tcBorders>
            <w:vAlign w:val="bottom"/>
          </w:tcPr>
          <w:p w:rsidR="0096627F" w:rsidRPr="009E0282" w:rsidRDefault="0096627F" w:rsidP="00A73253">
            <w:pPr>
              <w:rPr>
                <w:rFonts w:ascii="Arial" w:hAnsi="Arial" w:cs="Arial"/>
                <w:sz w:val="18"/>
                <w:szCs w:val="18"/>
                <w:lang w:val="en-CA"/>
              </w:rPr>
            </w:pPr>
          </w:p>
        </w:tc>
      </w:tr>
      <w:bookmarkEnd w:id="0"/>
    </w:tbl>
    <w:p w:rsidR="00AB646E" w:rsidRDefault="00AB646E">
      <w:pPr>
        <w:rPr>
          <w:rFonts w:ascii="Arial" w:hAnsi="Arial" w:cs="Arial"/>
          <w:sz w:val="20"/>
          <w:szCs w:val="20"/>
          <w:lang w:val="es-AR"/>
        </w:rPr>
      </w:pPr>
    </w:p>
    <w:p w:rsidR="00A11329" w:rsidRPr="00717B62" w:rsidRDefault="006429BF" w:rsidP="0096627F">
      <w:pPr>
        <w:widowControl w:val="0"/>
        <w:spacing w:before="40"/>
        <w:ind w:left="432" w:hanging="288"/>
        <w:jc w:val="both"/>
        <w:rPr>
          <w:rFonts w:ascii="Arial" w:hAnsi="Arial" w:cs="Arial"/>
          <w:sz w:val="16"/>
          <w:szCs w:val="16"/>
          <w:lang w:val="es-AR"/>
        </w:rPr>
      </w:pPr>
      <w:r w:rsidRPr="00717B62">
        <w:rPr>
          <w:rFonts w:ascii="Arial" w:hAnsi="Arial" w:cs="Arial"/>
          <w:sz w:val="18"/>
          <w:szCs w:val="18"/>
          <w:vertAlign w:val="superscript"/>
          <w:lang w:val="es-AR"/>
        </w:rPr>
        <w:t>(1)</w:t>
      </w:r>
      <w:r w:rsidRPr="00717B62">
        <w:rPr>
          <w:rFonts w:ascii="Arial" w:hAnsi="Arial" w:cs="Arial"/>
          <w:sz w:val="18"/>
          <w:szCs w:val="18"/>
          <w:lang w:val="es-AR"/>
        </w:rPr>
        <w:t xml:space="preserve"> </w:t>
      </w:r>
      <w:r w:rsidRPr="00717B62">
        <w:rPr>
          <w:rFonts w:ascii="Arial" w:hAnsi="Arial" w:cs="Arial"/>
          <w:sz w:val="16"/>
          <w:szCs w:val="16"/>
          <w:lang w:val="es-AR"/>
        </w:rPr>
        <w:t xml:space="preserve"> Aplicamos las Normas Internacionales de Información Financiera (“</w:t>
      </w:r>
      <w:r w:rsidRPr="00394AC6">
        <w:rPr>
          <w:rFonts w:ascii="Arial" w:hAnsi="Arial" w:cs="Arial"/>
          <w:b/>
          <w:sz w:val="16"/>
          <w:szCs w:val="16"/>
          <w:lang w:val="es-AR"/>
        </w:rPr>
        <w:t>NIIF</w:t>
      </w:r>
      <w:r w:rsidRPr="00717B62">
        <w:rPr>
          <w:rFonts w:ascii="Arial" w:hAnsi="Arial" w:cs="Arial"/>
          <w:sz w:val="16"/>
          <w:szCs w:val="16"/>
          <w:lang w:val="es-AR"/>
        </w:rPr>
        <w:t xml:space="preserve">”); sin embargo, la Compañía también emplea ciertas medidas no contempladas en las NIIF para analizar el desempeño financiero, la situación patrimonial y el flujo de fondos. </w:t>
      </w:r>
      <w:r w:rsidR="00CE0655" w:rsidRPr="00717B62">
        <w:rPr>
          <w:rFonts w:ascii="Arial" w:hAnsi="Arial" w:cs="Arial"/>
          <w:sz w:val="16"/>
          <w:szCs w:val="16"/>
          <w:lang w:val="es-AR"/>
        </w:rPr>
        <w:t>“Capital de trabajo” es una medida de gestión de capital. "Pasivos financieros no corrientes" es una medida financiera complementaria. "Efectivo neto por acción – actividades operativas" es una medida financiera complementaria. "Flujo de fondos por acción – actividades operativas" es una medida financiera complementaria.  Véase "Medidas no contempladas en las NIIF y otras medidas financieras".</w:t>
      </w:r>
    </w:p>
    <w:p w:rsidR="00A11329" w:rsidRPr="00717B62" w:rsidRDefault="00A11329" w:rsidP="00A11329">
      <w:pPr>
        <w:widowControl w:val="0"/>
        <w:ind w:left="432" w:hanging="288"/>
        <w:jc w:val="both"/>
        <w:rPr>
          <w:rFonts w:ascii="Arial" w:hAnsi="Arial" w:cs="Arial"/>
          <w:sz w:val="16"/>
          <w:szCs w:val="16"/>
          <w:lang w:val="es-AR"/>
        </w:rPr>
      </w:pPr>
      <w:r w:rsidRPr="00717B62">
        <w:rPr>
          <w:rFonts w:ascii="Arial" w:hAnsi="Arial" w:cs="Arial"/>
          <w:sz w:val="21"/>
          <w:szCs w:val="21"/>
          <w:vertAlign w:val="superscript"/>
          <w:lang w:val="es-AR"/>
        </w:rPr>
        <w:t>(</w:t>
      </w:r>
      <w:r w:rsidR="0096627F">
        <w:rPr>
          <w:rFonts w:ascii="Arial" w:hAnsi="Arial" w:cs="Arial"/>
          <w:sz w:val="21"/>
          <w:szCs w:val="21"/>
          <w:vertAlign w:val="superscript"/>
          <w:lang w:val="es-AR"/>
        </w:rPr>
        <w:t>2</w:t>
      </w:r>
      <w:r w:rsidRPr="00717B62">
        <w:rPr>
          <w:rFonts w:ascii="Arial" w:hAnsi="Arial" w:cs="Arial"/>
          <w:sz w:val="21"/>
          <w:szCs w:val="21"/>
          <w:vertAlign w:val="superscript"/>
          <w:lang w:val="es-AR"/>
        </w:rPr>
        <w:t>)</w:t>
      </w:r>
      <w:r w:rsidRPr="00717B62">
        <w:rPr>
          <w:rFonts w:ascii="Arial" w:hAnsi="Arial" w:cs="Arial"/>
          <w:sz w:val="16"/>
          <w:szCs w:val="16"/>
          <w:lang w:val="es-AR"/>
        </w:rPr>
        <w:t>  Todas las cifras por acción son iguales para la cantidad promedio ponderada básica y diluida de acciones en circulación de</w:t>
      </w:r>
      <w:r w:rsidR="00AA5133">
        <w:rPr>
          <w:rFonts w:ascii="Arial" w:hAnsi="Arial" w:cs="Arial"/>
          <w:sz w:val="16"/>
          <w:szCs w:val="16"/>
          <w:lang w:val="es-AR"/>
        </w:rPr>
        <w:t xml:space="preserve"> los</w:t>
      </w:r>
      <w:r w:rsidRPr="00717B62">
        <w:rPr>
          <w:rFonts w:ascii="Arial" w:hAnsi="Arial" w:cs="Arial"/>
          <w:sz w:val="16"/>
          <w:szCs w:val="16"/>
          <w:lang w:val="es-AR"/>
        </w:rPr>
        <w:t xml:space="preserve"> período</w:t>
      </w:r>
      <w:r w:rsidR="00AA5133">
        <w:rPr>
          <w:rFonts w:ascii="Arial" w:hAnsi="Arial" w:cs="Arial"/>
          <w:sz w:val="16"/>
          <w:szCs w:val="16"/>
          <w:lang w:val="es-AR"/>
        </w:rPr>
        <w:t>s</w:t>
      </w:r>
      <w:r w:rsidRPr="00717B62">
        <w:rPr>
          <w:rFonts w:ascii="Arial" w:hAnsi="Arial" w:cs="Arial"/>
          <w:sz w:val="16"/>
          <w:szCs w:val="16"/>
          <w:lang w:val="es-AR"/>
        </w:rPr>
        <w:t>.  Las opciones tienen efecto antidilución en períodos de pérdida.  La suma de las cantidades por acción puede no coincidir debido al redondeo.</w:t>
      </w:r>
    </w:p>
    <w:p w:rsidR="00F21945" w:rsidRDefault="00F21945">
      <w:pPr>
        <w:rPr>
          <w:rFonts w:ascii="Arial" w:hAnsi="Arial" w:cs="Arial"/>
          <w:b/>
          <w:bCs/>
          <w:sz w:val="20"/>
          <w:szCs w:val="20"/>
          <w:lang w:val="es-AR"/>
        </w:rPr>
      </w:pPr>
      <w:r>
        <w:rPr>
          <w:rFonts w:ascii="Arial" w:hAnsi="Arial" w:cs="Arial"/>
          <w:b/>
          <w:bCs/>
          <w:sz w:val="20"/>
          <w:szCs w:val="20"/>
          <w:lang w:val="es-AR"/>
        </w:rPr>
        <w:br w:type="page"/>
      </w:r>
    </w:p>
    <w:p w:rsidR="00570F49" w:rsidRDefault="00570F49" w:rsidP="00893629">
      <w:pPr>
        <w:spacing w:before="120" w:after="120"/>
        <w:rPr>
          <w:rFonts w:ascii="Arial" w:hAnsi="Arial" w:cs="Arial"/>
          <w:b/>
          <w:bCs/>
          <w:sz w:val="20"/>
          <w:szCs w:val="20"/>
          <w:lang w:val="es-AR"/>
        </w:rPr>
      </w:pPr>
      <w:r w:rsidRPr="00717B62">
        <w:rPr>
          <w:rFonts w:ascii="Arial" w:hAnsi="Arial" w:cs="Arial"/>
          <w:b/>
          <w:bCs/>
          <w:sz w:val="20"/>
          <w:szCs w:val="20"/>
          <w:lang w:val="es-AR"/>
        </w:rPr>
        <w:lastRenderedPageBreak/>
        <w:t xml:space="preserve">Volúmenes de venta </w:t>
      </w:r>
    </w:p>
    <w:p w:rsidR="00C52721" w:rsidRDefault="00C52721" w:rsidP="00C52721">
      <w:pPr>
        <w:rPr>
          <w:rFonts w:ascii="Arial" w:hAnsi="Arial" w:cs="Arial"/>
          <w:b/>
          <w:sz w:val="20"/>
          <w:szCs w:val="20"/>
          <w:lang w:val="en-CA"/>
        </w:rPr>
      </w:pPr>
    </w:p>
    <w:tbl>
      <w:tblPr>
        <w:tblW w:w="8533" w:type="dxa"/>
        <w:tblLook w:val="04A0" w:firstRow="1" w:lastRow="0" w:firstColumn="1" w:lastColumn="0" w:noHBand="0" w:noVBand="1"/>
      </w:tblPr>
      <w:tblGrid>
        <w:gridCol w:w="5519"/>
        <w:gridCol w:w="1507"/>
        <w:gridCol w:w="1507"/>
      </w:tblGrid>
      <w:tr w:rsidR="0096627F" w:rsidRPr="00460347" w:rsidTr="0096627F">
        <w:trPr>
          <w:trHeight w:val="249"/>
        </w:trPr>
        <w:tc>
          <w:tcPr>
            <w:tcW w:w="5519" w:type="dxa"/>
            <w:tcBorders>
              <w:top w:val="single" w:sz="8" w:space="0" w:color="auto"/>
              <w:left w:val="single" w:sz="8" w:space="0" w:color="auto"/>
              <w:bottom w:val="nil"/>
              <w:right w:val="single" w:sz="8" w:space="0" w:color="auto"/>
            </w:tcBorders>
            <w:shd w:val="clear" w:color="auto" w:fill="auto"/>
            <w:vAlign w:val="center"/>
            <w:hideMark/>
          </w:tcPr>
          <w:p w:rsidR="0096627F" w:rsidRPr="008E71FD" w:rsidRDefault="0096627F" w:rsidP="00AB454D">
            <w:pPr>
              <w:rPr>
                <w:rFonts w:ascii="Arial" w:hAnsi="Arial" w:cs="Arial"/>
                <w:b/>
                <w:bCs/>
                <w:color w:val="000000"/>
                <w:sz w:val="16"/>
                <w:szCs w:val="16"/>
              </w:rPr>
            </w:pPr>
            <w:r w:rsidRPr="008E71FD">
              <w:rPr>
                <w:rFonts w:ascii="Arial" w:hAnsi="Arial" w:cs="Arial"/>
                <w:b/>
                <w:bCs/>
                <w:color w:val="000000"/>
                <w:sz w:val="16"/>
                <w:szCs w:val="16"/>
                <w:lang w:val="en-CA"/>
              </w:rPr>
              <w:t> </w:t>
            </w:r>
          </w:p>
        </w:tc>
        <w:tc>
          <w:tcPr>
            <w:tcW w:w="3014" w:type="dxa"/>
            <w:gridSpan w:val="2"/>
            <w:tcBorders>
              <w:top w:val="single" w:sz="8" w:space="0" w:color="auto"/>
              <w:left w:val="nil"/>
              <w:bottom w:val="nil"/>
              <w:right w:val="single" w:sz="8" w:space="0" w:color="000000"/>
            </w:tcBorders>
            <w:shd w:val="clear" w:color="auto" w:fill="auto"/>
            <w:vAlign w:val="center"/>
            <w:hideMark/>
          </w:tcPr>
          <w:p w:rsidR="0096627F" w:rsidRPr="00C52721" w:rsidRDefault="0096627F" w:rsidP="00C52721">
            <w:pPr>
              <w:jc w:val="center"/>
              <w:rPr>
                <w:rFonts w:ascii="Arial" w:hAnsi="Arial" w:cs="Arial"/>
                <w:b/>
                <w:bCs/>
                <w:color w:val="000000"/>
                <w:sz w:val="16"/>
                <w:szCs w:val="16"/>
                <w:lang w:val="es-ES_tradnl"/>
              </w:rPr>
            </w:pPr>
            <w:r w:rsidRPr="00C52721">
              <w:rPr>
                <w:rFonts w:ascii="Arial" w:hAnsi="Arial" w:cs="Arial"/>
                <w:b/>
                <w:bCs/>
                <w:color w:val="000000"/>
                <w:sz w:val="16"/>
                <w:szCs w:val="16"/>
                <w:lang w:val="es-ES_tradnl"/>
              </w:rPr>
              <w:t>Período de tres meses finalizado el</w:t>
            </w:r>
          </w:p>
        </w:tc>
      </w:tr>
      <w:tr w:rsidR="0096627F" w:rsidRPr="008E71FD" w:rsidTr="0096627F">
        <w:trPr>
          <w:trHeight w:val="249"/>
        </w:trPr>
        <w:tc>
          <w:tcPr>
            <w:tcW w:w="5519" w:type="dxa"/>
            <w:tcBorders>
              <w:top w:val="nil"/>
              <w:left w:val="single" w:sz="8" w:space="0" w:color="auto"/>
              <w:bottom w:val="nil"/>
              <w:right w:val="single" w:sz="8" w:space="0" w:color="auto"/>
            </w:tcBorders>
            <w:shd w:val="clear" w:color="auto" w:fill="auto"/>
            <w:vAlign w:val="center"/>
            <w:hideMark/>
          </w:tcPr>
          <w:p w:rsidR="0096627F" w:rsidRPr="00460347" w:rsidRDefault="0096627F" w:rsidP="00AB454D">
            <w:pPr>
              <w:rPr>
                <w:rFonts w:ascii="Arial" w:hAnsi="Arial" w:cs="Arial"/>
                <w:b/>
                <w:bCs/>
                <w:color w:val="000000"/>
                <w:sz w:val="16"/>
                <w:szCs w:val="16"/>
                <w:lang w:val="es-ES_tradnl"/>
              </w:rPr>
            </w:pPr>
            <w:r w:rsidRPr="00460347">
              <w:rPr>
                <w:rFonts w:ascii="Arial" w:hAnsi="Arial" w:cs="Arial"/>
                <w:b/>
                <w:bCs/>
                <w:color w:val="000000"/>
                <w:sz w:val="16"/>
                <w:szCs w:val="16"/>
                <w:lang w:val="es-ES_tradnl"/>
              </w:rPr>
              <w:t> </w:t>
            </w:r>
          </w:p>
        </w:tc>
        <w:tc>
          <w:tcPr>
            <w:tcW w:w="3014" w:type="dxa"/>
            <w:gridSpan w:val="2"/>
            <w:tcBorders>
              <w:top w:val="nil"/>
              <w:left w:val="nil"/>
              <w:bottom w:val="single" w:sz="8" w:space="0" w:color="auto"/>
              <w:right w:val="single" w:sz="8" w:space="0" w:color="000000"/>
            </w:tcBorders>
            <w:shd w:val="clear" w:color="auto" w:fill="auto"/>
            <w:vAlign w:val="center"/>
            <w:hideMark/>
          </w:tcPr>
          <w:p w:rsidR="0096627F" w:rsidRPr="008E71FD" w:rsidRDefault="0096627F" w:rsidP="0096627F">
            <w:pPr>
              <w:jc w:val="center"/>
              <w:rPr>
                <w:rFonts w:ascii="Arial" w:hAnsi="Arial" w:cs="Arial"/>
                <w:b/>
                <w:bCs/>
                <w:color w:val="000000"/>
                <w:sz w:val="16"/>
                <w:szCs w:val="16"/>
              </w:rPr>
            </w:pPr>
            <w:r>
              <w:rPr>
                <w:rFonts w:ascii="Arial" w:hAnsi="Arial" w:cs="Arial"/>
                <w:b/>
                <w:bCs/>
                <w:color w:val="000000"/>
                <w:sz w:val="16"/>
                <w:szCs w:val="16"/>
              </w:rPr>
              <w:t>31 de marzo de</w:t>
            </w:r>
          </w:p>
        </w:tc>
      </w:tr>
      <w:tr w:rsidR="0096627F" w:rsidRPr="008E71FD" w:rsidTr="0096627F">
        <w:trPr>
          <w:trHeight w:val="249"/>
        </w:trPr>
        <w:tc>
          <w:tcPr>
            <w:tcW w:w="5519" w:type="dxa"/>
            <w:tcBorders>
              <w:top w:val="nil"/>
              <w:left w:val="single" w:sz="8" w:space="0" w:color="auto"/>
              <w:bottom w:val="single" w:sz="8" w:space="0" w:color="auto"/>
              <w:right w:val="single" w:sz="8" w:space="0" w:color="auto"/>
            </w:tcBorders>
            <w:shd w:val="clear" w:color="auto" w:fill="auto"/>
            <w:vAlign w:val="center"/>
            <w:hideMark/>
          </w:tcPr>
          <w:p w:rsidR="0096627F" w:rsidRPr="008E71FD" w:rsidRDefault="0096627F" w:rsidP="00AB454D">
            <w:pPr>
              <w:rPr>
                <w:rFonts w:ascii="Arial" w:hAnsi="Arial" w:cs="Arial"/>
                <w:color w:val="000000"/>
                <w:sz w:val="16"/>
                <w:szCs w:val="16"/>
              </w:rPr>
            </w:pPr>
            <w:r w:rsidRPr="008E71FD">
              <w:rPr>
                <w:rFonts w:ascii="Arial" w:hAnsi="Arial" w:cs="Arial"/>
                <w:bCs/>
                <w:color w:val="000000"/>
                <w:sz w:val="16"/>
                <w:szCs w:val="16"/>
                <w:lang w:val="en-CA"/>
              </w:rPr>
              <w:t> </w:t>
            </w:r>
          </w:p>
        </w:tc>
        <w:tc>
          <w:tcPr>
            <w:tcW w:w="1507" w:type="dxa"/>
            <w:tcBorders>
              <w:top w:val="nil"/>
              <w:left w:val="nil"/>
              <w:bottom w:val="single" w:sz="8" w:space="0" w:color="auto"/>
              <w:right w:val="single" w:sz="8" w:space="0" w:color="auto"/>
            </w:tcBorders>
            <w:shd w:val="clear" w:color="auto" w:fill="auto"/>
            <w:vAlign w:val="center"/>
            <w:hideMark/>
          </w:tcPr>
          <w:p w:rsidR="0096627F" w:rsidRPr="008E71FD" w:rsidRDefault="0096627F" w:rsidP="00AA5133">
            <w:pPr>
              <w:jc w:val="center"/>
              <w:rPr>
                <w:rFonts w:ascii="Arial" w:hAnsi="Arial" w:cs="Arial"/>
                <w:b/>
                <w:bCs/>
                <w:color w:val="000000"/>
                <w:sz w:val="16"/>
                <w:szCs w:val="16"/>
              </w:rPr>
            </w:pPr>
            <w:r>
              <w:rPr>
                <w:rFonts w:ascii="Arial" w:hAnsi="Arial" w:cs="Arial"/>
                <w:b/>
                <w:bCs/>
                <w:color w:val="000000"/>
                <w:sz w:val="16"/>
                <w:szCs w:val="16"/>
              </w:rPr>
              <w:t>2024</w:t>
            </w:r>
          </w:p>
        </w:tc>
        <w:tc>
          <w:tcPr>
            <w:tcW w:w="1507" w:type="dxa"/>
            <w:tcBorders>
              <w:top w:val="nil"/>
              <w:left w:val="nil"/>
              <w:bottom w:val="single" w:sz="8" w:space="0" w:color="auto"/>
              <w:right w:val="single" w:sz="8" w:space="0" w:color="auto"/>
            </w:tcBorders>
            <w:shd w:val="clear" w:color="auto" w:fill="auto"/>
            <w:vAlign w:val="center"/>
            <w:hideMark/>
          </w:tcPr>
          <w:p w:rsidR="0096627F" w:rsidRPr="008E71FD" w:rsidRDefault="0096627F" w:rsidP="00AA5133">
            <w:pPr>
              <w:jc w:val="center"/>
              <w:rPr>
                <w:rFonts w:ascii="Arial" w:hAnsi="Arial" w:cs="Arial"/>
                <w:b/>
                <w:bCs/>
                <w:color w:val="000000"/>
                <w:sz w:val="16"/>
                <w:szCs w:val="16"/>
              </w:rPr>
            </w:pPr>
            <w:r>
              <w:rPr>
                <w:rFonts w:ascii="Arial" w:hAnsi="Arial" w:cs="Arial"/>
                <w:b/>
                <w:bCs/>
                <w:color w:val="000000"/>
                <w:sz w:val="16"/>
                <w:szCs w:val="16"/>
              </w:rPr>
              <w:t>2023</w:t>
            </w:r>
          </w:p>
        </w:tc>
      </w:tr>
      <w:tr w:rsidR="0096627F" w:rsidRPr="008E71FD" w:rsidTr="0096627F">
        <w:trPr>
          <w:trHeight w:val="249"/>
        </w:trPr>
        <w:tc>
          <w:tcPr>
            <w:tcW w:w="5519" w:type="dxa"/>
            <w:tcBorders>
              <w:top w:val="nil"/>
              <w:left w:val="single" w:sz="8" w:space="0" w:color="auto"/>
              <w:bottom w:val="single" w:sz="12" w:space="0" w:color="auto"/>
              <w:right w:val="single" w:sz="8" w:space="0" w:color="auto"/>
            </w:tcBorders>
            <w:shd w:val="clear" w:color="auto" w:fill="auto"/>
            <w:vAlign w:val="bottom"/>
            <w:hideMark/>
          </w:tcPr>
          <w:p w:rsidR="0096627F" w:rsidRPr="00C52721" w:rsidRDefault="0096627F" w:rsidP="0096627F">
            <w:pPr>
              <w:rPr>
                <w:rFonts w:ascii="Arial" w:hAnsi="Arial" w:cs="Arial"/>
                <w:color w:val="000000"/>
                <w:sz w:val="16"/>
                <w:szCs w:val="16"/>
                <w:lang w:val="es-ES_tradnl"/>
              </w:rPr>
            </w:pPr>
            <w:r w:rsidRPr="00717B62">
              <w:rPr>
                <w:rFonts w:ascii="Arial" w:hAnsi="Arial" w:cs="Arial"/>
                <w:sz w:val="16"/>
                <w:szCs w:val="16"/>
                <w:lang w:val="es-AR"/>
              </w:rPr>
              <w:t>Volúmenes de venta totales (BOE)</w:t>
            </w:r>
          </w:p>
        </w:tc>
        <w:tc>
          <w:tcPr>
            <w:tcW w:w="1507" w:type="dxa"/>
            <w:tcBorders>
              <w:top w:val="nil"/>
              <w:left w:val="nil"/>
              <w:bottom w:val="single" w:sz="12" w:space="0" w:color="auto"/>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sz w:val="16"/>
                <w:szCs w:val="16"/>
              </w:rPr>
              <w:t>118</w:t>
            </w:r>
            <w:r>
              <w:rPr>
                <w:rFonts w:ascii="Arial" w:hAnsi="Arial" w:cs="Arial"/>
                <w:sz w:val="16"/>
                <w:szCs w:val="16"/>
              </w:rPr>
              <w:t>.</w:t>
            </w:r>
            <w:r w:rsidRPr="00C016BA">
              <w:rPr>
                <w:rFonts w:ascii="Arial" w:hAnsi="Arial" w:cs="Arial"/>
                <w:sz w:val="16"/>
                <w:szCs w:val="16"/>
              </w:rPr>
              <w:t>480</w:t>
            </w:r>
          </w:p>
        </w:tc>
        <w:tc>
          <w:tcPr>
            <w:tcW w:w="1507" w:type="dxa"/>
            <w:tcBorders>
              <w:top w:val="nil"/>
              <w:left w:val="nil"/>
              <w:bottom w:val="single" w:sz="12" w:space="0" w:color="auto"/>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140</w:t>
            </w:r>
            <w:r>
              <w:rPr>
                <w:rFonts w:ascii="Arial" w:hAnsi="Arial" w:cs="Arial"/>
                <w:color w:val="000000"/>
                <w:sz w:val="16"/>
                <w:szCs w:val="16"/>
              </w:rPr>
              <w:t>.</w:t>
            </w:r>
            <w:r w:rsidRPr="00C016BA">
              <w:rPr>
                <w:rFonts w:ascii="Arial" w:hAnsi="Arial" w:cs="Arial"/>
                <w:color w:val="000000"/>
                <w:sz w:val="16"/>
                <w:szCs w:val="16"/>
              </w:rPr>
              <w:t>935</w:t>
            </w:r>
          </w:p>
        </w:tc>
      </w:tr>
      <w:tr w:rsidR="0096627F" w:rsidRPr="008E71FD" w:rsidTr="0096627F">
        <w:trPr>
          <w:trHeight w:val="249"/>
        </w:trPr>
        <w:tc>
          <w:tcPr>
            <w:tcW w:w="5519" w:type="dxa"/>
            <w:tcBorders>
              <w:top w:val="nil"/>
              <w:left w:val="single" w:sz="8" w:space="0" w:color="auto"/>
              <w:bottom w:val="nil"/>
              <w:right w:val="single" w:sz="8" w:space="0" w:color="auto"/>
            </w:tcBorders>
            <w:shd w:val="clear" w:color="auto" w:fill="auto"/>
            <w:vAlign w:val="bottom"/>
            <w:hideMark/>
          </w:tcPr>
          <w:p w:rsidR="0096627F" w:rsidRPr="00C52721" w:rsidRDefault="0096627F" w:rsidP="0096627F">
            <w:pPr>
              <w:rPr>
                <w:rFonts w:ascii="Arial" w:hAnsi="Arial" w:cs="Arial"/>
                <w:color w:val="000000"/>
                <w:sz w:val="16"/>
                <w:szCs w:val="16"/>
                <w:lang w:val="es-ES_tradnl"/>
              </w:rPr>
            </w:pPr>
            <w:r w:rsidRPr="00717B62">
              <w:rPr>
                <w:rFonts w:ascii="Arial" w:hAnsi="Arial" w:cs="Arial"/>
                <w:sz w:val="16"/>
                <w:szCs w:val="16"/>
                <w:lang w:val="es-AR"/>
              </w:rPr>
              <w:t xml:space="preserve">Bbls de petróleo liviano por día </w:t>
            </w:r>
          </w:p>
        </w:tc>
        <w:tc>
          <w:tcPr>
            <w:tcW w:w="1507" w:type="dxa"/>
            <w:tcBorders>
              <w:top w:val="nil"/>
              <w:left w:val="nil"/>
              <w:bottom w:val="nil"/>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898</w:t>
            </w:r>
          </w:p>
        </w:tc>
        <w:tc>
          <w:tcPr>
            <w:tcW w:w="1507" w:type="dxa"/>
            <w:tcBorders>
              <w:top w:val="nil"/>
              <w:left w:val="nil"/>
              <w:bottom w:val="nil"/>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995</w:t>
            </w:r>
          </w:p>
        </w:tc>
      </w:tr>
      <w:tr w:rsidR="0096627F" w:rsidRPr="008E71FD" w:rsidTr="0096627F">
        <w:trPr>
          <w:trHeight w:val="240"/>
        </w:trPr>
        <w:tc>
          <w:tcPr>
            <w:tcW w:w="5519" w:type="dxa"/>
            <w:tcBorders>
              <w:top w:val="nil"/>
              <w:left w:val="single" w:sz="8" w:space="0" w:color="auto"/>
              <w:bottom w:val="nil"/>
              <w:right w:val="single" w:sz="8" w:space="0" w:color="auto"/>
            </w:tcBorders>
            <w:shd w:val="clear" w:color="auto" w:fill="auto"/>
            <w:vAlign w:val="bottom"/>
            <w:hideMark/>
          </w:tcPr>
          <w:p w:rsidR="0096627F" w:rsidRPr="00C52721" w:rsidRDefault="0096627F" w:rsidP="0096627F">
            <w:pPr>
              <w:rPr>
                <w:rFonts w:ascii="Arial" w:hAnsi="Arial" w:cs="Arial"/>
                <w:color w:val="000000"/>
                <w:sz w:val="16"/>
                <w:szCs w:val="16"/>
                <w:lang w:val="es-ES_tradnl"/>
              </w:rPr>
            </w:pPr>
            <w:r w:rsidRPr="00717B62">
              <w:rPr>
                <w:rFonts w:ascii="Arial" w:hAnsi="Arial" w:cs="Arial"/>
                <w:sz w:val="16"/>
                <w:szCs w:val="16"/>
                <w:lang w:val="es-AR"/>
              </w:rPr>
              <w:t xml:space="preserve">Bbls de LGN por día </w:t>
            </w:r>
          </w:p>
        </w:tc>
        <w:tc>
          <w:tcPr>
            <w:tcW w:w="1507" w:type="dxa"/>
            <w:tcBorders>
              <w:top w:val="nil"/>
              <w:left w:val="nil"/>
              <w:bottom w:val="nil"/>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26</w:t>
            </w:r>
          </w:p>
        </w:tc>
        <w:tc>
          <w:tcPr>
            <w:tcW w:w="1507" w:type="dxa"/>
            <w:tcBorders>
              <w:top w:val="nil"/>
              <w:left w:val="nil"/>
              <w:bottom w:val="nil"/>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15</w:t>
            </w:r>
          </w:p>
        </w:tc>
      </w:tr>
      <w:tr w:rsidR="0096627F" w:rsidRPr="008E71FD" w:rsidTr="0096627F">
        <w:trPr>
          <w:trHeight w:val="249"/>
        </w:trPr>
        <w:tc>
          <w:tcPr>
            <w:tcW w:w="5519" w:type="dxa"/>
            <w:tcBorders>
              <w:top w:val="nil"/>
              <w:left w:val="single" w:sz="8" w:space="0" w:color="auto"/>
              <w:bottom w:val="single" w:sz="8" w:space="0" w:color="auto"/>
              <w:right w:val="single" w:sz="8" w:space="0" w:color="auto"/>
            </w:tcBorders>
            <w:shd w:val="clear" w:color="auto" w:fill="auto"/>
            <w:vAlign w:val="bottom"/>
            <w:hideMark/>
          </w:tcPr>
          <w:p w:rsidR="0096627F" w:rsidRPr="00C52721" w:rsidRDefault="0096627F" w:rsidP="0096627F">
            <w:pPr>
              <w:rPr>
                <w:rFonts w:ascii="Arial" w:hAnsi="Arial" w:cs="Arial"/>
                <w:color w:val="000000"/>
                <w:sz w:val="16"/>
                <w:szCs w:val="16"/>
                <w:lang w:val="es-ES_tradnl"/>
              </w:rPr>
            </w:pPr>
            <w:r w:rsidRPr="00717B62">
              <w:rPr>
                <w:rFonts w:ascii="Arial" w:hAnsi="Arial" w:cs="Arial"/>
                <w:sz w:val="16"/>
                <w:szCs w:val="16"/>
                <w:lang w:val="es-AR"/>
              </w:rPr>
              <w:t xml:space="preserve">Mcf de gas natural por día </w:t>
            </w:r>
          </w:p>
        </w:tc>
        <w:tc>
          <w:tcPr>
            <w:tcW w:w="1507" w:type="dxa"/>
            <w:tcBorders>
              <w:top w:val="nil"/>
              <w:left w:val="nil"/>
              <w:bottom w:val="single" w:sz="8" w:space="0" w:color="auto"/>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2</w:t>
            </w:r>
            <w:r>
              <w:rPr>
                <w:rFonts w:ascii="Arial" w:hAnsi="Arial" w:cs="Arial"/>
                <w:color w:val="000000"/>
                <w:sz w:val="16"/>
                <w:szCs w:val="16"/>
              </w:rPr>
              <w:t>.</w:t>
            </w:r>
            <w:r w:rsidRPr="00C016BA">
              <w:rPr>
                <w:rFonts w:ascii="Arial" w:hAnsi="Arial" w:cs="Arial"/>
                <w:color w:val="000000"/>
                <w:sz w:val="16"/>
                <w:szCs w:val="16"/>
              </w:rPr>
              <w:t>270</w:t>
            </w:r>
          </w:p>
        </w:tc>
        <w:tc>
          <w:tcPr>
            <w:tcW w:w="1507" w:type="dxa"/>
            <w:tcBorders>
              <w:top w:val="nil"/>
              <w:left w:val="nil"/>
              <w:bottom w:val="single" w:sz="8" w:space="0" w:color="auto"/>
              <w:right w:val="single" w:sz="8" w:space="0" w:color="auto"/>
            </w:tcBorders>
            <w:shd w:val="clear" w:color="auto" w:fill="auto"/>
            <w:vAlign w:val="bottom"/>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3</w:t>
            </w:r>
            <w:r>
              <w:rPr>
                <w:rFonts w:ascii="Arial" w:hAnsi="Arial" w:cs="Arial"/>
                <w:color w:val="000000"/>
                <w:sz w:val="16"/>
                <w:szCs w:val="16"/>
              </w:rPr>
              <w:t>.</w:t>
            </w:r>
            <w:r w:rsidRPr="00C016BA">
              <w:rPr>
                <w:rFonts w:ascii="Arial" w:hAnsi="Arial" w:cs="Arial"/>
                <w:color w:val="000000"/>
                <w:sz w:val="16"/>
                <w:szCs w:val="16"/>
              </w:rPr>
              <w:t>337</w:t>
            </w:r>
          </w:p>
        </w:tc>
      </w:tr>
      <w:tr w:rsidR="0096627F" w:rsidRPr="008E71FD" w:rsidTr="0096627F">
        <w:trPr>
          <w:trHeight w:val="249"/>
        </w:trPr>
        <w:tc>
          <w:tcPr>
            <w:tcW w:w="5519" w:type="dxa"/>
            <w:tcBorders>
              <w:top w:val="nil"/>
              <w:left w:val="single" w:sz="8" w:space="0" w:color="auto"/>
              <w:bottom w:val="single" w:sz="8" w:space="0" w:color="auto"/>
              <w:right w:val="single" w:sz="8" w:space="0" w:color="auto"/>
            </w:tcBorders>
            <w:shd w:val="clear" w:color="auto" w:fill="auto"/>
            <w:vAlign w:val="bottom"/>
            <w:hideMark/>
          </w:tcPr>
          <w:p w:rsidR="0096627F" w:rsidRPr="008E71FD" w:rsidRDefault="0096627F" w:rsidP="0096627F">
            <w:pPr>
              <w:rPr>
                <w:rFonts w:ascii="Arial" w:hAnsi="Arial" w:cs="Arial"/>
                <w:color w:val="000000"/>
                <w:sz w:val="16"/>
                <w:szCs w:val="16"/>
              </w:rPr>
            </w:pPr>
            <w:r w:rsidRPr="00717B62">
              <w:rPr>
                <w:rFonts w:ascii="Arial" w:hAnsi="Arial" w:cs="Arial"/>
                <w:sz w:val="16"/>
                <w:szCs w:val="16"/>
                <w:lang w:val="es-AR"/>
              </w:rPr>
              <w:t>Total BOE por día</w:t>
            </w:r>
          </w:p>
        </w:tc>
        <w:tc>
          <w:tcPr>
            <w:tcW w:w="1507" w:type="dxa"/>
            <w:tcBorders>
              <w:top w:val="nil"/>
              <w:left w:val="nil"/>
              <w:bottom w:val="single" w:sz="8" w:space="0" w:color="auto"/>
              <w:right w:val="single" w:sz="8" w:space="0" w:color="auto"/>
            </w:tcBorders>
            <w:shd w:val="clear" w:color="auto" w:fill="auto"/>
            <w:vAlign w:val="center"/>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1</w:t>
            </w:r>
            <w:r>
              <w:rPr>
                <w:rFonts w:ascii="Arial" w:hAnsi="Arial" w:cs="Arial"/>
                <w:color w:val="000000"/>
                <w:sz w:val="16"/>
                <w:szCs w:val="16"/>
              </w:rPr>
              <w:t>.</w:t>
            </w:r>
            <w:r w:rsidRPr="00C016BA">
              <w:rPr>
                <w:rFonts w:ascii="Arial" w:hAnsi="Arial" w:cs="Arial"/>
                <w:color w:val="000000"/>
                <w:sz w:val="16"/>
                <w:szCs w:val="16"/>
              </w:rPr>
              <w:t>302</w:t>
            </w:r>
          </w:p>
        </w:tc>
        <w:tc>
          <w:tcPr>
            <w:tcW w:w="1507" w:type="dxa"/>
            <w:tcBorders>
              <w:top w:val="nil"/>
              <w:left w:val="nil"/>
              <w:bottom w:val="single" w:sz="8" w:space="0" w:color="auto"/>
              <w:right w:val="single" w:sz="8" w:space="0" w:color="auto"/>
            </w:tcBorders>
            <w:shd w:val="clear" w:color="auto" w:fill="auto"/>
            <w:vAlign w:val="center"/>
            <w:hideMark/>
          </w:tcPr>
          <w:p w:rsidR="0096627F" w:rsidRPr="008E71FD" w:rsidRDefault="0096627F" w:rsidP="0096627F">
            <w:pPr>
              <w:jc w:val="right"/>
              <w:rPr>
                <w:rFonts w:ascii="Arial" w:hAnsi="Arial" w:cs="Arial"/>
                <w:color w:val="000000"/>
                <w:sz w:val="16"/>
                <w:szCs w:val="16"/>
              </w:rPr>
            </w:pPr>
            <w:r w:rsidRPr="00C016BA">
              <w:rPr>
                <w:rFonts w:ascii="Arial" w:hAnsi="Arial" w:cs="Arial"/>
                <w:color w:val="000000"/>
                <w:sz w:val="16"/>
                <w:szCs w:val="16"/>
              </w:rPr>
              <w:t>1</w:t>
            </w:r>
            <w:r>
              <w:rPr>
                <w:rFonts w:ascii="Arial" w:hAnsi="Arial" w:cs="Arial"/>
                <w:color w:val="000000"/>
                <w:sz w:val="16"/>
                <w:szCs w:val="16"/>
              </w:rPr>
              <w:t>.</w:t>
            </w:r>
            <w:r w:rsidRPr="00C016BA">
              <w:rPr>
                <w:rFonts w:ascii="Arial" w:hAnsi="Arial" w:cs="Arial"/>
                <w:color w:val="000000"/>
                <w:sz w:val="16"/>
                <w:szCs w:val="16"/>
              </w:rPr>
              <w:t>566</w:t>
            </w:r>
          </w:p>
        </w:tc>
      </w:tr>
    </w:tbl>
    <w:p w:rsidR="00C52721" w:rsidRDefault="00C52721" w:rsidP="00C52721">
      <w:pPr>
        <w:rPr>
          <w:rFonts w:ascii="Arial" w:hAnsi="Arial" w:cs="Arial"/>
          <w:b/>
          <w:sz w:val="20"/>
          <w:szCs w:val="20"/>
          <w:lang w:val="en-CA"/>
        </w:rPr>
      </w:pPr>
    </w:p>
    <w:p w:rsidR="00C52721" w:rsidRDefault="00C52721" w:rsidP="00C52721">
      <w:pPr>
        <w:spacing w:before="240" w:after="120"/>
        <w:rPr>
          <w:rFonts w:ascii="Arial" w:hAnsi="Arial" w:cs="Arial"/>
          <w:bCs/>
          <w:sz w:val="18"/>
          <w:szCs w:val="18"/>
          <w:vertAlign w:val="superscript"/>
          <w:lang w:val="en-CA"/>
        </w:rPr>
      </w:pPr>
      <w:r>
        <w:rPr>
          <w:rFonts w:ascii="Arial" w:hAnsi="Arial" w:cs="Arial"/>
          <w:b/>
          <w:sz w:val="18"/>
          <w:szCs w:val="18"/>
          <w:lang w:val="en-CA"/>
        </w:rPr>
        <w:t xml:space="preserve">Netback Operativo </w:t>
      </w:r>
      <w:r w:rsidR="009D4B81">
        <w:rPr>
          <w:rFonts w:ascii="Arial" w:hAnsi="Arial" w:cs="Arial"/>
          <w:bCs/>
          <w:sz w:val="18"/>
          <w:szCs w:val="18"/>
          <w:vertAlign w:val="superscript"/>
          <w:lang w:val="en-CA"/>
        </w:rPr>
        <w:t>(1)</w:t>
      </w:r>
    </w:p>
    <w:tbl>
      <w:tblPr>
        <w:tblW w:w="4564" w:type="pct"/>
        <w:tblInd w:w="-20" w:type="dxa"/>
        <w:tblLayout w:type="fixed"/>
        <w:tblLook w:val="04A0" w:firstRow="1" w:lastRow="0" w:firstColumn="1" w:lastColumn="0" w:noHBand="0" w:noVBand="1"/>
      </w:tblPr>
      <w:tblGrid>
        <w:gridCol w:w="2907"/>
        <w:gridCol w:w="1367"/>
        <w:gridCol w:w="1435"/>
        <w:gridCol w:w="1403"/>
        <w:gridCol w:w="1432"/>
      </w:tblGrid>
      <w:tr w:rsidR="0096627F" w:rsidRPr="00460347" w:rsidTr="0096627F">
        <w:tc>
          <w:tcPr>
            <w:tcW w:w="1701" w:type="pct"/>
            <w:tcBorders>
              <w:top w:val="single" w:sz="12" w:space="0" w:color="auto"/>
              <w:left w:val="single" w:sz="4" w:space="0" w:color="auto"/>
              <w:right w:val="single" w:sz="4" w:space="0" w:color="auto"/>
            </w:tcBorders>
            <w:vAlign w:val="bottom"/>
          </w:tcPr>
          <w:p w:rsidR="0096627F" w:rsidRPr="00BE55D4" w:rsidRDefault="0096627F" w:rsidP="00BE55D4">
            <w:pPr>
              <w:rPr>
                <w:rFonts w:ascii="Arial" w:hAnsi="Arial" w:cs="Arial"/>
                <w:b/>
                <w:bCs/>
                <w:sz w:val="16"/>
                <w:szCs w:val="16"/>
                <w:lang w:val="en-CA"/>
              </w:rPr>
            </w:pPr>
          </w:p>
        </w:tc>
        <w:tc>
          <w:tcPr>
            <w:tcW w:w="3299" w:type="pct"/>
            <w:gridSpan w:val="4"/>
            <w:tcBorders>
              <w:top w:val="single" w:sz="12" w:space="0" w:color="auto"/>
              <w:left w:val="single" w:sz="4" w:space="0" w:color="auto"/>
              <w:right w:val="single" w:sz="4" w:space="0" w:color="auto"/>
            </w:tcBorders>
            <w:vAlign w:val="bottom"/>
          </w:tcPr>
          <w:p w:rsidR="0096627F" w:rsidRPr="00BE55D4" w:rsidRDefault="0096627F" w:rsidP="00BE55D4">
            <w:pPr>
              <w:widowControl w:val="0"/>
              <w:spacing w:before="60"/>
              <w:jc w:val="center"/>
              <w:rPr>
                <w:rFonts w:ascii="Arial" w:hAnsi="Arial" w:cs="Arial"/>
                <w:b/>
                <w:bCs/>
                <w:sz w:val="16"/>
                <w:szCs w:val="16"/>
                <w:lang w:val="es-ES_tradnl"/>
              </w:rPr>
            </w:pPr>
            <w:r w:rsidRPr="00BE55D4">
              <w:rPr>
                <w:rFonts w:ascii="Arial" w:hAnsi="Arial" w:cs="Arial"/>
                <w:b/>
                <w:bCs/>
                <w:sz w:val="16"/>
                <w:szCs w:val="16"/>
                <w:lang w:val="es-ES_tradnl"/>
              </w:rPr>
              <w:t>Período de tres meses finalizado el</w:t>
            </w:r>
          </w:p>
        </w:tc>
      </w:tr>
      <w:tr w:rsidR="0096627F" w:rsidRPr="00BE55D4" w:rsidTr="0096627F">
        <w:tc>
          <w:tcPr>
            <w:tcW w:w="1701" w:type="pct"/>
            <w:tcBorders>
              <w:left w:val="single" w:sz="4" w:space="0" w:color="auto"/>
              <w:right w:val="single" w:sz="4" w:space="0" w:color="auto"/>
            </w:tcBorders>
            <w:vAlign w:val="bottom"/>
          </w:tcPr>
          <w:p w:rsidR="0096627F" w:rsidRPr="00460347" w:rsidRDefault="0096627F" w:rsidP="00BE55D4">
            <w:pPr>
              <w:rPr>
                <w:rFonts w:ascii="Arial" w:hAnsi="Arial" w:cs="Arial"/>
                <w:bCs/>
                <w:sz w:val="16"/>
                <w:szCs w:val="16"/>
                <w:lang w:val="es-ES_tradnl"/>
              </w:rPr>
            </w:pPr>
          </w:p>
        </w:tc>
        <w:tc>
          <w:tcPr>
            <w:tcW w:w="3299" w:type="pct"/>
            <w:gridSpan w:val="4"/>
            <w:tcBorders>
              <w:left w:val="single" w:sz="4" w:space="0" w:color="auto"/>
              <w:bottom w:val="single" w:sz="4" w:space="0" w:color="auto"/>
              <w:right w:val="single" w:sz="4" w:space="0" w:color="auto"/>
            </w:tcBorders>
            <w:vAlign w:val="bottom"/>
          </w:tcPr>
          <w:p w:rsidR="0096627F" w:rsidRPr="00BE55D4" w:rsidRDefault="0096627F" w:rsidP="0096627F">
            <w:pPr>
              <w:widowControl w:val="0"/>
              <w:jc w:val="center"/>
              <w:rPr>
                <w:rFonts w:ascii="Arial" w:hAnsi="Arial" w:cs="Arial"/>
                <w:b/>
                <w:bCs/>
                <w:sz w:val="16"/>
                <w:szCs w:val="16"/>
                <w:lang w:val="en-CA"/>
              </w:rPr>
            </w:pPr>
            <w:r w:rsidRPr="00BE55D4">
              <w:rPr>
                <w:rFonts w:ascii="Arial" w:hAnsi="Arial" w:cs="Arial"/>
                <w:b/>
                <w:bCs/>
                <w:sz w:val="16"/>
                <w:szCs w:val="16"/>
                <w:lang w:val="en-CA"/>
              </w:rPr>
              <w:t>31</w:t>
            </w:r>
            <w:r>
              <w:rPr>
                <w:rFonts w:ascii="Arial" w:hAnsi="Arial" w:cs="Arial"/>
                <w:b/>
                <w:bCs/>
                <w:sz w:val="16"/>
                <w:szCs w:val="16"/>
                <w:lang w:val="en-CA"/>
              </w:rPr>
              <w:t xml:space="preserve"> de marzo de</w:t>
            </w:r>
          </w:p>
        </w:tc>
      </w:tr>
      <w:tr w:rsidR="0096627F" w:rsidRPr="00BE55D4" w:rsidTr="0096627F">
        <w:tc>
          <w:tcPr>
            <w:tcW w:w="1701" w:type="pct"/>
            <w:tcBorders>
              <w:left w:val="single" w:sz="4" w:space="0" w:color="auto"/>
              <w:right w:val="single" w:sz="4" w:space="0" w:color="auto"/>
            </w:tcBorders>
            <w:vAlign w:val="bottom"/>
          </w:tcPr>
          <w:p w:rsidR="0096627F" w:rsidRPr="00BE55D4" w:rsidRDefault="0096627F" w:rsidP="00BE55D4">
            <w:pPr>
              <w:rPr>
                <w:rFonts w:ascii="Arial" w:hAnsi="Arial" w:cs="Arial"/>
                <w:bCs/>
                <w:sz w:val="16"/>
                <w:szCs w:val="16"/>
                <w:lang w:val="en-CA"/>
              </w:rPr>
            </w:pPr>
          </w:p>
        </w:tc>
        <w:tc>
          <w:tcPr>
            <w:tcW w:w="1639" w:type="pct"/>
            <w:gridSpan w:val="2"/>
            <w:tcBorders>
              <w:top w:val="single" w:sz="4" w:space="0" w:color="auto"/>
              <w:left w:val="single" w:sz="4" w:space="0" w:color="auto"/>
              <w:right w:val="single" w:sz="4" w:space="0" w:color="auto"/>
            </w:tcBorders>
            <w:vAlign w:val="bottom"/>
          </w:tcPr>
          <w:p w:rsidR="0096627F" w:rsidRPr="00BE55D4" w:rsidRDefault="0096627F" w:rsidP="00BE55D4">
            <w:pPr>
              <w:widowControl w:val="0"/>
              <w:jc w:val="center"/>
              <w:rPr>
                <w:rFonts w:ascii="Arial" w:hAnsi="Arial" w:cs="Arial"/>
                <w:b/>
                <w:bCs/>
                <w:sz w:val="16"/>
                <w:szCs w:val="16"/>
                <w:lang w:val="en-CA"/>
              </w:rPr>
            </w:pPr>
            <w:r>
              <w:rPr>
                <w:rFonts w:ascii="Arial" w:hAnsi="Arial" w:cs="Arial"/>
                <w:b/>
                <w:bCs/>
                <w:sz w:val="16"/>
                <w:szCs w:val="16"/>
                <w:lang w:val="en-CA"/>
              </w:rPr>
              <w:t>2024</w:t>
            </w:r>
          </w:p>
        </w:tc>
        <w:tc>
          <w:tcPr>
            <w:tcW w:w="1660" w:type="pct"/>
            <w:gridSpan w:val="2"/>
            <w:tcBorders>
              <w:top w:val="single" w:sz="4" w:space="0" w:color="auto"/>
              <w:left w:val="single" w:sz="4" w:space="0" w:color="auto"/>
              <w:right w:val="single" w:sz="4" w:space="0" w:color="auto"/>
            </w:tcBorders>
            <w:vAlign w:val="bottom"/>
          </w:tcPr>
          <w:p w:rsidR="0096627F" w:rsidRPr="00BE55D4" w:rsidRDefault="0096627F" w:rsidP="00BE55D4">
            <w:pPr>
              <w:widowControl w:val="0"/>
              <w:jc w:val="center"/>
              <w:rPr>
                <w:rFonts w:ascii="Arial" w:hAnsi="Arial" w:cs="Arial"/>
                <w:b/>
                <w:bCs/>
                <w:sz w:val="16"/>
                <w:szCs w:val="16"/>
                <w:lang w:val="en-CA"/>
              </w:rPr>
            </w:pPr>
            <w:r>
              <w:rPr>
                <w:rFonts w:ascii="Arial" w:hAnsi="Arial" w:cs="Arial"/>
                <w:b/>
                <w:bCs/>
                <w:sz w:val="16"/>
                <w:szCs w:val="16"/>
                <w:lang w:val="en-CA"/>
              </w:rPr>
              <w:t>2023</w:t>
            </w:r>
          </w:p>
        </w:tc>
      </w:tr>
      <w:tr w:rsidR="0096627F" w:rsidRPr="00BE55D4" w:rsidTr="0096627F">
        <w:tblPrEx>
          <w:tblLook w:val="01E0" w:firstRow="1" w:lastRow="1" w:firstColumn="1" w:lastColumn="1" w:noHBand="0" w:noVBand="0"/>
        </w:tblPrEx>
        <w:tc>
          <w:tcPr>
            <w:tcW w:w="1701" w:type="pct"/>
            <w:tcBorders>
              <w:top w:val="single" w:sz="4" w:space="0" w:color="auto"/>
              <w:left w:val="single" w:sz="4" w:space="0" w:color="auto"/>
              <w:right w:val="single" w:sz="4" w:space="0" w:color="auto"/>
            </w:tcBorders>
            <w:vAlign w:val="bottom"/>
          </w:tcPr>
          <w:p w:rsidR="0096627F" w:rsidRPr="00BE55D4" w:rsidRDefault="0096627F" w:rsidP="00BE55D4">
            <w:pPr>
              <w:rPr>
                <w:rFonts w:ascii="Arial" w:hAnsi="Arial" w:cs="Arial"/>
                <w:sz w:val="16"/>
                <w:szCs w:val="16"/>
                <w:lang w:val="en-CA"/>
              </w:rPr>
            </w:pPr>
          </w:p>
        </w:tc>
        <w:tc>
          <w:tcPr>
            <w:tcW w:w="800" w:type="pct"/>
            <w:tcBorders>
              <w:top w:val="single" w:sz="4" w:space="0" w:color="auto"/>
              <w:left w:val="single" w:sz="4" w:space="0" w:color="auto"/>
            </w:tcBorders>
            <w:shd w:val="clear" w:color="auto" w:fill="auto"/>
            <w:vAlign w:val="bottom"/>
          </w:tcPr>
          <w:p w:rsidR="0096627F" w:rsidRPr="00BE55D4" w:rsidRDefault="0096627F" w:rsidP="00BE55D4">
            <w:pPr>
              <w:ind w:left="-108"/>
              <w:rPr>
                <w:rFonts w:ascii="Arial" w:hAnsi="Arial" w:cs="Arial"/>
                <w:color w:val="000000"/>
                <w:sz w:val="16"/>
                <w:szCs w:val="16"/>
              </w:rPr>
            </w:pPr>
          </w:p>
        </w:tc>
        <w:tc>
          <w:tcPr>
            <w:tcW w:w="840" w:type="pct"/>
            <w:tcBorders>
              <w:top w:val="single" w:sz="4" w:space="0" w:color="auto"/>
              <w:right w:val="single" w:sz="4" w:space="0" w:color="auto"/>
            </w:tcBorders>
            <w:vAlign w:val="bottom"/>
          </w:tcPr>
          <w:p w:rsidR="0096627F" w:rsidRPr="00BE55D4" w:rsidRDefault="0096627F" w:rsidP="00BE55D4">
            <w:pPr>
              <w:widowControl w:val="0"/>
              <w:ind w:right="-86"/>
              <w:jc w:val="center"/>
              <w:rPr>
                <w:rFonts w:ascii="Arial" w:hAnsi="Arial" w:cs="Arial"/>
                <w:color w:val="000000"/>
                <w:sz w:val="16"/>
                <w:szCs w:val="16"/>
              </w:rPr>
            </w:pPr>
            <w:r w:rsidRPr="00BE55D4">
              <w:rPr>
                <w:rFonts w:ascii="Arial" w:hAnsi="Arial" w:cs="Arial"/>
                <w:color w:val="000000"/>
                <w:sz w:val="16"/>
                <w:szCs w:val="16"/>
              </w:rPr>
              <w:t>P</w:t>
            </w:r>
            <w:r>
              <w:rPr>
                <w:rFonts w:ascii="Arial" w:hAnsi="Arial" w:cs="Arial"/>
                <w:color w:val="000000"/>
                <w:sz w:val="16"/>
                <w:szCs w:val="16"/>
              </w:rPr>
              <w:t>o</w:t>
            </w:r>
            <w:r w:rsidRPr="00BE55D4">
              <w:rPr>
                <w:rFonts w:ascii="Arial" w:hAnsi="Arial" w:cs="Arial"/>
                <w:color w:val="000000"/>
                <w:sz w:val="16"/>
                <w:szCs w:val="16"/>
              </w:rPr>
              <w:t>r BOE</w:t>
            </w:r>
          </w:p>
        </w:tc>
        <w:tc>
          <w:tcPr>
            <w:tcW w:w="821" w:type="pct"/>
            <w:tcBorders>
              <w:top w:val="single" w:sz="4" w:space="0" w:color="auto"/>
              <w:left w:val="single" w:sz="4" w:space="0" w:color="auto"/>
            </w:tcBorders>
            <w:vAlign w:val="bottom"/>
          </w:tcPr>
          <w:p w:rsidR="0096627F" w:rsidRPr="00BE55D4" w:rsidRDefault="0096627F" w:rsidP="00BE55D4">
            <w:pPr>
              <w:ind w:left="-108"/>
              <w:jc w:val="center"/>
              <w:rPr>
                <w:rFonts w:ascii="Arial" w:hAnsi="Arial" w:cs="Arial"/>
                <w:color w:val="000000"/>
                <w:sz w:val="16"/>
                <w:szCs w:val="16"/>
              </w:rPr>
            </w:pPr>
          </w:p>
        </w:tc>
        <w:tc>
          <w:tcPr>
            <w:tcW w:w="838" w:type="pct"/>
            <w:tcBorders>
              <w:top w:val="single" w:sz="4" w:space="0" w:color="auto"/>
              <w:bottom w:val="single" w:sz="4" w:space="0" w:color="auto"/>
              <w:right w:val="single" w:sz="4" w:space="0" w:color="auto"/>
            </w:tcBorders>
            <w:vAlign w:val="bottom"/>
          </w:tcPr>
          <w:p w:rsidR="0096627F" w:rsidRPr="00BE55D4" w:rsidRDefault="0096627F" w:rsidP="00BE55D4">
            <w:pPr>
              <w:widowControl w:val="0"/>
              <w:ind w:right="-86"/>
              <w:jc w:val="center"/>
              <w:rPr>
                <w:rFonts w:ascii="Arial" w:hAnsi="Arial" w:cs="Arial"/>
                <w:color w:val="000000"/>
                <w:sz w:val="16"/>
                <w:szCs w:val="16"/>
              </w:rPr>
            </w:pPr>
            <w:r w:rsidRPr="00BE55D4">
              <w:rPr>
                <w:rFonts w:ascii="Arial" w:hAnsi="Arial" w:cs="Arial"/>
                <w:color w:val="000000"/>
                <w:sz w:val="16"/>
                <w:szCs w:val="16"/>
              </w:rPr>
              <w:t>P</w:t>
            </w:r>
            <w:r>
              <w:rPr>
                <w:rFonts w:ascii="Arial" w:hAnsi="Arial" w:cs="Arial"/>
                <w:color w:val="000000"/>
                <w:sz w:val="16"/>
                <w:szCs w:val="16"/>
              </w:rPr>
              <w:t>o</w:t>
            </w:r>
            <w:r w:rsidRPr="00BE55D4">
              <w:rPr>
                <w:rFonts w:ascii="Arial" w:hAnsi="Arial" w:cs="Arial"/>
                <w:color w:val="000000"/>
                <w:sz w:val="16"/>
                <w:szCs w:val="16"/>
              </w:rPr>
              <w:t>r BOE</w:t>
            </w:r>
          </w:p>
        </w:tc>
      </w:tr>
      <w:tr w:rsidR="0096627F" w:rsidRPr="00BE55D4" w:rsidTr="0096627F">
        <w:tblPrEx>
          <w:tblLook w:val="01E0" w:firstRow="1" w:lastRow="1" w:firstColumn="1" w:lastColumn="1" w:noHBand="0" w:noVBand="0"/>
        </w:tblPrEx>
        <w:trPr>
          <w:trHeight w:val="50"/>
        </w:trPr>
        <w:tc>
          <w:tcPr>
            <w:tcW w:w="1701" w:type="pct"/>
            <w:tcBorders>
              <w:top w:val="single" w:sz="4" w:space="0" w:color="auto"/>
              <w:left w:val="single" w:sz="4" w:space="0" w:color="auto"/>
              <w:right w:val="single" w:sz="4" w:space="0" w:color="auto"/>
            </w:tcBorders>
            <w:vAlign w:val="bottom"/>
          </w:tcPr>
          <w:p w:rsidR="0096627F" w:rsidRPr="00BE55D4" w:rsidRDefault="0096627F" w:rsidP="0096627F">
            <w:pPr>
              <w:rPr>
                <w:rFonts w:ascii="Arial" w:hAnsi="Arial" w:cs="Arial"/>
                <w:sz w:val="16"/>
                <w:szCs w:val="16"/>
                <w:lang w:val="es-ES_tradnl"/>
              </w:rPr>
            </w:pPr>
            <w:r w:rsidRPr="00717B62">
              <w:rPr>
                <w:rFonts w:ascii="Arial" w:hAnsi="Arial" w:cs="Arial"/>
                <w:sz w:val="16"/>
                <w:szCs w:val="16"/>
                <w:lang w:val="es-AR"/>
              </w:rPr>
              <w:t>Ingresos por ventas de petróleo y gas natural ($)</w:t>
            </w:r>
          </w:p>
        </w:tc>
        <w:tc>
          <w:tcPr>
            <w:tcW w:w="800" w:type="pct"/>
            <w:tcBorders>
              <w:top w:val="single" w:sz="4" w:space="0" w:color="auto"/>
              <w:left w:val="single" w:sz="4" w:space="0" w:color="auto"/>
            </w:tcBorders>
            <w:shd w:val="clear" w:color="auto" w:fill="auto"/>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6</w:t>
            </w:r>
            <w:r>
              <w:rPr>
                <w:rFonts w:ascii="Arial" w:hAnsi="Arial" w:cs="Arial"/>
                <w:color w:val="000000"/>
                <w:sz w:val="16"/>
                <w:szCs w:val="16"/>
              </w:rPr>
              <w:t>.</w:t>
            </w:r>
            <w:r w:rsidRPr="00C016BA">
              <w:rPr>
                <w:rFonts w:ascii="Arial" w:hAnsi="Arial" w:cs="Arial"/>
                <w:color w:val="000000"/>
                <w:sz w:val="16"/>
                <w:szCs w:val="16"/>
              </w:rPr>
              <w:t>101</w:t>
            </w:r>
            <w:r>
              <w:rPr>
                <w:rFonts w:ascii="Arial" w:hAnsi="Arial" w:cs="Arial"/>
                <w:color w:val="000000"/>
                <w:sz w:val="16"/>
                <w:szCs w:val="16"/>
              </w:rPr>
              <w:t>.</w:t>
            </w:r>
            <w:r w:rsidRPr="00C016BA">
              <w:rPr>
                <w:rFonts w:ascii="Arial" w:hAnsi="Arial" w:cs="Arial"/>
                <w:color w:val="000000"/>
                <w:sz w:val="16"/>
                <w:szCs w:val="16"/>
              </w:rPr>
              <w:t>086</w:t>
            </w:r>
          </w:p>
        </w:tc>
        <w:tc>
          <w:tcPr>
            <w:tcW w:w="840" w:type="pct"/>
            <w:tcBorders>
              <w:top w:val="single" w:sz="4" w:space="0" w:color="000000"/>
            </w:tcBorders>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51</w:t>
            </w:r>
            <w:r>
              <w:rPr>
                <w:rFonts w:ascii="Arial" w:hAnsi="Arial" w:cs="Arial"/>
                <w:color w:val="000000"/>
                <w:sz w:val="16"/>
                <w:szCs w:val="16"/>
              </w:rPr>
              <w:t>,</w:t>
            </w:r>
            <w:r w:rsidRPr="00C016BA">
              <w:rPr>
                <w:rFonts w:ascii="Arial" w:hAnsi="Arial" w:cs="Arial"/>
                <w:color w:val="000000"/>
                <w:sz w:val="16"/>
                <w:szCs w:val="16"/>
              </w:rPr>
              <w:t>49</w:t>
            </w:r>
          </w:p>
        </w:tc>
        <w:tc>
          <w:tcPr>
            <w:tcW w:w="821" w:type="pct"/>
            <w:tcBorders>
              <w:top w:val="single" w:sz="4" w:space="0" w:color="auto"/>
              <w:left w:val="single" w:sz="4" w:space="0" w:color="auto"/>
            </w:tcBorders>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7</w:t>
            </w:r>
            <w:r>
              <w:rPr>
                <w:rFonts w:ascii="Arial" w:hAnsi="Arial" w:cs="Arial"/>
                <w:color w:val="000000"/>
                <w:sz w:val="16"/>
                <w:szCs w:val="16"/>
              </w:rPr>
              <w:t>.</w:t>
            </w:r>
            <w:r w:rsidRPr="00C016BA">
              <w:rPr>
                <w:rFonts w:ascii="Arial" w:hAnsi="Arial" w:cs="Arial"/>
                <w:color w:val="000000"/>
                <w:sz w:val="16"/>
                <w:szCs w:val="16"/>
              </w:rPr>
              <w:t>100</w:t>
            </w:r>
            <w:r>
              <w:rPr>
                <w:rFonts w:ascii="Arial" w:hAnsi="Arial" w:cs="Arial"/>
                <w:color w:val="000000"/>
                <w:sz w:val="16"/>
                <w:szCs w:val="16"/>
              </w:rPr>
              <w:t>.</w:t>
            </w:r>
            <w:r w:rsidRPr="00C016BA">
              <w:rPr>
                <w:rFonts w:ascii="Arial" w:hAnsi="Arial" w:cs="Arial"/>
                <w:color w:val="000000"/>
                <w:sz w:val="16"/>
                <w:szCs w:val="16"/>
              </w:rPr>
              <w:t>558</w:t>
            </w:r>
          </w:p>
        </w:tc>
        <w:tc>
          <w:tcPr>
            <w:tcW w:w="838" w:type="pct"/>
            <w:tcBorders>
              <w:top w:val="single" w:sz="4" w:space="0" w:color="auto"/>
              <w:right w:val="single" w:sz="4" w:space="0" w:color="auto"/>
            </w:tcBorders>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50</w:t>
            </w:r>
            <w:r>
              <w:rPr>
                <w:rFonts w:ascii="Arial" w:hAnsi="Arial" w:cs="Arial"/>
                <w:color w:val="000000"/>
                <w:sz w:val="16"/>
                <w:szCs w:val="16"/>
              </w:rPr>
              <w:t>,</w:t>
            </w:r>
            <w:r w:rsidRPr="00C016BA">
              <w:rPr>
                <w:rFonts w:ascii="Arial" w:hAnsi="Arial" w:cs="Arial"/>
                <w:color w:val="000000"/>
                <w:sz w:val="16"/>
                <w:szCs w:val="16"/>
              </w:rPr>
              <w:t>38</w:t>
            </w:r>
          </w:p>
        </w:tc>
      </w:tr>
      <w:tr w:rsidR="0096627F" w:rsidRPr="00BE55D4" w:rsidTr="0096627F">
        <w:tblPrEx>
          <w:tblLook w:val="01E0" w:firstRow="1" w:lastRow="1" w:firstColumn="1" w:lastColumn="1" w:noHBand="0" w:noVBand="0"/>
        </w:tblPrEx>
        <w:tc>
          <w:tcPr>
            <w:tcW w:w="1701" w:type="pct"/>
            <w:tcBorders>
              <w:left w:val="single" w:sz="4" w:space="0" w:color="auto"/>
              <w:right w:val="single" w:sz="4" w:space="0" w:color="auto"/>
            </w:tcBorders>
            <w:vAlign w:val="bottom"/>
          </w:tcPr>
          <w:p w:rsidR="0096627F" w:rsidRPr="00BE55D4" w:rsidRDefault="0096627F" w:rsidP="0096627F">
            <w:pPr>
              <w:rPr>
                <w:rFonts w:ascii="Arial" w:hAnsi="Arial" w:cs="Arial"/>
                <w:sz w:val="16"/>
                <w:szCs w:val="16"/>
                <w:lang w:val="en-CA"/>
              </w:rPr>
            </w:pPr>
            <w:r w:rsidRPr="00717B62">
              <w:rPr>
                <w:rFonts w:ascii="Arial" w:hAnsi="Arial" w:cs="Arial"/>
                <w:sz w:val="16"/>
                <w:szCs w:val="16"/>
                <w:lang w:val="es-AR"/>
              </w:rPr>
              <w:t>Derechos de exportación ($)</w:t>
            </w:r>
          </w:p>
        </w:tc>
        <w:tc>
          <w:tcPr>
            <w:tcW w:w="800" w:type="pct"/>
            <w:tcBorders>
              <w:left w:val="single" w:sz="4" w:space="0" w:color="auto"/>
            </w:tcBorders>
            <w:shd w:val="clear" w:color="auto" w:fill="auto"/>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(152</w:t>
            </w:r>
            <w:r>
              <w:rPr>
                <w:rFonts w:ascii="Arial" w:hAnsi="Arial" w:cs="Arial"/>
                <w:color w:val="000000"/>
                <w:sz w:val="16"/>
                <w:szCs w:val="16"/>
              </w:rPr>
              <w:t>.</w:t>
            </w:r>
            <w:r w:rsidRPr="00C016BA">
              <w:rPr>
                <w:rFonts w:ascii="Arial" w:hAnsi="Arial" w:cs="Arial"/>
                <w:color w:val="000000"/>
                <w:sz w:val="16"/>
                <w:szCs w:val="16"/>
              </w:rPr>
              <w:t>016)</w:t>
            </w:r>
          </w:p>
        </w:tc>
        <w:tc>
          <w:tcPr>
            <w:tcW w:w="840" w:type="pct"/>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(1</w:t>
            </w:r>
            <w:r>
              <w:rPr>
                <w:rFonts w:ascii="Arial" w:hAnsi="Arial" w:cs="Arial"/>
                <w:color w:val="000000"/>
                <w:sz w:val="16"/>
                <w:szCs w:val="16"/>
              </w:rPr>
              <w:t>,</w:t>
            </w:r>
            <w:r w:rsidRPr="00C016BA">
              <w:rPr>
                <w:rFonts w:ascii="Arial" w:hAnsi="Arial" w:cs="Arial"/>
                <w:color w:val="000000"/>
                <w:sz w:val="16"/>
                <w:szCs w:val="16"/>
              </w:rPr>
              <w:t>28)</w:t>
            </w:r>
          </w:p>
        </w:tc>
        <w:tc>
          <w:tcPr>
            <w:tcW w:w="821" w:type="pct"/>
            <w:tcBorders>
              <w:left w:val="single" w:sz="4" w:space="0" w:color="auto"/>
            </w:tcBorders>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(138</w:t>
            </w:r>
            <w:r>
              <w:rPr>
                <w:rFonts w:ascii="Arial" w:hAnsi="Arial" w:cs="Arial"/>
                <w:color w:val="000000"/>
                <w:sz w:val="16"/>
                <w:szCs w:val="16"/>
              </w:rPr>
              <w:t>.</w:t>
            </w:r>
            <w:r w:rsidRPr="00C016BA">
              <w:rPr>
                <w:rFonts w:ascii="Arial" w:hAnsi="Arial" w:cs="Arial"/>
                <w:color w:val="000000"/>
                <w:sz w:val="16"/>
                <w:szCs w:val="16"/>
              </w:rPr>
              <w:t>196)</w:t>
            </w:r>
          </w:p>
        </w:tc>
        <w:tc>
          <w:tcPr>
            <w:tcW w:w="838" w:type="pct"/>
            <w:tcBorders>
              <w:right w:val="single" w:sz="4" w:space="0" w:color="auto"/>
            </w:tcBorders>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(0</w:t>
            </w:r>
            <w:r>
              <w:rPr>
                <w:rFonts w:ascii="Arial" w:hAnsi="Arial" w:cs="Arial"/>
                <w:color w:val="000000"/>
                <w:sz w:val="16"/>
                <w:szCs w:val="16"/>
              </w:rPr>
              <w:t>,</w:t>
            </w:r>
            <w:r w:rsidRPr="00C016BA">
              <w:rPr>
                <w:rFonts w:ascii="Arial" w:hAnsi="Arial" w:cs="Arial"/>
                <w:color w:val="000000"/>
                <w:sz w:val="16"/>
                <w:szCs w:val="16"/>
              </w:rPr>
              <w:t>98)</w:t>
            </w:r>
          </w:p>
        </w:tc>
      </w:tr>
      <w:tr w:rsidR="0096627F" w:rsidRPr="00BE55D4" w:rsidTr="0096627F">
        <w:tblPrEx>
          <w:tblLook w:val="01E0" w:firstRow="1" w:lastRow="1" w:firstColumn="1" w:lastColumn="1" w:noHBand="0" w:noVBand="0"/>
        </w:tblPrEx>
        <w:tc>
          <w:tcPr>
            <w:tcW w:w="1701" w:type="pct"/>
            <w:tcBorders>
              <w:left w:val="single" w:sz="4" w:space="0" w:color="auto"/>
              <w:right w:val="single" w:sz="4" w:space="0" w:color="auto"/>
            </w:tcBorders>
            <w:vAlign w:val="bottom"/>
          </w:tcPr>
          <w:p w:rsidR="0096627F" w:rsidRPr="00BE55D4" w:rsidRDefault="0096627F" w:rsidP="0096627F">
            <w:pPr>
              <w:rPr>
                <w:rFonts w:ascii="Arial" w:hAnsi="Arial" w:cs="Arial"/>
                <w:sz w:val="16"/>
                <w:szCs w:val="16"/>
                <w:lang w:val="es-ES_tradnl"/>
              </w:rPr>
            </w:pPr>
            <w:r w:rsidRPr="00717B62">
              <w:rPr>
                <w:rFonts w:ascii="Arial" w:hAnsi="Arial" w:cs="Arial"/>
                <w:sz w:val="16"/>
                <w:szCs w:val="16"/>
                <w:lang w:val="es-AR"/>
              </w:rPr>
              <w:t>Regalías e impuesto a los ingresos brutos ($)</w:t>
            </w:r>
          </w:p>
        </w:tc>
        <w:tc>
          <w:tcPr>
            <w:tcW w:w="800" w:type="pct"/>
            <w:tcBorders>
              <w:left w:val="single" w:sz="4" w:space="0" w:color="auto"/>
            </w:tcBorders>
            <w:shd w:val="clear" w:color="auto" w:fill="auto"/>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(1</w:t>
            </w:r>
            <w:r>
              <w:rPr>
                <w:rFonts w:ascii="Arial" w:hAnsi="Arial" w:cs="Arial"/>
                <w:color w:val="000000"/>
                <w:sz w:val="16"/>
                <w:szCs w:val="16"/>
              </w:rPr>
              <w:t>.</w:t>
            </w:r>
            <w:r w:rsidRPr="00C016BA">
              <w:rPr>
                <w:rFonts w:ascii="Arial" w:hAnsi="Arial" w:cs="Arial"/>
                <w:color w:val="000000"/>
                <w:sz w:val="16"/>
                <w:szCs w:val="16"/>
              </w:rPr>
              <w:t>016</w:t>
            </w:r>
            <w:r>
              <w:rPr>
                <w:rFonts w:ascii="Arial" w:hAnsi="Arial" w:cs="Arial"/>
                <w:color w:val="000000"/>
                <w:sz w:val="16"/>
                <w:szCs w:val="16"/>
              </w:rPr>
              <w:t>.</w:t>
            </w:r>
            <w:r w:rsidRPr="00C016BA">
              <w:rPr>
                <w:rFonts w:ascii="Arial" w:hAnsi="Arial" w:cs="Arial"/>
                <w:color w:val="000000"/>
                <w:sz w:val="16"/>
                <w:szCs w:val="16"/>
              </w:rPr>
              <w:t>422)</w:t>
            </w:r>
          </w:p>
        </w:tc>
        <w:tc>
          <w:tcPr>
            <w:tcW w:w="840" w:type="pct"/>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(8</w:t>
            </w:r>
            <w:r>
              <w:rPr>
                <w:rFonts w:ascii="Arial" w:hAnsi="Arial" w:cs="Arial"/>
                <w:color w:val="000000"/>
                <w:sz w:val="16"/>
                <w:szCs w:val="16"/>
              </w:rPr>
              <w:t>,</w:t>
            </w:r>
            <w:r w:rsidRPr="00C016BA">
              <w:rPr>
                <w:rFonts w:ascii="Arial" w:hAnsi="Arial" w:cs="Arial"/>
                <w:color w:val="000000"/>
                <w:sz w:val="16"/>
                <w:szCs w:val="16"/>
              </w:rPr>
              <w:t>58)</w:t>
            </w:r>
          </w:p>
        </w:tc>
        <w:tc>
          <w:tcPr>
            <w:tcW w:w="821" w:type="pct"/>
            <w:tcBorders>
              <w:left w:val="single" w:sz="4" w:space="0" w:color="auto"/>
            </w:tcBorders>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(1</w:t>
            </w:r>
            <w:r>
              <w:rPr>
                <w:rFonts w:ascii="Arial" w:hAnsi="Arial" w:cs="Arial"/>
                <w:color w:val="000000"/>
                <w:sz w:val="16"/>
                <w:szCs w:val="16"/>
              </w:rPr>
              <w:t>.</w:t>
            </w:r>
            <w:r w:rsidRPr="00C016BA">
              <w:rPr>
                <w:rFonts w:ascii="Arial" w:hAnsi="Arial" w:cs="Arial"/>
                <w:color w:val="000000"/>
                <w:sz w:val="16"/>
                <w:szCs w:val="16"/>
              </w:rPr>
              <w:t>108</w:t>
            </w:r>
            <w:r>
              <w:rPr>
                <w:rFonts w:ascii="Arial" w:hAnsi="Arial" w:cs="Arial"/>
                <w:color w:val="000000"/>
                <w:sz w:val="16"/>
                <w:szCs w:val="16"/>
              </w:rPr>
              <w:t>.</w:t>
            </w:r>
            <w:r w:rsidRPr="00C016BA">
              <w:rPr>
                <w:rFonts w:ascii="Arial" w:hAnsi="Arial" w:cs="Arial"/>
                <w:color w:val="000000"/>
                <w:sz w:val="16"/>
                <w:szCs w:val="16"/>
              </w:rPr>
              <w:t>697)</w:t>
            </w:r>
          </w:p>
        </w:tc>
        <w:tc>
          <w:tcPr>
            <w:tcW w:w="838" w:type="pct"/>
            <w:tcBorders>
              <w:right w:val="single" w:sz="4" w:space="0" w:color="auto"/>
            </w:tcBorders>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(7</w:t>
            </w:r>
            <w:r>
              <w:rPr>
                <w:rFonts w:ascii="Arial" w:hAnsi="Arial" w:cs="Arial"/>
                <w:color w:val="000000"/>
                <w:sz w:val="16"/>
                <w:szCs w:val="16"/>
              </w:rPr>
              <w:t>,</w:t>
            </w:r>
            <w:r w:rsidRPr="00C016BA">
              <w:rPr>
                <w:rFonts w:ascii="Arial" w:hAnsi="Arial" w:cs="Arial"/>
                <w:color w:val="000000"/>
                <w:sz w:val="16"/>
                <w:szCs w:val="16"/>
              </w:rPr>
              <w:t>87)</w:t>
            </w:r>
          </w:p>
        </w:tc>
      </w:tr>
      <w:tr w:rsidR="0096627F" w:rsidRPr="00BE55D4" w:rsidTr="0096627F">
        <w:tblPrEx>
          <w:tblLook w:val="01E0" w:firstRow="1" w:lastRow="1" w:firstColumn="1" w:lastColumn="1" w:noHBand="0" w:noVBand="0"/>
        </w:tblPrEx>
        <w:tc>
          <w:tcPr>
            <w:tcW w:w="1701" w:type="pct"/>
            <w:tcBorders>
              <w:left w:val="single" w:sz="4" w:space="0" w:color="auto"/>
              <w:bottom w:val="single" w:sz="4" w:space="0" w:color="auto"/>
              <w:right w:val="single" w:sz="4" w:space="0" w:color="auto"/>
            </w:tcBorders>
            <w:vAlign w:val="bottom"/>
          </w:tcPr>
          <w:p w:rsidR="0096627F" w:rsidRPr="00BE55D4" w:rsidRDefault="0096627F" w:rsidP="0096627F">
            <w:pPr>
              <w:rPr>
                <w:rFonts w:ascii="Arial" w:hAnsi="Arial" w:cs="Arial"/>
                <w:sz w:val="16"/>
                <w:szCs w:val="16"/>
                <w:lang w:val="en-CA"/>
              </w:rPr>
            </w:pPr>
            <w:r w:rsidRPr="00717B62">
              <w:rPr>
                <w:rFonts w:ascii="Arial" w:hAnsi="Arial" w:cs="Arial"/>
                <w:sz w:val="16"/>
                <w:szCs w:val="16"/>
                <w:lang w:val="es-AR"/>
              </w:rPr>
              <w:t>Costos operativos ($)</w:t>
            </w:r>
          </w:p>
        </w:tc>
        <w:tc>
          <w:tcPr>
            <w:tcW w:w="800" w:type="pct"/>
            <w:tcBorders>
              <w:left w:val="single" w:sz="4" w:space="0" w:color="auto"/>
              <w:bottom w:val="single" w:sz="4" w:space="0" w:color="auto"/>
            </w:tcBorders>
            <w:shd w:val="clear" w:color="auto" w:fill="auto"/>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(4</w:t>
            </w:r>
            <w:r>
              <w:rPr>
                <w:rFonts w:ascii="Arial" w:hAnsi="Arial" w:cs="Arial"/>
                <w:color w:val="000000"/>
                <w:sz w:val="16"/>
                <w:szCs w:val="16"/>
              </w:rPr>
              <w:t>.</w:t>
            </w:r>
            <w:r w:rsidRPr="00C016BA">
              <w:rPr>
                <w:rFonts w:ascii="Arial" w:hAnsi="Arial" w:cs="Arial"/>
                <w:color w:val="000000"/>
                <w:sz w:val="16"/>
                <w:szCs w:val="16"/>
              </w:rPr>
              <w:t>252</w:t>
            </w:r>
            <w:r>
              <w:rPr>
                <w:rFonts w:ascii="Arial" w:hAnsi="Arial" w:cs="Arial"/>
                <w:color w:val="000000"/>
                <w:sz w:val="16"/>
                <w:szCs w:val="16"/>
              </w:rPr>
              <w:t>.</w:t>
            </w:r>
            <w:r w:rsidRPr="00C016BA">
              <w:rPr>
                <w:rFonts w:ascii="Arial" w:hAnsi="Arial" w:cs="Arial"/>
                <w:color w:val="000000"/>
                <w:sz w:val="16"/>
                <w:szCs w:val="16"/>
              </w:rPr>
              <w:t>711)</w:t>
            </w:r>
          </w:p>
        </w:tc>
        <w:tc>
          <w:tcPr>
            <w:tcW w:w="840" w:type="pct"/>
            <w:tcBorders>
              <w:bottom w:val="single" w:sz="4" w:space="0" w:color="000000"/>
            </w:tcBorders>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(35</w:t>
            </w:r>
            <w:r>
              <w:rPr>
                <w:rFonts w:ascii="Arial" w:hAnsi="Arial" w:cs="Arial"/>
                <w:color w:val="000000"/>
                <w:sz w:val="16"/>
                <w:szCs w:val="16"/>
              </w:rPr>
              <w:t>,</w:t>
            </w:r>
            <w:r w:rsidRPr="00C016BA">
              <w:rPr>
                <w:rFonts w:ascii="Arial" w:hAnsi="Arial" w:cs="Arial"/>
                <w:color w:val="000000"/>
                <w:sz w:val="16"/>
                <w:szCs w:val="16"/>
              </w:rPr>
              <w:t>89)</w:t>
            </w:r>
          </w:p>
        </w:tc>
        <w:tc>
          <w:tcPr>
            <w:tcW w:w="821" w:type="pct"/>
            <w:tcBorders>
              <w:left w:val="single" w:sz="4" w:space="0" w:color="auto"/>
              <w:bottom w:val="single" w:sz="4" w:space="0" w:color="auto"/>
            </w:tcBorders>
            <w:vAlign w:val="bottom"/>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(4</w:t>
            </w:r>
            <w:r>
              <w:rPr>
                <w:rFonts w:ascii="Arial" w:hAnsi="Arial" w:cs="Arial"/>
                <w:color w:val="000000"/>
                <w:sz w:val="16"/>
                <w:szCs w:val="16"/>
              </w:rPr>
              <w:t>.</w:t>
            </w:r>
            <w:r w:rsidRPr="00C016BA">
              <w:rPr>
                <w:rFonts w:ascii="Arial" w:hAnsi="Arial" w:cs="Arial"/>
                <w:color w:val="000000"/>
                <w:sz w:val="16"/>
                <w:szCs w:val="16"/>
              </w:rPr>
              <w:t>652</w:t>
            </w:r>
            <w:r>
              <w:rPr>
                <w:rFonts w:ascii="Arial" w:hAnsi="Arial" w:cs="Arial"/>
                <w:color w:val="000000"/>
                <w:sz w:val="16"/>
                <w:szCs w:val="16"/>
              </w:rPr>
              <w:t>.</w:t>
            </w:r>
            <w:r w:rsidRPr="00C016BA">
              <w:rPr>
                <w:rFonts w:ascii="Arial" w:hAnsi="Arial" w:cs="Arial"/>
                <w:color w:val="000000"/>
                <w:sz w:val="16"/>
                <w:szCs w:val="16"/>
              </w:rPr>
              <w:t>387)</w:t>
            </w:r>
          </w:p>
        </w:tc>
        <w:tc>
          <w:tcPr>
            <w:tcW w:w="838" w:type="pct"/>
            <w:tcBorders>
              <w:bottom w:val="single" w:sz="4" w:space="0" w:color="000000"/>
              <w:right w:val="single" w:sz="4" w:space="0" w:color="auto"/>
            </w:tcBorders>
            <w:vAlign w:val="bottom"/>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(33</w:t>
            </w:r>
            <w:r>
              <w:rPr>
                <w:rFonts w:ascii="Arial" w:hAnsi="Arial" w:cs="Arial"/>
                <w:color w:val="000000"/>
                <w:sz w:val="16"/>
                <w:szCs w:val="16"/>
              </w:rPr>
              <w:t>,</w:t>
            </w:r>
            <w:r w:rsidRPr="00C016BA">
              <w:rPr>
                <w:rFonts w:ascii="Arial" w:hAnsi="Arial" w:cs="Arial"/>
                <w:color w:val="000000"/>
                <w:sz w:val="16"/>
                <w:szCs w:val="16"/>
              </w:rPr>
              <w:t>01)</w:t>
            </w:r>
          </w:p>
        </w:tc>
      </w:tr>
      <w:tr w:rsidR="0096627F" w:rsidRPr="00BE55D4" w:rsidTr="0096627F">
        <w:tblPrEx>
          <w:tblLook w:val="01E0" w:firstRow="1" w:lastRow="1" w:firstColumn="1" w:lastColumn="1" w:noHBand="0" w:noVBand="0"/>
        </w:tblPrEx>
        <w:trPr>
          <w:trHeight w:val="287"/>
        </w:trPr>
        <w:tc>
          <w:tcPr>
            <w:tcW w:w="1701" w:type="pct"/>
            <w:tcBorders>
              <w:top w:val="single" w:sz="4" w:space="0" w:color="auto"/>
              <w:left w:val="single" w:sz="4" w:space="0" w:color="auto"/>
              <w:bottom w:val="single" w:sz="12" w:space="0" w:color="auto"/>
              <w:right w:val="single" w:sz="4" w:space="0" w:color="auto"/>
            </w:tcBorders>
            <w:vAlign w:val="bottom"/>
          </w:tcPr>
          <w:p w:rsidR="0096627F" w:rsidRPr="00BE55D4" w:rsidRDefault="0096627F" w:rsidP="0096627F">
            <w:pPr>
              <w:rPr>
                <w:rFonts w:ascii="Arial" w:hAnsi="Arial" w:cs="Arial"/>
                <w:sz w:val="16"/>
                <w:szCs w:val="16"/>
                <w:lang w:val="en-CA"/>
              </w:rPr>
            </w:pPr>
            <w:r w:rsidRPr="00717B62">
              <w:rPr>
                <w:rFonts w:ascii="Arial" w:hAnsi="Arial" w:cs="Arial"/>
                <w:sz w:val="16"/>
                <w:szCs w:val="16"/>
                <w:lang w:val="es-AR"/>
              </w:rPr>
              <w:t>Netback operativo </w:t>
            </w:r>
            <w:r w:rsidRPr="00717B62">
              <w:rPr>
                <w:rFonts w:ascii="Arial" w:hAnsi="Arial" w:cs="Arial"/>
                <w:sz w:val="16"/>
                <w:szCs w:val="16"/>
                <w:vertAlign w:val="superscript"/>
                <w:lang w:val="es-AR"/>
              </w:rPr>
              <w:t>(1)</w:t>
            </w:r>
            <w:r w:rsidRPr="00717B62">
              <w:rPr>
                <w:rFonts w:ascii="Arial" w:hAnsi="Arial" w:cs="Arial"/>
                <w:sz w:val="16"/>
                <w:szCs w:val="16"/>
                <w:lang w:val="es-AR"/>
              </w:rPr>
              <w:t> ($)</w:t>
            </w:r>
          </w:p>
        </w:tc>
        <w:tc>
          <w:tcPr>
            <w:tcW w:w="800" w:type="pct"/>
            <w:tcBorders>
              <w:top w:val="single" w:sz="4" w:space="0" w:color="auto"/>
              <w:left w:val="single" w:sz="4" w:space="0" w:color="auto"/>
              <w:bottom w:val="single" w:sz="12" w:space="0" w:color="auto"/>
            </w:tcBorders>
            <w:shd w:val="clear" w:color="auto" w:fill="auto"/>
            <w:vAlign w:val="center"/>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679</w:t>
            </w:r>
            <w:r>
              <w:rPr>
                <w:rFonts w:ascii="Arial" w:hAnsi="Arial" w:cs="Arial"/>
                <w:color w:val="000000"/>
                <w:sz w:val="16"/>
                <w:szCs w:val="16"/>
              </w:rPr>
              <w:t>.</w:t>
            </w:r>
            <w:r w:rsidRPr="00C016BA">
              <w:rPr>
                <w:rFonts w:ascii="Arial" w:hAnsi="Arial" w:cs="Arial"/>
                <w:color w:val="000000"/>
                <w:sz w:val="16"/>
                <w:szCs w:val="16"/>
              </w:rPr>
              <w:t>937</w:t>
            </w:r>
          </w:p>
        </w:tc>
        <w:tc>
          <w:tcPr>
            <w:tcW w:w="840" w:type="pct"/>
            <w:tcBorders>
              <w:top w:val="single" w:sz="4" w:space="0" w:color="000000"/>
              <w:bottom w:val="single" w:sz="12" w:space="0" w:color="000000"/>
            </w:tcBorders>
            <w:vAlign w:val="center"/>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5</w:t>
            </w:r>
            <w:r>
              <w:rPr>
                <w:rFonts w:ascii="Arial" w:hAnsi="Arial" w:cs="Arial"/>
                <w:color w:val="000000"/>
                <w:sz w:val="16"/>
                <w:szCs w:val="16"/>
              </w:rPr>
              <w:t>,</w:t>
            </w:r>
            <w:r w:rsidRPr="00C016BA">
              <w:rPr>
                <w:rFonts w:ascii="Arial" w:hAnsi="Arial" w:cs="Arial"/>
                <w:color w:val="000000"/>
                <w:sz w:val="16"/>
                <w:szCs w:val="16"/>
              </w:rPr>
              <w:t>74</w:t>
            </w:r>
          </w:p>
        </w:tc>
        <w:tc>
          <w:tcPr>
            <w:tcW w:w="821" w:type="pct"/>
            <w:tcBorders>
              <w:top w:val="single" w:sz="4" w:space="0" w:color="auto"/>
              <w:left w:val="single" w:sz="4" w:space="0" w:color="auto"/>
              <w:bottom w:val="single" w:sz="12" w:space="0" w:color="auto"/>
            </w:tcBorders>
            <w:vAlign w:val="center"/>
          </w:tcPr>
          <w:p w:rsidR="0096627F" w:rsidRPr="00BE55D4" w:rsidRDefault="0096627F" w:rsidP="0096627F">
            <w:pPr>
              <w:tabs>
                <w:tab w:val="decimal" w:pos="702"/>
              </w:tabs>
              <w:ind w:left="-108"/>
              <w:rPr>
                <w:rFonts w:ascii="Arial" w:hAnsi="Arial" w:cs="Arial"/>
                <w:color w:val="000000"/>
                <w:sz w:val="16"/>
                <w:szCs w:val="16"/>
              </w:rPr>
            </w:pPr>
            <w:r w:rsidRPr="00C016BA">
              <w:rPr>
                <w:rFonts w:ascii="Arial" w:hAnsi="Arial" w:cs="Arial"/>
                <w:color w:val="000000"/>
                <w:sz w:val="16"/>
                <w:szCs w:val="16"/>
              </w:rPr>
              <w:t>1</w:t>
            </w:r>
            <w:r>
              <w:rPr>
                <w:rFonts w:ascii="Arial" w:hAnsi="Arial" w:cs="Arial"/>
                <w:color w:val="000000"/>
                <w:sz w:val="16"/>
                <w:szCs w:val="16"/>
              </w:rPr>
              <w:t>.</w:t>
            </w:r>
            <w:r w:rsidRPr="00C016BA">
              <w:rPr>
                <w:rFonts w:ascii="Arial" w:hAnsi="Arial" w:cs="Arial"/>
                <w:color w:val="000000"/>
                <w:sz w:val="16"/>
                <w:szCs w:val="16"/>
              </w:rPr>
              <w:t>201</w:t>
            </w:r>
            <w:r>
              <w:rPr>
                <w:rFonts w:ascii="Arial" w:hAnsi="Arial" w:cs="Arial"/>
                <w:color w:val="000000"/>
                <w:sz w:val="16"/>
                <w:szCs w:val="16"/>
              </w:rPr>
              <w:t>.</w:t>
            </w:r>
            <w:r w:rsidRPr="00C016BA">
              <w:rPr>
                <w:rFonts w:ascii="Arial" w:hAnsi="Arial" w:cs="Arial"/>
                <w:color w:val="000000"/>
                <w:sz w:val="16"/>
                <w:szCs w:val="16"/>
              </w:rPr>
              <w:t>278</w:t>
            </w:r>
          </w:p>
        </w:tc>
        <w:tc>
          <w:tcPr>
            <w:tcW w:w="838" w:type="pct"/>
            <w:tcBorders>
              <w:top w:val="single" w:sz="4" w:space="0" w:color="000000"/>
              <w:bottom w:val="single" w:sz="12" w:space="0" w:color="000000"/>
              <w:right w:val="single" w:sz="4" w:space="0" w:color="auto"/>
            </w:tcBorders>
            <w:vAlign w:val="center"/>
          </w:tcPr>
          <w:p w:rsidR="0096627F" w:rsidRPr="00BE55D4" w:rsidRDefault="0096627F" w:rsidP="0096627F">
            <w:pPr>
              <w:widowControl w:val="0"/>
              <w:tabs>
                <w:tab w:val="decimal" w:pos="432"/>
              </w:tabs>
              <w:spacing w:line="240" w:lineRule="atLeast"/>
              <w:ind w:right="-86"/>
              <w:rPr>
                <w:rFonts w:ascii="Arial" w:hAnsi="Arial" w:cs="Arial"/>
                <w:color w:val="000000"/>
                <w:sz w:val="16"/>
                <w:szCs w:val="16"/>
              </w:rPr>
            </w:pPr>
            <w:r w:rsidRPr="00C016BA">
              <w:rPr>
                <w:rFonts w:ascii="Arial" w:hAnsi="Arial" w:cs="Arial"/>
                <w:color w:val="000000"/>
                <w:sz w:val="16"/>
                <w:szCs w:val="16"/>
              </w:rPr>
              <w:t>8</w:t>
            </w:r>
            <w:r>
              <w:rPr>
                <w:rFonts w:ascii="Arial" w:hAnsi="Arial" w:cs="Arial"/>
                <w:color w:val="000000"/>
                <w:sz w:val="16"/>
                <w:szCs w:val="16"/>
              </w:rPr>
              <w:t>,</w:t>
            </w:r>
            <w:r w:rsidRPr="00C016BA">
              <w:rPr>
                <w:rFonts w:ascii="Arial" w:hAnsi="Arial" w:cs="Arial"/>
                <w:color w:val="000000"/>
                <w:sz w:val="16"/>
                <w:szCs w:val="16"/>
              </w:rPr>
              <w:t>52</w:t>
            </w:r>
          </w:p>
        </w:tc>
      </w:tr>
      <w:tr w:rsidR="0096627F" w:rsidRPr="00BE55D4" w:rsidTr="0096627F">
        <w:tblPrEx>
          <w:tblLook w:val="01E0" w:firstRow="1" w:lastRow="1" w:firstColumn="1" w:lastColumn="1" w:noHBand="0" w:noVBand="0"/>
        </w:tblPrEx>
        <w:trPr>
          <w:trHeight w:val="78"/>
        </w:trPr>
        <w:tc>
          <w:tcPr>
            <w:tcW w:w="1701" w:type="pct"/>
            <w:tcBorders>
              <w:top w:val="single" w:sz="12" w:space="0" w:color="auto"/>
            </w:tcBorders>
            <w:vAlign w:val="bottom"/>
          </w:tcPr>
          <w:p w:rsidR="0096627F" w:rsidRPr="00BE55D4" w:rsidRDefault="0096627F" w:rsidP="00BE55D4">
            <w:pPr>
              <w:rPr>
                <w:rFonts w:ascii="Arial" w:hAnsi="Arial" w:cs="Arial"/>
                <w:sz w:val="4"/>
                <w:szCs w:val="4"/>
                <w:lang w:val="en-CA"/>
              </w:rPr>
            </w:pPr>
          </w:p>
        </w:tc>
        <w:tc>
          <w:tcPr>
            <w:tcW w:w="800" w:type="pct"/>
            <w:tcBorders>
              <w:top w:val="single" w:sz="12" w:space="0" w:color="auto"/>
            </w:tcBorders>
            <w:shd w:val="clear" w:color="auto" w:fill="auto"/>
            <w:vAlign w:val="bottom"/>
          </w:tcPr>
          <w:p w:rsidR="0096627F" w:rsidRPr="00BE55D4" w:rsidRDefault="0096627F" w:rsidP="00BE55D4">
            <w:pPr>
              <w:tabs>
                <w:tab w:val="decimal" w:pos="882"/>
              </w:tabs>
              <w:ind w:left="-108"/>
              <w:rPr>
                <w:rFonts w:ascii="Arial" w:hAnsi="Arial" w:cs="Arial"/>
                <w:color w:val="000000"/>
                <w:sz w:val="4"/>
                <w:szCs w:val="4"/>
              </w:rPr>
            </w:pPr>
          </w:p>
        </w:tc>
        <w:tc>
          <w:tcPr>
            <w:tcW w:w="840" w:type="pct"/>
            <w:tcBorders>
              <w:top w:val="single" w:sz="12" w:space="0" w:color="auto"/>
            </w:tcBorders>
            <w:vAlign w:val="bottom"/>
          </w:tcPr>
          <w:p w:rsidR="0096627F" w:rsidRPr="00BE55D4" w:rsidRDefault="0096627F" w:rsidP="00BE55D4">
            <w:pPr>
              <w:widowControl w:val="0"/>
              <w:tabs>
                <w:tab w:val="decimal" w:pos="252"/>
              </w:tabs>
              <w:ind w:right="-86"/>
              <w:rPr>
                <w:rFonts w:ascii="Arial" w:hAnsi="Arial" w:cs="Arial"/>
                <w:color w:val="000000"/>
                <w:sz w:val="4"/>
                <w:szCs w:val="4"/>
              </w:rPr>
            </w:pPr>
          </w:p>
        </w:tc>
        <w:tc>
          <w:tcPr>
            <w:tcW w:w="821" w:type="pct"/>
            <w:tcBorders>
              <w:top w:val="single" w:sz="12" w:space="0" w:color="auto"/>
            </w:tcBorders>
          </w:tcPr>
          <w:p w:rsidR="0096627F" w:rsidRPr="00BE55D4" w:rsidRDefault="0096627F" w:rsidP="00BE55D4">
            <w:pPr>
              <w:tabs>
                <w:tab w:val="decimal" w:pos="864"/>
              </w:tabs>
              <w:ind w:left="-108"/>
              <w:rPr>
                <w:rFonts w:ascii="Arial" w:hAnsi="Arial" w:cs="Arial"/>
                <w:color w:val="000000"/>
                <w:sz w:val="4"/>
                <w:szCs w:val="4"/>
              </w:rPr>
            </w:pPr>
          </w:p>
        </w:tc>
        <w:tc>
          <w:tcPr>
            <w:tcW w:w="838" w:type="pct"/>
            <w:tcBorders>
              <w:top w:val="single" w:sz="12" w:space="0" w:color="auto"/>
            </w:tcBorders>
            <w:vAlign w:val="bottom"/>
          </w:tcPr>
          <w:p w:rsidR="0096627F" w:rsidRPr="00BE55D4" w:rsidRDefault="0096627F" w:rsidP="00BE55D4">
            <w:pPr>
              <w:widowControl w:val="0"/>
              <w:tabs>
                <w:tab w:val="decimal" w:pos="252"/>
              </w:tabs>
              <w:ind w:right="-86"/>
              <w:rPr>
                <w:rFonts w:ascii="Arial" w:hAnsi="Arial" w:cs="Arial"/>
                <w:color w:val="000000"/>
                <w:sz w:val="4"/>
                <w:szCs w:val="4"/>
              </w:rPr>
            </w:pPr>
          </w:p>
        </w:tc>
      </w:tr>
    </w:tbl>
    <w:p w:rsidR="00AB3773" w:rsidRDefault="00570F49" w:rsidP="001402A6">
      <w:pPr>
        <w:widowControl w:val="0"/>
        <w:autoSpaceDE w:val="0"/>
        <w:autoSpaceDN w:val="0"/>
        <w:adjustRightInd w:val="0"/>
        <w:spacing w:before="40"/>
        <w:ind w:left="450" w:hanging="270"/>
        <w:jc w:val="both"/>
        <w:rPr>
          <w:rFonts w:ascii="Arial" w:hAnsi="Arial" w:cs="Arial"/>
          <w:sz w:val="16"/>
          <w:szCs w:val="16"/>
          <w:lang w:val="es-AR"/>
        </w:rPr>
      </w:pPr>
      <w:r w:rsidRPr="00717B62">
        <w:rPr>
          <w:rFonts w:ascii="Arial" w:hAnsi="Arial" w:cs="Arial"/>
          <w:sz w:val="18"/>
          <w:szCs w:val="18"/>
          <w:lang w:val="es-AR"/>
        </w:rPr>
        <w:t> </w:t>
      </w:r>
      <w:r w:rsidRPr="00717B62">
        <w:rPr>
          <w:rFonts w:ascii="Arial" w:hAnsi="Arial" w:cs="Arial"/>
          <w:sz w:val="18"/>
          <w:szCs w:val="18"/>
          <w:vertAlign w:val="superscript"/>
          <w:lang w:val="es-AR"/>
        </w:rPr>
        <w:t>(1) </w:t>
      </w:r>
      <w:r w:rsidRPr="00717B62">
        <w:rPr>
          <w:rFonts w:ascii="Arial" w:hAnsi="Arial" w:cs="Arial"/>
          <w:sz w:val="16"/>
          <w:szCs w:val="16"/>
          <w:lang w:val="es-AR"/>
        </w:rPr>
        <w:t> El “Netback operativo” es una medida no contemplada en las NIIF. El “Ne</w:t>
      </w:r>
      <w:r w:rsidR="00394AC6">
        <w:rPr>
          <w:rFonts w:ascii="Arial" w:hAnsi="Arial" w:cs="Arial"/>
          <w:sz w:val="16"/>
          <w:szCs w:val="16"/>
          <w:lang w:val="es-AR"/>
        </w:rPr>
        <w:t>tback operativo por BOE” es un índice no contemplado</w:t>
      </w:r>
      <w:r w:rsidRPr="00717B62">
        <w:rPr>
          <w:rFonts w:ascii="Arial" w:hAnsi="Arial" w:cs="Arial"/>
          <w:sz w:val="16"/>
          <w:szCs w:val="16"/>
          <w:lang w:val="es-AR"/>
        </w:rPr>
        <w:t xml:space="preserve"> en las NIIF. Véase "Medidas no contempladas en las NIIF y otras medidas financieras".</w:t>
      </w:r>
    </w:p>
    <w:p w:rsidR="00394AC6" w:rsidRDefault="00394AC6" w:rsidP="004E259A">
      <w:pPr>
        <w:widowControl w:val="0"/>
        <w:rPr>
          <w:rFonts w:ascii="Arial" w:hAnsi="Arial" w:cs="Arial"/>
          <w:sz w:val="20"/>
          <w:szCs w:val="20"/>
          <w:lang w:val="es-AR"/>
        </w:rPr>
      </w:pPr>
    </w:p>
    <w:p w:rsidR="004E259A" w:rsidRPr="00717B62" w:rsidRDefault="004E259A" w:rsidP="004E259A">
      <w:pPr>
        <w:widowControl w:val="0"/>
        <w:rPr>
          <w:rFonts w:ascii="Arial" w:hAnsi="Arial" w:cs="Arial"/>
          <w:sz w:val="20"/>
          <w:szCs w:val="20"/>
          <w:lang w:val="es-AR"/>
        </w:rPr>
      </w:pPr>
      <w:r w:rsidRPr="00717B62">
        <w:rPr>
          <w:rFonts w:ascii="Arial" w:hAnsi="Arial" w:cs="Arial"/>
          <w:sz w:val="20"/>
          <w:szCs w:val="20"/>
          <w:lang w:val="es-AR"/>
        </w:rPr>
        <w:t>Ante cualquier consulta, contactarse con:</w:t>
      </w:r>
    </w:p>
    <w:p w:rsidR="004E259A" w:rsidRPr="00717B62" w:rsidRDefault="004E259A" w:rsidP="004E259A">
      <w:pPr>
        <w:widowControl w:val="0"/>
        <w:spacing w:before="120"/>
        <w:outlineLvl w:val="0"/>
        <w:rPr>
          <w:rFonts w:ascii="Arial" w:hAnsi="Arial" w:cs="Arial"/>
          <w:sz w:val="20"/>
          <w:szCs w:val="20"/>
          <w:lang w:val="es-AR"/>
        </w:rPr>
      </w:pPr>
      <w:r w:rsidRPr="00717B62">
        <w:rPr>
          <w:rFonts w:ascii="Arial" w:hAnsi="Arial" w:cs="Arial"/>
          <w:sz w:val="20"/>
          <w:szCs w:val="20"/>
          <w:lang w:val="es-AR"/>
        </w:rPr>
        <w:t>Gabriel Obrador</w:t>
      </w:r>
      <w:r w:rsidRPr="00717B62">
        <w:rPr>
          <w:rFonts w:ascii="Arial" w:hAnsi="Arial" w:cs="Arial"/>
          <w:sz w:val="20"/>
          <w:szCs w:val="20"/>
          <w:lang w:val="es-AR"/>
        </w:rPr>
        <w:tab/>
        <w:t xml:space="preserve"> </w:t>
      </w:r>
      <w:r w:rsidRPr="00717B62">
        <w:rPr>
          <w:rFonts w:ascii="Arial" w:hAnsi="Arial" w:cs="Arial"/>
          <w:sz w:val="20"/>
          <w:szCs w:val="20"/>
          <w:lang w:val="es-AR"/>
        </w:rPr>
        <w:tab/>
      </w:r>
      <w:r w:rsidRPr="00717B62">
        <w:rPr>
          <w:rFonts w:ascii="Arial" w:hAnsi="Arial" w:cs="Arial"/>
          <w:sz w:val="20"/>
          <w:szCs w:val="20"/>
          <w:lang w:val="es-AR"/>
        </w:rPr>
        <w:tab/>
      </w:r>
      <w:r w:rsidRPr="00717B62">
        <w:rPr>
          <w:rFonts w:ascii="Arial" w:hAnsi="Arial" w:cs="Arial"/>
          <w:sz w:val="20"/>
          <w:szCs w:val="20"/>
          <w:lang w:val="es-AR"/>
        </w:rPr>
        <w:tab/>
      </w:r>
      <w:r w:rsidRPr="00717B62">
        <w:rPr>
          <w:rFonts w:ascii="Arial" w:hAnsi="Arial" w:cs="Arial"/>
          <w:sz w:val="20"/>
          <w:szCs w:val="20"/>
          <w:lang w:val="es-AR"/>
        </w:rPr>
        <w:tab/>
        <w:t>Marisa Tormakh</w:t>
      </w:r>
    </w:p>
    <w:p w:rsidR="004E259A" w:rsidRPr="00717B62" w:rsidRDefault="004E259A" w:rsidP="004E259A">
      <w:pPr>
        <w:widowControl w:val="0"/>
        <w:outlineLvl w:val="0"/>
        <w:rPr>
          <w:rFonts w:ascii="Arial" w:hAnsi="Arial" w:cs="Arial"/>
          <w:sz w:val="20"/>
          <w:szCs w:val="20"/>
          <w:lang w:val="es-AR"/>
        </w:rPr>
      </w:pPr>
      <w:r w:rsidRPr="00717B62">
        <w:rPr>
          <w:rFonts w:ascii="Arial" w:hAnsi="Arial" w:cs="Arial"/>
          <w:sz w:val="20"/>
          <w:szCs w:val="20"/>
          <w:lang w:val="es-AR"/>
        </w:rPr>
        <w:t>Presidente y Director Ejecutivo</w:t>
      </w:r>
      <w:r w:rsidRPr="00717B62">
        <w:rPr>
          <w:rFonts w:ascii="Arial" w:hAnsi="Arial" w:cs="Arial"/>
          <w:sz w:val="20"/>
          <w:szCs w:val="20"/>
          <w:lang w:val="es-AR"/>
        </w:rPr>
        <w:tab/>
      </w:r>
      <w:r w:rsidRPr="00717B62">
        <w:rPr>
          <w:rFonts w:ascii="Arial" w:hAnsi="Arial" w:cs="Arial"/>
          <w:sz w:val="20"/>
          <w:szCs w:val="20"/>
          <w:lang w:val="es-AR"/>
        </w:rPr>
        <w:tab/>
      </w:r>
      <w:r w:rsidRPr="00717B62">
        <w:rPr>
          <w:rFonts w:ascii="Arial" w:hAnsi="Arial" w:cs="Arial"/>
          <w:sz w:val="20"/>
          <w:szCs w:val="20"/>
          <w:lang w:val="es-AR"/>
        </w:rPr>
        <w:tab/>
        <w:t>Vicepresidenta de Finanzas y Directora Financiera</w:t>
      </w:r>
    </w:p>
    <w:p w:rsidR="004E259A" w:rsidRPr="004E259A" w:rsidRDefault="004E259A" w:rsidP="004E259A">
      <w:pPr>
        <w:widowControl w:val="0"/>
        <w:rPr>
          <w:rFonts w:ascii="Arial" w:hAnsi="Arial" w:cs="Arial"/>
          <w:sz w:val="20"/>
          <w:szCs w:val="20"/>
        </w:rPr>
      </w:pPr>
      <w:r w:rsidRPr="004E259A">
        <w:rPr>
          <w:rFonts w:ascii="Arial" w:hAnsi="Arial" w:cs="Arial"/>
          <w:sz w:val="20"/>
          <w:szCs w:val="20"/>
        </w:rPr>
        <w:t>Teléfono: (403) 232-1150</w:t>
      </w:r>
      <w:r w:rsidRPr="004E259A">
        <w:rPr>
          <w:rFonts w:ascii="Arial" w:hAnsi="Arial" w:cs="Arial"/>
          <w:sz w:val="20"/>
          <w:szCs w:val="20"/>
        </w:rPr>
        <w:tab/>
      </w:r>
      <w:r w:rsidRPr="004E259A">
        <w:rPr>
          <w:rFonts w:ascii="Arial" w:hAnsi="Arial" w:cs="Arial"/>
          <w:sz w:val="20"/>
          <w:szCs w:val="20"/>
        </w:rPr>
        <w:tab/>
      </w:r>
      <w:r w:rsidRPr="004E259A">
        <w:rPr>
          <w:rFonts w:ascii="Arial" w:hAnsi="Arial" w:cs="Arial"/>
          <w:sz w:val="20"/>
          <w:szCs w:val="20"/>
        </w:rPr>
        <w:tab/>
        <w:t>Teléfono: (403) 232-1150</w:t>
      </w:r>
    </w:p>
    <w:p w:rsidR="004E259A" w:rsidRPr="004E259A" w:rsidRDefault="004E259A" w:rsidP="004E259A">
      <w:pPr>
        <w:widowControl w:val="0"/>
        <w:rPr>
          <w:rFonts w:ascii="Arial" w:hAnsi="Arial" w:cs="Arial"/>
          <w:sz w:val="20"/>
          <w:szCs w:val="20"/>
        </w:rPr>
      </w:pPr>
      <w:r w:rsidRPr="004E259A">
        <w:rPr>
          <w:rFonts w:ascii="Arial" w:hAnsi="Arial" w:cs="Arial"/>
          <w:sz w:val="20"/>
          <w:szCs w:val="20"/>
        </w:rPr>
        <w:t>Crown Point Energy Inc.</w:t>
      </w:r>
      <w:r w:rsidRPr="004E259A">
        <w:rPr>
          <w:rFonts w:ascii="Arial" w:hAnsi="Arial" w:cs="Arial"/>
          <w:sz w:val="20"/>
          <w:szCs w:val="20"/>
        </w:rPr>
        <w:tab/>
      </w:r>
      <w:r w:rsidRPr="004E259A">
        <w:rPr>
          <w:rFonts w:ascii="Arial" w:hAnsi="Arial" w:cs="Arial"/>
          <w:sz w:val="20"/>
          <w:szCs w:val="20"/>
        </w:rPr>
        <w:tab/>
      </w:r>
      <w:r w:rsidRPr="004E259A">
        <w:rPr>
          <w:rFonts w:ascii="Arial" w:hAnsi="Arial" w:cs="Arial"/>
          <w:sz w:val="20"/>
          <w:szCs w:val="20"/>
        </w:rPr>
        <w:tab/>
      </w:r>
      <w:r w:rsidRPr="004E259A">
        <w:rPr>
          <w:rFonts w:ascii="Arial" w:hAnsi="Arial" w:cs="Arial"/>
          <w:sz w:val="20"/>
          <w:szCs w:val="20"/>
        </w:rPr>
        <w:tab/>
        <w:t>Crown Point Energy Inc.</w:t>
      </w:r>
    </w:p>
    <w:p w:rsidR="004E259A" w:rsidRPr="004E259A" w:rsidRDefault="00460347" w:rsidP="004E259A">
      <w:pPr>
        <w:widowControl w:val="0"/>
        <w:rPr>
          <w:rFonts w:ascii="Arial" w:hAnsi="Arial" w:cs="Arial"/>
          <w:sz w:val="20"/>
          <w:szCs w:val="20"/>
        </w:rPr>
      </w:pPr>
      <w:hyperlink r:id="rId13" w:history="1">
        <w:r w:rsidR="004E259A" w:rsidRPr="004E259A">
          <w:rPr>
            <w:rStyle w:val="Hipervnculo"/>
            <w:rFonts w:ascii="Arial" w:hAnsi="Arial" w:cs="Arial"/>
            <w:sz w:val="20"/>
            <w:szCs w:val="20"/>
          </w:rPr>
          <w:t>gobrador@crownpointenergy.com</w:t>
        </w:r>
      </w:hyperlink>
      <w:r w:rsidR="004E259A" w:rsidRPr="004E259A">
        <w:rPr>
          <w:rFonts w:ascii="Arial" w:hAnsi="Arial" w:cs="Arial"/>
          <w:sz w:val="20"/>
          <w:szCs w:val="20"/>
        </w:rPr>
        <w:tab/>
      </w:r>
      <w:r w:rsidR="004E259A" w:rsidRPr="004E259A">
        <w:rPr>
          <w:rFonts w:ascii="Arial" w:hAnsi="Arial" w:cs="Arial"/>
          <w:sz w:val="20"/>
          <w:szCs w:val="20"/>
        </w:rPr>
        <w:tab/>
      </w:r>
      <w:hyperlink r:id="rId14" w:history="1">
        <w:r w:rsidR="004E259A" w:rsidRPr="004E259A">
          <w:rPr>
            <w:rStyle w:val="Hipervnculo"/>
            <w:rFonts w:ascii="Arial" w:hAnsi="Arial" w:cs="Arial"/>
            <w:sz w:val="20"/>
            <w:szCs w:val="20"/>
          </w:rPr>
          <w:t>mtormakh@crownpointenergy.com</w:t>
        </w:r>
      </w:hyperlink>
      <w:r w:rsidR="004E259A" w:rsidRPr="004E259A">
        <w:rPr>
          <w:rFonts w:ascii="Arial" w:hAnsi="Arial" w:cs="Arial"/>
          <w:sz w:val="20"/>
          <w:szCs w:val="20"/>
        </w:rPr>
        <w:t xml:space="preserve"> </w:t>
      </w:r>
    </w:p>
    <w:p w:rsidR="004E259A" w:rsidRPr="004E259A" w:rsidRDefault="004E259A" w:rsidP="004E259A">
      <w:pPr>
        <w:widowControl w:val="0"/>
        <w:rPr>
          <w:rFonts w:ascii="Arial" w:hAnsi="Arial" w:cs="Arial"/>
          <w:b/>
          <w:i/>
          <w:sz w:val="20"/>
          <w:szCs w:val="20"/>
        </w:rPr>
      </w:pPr>
    </w:p>
    <w:p w:rsidR="004E259A" w:rsidRPr="00717B62" w:rsidRDefault="004E259A" w:rsidP="004E259A">
      <w:pPr>
        <w:widowControl w:val="0"/>
        <w:rPr>
          <w:rFonts w:ascii="Arial" w:hAnsi="Arial" w:cs="Arial"/>
          <w:b/>
          <w:i/>
          <w:sz w:val="20"/>
          <w:szCs w:val="20"/>
          <w:lang w:val="es-AR"/>
        </w:rPr>
      </w:pPr>
      <w:r w:rsidRPr="00717B62">
        <w:rPr>
          <w:rFonts w:ascii="Arial" w:hAnsi="Arial" w:cs="Arial"/>
          <w:b/>
          <w:bCs/>
          <w:i/>
          <w:iCs/>
          <w:sz w:val="20"/>
          <w:szCs w:val="20"/>
          <w:lang w:val="es-AR"/>
        </w:rPr>
        <w:t>Información sobre Crown Point</w:t>
      </w:r>
    </w:p>
    <w:p w:rsidR="004E259A" w:rsidRPr="00717B62" w:rsidRDefault="004E259A" w:rsidP="004E259A">
      <w:pPr>
        <w:pStyle w:val="MICONHEADER1"/>
        <w:widowControl w:val="0"/>
        <w:spacing w:line="240" w:lineRule="atLeast"/>
        <w:ind w:left="0"/>
        <w:rPr>
          <w:rFonts w:ascii="Arial" w:hAnsi="Arial" w:cs="Arial"/>
          <w:b w:val="0"/>
          <w:bCs/>
          <w:caps w:val="0"/>
          <w:sz w:val="22"/>
          <w:szCs w:val="22"/>
          <w:lang w:val="es-AR"/>
        </w:rPr>
      </w:pPr>
      <w:r w:rsidRPr="00717B62">
        <w:rPr>
          <w:rFonts w:ascii="Arial" w:hAnsi="Arial" w:cs="Arial"/>
          <w:b w:val="0"/>
          <w:caps w:val="0"/>
          <w:sz w:val="20"/>
          <w:szCs w:val="20"/>
          <w:lang w:val="es-AR"/>
        </w:rPr>
        <w:t xml:space="preserve">Crown Point Energy Inc. es una compañía internacional de exploración y desarrollo de petróleo y gas con sede en Calgary, Canadá, constituida en Canadá, cuyas acciones cotizan en la Bolsa de Valores de Toronto y que posee operaciones en Argentina. Las actividades de exploración y desarrollo de Crown Point están concentradas en tres cuencas de producción de Argentina, la Cuenca Austral, situada en la Provincia de Tierra del Fuego, y las Cuencas Neuquina y Cuyana, en la Provincia de Mendoza. Crown Point tiene una estrategia basada en construir una cartera de activos productivos, introducir mejoras en la producción y aprovechar oportunidades de exploración para sentar las bases de su futuro crecimiento. </w:t>
      </w:r>
    </w:p>
    <w:p w:rsidR="004E259A" w:rsidRPr="00717B62" w:rsidRDefault="004E259A" w:rsidP="004E259A">
      <w:pPr>
        <w:widowControl w:val="0"/>
        <w:jc w:val="both"/>
        <w:rPr>
          <w:rFonts w:ascii="Arial" w:hAnsi="Arial"/>
          <w:b/>
          <w:i/>
          <w:sz w:val="14"/>
          <w:lang w:val="es-AR"/>
        </w:rPr>
      </w:pPr>
    </w:p>
    <w:p w:rsidR="004E259A" w:rsidRPr="00717B62" w:rsidRDefault="004E259A" w:rsidP="004E259A">
      <w:pPr>
        <w:widowControl w:val="0"/>
        <w:jc w:val="both"/>
        <w:rPr>
          <w:rFonts w:ascii="Arial" w:hAnsi="Arial"/>
          <w:b/>
          <w:i/>
          <w:sz w:val="14"/>
          <w:lang w:val="es-AR"/>
        </w:rPr>
      </w:pPr>
      <w:r w:rsidRPr="00717B62">
        <w:rPr>
          <w:rFonts w:ascii="Arial" w:hAnsi="Arial"/>
          <w:b/>
          <w:bCs/>
          <w:i/>
          <w:iCs/>
          <w:sz w:val="14"/>
          <w:lang w:val="es-AR"/>
        </w:rPr>
        <w:t>Advertencia</w:t>
      </w:r>
    </w:p>
    <w:p w:rsidR="004E259A" w:rsidRPr="00717B62" w:rsidRDefault="004E259A" w:rsidP="004E259A">
      <w:pPr>
        <w:pStyle w:val="Textoindependiente"/>
        <w:widowControl w:val="0"/>
        <w:spacing w:before="60" w:after="0" w:line="240" w:lineRule="auto"/>
        <w:rPr>
          <w:rFonts w:ascii="Arial" w:hAnsi="Arial" w:cs="Arial"/>
          <w:i/>
          <w:sz w:val="14"/>
          <w:szCs w:val="14"/>
          <w:lang w:val="es-AR"/>
        </w:rPr>
      </w:pPr>
      <w:r w:rsidRPr="00717B62">
        <w:rPr>
          <w:rFonts w:ascii="Arial" w:hAnsi="Arial" w:cs="Arial"/>
          <w:i/>
          <w:iCs/>
          <w:sz w:val="14"/>
          <w:szCs w:val="14"/>
          <w:u w:val="single"/>
          <w:lang w:val="es-AR"/>
        </w:rPr>
        <w:t>Medidas no contempladas en las NIIF y otras medidas financieras</w:t>
      </w:r>
      <w:r w:rsidRPr="00717B62">
        <w:rPr>
          <w:rFonts w:ascii="Arial" w:hAnsi="Arial" w:cs="Arial"/>
          <w:i/>
          <w:iCs/>
          <w:sz w:val="14"/>
          <w:szCs w:val="14"/>
          <w:lang w:val="es-AR"/>
        </w:rPr>
        <w:t xml:space="preserve">: En este comunicado de prensa y en otros materiales difundidos por la Compañía, empleamos ciertas medidas para analizar el desempeño financiero, la situación patrimonial y el flujo de efectivo. Estas medidas no contempladas en las NIIF y otras medidas financieras no tienen significados estandarizados indicados en las NIIF y por ende pueden no ser comparables con medidas similares presentadas por otras entidades.  Las medidas no contempladas en las NIIF y otras medidas financieras no deben considerarse medidas más significativas que las medidas financieras calculadas conforme a las NIIF, tales como la ganancia (pérdida) neta, los ingresos por ventas de petróleo y gas natural y el efectivo neto (utilizado en) </w:t>
      </w:r>
      <w:r w:rsidR="009F202E" w:rsidRPr="00717B62">
        <w:rPr>
          <w:rFonts w:ascii="Arial" w:hAnsi="Arial" w:cs="Arial"/>
          <w:i/>
          <w:iCs/>
          <w:sz w:val="14"/>
          <w:szCs w:val="14"/>
          <w:lang w:val="es-AR"/>
        </w:rPr>
        <w:t xml:space="preserve">generado por </w:t>
      </w:r>
      <w:r w:rsidRPr="00717B62">
        <w:rPr>
          <w:rFonts w:ascii="Arial" w:hAnsi="Arial" w:cs="Arial"/>
          <w:i/>
          <w:iCs/>
          <w:sz w:val="14"/>
          <w:szCs w:val="14"/>
          <w:lang w:val="es-AR"/>
        </w:rPr>
        <w:t xml:space="preserve">las actividades operativas, como indicadores del desempeño de la Compañía.  </w:t>
      </w:r>
    </w:p>
    <w:p w:rsidR="004E259A" w:rsidRPr="00717B62" w:rsidRDefault="004E259A" w:rsidP="004E259A">
      <w:pPr>
        <w:pStyle w:val="Textoindependiente"/>
        <w:widowControl w:val="0"/>
        <w:spacing w:before="60" w:after="0" w:line="240" w:lineRule="auto"/>
        <w:rPr>
          <w:rFonts w:ascii="Arial" w:hAnsi="Arial" w:cs="Arial"/>
          <w:i/>
          <w:sz w:val="14"/>
          <w:szCs w:val="14"/>
          <w:lang w:val="es-AR"/>
        </w:rPr>
      </w:pPr>
      <w:r w:rsidRPr="00717B62">
        <w:rPr>
          <w:rFonts w:ascii="Arial" w:hAnsi="Arial" w:cs="Arial"/>
          <w:i/>
          <w:iCs/>
          <w:sz w:val="14"/>
          <w:szCs w:val="14"/>
          <w:lang w:val="es-AR"/>
        </w:rPr>
        <w:t xml:space="preserve">"Flujo de fondos por acción – actividades operativas" es una medida financiera complementaria.  El flujo de fondos por acción – actividades operativas se compone del flujo de fondos generado por (utilizado en) </w:t>
      </w:r>
      <w:r w:rsidR="00394AC6">
        <w:rPr>
          <w:rFonts w:ascii="Arial" w:hAnsi="Arial" w:cs="Arial"/>
          <w:i/>
          <w:iCs/>
          <w:sz w:val="14"/>
          <w:szCs w:val="14"/>
          <w:lang w:val="es-AR"/>
        </w:rPr>
        <w:t xml:space="preserve">las </w:t>
      </w:r>
      <w:r w:rsidRPr="00717B62">
        <w:rPr>
          <w:rFonts w:ascii="Arial" w:hAnsi="Arial" w:cs="Arial"/>
          <w:i/>
          <w:iCs/>
          <w:sz w:val="14"/>
          <w:szCs w:val="14"/>
          <w:lang w:val="es-AR"/>
        </w:rPr>
        <w:t xml:space="preserve">actividades operativas dividido la cantidad promedio ponderada básica y diluida de acciones ordinarias en circulación del período. Véase "Información Financiera Resumida". </w:t>
      </w:r>
    </w:p>
    <w:p w:rsidR="004E259A" w:rsidRPr="00717B62" w:rsidRDefault="004E259A" w:rsidP="004E259A">
      <w:pPr>
        <w:pStyle w:val="Textoindependiente"/>
        <w:widowControl w:val="0"/>
        <w:spacing w:before="60" w:after="0" w:line="240" w:lineRule="auto"/>
        <w:rPr>
          <w:rFonts w:ascii="Arial" w:hAnsi="Arial" w:cs="Arial"/>
          <w:i/>
          <w:sz w:val="14"/>
          <w:szCs w:val="14"/>
          <w:lang w:val="es-AR"/>
        </w:rPr>
      </w:pPr>
      <w:r w:rsidRPr="00717B62">
        <w:rPr>
          <w:rFonts w:ascii="Arial" w:hAnsi="Arial" w:cs="Arial"/>
          <w:i/>
          <w:iCs/>
          <w:sz w:val="14"/>
          <w:szCs w:val="14"/>
          <w:lang w:val="es-AR"/>
        </w:rPr>
        <w:lastRenderedPageBreak/>
        <w:t>"Efectivo neto por acción – actividades operativas" es una medida financiera complementaria. E</w:t>
      </w:r>
      <w:r w:rsidR="00394AC6">
        <w:rPr>
          <w:rFonts w:ascii="Arial" w:hAnsi="Arial" w:cs="Arial"/>
          <w:i/>
          <w:iCs/>
          <w:sz w:val="14"/>
          <w:szCs w:val="14"/>
          <w:lang w:val="es-AR"/>
        </w:rPr>
        <w:t>l e</w:t>
      </w:r>
      <w:r w:rsidRPr="00717B62">
        <w:rPr>
          <w:rFonts w:ascii="Arial" w:hAnsi="Arial" w:cs="Arial"/>
          <w:i/>
          <w:iCs/>
          <w:sz w:val="14"/>
          <w:szCs w:val="14"/>
          <w:lang w:val="es-AR"/>
        </w:rPr>
        <w:t xml:space="preserve">fectivo neto por acción – actividades operativas se compone del efectivo neto generado por (utilizado en) </w:t>
      </w:r>
      <w:r w:rsidR="00394AC6">
        <w:rPr>
          <w:rFonts w:ascii="Arial" w:hAnsi="Arial" w:cs="Arial"/>
          <w:i/>
          <w:iCs/>
          <w:sz w:val="14"/>
          <w:szCs w:val="14"/>
          <w:lang w:val="es-AR"/>
        </w:rPr>
        <w:t xml:space="preserve">las </w:t>
      </w:r>
      <w:r w:rsidRPr="00717B62">
        <w:rPr>
          <w:rFonts w:ascii="Arial" w:hAnsi="Arial" w:cs="Arial"/>
          <w:i/>
          <w:iCs/>
          <w:sz w:val="14"/>
          <w:szCs w:val="14"/>
          <w:lang w:val="es-AR"/>
        </w:rPr>
        <w:t>actividades operativas dividido por la cantidad promedio ponderada básica y diluida de acciones ordinarias en circulación del período. Véase "Información Financiera Resumida".</w:t>
      </w:r>
    </w:p>
    <w:p w:rsidR="004E259A" w:rsidRPr="00717B62" w:rsidRDefault="004E259A" w:rsidP="004E259A">
      <w:pPr>
        <w:pStyle w:val="Textoindependiente"/>
        <w:widowControl w:val="0"/>
        <w:spacing w:before="60" w:after="0" w:line="240" w:lineRule="auto"/>
        <w:rPr>
          <w:rFonts w:ascii="Arial" w:hAnsi="Arial" w:cs="Arial"/>
          <w:i/>
          <w:sz w:val="14"/>
          <w:szCs w:val="14"/>
          <w:lang w:val="es-AR"/>
        </w:rPr>
      </w:pPr>
      <w:r w:rsidRPr="00717B62">
        <w:rPr>
          <w:rFonts w:ascii="Arial" w:hAnsi="Arial" w:cs="Arial"/>
          <w:i/>
          <w:iCs/>
          <w:sz w:val="14"/>
          <w:szCs w:val="14"/>
          <w:lang w:val="es-AR"/>
        </w:rPr>
        <w:t>"Pasivos financieros no corrientes" es una medi</w:t>
      </w:r>
      <w:r w:rsidR="00394AC6">
        <w:rPr>
          <w:rFonts w:ascii="Arial" w:hAnsi="Arial" w:cs="Arial"/>
          <w:i/>
          <w:iCs/>
          <w:sz w:val="14"/>
          <w:szCs w:val="14"/>
          <w:lang w:val="es-AR"/>
        </w:rPr>
        <w:t>da financiera complementaria.  Los p</w:t>
      </w:r>
      <w:r w:rsidRPr="00717B62">
        <w:rPr>
          <w:rFonts w:ascii="Arial" w:hAnsi="Arial" w:cs="Arial"/>
          <w:i/>
          <w:iCs/>
          <w:sz w:val="14"/>
          <w:szCs w:val="14"/>
          <w:lang w:val="es-AR"/>
        </w:rPr>
        <w:t>asivos financieros no corrientes se compone</w:t>
      </w:r>
      <w:r w:rsidR="00394AC6">
        <w:rPr>
          <w:rFonts w:ascii="Arial" w:hAnsi="Arial" w:cs="Arial"/>
          <w:i/>
          <w:iCs/>
          <w:sz w:val="14"/>
          <w:szCs w:val="14"/>
          <w:lang w:val="es-AR"/>
        </w:rPr>
        <w:t>n</w:t>
      </w:r>
      <w:r w:rsidRPr="00717B62">
        <w:rPr>
          <w:rFonts w:ascii="Arial" w:hAnsi="Arial" w:cs="Arial"/>
          <w:i/>
          <w:iCs/>
          <w:sz w:val="14"/>
          <w:szCs w:val="14"/>
          <w:lang w:val="es-AR"/>
        </w:rPr>
        <w:t xml:space="preserve"> de las porciones no corrientes de deudas comerciales y otros pasivos, documentos a pagar y pasivos por arrendamientos, según surge de los estados de situación patrimonial consolidados de la Compañía.  Véase "Información Financiera Resumida".</w:t>
      </w:r>
    </w:p>
    <w:p w:rsidR="004E259A" w:rsidRPr="00717B62" w:rsidRDefault="004E259A" w:rsidP="004E259A">
      <w:pPr>
        <w:pStyle w:val="Ne3"/>
        <w:widowControl w:val="0"/>
        <w:spacing w:before="60" w:line="240" w:lineRule="auto"/>
        <w:ind w:left="0"/>
        <w:rPr>
          <w:rFonts w:cs="Arial"/>
          <w:i/>
          <w:sz w:val="14"/>
          <w:szCs w:val="14"/>
          <w:lang w:val="es-AR"/>
        </w:rPr>
      </w:pPr>
      <w:r w:rsidRPr="00717B62">
        <w:rPr>
          <w:i/>
          <w:iCs/>
          <w:sz w:val="14"/>
          <w:szCs w:val="14"/>
          <w:lang w:val="es-AR"/>
        </w:rPr>
        <w:t xml:space="preserve">“Netback operativo” es una medida no contemplada en las NIIF.  El </w:t>
      </w:r>
      <w:r w:rsidR="002071BE">
        <w:rPr>
          <w:i/>
          <w:iCs/>
          <w:sz w:val="14"/>
          <w:szCs w:val="14"/>
          <w:lang w:val="es-AR"/>
        </w:rPr>
        <w:t>n</w:t>
      </w:r>
      <w:r w:rsidRPr="00717B62">
        <w:rPr>
          <w:i/>
          <w:iCs/>
          <w:sz w:val="14"/>
          <w:szCs w:val="14"/>
          <w:lang w:val="es-AR"/>
        </w:rPr>
        <w:t xml:space="preserve">etback operativo se compone de </w:t>
      </w:r>
      <w:r>
        <w:rPr>
          <w:i/>
          <w:iCs/>
          <w:sz w:val="14"/>
          <w:szCs w:val="14"/>
          <w:lang w:val="es-AR"/>
        </w:rPr>
        <w:t>los ingresos por</w:t>
      </w:r>
      <w:r w:rsidRPr="00717B62">
        <w:rPr>
          <w:i/>
          <w:iCs/>
          <w:sz w:val="14"/>
          <w:szCs w:val="14"/>
          <w:lang w:val="es-AR"/>
        </w:rPr>
        <w:t xml:space="preserve"> ventas de petróleo y gas natural, menos los derechos de exportación, regalías e impuesto a los ingresos brutos y costos operativos.  La dirección considera que esta es una medida complementaria útil de la rentabilidad de la Compañía con relación a los precios de los commodities.  Véase "Netback operativo" para una conciliación del netback operativo con los ingresos por ventas de petróleo y gas natural, que es nuestra medida más cercana contemplada en las NIIF.</w:t>
      </w:r>
    </w:p>
    <w:p w:rsidR="004E259A" w:rsidRPr="00717B62" w:rsidRDefault="004E259A" w:rsidP="004E259A">
      <w:pPr>
        <w:pStyle w:val="Textoindependiente"/>
        <w:widowControl w:val="0"/>
        <w:spacing w:before="60" w:after="0" w:line="240" w:lineRule="auto"/>
        <w:rPr>
          <w:rFonts w:ascii="Arial" w:hAnsi="Arial" w:cs="Arial"/>
          <w:i/>
          <w:sz w:val="14"/>
          <w:szCs w:val="14"/>
          <w:lang w:val="es-AR"/>
        </w:rPr>
      </w:pPr>
      <w:r w:rsidRPr="00717B62">
        <w:rPr>
          <w:rFonts w:ascii="Arial" w:hAnsi="Arial" w:cs="Arial"/>
          <w:i/>
          <w:iCs/>
          <w:sz w:val="14"/>
          <w:szCs w:val="14"/>
          <w:lang w:val="es-AR"/>
        </w:rPr>
        <w:t>“Netback ope</w:t>
      </w:r>
      <w:r w:rsidR="00394AC6">
        <w:rPr>
          <w:rFonts w:ascii="Arial" w:hAnsi="Arial" w:cs="Arial"/>
          <w:i/>
          <w:iCs/>
          <w:sz w:val="14"/>
          <w:szCs w:val="14"/>
          <w:lang w:val="es-AR"/>
        </w:rPr>
        <w:t>rativo por BOE” es un índice no contemplado</w:t>
      </w:r>
      <w:r w:rsidRPr="00717B62">
        <w:rPr>
          <w:rFonts w:ascii="Arial" w:hAnsi="Arial" w:cs="Arial"/>
          <w:i/>
          <w:iCs/>
          <w:sz w:val="14"/>
          <w:szCs w:val="14"/>
          <w:lang w:val="es-AR"/>
        </w:rPr>
        <w:t xml:space="preserve"> en las NIIF.  El Netback operativo por BOE se compone del netback operativo dividido por los volúmenes de venta en BOE del período.  La dirección considera que esta es una medida complementaria útil de la rentabilidad de la Compañía con relación a los precios de los commodities.  Asimismo, la dirección considera que el netback operativo por BOE es una medida clave de desempeño de la industria que mide la eficiencia operacional y brinda a los inversores información que también es presentada usualmente por otras productoras de petróleo crudo y gas natural.  El netback operativo es una medida no contemplada en las NIIF.  Véase "Netback Operativo” para ver la forma de cálculo del netback operativo por BOE.</w:t>
      </w:r>
    </w:p>
    <w:p w:rsidR="004E259A" w:rsidRPr="00717B62" w:rsidRDefault="004E259A" w:rsidP="004E259A">
      <w:pPr>
        <w:pStyle w:val="Textoindependiente"/>
        <w:widowControl w:val="0"/>
        <w:spacing w:before="60" w:after="0" w:line="240" w:lineRule="auto"/>
        <w:rPr>
          <w:rFonts w:ascii="Arial" w:hAnsi="Arial" w:cs="Arial"/>
          <w:i/>
          <w:sz w:val="14"/>
          <w:szCs w:val="14"/>
          <w:lang w:val="es-AR"/>
        </w:rPr>
      </w:pPr>
      <w:r w:rsidRPr="00717B62">
        <w:rPr>
          <w:rFonts w:ascii="Arial" w:hAnsi="Arial" w:cs="Arial"/>
          <w:i/>
          <w:iCs/>
          <w:sz w:val="14"/>
          <w:szCs w:val="14"/>
          <w:lang w:val="es-AR"/>
        </w:rPr>
        <w:t xml:space="preserve">“Capital de trabajo” es una medida de gestión de capital.  El capital de trabajo se compone del activo corriente menos el pasivo corriente.  La dirección considera que el capital de trabajo es una medida útil para evaluar la posición de capital de la Compañía y su capacidad de llevar adelante sus compromisos de exploración existentes y su participación en programas de desarrollo.  Véase "Información Financiera Resumida” para una conciliación del capital de trabajo con </w:t>
      </w:r>
      <w:r w:rsidR="00394AC6">
        <w:rPr>
          <w:rFonts w:ascii="Arial" w:hAnsi="Arial" w:cs="Arial"/>
          <w:i/>
          <w:iCs/>
          <w:sz w:val="14"/>
          <w:szCs w:val="14"/>
          <w:lang w:val="es-AR"/>
        </w:rPr>
        <w:t xml:space="preserve">el </w:t>
      </w:r>
      <w:r w:rsidRPr="00717B62">
        <w:rPr>
          <w:rFonts w:ascii="Arial" w:hAnsi="Arial" w:cs="Arial"/>
          <w:i/>
          <w:iCs/>
          <w:sz w:val="14"/>
          <w:szCs w:val="14"/>
          <w:lang w:val="es-AR"/>
        </w:rPr>
        <w:t>activo corriente y el pasivo corriente, que son nuestras medidas más cercanas contempladas en las NIIF.</w:t>
      </w:r>
    </w:p>
    <w:p w:rsidR="004E259A" w:rsidRDefault="004E259A" w:rsidP="004E259A">
      <w:pPr>
        <w:widowControl w:val="0"/>
        <w:spacing w:before="60"/>
        <w:jc w:val="both"/>
        <w:rPr>
          <w:rFonts w:ascii="Arial" w:hAnsi="Arial" w:cs="Arial"/>
          <w:i/>
          <w:iCs/>
          <w:sz w:val="14"/>
          <w:szCs w:val="14"/>
          <w:lang w:val="es-AR"/>
        </w:rPr>
      </w:pPr>
      <w:r w:rsidRPr="00717B62">
        <w:rPr>
          <w:rFonts w:ascii="Arial" w:hAnsi="Arial"/>
          <w:i/>
          <w:iCs/>
          <w:sz w:val="14"/>
          <w:szCs w:val="14"/>
          <w:u w:val="single"/>
          <w:lang w:val="es-AR"/>
        </w:rPr>
        <w:t>Abreviaturas y presentación de BOE</w:t>
      </w:r>
      <w:r w:rsidRPr="00717B62">
        <w:rPr>
          <w:rFonts w:ascii="Arial" w:hAnsi="Arial"/>
          <w:i/>
          <w:iCs/>
          <w:sz w:val="14"/>
          <w:szCs w:val="14"/>
          <w:lang w:val="es-AR"/>
        </w:rPr>
        <w:t>: “bbl” significa barril,  “bbls” significa barriles,  "BOE” significa barril equivalente de petróleo, </w:t>
      </w:r>
      <w:r w:rsidRPr="00717B62">
        <w:rPr>
          <w:rFonts w:ascii="Arial" w:hAnsi="Arial" w:cs="Arial"/>
          <w:i/>
          <w:iCs/>
          <w:sz w:val="14"/>
          <w:szCs w:val="14"/>
          <w:lang w:val="es-AR"/>
        </w:rPr>
        <w:t xml:space="preserve"> “mcf” significa miles de pies cúbicos, “mmcf” significa millones de pies cúbicos, “LGN” significa líquidos de gas natural, "UTE" significa Unión Transitoria de Empresas, que constituye un contrato de joint venture inscripto establecido bajo las leyes de Argentina; </w:t>
      </w:r>
      <w:r w:rsidR="00B66A67">
        <w:rPr>
          <w:rFonts w:ascii="Arial" w:hAnsi="Arial" w:cs="Arial"/>
          <w:i/>
          <w:iCs/>
          <w:sz w:val="14"/>
          <w:szCs w:val="14"/>
          <w:lang w:val="es-AR"/>
        </w:rPr>
        <w:t xml:space="preserve">y </w:t>
      </w:r>
      <w:r w:rsidRPr="00717B62">
        <w:rPr>
          <w:rFonts w:ascii="Arial" w:hAnsi="Arial" w:cs="Arial"/>
          <w:i/>
          <w:iCs/>
          <w:sz w:val="14"/>
          <w:szCs w:val="14"/>
          <w:lang w:val="es-AR"/>
        </w:rPr>
        <w:t>"WI"  significa participación. Todas las conversiones de BOE incluidas en este comunicado de prensa provienen de la conversión de gas natural en petróleo a una razón de seis mcf de gas por un bbl de petróleo.</w:t>
      </w:r>
      <w:r w:rsidRPr="00717B62">
        <w:rPr>
          <w:rFonts w:ascii="Arial" w:hAnsi="Arial" w:cs="Arial"/>
          <w:sz w:val="14"/>
          <w:szCs w:val="14"/>
          <w:lang w:val="es-AR"/>
        </w:rPr>
        <w:t xml:space="preserve"> </w:t>
      </w:r>
      <w:r w:rsidRPr="00717B62">
        <w:rPr>
          <w:rFonts w:ascii="Arial" w:hAnsi="Arial" w:cs="Arial"/>
          <w:i/>
          <w:iCs/>
          <w:sz w:val="14"/>
          <w:szCs w:val="14"/>
          <w:lang w:val="es-AR"/>
        </w:rPr>
        <w:t xml:space="preserve"> El término BOE puede ser conducente a error, en especial, si se utiliza en forma aislada.  La conversión de BOE a una razón de seis mcf de gas por un bbl de petróleo (6 mcf: 1 bbl) se basa en un método de conversión de equivalencias de energía aplicable en la boquilla del quemador y no representa una equivalencia de valores a boca de pozo.  Atento a que la razón de valor basada en el precio del crudo comparado con el precio del gas natural en Argentina puede diferir eventualmente de la razón de conversión de equivalencias de energía de 6:1, el uso de una conversión a razón de 6:1 puede conducir a error como indicación de valor.</w:t>
      </w:r>
    </w:p>
    <w:p w:rsidR="004E259A" w:rsidRPr="00717B62" w:rsidRDefault="004E259A" w:rsidP="001813D7">
      <w:pPr>
        <w:pStyle w:val="Ne3"/>
        <w:widowControl w:val="0"/>
        <w:spacing w:before="60" w:line="240" w:lineRule="auto"/>
        <w:ind w:left="0"/>
        <w:rPr>
          <w:rFonts w:cs="Arial"/>
          <w:i/>
          <w:sz w:val="14"/>
          <w:szCs w:val="14"/>
          <w:lang w:val="es-AR"/>
        </w:rPr>
      </w:pPr>
      <w:r w:rsidRPr="00717B62">
        <w:rPr>
          <w:i/>
          <w:iCs/>
          <w:sz w:val="14"/>
          <w:u w:val="single"/>
          <w:lang w:val="es-AR"/>
        </w:rPr>
        <w:t>Información sobre hechos futuros</w:t>
      </w:r>
      <w:r w:rsidRPr="00717B62">
        <w:rPr>
          <w:i/>
          <w:iCs/>
          <w:sz w:val="14"/>
          <w:lang w:val="es-AR"/>
        </w:rPr>
        <w:t>:</w:t>
      </w:r>
      <w:r w:rsidRPr="00717B62">
        <w:rPr>
          <w:sz w:val="14"/>
          <w:lang w:val="es-AR"/>
        </w:rPr>
        <w:t xml:space="preserve"> </w:t>
      </w:r>
      <w:r w:rsidRPr="00717B62">
        <w:rPr>
          <w:i/>
          <w:iCs/>
          <w:sz w:val="14"/>
          <w:lang w:val="es-AR"/>
        </w:rPr>
        <w:t xml:space="preserve">Este documento contiene información sobre hechos futuros.  Esta información se relaciona con acontecimientos futuros y con el futuro desempeño de la Compañía.  Toda la información y las declaraciones contenidas en el presente que no sean de índole claramente histórica constituyen información sobre hechos futuros.  Dicha información representa las proyecciones internas, estimaciones, expectativas, creencias, planes, objetivos, supuestos, intenciones o declaraciones de la Compañía sobre acontecimientos futuros o sobre su futuro desempeño.  Esta información conlleva riesgos, incertidumbres y demás factores, conocidos o desconocidos, que podrían provocar que los resultados o acontecimientos reales difieran significativamente de los anticipados en dicha información sobre hechos futuros.  Asimismo, este documento puede contener información sobre hechos futuros proveniente de fuentes de la industria externas.  Crown Point cree que las expectativas reflejadas en esta información sobre hechos futuros son razonables. Sin embargo, no debe depositarse excesiva confianza en esta información sobre hechos futuros ya que no se puede asegurar que los planes, las intenciones o las expectativas sobre las cuales se basa irán a ocurrir o a concretarse. Este comunicado de prensa contiene información sobre hechos futuros relativa a las siguientes cuestiones, entre otras: </w:t>
      </w:r>
      <w:r w:rsidR="009F202E">
        <w:rPr>
          <w:i/>
          <w:iCs/>
          <w:sz w:val="14"/>
          <w:lang w:val="es-AR"/>
        </w:rPr>
        <w:t>en “</w:t>
      </w:r>
      <w:r w:rsidR="00B66A67">
        <w:rPr>
          <w:i/>
          <w:iCs/>
          <w:sz w:val="14"/>
          <w:lang w:val="es-AR"/>
        </w:rPr>
        <w:t>Resumen del 1º trimestre de 2024</w:t>
      </w:r>
      <w:r w:rsidR="009F202E">
        <w:rPr>
          <w:i/>
          <w:iCs/>
          <w:sz w:val="14"/>
          <w:lang w:val="es-AR"/>
        </w:rPr>
        <w:t>”</w:t>
      </w:r>
      <w:r w:rsidR="000F1C65">
        <w:rPr>
          <w:i/>
          <w:iCs/>
          <w:sz w:val="14"/>
          <w:lang w:val="es-AR"/>
        </w:rPr>
        <w:t>,</w:t>
      </w:r>
      <w:r w:rsidR="009F202E">
        <w:rPr>
          <w:i/>
          <w:iCs/>
          <w:sz w:val="14"/>
          <w:lang w:val="es-AR"/>
        </w:rPr>
        <w:t xml:space="preserve"> las expectativas de la Compañía sobre los té</w:t>
      </w:r>
      <w:r w:rsidR="00781121">
        <w:rPr>
          <w:i/>
          <w:iCs/>
          <w:sz w:val="14"/>
          <w:lang w:val="es-AR"/>
        </w:rPr>
        <w:t>r</w:t>
      </w:r>
      <w:r w:rsidR="009F202E">
        <w:rPr>
          <w:i/>
          <w:iCs/>
          <w:sz w:val="14"/>
          <w:lang w:val="es-AR"/>
        </w:rPr>
        <w:t xml:space="preserve">minos, condiciones y </w:t>
      </w:r>
      <w:r w:rsidR="00781121">
        <w:rPr>
          <w:i/>
          <w:iCs/>
          <w:sz w:val="14"/>
          <w:lang w:val="es-AR"/>
        </w:rPr>
        <w:t xml:space="preserve">oportunidad en que se realizará </w:t>
      </w:r>
      <w:r w:rsidR="009F202E">
        <w:rPr>
          <w:i/>
          <w:iCs/>
          <w:sz w:val="14"/>
          <w:lang w:val="es-AR"/>
        </w:rPr>
        <w:t xml:space="preserve">el cierre de la adquisición propuesta de las Concesiones de Santa Cruz; </w:t>
      </w:r>
      <w:r w:rsidRPr="00717B62">
        <w:rPr>
          <w:i/>
          <w:iCs/>
          <w:sz w:val="14"/>
          <w:lang w:val="es-AR"/>
        </w:rPr>
        <w:t xml:space="preserve">en "Reseña Operativa", </w:t>
      </w:r>
      <w:r w:rsidR="00722F1F">
        <w:rPr>
          <w:i/>
          <w:iCs/>
          <w:sz w:val="14"/>
          <w:szCs w:val="14"/>
          <w:shd w:val="clear" w:color="auto" w:fill="FFFFFF"/>
          <w:lang w:val="es-AR"/>
        </w:rPr>
        <w:t xml:space="preserve">los planes de la Compañía para las futuras </w:t>
      </w:r>
      <w:r w:rsidRPr="00717B62">
        <w:rPr>
          <w:i/>
          <w:iCs/>
          <w:sz w:val="14"/>
          <w:szCs w:val="14"/>
          <w:lang w:val="es-AR"/>
        </w:rPr>
        <w:t xml:space="preserve">operaciones </w:t>
      </w:r>
      <w:r w:rsidR="00722F1F">
        <w:rPr>
          <w:i/>
          <w:iCs/>
          <w:sz w:val="14"/>
          <w:szCs w:val="14"/>
          <w:lang w:val="es-AR"/>
        </w:rPr>
        <w:t xml:space="preserve">en </w:t>
      </w:r>
      <w:r w:rsidR="00B66A67">
        <w:rPr>
          <w:i/>
          <w:iCs/>
          <w:sz w:val="14"/>
          <w:szCs w:val="14"/>
          <w:lang w:val="es-AR"/>
        </w:rPr>
        <w:t xml:space="preserve">sus concesiones </w:t>
      </w:r>
      <w:r w:rsidR="00722F1F">
        <w:rPr>
          <w:i/>
          <w:iCs/>
          <w:sz w:val="14"/>
          <w:szCs w:val="14"/>
          <w:lang w:val="es-AR"/>
        </w:rPr>
        <w:t xml:space="preserve">y los beneficios que prevé obtener de ellos y </w:t>
      </w:r>
      <w:r w:rsidRPr="00717B62">
        <w:rPr>
          <w:i/>
          <w:iCs/>
          <w:sz w:val="14"/>
          <w:szCs w:val="14"/>
          <w:lang w:val="es-AR"/>
        </w:rPr>
        <w:t xml:space="preserve">las oportunidades en que habrán de realizarse; en “Perspectivas”, </w:t>
      </w:r>
      <w:r w:rsidR="00B66A67">
        <w:rPr>
          <w:i/>
          <w:iCs/>
          <w:sz w:val="14"/>
          <w:szCs w:val="14"/>
          <w:lang w:val="es-AR"/>
        </w:rPr>
        <w:t xml:space="preserve">el </w:t>
      </w:r>
      <w:r w:rsidR="00722F1F">
        <w:rPr>
          <w:i/>
          <w:iCs/>
          <w:sz w:val="14"/>
          <w:szCs w:val="14"/>
          <w:lang w:val="es-AR"/>
        </w:rPr>
        <w:t xml:space="preserve">presupuesto de </w:t>
      </w:r>
      <w:r w:rsidRPr="00717B62">
        <w:rPr>
          <w:i/>
          <w:iCs/>
          <w:sz w:val="14"/>
          <w:szCs w:val="14"/>
          <w:lang w:val="es-AR"/>
        </w:rPr>
        <w:t>gasto</w:t>
      </w:r>
      <w:r w:rsidR="00722F1F">
        <w:rPr>
          <w:i/>
          <w:iCs/>
          <w:sz w:val="14"/>
          <w:szCs w:val="14"/>
          <w:lang w:val="es-AR"/>
        </w:rPr>
        <w:t>s</w:t>
      </w:r>
      <w:r w:rsidRPr="00717B62">
        <w:rPr>
          <w:i/>
          <w:iCs/>
          <w:sz w:val="14"/>
          <w:szCs w:val="14"/>
          <w:lang w:val="es-AR"/>
        </w:rPr>
        <w:t xml:space="preserve"> de capital estimado</w:t>
      </w:r>
      <w:r w:rsidR="00722F1F">
        <w:rPr>
          <w:i/>
          <w:iCs/>
          <w:sz w:val="14"/>
          <w:szCs w:val="14"/>
          <w:lang w:val="es-AR"/>
        </w:rPr>
        <w:t>s</w:t>
      </w:r>
      <w:r w:rsidRPr="00717B62">
        <w:rPr>
          <w:i/>
          <w:iCs/>
          <w:sz w:val="14"/>
          <w:szCs w:val="14"/>
          <w:lang w:val="es-AR"/>
        </w:rPr>
        <w:t xml:space="preserve"> de la Compañía pa</w:t>
      </w:r>
      <w:r w:rsidR="00722F1F">
        <w:rPr>
          <w:i/>
          <w:iCs/>
          <w:sz w:val="14"/>
          <w:szCs w:val="14"/>
          <w:lang w:val="es-AR"/>
        </w:rPr>
        <w:t>ra el ejercicio 202</w:t>
      </w:r>
      <w:r w:rsidR="00781121">
        <w:rPr>
          <w:i/>
          <w:iCs/>
          <w:sz w:val="14"/>
          <w:szCs w:val="14"/>
          <w:lang w:val="es-AR"/>
        </w:rPr>
        <w:t>4</w:t>
      </w:r>
      <w:r w:rsidRPr="00717B62">
        <w:rPr>
          <w:i/>
          <w:iCs/>
          <w:sz w:val="14"/>
          <w:szCs w:val="14"/>
          <w:lang w:val="es-AR"/>
        </w:rPr>
        <w:t xml:space="preserve">, </w:t>
      </w:r>
      <w:r w:rsidR="001813D7">
        <w:rPr>
          <w:i/>
          <w:iCs/>
          <w:sz w:val="14"/>
          <w:szCs w:val="14"/>
          <w:lang w:val="es-AR"/>
        </w:rPr>
        <w:t xml:space="preserve">y los gastos de capital que prevé realizar en </w:t>
      </w:r>
      <w:r w:rsidR="000F1C65">
        <w:rPr>
          <w:i/>
          <w:iCs/>
          <w:sz w:val="14"/>
          <w:szCs w:val="14"/>
          <w:lang w:val="es-AR"/>
        </w:rPr>
        <w:t>sus</w:t>
      </w:r>
      <w:r w:rsidR="00B66A67">
        <w:rPr>
          <w:i/>
          <w:iCs/>
          <w:sz w:val="14"/>
          <w:szCs w:val="14"/>
          <w:lang w:val="es-AR"/>
        </w:rPr>
        <w:t xml:space="preserve"> concesiones</w:t>
      </w:r>
      <w:r w:rsidR="00781121">
        <w:rPr>
          <w:i/>
          <w:iCs/>
          <w:sz w:val="14"/>
          <w:szCs w:val="14"/>
          <w:lang w:val="es-AR"/>
        </w:rPr>
        <w:t xml:space="preserve"> durante dicho período</w:t>
      </w:r>
      <w:r w:rsidR="001813D7">
        <w:rPr>
          <w:i/>
          <w:iCs/>
          <w:sz w:val="14"/>
          <w:szCs w:val="14"/>
          <w:lang w:val="es-AR"/>
        </w:rPr>
        <w:t xml:space="preserve">; </w:t>
      </w:r>
      <w:r w:rsidRPr="00717B62">
        <w:rPr>
          <w:i/>
          <w:iCs/>
          <w:sz w:val="14"/>
          <w:szCs w:val="14"/>
          <w:lang w:val="es-AR"/>
        </w:rPr>
        <w:t>en la sección “Información sobre Crown Point”, todos los elementos que hacen a la estrategia de negocio y al objeto de la Compañía.</w:t>
      </w:r>
      <w:r w:rsidRPr="00717B62">
        <w:rPr>
          <w:sz w:val="14"/>
          <w:szCs w:val="14"/>
          <w:lang w:val="es-AR"/>
        </w:rPr>
        <w:t xml:space="preserve"> </w:t>
      </w:r>
      <w:r w:rsidRPr="00717B62">
        <w:rPr>
          <w:i/>
          <w:iCs/>
          <w:sz w:val="14"/>
          <w:szCs w:val="14"/>
          <w:lang w:val="es-AR"/>
        </w:rPr>
        <w:t>Se advierte al lector que si bien la Compañía considera que dicha información es razonable, la misma podría resultar ser incorrecta. Los resultados reales obtenidos durante el período proyectado pueden variar respecto a la información provista en este documento debido a numerosos riesgos e incertidumbres y demás factores, conocidos y desconocidos. Existen distintos riesgos y demás factores que podrían provocar que los resultados reales difieran significativamente de los expresados en la información sobre hechos futuros vertida en este documento, incluyendo, sin limitación, los siguientes: que la Compañía no pueda transportar petróleo por vía terrestre a la refinería Enap y/o a la terminal marítima Rio Cullen y/o el riesgo de que el costo de hacerlo incremente y/o se torne antieconómico; el riesgo de que la Compañía reciba un precio por el petróleo que produce con un descuento significativo respec</w:t>
      </w:r>
      <w:bookmarkStart w:id="1" w:name="_GoBack"/>
      <w:bookmarkEnd w:id="1"/>
      <w:r w:rsidRPr="00717B62">
        <w:rPr>
          <w:i/>
          <w:iCs/>
          <w:sz w:val="14"/>
          <w:szCs w:val="14"/>
          <w:lang w:val="es-AR"/>
        </w:rPr>
        <w:t xml:space="preserve">to al precio del Brent; </w:t>
      </w:r>
      <w:r w:rsidR="00781121">
        <w:rPr>
          <w:i/>
          <w:iCs/>
          <w:sz w:val="14"/>
          <w:szCs w:val="14"/>
          <w:lang w:val="es-AR"/>
        </w:rPr>
        <w:t xml:space="preserve">que la Compañía no pueda cumplir sus obligaciones a su vencimiento y continuar como una empresa en marcha; que la Compañía no pueda concluir la adquisición propuesta de las Concesiones de Santa Cruz en los </w:t>
      </w:r>
      <w:r w:rsidR="000A5B77">
        <w:rPr>
          <w:i/>
          <w:iCs/>
          <w:sz w:val="14"/>
          <w:szCs w:val="14"/>
          <w:lang w:val="es-AR"/>
        </w:rPr>
        <w:t xml:space="preserve">términos </w:t>
      </w:r>
      <w:r w:rsidR="00781121">
        <w:rPr>
          <w:i/>
          <w:iCs/>
          <w:sz w:val="14"/>
          <w:szCs w:val="14"/>
          <w:lang w:val="es-AR"/>
        </w:rPr>
        <w:t xml:space="preserve">descriptos en el presente o en lo absoluto, ya sea debido a su imposibilidad de obtener </w:t>
      </w:r>
      <w:r w:rsidR="00F21945">
        <w:rPr>
          <w:i/>
          <w:iCs/>
          <w:sz w:val="14"/>
          <w:szCs w:val="14"/>
          <w:lang w:val="es-AR"/>
        </w:rPr>
        <w:t>fina</w:t>
      </w:r>
      <w:r w:rsidR="0088424E">
        <w:rPr>
          <w:i/>
          <w:iCs/>
          <w:sz w:val="14"/>
          <w:szCs w:val="14"/>
          <w:lang w:val="es-AR"/>
        </w:rPr>
        <w:t>n</w:t>
      </w:r>
      <w:r w:rsidR="00F21945">
        <w:rPr>
          <w:i/>
          <w:iCs/>
          <w:sz w:val="14"/>
          <w:szCs w:val="14"/>
          <w:lang w:val="es-AR"/>
        </w:rPr>
        <w:t>ciamiento</w:t>
      </w:r>
      <w:r w:rsidR="00781121">
        <w:rPr>
          <w:i/>
          <w:iCs/>
          <w:sz w:val="14"/>
          <w:szCs w:val="14"/>
          <w:lang w:val="es-AR"/>
        </w:rPr>
        <w:t xml:space="preserve"> para fondear la parte en efectivo del precio de compra, de obtener las aprobaciones regulatorias requerida</w:t>
      </w:r>
      <w:r w:rsidR="000A5B77">
        <w:rPr>
          <w:i/>
          <w:iCs/>
          <w:sz w:val="14"/>
          <w:szCs w:val="14"/>
          <w:lang w:val="es-AR"/>
        </w:rPr>
        <w:t>s</w:t>
      </w:r>
      <w:r w:rsidR="00781121">
        <w:rPr>
          <w:i/>
          <w:iCs/>
          <w:sz w:val="14"/>
          <w:szCs w:val="14"/>
          <w:lang w:val="es-AR"/>
        </w:rPr>
        <w:t xml:space="preserve">, de satisfacer las condiciones precedentes aplicables, u otras dificultades; </w:t>
      </w:r>
      <w:r w:rsidR="00B66A67">
        <w:rPr>
          <w:i/>
          <w:iCs/>
          <w:sz w:val="14"/>
          <w:szCs w:val="14"/>
          <w:lang w:val="es-AR"/>
        </w:rPr>
        <w:t xml:space="preserve">riesgos asociados a la insolvencia y/o quiebra de </w:t>
      </w:r>
      <w:r w:rsidR="000F1C65">
        <w:rPr>
          <w:i/>
          <w:iCs/>
          <w:sz w:val="14"/>
          <w:szCs w:val="14"/>
          <w:lang w:val="es-AR"/>
        </w:rPr>
        <w:t>s</w:t>
      </w:r>
      <w:r w:rsidR="000F1C65" w:rsidRPr="002344DE">
        <w:rPr>
          <w:i/>
          <w:iCs/>
          <w:sz w:val="14"/>
          <w:szCs w:val="14"/>
          <w:lang w:val="es-AR"/>
        </w:rPr>
        <w:t>us</w:t>
      </w:r>
      <w:r w:rsidR="00B66A67" w:rsidRPr="002344DE">
        <w:rPr>
          <w:i/>
          <w:iCs/>
          <w:sz w:val="14"/>
          <w:szCs w:val="14"/>
          <w:lang w:val="es-AR"/>
        </w:rPr>
        <w:t xml:space="preserve"> socios </w:t>
      </w:r>
      <w:r w:rsidR="002344DE" w:rsidRPr="002344DE">
        <w:rPr>
          <w:i/>
          <w:iCs/>
          <w:sz w:val="14"/>
          <w:szCs w:val="14"/>
          <w:lang w:val="es-AR"/>
        </w:rPr>
        <w:t>de las UTE</w:t>
      </w:r>
      <w:r w:rsidR="00B66A67">
        <w:rPr>
          <w:i/>
          <w:iCs/>
          <w:sz w:val="14"/>
          <w:szCs w:val="14"/>
          <w:lang w:val="es-AR"/>
        </w:rPr>
        <w:t xml:space="preserve"> y/o los operadores de las concesiones en las que </w:t>
      </w:r>
      <w:r w:rsidR="000F1C65">
        <w:rPr>
          <w:i/>
          <w:iCs/>
          <w:sz w:val="14"/>
          <w:szCs w:val="14"/>
          <w:lang w:val="es-AR"/>
        </w:rPr>
        <w:t>tiene</w:t>
      </w:r>
      <w:r w:rsidR="00B66A67">
        <w:rPr>
          <w:i/>
          <w:iCs/>
          <w:sz w:val="14"/>
          <w:szCs w:val="14"/>
          <w:lang w:val="es-AR"/>
        </w:rPr>
        <w:t xml:space="preserve"> una participación, incluyendo el riesgo de que dicha insolvencia y/o quiebra tenga un efecto adverso sobre </w:t>
      </w:r>
      <w:r w:rsidR="00460347">
        <w:rPr>
          <w:i/>
          <w:iCs/>
          <w:sz w:val="14"/>
          <w:szCs w:val="14"/>
          <w:lang w:val="es-AR"/>
        </w:rPr>
        <w:t xml:space="preserve">alguna </w:t>
      </w:r>
      <w:r w:rsidR="00B66A67">
        <w:rPr>
          <w:i/>
          <w:iCs/>
          <w:sz w:val="14"/>
          <w:szCs w:val="14"/>
          <w:lang w:val="es-AR"/>
        </w:rPr>
        <w:t xml:space="preserve">de </w:t>
      </w:r>
      <w:r w:rsidR="000F1C65">
        <w:rPr>
          <w:i/>
          <w:iCs/>
          <w:sz w:val="14"/>
          <w:szCs w:val="14"/>
          <w:lang w:val="es-AR"/>
        </w:rPr>
        <w:t>sus</w:t>
      </w:r>
      <w:r w:rsidR="00B66A67">
        <w:rPr>
          <w:i/>
          <w:iCs/>
          <w:sz w:val="14"/>
          <w:szCs w:val="14"/>
          <w:lang w:val="es-AR"/>
        </w:rPr>
        <w:t xml:space="preserve"> UTE, </w:t>
      </w:r>
      <w:r w:rsidR="000F1C65">
        <w:rPr>
          <w:i/>
          <w:iCs/>
          <w:sz w:val="14"/>
          <w:szCs w:val="14"/>
          <w:lang w:val="es-AR"/>
        </w:rPr>
        <w:t>sus</w:t>
      </w:r>
      <w:r w:rsidR="00B66A67">
        <w:rPr>
          <w:i/>
          <w:iCs/>
          <w:sz w:val="14"/>
          <w:szCs w:val="14"/>
          <w:lang w:val="es-AR"/>
        </w:rPr>
        <w:t xml:space="preserve"> concesiones y/o la Compañía; </w:t>
      </w:r>
      <w:r w:rsidR="00781121">
        <w:rPr>
          <w:i/>
          <w:iCs/>
          <w:sz w:val="14"/>
          <w:szCs w:val="14"/>
          <w:lang w:val="es-AR"/>
        </w:rPr>
        <w:t xml:space="preserve">y </w:t>
      </w:r>
      <w:r w:rsidRPr="00717B62">
        <w:rPr>
          <w:i/>
          <w:iCs/>
          <w:sz w:val="14"/>
          <w:szCs w:val="14"/>
          <w:lang w:val="es-AR"/>
        </w:rPr>
        <w:t xml:space="preserve">los riesgos y otros factores que se describen en la sección ““Riesgos e incertidumbres del negocio”  de la reseña y perspectiva operativa y financiera de la Compañía para el período de tres meses finalizado el 31 de </w:t>
      </w:r>
      <w:r w:rsidR="00B66A67">
        <w:rPr>
          <w:i/>
          <w:iCs/>
          <w:sz w:val="14"/>
          <w:szCs w:val="14"/>
          <w:lang w:val="es-AR"/>
        </w:rPr>
        <w:t xml:space="preserve">marzo </w:t>
      </w:r>
      <w:r w:rsidRPr="00717B62">
        <w:rPr>
          <w:i/>
          <w:iCs/>
          <w:sz w:val="14"/>
          <w:szCs w:val="14"/>
          <w:lang w:val="es-AR"/>
        </w:rPr>
        <w:t xml:space="preserve">de </w:t>
      </w:r>
      <w:r w:rsidR="00B66A67">
        <w:rPr>
          <w:i/>
          <w:iCs/>
          <w:sz w:val="14"/>
          <w:szCs w:val="14"/>
          <w:lang w:val="es-AR"/>
        </w:rPr>
        <w:t>2024</w:t>
      </w:r>
      <w:r w:rsidR="00B66A67" w:rsidRPr="00717B62">
        <w:rPr>
          <w:i/>
          <w:iCs/>
          <w:sz w:val="14"/>
          <w:szCs w:val="14"/>
          <w:lang w:val="es-AR"/>
        </w:rPr>
        <w:t xml:space="preserve"> </w:t>
      </w:r>
      <w:r w:rsidRPr="00717B62">
        <w:rPr>
          <w:i/>
          <w:iCs/>
          <w:sz w:val="14"/>
          <w:szCs w:val="14"/>
          <w:lang w:val="es-AR"/>
        </w:rPr>
        <w:t>y en la sección “Factores de riesgo” del último formulario de información anual presentado por la Compañía, el cual se encuentra disponible en el sitio web de SEDAR</w:t>
      </w:r>
      <w:r w:rsidR="00F21945">
        <w:rPr>
          <w:i/>
          <w:iCs/>
          <w:sz w:val="14"/>
          <w:szCs w:val="14"/>
          <w:lang w:val="es-AR"/>
        </w:rPr>
        <w:t>+</w:t>
      </w:r>
      <w:r w:rsidRPr="00717B62">
        <w:rPr>
          <w:i/>
          <w:iCs/>
          <w:sz w:val="14"/>
          <w:szCs w:val="14"/>
          <w:lang w:val="es-AR"/>
        </w:rPr>
        <w:t>, </w:t>
      </w:r>
      <w:hyperlink r:id="rId15" w:history="1">
        <w:r w:rsidR="000A5B77" w:rsidRPr="0090454F">
          <w:rPr>
            <w:rStyle w:val="Hipervnculo"/>
            <w:i/>
            <w:iCs/>
            <w:sz w:val="14"/>
            <w:szCs w:val="14"/>
            <w:lang w:val="es-AR"/>
          </w:rPr>
          <w:t>www.sedarplus.ca</w:t>
        </w:r>
      </w:hyperlink>
      <w:r w:rsidRPr="00717B62">
        <w:rPr>
          <w:i/>
          <w:iCs/>
          <w:sz w:val="14"/>
          <w:szCs w:val="14"/>
          <w:lang w:val="es-AR"/>
        </w:rPr>
        <w:t xml:space="preserve">. Con respecto a la información sobre hechos futuros contenida en este documento, la Compañía ha elaborado supuestos respecto a diversas cuestiones, entre ellas, </w:t>
      </w:r>
      <w:r w:rsidR="000A5B77">
        <w:rPr>
          <w:i/>
          <w:iCs/>
          <w:sz w:val="14"/>
          <w:szCs w:val="14"/>
          <w:lang w:val="es-AR"/>
        </w:rPr>
        <w:t xml:space="preserve">que la Compañía concluirá la adquisición propuesta de las Concesiones de Santa Cruz en los términos descriptos en el presente en forma oportuna, incluida la capacidad de la Compañía de obtener </w:t>
      </w:r>
      <w:r w:rsidR="00F21945">
        <w:rPr>
          <w:i/>
          <w:iCs/>
          <w:sz w:val="14"/>
          <w:szCs w:val="14"/>
          <w:lang w:val="es-AR"/>
        </w:rPr>
        <w:t xml:space="preserve">el financiamiento requerido </w:t>
      </w:r>
      <w:r w:rsidR="000A5B77">
        <w:rPr>
          <w:i/>
          <w:iCs/>
          <w:sz w:val="14"/>
          <w:szCs w:val="14"/>
          <w:lang w:val="es-AR"/>
        </w:rPr>
        <w:t xml:space="preserve">para fondear la parte en efectivo del precio de compra en términos aceptables, de obtener las aprobaciones regulatorias requeridas y de satisfacer </w:t>
      </w:r>
      <w:r w:rsidR="00F21945">
        <w:rPr>
          <w:i/>
          <w:iCs/>
          <w:sz w:val="14"/>
          <w:szCs w:val="14"/>
          <w:lang w:val="es-AR"/>
        </w:rPr>
        <w:t xml:space="preserve">todas </w:t>
      </w:r>
      <w:r w:rsidR="000A5B77">
        <w:rPr>
          <w:i/>
          <w:iCs/>
          <w:sz w:val="14"/>
          <w:szCs w:val="14"/>
          <w:lang w:val="es-AR"/>
        </w:rPr>
        <w:t>las condiciones precedentes aplicables;</w:t>
      </w:r>
      <w:r w:rsidRPr="00717B62">
        <w:rPr>
          <w:i/>
          <w:iCs/>
          <w:sz w:val="14"/>
          <w:szCs w:val="14"/>
          <w:lang w:val="es-AR"/>
        </w:rPr>
        <w:t xml:space="preserve"> los costos de transporte; </w:t>
      </w:r>
      <w:r w:rsidR="001813D7">
        <w:rPr>
          <w:i/>
          <w:iCs/>
          <w:sz w:val="14"/>
          <w:szCs w:val="14"/>
          <w:lang w:val="es-AR"/>
        </w:rPr>
        <w:t>que</w:t>
      </w:r>
      <w:r w:rsidR="00660CEE">
        <w:rPr>
          <w:i/>
          <w:iCs/>
          <w:sz w:val="14"/>
          <w:szCs w:val="14"/>
          <w:lang w:val="es-AR"/>
        </w:rPr>
        <w:t xml:space="preserve"> la pandemia de COVID-19 (c</w:t>
      </w:r>
      <w:r w:rsidRPr="00717B62">
        <w:rPr>
          <w:i/>
          <w:iCs/>
          <w:sz w:val="14"/>
          <w:szCs w:val="14"/>
          <w:lang w:val="es-AR"/>
        </w:rPr>
        <w:t xml:space="preserve">oronavirus) </w:t>
      </w:r>
      <w:r w:rsidR="000A5B77">
        <w:rPr>
          <w:i/>
          <w:iCs/>
          <w:sz w:val="14"/>
          <w:szCs w:val="14"/>
          <w:lang w:val="es-AR"/>
        </w:rPr>
        <w:t>(u otra pandemia o evento sanitario mundial o regional</w:t>
      </w:r>
      <w:r w:rsidR="00EB4B3E">
        <w:rPr>
          <w:i/>
          <w:iCs/>
          <w:sz w:val="14"/>
          <w:szCs w:val="14"/>
          <w:lang w:val="es-AR"/>
        </w:rPr>
        <w:t xml:space="preserve">) </w:t>
      </w:r>
      <w:r w:rsidR="001813D7">
        <w:rPr>
          <w:i/>
          <w:iCs/>
          <w:sz w:val="14"/>
          <w:szCs w:val="14"/>
          <w:lang w:val="es-AR"/>
        </w:rPr>
        <w:t>no tendrá un impacto significativo en la Compañía y sus operaciones a futuro</w:t>
      </w:r>
      <w:r w:rsidRPr="00717B62">
        <w:rPr>
          <w:i/>
          <w:iCs/>
          <w:sz w:val="14"/>
          <w:szCs w:val="14"/>
          <w:lang w:val="es-AR"/>
        </w:rPr>
        <w:t>; la capacidad y voluntad de los países miembros de la OPEP+ y otros g</w:t>
      </w:r>
      <w:r w:rsidRPr="002344DE">
        <w:rPr>
          <w:i/>
          <w:iCs/>
          <w:sz w:val="14"/>
          <w:szCs w:val="14"/>
          <w:lang w:val="es-AR"/>
        </w:rPr>
        <w:t xml:space="preserve">randes productores de crudo de equilibrar los niveles de producción de crudo y así sostener mayores precios del crudo a escala mundial; </w:t>
      </w:r>
      <w:r w:rsidR="00B66A67" w:rsidRPr="002344DE">
        <w:rPr>
          <w:i/>
          <w:iCs/>
          <w:sz w:val="14"/>
          <w:szCs w:val="14"/>
          <w:lang w:val="es-AR"/>
        </w:rPr>
        <w:t xml:space="preserve">que </w:t>
      </w:r>
      <w:r w:rsidR="000F1C65" w:rsidRPr="002344DE">
        <w:rPr>
          <w:i/>
          <w:iCs/>
          <w:sz w:val="14"/>
          <w:szCs w:val="14"/>
          <w:lang w:val="es-AR"/>
        </w:rPr>
        <w:t>sus</w:t>
      </w:r>
      <w:r w:rsidR="00B66A67" w:rsidRPr="002344DE">
        <w:rPr>
          <w:i/>
          <w:iCs/>
          <w:sz w:val="14"/>
          <w:szCs w:val="14"/>
          <w:lang w:val="es-AR"/>
        </w:rPr>
        <w:t xml:space="preserve"> </w:t>
      </w:r>
      <w:r w:rsidR="002344DE" w:rsidRPr="002344DE">
        <w:rPr>
          <w:i/>
          <w:iCs/>
          <w:sz w:val="14"/>
          <w:szCs w:val="14"/>
          <w:lang w:val="es-AR"/>
        </w:rPr>
        <w:t>socios de las UTE</w:t>
      </w:r>
      <w:r w:rsidR="00B66A67" w:rsidRPr="002344DE">
        <w:rPr>
          <w:i/>
          <w:iCs/>
          <w:sz w:val="14"/>
          <w:szCs w:val="14"/>
          <w:lang w:val="es-AR"/>
        </w:rPr>
        <w:t xml:space="preserve"> y los operadores de </w:t>
      </w:r>
      <w:r w:rsidR="000F1C65" w:rsidRPr="002344DE">
        <w:rPr>
          <w:i/>
          <w:iCs/>
          <w:sz w:val="14"/>
          <w:szCs w:val="14"/>
          <w:lang w:val="es-AR"/>
        </w:rPr>
        <w:t>sus</w:t>
      </w:r>
      <w:r w:rsidR="00B66A67" w:rsidRPr="002344DE">
        <w:rPr>
          <w:i/>
          <w:iCs/>
          <w:sz w:val="14"/>
          <w:szCs w:val="14"/>
          <w:lang w:val="es-AR"/>
        </w:rPr>
        <w:t xml:space="preserve"> concesiones cumplan sus compromisos contractuales de manera oportuna y no se tornen insolventes ni se declare su quie</w:t>
      </w:r>
      <w:r w:rsidR="00B66A67">
        <w:rPr>
          <w:i/>
          <w:iCs/>
          <w:sz w:val="14"/>
          <w:szCs w:val="14"/>
          <w:lang w:val="es-AR"/>
        </w:rPr>
        <w:t xml:space="preserve">bra; </w:t>
      </w:r>
      <w:r w:rsidRPr="00717B62">
        <w:rPr>
          <w:i/>
          <w:iCs/>
          <w:sz w:val="14"/>
          <w:szCs w:val="14"/>
          <w:lang w:val="es-AR"/>
        </w:rPr>
        <w:t>el impacto que tiene la inflación en Argentina y la devaluación del peso argentino frente al USD para la Compañía; el impacto de una mayor competencia; la estabilidad general de la coyuntura económica y política en la que opera la Compañía</w:t>
      </w:r>
      <w:r w:rsidR="00EB4B3E">
        <w:rPr>
          <w:i/>
          <w:iCs/>
          <w:sz w:val="14"/>
          <w:szCs w:val="14"/>
          <w:lang w:val="es-AR"/>
        </w:rPr>
        <w:t xml:space="preserve"> (inclusive en relación con el presidente y vicepresidente de Argentina recientemente electos y su gobierno)</w:t>
      </w:r>
      <w:r w:rsidRPr="00717B62">
        <w:rPr>
          <w:i/>
          <w:iCs/>
          <w:sz w:val="14"/>
          <w:szCs w:val="14"/>
          <w:lang w:val="es-AR"/>
        </w:rPr>
        <w:t xml:space="preserve">, lo que abarca operar en un marco jurídico y regulatorio coherente en Argentina; los futuros precios del petróleo, gas natural y LGN (incluidos los efectos que puedan tener sobre los mismos programas de incentivo del gobierno y los controles de precios del gobierno); la recepción oportuna de las aprobaciones regulatorias requeridas; la capacidad de la Compañía de obtener empleados calificados, equipos y servicios en forma oportuna y económicamente rentable; los resultados de las actividades de perforación; el costo de obtener equipos y personal para cumplir con el plan de inversiones en bienes de capital de la Compañía; la capacidad de las operadoras de los proyectos en los que la Compañía tiene participación de operar los yacimientos de manera segura, eficiente y efectiva; el hecho de que la Compañía no pagará dividendos en el futuro previsible; la capacidad de la Compañía de obtener </w:t>
      </w:r>
      <w:r w:rsidRPr="00717B62">
        <w:rPr>
          <w:i/>
          <w:iCs/>
          <w:sz w:val="14"/>
          <w:szCs w:val="14"/>
          <w:lang w:val="es-AR"/>
        </w:rPr>
        <w:lastRenderedPageBreak/>
        <w:t>financiamiento en términos aceptables, de ser necesario y en el momento oportuno</w:t>
      </w:r>
      <w:r w:rsidR="00EB4B3E">
        <w:rPr>
          <w:i/>
          <w:iCs/>
          <w:sz w:val="14"/>
          <w:szCs w:val="14"/>
          <w:lang w:val="es-AR"/>
        </w:rPr>
        <w:t>, y de continuar como una empresa en marcha</w:t>
      </w:r>
      <w:r w:rsidRPr="00717B62">
        <w:rPr>
          <w:i/>
          <w:iCs/>
          <w:sz w:val="14"/>
          <w:szCs w:val="14"/>
          <w:lang w:val="es-AR"/>
        </w:rPr>
        <w:t>; la capacidad de la Compañía de hacer frente al servicio de sus deudas oportunamente; los índices de producción y los índices de agotamiento del yacimiento; la capacidad de reemplazar y expandir las reservas de petróleo y gas natural mediante actividades de adquisición, desarrollo y exploración; los plazos y costos de las actividades de construcción y ampliación de ductos, capacidad de almacenamiento e instalaciones y la capacidad de la Compañía de garantizar el transporte adecuado de productos; los tipos de cambio de las divisas</w:t>
      </w:r>
      <w:r w:rsidR="00AE1232">
        <w:rPr>
          <w:i/>
          <w:iCs/>
          <w:sz w:val="14"/>
          <w:szCs w:val="14"/>
          <w:lang w:val="es-AR"/>
        </w:rPr>
        <w:t>, la inflación</w:t>
      </w:r>
      <w:r w:rsidRPr="00717B62">
        <w:rPr>
          <w:i/>
          <w:iCs/>
          <w:sz w:val="14"/>
          <w:szCs w:val="14"/>
          <w:lang w:val="es-AR"/>
        </w:rPr>
        <w:t xml:space="preserve"> y las tasas de interés; el marco regulatorio en materia de regalías, impuestos y asuntos ambientales en Argentina; y la capacidad de la Compañía de comercializar exitosamente el petróleo y el gas natural que produce.  La dirección de Crown Point ha incorporado el resumen precedente de supuestos y riesgos relacionados con la información sobre hechos futuros incluida en este documento con el fin de proporcionar al público inversor una perspectiva más cabal sobre las futuras operaciones de la Compañía.  Se advierte al lector que esta información puede no ser apropiada para otros propósitos.</w:t>
      </w:r>
      <w:r w:rsidRPr="00717B62">
        <w:rPr>
          <w:sz w:val="14"/>
          <w:szCs w:val="14"/>
          <w:lang w:val="es-AR"/>
        </w:rPr>
        <w:t xml:space="preserve"> </w:t>
      </w:r>
      <w:r w:rsidRPr="00717B62">
        <w:rPr>
          <w:i/>
          <w:iCs/>
          <w:sz w:val="14"/>
          <w:szCs w:val="14"/>
          <w:lang w:val="es-AR"/>
        </w:rPr>
        <w:t>También se advierte al lector que las listas precedentes de factores no son taxativas.  La información sobre hechos futuros vertida en este documento se encuentra expresamente supeditada a esta advertencia. La información sobre hechos futuros contenida en el presente se brinda a la fecha de este documento y la Compañía desconoce toda intención u obligación de actualizarla públicamente, ya sea como consecuencia de información nueva, acontecimientos o resultados futuros o por otras razones, salvo en la medida de lo exigido por las leyes canadienses sobre títulos valores aplicables.</w:t>
      </w:r>
    </w:p>
    <w:p w:rsidR="004E259A" w:rsidRPr="00717B62" w:rsidRDefault="004E259A" w:rsidP="004E259A">
      <w:pPr>
        <w:widowControl w:val="0"/>
        <w:spacing w:before="60"/>
        <w:jc w:val="both"/>
        <w:rPr>
          <w:rFonts w:ascii="Arial" w:hAnsi="Arial"/>
          <w:b/>
          <w:i/>
          <w:sz w:val="14"/>
          <w:szCs w:val="14"/>
          <w:lang w:val="es-AR"/>
        </w:rPr>
      </w:pPr>
      <w:r w:rsidRPr="00717B62">
        <w:rPr>
          <w:rFonts w:ascii="Arial" w:hAnsi="Arial"/>
          <w:b/>
          <w:bCs/>
          <w:i/>
          <w:iCs/>
          <w:sz w:val="14"/>
          <w:szCs w:val="14"/>
          <w:lang w:val="es-AR"/>
        </w:rPr>
        <w:t>Ni la Bolsa de Valores de Toronto ni su Proveedor de Servicios Regulatorios (conforme ese término se define en las políticas de la Bolsa de Valores de Toronto) asumen responsabilidad alguna por la adecuación o exactitud de este comunicado de prensa.</w:t>
      </w:r>
    </w:p>
    <w:p w:rsidR="004E259A" w:rsidRDefault="004E259A" w:rsidP="004E259A">
      <w:pPr>
        <w:widowControl w:val="0"/>
        <w:autoSpaceDE w:val="0"/>
        <w:autoSpaceDN w:val="0"/>
        <w:adjustRightInd w:val="0"/>
        <w:spacing w:before="40"/>
        <w:jc w:val="both"/>
        <w:rPr>
          <w:rFonts w:ascii="Arial" w:hAnsi="Arial" w:cs="Arial"/>
          <w:sz w:val="16"/>
          <w:szCs w:val="16"/>
          <w:lang w:val="es-AR"/>
        </w:rPr>
      </w:pPr>
    </w:p>
    <w:p w:rsidR="004E259A" w:rsidRDefault="004E259A" w:rsidP="004E259A">
      <w:pPr>
        <w:widowControl w:val="0"/>
        <w:autoSpaceDE w:val="0"/>
        <w:autoSpaceDN w:val="0"/>
        <w:adjustRightInd w:val="0"/>
        <w:spacing w:before="40"/>
        <w:jc w:val="both"/>
        <w:rPr>
          <w:rFonts w:ascii="Arial" w:hAnsi="Arial" w:cs="Arial"/>
          <w:sz w:val="16"/>
          <w:szCs w:val="16"/>
          <w:lang w:val="es-AR"/>
        </w:rPr>
      </w:pPr>
    </w:p>
    <w:sectPr w:rsidR="004E259A" w:rsidSect="000D0E50">
      <w:headerReference w:type="default" r:id="rId16"/>
      <w:footerReference w:type="default" r:id="rId17"/>
      <w:pgSz w:w="12240" w:h="15840"/>
      <w:pgMar w:top="1440" w:right="1440" w:bottom="1260" w:left="1440" w:header="36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7F" w:rsidRDefault="0096627F" w:rsidP="00451CF4">
      <w:r>
        <w:separator/>
      </w:r>
    </w:p>
  </w:endnote>
  <w:endnote w:type="continuationSeparator" w:id="0">
    <w:p w:rsidR="0096627F" w:rsidRDefault="0096627F" w:rsidP="00451CF4">
      <w:r>
        <w:continuationSeparator/>
      </w:r>
    </w:p>
  </w:endnote>
  <w:endnote w:type="continuationNotice" w:id="1">
    <w:p w:rsidR="0096627F" w:rsidRDefault="00966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ngravrsRoman B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7F" w:rsidRDefault="0096627F" w:rsidP="00F768A1">
    <w:pPr>
      <w:pStyle w:val="Piedepgina"/>
      <w:jc w:val="center"/>
      <w:rPr>
        <w:rFonts w:ascii="Arial Narrow" w:hAnsi="Arial Narrow"/>
        <w:color w:val="002060"/>
        <w:sz w:val="20"/>
        <w:szCs w:val="20"/>
      </w:rPr>
    </w:pPr>
    <w:r>
      <w:rPr>
        <w:rFonts w:ascii="Arial Narrow" w:hAnsi="Arial Narrow"/>
        <w:color w:val="002060"/>
        <w:sz w:val="20"/>
        <w:szCs w:val="20"/>
        <w:lang w:val="es-AR"/>
      </w:rPr>
      <w:t xml:space="preserve">PO Box 1562 Station M., Calgary, Alberta, Canada T2P 3B9 </w:t>
    </w:r>
    <w:r>
      <w:rPr>
        <w:rFonts w:ascii="Arial Narrow" w:hAnsi="Arial Narrow"/>
        <w:b/>
        <w:bCs/>
        <w:color w:val="002060"/>
        <w:sz w:val="20"/>
        <w:szCs w:val="20"/>
        <w:lang w:val="es-AR"/>
      </w:rPr>
      <w:t>T</w:t>
    </w:r>
    <w:r>
      <w:rPr>
        <w:rFonts w:ascii="Arial Narrow" w:hAnsi="Arial Narrow"/>
        <w:color w:val="002060"/>
        <w:sz w:val="20"/>
        <w:szCs w:val="20"/>
        <w:lang w:val="es-AR"/>
      </w:rPr>
      <w:t xml:space="preserve"> 403.232.1150 </w:t>
    </w:r>
    <w:r>
      <w:rPr>
        <w:rFonts w:ascii="Arial Narrow" w:hAnsi="Arial Narrow"/>
        <w:b/>
        <w:bCs/>
        <w:color w:val="002060"/>
        <w:sz w:val="20"/>
        <w:szCs w:val="20"/>
        <w:lang w:val="es-AR"/>
      </w:rPr>
      <w:t>F</w:t>
    </w:r>
    <w:r>
      <w:rPr>
        <w:rFonts w:ascii="Arial Narrow" w:hAnsi="Arial Narrow"/>
        <w:color w:val="002060"/>
        <w:sz w:val="20"/>
        <w:szCs w:val="20"/>
        <w:lang w:val="es-AR"/>
      </w:rPr>
      <w:t xml:space="preserve"> 403.232.1158</w:t>
    </w:r>
  </w:p>
  <w:p w:rsidR="0096627F" w:rsidRDefault="0096627F" w:rsidP="00F768A1">
    <w:pPr>
      <w:pStyle w:val="Piedepgina"/>
      <w:jc w:val="center"/>
      <w:rPr>
        <w:rFonts w:ascii="Arial Narrow" w:hAnsi="Arial Narrow"/>
        <w:b/>
        <w:color w:val="002060"/>
        <w:sz w:val="20"/>
        <w:szCs w:val="20"/>
      </w:rPr>
    </w:pPr>
    <w:r>
      <w:rPr>
        <w:rFonts w:ascii="Arial Narrow" w:hAnsi="Arial Narrow"/>
        <w:b/>
        <w:bCs/>
        <w:color w:val="002060"/>
        <w:sz w:val="20"/>
        <w:szCs w:val="20"/>
        <w:lang w:val="es-AR"/>
      </w:rPr>
      <w:t>www.crownpointenergy.com</w:t>
    </w:r>
  </w:p>
  <w:p w:rsidR="0096627F" w:rsidRPr="005E10D3" w:rsidRDefault="0096627F" w:rsidP="00FD5D14">
    <w:pPr>
      <w:pStyle w:val="Piedepgina"/>
      <w:spacing w:line="200" w:lineRule="exact"/>
      <w:rPr>
        <w:rFonts w:ascii="Arial Narrow" w:hAnsi="Arial Narrow"/>
        <w:b/>
        <w:color w:val="0020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7F" w:rsidRDefault="0096627F" w:rsidP="00451CF4">
      <w:r>
        <w:separator/>
      </w:r>
    </w:p>
  </w:footnote>
  <w:footnote w:type="continuationSeparator" w:id="0">
    <w:p w:rsidR="0096627F" w:rsidRDefault="0096627F" w:rsidP="00451CF4">
      <w:r>
        <w:continuationSeparator/>
      </w:r>
    </w:p>
  </w:footnote>
  <w:footnote w:type="continuationNotice" w:id="1">
    <w:p w:rsidR="0096627F" w:rsidRDefault="0096627F"/>
  </w:footnote>
  <w:footnote w:id="2">
    <w:p w:rsidR="0096627F" w:rsidRPr="00320949" w:rsidRDefault="0096627F">
      <w:pPr>
        <w:pStyle w:val="Textonotapie"/>
        <w:rPr>
          <w:rFonts w:ascii="Arial" w:hAnsi="Arial" w:cs="Arial"/>
          <w:sz w:val="16"/>
          <w:szCs w:val="16"/>
          <w:lang w:val="es-ES_tradnl"/>
        </w:rPr>
      </w:pPr>
      <w:r>
        <w:rPr>
          <w:rStyle w:val="Refdenotaalpie"/>
          <w:rFonts w:ascii="Arial" w:hAnsi="Arial" w:cs="Arial"/>
          <w:sz w:val="16"/>
          <w:szCs w:val="16"/>
          <w:lang w:val="es-AR"/>
        </w:rPr>
        <w:footnoteRef/>
      </w:r>
      <w:r>
        <w:rPr>
          <w:rFonts w:ascii="Arial" w:hAnsi="Arial" w:cs="Arial"/>
          <w:sz w:val="16"/>
          <w:szCs w:val="16"/>
          <w:lang w:val="es-AR"/>
        </w:rPr>
        <w:t xml:space="preserve"> Índice financiero no contemplado en las NIIF.  Véase "Medidas no contempladas en las NIIF y otras medidas financieras".</w:t>
      </w:r>
    </w:p>
  </w:footnote>
  <w:footnote w:id="3">
    <w:p w:rsidR="0096627F" w:rsidRPr="00320949" w:rsidRDefault="0096627F">
      <w:pPr>
        <w:pStyle w:val="Textonotapie"/>
        <w:rPr>
          <w:rFonts w:ascii="Arial" w:hAnsi="Arial" w:cs="Arial"/>
          <w:sz w:val="14"/>
          <w:szCs w:val="14"/>
          <w:lang w:val="es-ES_tradnl"/>
        </w:rPr>
      </w:pPr>
      <w:r>
        <w:rPr>
          <w:rStyle w:val="Refdenotaalpie"/>
          <w:rFonts w:ascii="Arial" w:hAnsi="Arial" w:cs="Arial"/>
          <w:sz w:val="16"/>
          <w:szCs w:val="16"/>
          <w:lang w:val="es-AR"/>
        </w:rPr>
        <w:footnoteRef/>
      </w:r>
      <w:r>
        <w:rPr>
          <w:rFonts w:ascii="Arial" w:hAnsi="Arial" w:cs="Arial"/>
          <w:sz w:val="16"/>
          <w:szCs w:val="16"/>
          <w:lang w:val="es-AR"/>
        </w:rPr>
        <w:t xml:space="preserve"> Medida de gestión de capital.  Véase "Medidas no contempladas en las NIIF y otras medidas financieras".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7F" w:rsidRDefault="0096627F" w:rsidP="00451CF4">
    <w:pPr>
      <w:pStyle w:val="Encabezado"/>
      <w:ind w:left="540" w:hanging="540"/>
      <w:jc w:val="right"/>
    </w:pPr>
    <w:r>
      <w:rPr>
        <w:noProof/>
        <w:lang w:val="es-ES_tradnl" w:eastAsia="es-ES_tradnl"/>
      </w:rPr>
      <w:drawing>
        <wp:inline distT="0" distB="0" distL="0" distR="0">
          <wp:extent cx="1697355" cy="1038860"/>
          <wp:effectExtent l="19050" t="0" r="0" b="0"/>
          <wp:docPr id="1" name="Picture 0" descr="CWV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WV_new logo.jpg"/>
                  <pic:cNvPicPr>
                    <a:picLocks noChangeAspect="1" noChangeArrowheads="1"/>
                  </pic:cNvPicPr>
                </pic:nvPicPr>
                <pic:blipFill>
                  <a:blip r:embed="rId1"/>
                  <a:srcRect t="6818"/>
                  <a:stretch>
                    <a:fillRect/>
                  </a:stretch>
                </pic:blipFill>
                <pic:spPr bwMode="auto">
                  <a:xfrm>
                    <a:off x="0" y="0"/>
                    <a:ext cx="1697355" cy="1038860"/>
                  </a:xfrm>
                  <a:prstGeom prst="rect">
                    <a:avLst/>
                  </a:prstGeom>
                  <a:noFill/>
                  <a:ln w="9525">
                    <a:noFill/>
                    <a:miter lim="800000"/>
                    <a:headEnd/>
                    <a:tailEnd/>
                  </a:ln>
                </pic:spPr>
              </pic:pic>
            </a:graphicData>
          </a:graphic>
        </wp:inline>
      </w:drawing>
    </w:r>
  </w:p>
  <w:p w:rsidR="0096627F" w:rsidRDefault="0096627F" w:rsidP="00451CF4">
    <w:pPr>
      <w:pStyle w:val="Encabezado"/>
      <w:ind w:left="540" w:hanging="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416895CE"/>
    <w:lvl w:ilvl="0">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1">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2">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3">
      <w:start w:val="1"/>
      <w:numFmt w:val="none"/>
      <w:lvlRestart w:val="0"/>
      <w:suff w:val="nothing"/>
      <w:lvlText w:val=""/>
      <w:lvlJc w:val="left"/>
      <w:pPr>
        <w:tabs>
          <w:tab w:val="num" w:pos="1440"/>
        </w:tabs>
        <w:ind w:left="720"/>
      </w:pPr>
      <w:rPr>
        <w:rFonts w:ascii="Times New Roman" w:hAnsi="Times New Roman" w:cs="Times New Roman"/>
        <w:b w:val="0"/>
        <w:i w:val="0"/>
        <w:caps w:val="0"/>
        <w:color w:val="auto"/>
        <w:sz w:val="22"/>
        <w:u w:val="none"/>
      </w:rPr>
    </w:lvl>
    <w:lvl w:ilvl="4">
      <w:start w:val="1"/>
      <w:numFmt w:val="decimal"/>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suff w:val="nothing"/>
      <w:lvlText w:val=""/>
      <w:lvlJc w:val="left"/>
      <w:pPr>
        <w:tabs>
          <w:tab w:val="num" w:pos="720"/>
        </w:tabs>
      </w:pPr>
      <w:rPr>
        <w:rFonts w:ascii="Times New Roman" w:hAnsi="Times New Roman" w:cs="Times New Roman"/>
        <w:b w:val="0"/>
        <w:i w:val="0"/>
        <w:caps w:val="0"/>
        <w:color w:val="auto"/>
        <w:sz w:val="18"/>
        <w:u w:val="none"/>
      </w:rPr>
    </w:lvl>
    <w:lvl w:ilvl="8">
      <w:start w:val="1"/>
      <w:numFmt w:val="decimal"/>
      <w:lvlText w:val="(%9)"/>
      <w:lvlJc w:val="left"/>
      <w:pPr>
        <w:tabs>
          <w:tab w:val="num" w:pos="900"/>
        </w:tabs>
        <w:ind w:left="720" w:hanging="720"/>
      </w:pPr>
      <w:rPr>
        <w:rFonts w:ascii="Times New Roman" w:hAnsi="Times New Roman" w:cs="Times New Roman"/>
        <w:b w:val="0"/>
        <w:i w:val="0"/>
        <w:caps w:val="0"/>
        <w:color w:val="auto"/>
        <w:sz w:val="12"/>
        <w:u w:val="none"/>
      </w:rPr>
    </w:lvl>
  </w:abstractNum>
  <w:abstractNum w:abstractNumId="1">
    <w:nsid w:val="012C29E5"/>
    <w:multiLevelType w:val="hybridMultilevel"/>
    <w:tmpl w:val="D24069C4"/>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5067914"/>
    <w:multiLevelType w:val="hybridMultilevel"/>
    <w:tmpl w:val="87764B36"/>
    <w:lvl w:ilvl="0" w:tplc="E16C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E5863"/>
    <w:multiLevelType w:val="hybridMultilevel"/>
    <w:tmpl w:val="11B0C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BE5D24"/>
    <w:multiLevelType w:val="hybridMultilevel"/>
    <w:tmpl w:val="7E7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2B3237"/>
    <w:multiLevelType w:val="multilevel"/>
    <w:tmpl w:val="E2B49FE0"/>
    <w:name w:val="zzmpSecurity||Security|2|3|0|0|0|41||0|0|33||0|0|35||0|0|34||1|0|32||1|0|32||1|0|32||0|0|32||1|0|34||"/>
    <w:lvl w:ilvl="0">
      <w:start w:val="1"/>
      <w:numFmt w:val="none"/>
      <w:lvlRestart w:val="0"/>
      <w:pStyle w:val="SecurityL1"/>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1">
      <w:start w:val="1"/>
      <w:numFmt w:val="none"/>
      <w:lvlRestart w:val="0"/>
      <w:pStyle w:val="SecurityL2"/>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2">
      <w:start w:val="1"/>
      <w:numFmt w:val="none"/>
      <w:lvlRestart w:val="0"/>
      <w:pStyle w:val="SecurityL3"/>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3">
      <w:start w:val="1"/>
      <w:numFmt w:val="none"/>
      <w:lvlRestart w:val="0"/>
      <w:pStyle w:val="SecurityL4"/>
      <w:suff w:val="nothing"/>
      <w:lvlText w:val=""/>
      <w:lvlJc w:val="left"/>
      <w:pPr>
        <w:tabs>
          <w:tab w:val="num" w:pos="1440"/>
        </w:tabs>
        <w:ind w:left="720" w:firstLine="0"/>
      </w:pPr>
      <w:rPr>
        <w:rFonts w:ascii="Times New Roman" w:hAnsi="Times New Roman" w:cs="Times New Roman"/>
        <w:b w:val="0"/>
        <w:i w:val="0"/>
        <w:caps w:val="0"/>
        <w:color w:val="auto"/>
        <w:sz w:val="22"/>
        <w:u w:val="none"/>
      </w:rPr>
    </w:lvl>
    <w:lvl w:ilvl="4">
      <w:start w:val="1"/>
      <w:numFmt w:val="decimal"/>
      <w:pStyle w:val="Security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urityL6"/>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urityL8"/>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cs="Times New Roman"/>
        <w:b w:val="0"/>
        <w:i/>
        <w:caps w:val="0"/>
        <w:color w:val="auto"/>
        <w:sz w:val="18"/>
        <w:u w:val="none"/>
      </w:rPr>
    </w:lvl>
  </w:abstractNum>
  <w:abstractNum w:abstractNumId="6">
    <w:nsid w:val="12B556C4"/>
    <w:multiLevelType w:val="hybridMultilevel"/>
    <w:tmpl w:val="B09863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nsid w:val="14577A96"/>
    <w:multiLevelType w:val="hybridMultilevel"/>
    <w:tmpl w:val="8D3A53C0"/>
    <w:lvl w:ilvl="0" w:tplc="10090001">
      <w:start w:val="1"/>
      <w:numFmt w:val="bullet"/>
      <w:lvlText w:val=""/>
      <w:lvlJc w:val="left"/>
      <w:pPr>
        <w:ind w:left="720" w:hanging="360"/>
      </w:pPr>
      <w:rPr>
        <w:rFonts w:ascii="Symbol" w:hAnsi="Symbol" w:hint="default"/>
      </w:rPr>
    </w:lvl>
    <w:lvl w:ilvl="1" w:tplc="5F8258F0">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A46E63"/>
    <w:multiLevelType w:val="hybridMultilevel"/>
    <w:tmpl w:val="10BA3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B902948"/>
    <w:multiLevelType w:val="hybridMultilevel"/>
    <w:tmpl w:val="CD7C8C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D617EC"/>
    <w:multiLevelType w:val="hybridMultilevel"/>
    <w:tmpl w:val="EC2E31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4B04C5"/>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FE10E4"/>
    <w:multiLevelType w:val="hybridMultilevel"/>
    <w:tmpl w:val="68028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0980EAD"/>
    <w:multiLevelType w:val="hybridMultilevel"/>
    <w:tmpl w:val="84C04322"/>
    <w:lvl w:ilvl="0" w:tplc="5F8258F0">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23510409"/>
    <w:multiLevelType w:val="hybridMultilevel"/>
    <w:tmpl w:val="0BD099FA"/>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nsid w:val="32FE0003"/>
    <w:multiLevelType w:val="hybridMultilevel"/>
    <w:tmpl w:val="EC04E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71138"/>
    <w:multiLevelType w:val="hybridMultilevel"/>
    <w:tmpl w:val="7EF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77F0F"/>
    <w:multiLevelType w:val="hybridMultilevel"/>
    <w:tmpl w:val="8F368B92"/>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nsid w:val="43060989"/>
    <w:multiLevelType w:val="hybridMultilevel"/>
    <w:tmpl w:val="E890588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45CF493B"/>
    <w:multiLevelType w:val="hybridMultilevel"/>
    <w:tmpl w:val="4E3C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9A0421F"/>
    <w:multiLevelType w:val="hybridMultilevel"/>
    <w:tmpl w:val="B7F49D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9508DC"/>
    <w:multiLevelType w:val="hybridMultilevel"/>
    <w:tmpl w:val="E5A6C3C0"/>
    <w:lvl w:ilvl="0" w:tplc="C224835C">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AA27161"/>
    <w:multiLevelType w:val="hybridMultilevel"/>
    <w:tmpl w:val="CFF8D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E5A0A38"/>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D73D7"/>
    <w:multiLevelType w:val="hybridMultilevel"/>
    <w:tmpl w:val="AEE87EBA"/>
    <w:lvl w:ilvl="0" w:tplc="04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1FC6DD3"/>
    <w:multiLevelType w:val="hybridMultilevel"/>
    <w:tmpl w:val="F4E0B8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5624EAB"/>
    <w:multiLevelType w:val="hybridMultilevel"/>
    <w:tmpl w:val="545A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AD6472"/>
    <w:multiLevelType w:val="hybridMultilevel"/>
    <w:tmpl w:val="4FC6D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7C6162F"/>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9E7C79"/>
    <w:multiLevelType w:val="hybridMultilevel"/>
    <w:tmpl w:val="257A3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981771C"/>
    <w:multiLevelType w:val="hybridMultilevel"/>
    <w:tmpl w:val="5F44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9E3173E"/>
    <w:multiLevelType w:val="hybridMultilevel"/>
    <w:tmpl w:val="530A0B36"/>
    <w:lvl w:ilvl="0" w:tplc="0409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F4D5A9C"/>
    <w:multiLevelType w:val="hybridMultilevel"/>
    <w:tmpl w:val="9FC61CD0"/>
    <w:lvl w:ilvl="0" w:tplc="DB14293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2D5D06"/>
    <w:multiLevelType w:val="hybridMultilevel"/>
    <w:tmpl w:val="E9924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A87E83"/>
    <w:multiLevelType w:val="hybridMultilevel"/>
    <w:tmpl w:val="70EA4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7EA5528"/>
    <w:multiLevelType w:val="hybridMultilevel"/>
    <w:tmpl w:val="D5E2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B1D7463"/>
    <w:multiLevelType w:val="hybridMultilevel"/>
    <w:tmpl w:val="9E42C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B9618F"/>
    <w:multiLevelType w:val="hybridMultilevel"/>
    <w:tmpl w:val="0052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4733F0"/>
    <w:multiLevelType w:val="hybridMultilevel"/>
    <w:tmpl w:val="9C722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DAB15B3"/>
    <w:multiLevelType w:val="multilevel"/>
    <w:tmpl w:val="8D80E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EAD222E"/>
    <w:multiLevelType w:val="hybridMultilevel"/>
    <w:tmpl w:val="148CA5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FF6113A"/>
    <w:multiLevelType w:val="hybridMultilevel"/>
    <w:tmpl w:val="220EEEF2"/>
    <w:lvl w:ilvl="0" w:tplc="521A2B4C">
      <w:start w:val="1"/>
      <w:numFmt w:val="lowerLetter"/>
      <w:lvlText w:val="(%1)"/>
      <w:lvlJc w:val="left"/>
      <w:pPr>
        <w:ind w:left="1800" w:hanging="360"/>
      </w:pPr>
      <w:rPr>
        <w:rFonts w:ascii="Arial" w:hAnsi="Arial" w:hint="default"/>
        <w:b w:val="0"/>
        <w:i w:val="0"/>
        <w:caps w:val="0"/>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2F6270F"/>
    <w:multiLevelType w:val="hybridMultilevel"/>
    <w:tmpl w:val="32CC245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39E44B9"/>
    <w:multiLevelType w:val="hybridMultilevel"/>
    <w:tmpl w:val="3D401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3B819FB"/>
    <w:multiLevelType w:val="hybridMultilevel"/>
    <w:tmpl w:val="BB3A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5025C1"/>
    <w:multiLevelType w:val="hybridMultilevel"/>
    <w:tmpl w:val="4F14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CB4464E"/>
    <w:multiLevelType w:val="hybridMultilevel"/>
    <w:tmpl w:val="9EE2C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F2D22EE"/>
    <w:multiLevelType w:val="hybridMultilevel"/>
    <w:tmpl w:val="8D80E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2"/>
  </w:num>
  <w:num w:numId="4">
    <w:abstractNumId w:val="7"/>
  </w:num>
  <w:num w:numId="5">
    <w:abstractNumId w:val="25"/>
  </w:num>
  <w:num w:numId="6">
    <w:abstractNumId w:val="4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38"/>
  </w:num>
  <w:num w:numId="12">
    <w:abstractNumId w:val="16"/>
  </w:num>
  <w:num w:numId="13">
    <w:abstractNumId w:val="2"/>
  </w:num>
  <w:num w:numId="14">
    <w:abstractNumId w:val="26"/>
  </w:num>
  <w:num w:numId="15">
    <w:abstractNumId w:val="20"/>
  </w:num>
  <w:num w:numId="16">
    <w:abstractNumId w:val="43"/>
  </w:num>
  <w:num w:numId="17">
    <w:abstractNumId w:val="4"/>
  </w:num>
  <w:num w:numId="18">
    <w:abstractNumId w:val="29"/>
  </w:num>
  <w:num w:numId="19">
    <w:abstractNumId w:val="8"/>
  </w:num>
  <w:num w:numId="20">
    <w:abstractNumId w:val="34"/>
  </w:num>
  <w:num w:numId="21">
    <w:abstractNumId w:val="6"/>
  </w:num>
  <w:num w:numId="22">
    <w:abstractNumId w:val="13"/>
  </w:num>
  <w:num w:numId="23">
    <w:abstractNumId w:val="14"/>
  </w:num>
  <w:num w:numId="24">
    <w:abstractNumId w:val="17"/>
  </w:num>
  <w:num w:numId="25">
    <w:abstractNumId w:val="30"/>
  </w:num>
  <w:num w:numId="26">
    <w:abstractNumId w:val="27"/>
  </w:num>
  <w:num w:numId="27">
    <w:abstractNumId w:val="9"/>
  </w:num>
  <w:num w:numId="28">
    <w:abstractNumId w:val="35"/>
  </w:num>
  <w:num w:numId="29">
    <w:abstractNumId w:val="19"/>
  </w:num>
  <w:num w:numId="30">
    <w:abstractNumId w:val="10"/>
  </w:num>
  <w:num w:numId="31">
    <w:abstractNumId w:val="46"/>
  </w:num>
  <w:num w:numId="32">
    <w:abstractNumId w:val="40"/>
  </w:num>
  <w:num w:numId="33">
    <w:abstractNumId w:val="47"/>
  </w:num>
  <w:num w:numId="34">
    <w:abstractNumId w:val="44"/>
  </w:num>
  <w:num w:numId="35">
    <w:abstractNumId w:val="23"/>
  </w:num>
  <w:num w:numId="36">
    <w:abstractNumId w:val="11"/>
  </w:num>
  <w:num w:numId="37">
    <w:abstractNumId w:val="39"/>
  </w:num>
  <w:num w:numId="38">
    <w:abstractNumId w:val="33"/>
  </w:num>
  <w:num w:numId="39">
    <w:abstractNumId w:val="22"/>
  </w:num>
  <w:num w:numId="40">
    <w:abstractNumId w:val="0"/>
  </w:num>
  <w:num w:numId="41">
    <w:abstractNumId w:val="41"/>
  </w:num>
  <w:num w:numId="42">
    <w:abstractNumId w:val="24"/>
  </w:num>
  <w:num w:numId="43">
    <w:abstractNumId w:val="15"/>
  </w:num>
  <w:num w:numId="44">
    <w:abstractNumId w:val="1"/>
  </w:num>
  <w:num w:numId="45">
    <w:abstractNumId w:val="47"/>
  </w:num>
  <w:num w:numId="46">
    <w:abstractNumId w:val="32"/>
  </w:num>
  <w:num w:numId="47">
    <w:abstractNumId w:val="21"/>
  </w:num>
  <w:num w:numId="48">
    <w:abstractNumId w:val="36"/>
  </w:num>
  <w:num w:numId="49">
    <w:abstractNumId w:val="3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s-AR"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fr-CA"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Ón"/>
    <w:docVar w:name="85TrailerDateField" w:val="~}šÓj"/>
    <w:docVar w:name="85TrailerDraft" w:val="~}¡Óc"/>
    <w:docVar w:name="85TrailerTime" w:val="~}›Ói"/>
    <w:docVar w:name="DocStamp_1_OptionalControlValues" w:val="~} Ó"/>
    <w:docVar w:name="MPDocID" w:val="~}Óhiknilkjhg"/>
    <w:docVar w:name="MPDocIDTemplate" w:val="~}—Ó"/>
    <w:docVar w:name="MPDocIDTemplateDefault" w:val="~}ŸÓZ¤e]ª"/>
    <w:docVar w:name="NewDocStampType" w:val="~}¢Ói"/>
    <w:docVar w:name="zzmp10NoTrailerPromptID" w:val="Active.11548722.1"/>
  </w:docVars>
  <w:rsids>
    <w:rsidRoot w:val="00451CF4"/>
    <w:rsid w:val="00002052"/>
    <w:rsid w:val="00002CBC"/>
    <w:rsid w:val="00003873"/>
    <w:rsid w:val="00004044"/>
    <w:rsid w:val="000064D8"/>
    <w:rsid w:val="00010DF6"/>
    <w:rsid w:val="00010F36"/>
    <w:rsid w:val="00013941"/>
    <w:rsid w:val="00016F54"/>
    <w:rsid w:val="00017090"/>
    <w:rsid w:val="00020D0D"/>
    <w:rsid w:val="0002124D"/>
    <w:rsid w:val="00021565"/>
    <w:rsid w:val="00023706"/>
    <w:rsid w:val="00023BC5"/>
    <w:rsid w:val="00023DBC"/>
    <w:rsid w:val="00025614"/>
    <w:rsid w:val="00025949"/>
    <w:rsid w:val="0002742B"/>
    <w:rsid w:val="00031C63"/>
    <w:rsid w:val="000327A2"/>
    <w:rsid w:val="000328AA"/>
    <w:rsid w:val="00033C41"/>
    <w:rsid w:val="00033EA2"/>
    <w:rsid w:val="000359CC"/>
    <w:rsid w:val="000365C5"/>
    <w:rsid w:val="00036D51"/>
    <w:rsid w:val="00040690"/>
    <w:rsid w:val="00040FBA"/>
    <w:rsid w:val="0004158B"/>
    <w:rsid w:val="0004284E"/>
    <w:rsid w:val="00042B65"/>
    <w:rsid w:val="00043229"/>
    <w:rsid w:val="00043586"/>
    <w:rsid w:val="00043C17"/>
    <w:rsid w:val="00043F8E"/>
    <w:rsid w:val="0004484E"/>
    <w:rsid w:val="0004588D"/>
    <w:rsid w:val="0004735E"/>
    <w:rsid w:val="0004747B"/>
    <w:rsid w:val="000504E8"/>
    <w:rsid w:val="00050555"/>
    <w:rsid w:val="00050A9F"/>
    <w:rsid w:val="00050DBD"/>
    <w:rsid w:val="000528F0"/>
    <w:rsid w:val="00057387"/>
    <w:rsid w:val="00061FDB"/>
    <w:rsid w:val="0006263A"/>
    <w:rsid w:val="00062C79"/>
    <w:rsid w:val="00064773"/>
    <w:rsid w:val="0006551B"/>
    <w:rsid w:val="000716D5"/>
    <w:rsid w:val="00071BCD"/>
    <w:rsid w:val="00071DF4"/>
    <w:rsid w:val="00077A03"/>
    <w:rsid w:val="00082FA6"/>
    <w:rsid w:val="00084355"/>
    <w:rsid w:val="000853A5"/>
    <w:rsid w:val="00087147"/>
    <w:rsid w:val="00092E13"/>
    <w:rsid w:val="000932B1"/>
    <w:rsid w:val="00096F6B"/>
    <w:rsid w:val="00096FA7"/>
    <w:rsid w:val="00097F5E"/>
    <w:rsid w:val="000A1EF3"/>
    <w:rsid w:val="000A5B77"/>
    <w:rsid w:val="000B0A76"/>
    <w:rsid w:val="000B11A0"/>
    <w:rsid w:val="000B18A4"/>
    <w:rsid w:val="000B2104"/>
    <w:rsid w:val="000B226F"/>
    <w:rsid w:val="000B260D"/>
    <w:rsid w:val="000B42AC"/>
    <w:rsid w:val="000B4702"/>
    <w:rsid w:val="000B5AC7"/>
    <w:rsid w:val="000B712C"/>
    <w:rsid w:val="000C124D"/>
    <w:rsid w:val="000C3157"/>
    <w:rsid w:val="000C5953"/>
    <w:rsid w:val="000D001A"/>
    <w:rsid w:val="000D0E50"/>
    <w:rsid w:val="000D1245"/>
    <w:rsid w:val="000D3E93"/>
    <w:rsid w:val="000D45D4"/>
    <w:rsid w:val="000D67E4"/>
    <w:rsid w:val="000D7DDC"/>
    <w:rsid w:val="000E1597"/>
    <w:rsid w:val="000E15D7"/>
    <w:rsid w:val="000E2B52"/>
    <w:rsid w:val="000E3366"/>
    <w:rsid w:val="000E466B"/>
    <w:rsid w:val="000E565B"/>
    <w:rsid w:val="000F076D"/>
    <w:rsid w:val="000F113B"/>
    <w:rsid w:val="000F1C65"/>
    <w:rsid w:val="000F2EBB"/>
    <w:rsid w:val="000F4F65"/>
    <w:rsid w:val="000F5DC2"/>
    <w:rsid w:val="000F6D34"/>
    <w:rsid w:val="000F6DC0"/>
    <w:rsid w:val="00100490"/>
    <w:rsid w:val="0010536B"/>
    <w:rsid w:val="00105738"/>
    <w:rsid w:val="00105A4A"/>
    <w:rsid w:val="00106A1F"/>
    <w:rsid w:val="00107F1A"/>
    <w:rsid w:val="00111924"/>
    <w:rsid w:val="00111AED"/>
    <w:rsid w:val="00111F93"/>
    <w:rsid w:val="0011602C"/>
    <w:rsid w:val="001221DA"/>
    <w:rsid w:val="00124B40"/>
    <w:rsid w:val="00124CC6"/>
    <w:rsid w:val="0012698E"/>
    <w:rsid w:val="00127416"/>
    <w:rsid w:val="00130191"/>
    <w:rsid w:val="00130CE8"/>
    <w:rsid w:val="00133EFB"/>
    <w:rsid w:val="001340CF"/>
    <w:rsid w:val="001350B6"/>
    <w:rsid w:val="001402A6"/>
    <w:rsid w:val="00143924"/>
    <w:rsid w:val="001448D4"/>
    <w:rsid w:val="00147EB6"/>
    <w:rsid w:val="00150AAE"/>
    <w:rsid w:val="00150D8D"/>
    <w:rsid w:val="00151262"/>
    <w:rsid w:val="00152632"/>
    <w:rsid w:val="001548FF"/>
    <w:rsid w:val="0015763C"/>
    <w:rsid w:val="0016148F"/>
    <w:rsid w:val="00163687"/>
    <w:rsid w:val="00163CC7"/>
    <w:rsid w:val="00163F57"/>
    <w:rsid w:val="00165DB6"/>
    <w:rsid w:val="00165FD0"/>
    <w:rsid w:val="00166A46"/>
    <w:rsid w:val="0016764C"/>
    <w:rsid w:val="00171E7C"/>
    <w:rsid w:val="00172E2F"/>
    <w:rsid w:val="001736B6"/>
    <w:rsid w:val="00175025"/>
    <w:rsid w:val="001757BE"/>
    <w:rsid w:val="00177A20"/>
    <w:rsid w:val="0018034E"/>
    <w:rsid w:val="00180591"/>
    <w:rsid w:val="001813D7"/>
    <w:rsid w:val="0018209F"/>
    <w:rsid w:val="00183B25"/>
    <w:rsid w:val="0018437C"/>
    <w:rsid w:val="00184829"/>
    <w:rsid w:val="00186D93"/>
    <w:rsid w:val="0019019A"/>
    <w:rsid w:val="00191DD8"/>
    <w:rsid w:val="0019349D"/>
    <w:rsid w:val="00193809"/>
    <w:rsid w:val="0019396D"/>
    <w:rsid w:val="00193DB3"/>
    <w:rsid w:val="001958AD"/>
    <w:rsid w:val="001959BF"/>
    <w:rsid w:val="001962FB"/>
    <w:rsid w:val="00197745"/>
    <w:rsid w:val="001A0FBE"/>
    <w:rsid w:val="001A18FA"/>
    <w:rsid w:val="001A2143"/>
    <w:rsid w:val="001A2FFF"/>
    <w:rsid w:val="001A4EF4"/>
    <w:rsid w:val="001A566D"/>
    <w:rsid w:val="001A5D38"/>
    <w:rsid w:val="001A750D"/>
    <w:rsid w:val="001B3527"/>
    <w:rsid w:val="001B3DD2"/>
    <w:rsid w:val="001B4784"/>
    <w:rsid w:val="001B5749"/>
    <w:rsid w:val="001C13CF"/>
    <w:rsid w:val="001C23B1"/>
    <w:rsid w:val="001C3A55"/>
    <w:rsid w:val="001C4321"/>
    <w:rsid w:val="001C57CC"/>
    <w:rsid w:val="001C732D"/>
    <w:rsid w:val="001D1F97"/>
    <w:rsid w:val="001D2046"/>
    <w:rsid w:val="001D3C6E"/>
    <w:rsid w:val="001D4E4B"/>
    <w:rsid w:val="001D50E7"/>
    <w:rsid w:val="001D7957"/>
    <w:rsid w:val="001E04EC"/>
    <w:rsid w:val="001E082A"/>
    <w:rsid w:val="001E2415"/>
    <w:rsid w:val="001E38D5"/>
    <w:rsid w:val="001E52F0"/>
    <w:rsid w:val="001E7429"/>
    <w:rsid w:val="001F3710"/>
    <w:rsid w:val="001F4B94"/>
    <w:rsid w:val="001F5DB2"/>
    <w:rsid w:val="001F6291"/>
    <w:rsid w:val="001F70CE"/>
    <w:rsid w:val="001F719A"/>
    <w:rsid w:val="002001A1"/>
    <w:rsid w:val="00201A1C"/>
    <w:rsid w:val="00204799"/>
    <w:rsid w:val="0020498C"/>
    <w:rsid w:val="00204DD7"/>
    <w:rsid w:val="00205E97"/>
    <w:rsid w:val="002071BE"/>
    <w:rsid w:val="0020731E"/>
    <w:rsid w:val="00207F74"/>
    <w:rsid w:val="0021022C"/>
    <w:rsid w:val="0021087B"/>
    <w:rsid w:val="0021137C"/>
    <w:rsid w:val="00214319"/>
    <w:rsid w:val="0021452F"/>
    <w:rsid w:val="002150FE"/>
    <w:rsid w:val="00216E19"/>
    <w:rsid w:val="00221DD0"/>
    <w:rsid w:val="00224562"/>
    <w:rsid w:val="00224564"/>
    <w:rsid w:val="00224989"/>
    <w:rsid w:val="002250FD"/>
    <w:rsid w:val="002251DB"/>
    <w:rsid w:val="00226AF8"/>
    <w:rsid w:val="00227D59"/>
    <w:rsid w:val="002300CD"/>
    <w:rsid w:val="002305ED"/>
    <w:rsid w:val="002344DE"/>
    <w:rsid w:val="0023639F"/>
    <w:rsid w:val="0023725A"/>
    <w:rsid w:val="00237B81"/>
    <w:rsid w:val="00237BD0"/>
    <w:rsid w:val="00242114"/>
    <w:rsid w:val="0024282E"/>
    <w:rsid w:val="00242953"/>
    <w:rsid w:val="00243DE1"/>
    <w:rsid w:val="00244EDD"/>
    <w:rsid w:val="002455EC"/>
    <w:rsid w:val="00246DC8"/>
    <w:rsid w:val="00250882"/>
    <w:rsid w:val="00251D5C"/>
    <w:rsid w:val="0025247B"/>
    <w:rsid w:val="00256865"/>
    <w:rsid w:val="00257531"/>
    <w:rsid w:val="00257631"/>
    <w:rsid w:val="00260E18"/>
    <w:rsid w:val="00261484"/>
    <w:rsid w:val="00261490"/>
    <w:rsid w:val="00261E3B"/>
    <w:rsid w:val="0026227D"/>
    <w:rsid w:val="002649E7"/>
    <w:rsid w:val="00270E00"/>
    <w:rsid w:val="00271DD1"/>
    <w:rsid w:val="002729B8"/>
    <w:rsid w:val="002755B9"/>
    <w:rsid w:val="00276834"/>
    <w:rsid w:val="00276A89"/>
    <w:rsid w:val="00276D5A"/>
    <w:rsid w:val="00277BA3"/>
    <w:rsid w:val="00282185"/>
    <w:rsid w:val="00282271"/>
    <w:rsid w:val="00282EE9"/>
    <w:rsid w:val="0028761D"/>
    <w:rsid w:val="00290BF2"/>
    <w:rsid w:val="00292BEA"/>
    <w:rsid w:val="002935B9"/>
    <w:rsid w:val="00294A5A"/>
    <w:rsid w:val="002955AA"/>
    <w:rsid w:val="002A2079"/>
    <w:rsid w:val="002A3E04"/>
    <w:rsid w:val="002A49FB"/>
    <w:rsid w:val="002A5742"/>
    <w:rsid w:val="002A671A"/>
    <w:rsid w:val="002A7212"/>
    <w:rsid w:val="002A7277"/>
    <w:rsid w:val="002B08E6"/>
    <w:rsid w:val="002B0AA5"/>
    <w:rsid w:val="002B3F93"/>
    <w:rsid w:val="002B58A2"/>
    <w:rsid w:val="002B58FA"/>
    <w:rsid w:val="002C0819"/>
    <w:rsid w:val="002C1F1B"/>
    <w:rsid w:val="002C2184"/>
    <w:rsid w:val="002C35DF"/>
    <w:rsid w:val="002C476A"/>
    <w:rsid w:val="002D12FD"/>
    <w:rsid w:val="002D18EB"/>
    <w:rsid w:val="002D2781"/>
    <w:rsid w:val="002D2B1A"/>
    <w:rsid w:val="002D2CA8"/>
    <w:rsid w:val="002D3324"/>
    <w:rsid w:val="002D437E"/>
    <w:rsid w:val="002D4926"/>
    <w:rsid w:val="002D5874"/>
    <w:rsid w:val="002D5F29"/>
    <w:rsid w:val="002D728B"/>
    <w:rsid w:val="002D7E84"/>
    <w:rsid w:val="002E10DF"/>
    <w:rsid w:val="002E1BE1"/>
    <w:rsid w:val="002E2665"/>
    <w:rsid w:val="002E3BD6"/>
    <w:rsid w:val="002E4CEF"/>
    <w:rsid w:val="002E6351"/>
    <w:rsid w:val="002E696C"/>
    <w:rsid w:val="002F1211"/>
    <w:rsid w:val="002F58C1"/>
    <w:rsid w:val="00300A6A"/>
    <w:rsid w:val="00302DB2"/>
    <w:rsid w:val="0030594E"/>
    <w:rsid w:val="00306C05"/>
    <w:rsid w:val="00311088"/>
    <w:rsid w:val="003111C0"/>
    <w:rsid w:val="00311748"/>
    <w:rsid w:val="00312941"/>
    <w:rsid w:val="0031322E"/>
    <w:rsid w:val="003136C8"/>
    <w:rsid w:val="0031396D"/>
    <w:rsid w:val="00314102"/>
    <w:rsid w:val="00314734"/>
    <w:rsid w:val="00315C11"/>
    <w:rsid w:val="00317357"/>
    <w:rsid w:val="003176C0"/>
    <w:rsid w:val="00320949"/>
    <w:rsid w:val="003223CF"/>
    <w:rsid w:val="00326995"/>
    <w:rsid w:val="003300CB"/>
    <w:rsid w:val="00330EAF"/>
    <w:rsid w:val="00331B5F"/>
    <w:rsid w:val="00331FEE"/>
    <w:rsid w:val="00331FFF"/>
    <w:rsid w:val="0033254F"/>
    <w:rsid w:val="00333973"/>
    <w:rsid w:val="00335EAB"/>
    <w:rsid w:val="0033680E"/>
    <w:rsid w:val="003409A2"/>
    <w:rsid w:val="0034165A"/>
    <w:rsid w:val="0034194B"/>
    <w:rsid w:val="00343121"/>
    <w:rsid w:val="00347D43"/>
    <w:rsid w:val="003510F5"/>
    <w:rsid w:val="00351B1F"/>
    <w:rsid w:val="00352472"/>
    <w:rsid w:val="003535B4"/>
    <w:rsid w:val="0035496E"/>
    <w:rsid w:val="00356261"/>
    <w:rsid w:val="003565FD"/>
    <w:rsid w:val="00360903"/>
    <w:rsid w:val="00360B79"/>
    <w:rsid w:val="00361D69"/>
    <w:rsid w:val="00362AC3"/>
    <w:rsid w:val="00363C9C"/>
    <w:rsid w:val="00363E05"/>
    <w:rsid w:val="00364347"/>
    <w:rsid w:val="00364E20"/>
    <w:rsid w:val="003651A6"/>
    <w:rsid w:val="0036598D"/>
    <w:rsid w:val="003660A7"/>
    <w:rsid w:val="00366F03"/>
    <w:rsid w:val="00367986"/>
    <w:rsid w:val="003730CD"/>
    <w:rsid w:val="00373A5A"/>
    <w:rsid w:val="00375815"/>
    <w:rsid w:val="00376229"/>
    <w:rsid w:val="0038056F"/>
    <w:rsid w:val="0038118E"/>
    <w:rsid w:val="0038150D"/>
    <w:rsid w:val="00381F7A"/>
    <w:rsid w:val="003828A1"/>
    <w:rsid w:val="00382FD1"/>
    <w:rsid w:val="00384EE0"/>
    <w:rsid w:val="00385916"/>
    <w:rsid w:val="003871F4"/>
    <w:rsid w:val="00387B39"/>
    <w:rsid w:val="003911F5"/>
    <w:rsid w:val="00394995"/>
    <w:rsid w:val="00394AC6"/>
    <w:rsid w:val="00397FCF"/>
    <w:rsid w:val="003A153C"/>
    <w:rsid w:val="003A2584"/>
    <w:rsid w:val="003A364B"/>
    <w:rsid w:val="003A442A"/>
    <w:rsid w:val="003A4861"/>
    <w:rsid w:val="003A5D6C"/>
    <w:rsid w:val="003A6999"/>
    <w:rsid w:val="003A7F98"/>
    <w:rsid w:val="003B034C"/>
    <w:rsid w:val="003B0C94"/>
    <w:rsid w:val="003B10AC"/>
    <w:rsid w:val="003B161A"/>
    <w:rsid w:val="003B1A61"/>
    <w:rsid w:val="003B3C88"/>
    <w:rsid w:val="003B51FA"/>
    <w:rsid w:val="003B6B71"/>
    <w:rsid w:val="003C1736"/>
    <w:rsid w:val="003C2512"/>
    <w:rsid w:val="003C2A7A"/>
    <w:rsid w:val="003C3173"/>
    <w:rsid w:val="003C5C0A"/>
    <w:rsid w:val="003C74EE"/>
    <w:rsid w:val="003D0414"/>
    <w:rsid w:val="003D056F"/>
    <w:rsid w:val="003D2A18"/>
    <w:rsid w:val="003D2ABA"/>
    <w:rsid w:val="003D3760"/>
    <w:rsid w:val="003D3CB8"/>
    <w:rsid w:val="003D46D7"/>
    <w:rsid w:val="003D5265"/>
    <w:rsid w:val="003D6FD4"/>
    <w:rsid w:val="003E1653"/>
    <w:rsid w:val="003E2504"/>
    <w:rsid w:val="003E72F5"/>
    <w:rsid w:val="003E749F"/>
    <w:rsid w:val="003E7896"/>
    <w:rsid w:val="003E78A4"/>
    <w:rsid w:val="003F11B9"/>
    <w:rsid w:val="003F2314"/>
    <w:rsid w:val="003F2629"/>
    <w:rsid w:val="003F2A86"/>
    <w:rsid w:val="003F2DC9"/>
    <w:rsid w:val="003F390F"/>
    <w:rsid w:val="003F3DB3"/>
    <w:rsid w:val="003F48A8"/>
    <w:rsid w:val="003F6225"/>
    <w:rsid w:val="003F6502"/>
    <w:rsid w:val="004040D4"/>
    <w:rsid w:val="00404FBC"/>
    <w:rsid w:val="00406C3A"/>
    <w:rsid w:val="00410670"/>
    <w:rsid w:val="00411ECA"/>
    <w:rsid w:val="00415EE8"/>
    <w:rsid w:val="004162E7"/>
    <w:rsid w:val="0042016C"/>
    <w:rsid w:val="00420A54"/>
    <w:rsid w:val="0042130F"/>
    <w:rsid w:val="0042133D"/>
    <w:rsid w:val="00421439"/>
    <w:rsid w:val="004226A6"/>
    <w:rsid w:val="00422F75"/>
    <w:rsid w:val="004230C2"/>
    <w:rsid w:val="00424546"/>
    <w:rsid w:val="00424A5E"/>
    <w:rsid w:val="00425CF4"/>
    <w:rsid w:val="0042733B"/>
    <w:rsid w:val="00427A41"/>
    <w:rsid w:val="00430A92"/>
    <w:rsid w:val="0043147E"/>
    <w:rsid w:val="00431AE5"/>
    <w:rsid w:val="00433016"/>
    <w:rsid w:val="00433408"/>
    <w:rsid w:val="004365FF"/>
    <w:rsid w:val="00440E89"/>
    <w:rsid w:val="00442A8E"/>
    <w:rsid w:val="0044467D"/>
    <w:rsid w:val="00444737"/>
    <w:rsid w:val="00444BB3"/>
    <w:rsid w:val="00444BDB"/>
    <w:rsid w:val="00444DAF"/>
    <w:rsid w:val="00451504"/>
    <w:rsid w:val="00451C2D"/>
    <w:rsid w:val="00451CF4"/>
    <w:rsid w:val="004524AF"/>
    <w:rsid w:val="00454132"/>
    <w:rsid w:val="004558E2"/>
    <w:rsid w:val="004561FE"/>
    <w:rsid w:val="00456BA5"/>
    <w:rsid w:val="00460347"/>
    <w:rsid w:val="004606BC"/>
    <w:rsid w:val="004607BF"/>
    <w:rsid w:val="0046388A"/>
    <w:rsid w:val="00467343"/>
    <w:rsid w:val="0047043F"/>
    <w:rsid w:val="00471421"/>
    <w:rsid w:val="00472F63"/>
    <w:rsid w:val="00473983"/>
    <w:rsid w:val="00473BB3"/>
    <w:rsid w:val="00476357"/>
    <w:rsid w:val="004765E0"/>
    <w:rsid w:val="00476F8A"/>
    <w:rsid w:val="00477D6C"/>
    <w:rsid w:val="00481185"/>
    <w:rsid w:val="004813E2"/>
    <w:rsid w:val="004835F9"/>
    <w:rsid w:val="004837E0"/>
    <w:rsid w:val="0048492B"/>
    <w:rsid w:val="00486ADF"/>
    <w:rsid w:val="00490BF6"/>
    <w:rsid w:val="004915EA"/>
    <w:rsid w:val="00491C14"/>
    <w:rsid w:val="00492E7A"/>
    <w:rsid w:val="004946E4"/>
    <w:rsid w:val="004951CB"/>
    <w:rsid w:val="004A125B"/>
    <w:rsid w:val="004A162B"/>
    <w:rsid w:val="004A1F07"/>
    <w:rsid w:val="004A22F6"/>
    <w:rsid w:val="004A56D3"/>
    <w:rsid w:val="004A5E44"/>
    <w:rsid w:val="004A62EF"/>
    <w:rsid w:val="004A72E9"/>
    <w:rsid w:val="004B3239"/>
    <w:rsid w:val="004B3350"/>
    <w:rsid w:val="004B38BC"/>
    <w:rsid w:val="004B7A11"/>
    <w:rsid w:val="004C3EED"/>
    <w:rsid w:val="004C41BA"/>
    <w:rsid w:val="004C7547"/>
    <w:rsid w:val="004D007F"/>
    <w:rsid w:val="004D1773"/>
    <w:rsid w:val="004D30A2"/>
    <w:rsid w:val="004D43B3"/>
    <w:rsid w:val="004D53DC"/>
    <w:rsid w:val="004D7A0C"/>
    <w:rsid w:val="004E1F41"/>
    <w:rsid w:val="004E259A"/>
    <w:rsid w:val="004E275F"/>
    <w:rsid w:val="004F0CD4"/>
    <w:rsid w:val="004F14A0"/>
    <w:rsid w:val="004F1A2A"/>
    <w:rsid w:val="004F3AF4"/>
    <w:rsid w:val="005031C4"/>
    <w:rsid w:val="00503790"/>
    <w:rsid w:val="005047CA"/>
    <w:rsid w:val="00504942"/>
    <w:rsid w:val="00505674"/>
    <w:rsid w:val="00506357"/>
    <w:rsid w:val="00507610"/>
    <w:rsid w:val="00510753"/>
    <w:rsid w:val="00511BFC"/>
    <w:rsid w:val="005125B4"/>
    <w:rsid w:val="00512967"/>
    <w:rsid w:val="00516385"/>
    <w:rsid w:val="00521406"/>
    <w:rsid w:val="00521575"/>
    <w:rsid w:val="00525A77"/>
    <w:rsid w:val="00526C37"/>
    <w:rsid w:val="00527E54"/>
    <w:rsid w:val="00534994"/>
    <w:rsid w:val="00535FCD"/>
    <w:rsid w:val="00537C71"/>
    <w:rsid w:val="005410CE"/>
    <w:rsid w:val="00545286"/>
    <w:rsid w:val="005455C7"/>
    <w:rsid w:val="00545AF7"/>
    <w:rsid w:val="00550248"/>
    <w:rsid w:val="005510D2"/>
    <w:rsid w:val="0055136D"/>
    <w:rsid w:val="005530D5"/>
    <w:rsid w:val="005537C0"/>
    <w:rsid w:val="005538A3"/>
    <w:rsid w:val="00554BA3"/>
    <w:rsid w:val="00556A17"/>
    <w:rsid w:val="00557B5A"/>
    <w:rsid w:val="00557EF1"/>
    <w:rsid w:val="00560BF7"/>
    <w:rsid w:val="00561698"/>
    <w:rsid w:val="00561DCA"/>
    <w:rsid w:val="0056207A"/>
    <w:rsid w:val="00562B74"/>
    <w:rsid w:val="005635F2"/>
    <w:rsid w:val="005642EA"/>
    <w:rsid w:val="00564F26"/>
    <w:rsid w:val="005650AA"/>
    <w:rsid w:val="005677EF"/>
    <w:rsid w:val="00567DAB"/>
    <w:rsid w:val="00570F49"/>
    <w:rsid w:val="00575CCA"/>
    <w:rsid w:val="00576FAF"/>
    <w:rsid w:val="00577316"/>
    <w:rsid w:val="00580163"/>
    <w:rsid w:val="005808F2"/>
    <w:rsid w:val="00580D2A"/>
    <w:rsid w:val="00582E74"/>
    <w:rsid w:val="00585291"/>
    <w:rsid w:val="00585A15"/>
    <w:rsid w:val="00585AFD"/>
    <w:rsid w:val="00586159"/>
    <w:rsid w:val="00590381"/>
    <w:rsid w:val="005903FD"/>
    <w:rsid w:val="00592C42"/>
    <w:rsid w:val="005930C7"/>
    <w:rsid w:val="00595CFF"/>
    <w:rsid w:val="005A332A"/>
    <w:rsid w:val="005A3BED"/>
    <w:rsid w:val="005A54AE"/>
    <w:rsid w:val="005A76EE"/>
    <w:rsid w:val="005B0CA0"/>
    <w:rsid w:val="005B101B"/>
    <w:rsid w:val="005B2A9F"/>
    <w:rsid w:val="005B3A0F"/>
    <w:rsid w:val="005B3B95"/>
    <w:rsid w:val="005B54CC"/>
    <w:rsid w:val="005B57D3"/>
    <w:rsid w:val="005B5DEC"/>
    <w:rsid w:val="005B66FF"/>
    <w:rsid w:val="005B6E81"/>
    <w:rsid w:val="005B7CF0"/>
    <w:rsid w:val="005C0268"/>
    <w:rsid w:val="005C1221"/>
    <w:rsid w:val="005C1A8F"/>
    <w:rsid w:val="005C2CAA"/>
    <w:rsid w:val="005C42FD"/>
    <w:rsid w:val="005C4CA1"/>
    <w:rsid w:val="005C51FA"/>
    <w:rsid w:val="005C5F09"/>
    <w:rsid w:val="005D19BE"/>
    <w:rsid w:val="005D220E"/>
    <w:rsid w:val="005D3131"/>
    <w:rsid w:val="005D4AE2"/>
    <w:rsid w:val="005D59C7"/>
    <w:rsid w:val="005D5E6B"/>
    <w:rsid w:val="005D6CDC"/>
    <w:rsid w:val="005D7A7F"/>
    <w:rsid w:val="005E037E"/>
    <w:rsid w:val="005E10D3"/>
    <w:rsid w:val="005E150A"/>
    <w:rsid w:val="005E47B1"/>
    <w:rsid w:val="005E5C39"/>
    <w:rsid w:val="005E6FD2"/>
    <w:rsid w:val="005E7D4B"/>
    <w:rsid w:val="005F2B3F"/>
    <w:rsid w:val="005F3BD4"/>
    <w:rsid w:val="00600AD8"/>
    <w:rsid w:val="00600F10"/>
    <w:rsid w:val="00603465"/>
    <w:rsid w:val="00604D4C"/>
    <w:rsid w:val="00612407"/>
    <w:rsid w:val="0061268E"/>
    <w:rsid w:val="006129D0"/>
    <w:rsid w:val="00614D39"/>
    <w:rsid w:val="006152F0"/>
    <w:rsid w:val="00615EAB"/>
    <w:rsid w:val="00616468"/>
    <w:rsid w:val="00620130"/>
    <w:rsid w:val="006205E9"/>
    <w:rsid w:val="00621BDE"/>
    <w:rsid w:val="0062427C"/>
    <w:rsid w:val="0062710F"/>
    <w:rsid w:val="00630F44"/>
    <w:rsid w:val="00632DCB"/>
    <w:rsid w:val="00634146"/>
    <w:rsid w:val="00636042"/>
    <w:rsid w:val="0063768C"/>
    <w:rsid w:val="00641069"/>
    <w:rsid w:val="006429BF"/>
    <w:rsid w:val="00643A42"/>
    <w:rsid w:val="006440C6"/>
    <w:rsid w:val="006441EC"/>
    <w:rsid w:val="006450F3"/>
    <w:rsid w:val="00647903"/>
    <w:rsid w:val="00647A3A"/>
    <w:rsid w:val="0065036C"/>
    <w:rsid w:val="00650B31"/>
    <w:rsid w:val="00651DB8"/>
    <w:rsid w:val="006525BF"/>
    <w:rsid w:val="00652FDE"/>
    <w:rsid w:val="006536A0"/>
    <w:rsid w:val="006537C6"/>
    <w:rsid w:val="00654301"/>
    <w:rsid w:val="00657FED"/>
    <w:rsid w:val="00660CEE"/>
    <w:rsid w:val="0066523D"/>
    <w:rsid w:val="00665CD8"/>
    <w:rsid w:val="00666006"/>
    <w:rsid w:val="006676F8"/>
    <w:rsid w:val="00671196"/>
    <w:rsid w:val="00671597"/>
    <w:rsid w:val="00673696"/>
    <w:rsid w:val="00673AE9"/>
    <w:rsid w:val="00674C25"/>
    <w:rsid w:val="006752C5"/>
    <w:rsid w:val="006765D3"/>
    <w:rsid w:val="006804F0"/>
    <w:rsid w:val="00680AF3"/>
    <w:rsid w:val="00680B0F"/>
    <w:rsid w:val="0068141D"/>
    <w:rsid w:val="0068268A"/>
    <w:rsid w:val="00682D56"/>
    <w:rsid w:val="006865E7"/>
    <w:rsid w:val="00687575"/>
    <w:rsid w:val="0069094C"/>
    <w:rsid w:val="00691764"/>
    <w:rsid w:val="00692619"/>
    <w:rsid w:val="006927BD"/>
    <w:rsid w:val="006A00E1"/>
    <w:rsid w:val="006A05C7"/>
    <w:rsid w:val="006A0FBE"/>
    <w:rsid w:val="006A35F2"/>
    <w:rsid w:val="006A49D9"/>
    <w:rsid w:val="006B0B93"/>
    <w:rsid w:val="006B19DD"/>
    <w:rsid w:val="006B1AA5"/>
    <w:rsid w:val="006B42DD"/>
    <w:rsid w:val="006B5970"/>
    <w:rsid w:val="006B76F6"/>
    <w:rsid w:val="006C31C2"/>
    <w:rsid w:val="006C3601"/>
    <w:rsid w:val="006C5430"/>
    <w:rsid w:val="006D2324"/>
    <w:rsid w:val="006D58DE"/>
    <w:rsid w:val="006D70DD"/>
    <w:rsid w:val="006E01EA"/>
    <w:rsid w:val="006E2A6A"/>
    <w:rsid w:val="006E2E70"/>
    <w:rsid w:val="006E3CA5"/>
    <w:rsid w:val="006E3DAB"/>
    <w:rsid w:val="006E4BCC"/>
    <w:rsid w:val="006E4FDF"/>
    <w:rsid w:val="006F0463"/>
    <w:rsid w:val="006F1857"/>
    <w:rsid w:val="006F2E1B"/>
    <w:rsid w:val="006F49B6"/>
    <w:rsid w:val="006F574E"/>
    <w:rsid w:val="006F6422"/>
    <w:rsid w:val="006F79CF"/>
    <w:rsid w:val="007017C7"/>
    <w:rsid w:val="00702424"/>
    <w:rsid w:val="007035D8"/>
    <w:rsid w:val="00704C4B"/>
    <w:rsid w:val="007051B2"/>
    <w:rsid w:val="0070547D"/>
    <w:rsid w:val="00705876"/>
    <w:rsid w:val="007068A8"/>
    <w:rsid w:val="00706B11"/>
    <w:rsid w:val="00710380"/>
    <w:rsid w:val="007107B9"/>
    <w:rsid w:val="00710E87"/>
    <w:rsid w:val="00712DEE"/>
    <w:rsid w:val="00714855"/>
    <w:rsid w:val="00716692"/>
    <w:rsid w:val="007176BE"/>
    <w:rsid w:val="00717B62"/>
    <w:rsid w:val="007217F0"/>
    <w:rsid w:val="007225FB"/>
    <w:rsid w:val="00722F1F"/>
    <w:rsid w:val="0072396E"/>
    <w:rsid w:val="00723A6C"/>
    <w:rsid w:val="007250DB"/>
    <w:rsid w:val="0072716B"/>
    <w:rsid w:val="007308DC"/>
    <w:rsid w:val="00731862"/>
    <w:rsid w:val="0073215F"/>
    <w:rsid w:val="007322B7"/>
    <w:rsid w:val="007323F4"/>
    <w:rsid w:val="00732D37"/>
    <w:rsid w:val="00732E00"/>
    <w:rsid w:val="00733B9A"/>
    <w:rsid w:val="007350C5"/>
    <w:rsid w:val="007359BD"/>
    <w:rsid w:val="0073723B"/>
    <w:rsid w:val="00737588"/>
    <w:rsid w:val="00741B18"/>
    <w:rsid w:val="00742571"/>
    <w:rsid w:val="007476F4"/>
    <w:rsid w:val="007541AF"/>
    <w:rsid w:val="00756921"/>
    <w:rsid w:val="00760643"/>
    <w:rsid w:val="007607DA"/>
    <w:rsid w:val="007623D2"/>
    <w:rsid w:val="00764D43"/>
    <w:rsid w:val="007706BB"/>
    <w:rsid w:val="0077216A"/>
    <w:rsid w:val="00772EDD"/>
    <w:rsid w:val="00774F93"/>
    <w:rsid w:val="00780C91"/>
    <w:rsid w:val="00781121"/>
    <w:rsid w:val="00782B0E"/>
    <w:rsid w:val="007841B4"/>
    <w:rsid w:val="00784275"/>
    <w:rsid w:val="007902A7"/>
    <w:rsid w:val="0079101C"/>
    <w:rsid w:val="00791696"/>
    <w:rsid w:val="007926D8"/>
    <w:rsid w:val="00792DE7"/>
    <w:rsid w:val="00794110"/>
    <w:rsid w:val="007943B5"/>
    <w:rsid w:val="007965EC"/>
    <w:rsid w:val="00796733"/>
    <w:rsid w:val="007967A2"/>
    <w:rsid w:val="00796FBE"/>
    <w:rsid w:val="007A0BC2"/>
    <w:rsid w:val="007B1463"/>
    <w:rsid w:val="007B278E"/>
    <w:rsid w:val="007B2A35"/>
    <w:rsid w:val="007B3383"/>
    <w:rsid w:val="007B3EA0"/>
    <w:rsid w:val="007B608F"/>
    <w:rsid w:val="007C0668"/>
    <w:rsid w:val="007C0984"/>
    <w:rsid w:val="007C2985"/>
    <w:rsid w:val="007C3AF5"/>
    <w:rsid w:val="007C5641"/>
    <w:rsid w:val="007C5BC3"/>
    <w:rsid w:val="007C6484"/>
    <w:rsid w:val="007D1BFB"/>
    <w:rsid w:val="007D2EC1"/>
    <w:rsid w:val="007D3FA8"/>
    <w:rsid w:val="007D4AFB"/>
    <w:rsid w:val="007E009C"/>
    <w:rsid w:val="007E148B"/>
    <w:rsid w:val="007E35A3"/>
    <w:rsid w:val="007E51B9"/>
    <w:rsid w:val="007E7C6B"/>
    <w:rsid w:val="007F029A"/>
    <w:rsid w:val="007F4A31"/>
    <w:rsid w:val="007F60DD"/>
    <w:rsid w:val="007F7102"/>
    <w:rsid w:val="007F7668"/>
    <w:rsid w:val="00801187"/>
    <w:rsid w:val="00803BC6"/>
    <w:rsid w:val="00804AC8"/>
    <w:rsid w:val="008077EB"/>
    <w:rsid w:val="008100FA"/>
    <w:rsid w:val="00810E7B"/>
    <w:rsid w:val="008120DC"/>
    <w:rsid w:val="008130F7"/>
    <w:rsid w:val="0081326E"/>
    <w:rsid w:val="00813ACB"/>
    <w:rsid w:val="008152FC"/>
    <w:rsid w:val="00815A2C"/>
    <w:rsid w:val="00816866"/>
    <w:rsid w:val="00817879"/>
    <w:rsid w:val="00821524"/>
    <w:rsid w:val="0082234E"/>
    <w:rsid w:val="00824AF3"/>
    <w:rsid w:val="00824B0A"/>
    <w:rsid w:val="00825896"/>
    <w:rsid w:val="00826004"/>
    <w:rsid w:val="008262F6"/>
    <w:rsid w:val="008275CC"/>
    <w:rsid w:val="0083377B"/>
    <w:rsid w:val="00834882"/>
    <w:rsid w:val="0083503B"/>
    <w:rsid w:val="00835906"/>
    <w:rsid w:val="008359E3"/>
    <w:rsid w:val="00836849"/>
    <w:rsid w:val="0083782D"/>
    <w:rsid w:val="00841A1C"/>
    <w:rsid w:val="008424E2"/>
    <w:rsid w:val="008438D6"/>
    <w:rsid w:val="00843B59"/>
    <w:rsid w:val="00844E6E"/>
    <w:rsid w:val="00845B2D"/>
    <w:rsid w:val="008464E0"/>
    <w:rsid w:val="008527B2"/>
    <w:rsid w:val="00855332"/>
    <w:rsid w:val="008562E0"/>
    <w:rsid w:val="00856984"/>
    <w:rsid w:val="008573AF"/>
    <w:rsid w:val="00857C65"/>
    <w:rsid w:val="00857CD0"/>
    <w:rsid w:val="00860011"/>
    <w:rsid w:val="00860260"/>
    <w:rsid w:val="00860FDB"/>
    <w:rsid w:val="00861EBD"/>
    <w:rsid w:val="008624FE"/>
    <w:rsid w:val="00862703"/>
    <w:rsid w:val="0086643A"/>
    <w:rsid w:val="00866799"/>
    <w:rsid w:val="008667EA"/>
    <w:rsid w:val="0087035E"/>
    <w:rsid w:val="00870BD2"/>
    <w:rsid w:val="00870C86"/>
    <w:rsid w:val="0087217B"/>
    <w:rsid w:val="00875D8F"/>
    <w:rsid w:val="00876008"/>
    <w:rsid w:val="008805F3"/>
    <w:rsid w:val="008809C0"/>
    <w:rsid w:val="0088103E"/>
    <w:rsid w:val="00882412"/>
    <w:rsid w:val="00882EDA"/>
    <w:rsid w:val="0088424E"/>
    <w:rsid w:val="008872C5"/>
    <w:rsid w:val="008872D7"/>
    <w:rsid w:val="00890F97"/>
    <w:rsid w:val="00893629"/>
    <w:rsid w:val="00895F23"/>
    <w:rsid w:val="008A143F"/>
    <w:rsid w:val="008A4513"/>
    <w:rsid w:val="008A49FA"/>
    <w:rsid w:val="008A56D8"/>
    <w:rsid w:val="008A624E"/>
    <w:rsid w:val="008A75ED"/>
    <w:rsid w:val="008B0CD2"/>
    <w:rsid w:val="008B2B13"/>
    <w:rsid w:val="008B5CC5"/>
    <w:rsid w:val="008B69C7"/>
    <w:rsid w:val="008B78DC"/>
    <w:rsid w:val="008C0F33"/>
    <w:rsid w:val="008C1019"/>
    <w:rsid w:val="008C1295"/>
    <w:rsid w:val="008C20EC"/>
    <w:rsid w:val="008C4810"/>
    <w:rsid w:val="008D091D"/>
    <w:rsid w:val="008D1042"/>
    <w:rsid w:val="008D19C4"/>
    <w:rsid w:val="008D292B"/>
    <w:rsid w:val="008D2C84"/>
    <w:rsid w:val="008D3D4A"/>
    <w:rsid w:val="008D41B2"/>
    <w:rsid w:val="008D470D"/>
    <w:rsid w:val="008D4C13"/>
    <w:rsid w:val="008D650E"/>
    <w:rsid w:val="008D7AFB"/>
    <w:rsid w:val="008E0951"/>
    <w:rsid w:val="008E0F22"/>
    <w:rsid w:val="008E16E3"/>
    <w:rsid w:val="008E2129"/>
    <w:rsid w:val="008E4852"/>
    <w:rsid w:val="008E49CD"/>
    <w:rsid w:val="008F120E"/>
    <w:rsid w:val="008F1BFD"/>
    <w:rsid w:val="008F51EB"/>
    <w:rsid w:val="008F70DB"/>
    <w:rsid w:val="008F7A9E"/>
    <w:rsid w:val="00900B13"/>
    <w:rsid w:val="00900F80"/>
    <w:rsid w:val="00902562"/>
    <w:rsid w:val="00907AB0"/>
    <w:rsid w:val="00912885"/>
    <w:rsid w:val="00912EFB"/>
    <w:rsid w:val="009202BA"/>
    <w:rsid w:val="009204F7"/>
    <w:rsid w:val="00920EEF"/>
    <w:rsid w:val="009238DC"/>
    <w:rsid w:val="00925A81"/>
    <w:rsid w:val="00925C49"/>
    <w:rsid w:val="00927936"/>
    <w:rsid w:val="00930A9B"/>
    <w:rsid w:val="00930BAD"/>
    <w:rsid w:val="00934D3A"/>
    <w:rsid w:val="00937CED"/>
    <w:rsid w:val="00941B64"/>
    <w:rsid w:val="009448CC"/>
    <w:rsid w:val="0095091C"/>
    <w:rsid w:val="00950AA0"/>
    <w:rsid w:val="0095155B"/>
    <w:rsid w:val="009515BD"/>
    <w:rsid w:val="00951EC6"/>
    <w:rsid w:val="00953B3F"/>
    <w:rsid w:val="00954C45"/>
    <w:rsid w:val="00955565"/>
    <w:rsid w:val="00957300"/>
    <w:rsid w:val="00957E3D"/>
    <w:rsid w:val="00961051"/>
    <w:rsid w:val="00963AA7"/>
    <w:rsid w:val="0096627F"/>
    <w:rsid w:val="0096680F"/>
    <w:rsid w:val="0096744F"/>
    <w:rsid w:val="00971D7F"/>
    <w:rsid w:val="0097313E"/>
    <w:rsid w:val="00975594"/>
    <w:rsid w:val="00975DCF"/>
    <w:rsid w:val="00980261"/>
    <w:rsid w:val="00980A99"/>
    <w:rsid w:val="00982DAA"/>
    <w:rsid w:val="00982DAE"/>
    <w:rsid w:val="00982F0A"/>
    <w:rsid w:val="009839F3"/>
    <w:rsid w:val="0098509E"/>
    <w:rsid w:val="009851ED"/>
    <w:rsid w:val="009857AA"/>
    <w:rsid w:val="00986FC7"/>
    <w:rsid w:val="00987DDD"/>
    <w:rsid w:val="009906BB"/>
    <w:rsid w:val="00990C4D"/>
    <w:rsid w:val="009934F9"/>
    <w:rsid w:val="00995198"/>
    <w:rsid w:val="009963AA"/>
    <w:rsid w:val="00996D4E"/>
    <w:rsid w:val="0099749A"/>
    <w:rsid w:val="00997C3F"/>
    <w:rsid w:val="00997CEA"/>
    <w:rsid w:val="009A0939"/>
    <w:rsid w:val="009A1BB3"/>
    <w:rsid w:val="009A1FA6"/>
    <w:rsid w:val="009A5786"/>
    <w:rsid w:val="009A6AD7"/>
    <w:rsid w:val="009A6CC7"/>
    <w:rsid w:val="009A6E28"/>
    <w:rsid w:val="009A734E"/>
    <w:rsid w:val="009B046E"/>
    <w:rsid w:val="009B0F06"/>
    <w:rsid w:val="009B2468"/>
    <w:rsid w:val="009B2F2C"/>
    <w:rsid w:val="009B438D"/>
    <w:rsid w:val="009B45DF"/>
    <w:rsid w:val="009C04C3"/>
    <w:rsid w:val="009C0BA0"/>
    <w:rsid w:val="009C2921"/>
    <w:rsid w:val="009C3391"/>
    <w:rsid w:val="009C60DE"/>
    <w:rsid w:val="009C61D9"/>
    <w:rsid w:val="009C6B6E"/>
    <w:rsid w:val="009C7150"/>
    <w:rsid w:val="009D0669"/>
    <w:rsid w:val="009D0A2C"/>
    <w:rsid w:val="009D1B61"/>
    <w:rsid w:val="009D2DAF"/>
    <w:rsid w:val="009D3314"/>
    <w:rsid w:val="009D4B81"/>
    <w:rsid w:val="009D5DEE"/>
    <w:rsid w:val="009D7168"/>
    <w:rsid w:val="009E0261"/>
    <w:rsid w:val="009E250B"/>
    <w:rsid w:val="009E387C"/>
    <w:rsid w:val="009E3C33"/>
    <w:rsid w:val="009E3CE6"/>
    <w:rsid w:val="009E4841"/>
    <w:rsid w:val="009E6B86"/>
    <w:rsid w:val="009F202E"/>
    <w:rsid w:val="009F2B34"/>
    <w:rsid w:val="009F2BBE"/>
    <w:rsid w:val="009F2F45"/>
    <w:rsid w:val="009F4905"/>
    <w:rsid w:val="009F4DF7"/>
    <w:rsid w:val="009F4FC6"/>
    <w:rsid w:val="009F4FE5"/>
    <w:rsid w:val="009F7CDA"/>
    <w:rsid w:val="00A0003C"/>
    <w:rsid w:val="00A002C0"/>
    <w:rsid w:val="00A016C1"/>
    <w:rsid w:val="00A0323B"/>
    <w:rsid w:val="00A07A7F"/>
    <w:rsid w:val="00A07EAA"/>
    <w:rsid w:val="00A10A15"/>
    <w:rsid w:val="00A11329"/>
    <w:rsid w:val="00A12654"/>
    <w:rsid w:val="00A12697"/>
    <w:rsid w:val="00A15D9F"/>
    <w:rsid w:val="00A1643D"/>
    <w:rsid w:val="00A17031"/>
    <w:rsid w:val="00A212BB"/>
    <w:rsid w:val="00A213E0"/>
    <w:rsid w:val="00A21573"/>
    <w:rsid w:val="00A218C5"/>
    <w:rsid w:val="00A21C71"/>
    <w:rsid w:val="00A22450"/>
    <w:rsid w:val="00A23AD1"/>
    <w:rsid w:val="00A24966"/>
    <w:rsid w:val="00A249C0"/>
    <w:rsid w:val="00A26206"/>
    <w:rsid w:val="00A2750B"/>
    <w:rsid w:val="00A30DB3"/>
    <w:rsid w:val="00A31745"/>
    <w:rsid w:val="00A31BB0"/>
    <w:rsid w:val="00A32499"/>
    <w:rsid w:val="00A326BF"/>
    <w:rsid w:val="00A3369F"/>
    <w:rsid w:val="00A344A6"/>
    <w:rsid w:val="00A35913"/>
    <w:rsid w:val="00A36152"/>
    <w:rsid w:val="00A365D0"/>
    <w:rsid w:val="00A4393E"/>
    <w:rsid w:val="00A44435"/>
    <w:rsid w:val="00A44C95"/>
    <w:rsid w:val="00A46D20"/>
    <w:rsid w:val="00A47544"/>
    <w:rsid w:val="00A47572"/>
    <w:rsid w:val="00A476CC"/>
    <w:rsid w:val="00A52F91"/>
    <w:rsid w:val="00A53AD2"/>
    <w:rsid w:val="00A546C2"/>
    <w:rsid w:val="00A54FD7"/>
    <w:rsid w:val="00A61F67"/>
    <w:rsid w:val="00A66D89"/>
    <w:rsid w:val="00A72D81"/>
    <w:rsid w:val="00A73130"/>
    <w:rsid w:val="00A73253"/>
    <w:rsid w:val="00A734A8"/>
    <w:rsid w:val="00A75555"/>
    <w:rsid w:val="00A75E12"/>
    <w:rsid w:val="00A762A3"/>
    <w:rsid w:val="00A77C94"/>
    <w:rsid w:val="00A80E42"/>
    <w:rsid w:val="00A82B43"/>
    <w:rsid w:val="00A83AEC"/>
    <w:rsid w:val="00A83BFA"/>
    <w:rsid w:val="00A8504D"/>
    <w:rsid w:val="00A85457"/>
    <w:rsid w:val="00A87FDE"/>
    <w:rsid w:val="00A90252"/>
    <w:rsid w:val="00A90797"/>
    <w:rsid w:val="00A9353F"/>
    <w:rsid w:val="00A93FB5"/>
    <w:rsid w:val="00A94390"/>
    <w:rsid w:val="00A9662C"/>
    <w:rsid w:val="00AA4346"/>
    <w:rsid w:val="00AA5133"/>
    <w:rsid w:val="00AA66CD"/>
    <w:rsid w:val="00AA7D73"/>
    <w:rsid w:val="00AB182C"/>
    <w:rsid w:val="00AB3773"/>
    <w:rsid w:val="00AB454D"/>
    <w:rsid w:val="00AB646E"/>
    <w:rsid w:val="00AB6DBB"/>
    <w:rsid w:val="00AB6FE7"/>
    <w:rsid w:val="00AC0F50"/>
    <w:rsid w:val="00AC201D"/>
    <w:rsid w:val="00AC45A0"/>
    <w:rsid w:val="00AC4EEE"/>
    <w:rsid w:val="00AC53DA"/>
    <w:rsid w:val="00AC59F9"/>
    <w:rsid w:val="00AD12DE"/>
    <w:rsid w:val="00AD2147"/>
    <w:rsid w:val="00AD3178"/>
    <w:rsid w:val="00AD38C1"/>
    <w:rsid w:val="00AD7F91"/>
    <w:rsid w:val="00AE1232"/>
    <w:rsid w:val="00AE4739"/>
    <w:rsid w:val="00AE5142"/>
    <w:rsid w:val="00AE5DA5"/>
    <w:rsid w:val="00AF1A68"/>
    <w:rsid w:val="00AF23D5"/>
    <w:rsid w:val="00AF42C9"/>
    <w:rsid w:val="00AF66E4"/>
    <w:rsid w:val="00B0030C"/>
    <w:rsid w:val="00B00BA3"/>
    <w:rsid w:val="00B02E3F"/>
    <w:rsid w:val="00B0359B"/>
    <w:rsid w:val="00B03885"/>
    <w:rsid w:val="00B03A0B"/>
    <w:rsid w:val="00B05DB1"/>
    <w:rsid w:val="00B06234"/>
    <w:rsid w:val="00B07920"/>
    <w:rsid w:val="00B10579"/>
    <w:rsid w:val="00B1286D"/>
    <w:rsid w:val="00B129BD"/>
    <w:rsid w:val="00B145D2"/>
    <w:rsid w:val="00B14E53"/>
    <w:rsid w:val="00B15372"/>
    <w:rsid w:val="00B2026E"/>
    <w:rsid w:val="00B208CB"/>
    <w:rsid w:val="00B20A89"/>
    <w:rsid w:val="00B20E9D"/>
    <w:rsid w:val="00B21FD1"/>
    <w:rsid w:val="00B24ED2"/>
    <w:rsid w:val="00B30EEA"/>
    <w:rsid w:val="00B32A34"/>
    <w:rsid w:val="00B37CCC"/>
    <w:rsid w:val="00B44BBA"/>
    <w:rsid w:val="00B466D5"/>
    <w:rsid w:val="00B46C42"/>
    <w:rsid w:val="00B47767"/>
    <w:rsid w:val="00B47D8A"/>
    <w:rsid w:val="00B50951"/>
    <w:rsid w:val="00B50F3F"/>
    <w:rsid w:val="00B51400"/>
    <w:rsid w:val="00B524E4"/>
    <w:rsid w:val="00B53113"/>
    <w:rsid w:val="00B53F36"/>
    <w:rsid w:val="00B54EFC"/>
    <w:rsid w:val="00B56B58"/>
    <w:rsid w:val="00B604C4"/>
    <w:rsid w:val="00B6129D"/>
    <w:rsid w:val="00B6188C"/>
    <w:rsid w:val="00B62AB6"/>
    <w:rsid w:val="00B62CEA"/>
    <w:rsid w:val="00B6426B"/>
    <w:rsid w:val="00B64644"/>
    <w:rsid w:val="00B66255"/>
    <w:rsid w:val="00B66A67"/>
    <w:rsid w:val="00B67EB4"/>
    <w:rsid w:val="00B702D9"/>
    <w:rsid w:val="00B713C4"/>
    <w:rsid w:val="00B72977"/>
    <w:rsid w:val="00B7311C"/>
    <w:rsid w:val="00B734E0"/>
    <w:rsid w:val="00B744E9"/>
    <w:rsid w:val="00B7467A"/>
    <w:rsid w:val="00B74C3F"/>
    <w:rsid w:val="00B7529F"/>
    <w:rsid w:val="00B75759"/>
    <w:rsid w:val="00B75916"/>
    <w:rsid w:val="00B77E63"/>
    <w:rsid w:val="00B820F8"/>
    <w:rsid w:val="00B8387B"/>
    <w:rsid w:val="00B8398E"/>
    <w:rsid w:val="00B83F6A"/>
    <w:rsid w:val="00B84147"/>
    <w:rsid w:val="00B843E6"/>
    <w:rsid w:val="00B84B7A"/>
    <w:rsid w:val="00B85175"/>
    <w:rsid w:val="00B87D06"/>
    <w:rsid w:val="00B90333"/>
    <w:rsid w:val="00B9156C"/>
    <w:rsid w:val="00B91B60"/>
    <w:rsid w:val="00B91D54"/>
    <w:rsid w:val="00B91F97"/>
    <w:rsid w:val="00B939F8"/>
    <w:rsid w:val="00BA093B"/>
    <w:rsid w:val="00BA0AC9"/>
    <w:rsid w:val="00BA1356"/>
    <w:rsid w:val="00BA18DD"/>
    <w:rsid w:val="00BA24CD"/>
    <w:rsid w:val="00BA2BD6"/>
    <w:rsid w:val="00BA6974"/>
    <w:rsid w:val="00BA6EB7"/>
    <w:rsid w:val="00BA74B6"/>
    <w:rsid w:val="00BB0385"/>
    <w:rsid w:val="00BB0B76"/>
    <w:rsid w:val="00BB25C6"/>
    <w:rsid w:val="00BB2EDC"/>
    <w:rsid w:val="00BB411D"/>
    <w:rsid w:val="00BB5EFE"/>
    <w:rsid w:val="00BB6649"/>
    <w:rsid w:val="00BB733D"/>
    <w:rsid w:val="00BB73D8"/>
    <w:rsid w:val="00BC1A5C"/>
    <w:rsid w:val="00BC1CE6"/>
    <w:rsid w:val="00BC219F"/>
    <w:rsid w:val="00BC2840"/>
    <w:rsid w:val="00BC482A"/>
    <w:rsid w:val="00BC4C21"/>
    <w:rsid w:val="00BD1797"/>
    <w:rsid w:val="00BD20B6"/>
    <w:rsid w:val="00BD48C2"/>
    <w:rsid w:val="00BD4CB6"/>
    <w:rsid w:val="00BD5EAF"/>
    <w:rsid w:val="00BD7BD6"/>
    <w:rsid w:val="00BE1E11"/>
    <w:rsid w:val="00BE2F7C"/>
    <w:rsid w:val="00BE3F49"/>
    <w:rsid w:val="00BE4AA1"/>
    <w:rsid w:val="00BE520E"/>
    <w:rsid w:val="00BE55D4"/>
    <w:rsid w:val="00BE6F17"/>
    <w:rsid w:val="00BF16F1"/>
    <w:rsid w:val="00BF3B4C"/>
    <w:rsid w:val="00BF685C"/>
    <w:rsid w:val="00C001D5"/>
    <w:rsid w:val="00C024AD"/>
    <w:rsid w:val="00C033B3"/>
    <w:rsid w:val="00C03807"/>
    <w:rsid w:val="00C03A84"/>
    <w:rsid w:val="00C03A8B"/>
    <w:rsid w:val="00C0453E"/>
    <w:rsid w:val="00C05133"/>
    <w:rsid w:val="00C051EA"/>
    <w:rsid w:val="00C1193D"/>
    <w:rsid w:val="00C125DE"/>
    <w:rsid w:val="00C1690E"/>
    <w:rsid w:val="00C17119"/>
    <w:rsid w:val="00C23FE6"/>
    <w:rsid w:val="00C25EC1"/>
    <w:rsid w:val="00C26D1C"/>
    <w:rsid w:val="00C27448"/>
    <w:rsid w:val="00C27578"/>
    <w:rsid w:val="00C31778"/>
    <w:rsid w:val="00C31CFF"/>
    <w:rsid w:val="00C33202"/>
    <w:rsid w:val="00C35452"/>
    <w:rsid w:val="00C36867"/>
    <w:rsid w:val="00C36EF0"/>
    <w:rsid w:val="00C3730E"/>
    <w:rsid w:val="00C37B50"/>
    <w:rsid w:val="00C462DD"/>
    <w:rsid w:val="00C4796D"/>
    <w:rsid w:val="00C51199"/>
    <w:rsid w:val="00C522C0"/>
    <w:rsid w:val="00C52721"/>
    <w:rsid w:val="00C551D6"/>
    <w:rsid w:val="00C60DD9"/>
    <w:rsid w:val="00C6129A"/>
    <w:rsid w:val="00C6135D"/>
    <w:rsid w:val="00C6173E"/>
    <w:rsid w:val="00C61838"/>
    <w:rsid w:val="00C639DF"/>
    <w:rsid w:val="00C6415E"/>
    <w:rsid w:val="00C643FD"/>
    <w:rsid w:val="00C64F6E"/>
    <w:rsid w:val="00C65BCB"/>
    <w:rsid w:val="00C65F29"/>
    <w:rsid w:val="00C6794D"/>
    <w:rsid w:val="00C67CBE"/>
    <w:rsid w:val="00C67F9C"/>
    <w:rsid w:val="00C70EF5"/>
    <w:rsid w:val="00C71323"/>
    <w:rsid w:val="00C714F9"/>
    <w:rsid w:val="00C7270D"/>
    <w:rsid w:val="00C73804"/>
    <w:rsid w:val="00C744A5"/>
    <w:rsid w:val="00C75AAF"/>
    <w:rsid w:val="00C76DC8"/>
    <w:rsid w:val="00C77492"/>
    <w:rsid w:val="00C84483"/>
    <w:rsid w:val="00C85965"/>
    <w:rsid w:val="00C86E04"/>
    <w:rsid w:val="00C871FB"/>
    <w:rsid w:val="00C8794C"/>
    <w:rsid w:val="00C90410"/>
    <w:rsid w:val="00C90D58"/>
    <w:rsid w:val="00C91765"/>
    <w:rsid w:val="00C919C8"/>
    <w:rsid w:val="00C91C19"/>
    <w:rsid w:val="00C931ED"/>
    <w:rsid w:val="00C9330E"/>
    <w:rsid w:val="00C93AFF"/>
    <w:rsid w:val="00C95348"/>
    <w:rsid w:val="00C95640"/>
    <w:rsid w:val="00C96065"/>
    <w:rsid w:val="00C973CC"/>
    <w:rsid w:val="00C97550"/>
    <w:rsid w:val="00CA0093"/>
    <w:rsid w:val="00CA15D4"/>
    <w:rsid w:val="00CA243A"/>
    <w:rsid w:val="00CA24A5"/>
    <w:rsid w:val="00CA63BD"/>
    <w:rsid w:val="00CA79AF"/>
    <w:rsid w:val="00CB0FB8"/>
    <w:rsid w:val="00CB4013"/>
    <w:rsid w:val="00CC163C"/>
    <w:rsid w:val="00CC2CB8"/>
    <w:rsid w:val="00CC540D"/>
    <w:rsid w:val="00CC5A37"/>
    <w:rsid w:val="00CC64F1"/>
    <w:rsid w:val="00CC6996"/>
    <w:rsid w:val="00CC6AE6"/>
    <w:rsid w:val="00CC7BD0"/>
    <w:rsid w:val="00CD148F"/>
    <w:rsid w:val="00CD177E"/>
    <w:rsid w:val="00CD19BB"/>
    <w:rsid w:val="00CD2E31"/>
    <w:rsid w:val="00CD3687"/>
    <w:rsid w:val="00CD57B9"/>
    <w:rsid w:val="00CD5EA2"/>
    <w:rsid w:val="00CD6FC1"/>
    <w:rsid w:val="00CE0655"/>
    <w:rsid w:val="00CE49A0"/>
    <w:rsid w:val="00CF2A04"/>
    <w:rsid w:val="00CF3A31"/>
    <w:rsid w:val="00CF5F3F"/>
    <w:rsid w:val="00CF672F"/>
    <w:rsid w:val="00CF6772"/>
    <w:rsid w:val="00D00130"/>
    <w:rsid w:val="00D0069E"/>
    <w:rsid w:val="00D00DC9"/>
    <w:rsid w:val="00D01F85"/>
    <w:rsid w:val="00D03E33"/>
    <w:rsid w:val="00D0432A"/>
    <w:rsid w:val="00D04A7A"/>
    <w:rsid w:val="00D07811"/>
    <w:rsid w:val="00D078E0"/>
    <w:rsid w:val="00D10D0B"/>
    <w:rsid w:val="00D10FF0"/>
    <w:rsid w:val="00D11834"/>
    <w:rsid w:val="00D11851"/>
    <w:rsid w:val="00D127F8"/>
    <w:rsid w:val="00D134FD"/>
    <w:rsid w:val="00D15AC3"/>
    <w:rsid w:val="00D15F09"/>
    <w:rsid w:val="00D15F20"/>
    <w:rsid w:val="00D17181"/>
    <w:rsid w:val="00D178B9"/>
    <w:rsid w:val="00D21BFD"/>
    <w:rsid w:val="00D2517E"/>
    <w:rsid w:val="00D25E5A"/>
    <w:rsid w:val="00D30079"/>
    <w:rsid w:val="00D33C6D"/>
    <w:rsid w:val="00D34593"/>
    <w:rsid w:val="00D347E1"/>
    <w:rsid w:val="00D351E9"/>
    <w:rsid w:val="00D3561F"/>
    <w:rsid w:val="00D40B65"/>
    <w:rsid w:val="00D464B0"/>
    <w:rsid w:val="00D4741F"/>
    <w:rsid w:val="00D52DA9"/>
    <w:rsid w:val="00D5314B"/>
    <w:rsid w:val="00D534F5"/>
    <w:rsid w:val="00D53534"/>
    <w:rsid w:val="00D53638"/>
    <w:rsid w:val="00D5388A"/>
    <w:rsid w:val="00D54876"/>
    <w:rsid w:val="00D54F6A"/>
    <w:rsid w:val="00D5656C"/>
    <w:rsid w:val="00D57D43"/>
    <w:rsid w:val="00D602DD"/>
    <w:rsid w:val="00D61746"/>
    <w:rsid w:val="00D621C0"/>
    <w:rsid w:val="00D6512F"/>
    <w:rsid w:val="00D65626"/>
    <w:rsid w:val="00D67B09"/>
    <w:rsid w:val="00D71A86"/>
    <w:rsid w:val="00D73D44"/>
    <w:rsid w:val="00D7466A"/>
    <w:rsid w:val="00D747D0"/>
    <w:rsid w:val="00D75DB3"/>
    <w:rsid w:val="00D80268"/>
    <w:rsid w:val="00D80B98"/>
    <w:rsid w:val="00D815F6"/>
    <w:rsid w:val="00D83897"/>
    <w:rsid w:val="00D86F16"/>
    <w:rsid w:val="00D87A46"/>
    <w:rsid w:val="00D91329"/>
    <w:rsid w:val="00D91DD5"/>
    <w:rsid w:val="00D929FE"/>
    <w:rsid w:val="00D92D24"/>
    <w:rsid w:val="00D93084"/>
    <w:rsid w:val="00D93AE6"/>
    <w:rsid w:val="00D93BC1"/>
    <w:rsid w:val="00D94005"/>
    <w:rsid w:val="00D94365"/>
    <w:rsid w:val="00D9493A"/>
    <w:rsid w:val="00D96670"/>
    <w:rsid w:val="00D97909"/>
    <w:rsid w:val="00DA1EA3"/>
    <w:rsid w:val="00DA73C5"/>
    <w:rsid w:val="00DA7925"/>
    <w:rsid w:val="00DA79E0"/>
    <w:rsid w:val="00DB083B"/>
    <w:rsid w:val="00DB0BA4"/>
    <w:rsid w:val="00DB282D"/>
    <w:rsid w:val="00DB2B32"/>
    <w:rsid w:val="00DB2CEE"/>
    <w:rsid w:val="00DB491A"/>
    <w:rsid w:val="00DB4F42"/>
    <w:rsid w:val="00DB5EA5"/>
    <w:rsid w:val="00DB66AA"/>
    <w:rsid w:val="00DB6774"/>
    <w:rsid w:val="00DB755B"/>
    <w:rsid w:val="00DC0C04"/>
    <w:rsid w:val="00DC0C3A"/>
    <w:rsid w:val="00DC126D"/>
    <w:rsid w:val="00DC14CF"/>
    <w:rsid w:val="00DC25AF"/>
    <w:rsid w:val="00DC2AB3"/>
    <w:rsid w:val="00DC4A9C"/>
    <w:rsid w:val="00DC6030"/>
    <w:rsid w:val="00DC6A43"/>
    <w:rsid w:val="00DC72CD"/>
    <w:rsid w:val="00DC7778"/>
    <w:rsid w:val="00DC7989"/>
    <w:rsid w:val="00DD076F"/>
    <w:rsid w:val="00DD11D4"/>
    <w:rsid w:val="00DD2B76"/>
    <w:rsid w:val="00DD351A"/>
    <w:rsid w:val="00DD4275"/>
    <w:rsid w:val="00DD4691"/>
    <w:rsid w:val="00DD7381"/>
    <w:rsid w:val="00DE05E3"/>
    <w:rsid w:val="00DE0E96"/>
    <w:rsid w:val="00DE55C1"/>
    <w:rsid w:val="00DE7180"/>
    <w:rsid w:val="00DE7D9E"/>
    <w:rsid w:val="00DF196D"/>
    <w:rsid w:val="00DF22A0"/>
    <w:rsid w:val="00DF27B2"/>
    <w:rsid w:val="00DF5EE5"/>
    <w:rsid w:val="00DF645C"/>
    <w:rsid w:val="00DF6F5C"/>
    <w:rsid w:val="00DF6F95"/>
    <w:rsid w:val="00E01E2D"/>
    <w:rsid w:val="00E0248F"/>
    <w:rsid w:val="00E0378D"/>
    <w:rsid w:val="00E03B91"/>
    <w:rsid w:val="00E059D8"/>
    <w:rsid w:val="00E06B73"/>
    <w:rsid w:val="00E1019E"/>
    <w:rsid w:val="00E10FFF"/>
    <w:rsid w:val="00E11BC1"/>
    <w:rsid w:val="00E12977"/>
    <w:rsid w:val="00E12A63"/>
    <w:rsid w:val="00E134B7"/>
    <w:rsid w:val="00E159A8"/>
    <w:rsid w:val="00E15BD1"/>
    <w:rsid w:val="00E16611"/>
    <w:rsid w:val="00E17544"/>
    <w:rsid w:val="00E21B53"/>
    <w:rsid w:val="00E21D60"/>
    <w:rsid w:val="00E2236E"/>
    <w:rsid w:val="00E2266C"/>
    <w:rsid w:val="00E22B95"/>
    <w:rsid w:val="00E26C31"/>
    <w:rsid w:val="00E30706"/>
    <w:rsid w:val="00E31AF3"/>
    <w:rsid w:val="00E32976"/>
    <w:rsid w:val="00E34519"/>
    <w:rsid w:val="00E372D8"/>
    <w:rsid w:val="00E37CDD"/>
    <w:rsid w:val="00E40952"/>
    <w:rsid w:val="00E4148A"/>
    <w:rsid w:val="00E41A68"/>
    <w:rsid w:val="00E41AA8"/>
    <w:rsid w:val="00E41E6D"/>
    <w:rsid w:val="00E42633"/>
    <w:rsid w:val="00E4387E"/>
    <w:rsid w:val="00E45203"/>
    <w:rsid w:val="00E46032"/>
    <w:rsid w:val="00E47784"/>
    <w:rsid w:val="00E479EC"/>
    <w:rsid w:val="00E47E6A"/>
    <w:rsid w:val="00E5147C"/>
    <w:rsid w:val="00E526DE"/>
    <w:rsid w:val="00E53CE7"/>
    <w:rsid w:val="00E5435D"/>
    <w:rsid w:val="00E55168"/>
    <w:rsid w:val="00E55499"/>
    <w:rsid w:val="00E57ACD"/>
    <w:rsid w:val="00E6045B"/>
    <w:rsid w:val="00E60ECE"/>
    <w:rsid w:val="00E63BC0"/>
    <w:rsid w:val="00E64D98"/>
    <w:rsid w:val="00E658FA"/>
    <w:rsid w:val="00E65E38"/>
    <w:rsid w:val="00E66412"/>
    <w:rsid w:val="00E664A3"/>
    <w:rsid w:val="00E66532"/>
    <w:rsid w:val="00E66AEF"/>
    <w:rsid w:val="00E66B43"/>
    <w:rsid w:val="00E67961"/>
    <w:rsid w:val="00E70B74"/>
    <w:rsid w:val="00E71D2F"/>
    <w:rsid w:val="00E72AFE"/>
    <w:rsid w:val="00E731C6"/>
    <w:rsid w:val="00E73243"/>
    <w:rsid w:val="00E75784"/>
    <w:rsid w:val="00E81BD7"/>
    <w:rsid w:val="00E82897"/>
    <w:rsid w:val="00E82E43"/>
    <w:rsid w:val="00E84A4C"/>
    <w:rsid w:val="00E924C4"/>
    <w:rsid w:val="00E94CF9"/>
    <w:rsid w:val="00E95796"/>
    <w:rsid w:val="00E95D75"/>
    <w:rsid w:val="00E964CB"/>
    <w:rsid w:val="00EA0222"/>
    <w:rsid w:val="00EA460F"/>
    <w:rsid w:val="00EA5ECE"/>
    <w:rsid w:val="00EA7716"/>
    <w:rsid w:val="00EA7D4B"/>
    <w:rsid w:val="00EB1650"/>
    <w:rsid w:val="00EB3B30"/>
    <w:rsid w:val="00EB4B3E"/>
    <w:rsid w:val="00EB5093"/>
    <w:rsid w:val="00EB6E8D"/>
    <w:rsid w:val="00EC1D34"/>
    <w:rsid w:val="00EC2F77"/>
    <w:rsid w:val="00EC30B5"/>
    <w:rsid w:val="00EC57AF"/>
    <w:rsid w:val="00EC5899"/>
    <w:rsid w:val="00EC714A"/>
    <w:rsid w:val="00ED0BC2"/>
    <w:rsid w:val="00ED13DE"/>
    <w:rsid w:val="00ED1647"/>
    <w:rsid w:val="00ED3233"/>
    <w:rsid w:val="00ED3AE5"/>
    <w:rsid w:val="00ED44DC"/>
    <w:rsid w:val="00ED5D29"/>
    <w:rsid w:val="00ED60BC"/>
    <w:rsid w:val="00EE1188"/>
    <w:rsid w:val="00EE18BF"/>
    <w:rsid w:val="00EE32F4"/>
    <w:rsid w:val="00EE4B85"/>
    <w:rsid w:val="00EE4E4F"/>
    <w:rsid w:val="00EE6439"/>
    <w:rsid w:val="00EE7583"/>
    <w:rsid w:val="00EE7F3B"/>
    <w:rsid w:val="00EF02BB"/>
    <w:rsid w:val="00EF06DB"/>
    <w:rsid w:val="00EF19D3"/>
    <w:rsid w:val="00EF1A5C"/>
    <w:rsid w:val="00EF39FD"/>
    <w:rsid w:val="00F00375"/>
    <w:rsid w:val="00F01240"/>
    <w:rsid w:val="00F017CE"/>
    <w:rsid w:val="00F04DFF"/>
    <w:rsid w:val="00F04F95"/>
    <w:rsid w:val="00F053C5"/>
    <w:rsid w:val="00F05EE7"/>
    <w:rsid w:val="00F05FDE"/>
    <w:rsid w:val="00F067EE"/>
    <w:rsid w:val="00F07203"/>
    <w:rsid w:val="00F11C6C"/>
    <w:rsid w:val="00F136B9"/>
    <w:rsid w:val="00F14E87"/>
    <w:rsid w:val="00F1501D"/>
    <w:rsid w:val="00F154FC"/>
    <w:rsid w:val="00F15AB9"/>
    <w:rsid w:val="00F179DD"/>
    <w:rsid w:val="00F202EE"/>
    <w:rsid w:val="00F21838"/>
    <w:rsid w:val="00F21945"/>
    <w:rsid w:val="00F223FF"/>
    <w:rsid w:val="00F226E9"/>
    <w:rsid w:val="00F2290B"/>
    <w:rsid w:val="00F26419"/>
    <w:rsid w:val="00F26B93"/>
    <w:rsid w:val="00F276B7"/>
    <w:rsid w:val="00F35191"/>
    <w:rsid w:val="00F36937"/>
    <w:rsid w:val="00F37DE2"/>
    <w:rsid w:val="00F434A0"/>
    <w:rsid w:val="00F45898"/>
    <w:rsid w:val="00F458A0"/>
    <w:rsid w:val="00F45C1E"/>
    <w:rsid w:val="00F5214C"/>
    <w:rsid w:val="00F535F0"/>
    <w:rsid w:val="00F53C49"/>
    <w:rsid w:val="00F53D5F"/>
    <w:rsid w:val="00F55596"/>
    <w:rsid w:val="00F56788"/>
    <w:rsid w:val="00F567D2"/>
    <w:rsid w:val="00F57A38"/>
    <w:rsid w:val="00F73237"/>
    <w:rsid w:val="00F734E1"/>
    <w:rsid w:val="00F749D0"/>
    <w:rsid w:val="00F768A1"/>
    <w:rsid w:val="00F830DB"/>
    <w:rsid w:val="00F839F3"/>
    <w:rsid w:val="00F856E9"/>
    <w:rsid w:val="00F862ED"/>
    <w:rsid w:val="00F87807"/>
    <w:rsid w:val="00F8798A"/>
    <w:rsid w:val="00F931A9"/>
    <w:rsid w:val="00F9338B"/>
    <w:rsid w:val="00F93BA0"/>
    <w:rsid w:val="00F94B48"/>
    <w:rsid w:val="00F96519"/>
    <w:rsid w:val="00F96B4A"/>
    <w:rsid w:val="00F9711F"/>
    <w:rsid w:val="00F971C6"/>
    <w:rsid w:val="00FA0458"/>
    <w:rsid w:val="00FA3281"/>
    <w:rsid w:val="00FA4BC4"/>
    <w:rsid w:val="00FA5421"/>
    <w:rsid w:val="00FA6F10"/>
    <w:rsid w:val="00FA741E"/>
    <w:rsid w:val="00FA748C"/>
    <w:rsid w:val="00FB09DF"/>
    <w:rsid w:val="00FB2509"/>
    <w:rsid w:val="00FB3AC9"/>
    <w:rsid w:val="00FB47F0"/>
    <w:rsid w:val="00FB51AD"/>
    <w:rsid w:val="00FB7038"/>
    <w:rsid w:val="00FB723C"/>
    <w:rsid w:val="00FC1E37"/>
    <w:rsid w:val="00FC3220"/>
    <w:rsid w:val="00FC34EC"/>
    <w:rsid w:val="00FC4555"/>
    <w:rsid w:val="00FC615B"/>
    <w:rsid w:val="00FC7D20"/>
    <w:rsid w:val="00FD06B8"/>
    <w:rsid w:val="00FD14C2"/>
    <w:rsid w:val="00FD1D01"/>
    <w:rsid w:val="00FD43DD"/>
    <w:rsid w:val="00FD5180"/>
    <w:rsid w:val="00FD5D14"/>
    <w:rsid w:val="00FD5F91"/>
    <w:rsid w:val="00FD6757"/>
    <w:rsid w:val="00FD7B68"/>
    <w:rsid w:val="00FD7E8D"/>
    <w:rsid w:val="00FE125B"/>
    <w:rsid w:val="00FE197F"/>
    <w:rsid w:val="00FE1B8F"/>
    <w:rsid w:val="00FE2AF8"/>
    <w:rsid w:val="00FE2CD4"/>
    <w:rsid w:val="00FE2E48"/>
    <w:rsid w:val="00FE35CA"/>
    <w:rsid w:val="00FE3BCC"/>
    <w:rsid w:val="00FE4367"/>
    <w:rsid w:val="00FE73FC"/>
    <w:rsid w:val="00FE7A9F"/>
    <w:rsid w:val="00FF07E6"/>
    <w:rsid w:val="00FF08CA"/>
    <w:rsid w:val="00FF14CF"/>
    <w:rsid w:val="00FF21A3"/>
    <w:rsid w:val="00FF263A"/>
    <w:rsid w:val="00FF36F5"/>
    <w:rsid w:val="00FF4451"/>
    <w:rsid w:val="00FF5428"/>
    <w:rsid w:val="2604BA06"/>
    <w:rsid w:val="2EDE7CCC"/>
    <w:rsid w:val="4787B810"/>
    <w:rsid w:val="4932A9B6"/>
    <w:rsid w:val="4D22C853"/>
    <w:rsid w:val="51D37E9D"/>
    <w:rsid w:val="7AD5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7A63651-E722-4566-988C-3F258FA0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31"/>
    <w:rPr>
      <w:rFonts w:ascii="Verdana" w:eastAsia="Times New Roman" w:hAnsi="Verdana"/>
      <w:sz w:val="22"/>
      <w:szCs w:val="24"/>
    </w:rPr>
  </w:style>
  <w:style w:type="paragraph" w:styleId="Ttulo8">
    <w:name w:val="heading 8"/>
    <w:basedOn w:val="Normal"/>
    <w:next w:val="Normal"/>
    <w:link w:val="Ttulo8Car"/>
    <w:qFormat/>
    <w:rsid w:val="004951CB"/>
    <w:pPr>
      <w:keepNext/>
      <w:jc w:val="both"/>
      <w:outlineLvl w:val="7"/>
    </w:pPr>
    <w:rPr>
      <w:rFonts w:ascii="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CF4"/>
    <w:pPr>
      <w:tabs>
        <w:tab w:val="center" w:pos="4680"/>
        <w:tab w:val="right" w:pos="9360"/>
      </w:tabs>
    </w:pPr>
    <w:rPr>
      <w:rFonts w:ascii="Calibri" w:eastAsia="Calibri" w:hAnsi="Calibri"/>
      <w:szCs w:val="22"/>
    </w:rPr>
  </w:style>
  <w:style w:type="character" w:customStyle="1" w:styleId="EncabezadoCar">
    <w:name w:val="Encabezado Car"/>
    <w:basedOn w:val="Fuentedeprrafopredeter"/>
    <w:link w:val="Encabezado"/>
    <w:uiPriority w:val="99"/>
    <w:rsid w:val="00451CF4"/>
  </w:style>
  <w:style w:type="paragraph" w:styleId="Piedepgina">
    <w:name w:val="footer"/>
    <w:basedOn w:val="Normal"/>
    <w:link w:val="PiedepginaCar"/>
    <w:uiPriority w:val="99"/>
    <w:unhideWhenUsed/>
    <w:rsid w:val="00451CF4"/>
    <w:pPr>
      <w:tabs>
        <w:tab w:val="center" w:pos="4680"/>
        <w:tab w:val="right" w:pos="9360"/>
      </w:tabs>
    </w:pPr>
    <w:rPr>
      <w:rFonts w:ascii="Calibri" w:eastAsia="Calibri" w:hAnsi="Calibri"/>
      <w:szCs w:val="22"/>
    </w:rPr>
  </w:style>
  <w:style w:type="character" w:customStyle="1" w:styleId="PiedepginaCar">
    <w:name w:val="Pie de página Car"/>
    <w:basedOn w:val="Fuentedeprrafopredeter"/>
    <w:link w:val="Piedepgina"/>
    <w:uiPriority w:val="99"/>
    <w:rsid w:val="00451CF4"/>
  </w:style>
  <w:style w:type="paragraph" w:styleId="Textodeglobo">
    <w:name w:val="Balloon Text"/>
    <w:basedOn w:val="Normal"/>
    <w:link w:val="TextodegloboCar"/>
    <w:unhideWhenUsed/>
    <w:rsid w:val="00451CF4"/>
    <w:rPr>
      <w:rFonts w:ascii="Tahoma" w:eastAsia="Calibri" w:hAnsi="Tahoma" w:cs="Tahoma"/>
      <w:sz w:val="16"/>
      <w:szCs w:val="16"/>
    </w:rPr>
  </w:style>
  <w:style w:type="character" w:customStyle="1" w:styleId="TextodegloboCar">
    <w:name w:val="Texto de globo Car"/>
    <w:basedOn w:val="Fuentedeprrafopredeter"/>
    <w:link w:val="Textodeglobo"/>
    <w:rsid w:val="00451CF4"/>
    <w:rPr>
      <w:rFonts w:ascii="Tahoma" w:hAnsi="Tahoma" w:cs="Tahoma"/>
      <w:sz w:val="16"/>
      <w:szCs w:val="16"/>
    </w:rPr>
  </w:style>
  <w:style w:type="character" w:styleId="Hipervnculo">
    <w:name w:val="Hyperlink"/>
    <w:rsid w:val="00997CEA"/>
    <w:rPr>
      <w:color w:val="0000FF"/>
      <w:u w:val="single"/>
    </w:rPr>
  </w:style>
  <w:style w:type="paragraph" w:customStyle="1" w:styleId="MICONHEADER1">
    <w:name w:val="MICON HEADER1"/>
    <w:basedOn w:val="Normal"/>
    <w:rsid w:val="00997CEA"/>
    <w:pPr>
      <w:tabs>
        <w:tab w:val="left" w:pos="720"/>
      </w:tabs>
      <w:ind w:left="1080"/>
      <w:jc w:val="both"/>
    </w:pPr>
    <w:rPr>
      <w:rFonts w:ascii="Times New Roman" w:eastAsia="Calibri" w:hAnsi="Times New Roman"/>
      <w:b/>
      <w:caps/>
      <w:sz w:val="24"/>
    </w:rPr>
  </w:style>
  <w:style w:type="paragraph" w:styleId="Prrafodelista">
    <w:name w:val="List Paragraph"/>
    <w:basedOn w:val="Normal"/>
    <w:uiPriority w:val="34"/>
    <w:qFormat/>
    <w:rsid w:val="00997CEA"/>
    <w:pPr>
      <w:ind w:left="720"/>
      <w:contextualSpacing/>
    </w:pPr>
    <w:rPr>
      <w:rFonts w:ascii="Times New Roman" w:hAnsi="Times New Roman"/>
      <w:sz w:val="24"/>
    </w:rPr>
  </w:style>
  <w:style w:type="paragraph" w:styleId="Textonotapie">
    <w:name w:val="footnote text"/>
    <w:basedOn w:val="Normal"/>
    <w:link w:val="TextonotapieCar"/>
    <w:uiPriority w:val="99"/>
    <w:semiHidden/>
    <w:unhideWhenUsed/>
    <w:rsid w:val="00F567D2"/>
    <w:rPr>
      <w:sz w:val="20"/>
      <w:szCs w:val="20"/>
    </w:rPr>
  </w:style>
  <w:style w:type="paragraph" w:styleId="Textosinformato">
    <w:name w:val="Plain Text"/>
    <w:basedOn w:val="Normal"/>
    <w:link w:val="TextosinformatoCar"/>
    <w:uiPriority w:val="99"/>
    <w:unhideWhenUsed/>
    <w:rsid w:val="00431AE5"/>
    <w:rPr>
      <w:rFonts w:ascii="Consolas" w:eastAsia="Calibri" w:hAnsi="Consolas" w:cs="Consolas"/>
      <w:sz w:val="21"/>
      <w:szCs w:val="21"/>
      <w:lang w:val="en-CA"/>
    </w:rPr>
  </w:style>
  <w:style w:type="character" w:customStyle="1" w:styleId="TextosinformatoCar">
    <w:name w:val="Texto sin formato Car"/>
    <w:basedOn w:val="Fuentedeprrafopredeter"/>
    <w:link w:val="Textosinformato"/>
    <w:uiPriority w:val="99"/>
    <w:rsid w:val="00431AE5"/>
    <w:rPr>
      <w:rFonts w:ascii="Consolas" w:hAnsi="Consolas" w:cs="Consolas"/>
      <w:sz w:val="21"/>
      <w:szCs w:val="21"/>
      <w:lang w:val="en-CA"/>
    </w:rPr>
  </w:style>
  <w:style w:type="paragraph" w:customStyle="1" w:styleId="Default">
    <w:name w:val="Default"/>
    <w:rsid w:val="00B62AB6"/>
    <w:pPr>
      <w:widowControl w:val="0"/>
      <w:autoSpaceDE w:val="0"/>
      <w:autoSpaceDN w:val="0"/>
      <w:adjustRightInd w:val="0"/>
      <w:jc w:val="both"/>
    </w:pPr>
    <w:rPr>
      <w:rFonts w:ascii="Arial" w:eastAsia="Times New Roman" w:hAnsi="Arial" w:cs="Arial"/>
      <w:color w:val="000000"/>
      <w:sz w:val="24"/>
      <w:szCs w:val="24"/>
    </w:rPr>
  </w:style>
  <w:style w:type="paragraph" w:customStyle="1" w:styleId="tabletext">
    <w:name w:val="table text"/>
    <w:aliases w:val="tt,Table Text,table tex"/>
    <w:basedOn w:val="Normal"/>
    <w:link w:val="TableTextChar"/>
    <w:qFormat/>
    <w:rsid w:val="00B62AB6"/>
    <w:pPr>
      <w:keepNext/>
      <w:jc w:val="both"/>
    </w:pPr>
    <w:rPr>
      <w:rFonts w:ascii="Times New Roman" w:hAnsi="Times New Roman"/>
      <w:sz w:val="20"/>
      <w:lang w:val="en-CA"/>
    </w:rPr>
  </w:style>
  <w:style w:type="paragraph" w:customStyle="1" w:styleId="SecurityL1">
    <w:name w:val="Security_L1"/>
    <w:basedOn w:val="Normal"/>
    <w:next w:val="Normal"/>
    <w:rsid w:val="00B62AB6"/>
    <w:pPr>
      <w:keepNext/>
      <w:numPr>
        <w:numId w:val="7"/>
      </w:numPr>
      <w:spacing w:after="240"/>
      <w:jc w:val="center"/>
      <w:outlineLvl w:val="0"/>
    </w:pPr>
    <w:rPr>
      <w:rFonts w:ascii="Times New Roman" w:hAnsi="Times New Roman"/>
      <w:b/>
      <w:caps/>
      <w:szCs w:val="20"/>
      <w:lang w:val="en-CA"/>
    </w:rPr>
  </w:style>
  <w:style w:type="paragraph" w:customStyle="1" w:styleId="SecurityL2">
    <w:name w:val="Security_L2"/>
    <w:basedOn w:val="SecurityL1"/>
    <w:next w:val="Normal"/>
    <w:rsid w:val="00B62AB6"/>
    <w:pPr>
      <w:numPr>
        <w:ilvl w:val="1"/>
      </w:numPr>
      <w:tabs>
        <w:tab w:val="left" w:pos="1440"/>
      </w:tabs>
      <w:jc w:val="both"/>
      <w:outlineLvl w:val="1"/>
    </w:pPr>
    <w:rPr>
      <w:caps w:val="0"/>
    </w:rPr>
  </w:style>
  <w:style w:type="paragraph" w:customStyle="1" w:styleId="SecurityL3">
    <w:name w:val="Security_L3"/>
    <w:basedOn w:val="SecurityL2"/>
    <w:next w:val="Normal"/>
    <w:rsid w:val="00B62AB6"/>
    <w:pPr>
      <w:numPr>
        <w:ilvl w:val="2"/>
      </w:numPr>
      <w:outlineLvl w:val="2"/>
    </w:pPr>
    <w:rPr>
      <w:i/>
    </w:rPr>
  </w:style>
  <w:style w:type="paragraph" w:customStyle="1" w:styleId="SecurityL4">
    <w:name w:val="Security_L4"/>
    <w:basedOn w:val="SecurityL3"/>
    <w:next w:val="Normal"/>
    <w:rsid w:val="00B62AB6"/>
    <w:pPr>
      <w:numPr>
        <w:ilvl w:val="3"/>
      </w:numPr>
      <w:outlineLvl w:val="3"/>
    </w:pPr>
    <w:rPr>
      <w:b w:val="0"/>
    </w:rPr>
  </w:style>
  <w:style w:type="paragraph" w:customStyle="1" w:styleId="SecurityL5">
    <w:name w:val="Security_L5"/>
    <w:basedOn w:val="SecurityL4"/>
    <w:rsid w:val="00B62AB6"/>
    <w:pPr>
      <w:keepNext w:val="0"/>
      <w:numPr>
        <w:ilvl w:val="4"/>
      </w:numPr>
      <w:outlineLvl w:val="4"/>
    </w:pPr>
    <w:rPr>
      <w:i w:val="0"/>
      <w:sz w:val="20"/>
    </w:rPr>
  </w:style>
  <w:style w:type="paragraph" w:customStyle="1" w:styleId="SecurityL6">
    <w:name w:val="Security_L6"/>
    <w:basedOn w:val="SecurityL5"/>
    <w:rsid w:val="00B62AB6"/>
    <w:pPr>
      <w:numPr>
        <w:ilvl w:val="5"/>
      </w:numPr>
      <w:outlineLvl w:val="5"/>
    </w:pPr>
  </w:style>
  <w:style w:type="paragraph" w:customStyle="1" w:styleId="SecurityL7">
    <w:name w:val="Security_L7"/>
    <w:basedOn w:val="SecurityL6"/>
    <w:rsid w:val="00B62AB6"/>
    <w:pPr>
      <w:numPr>
        <w:ilvl w:val="6"/>
      </w:numPr>
      <w:outlineLvl w:val="6"/>
    </w:pPr>
  </w:style>
  <w:style w:type="paragraph" w:customStyle="1" w:styleId="SecurityL8">
    <w:name w:val="Security_L8"/>
    <w:basedOn w:val="SecurityL7"/>
    <w:next w:val="Normal"/>
    <w:rsid w:val="00B62AB6"/>
    <w:pPr>
      <w:numPr>
        <w:ilvl w:val="7"/>
      </w:numPr>
      <w:spacing w:before="120" w:after="120"/>
      <w:outlineLvl w:val="7"/>
    </w:pPr>
    <w:rPr>
      <w:sz w:val="18"/>
    </w:rPr>
  </w:style>
  <w:style w:type="paragraph" w:customStyle="1" w:styleId="SecurityL9">
    <w:name w:val="Security_L9"/>
    <w:basedOn w:val="SecurityL8"/>
    <w:rsid w:val="00B62AB6"/>
    <w:pPr>
      <w:numPr>
        <w:ilvl w:val="8"/>
      </w:numPr>
      <w:spacing w:before="0" w:after="60"/>
      <w:outlineLvl w:val="8"/>
    </w:pPr>
    <w:rPr>
      <w:i/>
    </w:rPr>
  </w:style>
  <w:style w:type="paragraph" w:styleId="Textoindependiente">
    <w:name w:val="Body Text"/>
    <w:aliases w:val="bt"/>
    <w:basedOn w:val="Normal"/>
    <w:link w:val="TextoindependienteCar"/>
    <w:rsid w:val="00B62AB6"/>
    <w:pPr>
      <w:spacing w:after="240" w:line="240" w:lineRule="atLeast"/>
      <w:jc w:val="both"/>
    </w:pPr>
    <w:rPr>
      <w:rFonts w:ascii="Times New Roman" w:hAnsi="Times New Roman"/>
      <w:lang w:val="en-CA"/>
    </w:rPr>
  </w:style>
  <w:style w:type="character" w:customStyle="1" w:styleId="TextoindependienteCar">
    <w:name w:val="Texto independiente Car"/>
    <w:aliases w:val="bt Car"/>
    <w:basedOn w:val="Fuentedeprrafopredeter"/>
    <w:link w:val="Textoindependiente"/>
    <w:rsid w:val="00B62AB6"/>
    <w:rPr>
      <w:rFonts w:ascii="Times New Roman" w:eastAsia="Times New Roman" w:hAnsi="Times New Roman" w:cs="Times New Roman"/>
      <w:szCs w:val="24"/>
      <w:lang w:val="en-CA"/>
    </w:rPr>
  </w:style>
  <w:style w:type="character" w:customStyle="1" w:styleId="TableTextChar">
    <w:name w:val="Table Text Char"/>
    <w:aliases w:val="tt Char"/>
    <w:basedOn w:val="Fuentedeprrafopredeter"/>
    <w:link w:val="tabletext"/>
    <w:rsid w:val="00B62AB6"/>
    <w:rPr>
      <w:rFonts w:ascii="Times New Roman" w:eastAsia="Times New Roman" w:hAnsi="Times New Roman" w:cs="Times New Roman"/>
      <w:sz w:val="20"/>
      <w:szCs w:val="24"/>
      <w:lang w:val="en-CA"/>
    </w:rPr>
  </w:style>
  <w:style w:type="character" w:customStyle="1" w:styleId="Ttulo8Car">
    <w:name w:val="Título 8 Car"/>
    <w:basedOn w:val="Fuentedeprrafopredeter"/>
    <w:link w:val="Ttulo8"/>
    <w:rsid w:val="004951CB"/>
    <w:rPr>
      <w:rFonts w:ascii="Arial" w:eastAsia="Times New Roman" w:hAnsi="Arial" w:cs="Times New Roman"/>
      <w:b/>
      <w:bCs/>
      <w:sz w:val="20"/>
      <w:szCs w:val="20"/>
    </w:rPr>
  </w:style>
  <w:style w:type="character" w:styleId="Refdecomentario">
    <w:name w:val="annotation reference"/>
    <w:unhideWhenUsed/>
    <w:rsid w:val="004951CB"/>
    <w:rPr>
      <w:sz w:val="16"/>
      <w:szCs w:val="16"/>
    </w:rPr>
  </w:style>
  <w:style w:type="paragraph" w:styleId="Textocomentario">
    <w:name w:val="annotation text"/>
    <w:basedOn w:val="Normal"/>
    <w:link w:val="TextocomentarioCar"/>
    <w:uiPriority w:val="99"/>
    <w:semiHidden/>
    <w:unhideWhenUsed/>
    <w:rsid w:val="004951CB"/>
    <w:rPr>
      <w:rFonts w:ascii="Arial" w:hAnsi="Arial"/>
      <w:sz w:val="20"/>
      <w:szCs w:val="20"/>
    </w:rPr>
  </w:style>
  <w:style w:type="character" w:customStyle="1" w:styleId="TextocomentarioCar">
    <w:name w:val="Texto comentario Car"/>
    <w:basedOn w:val="Fuentedeprrafopredeter"/>
    <w:link w:val="Textocomentario"/>
    <w:uiPriority w:val="99"/>
    <w:semiHidden/>
    <w:rsid w:val="004951CB"/>
    <w:rPr>
      <w:rFonts w:ascii="Arial" w:eastAsia="Times New Roman" w:hAnsi="Arial" w:cs="Times New Roman"/>
      <w:sz w:val="20"/>
      <w:szCs w:val="20"/>
    </w:rPr>
  </w:style>
  <w:style w:type="paragraph" w:styleId="Textoindependiente2">
    <w:name w:val="Body Text 2"/>
    <w:basedOn w:val="Normal"/>
    <w:link w:val="Textoindependiente2Car"/>
    <w:unhideWhenUsed/>
    <w:rsid w:val="003E2504"/>
    <w:pPr>
      <w:spacing w:after="120" w:line="480" w:lineRule="auto"/>
    </w:pPr>
  </w:style>
  <w:style w:type="character" w:customStyle="1" w:styleId="Textoindependiente2Car">
    <w:name w:val="Texto independiente 2 Car"/>
    <w:basedOn w:val="Fuentedeprrafopredeter"/>
    <w:link w:val="Textoindependiente2"/>
    <w:rsid w:val="003E2504"/>
    <w:rPr>
      <w:rFonts w:ascii="Verdana" w:eastAsia="Times New Roman" w:hAnsi="Verdana" w:cs="Times New Roman"/>
      <w:szCs w:val="24"/>
    </w:rPr>
  </w:style>
  <w:style w:type="paragraph" w:styleId="Sangradetextonormal">
    <w:name w:val="Body Text Indent"/>
    <w:basedOn w:val="Normal"/>
    <w:link w:val="SangradetextonormalCar"/>
    <w:uiPriority w:val="99"/>
    <w:semiHidden/>
    <w:unhideWhenUsed/>
    <w:rsid w:val="002A7212"/>
    <w:pPr>
      <w:spacing w:after="120"/>
      <w:ind w:left="283"/>
    </w:pPr>
  </w:style>
  <w:style w:type="character" w:customStyle="1" w:styleId="SangradetextonormalCar">
    <w:name w:val="Sangría de texto normal Car"/>
    <w:basedOn w:val="Fuentedeprrafopredeter"/>
    <w:link w:val="Sangradetextonormal"/>
    <w:uiPriority w:val="99"/>
    <w:semiHidden/>
    <w:rsid w:val="002A7212"/>
    <w:rPr>
      <w:rFonts w:ascii="Verdana" w:eastAsia="Times New Roman" w:hAnsi="Verdana"/>
      <w:sz w:val="22"/>
      <w:szCs w:val="24"/>
    </w:rPr>
  </w:style>
  <w:style w:type="paragraph" w:styleId="Asuntodelcomentario">
    <w:name w:val="annotation subject"/>
    <w:basedOn w:val="Textocomentario"/>
    <w:next w:val="Textocomentario"/>
    <w:link w:val="AsuntodelcomentarioCar"/>
    <w:uiPriority w:val="99"/>
    <w:semiHidden/>
    <w:unhideWhenUsed/>
    <w:rsid w:val="008A56D8"/>
    <w:rPr>
      <w:rFonts w:ascii="Verdana" w:hAnsi="Verdana"/>
      <w:b/>
      <w:bCs/>
    </w:rPr>
  </w:style>
  <w:style w:type="character" w:customStyle="1" w:styleId="AsuntodelcomentarioCar">
    <w:name w:val="Asunto del comentario Car"/>
    <w:basedOn w:val="TextocomentarioCar"/>
    <w:link w:val="Asuntodelcomentario"/>
    <w:uiPriority w:val="99"/>
    <w:semiHidden/>
    <w:rsid w:val="008A56D8"/>
    <w:rPr>
      <w:rFonts w:ascii="Verdana" w:eastAsia="Times New Roman" w:hAnsi="Verdana" w:cs="Times New Roman"/>
      <w:b/>
      <w:bCs/>
      <w:sz w:val="20"/>
      <w:szCs w:val="20"/>
    </w:rPr>
  </w:style>
  <w:style w:type="paragraph" w:styleId="Revisin">
    <w:name w:val="Revision"/>
    <w:hidden/>
    <w:uiPriority w:val="99"/>
    <w:semiHidden/>
    <w:rsid w:val="008A56D8"/>
    <w:rPr>
      <w:rFonts w:ascii="Verdana" w:eastAsia="Times New Roman" w:hAnsi="Verdana"/>
      <w:sz w:val="22"/>
      <w:szCs w:val="24"/>
    </w:rPr>
  </w:style>
  <w:style w:type="paragraph" w:customStyle="1" w:styleId="AuditBody">
    <w:name w:val="AuditBody"/>
    <w:aliases w:val="ab,Audit Body"/>
    <w:basedOn w:val="Normal"/>
    <w:rsid w:val="002B0AA5"/>
    <w:pPr>
      <w:overflowPunct w:val="0"/>
      <w:autoSpaceDE w:val="0"/>
      <w:autoSpaceDN w:val="0"/>
      <w:adjustRightInd w:val="0"/>
      <w:spacing w:before="120" w:line="280" w:lineRule="atLeast"/>
      <w:jc w:val="both"/>
      <w:textAlignment w:val="baseline"/>
    </w:pPr>
    <w:rPr>
      <w:rFonts w:ascii="Arial" w:hAnsi="Arial"/>
      <w:sz w:val="20"/>
      <w:szCs w:val="20"/>
    </w:rPr>
  </w:style>
  <w:style w:type="paragraph" w:customStyle="1" w:styleId="FS2">
    <w:name w:val="FS2"/>
    <w:basedOn w:val="Normal"/>
    <w:link w:val="FS2Char"/>
    <w:rsid w:val="00810E7B"/>
    <w:pPr>
      <w:tabs>
        <w:tab w:val="decimal" w:pos="7280"/>
        <w:tab w:val="decimal" w:pos="9000"/>
      </w:tabs>
      <w:overflowPunct w:val="0"/>
      <w:autoSpaceDE w:val="0"/>
      <w:autoSpaceDN w:val="0"/>
      <w:adjustRightInd w:val="0"/>
      <w:ind w:left="540" w:hanging="180"/>
      <w:textAlignment w:val="baseline"/>
    </w:pPr>
    <w:rPr>
      <w:rFonts w:ascii="Arial" w:hAnsi="Arial"/>
      <w:sz w:val="20"/>
      <w:szCs w:val="20"/>
    </w:rPr>
  </w:style>
  <w:style w:type="character" w:customStyle="1" w:styleId="FS2Char">
    <w:name w:val="FS2 Char"/>
    <w:link w:val="FS2"/>
    <w:rsid w:val="00810E7B"/>
    <w:rPr>
      <w:rFonts w:ascii="Arial" w:eastAsia="Times New Roman" w:hAnsi="Arial"/>
    </w:rPr>
  </w:style>
  <w:style w:type="paragraph" w:customStyle="1" w:styleId="SecurityCont2">
    <w:name w:val="Security Cont 2"/>
    <w:aliases w:val="s2"/>
    <w:basedOn w:val="Normal"/>
    <w:rsid w:val="00810E7B"/>
    <w:pPr>
      <w:spacing w:after="240"/>
      <w:jc w:val="both"/>
    </w:pPr>
    <w:rPr>
      <w:rFonts w:ascii="Times New Roman" w:hAnsi="Times New Roman"/>
      <w:sz w:val="20"/>
      <w:szCs w:val="20"/>
      <w:lang w:val="en-CA"/>
    </w:rPr>
  </w:style>
  <w:style w:type="paragraph" w:styleId="NormalWeb">
    <w:name w:val="Normal (Web)"/>
    <w:basedOn w:val="Normal"/>
    <w:uiPriority w:val="99"/>
    <w:semiHidden/>
    <w:unhideWhenUsed/>
    <w:rsid w:val="0098509E"/>
    <w:pPr>
      <w:spacing w:before="100" w:beforeAutospacing="1" w:after="100" w:afterAutospacing="1"/>
    </w:pPr>
    <w:rPr>
      <w:rFonts w:ascii="Times New Roman" w:eastAsiaTheme="minorHAnsi" w:hAnsi="Times New Roman"/>
      <w:sz w:val="24"/>
      <w:lang w:val="es-AR" w:eastAsia="es-AR"/>
    </w:rPr>
  </w:style>
  <w:style w:type="paragraph" w:customStyle="1" w:styleId="SecurityCont3">
    <w:name w:val="Security Cont 3"/>
    <w:aliases w:val="s3"/>
    <w:basedOn w:val="SecurityCont2"/>
    <w:link w:val="SecurityCont3Char"/>
    <w:uiPriority w:val="99"/>
    <w:rsid w:val="00427A41"/>
  </w:style>
  <w:style w:type="character" w:customStyle="1" w:styleId="SecurityCont3Char">
    <w:name w:val="Security Cont 3 Char"/>
    <w:aliases w:val="s3 Char"/>
    <w:link w:val="SecurityCont3"/>
    <w:uiPriority w:val="99"/>
    <w:locked/>
    <w:rsid w:val="00427A41"/>
    <w:rPr>
      <w:rFonts w:ascii="Times New Roman" w:eastAsia="Times New Roman" w:hAnsi="Times New Roman"/>
      <w:lang w:val="en-CA"/>
    </w:rPr>
  </w:style>
  <w:style w:type="character" w:styleId="nfasis">
    <w:name w:val="Emphasis"/>
    <w:uiPriority w:val="20"/>
    <w:qFormat/>
    <w:rsid w:val="003176C0"/>
    <w:rPr>
      <w:i/>
      <w:iCs/>
    </w:rPr>
  </w:style>
  <w:style w:type="paragraph" w:customStyle="1" w:styleId="Ne3">
    <w:name w:val="Ne3"/>
    <w:basedOn w:val="Normal"/>
    <w:link w:val="Ne3Char"/>
    <w:rsid w:val="005D19BE"/>
    <w:pPr>
      <w:overflowPunct w:val="0"/>
      <w:autoSpaceDE w:val="0"/>
      <w:autoSpaceDN w:val="0"/>
      <w:adjustRightInd w:val="0"/>
      <w:spacing w:before="120" w:line="280" w:lineRule="atLeast"/>
      <w:ind w:left="720"/>
      <w:jc w:val="both"/>
      <w:textAlignment w:val="baseline"/>
    </w:pPr>
    <w:rPr>
      <w:rFonts w:ascii="Arial" w:hAnsi="Arial"/>
      <w:sz w:val="20"/>
      <w:szCs w:val="20"/>
    </w:rPr>
  </w:style>
  <w:style w:type="character" w:customStyle="1" w:styleId="Ne3Char">
    <w:name w:val="Ne3 Char"/>
    <w:link w:val="Ne3"/>
    <w:rsid w:val="005D19BE"/>
    <w:rPr>
      <w:rFonts w:ascii="Arial" w:eastAsia="Times New Roman" w:hAnsi="Arial"/>
    </w:rPr>
  </w:style>
  <w:style w:type="paragraph" w:styleId="HTMLconformatoprevio">
    <w:name w:val="HTML Preformatted"/>
    <w:basedOn w:val="Normal"/>
    <w:link w:val="HTMLconformatoprevioCar"/>
    <w:uiPriority w:val="99"/>
    <w:rsid w:val="006429BF"/>
    <w:pPr>
      <w:jc w:val="both"/>
    </w:pPr>
    <w:rPr>
      <w:rFonts w:ascii="Courier New" w:hAnsi="Courier New"/>
      <w:sz w:val="20"/>
      <w:lang w:val="en-CA"/>
    </w:rPr>
  </w:style>
  <w:style w:type="character" w:customStyle="1" w:styleId="HTMLconformatoprevioCar">
    <w:name w:val="HTML con formato previo Car"/>
    <w:basedOn w:val="Fuentedeprrafopredeter"/>
    <w:link w:val="HTMLconformatoprevio"/>
    <w:uiPriority w:val="99"/>
    <w:rsid w:val="006429BF"/>
    <w:rPr>
      <w:rFonts w:ascii="Courier New" w:eastAsia="Times New Roman" w:hAnsi="Courier New"/>
      <w:szCs w:val="24"/>
      <w:lang w:val="en-CA"/>
    </w:rPr>
  </w:style>
  <w:style w:type="paragraph" w:customStyle="1" w:styleId="Ne4">
    <w:name w:val="Ne4"/>
    <w:basedOn w:val="Normal"/>
    <w:rsid w:val="006B42DD"/>
    <w:pPr>
      <w:overflowPunct w:val="0"/>
      <w:autoSpaceDE w:val="0"/>
      <w:autoSpaceDN w:val="0"/>
      <w:adjustRightInd w:val="0"/>
      <w:spacing w:before="120" w:line="280" w:lineRule="atLeast"/>
      <w:ind w:left="1080"/>
      <w:jc w:val="both"/>
    </w:pPr>
    <w:rPr>
      <w:rFonts w:ascii="Arial" w:hAnsi="Arial"/>
      <w:sz w:val="20"/>
      <w:szCs w:val="20"/>
      <w:lang w:val="en-CA"/>
    </w:rPr>
  </w:style>
  <w:style w:type="paragraph" w:styleId="Sinespaciado">
    <w:name w:val="No Spacing"/>
    <w:link w:val="SinespaciadoCar"/>
    <w:qFormat/>
    <w:rsid w:val="00043F8E"/>
    <w:pPr>
      <w:jc w:val="both"/>
    </w:pPr>
    <w:rPr>
      <w:rFonts w:ascii="Times New Roman" w:eastAsia="Batang" w:hAnsi="Times New Roman"/>
      <w:sz w:val="22"/>
      <w:szCs w:val="24"/>
      <w:lang w:val="en-CA"/>
    </w:rPr>
  </w:style>
  <w:style w:type="character" w:customStyle="1" w:styleId="SinespaciadoCar">
    <w:name w:val="Sin espaciado Car"/>
    <w:link w:val="Sinespaciado"/>
    <w:rsid w:val="00043F8E"/>
    <w:rPr>
      <w:rFonts w:ascii="Times New Roman" w:eastAsia="Batang" w:hAnsi="Times New Roman"/>
      <w:sz w:val="22"/>
      <w:szCs w:val="24"/>
      <w:lang w:val="en-CA"/>
    </w:rPr>
  </w:style>
  <w:style w:type="paragraph" w:customStyle="1" w:styleId="LHFirmName">
    <w:name w:val="LH Firm Name"/>
    <w:basedOn w:val="Normal"/>
    <w:rsid w:val="00EE18BF"/>
    <w:pPr>
      <w:spacing w:after="120"/>
      <w:ind w:left="-720"/>
      <w:jc w:val="both"/>
    </w:pPr>
    <w:rPr>
      <w:rFonts w:ascii="EngravrsRoman BT" w:hAnsi="EngravrsRoman BT"/>
      <w:b/>
      <w:spacing w:val="10"/>
      <w:sz w:val="15"/>
      <w:lang w:val="en-CA"/>
    </w:rPr>
  </w:style>
  <w:style w:type="character" w:customStyle="1" w:styleId="TextonotapieCar">
    <w:name w:val="Texto nota pie Car"/>
    <w:basedOn w:val="Fuentedeprrafopredeter"/>
    <w:link w:val="Textonotapie"/>
    <w:uiPriority w:val="99"/>
    <w:semiHidden/>
    <w:rsid w:val="00F567D2"/>
    <w:rPr>
      <w:rFonts w:ascii="Verdana" w:eastAsia="Times New Roman" w:hAnsi="Verdana"/>
    </w:rPr>
  </w:style>
  <w:style w:type="character" w:styleId="Refdenotaalpie">
    <w:name w:val="footnote reference"/>
    <w:basedOn w:val="Fuentedeprrafopredeter"/>
    <w:uiPriority w:val="99"/>
    <w:semiHidden/>
    <w:unhideWhenUsed/>
    <w:rsid w:val="00F56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5594">
      <w:bodyDiv w:val="1"/>
      <w:marLeft w:val="0"/>
      <w:marRight w:val="0"/>
      <w:marTop w:val="0"/>
      <w:marBottom w:val="0"/>
      <w:divBdr>
        <w:top w:val="none" w:sz="0" w:space="0" w:color="auto"/>
        <w:left w:val="none" w:sz="0" w:space="0" w:color="auto"/>
        <w:bottom w:val="none" w:sz="0" w:space="0" w:color="auto"/>
        <w:right w:val="none" w:sz="0" w:space="0" w:color="auto"/>
      </w:divBdr>
    </w:div>
    <w:div w:id="848372547">
      <w:bodyDiv w:val="1"/>
      <w:marLeft w:val="0"/>
      <w:marRight w:val="0"/>
      <w:marTop w:val="0"/>
      <w:marBottom w:val="0"/>
      <w:divBdr>
        <w:top w:val="none" w:sz="0" w:space="0" w:color="auto"/>
        <w:left w:val="none" w:sz="0" w:space="0" w:color="auto"/>
        <w:bottom w:val="none" w:sz="0" w:space="0" w:color="auto"/>
        <w:right w:val="none" w:sz="0" w:space="0" w:color="auto"/>
      </w:divBdr>
    </w:div>
    <w:div w:id="10730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brador@crownpoint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ownpointenerg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plus.ca" TargetMode="External"/><Relationship Id="rId5" Type="http://schemas.openxmlformats.org/officeDocument/2006/relationships/numbering" Target="numbering.xml"/><Relationship Id="rId15" Type="http://schemas.openxmlformats.org/officeDocument/2006/relationships/hyperlink" Target="http://www.sedarplus.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dden@crownpoint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1093-6D8B-4A14-AAAE-AC3EEF88F5E7}">
  <ds:schemaRefs>
    <ds:schemaRef ds:uri="http://schemas.openxmlformats.org/officeDocument/2006/bibliography"/>
  </ds:schemaRefs>
</ds:datastoreItem>
</file>

<file path=customXml/itemProps2.xml><?xml version="1.0" encoding="utf-8"?>
<ds:datastoreItem xmlns:ds="http://schemas.openxmlformats.org/officeDocument/2006/customXml" ds:itemID="{7C670192-A82C-4811-929E-534368A697D0}">
  <ds:schemaRefs>
    <ds:schemaRef ds:uri="http://schemas.openxmlformats.org/officeDocument/2006/bibliography"/>
  </ds:schemaRefs>
</ds:datastoreItem>
</file>

<file path=customXml/itemProps3.xml><?xml version="1.0" encoding="utf-8"?>
<ds:datastoreItem xmlns:ds="http://schemas.openxmlformats.org/officeDocument/2006/customXml" ds:itemID="{81353FE0-2D38-484A-BEB1-048E26D7839F}">
  <ds:schemaRefs>
    <ds:schemaRef ds:uri="http://schemas.openxmlformats.org/officeDocument/2006/bibliography"/>
  </ds:schemaRefs>
</ds:datastoreItem>
</file>

<file path=customXml/itemProps4.xml><?xml version="1.0" encoding="utf-8"?>
<ds:datastoreItem xmlns:ds="http://schemas.openxmlformats.org/officeDocument/2006/customXml" ds:itemID="{3F095641-5A2E-4A6D-B5C5-F5E40577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3665</Words>
  <Characters>19393</Characters>
  <Application>Microsoft Office Word</Application>
  <DocSecurity>0</DocSecurity>
  <Lines>404</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22940</CharactersWithSpaces>
  <SharedDoc>false</SharedDoc>
  <HLinks>
    <vt:vector size="48" baseType="variant">
      <vt:variant>
        <vt:i4>4259923</vt:i4>
      </vt:variant>
      <vt:variant>
        <vt:i4>21</vt:i4>
      </vt:variant>
      <vt:variant>
        <vt:i4>0</vt:i4>
      </vt:variant>
      <vt:variant>
        <vt:i4>5</vt:i4>
      </vt:variant>
      <vt:variant>
        <vt:lpwstr>http://www.crownpointenergy.com/</vt:lpwstr>
      </vt:variant>
      <vt:variant>
        <vt:lpwstr/>
      </vt:variant>
      <vt:variant>
        <vt:i4>2949128</vt:i4>
      </vt:variant>
      <vt:variant>
        <vt:i4>18</vt:i4>
      </vt:variant>
      <vt:variant>
        <vt:i4>0</vt:i4>
      </vt:variant>
      <vt:variant>
        <vt:i4>5</vt:i4>
      </vt:variant>
      <vt:variant>
        <vt:lpwstr>mailto:amadden@crownpointenergy.com</vt:lpwstr>
      </vt:variant>
      <vt:variant>
        <vt:lpwstr/>
      </vt:variant>
      <vt:variant>
        <vt:i4>2162777</vt:i4>
      </vt:variant>
      <vt:variant>
        <vt:i4>15</vt:i4>
      </vt:variant>
      <vt:variant>
        <vt:i4>0</vt:i4>
      </vt:variant>
      <vt:variant>
        <vt:i4>5</vt:i4>
      </vt:variant>
      <vt:variant>
        <vt:lpwstr>mailto:m.mccartney@crownpointenergy.com</vt:lpwstr>
      </vt:variant>
      <vt:variant>
        <vt:lpwstr/>
      </vt:variant>
      <vt:variant>
        <vt:i4>4259923</vt:i4>
      </vt:variant>
      <vt:variant>
        <vt:i4>12</vt:i4>
      </vt:variant>
      <vt:variant>
        <vt:i4>0</vt:i4>
      </vt:variant>
      <vt:variant>
        <vt:i4>5</vt:i4>
      </vt:variant>
      <vt:variant>
        <vt:lpwstr>http://www.crownpointenergy.com/</vt:lpwstr>
      </vt:variant>
      <vt:variant>
        <vt:lpwstr/>
      </vt:variant>
      <vt:variant>
        <vt:i4>4194325</vt:i4>
      </vt:variant>
      <vt:variant>
        <vt:i4>9</vt:i4>
      </vt:variant>
      <vt:variant>
        <vt:i4>0</vt:i4>
      </vt:variant>
      <vt:variant>
        <vt:i4>5</vt:i4>
      </vt:variant>
      <vt:variant>
        <vt:lpwstr>http://www.sedar.com/</vt:lpwstr>
      </vt:variant>
      <vt:variant>
        <vt:lpwstr/>
      </vt:variant>
      <vt:variant>
        <vt:i4>4259923</vt:i4>
      </vt:variant>
      <vt:variant>
        <vt:i4>6</vt:i4>
      </vt:variant>
      <vt:variant>
        <vt:i4>0</vt:i4>
      </vt:variant>
      <vt:variant>
        <vt:i4>5</vt:i4>
      </vt:variant>
      <vt:variant>
        <vt:lpwstr>http://www.crownpointenergy.com/</vt:lpwstr>
      </vt:variant>
      <vt:variant>
        <vt:lpwstr/>
      </vt:variant>
      <vt:variant>
        <vt:i4>4194325</vt:i4>
      </vt:variant>
      <vt:variant>
        <vt:i4>3</vt:i4>
      </vt:variant>
      <vt:variant>
        <vt:i4>0</vt:i4>
      </vt:variant>
      <vt:variant>
        <vt:i4>5</vt:i4>
      </vt:variant>
      <vt:variant>
        <vt:lpwstr>http://www.sedar.com/</vt:lpwstr>
      </vt:variant>
      <vt:variant>
        <vt:lpwstr/>
      </vt:variant>
      <vt:variant>
        <vt:i4>4259923</vt:i4>
      </vt:variant>
      <vt:variant>
        <vt:i4>0</vt:i4>
      </vt:variant>
      <vt:variant>
        <vt:i4>0</vt:i4>
      </vt:variant>
      <vt:variant>
        <vt:i4>5</vt:i4>
      </vt:variant>
      <vt:variant>
        <vt:lpwstr>http://www.crownpointenergy.com/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Seifert</dc:creator>
  <cp:keywords/>
  <dc:description/>
  <cp:lastModifiedBy>rmc</cp:lastModifiedBy>
  <cp:revision>10</cp:revision>
  <cp:lastPrinted>2024-03-14T17:44:00Z</cp:lastPrinted>
  <dcterms:created xsi:type="dcterms:W3CDTF">2024-05-15T17:23:00Z</dcterms:created>
  <dcterms:modified xsi:type="dcterms:W3CDTF">2024-05-16T15:04:00Z</dcterms:modified>
</cp:coreProperties>
</file>